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FCA78">
      <w:pPr>
        <w:ind w:firstLine="422"/>
        <w:rPr>
          <w:rFonts w:ascii="宋体" w:hAnsi="宋体"/>
          <w:color w:val="000000" w:themeColor="text1"/>
          <w14:textFill>
            <w14:solidFill>
              <w14:schemeClr w14:val="tx1"/>
            </w14:solidFill>
          </w14:textFill>
        </w:rPr>
      </w:pPr>
    </w:p>
    <w:p w14:paraId="008E8A80">
      <w:pPr>
        <w:ind w:right="-105" w:rightChars="-50" w:firstLine="374"/>
        <w:jc w:val="center"/>
        <w:rPr>
          <w:rFonts w:ascii="宋体" w:hAnsi="宋体"/>
          <w:color w:val="000000" w:themeColor="text1"/>
          <w:spacing w:val="-12"/>
          <w:szCs w:val="21"/>
          <w14:textFill>
            <w14:solidFill>
              <w14:schemeClr w14:val="tx1"/>
            </w14:solidFill>
          </w14:textFill>
        </w:rPr>
      </w:pPr>
    </w:p>
    <w:p w14:paraId="55197FE8">
      <w:pPr>
        <w:pStyle w:val="11"/>
        <w:ind w:firstLine="883"/>
        <w:rPr>
          <w:color w:val="000000" w:themeColor="text1"/>
          <w:sz w:val="44"/>
          <w:szCs w:val="44"/>
          <w14:textFill>
            <w14:solidFill>
              <w14:schemeClr w14:val="tx1"/>
            </w14:solidFill>
          </w14:textFill>
        </w:rPr>
      </w:pPr>
    </w:p>
    <w:p w14:paraId="07DE92F9">
      <w:pPr>
        <w:spacing w:line="360" w:lineRule="auto"/>
        <w:ind w:right="-105" w:rightChars="-50" w:firstLine="0"/>
        <w:jc w:val="center"/>
        <w:rPr>
          <w:rFonts w:ascii="宋体" w:hAnsi="宋体"/>
          <w:color w:val="000000" w:themeColor="text1"/>
          <w:sz w:val="48"/>
          <w:szCs w:val="48"/>
          <w14:textFill>
            <w14:solidFill>
              <w14:schemeClr w14:val="tx1"/>
            </w14:solidFill>
          </w14:textFill>
        </w:rPr>
      </w:pPr>
      <w:r>
        <w:rPr>
          <w:rFonts w:hint="eastAsia" w:ascii="宋体" w:hAnsi="宋体" w:cs="宋体"/>
          <w:b/>
          <w:color w:val="auto"/>
          <w:sz w:val="48"/>
          <w:szCs w:val="48"/>
        </w:rPr>
        <w:t>普陀区环境健康友好创新试点建设项目</w:t>
      </w:r>
    </w:p>
    <w:p w14:paraId="1C434085">
      <w:pPr>
        <w:ind w:right="-105" w:rightChars="-50" w:firstLine="1446"/>
        <w:jc w:val="center"/>
        <w:rPr>
          <w:rFonts w:ascii="宋体" w:hAnsi="宋体"/>
          <w:color w:val="000000" w:themeColor="text1"/>
          <w:sz w:val="72"/>
          <w:szCs w:val="72"/>
          <w14:textFill>
            <w14:solidFill>
              <w14:schemeClr w14:val="tx1"/>
            </w14:solidFill>
          </w14:textFill>
        </w:rPr>
      </w:pPr>
    </w:p>
    <w:p w14:paraId="6252CF22">
      <w:pPr>
        <w:pStyle w:val="11"/>
        <w:ind w:firstLine="562"/>
        <w:rPr>
          <w:color w:val="000000" w:themeColor="text1"/>
          <w14:textFill>
            <w14:solidFill>
              <w14:schemeClr w14:val="tx1"/>
            </w14:solidFill>
          </w14:textFill>
        </w:rPr>
      </w:pPr>
    </w:p>
    <w:p w14:paraId="4F733C4A">
      <w:pPr>
        <w:pStyle w:val="11"/>
        <w:ind w:firstLine="562"/>
        <w:rPr>
          <w:color w:val="000000" w:themeColor="text1"/>
          <w14:textFill>
            <w14:solidFill>
              <w14:schemeClr w14:val="tx1"/>
            </w14:solidFill>
          </w14:textFill>
        </w:rPr>
      </w:pPr>
    </w:p>
    <w:p w14:paraId="0ADCB130">
      <w:pPr>
        <w:ind w:right="-105" w:rightChars="-50" w:firstLine="1446"/>
        <w:jc w:val="both"/>
        <w:rPr>
          <w:rFonts w:ascii="宋体" w:hAnsi="宋体"/>
          <w:color w:val="000000" w:themeColor="text1"/>
          <w:sz w:val="72"/>
          <w:szCs w:val="72"/>
          <w14:textFill>
            <w14:solidFill>
              <w14:schemeClr w14:val="tx1"/>
            </w14:solidFill>
          </w14:textFill>
        </w:rPr>
      </w:pPr>
      <w:r>
        <w:rPr>
          <w:rFonts w:hint="eastAsia" w:ascii="宋体" w:hAnsi="宋体"/>
          <w:color w:val="000000" w:themeColor="text1"/>
          <w:sz w:val="72"/>
          <w:szCs w:val="72"/>
          <w14:textFill>
            <w14:solidFill>
              <w14:schemeClr w14:val="tx1"/>
            </w14:solidFill>
          </w14:textFill>
        </w:rPr>
        <w:t>竞争性磋商文件</w:t>
      </w:r>
    </w:p>
    <w:p w14:paraId="23F6EB78">
      <w:pPr>
        <w:ind w:right="-105" w:rightChars="-50" w:firstLine="562"/>
        <w:jc w:val="center"/>
        <w:rPr>
          <w:rFonts w:ascii="宋体" w:hAnsi="宋体"/>
          <w:color w:val="000000" w:themeColor="text1"/>
          <w:sz w:val="28"/>
          <w:szCs w:val="28"/>
          <w14:textFill>
            <w14:solidFill>
              <w14:schemeClr w14:val="tx1"/>
            </w14:solidFill>
          </w14:textFill>
        </w:rPr>
      </w:pPr>
    </w:p>
    <w:p w14:paraId="00D1D6FF">
      <w:pPr>
        <w:pStyle w:val="4"/>
        <w:ind w:firstLine="643"/>
        <w:rPr>
          <w:rFonts w:ascii="宋体" w:hAnsi="宋体" w:eastAsia="宋体"/>
          <w:color w:val="000000" w:themeColor="text1"/>
          <w14:textFill>
            <w14:solidFill>
              <w14:schemeClr w14:val="tx1"/>
            </w14:solidFill>
          </w14:textFill>
        </w:rPr>
      </w:pPr>
    </w:p>
    <w:p w14:paraId="133F074C">
      <w:pPr>
        <w:ind w:right="-105" w:rightChars="-50" w:firstLine="562"/>
        <w:rPr>
          <w:rFonts w:ascii="宋体" w:hAnsi="宋体"/>
          <w:color w:val="000000" w:themeColor="text1"/>
          <w:sz w:val="28"/>
          <w:szCs w:val="28"/>
          <w14:textFill>
            <w14:solidFill>
              <w14:schemeClr w14:val="tx1"/>
            </w14:solidFill>
          </w14:textFill>
        </w:rPr>
      </w:pPr>
    </w:p>
    <w:p w14:paraId="21B519AD">
      <w:pPr>
        <w:ind w:right="-105" w:rightChars="-50" w:firstLine="562"/>
        <w:jc w:val="center"/>
        <w:rPr>
          <w:rFonts w:ascii="宋体" w:hAnsi="宋体"/>
          <w:color w:val="000000" w:themeColor="text1"/>
          <w:sz w:val="28"/>
          <w:szCs w:val="28"/>
          <w14:textFill>
            <w14:solidFill>
              <w14:schemeClr w14:val="tx1"/>
            </w14:solidFill>
          </w14:textFill>
        </w:rPr>
      </w:pPr>
    </w:p>
    <w:p w14:paraId="1026B9B0">
      <w:pPr>
        <w:ind w:right="-105" w:rightChars="-50" w:firstLine="562"/>
        <w:jc w:val="center"/>
        <w:rPr>
          <w:rFonts w:ascii="宋体" w:hAnsi="宋体"/>
          <w:color w:val="000000" w:themeColor="text1"/>
          <w:sz w:val="28"/>
          <w:szCs w:val="28"/>
          <w14:textFill>
            <w14:solidFill>
              <w14:schemeClr w14:val="tx1"/>
            </w14:solidFill>
          </w14:textFill>
        </w:rPr>
      </w:pPr>
    </w:p>
    <w:p w14:paraId="1CD646D7">
      <w:pPr>
        <w:ind w:right="-105" w:rightChars="-50" w:firstLine="562"/>
        <w:jc w:val="center"/>
        <w:rPr>
          <w:rFonts w:ascii="宋体" w:hAnsi="宋体"/>
          <w:color w:val="000000" w:themeColor="text1"/>
          <w:sz w:val="28"/>
          <w:szCs w:val="28"/>
          <w14:textFill>
            <w14:solidFill>
              <w14:schemeClr w14:val="tx1"/>
            </w14:solidFill>
          </w14:textFill>
        </w:rPr>
      </w:pPr>
    </w:p>
    <w:p w14:paraId="77855CE9">
      <w:pPr>
        <w:spacing w:line="480" w:lineRule="auto"/>
        <w:ind w:left="0" w:leftChars="0" w:right="-424" w:rightChars="-202" w:firstLine="0"/>
        <w:rPr>
          <w:rFonts w:ascii="宋体" w:hAnsi="宋体" w:eastAsiaTheme="minorEastAsia"/>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项目编号：TLZB-2025-108</w:t>
      </w:r>
    </w:p>
    <w:p w14:paraId="30F7D64D">
      <w:pPr>
        <w:spacing w:line="480" w:lineRule="auto"/>
        <w:ind w:left="0" w:leftChars="0" w:right="-424" w:rightChars="-202" w:firstLine="0" w:firstLineChars="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30"/>
          <w:szCs w:val="30"/>
          <w14:textFill>
            <w14:solidFill>
              <w14:schemeClr w14:val="tx1"/>
            </w14:solidFill>
          </w14:textFill>
        </w:rPr>
        <w:t>普陀区环境健康友好创新试点建设项目</w:t>
      </w:r>
    </w:p>
    <w:p w14:paraId="564C801B">
      <w:pPr>
        <w:spacing w:line="480" w:lineRule="auto"/>
        <w:ind w:left="0" w:leftChars="0" w:right="-424" w:rightChars="-202" w:firstLine="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采购单位：舟山市生态环境局普陀分局</w:t>
      </w:r>
    </w:p>
    <w:p w14:paraId="2271E3E8">
      <w:pPr>
        <w:spacing w:line="480" w:lineRule="auto"/>
        <w:ind w:left="0" w:leftChars="0" w:right="-424" w:rightChars="-202" w:firstLine="0"/>
        <w:rPr>
          <w:rFonts w:ascii="宋体" w:hAnsi="宋体" w:cs="宋体"/>
          <w:color w:val="000000" w:themeColor="text1"/>
          <w:sz w:val="44"/>
          <w:szCs w:val="44"/>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招标代理单位：浙江天隆工程管理有限公司</w:t>
      </w:r>
    </w:p>
    <w:p w14:paraId="2CC920D1">
      <w:pPr>
        <w:pStyle w:val="15"/>
        <w:shd w:val="clear"/>
        <w:spacing w:before="120" w:after="120" w:line="600" w:lineRule="auto"/>
        <w:ind w:firstLine="0" w:firstLineChars="0"/>
        <w:jc w:val="center"/>
        <w:rPr>
          <w:rFonts w:hAnsi="宋体" w:eastAsia="宋体" w:cs="宋体"/>
          <w:color w:val="000000" w:themeColor="text1"/>
          <w:sz w:val="44"/>
          <w:szCs w:val="44"/>
          <w14:textFill>
            <w14:solidFill>
              <w14:schemeClr w14:val="tx1"/>
            </w14:solidFill>
          </w14:textFill>
        </w:rPr>
      </w:pPr>
      <w:r>
        <w:rPr>
          <w:rFonts w:hint="eastAsia" w:ascii="宋体" w:hAnsi="宋体" w:eastAsia="宋体" w:cs="Times New Roman"/>
          <w:color w:val="000000" w:themeColor="text1"/>
          <w:kern w:val="2"/>
          <w:sz w:val="30"/>
          <w:szCs w:val="30"/>
          <w:lang w:val="en-US" w:eastAsia="zh-CN" w:bidi="ar-SA"/>
          <w14:textFill>
            <w14:solidFill>
              <w14:schemeClr w14:val="tx1"/>
            </w14:solidFill>
          </w14:textFill>
        </w:rPr>
        <w:t>时    间：二〇二五年</w:t>
      </w:r>
      <w:r>
        <w:rPr>
          <w:rFonts w:hint="eastAsia" w:hAnsi="宋体" w:eastAsia="宋体" w:cs="Times New Roman"/>
          <w:color w:val="000000" w:themeColor="text1"/>
          <w:kern w:val="2"/>
          <w:sz w:val="30"/>
          <w:szCs w:val="30"/>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30"/>
          <w:szCs w:val="30"/>
          <w:lang w:val="en-US" w:eastAsia="zh-CN" w:bidi="ar-SA"/>
          <w14:textFill>
            <w14:solidFill>
              <w14:schemeClr w14:val="tx1"/>
            </w14:solidFill>
          </w14:textFill>
        </w:rPr>
        <w:t>月</w:t>
      </w:r>
      <w:r>
        <w:rPr>
          <w:rFonts w:hint="eastAsia" w:hAnsi="宋体" w:eastAsia="宋体" w:cs="Times New Roman"/>
          <w:color w:val="000000" w:themeColor="text1"/>
          <w:kern w:val="2"/>
          <w:sz w:val="30"/>
          <w:szCs w:val="30"/>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30"/>
          <w:szCs w:val="30"/>
          <w:lang w:val="en-US" w:eastAsia="zh-CN" w:bidi="ar-SA"/>
          <w14:textFill>
            <w14:solidFill>
              <w14:schemeClr w14:val="tx1"/>
            </w14:solidFill>
          </w14:textFill>
        </w:rPr>
        <w:t>日</w:t>
      </w:r>
      <w:r>
        <w:rPr>
          <w:rFonts w:hAnsi="宋体" w:eastAsia="宋体" w:cs="宋体"/>
          <w:color w:val="000000" w:themeColor="text1"/>
          <w:sz w:val="44"/>
          <w:szCs w:val="44"/>
          <w14:textFill>
            <w14:solidFill>
              <w14:schemeClr w14:val="tx1"/>
            </w14:solidFill>
          </w14:textFill>
        </w:rPr>
        <w:br w:type="page"/>
      </w:r>
      <w:r>
        <w:rPr>
          <w:rFonts w:hint="eastAsia" w:hAnsi="宋体" w:eastAsia="宋体" w:cs="宋体"/>
          <w:color w:val="000000" w:themeColor="text1"/>
          <w:sz w:val="44"/>
          <w:szCs w:val="44"/>
          <w14:textFill>
            <w14:solidFill>
              <w14:schemeClr w14:val="tx1"/>
            </w14:solidFill>
          </w14:textFill>
        </w:rPr>
        <w:t>目    录</w:t>
      </w:r>
    </w:p>
    <w:p w14:paraId="0596BF2D">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第一章  竞争性磋商公告</w:t>
      </w:r>
    </w:p>
    <w:p w14:paraId="4A3919A6">
      <w:pPr>
        <w:shd w:val="clear"/>
        <w:tabs>
          <w:tab w:val="left" w:pos="7248"/>
        </w:tabs>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采购需求</w:t>
      </w:r>
      <w:r>
        <w:rPr>
          <w:rFonts w:ascii="宋体" w:hAnsi="宋体" w:cs="宋体"/>
          <w:color w:val="000000" w:themeColor="text1"/>
          <w:sz w:val="32"/>
          <w:szCs w:val="32"/>
          <w14:textFill>
            <w14:solidFill>
              <w14:schemeClr w14:val="tx1"/>
            </w14:solidFill>
          </w14:textFill>
        </w:rPr>
        <w:tab/>
      </w:r>
    </w:p>
    <w:p w14:paraId="32173904">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第三章  响应人须知</w:t>
      </w:r>
    </w:p>
    <w:p w14:paraId="45486219">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前附表 </w:t>
      </w:r>
    </w:p>
    <w:p w14:paraId="3DEFBB9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一、总 则</w:t>
      </w:r>
    </w:p>
    <w:p w14:paraId="42A04E55">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二、竞争性磋商文件</w:t>
      </w:r>
    </w:p>
    <w:p w14:paraId="705FD933">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三、响应文件的编制</w:t>
      </w:r>
    </w:p>
    <w:p w14:paraId="78CFAE03">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四、开标</w:t>
      </w:r>
    </w:p>
    <w:p w14:paraId="57340C0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五、评标</w:t>
      </w:r>
    </w:p>
    <w:p w14:paraId="157CF80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六、定标</w:t>
      </w:r>
    </w:p>
    <w:p w14:paraId="26C25918">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七、合同授予</w:t>
      </w:r>
    </w:p>
    <w:p w14:paraId="592AB67F">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第四章  磋商办法及标准</w:t>
      </w:r>
    </w:p>
    <w:p w14:paraId="46CC5BBD">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第五章  合同主要条款</w:t>
      </w:r>
    </w:p>
    <w:p w14:paraId="3C24B602">
      <w:pPr>
        <w:shd w:val="clear"/>
        <w:spacing w:before="120" w:line="360" w:lineRule="auto"/>
        <w:ind w:firstLine="643"/>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第六章  响应文件格式</w:t>
      </w:r>
    </w:p>
    <w:p w14:paraId="677559F4">
      <w:pPr>
        <w:shd w:val="clear"/>
        <w:ind w:firstLine="602"/>
        <w:jc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szCs w:val="30"/>
          <w14:textFill>
            <w14:solidFill>
              <w14:schemeClr w14:val="tx1"/>
            </w14:solidFill>
          </w14:textFill>
        </w:rPr>
        <w:br w:type="page"/>
      </w:r>
      <w:bookmarkStart w:id="0" w:name="OLE_LINK1"/>
      <w:r>
        <w:rPr>
          <w:rFonts w:hint="eastAsia" w:ascii="宋体" w:hAnsi="宋体" w:cs="宋体"/>
          <w:b/>
          <w:color w:val="000000" w:themeColor="text1"/>
          <w:sz w:val="30"/>
          <w14:textFill>
            <w14:solidFill>
              <w14:schemeClr w14:val="tx1"/>
            </w14:solidFill>
          </w14:textFill>
        </w:rPr>
        <w:t xml:space="preserve">第一章 </w:t>
      </w:r>
      <w:bookmarkStart w:id="1" w:name="OLE_LINK3"/>
      <w:r>
        <w:rPr>
          <w:rFonts w:hint="eastAsia" w:ascii="宋体" w:hAnsi="宋体" w:cs="宋体"/>
          <w:b/>
          <w:color w:val="000000" w:themeColor="text1"/>
          <w:sz w:val="30"/>
          <w14:textFill>
            <w14:solidFill>
              <w14:schemeClr w14:val="tx1"/>
            </w14:solidFill>
          </w14:textFill>
        </w:rPr>
        <w:t xml:space="preserve"> </w:t>
      </w:r>
      <w:bookmarkStart w:id="2" w:name="OLE_LINK2"/>
      <w:bookmarkStart w:id="3" w:name="OLE_LINK4"/>
      <w:r>
        <w:rPr>
          <w:rFonts w:hint="eastAsia" w:ascii="宋体" w:hAnsi="宋体" w:cs="宋体"/>
          <w:b/>
          <w:color w:val="000000" w:themeColor="text1"/>
          <w:sz w:val="30"/>
          <w14:textFill>
            <w14:solidFill>
              <w14:schemeClr w14:val="tx1"/>
            </w14:solidFill>
          </w14:textFill>
        </w:rPr>
        <w:t>竞争性磋商公告</w:t>
      </w:r>
    </w:p>
    <w:bookmarkEnd w:id="0"/>
    <w:bookmarkEnd w:id="1"/>
    <w:bookmarkEnd w:id="2"/>
    <w:bookmarkEnd w:id="3"/>
    <w:p w14:paraId="322DBEE4">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p>
    <w:tbl>
      <w:tblPr>
        <w:tblStyle w:val="31"/>
        <w:tblW w:w="93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3"/>
      </w:tblGrid>
      <w:tr w14:paraId="48DC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3" w:type="dxa"/>
          </w:tcPr>
          <w:p w14:paraId="109DB891">
            <w:pPr>
              <w:widowControl/>
              <w:shd w:val="clear"/>
              <w:spacing w:line="360" w:lineRule="exact"/>
              <w:ind w:firstLine="42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p w14:paraId="0934E13A">
            <w:pPr>
              <w:widowControl/>
              <w:shd w:val="clear"/>
              <w:spacing w:line="360" w:lineRule="exact"/>
              <w:ind w:firstLine="420" w:firstLineChars="200"/>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普陀区环境健康友好创新试点建设项目的潜在供应商应在浙江政府采购网http://zfcg.czt.zj.gov.cn/（用“政采云”注册账号、密码登录系统后获取招标文件） 获取（下载）采购文件，并于2025年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（北京时间）前提交（上传）响应文件。</w:t>
            </w:r>
          </w:p>
        </w:tc>
      </w:tr>
    </w:tbl>
    <w:p w14:paraId="03F57532">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p>
    <w:p w14:paraId="0A35D094">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一、项目基本情况</w:t>
      </w:r>
      <w:r>
        <w:rPr>
          <w:rFonts w:hint="eastAsia" w:ascii="宋体" w:hAnsi="宋体" w:cs="宋体"/>
          <w:color w:val="000000" w:themeColor="text1"/>
          <w:kern w:val="0"/>
          <w:szCs w:val="21"/>
          <w14:textFill>
            <w14:solidFill>
              <w14:schemeClr w14:val="tx1"/>
            </w14:solidFill>
          </w14:textFill>
        </w:rPr>
        <w:t xml:space="preserve"> </w:t>
      </w:r>
    </w:p>
    <w:p w14:paraId="5A4F277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项目编号：</w:t>
      </w:r>
      <w:r>
        <w:rPr>
          <w:rFonts w:hint="eastAsia" w:ascii="宋体" w:hAnsi="宋体" w:cs="宋体"/>
          <w:color w:val="auto"/>
          <w:szCs w:val="21"/>
          <w:highlight w:val="none"/>
        </w:rPr>
        <w:t>TLZB-202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108</w:t>
      </w:r>
    </w:p>
    <w:p w14:paraId="197CB58E">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项目名称：普陀区环境健康友好创新试点建设项目</w:t>
      </w:r>
    </w:p>
    <w:p w14:paraId="17DCCAF3">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采购方式：竞争性磋商</w:t>
      </w:r>
    </w:p>
    <w:p w14:paraId="37F2D92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0000</w:t>
      </w:r>
    </w:p>
    <w:p w14:paraId="210717A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最高限价（元）：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 xml:space="preserve">0000 </w:t>
      </w:r>
    </w:p>
    <w:p w14:paraId="78C0E62B">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4AF80446">
      <w:pPr>
        <w:widowControl/>
        <w:shd w:val="clear"/>
        <w:adjustRightInd w:val="0"/>
        <w:snapToGrid w:val="0"/>
        <w:spacing w:line="360" w:lineRule="exact"/>
        <w:ind w:firstLine="422"/>
        <w:rPr>
          <w:rFonts w:ascii="宋体" w:hAnsi="宋体" w:cs="Calibri"/>
          <w:color w:val="000000" w:themeColor="text1"/>
          <w:kern w:val="0"/>
          <w:szCs w:val="21"/>
          <w14:textFill>
            <w14:solidFill>
              <w14:schemeClr w14:val="tx1"/>
            </w14:solidFill>
          </w14:textFill>
        </w:rPr>
      </w:pPr>
    </w:p>
    <w:p w14:paraId="6458415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r>
        <w:rPr>
          <w:rFonts w:hint="eastAsia" w:ascii="宋体" w:hAnsi="宋体" w:cs="Calibri"/>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1</w:t>
      </w:r>
    </w:p>
    <w:p w14:paraId="0A4E433A">
      <w:pPr>
        <w:widowControl/>
        <w:shd w:val="clear"/>
        <w:adjustRightInd w:val="0"/>
        <w:snapToGrid w:val="0"/>
        <w:spacing w:line="360" w:lineRule="exact"/>
        <w:ind w:firstLine="422"/>
        <w:rPr>
          <w:rFonts w:ascii="宋体" w:hAnsi="宋体" w:cs="Calibri"/>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w:t>
      </w:r>
      <w:r>
        <w:rPr>
          <w:rFonts w:hint="eastAsia" w:ascii="宋体" w:hAnsi="宋体" w:cs="宋体"/>
          <w:color w:val="000000" w:themeColor="text1"/>
          <w:kern w:val="0"/>
          <w:szCs w:val="21"/>
          <w:lang w:val="en-US" w:eastAsia="zh-CN"/>
          <w14:textFill>
            <w14:solidFill>
              <w14:schemeClr w14:val="tx1"/>
            </w14:solidFill>
          </w14:textFill>
        </w:rPr>
        <w:t>350</w:t>
      </w:r>
      <w:r>
        <w:rPr>
          <w:rFonts w:hint="eastAsia" w:ascii="宋体" w:hAnsi="宋体" w:cs="宋体"/>
          <w:color w:val="000000" w:themeColor="text1"/>
          <w:kern w:val="0"/>
          <w:szCs w:val="21"/>
          <w14:textFill>
            <w14:solidFill>
              <w14:schemeClr w14:val="tx1"/>
            </w14:solidFill>
          </w14:textFill>
        </w:rPr>
        <w:t>0000</w:t>
      </w:r>
    </w:p>
    <w:p w14:paraId="006C5E80">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单位：项</w:t>
      </w:r>
    </w:p>
    <w:p w14:paraId="158909E5">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简要规格描述：</w:t>
      </w:r>
      <w:r>
        <w:rPr>
          <w:rFonts w:hint="eastAsia" w:ascii="宋体" w:hAnsi="宋体" w:cs="宋体"/>
          <w:color w:val="auto"/>
          <w:szCs w:val="21"/>
        </w:rPr>
        <w:t>结合浙江省考核要求和本地实际发展需求完成舟山市普陀区创新试点建设任务，要求产出内容可量化、可考核。开展但不仅限于如下建设任务：环境健康风险源筛评控、环境健康友好产品认证、环境健康工作交流活动、国家环境健康管理试点申报等。成果产出包括但不限于：环境健康风险源清单、环境健康风险源分布地图、环境健康友好产品认证示范、年度成果总结相关报告、国家环境健康管理试点申报工作方案及相关必要附件材料等。 </w:t>
      </w:r>
    </w:p>
    <w:p w14:paraId="1CF5985A">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r>
        <w:rPr>
          <w:rFonts w:hint="eastAsia" w:ascii="宋体" w:hAnsi="宋体" w:cs="Calibri"/>
          <w:color w:val="000000" w:themeColor="text1"/>
          <w:kern w:val="0"/>
          <w:szCs w:val="21"/>
          <w14:textFill>
            <w14:solidFill>
              <w14:schemeClr w14:val="tx1"/>
            </w14:solidFill>
          </w14:textFill>
        </w:rPr>
        <w:t> </w:t>
      </w:r>
    </w:p>
    <w:p w14:paraId="1231E979">
      <w:pPr>
        <w:widowControl/>
        <w:shd w:val="clear"/>
        <w:adjustRightInd w:val="0"/>
        <w:snapToGrid w:val="0"/>
        <w:spacing w:line="360" w:lineRule="exact"/>
        <w:ind w:firstLine="422"/>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合同履约期限：</w:t>
      </w:r>
      <w:r>
        <w:rPr>
          <w:rFonts w:hint="eastAsia"/>
          <w:color w:val="auto"/>
          <w:highlight w:val="none"/>
        </w:rPr>
        <w:t xml:space="preserve">1.全面推进浙江省省级环境健康友好创新试点工作，自服务开始之日起两年；2.开展国家环境健康管理试点申报工作，自国家环境健康管理试点申报成功后三年。 </w:t>
      </w:r>
    </w:p>
    <w:p w14:paraId="0B7AECA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本项目（否）接受联合体投标。</w:t>
      </w:r>
    </w:p>
    <w:p w14:paraId="041D8367">
      <w:pPr>
        <w:widowControl/>
        <w:shd w:val="clear"/>
        <w:adjustRightInd w:val="0"/>
        <w:snapToGrid w:val="0"/>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14:paraId="7A1B9D1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B78D3A1">
      <w:pPr>
        <w:shd w:val="clea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2.落实政府采购政策需满足的资格要求：</w:t>
      </w:r>
      <w:r>
        <w:rPr>
          <w:rFonts w:hint="eastAsia" w:ascii="宋体" w:hAnsi="宋体" w:cs="宋体"/>
          <w:i w:val="0"/>
          <w:iCs w:val="0"/>
          <w:caps w:val="0"/>
          <w:color w:val="000000"/>
          <w:spacing w:val="0"/>
          <w:sz w:val="21"/>
          <w:szCs w:val="21"/>
          <w:lang w:val="en-US" w:eastAsia="zh-CN"/>
        </w:rPr>
        <w:t>无</w:t>
      </w:r>
      <w:r>
        <w:rPr>
          <w:rFonts w:hint="eastAsia" w:ascii="宋体" w:hAnsi="宋体" w:cs="宋体"/>
          <w:color w:val="000000" w:themeColor="text1"/>
          <w:kern w:val="0"/>
          <w:szCs w:val="21"/>
          <w14:textFill>
            <w14:solidFill>
              <w14:schemeClr w14:val="tx1"/>
            </w14:solidFill>
          </w14:textFill>
        </w:rPr>
        <w:t>。</w:t>
      </w:r>
    </w:p>
    <w:p w14:paraId="4FA69D08">
      <w:pPr>
        <w:widowControl/>
        <w:shd w:val="clear"/>
        <w:adjustRightInd w:val="0"/>
        <w:snapToGrid w:val="0"/>
        <w:spacing w:line="360" w:lineRule="exact"/>
        <w:ind w:firstLine="422"/>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3.本项目的特定资格要求：无</w:t>
      </w:r>
      <w:r>
        <w:rPr>
          <w:rFonts w:hint="eastAsia"/>
          <w:color w:val="000000" w:themeColor="text1"/>
          <w:szCs w:val="21"/>
          <w14:textFill>
            <w14:solidFill>
              <w14:schemeClr w14:val="tx1"/>
            </w14:solidFill>
          </w14:textFill>
        </w:rPr>
        <w:t>。</w:t>
      </w:r>
    </w:p>
    <w:p w14:paraId="27DF515A">
      <w:pPr>
        <w:widowControl/>
        <w:shd w:val="clear"/>
        <w:adjustRightInd w:val="0"/>
        <w:snapToGrid w:val="0"/>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三、获取（下载）采购文件</w:t>
      </w:r>
      <w:r>
        <w:rPr>
          <w:rFonts w:hint="eastAsia" w:ascii="宋体" w:hAnsi="宋体" w:cs="Calibri"/>
          <w:color w:val="000000" w:themeColor="text1"/>
          <w:kern w:val="0"/>
          <w:szCs w:val="21"/>
          <w14:textFill>
            <w14:solidFill>
              <w14:schemeClr w14:val="tx1"/>
            </w14:solidFill>
          </w14:textFill>
        </w:rPr>
        <w:t> </w:t>
      </w:r>
    </w:p>
    <w:p w14:paraId="65AC18A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时间：至2025年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日，每天上午00:00至12:00 ，下午12:00至23:59（北京时间，线上获取法定节假日均可，线下获取文件法定节假日除外）</w:t>
      </w:r>
    </w:p>
    <w:p w14:paraId="1F34A01A">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t>
      </w:r>
      <w:r>
        <w:fldChar w:fldCharType="begin"/>
      </w:r>
      <w:r>
        <w:instrText xml:space="preserve"> HYPERLINK "https://www.zcygov.cn/" </w:instrText>
      </w:r>
      <w:r>
        <w:fldChar w:fldCharType="separate"/>
      </w:r>
      <w:r>
        <w:rPr>
          <w:rStyle w:val="37"/>
          <w:rFonts w:hint="eastAsia" w:ascii="宋体" w:hAnsi="宋体" w:cs="宋体"/>
          <w:color w:val="000000" w:themeColor="text1"/>
          <w:kern w:val="0"/>
          <w14:textFill>
            <w14:solidFill>
              <w14:schemeClr w14:val="tx1"/>
            </w14:solidFill>
          </w14:textFill>
        </w:rPr>
        <w:t>https://www.zcygov.cn/</w:t>
      </w:r>
      <w:r>
        <w:rPr>
          <w:rStyle w:val="37"/>
          <w:rFonts w:hint="eastAsia" w:ascii="宋体" w:hAnsi="宋体" w:cs="宋体"/>
          <w:color w:val="000000" w:themeColor="text1"/>
          <w:kern w:val="0"/>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 xml:space="preserve">） </w:t>
      </w:r>
    </w:p>
    <w:p w14:paraId="5DCF7F28">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方式：供应商登录政采云平台https://www.zcygov.cn/在线申请获取采购文件（进入“项目采购”应用，在获取采购文件菜单中选择项目，申请获取采购文件）</w:t>
      </w:r>
    </w:p>
    <w:p w14:paraId="6728680C">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售价（元）：0</w:t>
      </w:r>
      <w:r>
        <w:rPr>
          <w:rFonts w:hint="eastAsia" w:ascii="宋体" w:hAnsi="宋体" w:cs="Calibri"/>
          <w:color w:val="000000" w:themeColor="text1"/>
          <w:kern w:val="0"/>
          <w:szCs w:val="21"/>
          <w14:textFill>
            <w14:solidFill>
              <w14:schemeClr w14:val="tx1"/>
            </w14:solidFill>
          </w14:textFill>
        </w:rPr>
        <w:t> </w:t>
      </w:r>
    </w:p>
    <w:p w14:paraId="3341DB55">
      <w:pPr>
        <w:widowControl/>
        <w:shd w:val="clear"/>
        <w:adjustRightInd w:val="0"/>
        <w:snapToGrid w:val="0"/>
        <w:spacing w:line="36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四、响应文件提交（上传） </w:t>
      </w:r>
    </w:p>
    <w:p w14:paraId="0B1A78F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截止时间：2025年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w:t>
      </w:r>
    </w:p>
    <w:p w14:paraId="09E792C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地点（网址）：请登录政采云投标客户端投标</w:t>
      </w:r>
    </w:p>
    <w:p w14:paraId="1BCB47F3">
      <w:pPr>
        <w:widowControl/>
        <w:shd w:val="clear"/>
        <w:adjustRightInd w:val="0"/>
        <w:snapToGrid w:val="0"/>
        <w:spacing w:line="36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五、响应文件开启 </w:t>
      </w:r>
    </w:p>
    <w:p w14:paraId="376BFA45">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开启时间：2025年</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（北京时间）</w:t>
      </w:r>
    </w:p>
    <w:p w14:paraId="14A55587">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地点（网址）：政府采购云平台（www.zcygov.cn）</w:t>
      </w:r>
    </w:p>
    <w:p w14:paraId="17F7E768">
      <w:pPr>
        <w:widowControl/>
        <w:shd w:val="clear"/>
        <w:adjustRightInd w:val="0"/>
        <w:snapToGrid w:val="0"/>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六、公告期限</w:t>
      </w:r>
    </w:p>
    <w:p w14:paraId="3DA126F6">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4B659601">
      <w:pPr>
        <w:widowControl/>
        <w:shd w:val="clear"/>
        <w:adjustRightInd w:val="0"/>
        <w:snapToGrid w:val="0"/>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七、其他补充事宜</w:t>
      </w:r>
    </w:p>
    <w:p w14:paraId="66F737E8">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AFDD36">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AD478F">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其他事项：（1）成交人应在合同签订前成为浙江政府采购网正式注册供应商。（2）供应商须在线获取CA数字证书（完成CA数字证书办理预计一周左右，建议各响应人自行把握时间），并登录“浙江省政府采购网”（zfcg.czt.zj.gov.cn），进入“下载专区”下载“电子交易客户端”，制作投标文件。（3）潜在供应商应当按照规定方式获取采购文件（附件里的采购文件仅供阅览使用），未按照规定方式获取采购文件的，不得对采购文件提起质疑投诉。</w:t>
      </w:r>
    </w:p>
    <w:p w14:paraId="38F5A8FA">
      <w:pPr>
        <w:widowControl/>
        <w:shd w:val="clear"/>
        <w:adjustRightInd w:val="0"/>
        <w:snapToGrid w:val="0"/>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八、对本次采购提出询问、质疑、投诉，请按以下方式联系</w:t>
      </w:r>
    </w:p>
    <w:p w14:paraId="3E5376C1">
      <w:pPr>
        <w:widowControl/>
        <w:shd w:val="clear"/>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6235C2F5">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auto"/>
          <w:szCs w:val="21"/>
        </w:rPr>
        <w:t>舟山市生态环境局普陀分局</w:t>
      </w:r>
    </w:p>
    <w:p w14:paraId="7BB920CB">
      <w:pPr>
        <w:widowControl/>
        <w:shd w:val="clear"/>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地址：舟山市普陀区东港街道昌正街169号东港商务中心4号楼西</w:t>
      </w:r>
    </w:p>
    <w:p w14:paraId="404FF83B">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项目联系人（询问）：胡女士 </w:t>
      </w:r>
    </w:p>
    <w:p w14:paraId="54BF9760">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项目联系方式（询问）：0580-3020038</w:t>
      </w:r>
    </w:p>
    <w:p w14:paraId="1323C664">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w:t>
      </w:r>
      <w:r>
        <w:rPr>
          <w:rFonts w:hint="eastAsia" w:ascii="宋体" w:hAnsi="宋体" w:cs="宋体"/>
          <w:color w:val="000000" w:themeColor="text1"/>
          <w:kern w:val="0"/>
          <w:szCs w:val="21"/>
          <w:lang w:val="en-US" w:eastAsia="zh-CN"/>
          <w14:textFill>
            <w14:solidFill>
              <w14:schemeClr w14:val="tx1"/>
            </w14:solidFill>
          </w14:textFill>
        </w:rPr>
        <w:t>项女士</w:t>
      </w:r>
      <w:r>
        <w:rPr>
          <w:rFonts w:hint="eastAsia" w:ascii="宋体" w:hAnsi="宋体" w:cs="宋体"/>
          <w:color w:val="000000" w:themeColor="text1"/>
          <w:kern w:val="0"/>
          <w:szCs w:val="21"/>
          <w14:textFill>
            <w14:solidFill>
              <w14:schemeClr w14:val="tx1"/>
            </w14:solidFill>
          </w14:textFill>
        </w:rPr>
        <w:t xml:space="preserve"> </w:t>
      </w:r>
    </w:p>
    <w:p w14:paraId="0DEAEC86">
      <w:pPr>
        <w:widowControl/>
        <w:spacing w:line="360" w:lineRule="exact"/>
        <w:ind w:firstLine="422"/>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质疑联系方式：0580-</w:t>
      </w:r>
      <w:r>
        <w:rPr>
          <w:rFonts w:hint="eastAsia" w:ascii="宋体" w:hAnsi="宋体" w:cs="宋体"/>
          <w:color w:val="000000" w:themeColor="text1"/>
          <w:kern w:val="0"/>
          <w:szCs w:val="21"/>
          <w:lang w:val="en-US" w:eastAsia="zh-CN"/>
          <w14:textFill>
            <w14:solidFill>
              <w14:schemeClr w14:val="tx1"/>
            </w14:solidFill>
          </w14:textFill>
        </w:rPr>
        <w:t>3020708</w:t>
      </w:r>
    </w:p>
    <w:p w14:paraId="1E6975A5">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Calibri"/>
          <w:color w:val="000000" w:themeColor="text1"/>
          <w:kern w:val="0"/>
          <w:szCs w:val="21"/>
          <w14:textFill>
            <w14:solidFill>
              <w14:schemeClr w14:val="tx1"/>
            </w14:solidFill>
          </w14:textFill>
        </w:rPr>
        <w:t>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Calibri"/>
          <w:color w:val="000000" w:themeColor="text1"/>
          <w:kern w:val="0"/>
          <w:szCs w:val="21"/>
          <w14:textFill>
            <w14:solidFill>
              <w14:schemeClr w14:val="tx1"/>
            </w14:solidFill>
          </w14:textFill>
        </w:rPr>
        <w:t> </w:t>
      </w:r>
    </w:p>
    <w:p w14:paraId="7C536E02">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2.采购代理机构信息 </w:t>
      </w:r>
    </w:p>
    <w:p w14:paraId="7666C7C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4D33950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rPr>
        <w:t>浙江省</w:t>
      </w:r>
      <w:r>
        <w:rPr>
          <w:rFonts w:hint="eastAsia" w:asciiTheme="minorEastAsia" w:hAnsiTheme="minorEastAsia" w:eastAsiaTheme="minorEastAsia"/>
          <w:color w:val="auto"/>
        </w:rPr>
        <w:t>舟山市定沈路620号工行金跃大厦23楼</w:t>
      </w:r>
    </w:p>
    <w:p w14:paraId="60372B4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7FA75FD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278E553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208F994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D186145">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4B24A2EC">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p w14:paraId="273739F3">
      <w:pPr>
        <w:widowControl/>
        <w:adjustRightInd w:val="0"/>
        <w:snapToGrid w:val="0"/>
        <w:spacing w:line="360" w:lineRule="exact"/>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3.同级政府采购监督管理部门 </w:t>
      </w:r>
      <w:r>
        <w:rPr>
          <w:rFonts w:hint="eastAsia" w:ascii="宋体" w:hAnsi="宋体" w:cs="Calibri"/>
          <w:color w:val="000000" w:themeColor="text1"/>
          <w:kern w:val="0"/>
          <w:szCs w:val="21"/>
          <w14:textFill>
            <w14:solidFill>
              <w14:schemeClr w14:val="tx1"/>
            </w14:solidFill>
          </w14:textFill>
        </w:rPr>
        <w:t> </w:t>
      </w:r>
    </w:p>
    <w:p w14:paraId="05F91F0B">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名称：舟山市普陀区财政局</w:t>
      </w:r>
    </w:p>
    <w:p w14:paraId="2E5DD762">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地址：舟山市普陀区东港街道昌正街169号东港商务中心3号楼</w:t>
      </w:r>
    </w:p>
    <w:p w14:paraId="73A3086E">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p w14:paraId="11EFD75D">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联系人：徐女士</w:t>
      </w:r>
    </w:p>
    <w:p w14:paraId="26139089">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监督投诉电话：0580-3062881</w:t>
      </w:r>
    </w:p>
    <w:p w14:paraId="12F205FA">
      <w:pPr>
        <w:adjustRightInd w:val="0"/>
        <w:snapToGrid w:val="0"/>
        <w:spacing w:line="360" w:lineRule="exact"/>
        <w:ind w:firstLine="422" w:firstLineChars="200"/>
        <w:rPr>
          <w:rFonts w:ascii="宋体" w:hAnsi="宋体" w:cs="宋体"/>
          <w:b/>
          <w:color w:val="000000" w:themeColor="text1"/>
          <w:kern w:val="0"/>
          <w:szCs w:val="21"/>
          <w14:textFill>
            <w14:solidFill>
              <w14:schemeClr w14:val="tx1"/>
            </w14:solidFill>
          </w14:textFill>
        </w:rPr>
      </w:pPr>
    </w:p>
    <w:p w14:paraId="52731E08">
      <w:pPr>
        <w:widowControl/>
        <w:adjustRightInd w:val="0"/>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401AD78E">
      <w:pPr>
        <w:widowControl/>
        <w:adjustRightInd w:val="0"/>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CA问题联系电话（人工）：汇信CA 400-888-4636；天谷CA 400-087-8198。</w:t>
      </w:r>
    </w:p>
    <w:p w14:paraId="72544609">
      <w:pPr>
        <w:pStyle w:val="15"/>
        <w:ind w:firstLine="602"/>
        <w:rPr>
          <w:rFonts w:hAnsi="宋体" w:eastAsia="宋体"/>
          <w:color w:val="000000" w:themeColor="text1"/>
          <w14:textFill>
            <w14:solidFill>
              <w14:schemeClr w14:val="tx1"/>
            </w14:solidFill>
          </w14:textFill>
        </w:rPr>
      </w:pPr>
    </w:p>
    <w:p w14:paraId="4B430A4C">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0"/>
        <w:rPr>
          <w:rFonts w:hint="eastAsia"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br w:type="page"/>
      </w:r>
    </w:p>
    <w:p w14:paraId="1224968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jc w:val="center"/>
        <w:textAlignment w:val="auto"/>
        <w:outlineLvl w:val="0"/>
        <w:rPr>
          <w:rFonts w:hint="eastAsia" w:ascii="宋体" w:hAnsi="宋体" w:cs="宋体"/>
          <w:b/>
          <w:color w:val="000000" w:themeColor="text1"/>
          <w:sz w:val="30"/>
          <w:lang w:val="en-US" w:eastAsia="zh-CN"/>
          <w14:textFill>
            <w14:solidFill>
              <w14:schemeClr w14:val="tx1"/>
            </w14:solidFill>
          </w14:textFill>
        </w:rPr>
      </w:pPr>
      <w:r>
        <w:rPr>
          <w:rFonts w:hint="eastAsia" w:ascii="宋体" w:hAnsi="宋体" w:cs="宋体"/>
          <w:b/>
          <w:color w:val="000000" w:themeColor="text1"/>
          <w:sz w:val="30"/>
          <w:lang w:val="en-US" w:eastAsia="zh-CN"/>
          <w14:textFill>
            <w14:solidFill>
              <w14:schemeClr w14:val="tx1"/>
            </w14:solidFill>
          </w14:textFill>
        </w:rPr>
        <w:t>采购需求</w:t>
      </w:r>
    </w:p>
    <w:p w14:paraId="66F07327">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2" w:firstLineChars="200"/>
        <w:jc w:val="both"/>
        <w:textAlignment w:val="auto"/>
        <w:outlineLvl w:val="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一、项目背景</w:t>
      </w:r>
    </w:p>
    <w:p w14:paraId="76DFACEB">
      <w:pPr>
        <w:pStyle w:val="11"/>
        <w:keepNext w:val="0"/>
        <w:keepLines w:val="0"/>
        <w:pageBreakBefore w:val="0"/>
        <w:widowControl w:val="0"/>
        <w:tabs>
          <w:tab w:val="left" w:pos="208"/>
        </w:tabs>
        <w:kinsoku/>
        <w:wordWrap w:val="0"/>
        <w:overflowPunct/>
        <w:topLinePunct/>
        <w:autoSpaceDE/>
        <w:autoSpaceDN/>
        <w:bidi w:val="0"/>
        <w:adjustRightInd/>
        <w:snapToGrid/>
        <w:spacing w:after="0" w:line="6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2023年</w:t>
      </w:r>
      <w:r>
        <w:rPr>
          <w:rFonts w:hint="eastAsia" w:ascii="宋体" w:hAnsi="宋体" w:eastAsia="宋体" w:cs="宋体"/>
          <w:color w:val="auto"/>
          <w:sz w:val="21"/>
          <w:szCs w:val="21"/>
          <w:lang w:val="en-US" w:eastAsia="zh-CN"/>
        </w:rPr>
        <w:t>12月</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普陀区被列为首批省级环境健康友好创新试点，全区</w:t>
      </w:r>
      <w:r>
        <w:rPr>
          <w:rFonts w:hint="eastAsia" w:ascii="宋体" w:hAnsi="宋体" w:eastAsia="宋体" w:cs="宋体"/>
          <w:color w:val="auto"/>
          <w:sz w:val="21"/>
          <w:szCs w:val="21"/>
        </w:rPr>
        <w:t>环境健康管理工作进一步提质升级。</w:t>
      </w:r>
      <w:r>
        <w:rPr>
          <w:rFonts w:hint="eastAsia" w:ascii="宋体" w:hAnsi="宋体" w:eastAsia="宋体" w:cs="宋体"/>
          <w:color w:val="auto"/>
          <w:sz w:val="21"/>
          <w:szCs w:val="21"/>
          <w:lang w:eastAsia="zh-CN"/>
        </w:rPr>
        <w:t>同时，省生态环境厅对环境健康管理工作进一步重视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去年全</w:t>
      </w:r>
      <w:r>
        <w:rPr>
          <w:rFonts w:hint="eastAsia" w:ascii="宋体" w:hAnsi="宋体" w:eastAsia="宋体" w:cs="宋体"/>
          <w:color w:val="auto"/>
          <w:sz w:val="21"/>
          <w:szCs w:val="21"/>
        </w:rPr>
        <w:t>省启动省域环境健康友好创新区建设，</w:t>
      </w:r>
      <w:r>
        <w:rPr>
          <w:rFonts w:hint="eastAsia" w:ascii="宋体" w:hAnsi="宋体" w:eastAsia="宋体" w:cs="宋体"/>
          <w:color w:val="auto"/>
          <w:sz w:val="21"/>
          <w:szCs w:val="21"/>
          <w:lang w:eastAsia="zh-CN"/>
        </w:rPr>
        <w:t>今年编制了</w:t>
      </w:r>
      <w:r>
        <w:rPr>
          <w:rFonts w:hint="eastAsia" w:ascii="宋体" w:hAnsi="宋体" w:eastAsia="宋体" w:cs="宋体"/>
          <w:color w:val="auto"/>
          <w:sz w:val="21"/>
          <w:szCs w:val="21"/>
        </w:rPr>
        <w:t>《浙江省环境健康友好创新区建设方案（征求意见稿）》</w:t>
      </w:r>
      <w:r>
        <w:rPr>
          <w:rFonts w:hint="eastAsia" w:ascii="宋体" w:hAnsi="宋体" w:eastAsia="宋体" w:cs="宋体"/>
          <w:color w:val="auto"/>
          <w:sz w:val="21"/>
          <w:szCs w:val="21"/>
          <w:lang w:eastAsia="zh-CN"/>
        </w:rPr>
        <w:t>。</w:t>
      </w:r>
    </w:p>
    <w:p w14:paraId="24148C6D">
      <w:pPr>
        <w:pStyle w:val="11"/>
        <w:keepNext w:val="0"/>
        <w:keepLines w:val="0"/>
        <w:pageBreakBefore w:val="0"/>
        <w:widowControl w:val="0"/>
        <w:tabs>
          <w:tab w:val="left" w:pos="208"/>
        </w:tabs>
        <w:kinsoku/>
        <w:wordWrap w:val="0"/>
        <w:overflowPunct/>
        <w:topLinePunct/>
        <w:autoSpaceDE/>
        <w:autoSpaceDN/>
        <w:bidi w:val="0"/>
        <w:adjustRightInd/>
        <w:snapToGrid/>
        <w:spacing w:after="0" w:line="600" w:lineRule="exact"/>
        <w:ind w:firstLine="420" w:firstLineChars="200"/>
        <w:jc w:val="left"/>
        <w:textAlignment w:val="auto"/>
        <w:outlineLvl w:val="0"/>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lang w:eastAsia="zh-CN"/>
        </w:rPr>
        <w:t>普陀</w:t>
      </w:r>
      <w:r>
        <w:rPr>
          <w:rFonts w:hint="eastAsia" w:ascii="宋体" w:hAnsi="宋体" w:eastAsia="宋体" w:cs="宋体"/>
          <w:color w:val="auto"/>
          <w:sz w:val="21"/>
          <w:szCs w:val="21"/>
        </w:rPr>
        <w:t>作为</w:t>
      </w:r>
      <w:r>
        <w:rPr>
          <w:rFonts w:hint="eastAsia" w:ascii="宋体" w:hAnsi="宋体" w:eastAsia="宋体" w:cs="宋体"/>
          <w:color w:val="auto"/>
          <w:sz w:val="21"/>
          <w:szCs w:val="21"/>
          <w:lang w:eastAsia="zh-CN"/>
        </w:rPr>
        <w:t>全</w:t>
      </w:r>
      <w:r>
        <w:rPr>
          <w:rFonts w:hint="eastAsia" w:ascii="宋体" w:hAnsi="宋体" w:eastAsia="宋体" w:cs="宋体"/>
          <w:color w:val="auto"/>
          <w:sz w:val="21"/>
          <w:szCs w:val="21"/>
        </w:rPr>
        <w:t>省环境健康管理的先行实践地区，</w:t>
      </w:r>
      <w:r>
        <w:rPr>
          <w:rFonts w:hint="eastAsia" w:ascii="宋体" w:hAnsi="宋体" w:eastAsia="宋体" w:cs="宋体"/>
          <w:color w:val="auto"/>
          <w:sz w:val="21"/>
          <w:szCs w:val="21"/>
          <w:lang w:eastAsia="zh-CN"/>
        </w:rPr>
        <w:t>已制定了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舟山市普陀区省级环境健康友好创新试点工作方案（</w:t>
      </w:r>
      <w:r>
        <w:rPr>
          <w:rFonts w:hint="eastAsia" w:ascii="宋体" w:hAnsi="宋体" w:eastAsia="宋体" w:cs="宋体"/>
          <w:color w:val="auto"/>
          <w:sz w:val="21"/>
          <w:szCs w:val="21"/>
          <w:lang w:val="en-US" w:eastAsia="zh-CN"/>
        </w:rPr>
        <w:t>2024-2026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将以打造</w:t>
      </w:r>
      <w:r>
        <w:rPr>
          <w:rFonts w:hint="eastAsia" w:ascii="宋体" w:hAnsi="宋体" w:eastAsia="宋体" w:cs="宋体"/>
          <w:color w:val="auto"/>
          <w:sz w:val="21"/>
          <w:szCs w:val="21"/>
        </w:rPr>
        <w:t>典型海洋城市环境健康</w:t>
      </w:r>
      <w:r>
        <w:rPr>
          <w:rFonts w:hint="eastAsia" w:ascii="宋体" w:hAnsi="宋体" w:eastAsia="宋体" w:cs="宋体"/>
          <w:color w:val="auto"/>
          <w:sz w:val="21"/>
          <w:szCs w:val="21"/>
          <w:lang w:eastAsia="zh-CN"/>
        </w:rPr>
        <w:t>体系为目标，结合我区海洋特色行业，</w:t>
      </w:r>
      <w:r>
        <w:rPr>
          <w:rFonts w:hint="eastAsia" w:ascii="宋体" w:hAnsi="宋体" w:eastAsia="宋体" w:cs="宋体"/>
          <w:color w:val="auto"/>
          <w:sz w:val="21"/>
          <w:szCs w:val="21"/>
        </w:rPr>
        <w:t>在环境健康友好制度建设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产</w:t>
      </w:r>
      <w:r>
        <w:rPr>
          <w:rFonts w:hint="eastAsia" w:ascii="宋体" w:hAnsi="宋体" w:eastAsia="宋体" w:cs="宋体"/>
          <w:color w:val="auto"/>
          <w:sz w:val="21"/>
          <w:szCs w:val="21"/>
          <w:lang w:eastAsia="zh-CN"/>
        </w:rPr>
        <w:t>品标准制定、品牌培育</w:t>
      </w:r>
      <w:r>
        <w:rPr>
          <w:rFonts w:hint="eastAsia" w:ascii="宋体" w:hAnsi="宋体" w:eastAsia="宋体" w:cs="宋体"/>
          <w:color w:val="auto"/>
          <w:sz w:val="21"/>
          <w:szCs w:val="21"/>
        </w:rPr>
        <w:t>等方面做好先行示范工作，及时总结评估</w:t>
      </w:r>
      <w:r>
        <w:rPr>
          <w:rFonts w:hint="eastAsia" w:ascii="宋体" w:hAnsi="宋体" w:eastAsia="宋体" w:cs="宋体"/>
          <w:color w:val="auto"/>
          <w:sz w:val="21"/>
          <w:szCs w:val="21"/>
          <w:lang w:eastAsia="zh-CN"/>
        </w:rPr>
        <w:t>试点工作</w:t>
      </w:r>
      <w:r>
        <w:rPr>
          <w:rFonts w:hint="eastAsia" w:ascii="宋体" w:hAnsi="宋体" w:eastAsia="宋体" w:cs="宋体"/>
          <w:color w:val="auto"/>
          <w:sz w:val="21"/>
          <w:szCs w:val="21"/>
        </w:rPr>
        <w:t>进展，形成典型案例，</w:t>
      </w:r>
      <w:r>
        <w:rPr>
          <w:rFonts w:hint="eastAsia" w:ascii="宋体" w:hAnsi="宋体" w:eastAsia="宋体" w:cs="宋体"/>
          <w:color w:val="auto"/>
          <w:sz w:val="21"/>
          <w:szCs w:val="21"/>
          <w:lang w:eastAsia="zh-CN"/>
        </w:rPr>
        <w:t>为全省乃至全</w:t>
      </w:r>
      <w:r>
        <w:rPr>
          <w:rFonts w:hint="eastAsia" w:ascii="宋体" w:hAnsi="宋体" w:eastAsia="宋体" w:cs="宋体"/>
          <w:color w:val="auto"/>
          <w:sz w:val="21"/>
          <w:szCs w:val="21"/>
        </w:rPr>
        <w:t>国海洋城市及入海口城市环境管理提供新思路</w:t>
      </w:r>
      <w:r>
        <w:rPr>
          <w:rFonts w:hint="eastAsia" w:ascii="宋体" w:hAnsi="宋体" w:eastAsia="宋体" w:cs="宋体"/>
          <w:color w:val="auto"/>
          <w:sz w:val="21"/>
          <w:szCs w:val="21"/>
          <w:lang w:eastAsia="zh-CN"/>
        </w:rPr>
        <w:t>、新样板。</w:t>
      </w:r>
    </w:p>
    <w:p w14:paraId="3B2E7D63">
      <w:pPr>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w:t>
      </w:r>
      <w:r>
        <w:rPr>
          <w:rFonts w:hint="eastAsia" w:ascii="宋体" w:hAnsi="宋体" w:eastAsia="宋体" w:cs="宋体"/>
          <w:b/>
          <w:bCs/>
          <w:sz w:val="21"/>
          <w:szCs w:val="21"/>
          <w:highlight w:val="none"/>
          <w:lang w:val="en-US" w:eastAsia="zh-CN"/>
        </w:rPr>
        <w:t>项目概况</w:t>
      </w:r>
      <w:r>
        <w:rPr>
          <w:rFonts w:hint="eastAsia" w:ascii="宋体" w:hAnsi="宋体" w:eastAsia="宋体" w:cs="宋体"/>
          <w:b/>
          <w:bCs/>
          <w:sz w:val="21"/>
          <w:szCs w:val="21"/>
        </w:rPr>
        <w:t>：</w:t>
      </w:r>
    </w:p>
    <w:p w14:paraId="7413F2F7">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ascii="宋体" w:hAnsi="宋体" w:eastAsia="宋体" w:cs="宋体"/>
          <w:b/>
          <w:bCs/>
          <w:color w:val="auto"/>
          <w:szCs w:val="21"/>
        </w:rPr>
      </w:pPr>
      <w:r>
        <w:rPr>
          <w:rFonts w:hint="eastAsia" w:ascii="宋体" w:hAnsi="宋体" w:eastAsia="宋体" w:cs="宋体"/>
          <w:szCs w:val="21"/>
          <w:lang w:eastAsia="zh-CN"/>
        </w:rPr>
        <w:t>本项目为普陀区环境健康友好创新试点建设项目。结合浙江省考核要求和本地实际发展需求，从环境健康风险筛评控、环境健康友好产品认证等完成普陀区环境健康友好创新试点建设项目。</w:t>
      </w:r>
    </w:p>
    <w:p w14:paraId="65009CD6">
      <w:pPr>
        <w:pStyle w:val="26"/>
        <w:numPr>
          <w:ilvl w:val="0"/>
          <w:numId w:val="3"/>
        </w:numPr>
        <w:spacing w:beforeAutospacing="0" w:afterAutospacing="0" w:line="500" w:lineRule="exact"/>
        <w:ind w:firstLine="422" w:firstLineChars="200"/>
        <w:jc w:val="left"/>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主要内容</w:t>
      </w:r>
    </w:p>
    <w:p w14:paraId="154CE9DC">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（一）环境健康工作顶层设计</w:t>
      </w:r>
    </w:p>
    <w:p w14:paraId="3255D10D">
      <w:pPr>
        <w:pStyle w:val="13"/>
        <w:spacing w:beforeAutospacing="0" w:afterAutospacing="0" w:line="500" w:lineRule="exact"/>
        <w:ind w:left="0" w:leftChars="0" w:firstLine="420" w:firstLineChars="200"/>
        <w:jc w:val="left"/>
        <w:outlineLvl w:val="0"/>
        <w:rPr>
          <w:rFonts w:hint="eastAsia" w:ascii="宋体" w:hAnsi="宋体" w:eastAsia="宋体" w:cs="宋体"/>
          <w:b/>
          <w:bCs/>
          <w:kern w:val="2"/>
          <w:sz w:val="21"/>
          <w:szCs w:val="21"/>
          <w:highlight w:val="none"/>
          <w:lang w:val="en-US" w:eastAsia="zh-CN" w:bidi="ar-SA"/>
        </w:rPr>
      </w:pPr>
      <w:r>
        <w:rPr>
          <w:rFonts w:hint="eastAsia" w:ascii="宋体" w:hAnsi="宋体" w:eastAsia="宋体" w:cs="宋体"/>
          <w:sz w:val="21"/>
          <w:szCs w:val="21"/>
        </w:rPr>
        <w:t>1.强化环境健康对生态环境管理的引领作用。探索指导将环境健康管理要求纳入美丽普陀建设实施体系，结合美丽城市、美丽乡村等建设工作，深入推动地方实践。</w:t>
      </w:r>
      <w:r>
        <w:rPr>
          <w:rFonts w:hint="eastAsia" w:ascii="宋体" w:hAnsi="宋体" w:eastAsia="宋体" w:cs="宋体"/>
          <w:sz w:val="21"/>
          <w:szCs w:val="21"/>
          <w:lang w:eastAsia="zh-CN"/>
        </w:rPr>
        <w:t>积极探索</w:t>
      </w:r>
      <w:r>
        <w:rPr>
          <w:rFonts w:hint="eastAsia" w:ascii="宋体" w:hAnsi="宋体" w:eastAsia="宋体" w:cs="宋体"/>
          <w:sz w:val="21"/>
          <w:szCs w:val="21"/>
        </w:rPr>
        <w:t>将环境健康友好管理</w:t>
      </w:r>
      <w:r>
        <w:rPr>
          <w:rFonts w:hint="eastAsia" w:ascii="宋体" w:hAnsi="宋体" w:eastAsia="宋体" w:cs="宋体"/>
          <w:sz w:val="21"/>
          <w:szCs w:val="21"/>
          <w:highlight w:val="none"/>
        </w:rPr>
        <w:t>理念融入海洋城市产业体系、技术体系、服务体系，形成以人为本的海洋城市环境健康管理体系和发展模式。</w:t>
      </w:r>
    </w:p>
    <w:p w14:paraId="0547F59C">
      <w:pPr>
        <w:pStyle w:val="11"/>
        <w:tabs>
          <w:tab w:val="left" w:pos="208"/>
        </w:tabs>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开展</w:t>
      </w:r>
      <w:r>
        <w:rPr>
          <w:rFonts w:hint="eastAsia" w:ascii="宋体" w:hAnsi="宋体" w:eastAsia="宋体" w:cs="宋体"/>
          <w:b w:val="0"/>
          <w:bCs w:val="0"/>
          <w:sz w:val="21"/>
          <w:szCs w:val="21"/>
          <w:highlight w:val="none"/>
        </w:rPr>
        <w:t>基于环境健康风险的</w:t>
      </w:r>
      <w:r>
        <w:rPr>
          <w:rFonts w:hint="eastAsia" w:ascii="宋体" w:hAnsi="宋体" w:eastAsia="宋体" w:cs="宋体"/>
          <w:b w:val="0"/>
          <w:bCs w:val="0"/>
          <w:sz w:val="21"/>
          <w:szCs w:val="21"/>
          <w:highlight w:val="none"/>
          <w:lang w:eastAsia="zh-CN"/>
        </w:rPr>
        <w:t>重点区域环境管理</w:t>
      </w:r>
      <w:r>
        <w:rPr>
          <w:rFonts w:hint="eastAsia" w:ascii="宋体" w:hAnsi="宋体" w:eastAsia="宋体" w:cs="宋体"/>
          <w:b w:val="0"/>
          <w:bCs w:val="0"/>
          <w:sz w:val="21"/>
          <w:szCs w:val="21"/>
          <w:highlight w:val="none"/>
        </w:rPr>
        <w:t>制度研究</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为应对</w:t>
      </w:r>
      <w:r>
        <w:rPr>
          <w:rFonts w:hint="eastAsia" w:ascii="宋体" w:hAnsi="宋体" w:eastAsia="宋体" w:cs="宋体"/>
          <w:sz w:val="21"/>
          <w:szCs w:val="21"/>
          <w:highlight w:val="none"/>
          <w:lang w:eastAsia="zh-CN"/>
        </w:rPr>
        <w:t>区域</w:t>
      </w:r>
      <w:r>
        <w:rPr>
          <w:rFonts w:hint="eastAsia" w:ascii="宋体" w:hAnsi="宋体" w:eastAsia="宋体" w:cs="宋体"/>
          <w:sz w:val="21"/>
          <w:szCs w:val="21"/>
          <w:highlight w:val="none"/>
        </w:rPr>
        <w:t>环境质量承压、人群健康保护和园区管理等实际问题，以</w:t>
      </w:r>
      <w:r>
        <w:rPr>
          <w:rFonts w:hint="eastAsia" w:ascii="宋体" w:hAnsi="宋体" w:eastAsia="宋体" w:cs="宋体"/>
          <w:sz w:val="21"/>
          <w:szCs w:val="21"/>
          <w:highlight w:val="none"/>
          <w:lang w:eastAsia="zh-CN"/>
        </w:rPr>
        <w:t>工业园区等重点区域</w:t>
      </w:r>
      <w:r>
        <w:rPr>
          <w:rFonts w:hint="eastAsia" w:ascii="宋体" w:hAnsi="宋体" w:eastAsia="宋体" w:cs="宋体"/>
          <w:sz w:val="21"/>
          <w:szCs w:val="21"/>
          <w:highlight w:val="none"/>
        </w:rPr>
        <w:t>为例，综合环境质量、污染源排放情况、环境容量、环境健康风险、人群分布等因素，</w:t>
      </w:r>
      <w:r>
        <w:rPr>
          <w:rFonts w:hint="eastAsia" w:ascii="宋体" w:hAnsi="宋体" w:eastAsia="宋体" w:cs="宋体"/>
          <w:sz w:val="21"/>
          <w:szCs w:val="21"/>
          <w:highlight w:val="none"/>
          <w:lang w:eastAsia="zh-CN"/>
        </w:rPr>
        <w:t>探索</w:t>
      </w:r>
      <w:r>
        <w:rPr>
          <w:rFonts w:hint="eastAsia" w:ascii="宋体" w:hAnsi="宋体" w:eastAsia="宋体" w:cs="宋体"/>
          <w:sz w:val="21"/>
          <w:szCs w:val="21"/>
          <w:highlight w:val="none"/>
        </w:rPr>
        <w:t>以环境健康风险为管控目标的</w:t>
      </w:r>
      <w:r>
        <w:rPr>
          <w:rFonts w:hint="eastAsia" w:ascii="宋体" w:hAnsi="宋体" w:eastAsia="宋体" w:cs="宋体"/>
          <w:b w:val="0"/>
          <w:bCs w:val="0"/>
          <w:sz w:val="21"/>
          <w:szCs w:val="21"/>
          <w:highlight w:val="none"/>
          <w:lang w:eastAsia="zh-CN"/>
        </w:rPr>
        <w:t>重点区域环境管理</w:t>
      </w:r>
      <w:r>
        <w:rPr>
          <w:rFonts w:hint="eastAsia" w:ascii="宋体" w:hAnsi="宋体" w:eastAsia="宋体" w:cs="宋体"/>
          <w:b w:val="0"/>
          <w:bCs w:val="0"/>
          <w:sz w:val="21"/>
          <w:szCs w:val="21"/>
          <w:highlight w:val="none"/>
        </w:rPr>
        <w:t>制度</w:t>
      </w:r>
      <w:r>
        <w:rPr>
          <w:rFonts w:hint="eastAsia" w:ascii="宋体" w:hAnsi="宋体" w:eastAsia="宋体" w:cs="宋体"/>
          <w:sz w:val="21"/>
          <w:szCs w:val="21"/>
          <w:highlight w:val="none"/>
        </w:rPr>
        <w:t>。</w:t>
      </w:r>
    </w:p>
    <w:p w14:paraId="5B3FE21E">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（二）环境健康风险源筛评控</w:t>
      </w:r>
    </w:p>
    <w:p w14:paraId="098B84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开展区域环境健康风险源调查。基于普陀区行业企业发展特点，结合现有研究和管理成果，充分考虑环境健康风险特征，建立环境健康风险源筛选方法，对全区规模以上行业企业开展筛查评估，识别普陀区环境健康风险源。</w:t>
      </w:r>
    </w:p>
    <w:p w14:paraId="5D846C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建立区域环境健康风险源清单。结合普陀实际，聚焦重点区域、重点行业及生产工艺、重点污染物，摸清污染物迁移转化及人群暴露情况，建立区域环境健康风险信息库，明确本地优先控制的高环境健康风险污染物和风险源清单。</w:t>
      </w:r>
    </w:p>
    <w:p w14:paraId="23226862">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绘制环境健康风险源分布地图</w:t>
      </w:r>
      <w:r>
        <w:rPr>
          <w:rFonts w:hint="eastAsia" w:ascii="宋体" w:hAnsi="宋体" w:eastAsia="宋体" w:cs="宋体"/>
          <w:sz w:val="21"/>
          <w:szCs w:val="21"/>
        </w:rPr>
        <w:t>。结合普陀实际，</w:t>
      </w:r>
      <w:r>
        <w:rPr>
          <w:rFonts w:hint="eastAsia" w:ascii="宋体" w:hAnsi="宋体" w:eastAsia="宋体" w:cs="宋体"/>
          <w:sz w:val="21"/>
          <w:szCs w:val="21"/>
          <w:lang w:val="en-US" w:eastAsia="zh-CN"/>
        </w:rPr>
        <w:t>衔接普陀区环境管理相关成果，借助相关信息技术方法或手段，</w:t>
      </w:r>
      <w:r>
        <w:rPr>
          <w:rFonts w:hint="eastAsia" w:ascii="宋体" w:hAnsi="宋体" w:eastAsia="宋体" w:cs="宋体"/>
          <w:sz w:val="21"/>
          <w:szCs w:val="21"/>
        </w:rPr>
        <w:t>绘制</w:t>
      </w:r>
      <w:r>
        <w:rPr>
          <w:rFonts w:hint="eastAsia" w:ascii="宋体" w:hAnsi="宋体" w:eastAsia="宋体" w:cs="宋体"/>
          <w:sz w:val="21"/>
          <w:szCs w:val="21"/>
          <w:lang w:val="en-US" w:eastAsia="zh-CN"/>
        </w:rPr>
        <w:t>普陀区环境健康</w:t>
      </w:r>
      <w:r>
        <w:rPr>
          <w:rFonts w:hint="eastAsia" w:ascii="宋体" w:hAnsi="宋体" w:eastAsia="宋体" w:cs="宋体"/>
          <w:sz w:val="21"/>
          <w:szCs w:val="21"/>
        </w:rPr>
        <w:t>风险</w:t>
      </w:r>
      <w:r>
        <w:rPr>
          <w:rFonts w:hint="eastAsia" w:ascii="宋体" w:hAnsi="宋体" w:eastAsia="宋体" w:cs="宋体"/>
          <w:sz w:val="21"/>
          <w:szCs w:val="21"/>
          <w:lang w:val="en-US" w:eastAsia="zh-CN"/>
        </w:rPr>
        <w:t>源</w:t>
      </w:r>
      <w:r>
        <w:rPr>
          <w:rFonts w:hint="eastAsia" w:ascii="宋体" w:hAnsi="宋体" w:eastAsia="宋体" w:cs="宋体"/>
          <w:sz w:val="21"/>
          <w:szCs w:val="21"/>
        </w:rPr>
        <w:t>分布地图</w:t>
      </w:r>
      <w:r>
        <w:rPr>
          <w:rFonts w:hint="eastAsia" w:ascii="宋体" w:hAnsi="宋体" w:eastAsia="宋体" w:cs="宋体"/>
          <w:sz w:val="21"/>
          <w:szCs w:val="21"/>
          <w:lang w:eastAsia="zh-CN"/>
        </w:rPr>
        <w:t>。</w:t>
      </w:r>
    </w:p>
    <w:p w14:paraId="15004F3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推动环境健康风险分区分级管控</w:t>
      </w:r>
      <w:r>
        <w:rPr>
          <w:rFonts w:hint="eastAsia" w:ascii="宋体" w:hAnsi="宋体" w:eastAsia="宋体" w:cs="宋体"/>
          <w:sz w:val="21"/>
          <w:szCs w:val="21"/>
          <w:lang w:eastAsia="zh-CN"/>
        </w:rPr>
        <w:t>。</w:t>
      </w:r>
      <w:r>
        <w:rPr>
          <w:rFonts w:hint="eastAsia" w:ascii="宋体" w:hAnsi="宋体" w:eastAsia="宋体" w:cs="宋体"/>
          <w:sz w:val="21"/>
          <w:szCs w:val="21"/>
        </w:rPr>
        <w:t>构建区域环境健康风险分区分级原则和方法，针对重点区域、重点行业和重点企业，研究差异化生态环境管控策略，并从组织、制度、技术、监管等层面提出落实举措，为解决地区突出生态环境问题提供支撑。</w:t>
      </w:r>
    </w:p>
    <w:p w14:paraId="0924EF15">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eastAsia="zh-CN"/>
        </w:rPr>
        <w:t>三</w:t>
      </w:r>
      <w:r>
        <w:rPr>
          <w:rFonts w:hint="eastAsia" w:ascii="宋体" w:hAnsi="宋体" w:eastAsia="宋体" w:cs="宋体"/>
          <w:b/>
          <w:sz w:val="21"/>
          <w:szCs w:val="21"/>
        </w:rPr>
        <w:t>）环境健康友好产业发展</w:t>
      </w:r>
    </w:p>
    <w:p w14:paraId="6ED2972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.建立环境健康友好产品评价体系。充分理解环境健康友好理念，考虑产品全生命周期，构建环境健康友好产品评价/认证指标体系或标准，为普陀区环境健康友好产品评价或认证提供技术方法指导。</w:t>
      </w:r>
    </w:p>
    <w:p w14:paraId="2AC3253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.推进普陀特色行业产品认证。结合普陀实际，遴选特色行业产品开展环境健康友好产品</w:t>
      </w:r>
      <w:r>
        <w:rPr>
          <w:rFonts w:hint="eastAsia" w:ascii="宋体" w:hAnsi="宋体" w:eastAsia="宋体" w:cs="宋体"/>
          <w:sz w:val="21"/>
          <w:szCs w:val="21"/>
          <w:lang w:eastAsia="zh-CN"/>
        </w:rPr>
        <w:t>权威</w:t>
      </w:r>
      <w:r>
        <w:rPr>
          <w:rFonts w:hint="eastAsia" w:ascii="宋体" w:hAnsi="宋体" w:eastAsia="宋体" w:cs="宋体"/>
          <w:sz w:val="21"/>
          <w:szCs w:val="21"/>
        </w:rPr>
        <w:t>认证，推介普陀环境友好生态产品，助力环境健康友好产品市场的升级引领，满足消费群体对产品的环境友好、食用美味、精神愉悦的全过程体验。</w:t>
      </w:r>
    </w:p>
    <w:p w14:paraId="2C2596ED">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hint="eastAsia" w:ascii="宋体" w:hAnsi="宋体" w:eastAsia="宋体" w:cs="宋体"/>
          <w:i w:val="0"/>
          <w:iCs w:val="0"/>
          <w:caps w:val="0"/>
          <w:color w:val="374151"/>
          <w:spacing w:val="0"/>
          <w:sz w:val="21"/>
          <w:szCs w:val="21"/>
          <w:shd w:val="clear" w:fill="FFFFFF"/>
        </w:rPr>
      </w:pPr>
      <w:r>
        <w:rPr>
          <w:rFonts w:hint="eastAsia" w:ascii="宋体" w:hAnsi="宋体" w:eastAsia="宋体" w:cs="宋体"/>
          <w:b w:val="0"/>
          <w:bCs w:val="0"/>
          <w:szCs w:val="21"/>
          <w:lang w:val="en-US" w:eastAsia="zh-CN"/>
        </w:rPr>
        <w:t>3.</w:t>
      </w:r>
      <w:r>
        <w:rPr>
          <w:rFonts w:hint="eastAsia" w:ascii="宋体" w:hAnsi="宋体" w:eastAsia="宋体" w:cs="宋体"/>
          <w:sz w:val="21"/>
          <w:szCs w:val="21"/>
          <w:lang w:eastAsia="zh-CN"/>
        </w:rPr>
        <w:t>加强产品</w:t>
      </w:r>
      <w:r>
        <w:rPr>
          <w:rFonts w:hint="eastAsia" w:ascii="宋体" w:hAnsi="宋体" w:eastAsia="宋体" w:cs="宋体"/>
          <w:sz w:val="21"/>
          <w:szCs w:val="21"/>
        </w:rPr>
        <w:t>示范</w:t>
      </w:r>
      <w:r>
        <w:rPr>
          <w:rFonts w:hint="eastAsia" w:ascii="宋体" w:hAnsi="宋体" w:eastAsia="宋体" w:cs="宋体"/>
          <w:sz w:val="21"/>
          <w:szCs w:val="21"/>
          <w:lang w:eastAsia="zh-CN"/>
        </w:rPr>
        <w:t>推广</w:t>
      </w:r>
      <w:r>
        <w:rPr>
          <w:rFonts w:hint="eastAsia" w:ascii="宋体" w:hAnsi="宋体" w:eastAsia="宋体" w:cs="宋体"/>
          <w:sz w:val="21"/>
          <w:szCs w:val="21"/>
        </w:rPr>
        <w:t>价值转化。</w:t>
      </w:r>
      <w:r>
        <w:rPr>
          <w:rFonts w:hint="eastAsia" w:ascii="宋体" w:hAnsi="宋体" w:eastAsia="宋体" w:cs="宋体"/>
          <w:i w:val="0"/>
          <w:iCs w:val="0"/>
          <w:caps w:val="0"/>
          <w:color w:val="374151"/>
          <w:spacing w:val="0"/>
          <w:sz w:val="21"/>
          <w:szCs w:val="21"/>
          <w:shd w:val="clear" w:fill="FFFFFF"/>
        </w:rPr>
        <w:t>构建统一的</w:t>
      </w:r>
      <w:r>
        <w:rPr>
          <w:rStyle w:val="33"/>
          <w:rFonts w:hint="eastAsia" w:ascii="宋体" w:hAnsi="宋体" w:eastAsia="宋体" w:cs="宋体"/>
          <w:b w:val="0"/>
          <w:bCs w:val="0"/>
          <w:i w:val="0"/>
          <w:iCs w:val="0"/>
          <w:caps w:val="0"/>
          <w:color w:val="374151"/>
          <w:spacing w:val="0"/>
          <w:sz w:val="21"/>
          <w:szCs w:val="21"/>
          <w:shd w:val="clear" w:fill="FFFFFF"/>
        </w:rPr>
        <w:t>环境健康</w:t>
      </w:r>
      <w:r>
        <w:rPr>
          <w:rFonts w:hint="eastAsia" w:ascii="宋体" w:hAnsi="宋体" w:eastAsia="宋体" w:cs="宋体"/>
          <w:b w:val="0"/>
          <w:bCs w:val="0"/>
          <w:i w:val="0"/>
          <w:iCs w:val="0"/>
          <w:caps w:val="0"/>
          <w:color w:val="374151"/>
          <w:spacing w:val="0"/>
          <w:sz w:val="21"/>
          <w:szCs w:val="21"/>
          <w:shd w:val="clear" w:fill="FFFFFF"/>
          <w:lang w:eastAsia="zh-CN"/>
        </w:rPr>
        <w:t>产品</w:t>
      </w:r>
      <w:r>
        <w:rPr>
          <w:rStyle w:val="33"/>
          <w:rFonts w:hint="eastAsia" w:ascii="宋体" w:hAnsi="宋体" w:eastAsia="宋体" w:cs="宋体"/>
          <w:b w:val="0"/>
          <w:bCs w:val="0"/>
          <w:i w:val="0"/>
          <w:iCs w:val="0"/>
          <w:caps w:val="0"/>
          <w:color w:val="374151"/>
          <w:spacing w:val="0"/>
          <w:sz w:val="21"/>
          <w:szCs w:val="21"/>
          <w:shd w:val="clear" w:fill="FFFFFF"/>
        </w:rPr>
        <w:t>标识</w:t>
      </w:r>
      <w:r>
        <w:rPr>
          <w:rFonts w:hint="eastAsia" w:ascii="宋体" w:hAnsi="宋体" w:eastAsia="宋体" w:cs="宋体"/>
          <w:i w:val="0"/>
          <w:iCs w:val="0"/>
          <w:caps w:val="0"/>
          <w:color w:val="374151"/>
          <w:spacing w:val="0"/>
          <w:sz w:val="21"/>
          <w:szCs w:val="21"/>
          <w:shd w:val="clear" w:fill="FFFFFF"/>
        </w:rPr>
        <w:t>，通过醒目的</w:t>
      </w:r>
      <w:r>
        <w:rPr>
          <w:rStyle w:val="33"/>
          <w:rFonts w:hint="eastAsia" w:ascii="宋体" w:hAnsi="宋体" w:eastAsia="宋体" w:cs="宋体"/>
          <w:b w:val="0"/>
          <w:bCs w:val="0"/>
          <w:i w:val="0"/>
          <w:iCs w:val="0"/>
          <w:caps w:val="0"/>
          <w:color w:val="374151"/>
          <w:spacing w:val="0"/>
          <w:sz w:val="21"/>
          <w:szCs w:val="21"/>
          <w:shd w:val="clear" w:fill="FFFFFF"/>
        </w:rPr>
        <w:t>可视化标识</w:t>
      </w:r>
      <w:r>
        <w:rPr>
          <w:rFonts w:hint="eastAsia" w:ascii="宋体" w:hAnsi="宋体" w:eastAsia="宋体" w:cs="宋体"/>
          <w:i w:val="0"/>
          <w:iCs w:val="0"/>
          <w:caps w:val="0"/>
          <w:color w:val="374151"/>
          <w:spacing w:val="0"/>
          <w:sz w:val="21"/>
          <w:szCs w:val="21"/>
          <w:shd w:val="clear" w:fill="FFFFFF"/>
        </w:rPr>
        <w:t>强化产品公信力。同步推广“</w:t>
      </w:r>
      <w:r>
        <w:rPr>
          <w:rStyle w:val="33"/>
          <w:rFonts w:hint="eastAsia" w:ascii="宋体" w:hAnsi="宋体" w:eastAsia="宋体" w:cs="宋体"/>
          <w:b w:val="0"/>
          <w:bCs w:val="0"/>
          <w:i w:val="0"/>
          <w:iCs w:val="0"/>
          <w:caps w:val="0"/>
          <w:color w:val="374151"/>
          <w:spacing w:val="0"/>
          <w:sz w:val="21"/>
          <w:szCs w:val="21"/>
          <w:shd w:val="clear" w:fill="FFFFFF"/>
        </w:rPr>
        <w:t xml:space="preserve">环境健康二维码 </w:t>
      </w:r>
      <w:r>
        <w:rPr>
          <w:rFonts w:hint="eastAsia" w:ascii="宋体" w:hAnsi="宋体" w:eastAsia="宋体" w:cs="宋体"/>
          <w:i w:val="0"/>
          <w:iCs w:val="0"/>
          <w:caps w:val="0"/>
          <w:color w:val="374151"/>
          <w:spacing w:val="0"/>
          <w:sz w:val="21"/>
          <w:szCs w:val="21"/>
          <w:shd w:val="clear" w:fill="FFFFFF"/>
        </w:rPr>
        <w:t>”数字溯源，实现“一物一码”信息透传。消费者扫码即可获取产品的</w:t>
      </w:r>
      <w:r>
        <w:rPr>
          <w:rStyle w:val="33"/>
          <w:rFonts w:hint="eastAsia" w:ascii="宋体" w:hAnsi="宋体" w:eastAsia="宋体" w:cs="宋体"/>
          <w:b w:val="0"/>
          <w:bCs w:val="0"/>
          <w:i w:val="0"/>
          <w:iCs w:val="0"/>
          <w:caps w:val="0"/>
          <w:color w:val="374151"/>
          <w:spacing w:val="0"/>
          <w:sz w:val="21"/>
          <w:szCs w:val="21"/>
          <w:shd w:val="clear" w:fill="FFFFFF"/>
        </w:rPr>
        <w:t xml:space="preserve">核心环境效益数据 </w:t>
      </w:r>
      <w:r>
        <w:rPr>
          <w:rFonts w:hint="eastAsia" w:ascii="宋体" w:hAnsi="宋体" w:eastAsia="宋体" w:cs="宋体"/>
          <w:i w:val="0"/>
          <w:iCs w:val="0"/>
          <w:caps w:val="0"/>
          <w:color w:val="374151"/>
          <w:spacing w:val="0"/>
          <w:sz w:val="21"/>
          <w:szCs w:val="21"/>
          <w:shd w:val="clear" w:fill="FFFFFF"/>
        </w:rPr>
        <w:t>、</w:t>
      </w:r>
      <w:r>
        <w:rPr>
          <w:rStyle w:val="33"/>
          <w:rFonts w:hint="eastAsia" w:ascii="宋体" w:hAnsi="宋体" w:eastAsia="宋体" w:cs="宋体"/>
          <w:b w:val="0"/>
          <w:bCs w:val="0"/>
          <w:i w:val="0"/>
          <w:iCs w:val="0"/>
          <w:caps w:val="0"/>
          <w:color w:val="374151"/>
          <w:spacing w:val="0"/>
          <w:sz w:val="21"/>
          <w:szCs w:val="21"/>
          <w:shd w:val="clear" w:fill="FFFFFF"/>
        </w:rPr>
        <w:t>健康安全认证报告</w:t>
      </w:r>
      <w:r>
        <w:rPr>
          <w:rFonts w:hint="eastAsia" w:ascii="宋体" w:hAnsi="宋体" w:eastAsia="宋体" w:cs="宋体"/>
          <w:b w:val="0"/>
          <w:bCs w:val="0"/>
          <w:i w:val="0"/>
          <w:iCs w:val="0"/>
          <w:caps w:val="0"/>
          <w:color w:val="374151"/>
          <w:spacing w:val="0"/>
          <w:sz w:val="21"/>
          <w:szCs w:val="21"/>
          <w:shd w:val="clear" w:fill="FFFFFF"/>
          <w:lang w:eastAsia="zh-CN"/>
        </w:rPr>
        <w:t>等数据，</w:t>
      </w:r>
      <w:r>
        <w:rPr>
          <w:rFonts w:hint="eastAsia" w:ascii="宋体" w:hAnsi="宋体" w:eastAsia="宋体" w:cs="宋体"/>
          <w:i w:val="0"/>
          <w:iCs w:val="0"/>
          <w:caps w:val="0"/>
          <w:color w:val="374151"/>
          <w:spacing w:val="0"/>
          <w:sz w:val="21"/>
          <w:szCs w:val="21"/>
          <w:shd w:val="clear" w:fill="FFFFFF"/>
        </w:rPr>
        <w:t>清晰传递绿色产品的环境健康价值和经济优势，增强消费信心和市场选择效率。</w:t>
      </w:r>
    </w:p>
    <w:p w14:paraId="68397A4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（四）环境健康工作提升</w:t>
      </w:r>
      <w:r>
        <w:rPr>
          <w:rFonts w:hint="eastAsia" w:ascii="宋体" w:hAnsi="宋体" w:eastAsia="宋体" w:cs="宋体"/>
          <w:b/>
          <w:sz w:val="21"/>
          <w:szCs w:val="21"/>
          <w:lang w:eastAsia="zh-CN"/>
        </w:rPr>
        <w:t>及</w:t>
      </w:r>
      <w:r>
        <w:rPr>
          <w:rFonts w:hint="eastAsia" w:ascii="宋体" w:hAnsi="宋体" w:eastAsia="宋体" w:cs="宋体"/>
          <w:b/>
          <w:sz w:val="21"/>
          <w:szCs w:val="21"/>
        </w:rPr>
        <w:t>交流</w:t>
      </w:r>
    </w:p>
    <w:p w14:paraId="3734D5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提升区域居民环境健康素养。推动区域居民环境健康素养调查和提升工作开展，制定居民环境健康素养提升目标，指导将居民环境健康素养提升工作纳入生态环境宣教体系，编制素养提升方案和相关总结报告，普及环境健康基本理念、基本知识、基本行为和技能，引导公众支持参与生态环境保护，倡导绿色健康的生活方式。</w:t>
      </w:r>
    </w:p>
    <w:p w14:paraId="12D7EE66">
      <w:pPr>
        <w:spacing w:line="360" w:lineRule="auto"/>
        <w:ind w:firstLine="420" w:firstLineChars="200"/>
        <w:rPr>
          <w:rFonts w:hint="eastAsia" w:ascii="宋体" w:hAnsi="宋体" w:eastAsia="宋体" w:cs="宋体"/>
          <w:sz w:val="21"/>
          <w:szCs w:val="21"/>
        </w:rPr>
      </w:pPr>
      <w:bookmarkStart w:id="4" w:name="OLE_LINK12"/>
      <w:bookmarkStart w:id="5" w:name="OLE_LINK13"/>
      <w:r>
        <w:rPr>
          <w:rFonts w:hint="eastAsia" w:ascii="宋体" w:hAnsi="宋体" w:eastAsia="宋体" w:cs="宋体"/>
          <w:sz w:val="21"/>
          <w:szCs w:val="21"/>
          <w:lang w:val="en-US" w:eastAsia="zh-CN"/>
        </w:rPr>
        <w:t>2</w:t>
      </w:r>
      <w:r>
        <w:rPr>
          <w:rFonts w:hint="eastAsia" w:ascii="宋体" w:hAnsi="宋体" w:eastAsia="宋体" w:cs="宋体"/>
          <w:sz w:val="21"/>
          <w:szCs w:val="21"/>
        </w:rPr>
        <w:t>.开展环境健康工作交流活动。系统梳理研究试点建设成果，聚焦试点建设过程中具有创新性、可推广性、可复制性的工作经验和作法，总结凝练舟山市普陀区试点典型经验案例，开展宣传、交流活动，提升地区环境健康工作影响力。</w:t>
      </w:r>
    </w:p>
    <w:bookmarkEnd w:id="4"/>
    <w:bookmarkEnd w:id="5"/>
    <w:p w14:paraId="75FF3916">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0"/>
        <w:rPr>
          <w:rFonts w:hint="eastAsia" w:ascii="宋体" w:hAnsi="宋体" w:eastAsia="宋体" w:cs="宋体"/>
          <w:i w:val="0"/>
          <w:iCs w:val="0"/>
          <w:caps w:val="0"/>
          <w:color w:val="374151"/>
          <w:spacing w:val="0"/>
          <w:sz w:val="21"/>
          <w:szCs w:val="21"/>
          <w:shd w:val="clear" w:fill="FFFFFF"/>
          <w:lang w:eastAsia="zh-CN"/>
        </w:rPr>
      </w:pPr>
    </w:p>
    <w:p w14:paraId="03E09D9C">
      <w:pPr>
        <w:pStyle w:val="2"/>
        <w:numPr>
          <w:ilvl w:val="0"/>
          <w:numId w:val="0"/>
        </w:numPr>
        <w:ind w:firstLineChars="200"/>
        <w:rPr>
          <w:rFonts w:hint="eastAsia" w:ascii="宋体" w:hAnsi="宋体" w:eastAsia="宋体" w:cs="宋体"/>
          <w:b w:val="0"/>
          <w:bCs w:val="0"/>
          <w:szCs w:val="21"/>
          <w:lang w:val="en-US" w:eastAsia="zh-CN"/>
        </w:rPr>
      </w:pPr>
      <w:r>
        <w:rPr>
          <w:rFonts w:hint="eastAsia" w:ascii="宋体" w:hAnsi="宋体" w:eastAsia="宋体" w:cs="宋体"/>
          <w:i w:val="0"/>
          <w:iCs w:val="0"/>
          <w:caps w:val="0"/>
          <w:color w:val="374151"/>
          <w:spacing w:val="0"/>
          <w:sz w:val="21"/>
          <w:szCs w:val="21"/>
          <w:shd w:val="clear" w:fill="FFFFFF"/>
          <w:lang w:val="en-US" w:eastAsia="zh-CN"/>
        </w:rPr>
        <w:t>3</w:t>
      </w:r>
      <w:r>
        <w:rPr>
          <w:rFonts w:hint="eastAsia" w:ascii="宋体" w:hAnsi="宋体" w:eastAsia="宋体" w:cs="宋体"/>
          <w:b w:val="0"/>
          <w:bCs w:val="0"/>
          <w:szCs w:val="21"/>
          <w:lang w:val="en-US" w:eastAsia="zh-CN"/>
        </w:rPr>
        <w:t>.加强环境健康友好体验地建设指导。引入专家作为技术指导顾问，为体验地建设提供坚实的技术支撑与智力保障，显著提升其专业性、公信力与示范价值。</w:t>
      </w:r>
    </w:p>
    <w:p w14:paraId="4FDA263F">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（五）开展国家环境健康管理试点申报。</w:t>
      </w:r>
    </w:p>
    <w:p w14:paraId="7EA4FEEA">
      <w:pPr>
        <w:keepNext w:val="0"/>
        <w:keepLines w:val="0"/>
        <w:pageBreakBefore w:val="0"/>
        <w:widowControl w:val="0"/>
        <w:kinsoku/>
        <w:wordWrap/>
        <w:overflowPunct/>
        <w:topLinePunct w:val="0"/>
        <w:autoSpaceDE/>
        <w:autoSpaceDN/>
        <w:bidi w:val="0"/>
        <w:adjustRightInd/>
        <w:snapToGrid/>
        <w:spacing w:line="620" w:lineRule="exact"/>
        <w:ind w:firstLine="420"/>
        <w:textAlignment w:val="auto"/>
        <w:outlineLvl w:val="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按照生态环境部和浙江省生态环境主管部门要求推进国家环境健康管理试点申报工作，根据国家环境健康管理试点工作申报指南工作，对试点地区开展调研和评估，系统梳理申报地区试点申报基础，结合本地实际定性或定量提出试点目标，明确试点任务及组织保障等相关内容，完成国家环境健康管理试点申报相关材料编制。若试点申报成功，还需提供后期建设指导、案例总结等技术服务。</w:t>
      </w:r>
    </w:p>
    <w:p w14:paraId="30472353">
      <w:pPr>
        <w:pStyle w:val="11"/>
        <w:keepNext w:val="0"/>
        <w:keepLines w:val="0"/>
        <w:pageBreakBefore w:val="0"/>
        <w:widowControl w:val="0"/>
        <w:numPr>
          <w:ilvl w:val="0"/>
          <w:numId w:val="3"/>
        </w:numPr>
        <w:tabs>
          <w:tab w:val="left" w:pos="208"/>
        </w:tabs>
        <w:kinsoku/>
        <w:wordWrap w:val="0"/>
        <w:overflowPunct/>
        <w:topLinePunct/>
        <w:autoSpaceDE/>
        <w:autoSpaceDN/>
        <w:bidi w:val="0"/>
        <w:adjustRightInd/>
        <w:snapToGrid/>
        <w:spacing w:after="0" w:line="60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项目绩效</w:t>
      </w:r>
    </w:p>
    <w:p w14:paraId="2F941639">
      <w:pPr>
        <w:pStyle w:val="11"/>
        <w:numPr>
          <w:ilvl w:val="0"/>
          <w:numId w:val="0"/>
        </w:numPr>
        <w:tabs>
          <w:tab w:val="left" w:pos="208"/>
        </w:tabs>
        <w:wordWrap w:val="0"/>
        <w:topLinePunct/>
        <w:spacing w:after="0" w:line="600" w:lineRule="exact"/>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（一）建设目标：</w:t>
      </w:r>
      <w:r>
        <w:rPr>
          <w:rFonts w:hint="eastAsia" w:ascii="宋体" w:hAnsi="宋体" w:eastAsia="宋体" w:cs="宋体"/>
          <w:sz w:val="21"/>
          <w:szCs w:val="21"/>
        </w:rPr>
        <w:t>落实国家</w:t>
      </w:r>
      <w:r>
        <w:rPr>
          <w:rFonts w:hint="eastAsia" w:ascii="宋体" w:hAnsi="宋体" w:eastAsia="宋体" w:cs="宋体"/>
          <w:sz w:val="21"/>
          <w:szCs w:val="21"/>
          <w:lang w:val="en-US" w:eastAsia="zh-CN"/>
        </w:rPr>
        <w:t>和浙江省</w:t>
      </w:r>
      <w:r>
        <w:rPr>
          <w:rFonts w:hint="eastAsia" w:ascii="宋体" w:hAnsi="宋体" w:eastAsia="宋体" w:cs="宋体"/>
          <w:sz w:val="21"/>
          <w:szCs w:val="21"/>
        </w:rPr>
        <w:t>关于环境健康管理的决策部署，发挥</w:t>
      </w:r>
      <w:r>
        <w:rPr>
          <w:rFonts w:hint="eastAsia" w:ascii="宋体" w:hAnsi="宋体" w:eastAsia="宋体" w:cs="宋体"/>
          <w:sz w:val="21"/>
          <w:szCs w:val="21"/>
          <w:lang w:val="en-US" w:eastAsia="zh-CN"/>
        </w:rPr>
        <w:t>省级环境健康友好试点</w:t>
      </w:r>
      <w:r>
        <w:rPr>
          <w:rFonts w:hint="eastAsia" w:ascii="宋体" w:hAnsi="宋体" w:eastAsia="宋体" w:cs="宋体"/>
          <w:sz w:val="21"/>
          <w:szCs w:val="21"/>
          <w:lang w:eastAsia="zh-CN"/>
        </w:rPr>
        <w:t>建设的</w:t>
      </w:r>
      <w:r>
        <w:rPr>
          <w:rFonts w:hint="eastAsia" w:ascii="宋体" w:hAnsi="宋体" w:eastAsia="宋体" w:cs="宋体"/>
          <w:sz w:val="21"/>
          <w:szCs w:val="21"/>
        </w:rPr>
        <w:t>示范引领作用</w:t>
      </w:r>
      <w:r>
        <w:rPr>
          <w:rFonts w:hint="eastAsia" w:ascii="宋体" w:hAnsi="宋体" w:eastAsia="宋体" w:cs="宋体"/>
          <w:sz w:val="21"/>
          <w:szCs w:val="21"/>
          <w:lang w:eastAsia="zh-CN"/>
        </w:rPr>
        <w:t>，</w:t>
      </w:r>
      <w:r>
        <w:rPr>
          <w:rFonts w:hint="eastAsia" w:ascii="宋体" w:hAnsi="宋体" w:eastAsia="宋体" w:cs="宋体"/>
          <w:sz w:val="21"/>
          <w:szCs w:val="21"/>
        </w:rPr>
        <w:t>建成以海洋城市环境健康风险识别、风险评估、风险管控和公众环境健康素养提升为核心的</w:t>
      </w:r>
      <w:r>
        <w:rPr>
          <w:rFonts w:hint="eastAsia" w:ascii="宋体" w:hAnsi="宋体" w:eastAsia="宋体" w:cs="宋体"/>
          <w:color w:val="auto"/>
          <w:sz w:val="21"/>
          <w:szCs w:val="21"/>
          <w:highlight w:val="none"/>
        </w:rPr>
        <w:t>环境健康管理体系，</w:t>
      </w:r>
      <w:r>
        <w:rPr>
          <w:rFonts w:hint="eastAsia" w:ascii="宋体" w:hAnsi="宋体" w:eastAsia="宋体" w:cs="宋体"/>
          <w:color w:val="auto"/>
          <w:sz w:val="21"/>
          <w:szCs w:val="21"/>
          <w:highlight w:val="none"/>
          <w:lang w:eastAsia="zh-CN"/>
        </w:rPr>
        <w:t>同时大力</w:t>
      </w:r>
      <w:r>
        <w:rPr>
          <w:rFonts w:hint="eastAsia" w:ascii="宋体" w:hAnsi="宋体" w:eastAsia="宋体" w:cs="宋体"/>
          <w:color w:val="auto"/>
          <w:sz w:val="21"/>
          <w:szCs w:val="21"/>
          <w:highlight w:val="none"/>
        </w:rPr>
        <w:t>培育环境健康友好产业，发挥环境健康管理的正向促进作用，最终形成“政府监管、产业发展、科技支撑、群众服务”四位一体融合发展的海洋城市环境健康管理模式，推动普陀区环境管理从“质量管理”向“风险管理”转变，提升区域</w:t>
      </w:r>
      <w:r>
        <w:rPr>
          <w:rFonts w:hint="eastAsia" w:ascii="宋体" w:hAnsi="宋体" w:eastAsia="宋体" w:cs="宋体"/>
          <w:sz w:val="21"/>
          <w:szCs w:val="21"/>
        </w:rPr>
        <w:t>环境</w:t>
      </w:r>
      <w:r>
        <w:rPr>
          <w:rFonts w:hint="eastAsia" w:ascii="宋体" w:hAnsi="宋体" w:eastAsia="宋体" w:cs="宋体"/>
          <w:sz w:val="21"/>
          <w:szCs w:val="21"/>
          <w:lang w:eastAsia="zh-CN"/>
        </w:rPr>
        <w:t>健康</w:t>
      </w:r>
      <w:r>
        <w:rPr>
          <w:rFonts w:hint="eastAsia" w:ascii="宋体" w:hAnsi="宋体" w:eastAsia="宋体" w:cs="宋体"/>
          <w:sz w:val="21"/>
          <w:szCs w:val="21"/>
        </w:rPr>
        <w:t>管理水平。</w:t>
      </w:r>
    </w:p>
    <w:p w14:paraId="34EB8FF2">
      <w:pPr>
        <w:pStyle w:val="11"/>
        <w:keepNext w:val="0"/>
        <w:keepLines w:val="0"/>
        <w:pageBreakBefore w:val="0"/>
        <w:widowControl w:val="0"/>
        <w:tabs>
          <w:tab w:val="left" w:pos="208"/>
        </w:tabs>
        <w:kinsoku/>
        <w:wordWrap w:val="0"/>
        <w:overflowPunct/>
        <w:topLinePunct/>
        <w:autoSpaceDE/>
        <w:autoSpaceDN/>
        <w:bidi w:val="0"/>
        <w:adjustRightInd/>
        <w:snapToGrid/>
        <w:spacing w:after="0" w:line="6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（二）成果产出：</w:t>
      </w:r>
    </w:p>
    <w:p w14:paraId="07B95ABB">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ascii="宋体" w:hAnsi="宋体" w:eastAsia="宋体" w:cs="宋体"/>
          <w:szCs w:val="21"/>
          <w:lang w:val="en-US" w:eastAsia="zh-CN"/>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szCs w:val="21"/>
          <w:lang w:val="en-US" w:eastAsia="zh-CN"/>
        </w:rPr>
        <w:t>（1）2025年11月底前，完成普陀区环境健康风险源清单；</w:t>
      </w:r>
    </w:p>
    <w:p w14:paraId="7CACA0C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（2）2025年11月底前，完成普陀区环境健康风险源分布地图；</w:t>
      </w:r>
    </w:p>
    <w:p w14:paraId="04B23D4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（3）2025年12月底前，完成普陀区环境健康风险管控策略研究报告；</w:t>
      </w:r>
    </w:p>
    <w:p w14:paraId="141C9A2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（4）2026年6月底前；建设环境健康友好产品认证/测评标准体系，并在相关平台展示发布；</w:t>
      </w:r>
    </w:p>
    <w:p w14:paraId="5118427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（5）2026年11月底前，选取1~2种产品，完成环境健康友好产品认证示范，开展宣传；</w:t>
      </w:r>
    </w:p>
    <w:p w14:paraId="783F173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（6）2026年11月底前，形成具有地区特色的环境健康友好创新试点建设典型案例，举办相关会议宣传，开展环境健康交流活动；</w:t>
      </w:r>
    </w:p>
    <w:p w14:paraId="05D4E68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（7）在服务期间每年年底完成年度成果总结相关报告；</w:t>
      </w:r>
    </w:p>
    <w:p w14:paraId="2CF5302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（8）根据省级主管部门提出的国家环境健康管理试点申报工作要求，提交国家环境健康管理试点申报工作方案及相关必要附件材料；</w:t>
      </w:r>
    </w:p>
    <w:p w14:paraId="78294DB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（9）若成功申报国家试点，需完成试点建设期内的技术服务，提供试点后期建设规划技术服务。</w:t>
      </w:r>
    </w:p>
    <w:p w14:paraId="1EBD2C5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30" w:firstLineChars="3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以上成果最终提交时间以省级主管部门要求或采购方工作需求为准。</w:t>
      </w:r>
    </w:p>
    <w:p w14:paraId="580F605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32" w:firstLineChars="300"/>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四、建设经费预算</w:t>
      </w:r>
    </w:p>
    <w:p w14:paraId="3EBB333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本项目经费预算共计350万元。其中，省级环境健康友好创新试点建设</w:t>
      </w:r>
      <w:r>
        <w:rPr>
          <w:rFonts w:hint="eastAsia" w:ascii="宋体" w:hAnsi="宋体" w:eastAsia="宋体" w:cs="宋体"/>
          <w:color w:val="auto"/>
          <w:szCs w:val="21"/>
          <w:lang w:eastAsia="zh-CN"/>
          <w:woUserID w:val="1"/>
        </w:rPr>
        <w:t>不高于</w:t>
      </w:r>
      <w:r>
        <w:rPr>
          <w:rFonts w:hint="eastAsia" w:ascii="宋体" w:hAnsi="宋体" w:eastAsia="宋体" w:cs="宋体"/>
          <w:color w:val="auto"/>
          <w:szCs w:val="21"/>
          <w:lang w:val="en-US" w:eastAsia="zh-CN"/>
        </w:rPr>
        <w:t>250万元，国家环境健康管理试点申报及创建期间的技术服务</w:t>
      </w:r>
      <w:r>
        <w:rPr>
          <w:rFonts w:hint="eastAsia" w:ascii="宋体" w:hAnsi="宋体" w:eastAsia="宋体" w:cs="宋体"/>
          <w:color w:val="auto"/>
          <w:szCs w:val="21"/>
          <w:lang w:eastAsia="zh-CN"/>
          <w:woUserID w:val="1"/>
        </w:rPr>
        <w:t>不高于</w:t>
      </w:r>
      <w:r>
        <w:rPr>
          <w:rFonts w:hint="eastAsia" w:ascii="宋体" w:hAnsi="宋体" w:eastAsia="宋体" w:cs="宋体"/>
          <w:color w:val="auto"/>
          <w:szCs w:val="21"/>
          <w:lang w:val="en-US" w:eastAsia="zh-CN"/>
        </w:rPr>
        <w:t>100万元。</w:t>
      </w:r>
    </w:p>
    <w:p w14:paraId="4FC900B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2" w:firstLineChars="200"/>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kern w:val="2"/>
          <w:sz w:val="21"/>
          <w:szCs w:val="21"/>
          <w:lang w:val="en-US" w:eastAsia="zh-CN" w:bidi="ar-SA"/>
        </w:rPr>
        <w:t>五、</w:t>
      </w:r>
      <w:r>
        <w:rPr>
          <w:rFonts w:hint="eastAsia" w:ascii="宋体" w:hAnsi="宋体" w:eastAsia="宋体" w:cs="宋体"/>
          <w:b/>
          <w:bCs/>
          <w:color w:val="auto"/>
          <w:szCs w:val="21"/>
          <w:lang w:val="en-US" w:eastAsia="zh-CN"/>
        </w:rPr>
        <w:t>服务期</w:t>
      </w:r>
    </w:p>
    <w:p w14:paraId="37301DF9">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0"/>
        <w:rPr>
          <w:rFonts w:hint="eastAsia" w:ascii="宋体" w:hAnsi="宋体" w:eastAsia="宋体" w:cs="宋体"/>
          <w:color w:val="auto"/>
          <w:szCs w:val="21"/>
          <w:lang w:val="en-US" w:eastAsia="zh-CN"/>
        </w:rPr>
      </w:pPr>
      <w:r>
        <w:rPr>
          <w:rFonts w:hint="eastAsia" w:ascii="宋体" w:hAnsi="宋体" w:eastAsia="宋体" w:cs="宋体"/>
          <w:b/>
          <w:bCs/>
          <w:color w:val="auto"/>
          <w:szCs w:val="21"/>
          <w:lang w:val="en-US" w:eastAsia="zh-CN"/>
        </w:rPr>
        <w:t xml:space="preserve">     </w:t>
      </w:r>
      <w:r>
        <w:rPr>
          <w:rFonts w:hint="eastAsia" w:ascii="宋体" w:hAnsi="宋体" w:eastAsia="宋体" w:cs="宋体"/>
          <w:color w:val="auto"/>
          <w:szCs w:val="21"/>
          <w:lang w:val="en-US" w:eastAsia="zh-CN"/>
        </w:rPr>
        <w:t>1.全面推进浙江省省级环境健康友好创新试点工作，自服务开始之日起两年；2.开展国家环境健康管理试点申报工作，自国家环境健康管理试点申报成功后三年。</w:t>
      </w:r>
    </w:p>
    <w:p w14:paraId="04B3C7A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422" w:firstLineChars="200"/>
        <w:jc w:val="both"/>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kern w:val="2"/>
          <w:sz w:val="21"/>
          <w:szCs w:val="21"/>
          <w:lang w:val="en-US" w:eastAsia="zh-CN" w:bidi="ar-SA"/>
        </w:rPr>
        <w:t>六、</w:t>
      </w:r>
      <w:r>
        <w:rPr>
          <w:rFonts w:hint="eastAsia" w:ascii="宋体" w:hAnsi="宋体" w:eastAsia="宋体" w:cs="宋体"/>
          <w:b/>
          <w:bCs/>
          <w:color w:val="auto"/>
          <w:szCs w:val="21"/>
          <w:lang w:val="en-US" w:eastAsia="zh-CN"/>
        </w:rPr>
        <w:t>付款方式</w:t>
      </w:r>
    </w:p>
    <w:p w14:paraId="0D4F223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2" w:firstLineChars="200"/>
        <w:jc w:val="both"/>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分为两部分项目进行支付：</w:t>
      </w:r>
    </w:p>
    <w:p w14:paraId="31374E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11" w:firstLineChars="100"/>
        <w:textAlignment w:val="auto"/>
        <w:outlineLvl w:val="0"/>
        <w:rPr>
          <w:rFonts w:hint="eastAsia" w:ascii="宋体" w:hAnsi="宋体" w:eastAsia="宋体" w:cs="宋体"/>
          <w:color w:val="auto"/>
          <w:szCs w:val="21"/>
          <w:lang w:val="en-US" w:eastAsia="zh-CN"/>
        </w:rPr>
      </w:pPr>
      <w:r>
        <w:rPr>
          <w:rFonts w:hint="eastAsia" w:ascii="宋体" w:hAnsi="宋体" w:eastAsia="宋体" w:cs="宋体"/>
          <w:b/>
          <w:bCs/>
          <w:color w:val="auto"/>
          <w:szCs w:val="21"/>
          <w:lang w:val="en-US" w:eastAsia="zh-CN"/>
        </w:rPr>
        <w:t xml:space="preserve"> （一）</w:t>
      </w:r>
      <w:r>
        <w:rPr>
          <w:rFonts w:hint="eastAsia" w:ascii="宋体" w:hAnsi="宋体" w:eastAsia="宋体" w:cs="宋体"/>
          <w:color w:val="auto"/>
          <w:szCs w:val="21"/>
          <w:lang w:val="en-US" w:eastAsia="zh-CN"/>
        </w:rPr>
        <w:t>省级</w:t>
      </w:r>
      <w:r>
        <w:rPr>
          <w:rFonts w:hint="eastAsia" w:ascii="宋体" w:hAnsi="宋体" w:eastAsia="宋体" w:cs="宋体"/>
          <w:color w:val="auto"/>
          <w:szCs w:val="21"/>
          <w:lang w:eastAsia="zh-CN"/>
        </w:rPr>
        <w:t>环境健康友好创新试点建设</w:t>
      </w:r>
    </w:p>
    <w:p w14:paraId="4E8EDA9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（1）合同签订并具备实施条件后7个工作日内支付合同金额的30%；</w:t>
      </w:r>
    </w:p>
    <w:p w14:paraId="16DE3E1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（2）2025年12月前，按要求提交相关成果产出的，在收到中标单位正式发票起15个工作</w:t>
      </w:r>
    </w:p>
    <w:p w14:paraId="137B4155">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日内支付合同金额的</w:t>
      </w:r>
      <w:r>
        <w:rPr>
          <w:rFonts w:hint="eastAsia" w:ascii="宋体" w:hAnsi="宋体" w:eastAsia="宋体" w:cs="宋体"/>
          <w:color w:val="auto"/>
          <w:szCs w:val="21"/>
          <w:lang w:eastAsia="zh-CN"/>
          <w:woUserID w:val="1"/>
        </w:rPr>
        <w:t>3</w:t>
      </w:r>
      <w:r>
        <w:rPr>
          <w:rFonts w:hint="eastAsia" w:ascii="宋体" w:hAnsi="宋体" w:eastAsia="宋体" w:cs="宋体"/>
          <w:color w:val="auto"/>
          <w:szCs w:val="21"/>
          <w:lang w:val="en-US" w:eastAsia="zh-CN"/>
        </w:rPr>
        <w:t>0%；</w:t>
      </w:r>
    </w:p>
    <w:p w14:paraId="59374A3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（3）2026年</w:t>
      </w:r>
      <w:r>
        <w:rPr>
          <w:rFonts w:hint="eastAsia" w:ascii="宋体" w:hAnsi="宋体" w:eastAsia="宋体" w:cs="宋体"/>
          <w:color w:val="auto"/>
          <w:szCs w:val="21"/>
          <w:lang w:eastAsia="zh-CN"/>
          <w:woUserID w:val="1"/>
        </w:rPr>
        <w:t>12</w:t>
      </w:r>
      <w:r>
        <w:rPr>
          <w:rFonts w:hint="eastAsia" w:ascii="宋体" w:hAnsi="宋体" w:eastAsia="宋体" w:cs="宋体"/>
          <w:color w:val="auto"/>
          <w:szCs w:val="21"/>
          <w:lang w:val="en-US" w:eastAsia="zh-CN"/>
        </w:rPr>
        <w:t>月前，按要求提交相关成果产出的，在收到中标单位正式发票起15个工作</w:t>
      </w:r>
    </w:p>
    <w:p w14:paraId="470EDF89">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日内支付合同金额的30%；</w:t>
      </w:r>
    </w:p>
    <w:p w14:paraId="1A844D3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（4）完成剩余工作并经甲方认可后，支付剩余</w:t>
      </w:r>
      <w:r>
        <w:rPr>
          <w:rFonts w:hint="eastAsia" w:ascii="宋体" w:hAnsi="宋体" w:eastAsia="宋体" w:cs="宋体"/>
          <w:color w:val="auto"/>
          <w:szCs w:val="21"/>
          <w:lang w:eastAsia="zh-CN"/>
          <w:woUserID w:val="1"/>
        </w:rPr>
        <w:t>1</w:t>
      </w:r>
      <w:r>
        <w:rPr>
          <w:rFonts w:hint="eastAsia" w:ascii="宋体" w:hAnsi="宋体" w:eastAsia="宋体" w:cs="宋体"/>
          <w:color w:val="auto"/>
          <w:szCs w:val="21"/>
          <w:lang w:val="en-US" w:eastAsia="zh-CN"/>
        </w:rPr>
        <w:t>0%合同款。</w:t>
      </w:r>
    </w:p>
    <w:p w14:paraId="20E1642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Cs w:val="21"/>
          <w:lang w:val="en-US" w:eastAsia="zh-CN"/>
        </w:rPr>
        <w:t>国家环境健康管理试点申报及创建技术服务</w:t>
      </w:r>
    </w:p>
    <w:p w14:paraId="4DF9429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（1）试点申报成功并获部里明确后，在收到中标单位正式发票起15个工作日内支付合同金额的40%；三年试点建设期间内，每年年底前支付合同金额的20%。</w:t>
      </w:r>
    </w:p>
    <w:p w14:paraId="44A4F63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Cs w:val="21"/>
          <w:highlight w:val="yellow"/>
          <w:lang w:val="en-US" w:eastAsia="zh-CN"/>
        </w:rPr>
        <w:sectPr>
          <w:footerReference r:id="rId3" w:type="default"/>
          <w:type w:val="continuous"/>
          <w:pgSz w:w="11905" w:h="16838"/>
          <w:pgMar w:top="1304" w:right="1531" w:bottom="833" w:left="1531" w:header="1304" w:footer="1304" w:gutter="0"/>
          <w:pgNumType w:fmt="decimal"/>
          <w:cols w:space="0" w:num="1"/>
          <w:rtlGutter w:val="0"/>
          <w:docGrid w:linePitch="0" w:charSpace="0"/>
        </w:sectPr>
      </w:pPr>
      <w:r>
        <w:rPr>
          <w:rFonts w:hint="eastAsia" w:ascii="宋体" w:hAnsi="宋体" w:eastAsia="宋体" w:cs="宋体"/>
          <w:color w:val="auto"/>
          <w:szCs w:val="21"/>
          <w:lang w:val="en-US" w:eastAsia="zh-CN"/>
        </w:rPr>
        <w:t>（2）若未开展试点申报或在省级环境健康友好创新试点建设服务期内未申报成功的，则全部不予支付。</w:t>
      </w:r>
    </w:p>
    <w:p w14:paraId="60E8A96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textAlignment w:val="auto"/>
        <w:outlineLvl w:val="0"/>
        <w:rPr>
          <w:rFonts w:hint="eastAsia" w:ascii="宋体" w:hAnsi="宋体" w:eastAsia="宋体" w:cs="宋体"/>
          <w:color w:val="auto"/>
          <w:szCs w:val="21"/>
          <w:highlight w:val="yellow"/>
          <w:lang w:val="en-US" w:eastAsia="zh-CN"/>
        </w:rPr>
        <w:sectPr>
          <w:footerReference r:id="rId4" w:type="default"/>
          <w:type w:val="continuous"/>
          <w:pgSz w:w="11905" w:h="16838"/>
          <w:pgMar w:top="1304" w:right="1531" w:bottom="833" w:left="1531" w:header="1304" w:footer="1304" w:gutter="0"/>
          <w:pgNumType w:fmt="decimal"/>
          <w:cols w:space="0" w:num="1"/>
          <w:rtlGutter w:val="0"/>
          <w:docGrid w:linePitch="0" w:charSpace="0"/>
        </w:sectPr>
      </w:pPr>
    </w:p>
    <w:p w14:paraId="63636E63">
      <w:pPr>
        <w:snapToGrid w:val="0"/>
        <w:spacing w:before="240" w:after="240"/>
        <w:ind w:firstLine="0"/>
        <w:jc w:val="both"/>
        <w:rPr>
          <w:rFonts w:hint="eastAsia" w:ascii="宋体" w:hAnsi="宋体" w:cs="宋体"/>
          <w:b/>
          <w:color w:val="auto"/>
          <w:sz w:val="30"/>
          <w:szCs w:val="30"/>
        </w:rPr>
      </w:pPr>
    </w:p>
    <w:p w14:paraId="5B1D6F9C">
      <w:pPr>
        <w:snapToGrid w:val="0"/>
        <w:spacing w:before="240" w:after="240"/>
        <w:ind w:firstLine="602"/>
        <w:jc w:val="center"/>
        <w:rPr>
          <w:rFonts w:hint="eastAsia" w:ascii="宋体" w:hAnsi="宋体" w:cs="宋体"/>
          <w:b/>
          <w:color w:val="auto"/>
          <w:sz w:val="30"/>
          <w:szCs w:val="30"/>
        </w:rPr>
      </w:pPr>
    </w:p>
    <w:p w14:paraId="1CA18989">
      <w:pPr>
        <w:snapToGrid w:val="0"/>
        <w:spacing w:before="240" w:after="240"/>
        <w:ind w:firstLine="602"/>
        <w:jc w:val="center"/>
        <w:rPr>
          <w:rFonts w:hint="eastAsia" w:ascii="宋体" w:hAnsi="宋体" w:cs="宋体"/>
          <w:b/>
          <w:color w:val="auto"/>
          <w:sz w:val="30"/>
          <w:szCs w:val="30"/>
        </w:rPr>
      </w:pPr>
    </w:p>
    <w:p w14:paraId="75336D53">
      <w:pPr>
        <w:snapToGrid w:val="0"/>
        <w:spacing w:before="240" w:after="240"/>
        <w:ind w:firstLine="602"/>
        <w:jc w:val="center"/>
        <w:rPr>
          <w:rFonts w:hint="eastAsia" w:ascii="宋体" w:hAnsi="宋体" w:cs="宋体"/>
          <w:b/>
          <w:color w:val="auto"/>
          <w:sz w:val="30"/>
          <w:szCs w:val="30"/>
        </w:rPr>
      </w:pPr>
    </w:p>
    <w:p w14:paraId="530CE65F">
      <w:pPr>
        <w:snapToGrid w:val="0"/>
        <w:spacing w:before="240" w:after="240"/>
        <w:ind w:firstLine="602"/>
        <w:jc w:val="center"/>
        <w:rPr>
          <w:rFonts w:hint="eastAsia" w:ascii="宋体" w:hAnsi="宋体" w:cs="宋体"/>
          <w:b/>
          <w:color w:val="auto"/>
          <w:sz w:val="30"/>
          <w:szCs w:val="30"/>
        </w:rPr>
      </w:pPr>
    </w:p>
    <w:p w14:paraId="17483B82">
      <w:pPr>
        <w:snapToGrid w:val="0"/>
        <w:spacing w:before="240" w:after="240"/>
        <w:ind w:firstLine="602"/>
        <w:jc w:val="center"/>
        <w:rPr>
          <w:rFonts w:hint="eastAsia" w:ascii="宋体" w:hAnsi="宋体" w:cs="宋体"/>
          <w:b/>
          <w:color w:val="auto"/>
          <w:sz w:val="30"/>
          <w:szCs w:val="30"/>
        </w:rPr>
      </w:pPr>
    </w:p>
    <w:p w14:paraId="78BC86EF">
      <w:pPr>
        <w:snapToGrid w:val="0"/>
        <w:spacing w:before="240" w:after="240"/>
        <w:ind w:firstLine="602"/>
        <w:jc w:val="center"/>
        <w:rPr>
          <w:rFonts w:hint="eastAsia" w:ascii="宋体" w:hAnsi="宋体" w:cs="宋体"/>
          <w:b/>
          <w:color w:val="auto"/>
          <w:sz w:val="30"/>
          <w:szCs w:val="30"/>
        </w:rPr>
      </w:pPr>
    </w:p>
    <w:p w14:paraId="221B665B">
      <w:pPr>
        <w:snapToGrid w:val="0"/>
        <w:spacing w:before="240" w:after="240"/>
        <w:ind w:firstLine="602"/>
        <w:jc w:val="center"/>
        <w:rPr>
          <w:rFonts w:hint="eastAsia" w:ascii="宋体" w:hAnsi="宋体" w:cs="宋体"/>
          <w:b/>
          <w:color w:val="auto"/>
          <w:sz w:val="30"/>
          <w:szCs w:val="30"/>
        </w:rPr>
      </w:pPr>
    </w:p>
    <w:p w14:paraId="105E1F62">
      <w:pPr>
        <w:snapToGrid w:val="0"/>
        <w:spacing w:before="240" w:after="240"/>
        <w:ind w:firstLine="602"/>
        <w:jc w:val="center"/>
        <w:rPr>
          <w:rFonts w:hint="eastAsia" w:ascii="宋体" w:hAnsi="宋体" w:cs="宋体"/>
          <w:b/>
          <w:color w:val="auto"/>
          <w:sz w:val="30"/>
          <w:szCs w:val="30"/>
        </w:rPr>
      </w:pPr>
    </w:p>
    <w:p w14:paraId="41883E0E">
      <w:pPr>
        <w:snapToGrid w:val="0"/>
        <w:spacing w:before="240" w:after="240"/>
        <w:ind w:firstLine="602"/>
        <w:jc w:val="center"/>
        <w:rPr>
          <w:rFonts w:hint="eastAsia" w:ascii="宋体" w:hAnsi="宋体" w:cs="宋体"/>
          <w:b/>
          <w:color w:val="auto"/>
          <w:sz w:val="30"/>
          <w:szCs w:val="30"/>
        </w:rPr>
      </w:pPr>
    </w:p>
    <w:p w14:paraId="6F7BAE97">
      <w:pPr>
        <w:snapToGrid w:val="0"/>
        <w:spacing w:before="240" w:after="240"/>
        <w:ind w:firstLine="602"/>
        <w:jc w:val="center"/>
        <w:rPr>
          <w:rFonts w:hint="eastAsia" w:ascii="宋体" w:hAnsi="宋体" w:cs="宋体"/>
          <w:b/>
          <w:color w:val="auto"/>
          <w:sz w:val="30"/>
          <w:szCs w:val="30"/>
        </w:rPr>
      </w:pPr>
    </w:p>
    <w:p w14:paraId="0CD82B61">
      <w:pPr>
        <w:snapToGrid w:val="0"/>
        <w:spacing w:before="240" w:after="240"/>
        <w:ind w:firstLine="602"/>
        <w:jc w:val="center"/>
        <w:rPr>
          <w:rFonts w:hint="eastAsia" w:ascii="宋体" w:hAnsi="宋体" w:cs="宋体"/>
          <w:b/>
          <w:color w:val="auto"/>
          <w:sz w:val="30"/>
          <w:szCs w:val="30"/>
        </w:rPr>
      </w:pPr>
    </w:p>
    <w:p w14:paraId="7A4DCC72">
      <w:pPr>
        <w:snapToGrid w:val="0"/>
        <w:spacing w:before="240" w:after="240"/>
        <w:ind w:firstLine="602"/>
        <w:jc w:val="center"/>
        <w:rPr>
          <w:rFonts w:hint="eastAsia" w:ascii="宋体" w:hAnsi="宋体" w:cs="宋体"/>
          <w:b/>
          <w:color w:val="auto"/>
          <w:sz w:val="30"/>
          <w:szCs w:val="30"/>
        </w:rPr>
      </w:pPr>
    </w:p>
    <w:p w14:paraId="69C896D3">
      <w:pPr>
        <w:snapToGrid w:val="0"/>
        <w:spacing w:before="240" w:after="240"/>
        <w:ind w:firstLine="602"/>
        <w:jc w:val="center"/>
        <w:rPr>
          <w:rFonts w:hint="eastAsia" w:ascii="宋体" w:hAnsi="宋体" w:cs="宋体"/>
          <w:b/>
          <w:color w:val="auto"/>
          <w:sz w:val="30"/>
          <w:szCs w:val="30"/>
        </w:rPr>
      </w:pPr>
    </w:p>
    <w:p w14:paraId="677836AA">
      <w:pPr>
        <w:snapToGrid w:val="0"/>
        <w:spacing w:before="240" w:after="240"/>
        <w:ind w:firstLine="602"/>
        <w:jc w:val="center"/>
        <w:rPr>
          <w:rFonts w:hint="eastAsia" w:ascii="宋体" w:hAnsi="宋体" w:cs="宋体"/>
          <w:b/>
          <w:color w:val="auto"/>
          <w:sz w:val="30"/>
          <w:szCs w:val="30"/>
        </w:rPr>
      </w:pPr>
    </w:p>
    <w:p w14:paraId="1493BA71">
      <w:pPr>
        <w:snapToGrid w:val="0"/>
        <w:spacing w:before="240" w:after="240"/>
        <w:ind w:firstLine="602"/>
        <w:jc w:val="center"/>
        <w:rPr>
          <w:rFonts w:hint="eastAsia" w:ascii="宋体" w:hAnsi="宋体" w:cs="宋体"/>
          <w:b/>
          <w:color w:val="auto"/>
          <w:sz w:val="30"/>
          <w:szCs w:val="30"/>
        </w:rPr>
      </w:pPr>
    </w:p>
    <w:p w14:paraId="4A783CC4">
      <w:pPr>
        <w:snapToGrid w:val="0"/>
        <w:spacing w:before="240" w:after="240"/>
        <w:ind w:firstLine="602"/>
        <w:jc w:val="center"/>
        <w:rPr>
          <w:rFonts w:hint="eastAsia" w:ascii="宋体" w:hAnsi="宋体" w:cs="宋体"/>
          <w:b/>
          <w:color w:val="auto"/>
          <w:sz w:val="30"/>
          <w:szCs w:val="30"/>
        </w:rPr>
      </w:pPr>
    </w:p>
    <w:p w14:paraId="7D2C1E22">
      <w:pPr>
        <w:snapToGrid w:val="0"/>
        <w:spacing w:before="240" w:after="240"/>
        <w:ind w:firstLine="602"/>
        <w:jc w:val="center"/>
        <w:rPr>
          <w:rFonts w:hint="eastAsia" w:ascii="宋体" w:hAnsi="宋体" w:cs="宋体"/>
          <w:b/>
          <w:color w:val="auto"/>
          <w:sz w:val="30"/>
          <w:szCs w:val="30"/>
        </w:rPr>
      </w:pPr>
    </w:p>
    <w:p w14:paraId="40BDE3ED">
      <w:pPr>
        <w:snapToGrid w:val="0"/>
        <w:spacing w:before="240" w:after="240"/>
        <w:ind w:firstLine="602"/>
        <w:jc w:val="center"/>
        <w:rPr>
          <w:rFonts w:hint="eastAsia" w:ascii="宋体" w:hAnsi="宋体" w:cs="宋体"/>
          <w:b/>
          <w:color w:val="auto"/>
          <w:sz w:val="30"/>
          <w:szCs w:val="30"/>
        </w:rPr>
      </w:pPr>
    </w:p>
    <w:p w14:paraId="07FF452D">
      <w:pPr>
        <w:snapToGrid w:val="0"/>
        <w:spacing w:before="240" w:after="240"/>
        <w:ind w:firstLine="602"/>
        <w:jc w:val="center"/>
        <w:rPr>
          <w:rFonts w:hint="eastAsia" w:ascii="宋体" w:hAnsi="宋体" w:cs="宋体"/>
          <w:b/>
          <w:color w:val="auto"/>
          <w:sz w:val="30"/>
          <w:szCs w:val="30"/>
        </w:rPr>
      </w:pPr>
    </w:p>
    <w:p w14:paraId="3CCE2363">
      <w:pPr>
        <w:snapToGrid w:val="0"/>
        <w:spacing w:before="240" w:after="240"/>
        <w:ind w:firstLine="602"/>
        <w:jc w:val="center"/>
        <w:rPr>
          <w:rFonts w:ascii="宋体" w:hAnsi="宋体" w:cs="宋体"/>
          <w:b/>
          <w:color w:val="auto"/>
          <w:sz w:val="30"/>
          <w:szCs w:val="30"/>
        </w:rPr>
      </w:pPr>
      <w:r>
        <w:rPr>
          <w:rFonts w:hint="eastAsia" w:ascii="宋体" w:hAnsi="宋体" w:cs="宋体"/>
          <w:b/>
          <w:color w:val="auto"/>
          <w:sz w:val="30"/>
          <w:szCs w:val="30"/>
        </w:rPr>
        <w:t>第三章   响应人须知</w:t>
      </w:r>
    </w:p>
    <w:p w14:paraId="633D9189">
      <w:pPr>
        <w:snapToGrid w:val="0"/>
        <w:spacing w:after="240"/>
        <w:ind w:firstLine="602"/>
        <w:jc w:val="center"/>
        <w:rPr>
          <w:rFonts w:ascii="宋体" w:hAnsi="宋体" w:cs="宋体"/>
          <w:b/>
          <w:color w:val="auto"/>
          <w:sz w:val="30"/>
          <w:szCs w:val="30"/>
        </w:rPr>
      </w:pPr>
      <w:r>
        <w:rPr>
          <w:rFonts w:hint="eastAsia" w:ascii="宋体" w:hAnsi="宋体" w:cs="宋体"/>
          <w:b/>
          <w:color w:val="auto"/>
          <w:sz w:val="30"/>
          <w:szCs w:val="30"/>
        </w:rPr>
        <w:t>前附表</w:t>
      </w:r>
    </w:p>
    <w:tbl>
      <w:tblPr>
        <w:tblStyle w:val="31"/>
        <w:tblW w:w="10276" w:type="dxa"/>
        <w:jc w:val="center"/>
        <w:tblCellSpacing w:w="7" w:type="dxa"/>
        <w:tblLayout w:type="fixed"/>
        <w:tblCellMar>
          <w:top w:w="15" w:type="dxa"/>
          <w:left w:w="15" w:type="dxa"/>
          <w:bottom w:w="15" w:type="dxa"/>
          <w:right w:w="15" w:type="dxa"/>
        </w:tblCellMar>
      </w:tblPr>
      <w:tblGrid>
        <w:gridCol w:w="709"/>
        <w:gridCol w:w="1547"/>
        <w:gridCol w:w="8020"/>
      </w:tblGrid>
      <w:tr w14:paraId="514BEE6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7B153C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序号</w:t>
            </w:r>
          </w:p>
        </w:tc>
        <w:tc>
          <w:tcPr>
            <w:tcW w:w="9546"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28DBF43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内容说明及要求</w:t>
            </w:r>
          </w:p>
        </w:tc>
      </w:tr>
      <w:tr w14:paraId="6AF1732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5E0FA0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0E7F93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项目名称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6579B873">
            <w:pPr>
              <w:spacing w:line="320" w:lineRule="exact"/>
              <w:jc w:val="left"/>
              <w:rPr>
                <w:rFonts w:ascii="宋体" w:hAnsi="宋体" w:cs="宋体"/>
                <w:color w:val="auto"/>
                <w:szCs w:val="21"/>
              </w:rPr>
            </w:pPr>
            <w:r>
              <w:rPr>
                <w:rFonts w:hint="eastAsia" w:ascii="宋体" w:hAnsi="宋体" w:cs="宋体"/>
                <w:color w:val="auto"/>
                <w:szCs w:val="21"/>
                <w:highlight w:val="none"/>
              </w:rPr>
              <w:t>普陀区环境健康友好创新试点建设项目</w:t>
            </w:r>
          </w:p>
        </w:tc>
      </w:tr>
      <w:tr w14:paraId="724B887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E95B6AA">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3CA6106">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采购人名称</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0E98389">
            <w:pPr>
              <w:spacing w:line="320" w:lineRule="exact"/>
              <w:jc w:val="left"/>
              <w:rPr>
                <w:rFonts w:ascii="宋体" w:hAnsi="宋体" w:cs="宋体"/>
                <w:color w:val="auto"/>
                <w:szCs w:val="21"/>
              </w:rPr>
            </w:pPr>
            <w:r>
              <w:rPr>
                <w:rFonts w:hint="eastAsia" w:ascii="宋体" w:hAnsi="宋体" w:cs="宋体"/>
                <w:color w:val="auto"/>
                <w:szCs w:val="21"/>
              </w:rPr>
              <w:t>舟山市生态环境局普陀分局</w:t>
            </w:r>
          </w:p>
        </w:tc>
      </w:tr>
      <w:tr w14:paraId="39D943B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2CA72AF">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A074A3A">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采购内容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57380385">
            <w:pPr>
              <w:spacing w:line="320" w:lineRule="exact"/>
              <w:jc w:val="left"/>
              <w:rPr>
                <w:rFonts w:ascii="宋体" w:hAnsi="宋体" w:cs="宋体"/>
                <w:color w:val="auto"/>
                <w:kern w:val="0"/>
                <w:szCs w:val="21"/>
              </w:rPr>
            </w:pPr>
            <w:r>
              <w:rPr>
                <w:rFonts w:hint="eastAsia" w:ascii="宋体" w:hAnsi="宋体" w:cs="宋体"/>
                <w:color w:val="auto"/>
                <w:szCs w:val="21"/>
              </w:rPr>
              <w:t>结合浙江省考核要求和本地实际发展需求完成舟山市普陀区创新试点建设任务，要求产出内容可量化、可考核。开展但不仅限于如下建设任务：环境健康风险源筛评控、环境健康友好产品认证、环境健康工作交流活动、国家环境健康管理试点申报等。成果产出包括但不限于：环境健康风险源清单、环境健康风险源分布地图、环境健康友好产品认证示范、年度成果总结相关报告、国家环境健康管理试点申报工作方案及相关必要附件材料等。</w:t>
            </w:r>
            <w:r>
              <w:rPr>
                <w:rFonts w:hint="eastAsia" w:ascii="宋体" w:hAnsi="宋体" w:cs="宋体"/>
                <w:color w:val="auto"/>
                <w:kern w:val="0"/>
                <w:szCs w:val="21"/>
              </w:rPr>
              <w:t>具体内容详见采购需求。</w:t>
            </w:r>
          </w:p>
        </w:tc>
      </w:tr>
      <w:tr w14:paraId="2A482E54">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27429EBC">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EA3BA2B">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最高限价</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AF1C647">
            <w:pPr>
              <w:spacing w:line="320" w:lineRule="exact"/>
              <w:jc w:val="left"/>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50万元</w:t>
            </w:r>
          </w:p>
        </w:tc>
      </w:tr>
      <w:tr w14:paraId="2835542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500580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5</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27928D81">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响应有效期</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D797D31">
            <w:pPr>
              <w:spacing w:line="320" w:lineRule="exact"/>
              <w:jc w:val="left"/>
              <w:rPr>
                <w:rFonts w:ascii="宋体" w:hAnsi="宋体" w:cs="宋体"/>
                <w:color w:val="auto"/>
                <w:szCs w:val="21"/>
              </w:rPr>
            </w:pPr>
            <w:r>
              <w:rPr>
                <w:rFonts w:hint="eastAsia" w:ascii="宋体" w:hAnsi="宋体" w:cs="宋体"/>
                <w:color w:val="auto"/>
                <w:szCs w:val="21"/>
                <w:u w:val="single"/>
              </w:rPr>
              <w:t>90日</w:t>
            </w:r>
            <w:r>
              <w:rPr>
                <w:rFonts w:hint="eastAsia" w:ascii="宋体" w:hAnsi="宋体" w:cs="宋体"/>
                <w:color w:val="auto"/>
                <w:szCs w:val="21"/>
              </w:rPr>
              <w:t>历天。（从投标截止之日算起）</w:t>
            </w:r>
          </w:p>
        </w:tc>
      </w:tr>
      <w:tr w14:paraId="74D3BCD5">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5EC52DD">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6</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1C7056D">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磋商办法</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FF76B1E">
            <w:pPr>
              <w:spacing w:line="320" w:lineRule="exact"/>
              <w:jc w:val="left"/>
              <w:rPr>
                <w:rFonts w:ascii="宋体" w:hAnsi="宋体" w:cs="宋体"/>
                <w:color w:val="auto"/>
                <w:szCs w:val="21"/>
              </w:rPr>
            </w:pPr>
            <w:r>
              <w:rPr>
                <w:rFonts w:hint="eastAsia" w:ascii="宋体" w:hAnsi="宋体" w:cs="宋体"/>
                <w:color w:val="auto"/>
                <w:szCs w:val="21"/>
              </w:rPr>
              <w:t>综合评分法</w:t>
            </w:r>
          </w:p>
        </w:tc>
      </w:tr>
      <w:tr w14:paraId="1AC4B220">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B67B6AF">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7</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62B65F05">
            <w:pPr>
              <w:spacing w:line="320" w:lineRule="exact"/>
              <w:jc w:val="center"/>
              <w:rPr>
                <w:rFonts w:ascii="宋体" w:hAnsi="宋体" w:cs="宋体"/>
                <w:b/>
                <w:color w:val="auto"/>
                <w:szCs w:val="21"/>
                <w:shd w:val="pct10" w:color="auto" w:fill="FFFFFF"/>
              </w:rPr>
            </w:pPr>
            <w:r>
              <w:rPr>
                <w:rFonts w:hint="eastAsia" w:ascii="宋体" w:hAnsi="宋体"/>
                <w:b/>
                <w:color w:val="auto"/>
              </w:rPr>
              <w:t>资金结算</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E2FF6C2">
            <w:pPr>
              <w:jc w:val="left"/>
              <w:rPr>
                <w:rFonts w:hint="eastAsia" w:ascii="宋体" w:hAnsi="宋体"/>
                <w:color w:val="auto"/>
                <w:lang w:val="en-US" w:eastAsia="zh-CN"/>
              </w:rPr>
            </w:pPr>
            <w:r>
              <w:rPr>
                <w:rFonts w:hint="eastAsia" w:ascii="宋体" w:hAnsi="宋体"/>
                <w:color w:val="auto"/>
                <w:lang w:val="en-US" w:eastAsia="zh-CN"/>
              </w:rPr>
              <w:t>分为两部分项目进行支付：</w:t>
            </w:r>
          </w:p>
          <w:p w14:paraId="5FED3FE4">
            <w:pPr>
              <w:numPr>
                <w:ilvl w:val="0"/>
                <w:numId w:val="4"/>
              </w:numPr>
              <w:ind w:left="105"/>
              <w:jc w:val="left"/>
              <w:rPr>
                <w:rFonts w:hint="eastAsia" w:ascii="宋体" w:hAnsi="宋体"/>
                <w:color w:val="auto"/>
                <w:lang w:eastAsia="zh-CN"/>
              </w:rPr>
            </w:pPr>
            <w:r>
              <w:rPr>
                <w:rFonts w:hint="eastAsia" w:ascii="宋体" w:hAnsi="宋体"/>
                <w:color w:val="auto"/>
                <w:lang w:val="en-US" w:eastAsia="zh-CN"/>
              </w:rPr>
              <w:t>省级</w:t>
            </w:r>
            <w:r>
              <w:rPr>
                <w:rFonts w:hint="eastAsia" w:ascii="宋体" w:hAnsi="宋体"/>
                <w:color w:val="auto"/>
                <w:lang w:eastAsia="zh-CN"/>
              </w:rPr>
              <w:t>环境健康友好创新试点建设</w:t>
            </w:r>
          </w:p>
          <w:p w14:paraId="3FB9FBDE">
            <w:pPr>
              <w:numPr>
                <w:ilvl w:val="-1"/>
                <w:numId w:val="0"/>
              </w:numPr>
              <w:ind w:left="0"/>
              <w:jc w:val="left"/>
              <w:rPr>
                <w:rFonts w:hint="eastAsia" w:ascii="宋体" w:hAnsi="宋体"/>
                <w:color w:val="auto"/>
                <w:lang w:val="en-US" w:eastAsia="zh-CN"/>
              </w:rPr>
            </w:pPr>
            <w:r>
              <w:rPr>
                <w:rFonts w:hint="eastAsia" w:ascii="宋体" w:hAnsi="宋体"/>
                <w:color w:val="auto"/>
                <w:lang w:val="en-US" w:eastAsia="zh-CN"/>
              </w:rPr>
              <w:t>（1）合同签订并具备实施条件后7个工作日内支付合同金额的30%；</w:t>
            </w:r>
          </w:p>
          <w:p w14:paraId="23F865E5">
            <w:pPr>
              <w:jc w:val="left"/>
              <w:rPr>
                <w:rFonts w:hint="eastAsia" w:ascii="宋体" w:hAnsi="宋体"/>
                <w:color w:val="auto"/>
                <w:lang w:val="en-US" w:eastAsia="zh-CN"/>
              </w:rPr>
            </w:pPr>
            <w:r>
              <w:rPr>
                <w:rFonts w:hint="eastAsia" w:ascii="宋体" w:hAnsi="宋体"/>
                <w:color w:val="auto"/>
                <w:lang w:val="en-US" w:eastAsia="zh-CN"/>
              </w:rPr>
              <w:t>（2）2025年12月前，按要求提交相关成果产出的，在收到中标单位正式发票起15个工作日内支付合同金额的30%；</w:t>
            </w:r>
          </w:p>
          <w:p w14:paraId="7678B9A9">
            <w:pPr>
              <w:jc w:val="left"/>
              <w:rPr>
                <w:rFonts w:hint="eastAsia" w:ascii="宋体" w:hAnsi="宋体"/>
                <w:color w:val="auto"/>
                <w:lang w:val="en-US" w:eastAsia="zh-CN"/>
              </w:rPr>
            </w:pPr>
            <w:r>
              <w:rPr>
                <w:rFonts w:hint="eastAsia" w:ascii="宋体" w:hAnsi="宋体"/>
                <w:color w:val="auto"/>
                <w:lang w:val="en-US" w:eastAsia="zh-CN"/>
              </w:rPr>
              <w:t>（3）2026年12月前，按要求提交相关成果产出的，在收到中标单位正式发票起15个工作日内支付合同金额的30%；</w:t>
            </w:r>
          </w:p>
          <w:p w14:paraId="6C9EBABE">
            <w:pPr>
              <w:jc w:val="left"/>
              <w:rPr>
                <w:rFonts w:hint="eastAsia" w:ascii="宋体" w:hAnsi="宋体"/>
                <w:color w:val="auto"/>
                <w:lang w:val="en-US" w:eastAsia="zh-CN"/>
              </w:rPr>
            </w:pPr>
            <w:r>
              <w:rPr>
                <w:rFonts w:hint="eastAsia" w:ascii="宋体" w:hAnsi="宋体"/>
                <w:color w:val="auto"/>
                <w:lang w:val="en-US" w:eastAsia="zh-CN"/>
              </w:rPr>
              <w:t>（4）完成剩余工作并经甲方认可后，支付剩余10%合同款。</w:t>
            </w:r>
          </w:p>
          <w:p w14:paraId="59718F3E">
            <w:pPr>
              <w:jc w:val="left"/>
              <w:rPr>
                <w:rFonts w:hint="eastAsia" w:ascii="宋体" w:hAnsi="宋体"/>
                <w:color w:val="auto"/>
                <w:lang w:val="en-US" w:eastAsia="zh-CN"/>
              </w:rPr>
            </w:pPr>
            <w:r>
              <w:rPr>
                <w:rFonts w:hint="eastAsia" w:ascii="宋体" w:hAnsi="宋体"/>
                <w:color w:val="auto"/>
                <w:lang w:val="en-US" w:eastAsia="zh-CN"/>
              </w:rPr>
              <w:t>（二）国家环境健康管理试点申报及建设规划技术服务</w:t>
            </w:r>
          </w:p>
          <w:p w14:paraId="3234C0B3">
            <w:pPr>
              <w:jc w:val="left"/>
              <w:rPr>
                <w:rFonts w:hint="eastAsia" w:ascii="宋体" w:hAnsi="宋体"/>
                <w:color w:val="auto"/>
                <w:lang w:val="en-US" w:eastAsia="zh-CN"/>
              </w:rPr>
            </w:pPr>
            <w:r>
              <w:rPr>
                <w:rFonts w:hint="eastAsia" w:ascii="宋体" w:hAnsi="宋体"/>
                <w:color w:val="auto"/>
                <w:lang w:val="en-US" w:eastAsia="zh-CN"/>
              </w:rPr>
              <w:t>（1）试点申报成功并获部里明确后，在收到中标单位正式发票起15个工作日内支付合同金额的40%；三年试点建设期间内，每年年底前支付合同金额的20%。</w:t>
            </w:r>
          </w:p>
          <w:p w14:paraId="288B5EC0">
            <w:pPr>
              <w:jc w:val="left"/>
              <w:rPr>
                <w:rFonts w:ascii="宋体" w:hAnsi="宋体"/>
                <w:color w:val="auto"/>
              </w:rPr>
            </w:pPr>
            <w:r>
              <w:rPr>
                <w:rFonts w:hint="eastAsia" w:ascii="宋体" w:hAnsi="宋体"/>
                <w:color w:val="auto"/>
                <w:lang w:val="en-US" w:eastAsia="zh-CN"/>
              </w:rPr>
              <w:t>（2）若未开展试点申报或在服务期内未申报成功的，则全部不予支付。</w:t>
            </w:r>
          </w:p>
        </w:tc>
      </w:tr>
      <w:tr w14:paraId="59EBFA7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EACA64">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8</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923B6E2">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响应报价</w:t>
            </w:r>
          </w:p>
          <w:p w14:paraId="312DFCD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与费用</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228DB4A">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本项目的投标应以人民币报价，是履行合同的最终价格，投标报价应包括但不限于人工、交通、通讯、调研、成果（文本）编制、打印装订、评审会务费、专家咨询费、招标代理费、管理费、利润和税费等一切费用。</w:t>
            </w:r>
          </w:p>
          <w:p w14:paraId="0CED5E27">
            <w:pPr>
              <w:rPr>
                <w:rFonts w:ascii="宋体" w:hAnsi="宋体" w:cs="宋体"/>
                <w:color w:val="auto"/>
                <w:szCs w:val="21"/>
              </w:rPr>
            </w:pPr>
            <w:r>
              <w:rPr>
                <w:rFonts w:hint="eastAsia" w:ascii="宋体" w:hAnsi="宋体" w:cs="宋体"/>
                <w:color w:val="auto"/>
                <w:szCs w:val="21"/>
              </w:rPr>
              <w:t>2、不论投标结果如何，响应人均应自行承担所有与投标有关的全部费用。</w:t>
            </w:r>
          </w:p>
          <w:p w14:paraId="66F7A9FB">
            <w:pPr>
              <w:spacing w:line="360" w:lineRule="exact"/>
              <w:rPr>
                <w:rFonts w:hint="eastAsia" w:ascii="宋体" w:hAnsi="宋体" w:cs="宋体"/>
                <w:color w:val="auto"/>
                <w:szCs w:val="21"/>
                <w:lang w:val="en-US" w:eastAsia="zh-CN"/>
              </w:rPr>
            </w:pPr>
            <w:bookmarkStart w:id="6" w:name="_Hlk61602443"/>
            <w:r>
              <w:rPr>
                <w:rFonts w:hint="eastAsia" w:ascii="宋体" w:hAnsi="宋体" w:cs="宋体"/>
                <w:b/>
                <w:bCs/>
                <w:color w:val="auto"/>
                <w:szCs w:val="21"/>
              </w:rPr>
              <w:t>3、</w:t>
            </w:r>
            <w:bookmarkEnd w:id="6"/>
            <w:r>
              <w:rPr>
                <w:rFonts w:hint="eastAsia" w:ascii="宋体" w:hAnsi="宋体" w:cs="宋体"/>
                <w:color w:val="auto"/>
                <w:szCs w:val="21"/>
                <w:lang w:val="en-US" w:eastAsia="zh-CN"/>
              </w:rPr>
              <w:t>本项目招标代理服务费2.8万元由中标单位领取中标通知书时一次性全额支付。</w:t>
            </w:r>
          </w:p>
          <w:p w14:paraId="3271A5E6">
            <w:pPr>
              <w:spacing w:line="360" w:lineRule="exact"/>
              <w:rPr>
                <w:rFonts w:hint="default" w:ascii="宋体" w:hAnsi="宋体" w:cs="宋体"/>
                <w:color w:val="auto"/>
                <w:szCs w:val="21"/>
                <w:lang w:val="en-US" w:eastAsia="zh-CN"/>
              </w:rPr>
            </w:pPr>
            <w:r>
              <w:rPr>
                <w:rFonts w:hint="default" w:ascii="宋体" w:hAnsi="宋体" w:cs="宋体"/>
                <w:color w:val="auto"/>
                <w:szCs w:val="21"/>
                <w:lang w:val="en-US" w:eastAsia="zh-CN"/>
              </w:rPr>
              <w:t xml:space="preserve">开户银行：舟山定海海洋农商银行营业部          </w:t>
            </w:r>
          </w:p>
          <w:p w14:paraId="2FF7AAB5">
            <w:pPr>
              <w:spacing w:line="360" w:lineRule="exact"/>
              <w:rPr>
                <w:rFonts w:hint="default" w:ascii="宋体" w:hAnsi="宋体" w:cs="宋体"/>
                <w:color w:val="auto"/>
                <w:szCs w:val="21"/>
                <w:lang w:val="en-US" w:eastAsia="zh-CN"/>
              </w:rPr>
            </w:pPr>
            <w:r>
              <w:rPr>
                <w:rFonts w:hint="default" w:ascii="宋体" w:hAnsi="宋体" w:cs="宋体"/>
                <w:color w:val="auto"/>
                <w:szCs w:val="21"/>
                <w:lang w:val="en-US" w:eastAsia="zh-CN"/>
              </w:rPr>
              <w:t xml:space="preserve">帐    号：201000012335992     </w:t>
            </w:r>
          </w:p>
          <w:p w14:paraId="391466DC">
            <w:pPr>
              <w:rPr>
                <w:b/>
                <w:color w:val="auto"/>
              </w:rPr>
            </w:pPr>
            <w:r>
              <w:rPr>
                <w:rFonts w:hint="default" w:ascii="宋体" w:hAnsi="宋体" w:cs="宋体"/>
                <w:color w:val="auto"/>
                <w:szCs w:val="21"/>
                <w:lang w:val="en-US" w:eastAsia="zh-CN"/>
              </w:rPr>
              <w:t>收 款 人：浙江天隆工程管理有限公司</w:t>
            </w:r>
          </w:p>
        </w:tc>
      </w:tr>
      <w:tr w14:paraId="2290364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106981EE">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9</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0D386C0E">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履约保证金</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0A499048">
            <w:pPr>
              <w:spacing w:line="320" w:lineRule="exact"/>
              <w:rPr>
                <w:color w:val="auto"/>
              </w:rPr>
            </w:pPr>
            <w:r>
              <w:rPr>
                <w:rFonts w:hint="eastAsia" w:ascii="宋体" w:hAnsi="宋体" w:cs="宋体"/>
                <w:color w:val="auto"/>
              </w:rPr>
              <w:t>/</w:t>
            </w:r>
          </w:p>
        </w:tc>
      </w:tr>
      <w:tr w14:paraId="27AFB0D3">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57B975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10</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0CB0038">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响应文件的组成、制作</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15AF881">
            <w:pPr>
              <w:spacing w:line="320" w:lineRule="exact"/>
              <w:rPr>
                <w:rFonts w:ascii="宋体" w:hAnsi="宋体" w:cs="宋体"/>
                <w:color w:val="auto"/>
                <w:szCs w:val="21"/>
              </w:rPr>
            </w:pPr>
            <w:r>
              <w:rPr>
                <w:rFonts w:hint="eastAsia" w:ascii="宋体" w:hAnsi="宋体" w:cs="宋体"/>
                <w:color w:val="auto"/>
                <w:szCs w:val="21"/>
              </w:rPr>
              <w:t>本项目实行电子投标。</w:t>
            </w:r>
          </w:p>
          <w:p w14:paraId="116DAEEF">
            <w:pPr>
              <w:spacing w:line="320" w:lineRule="exact"/>
              <w:rPr>
                <w:rFonts w:ascii="宋体" w:hAnsi="宋体" w:cs="宋体"/>
                <w:color w:val="auto"/>
                <w:szCs w:val="21"/>
              </w:rPr>
            </w:pPr>
            <w:r>
              <w:rPr>
                <w:rFonts w:hint="eastAsia" w:ascii="宋体" w:hAnsi="宋体" w:cs="宋体"/>
                <w:color w:val="auto"/>
                <w:szCs w:val="21"/>
              </w:rPr>
              <w:t>响应人应准备电子响应文件和以介质存储的数据电文形式的备份响应文件：</w:t>
            </w:r>
          </w:p>
          <w:p w14:paraId="02786F9D">
            <w:pPr>
              <w:spacing w:line="320" w:lineRule="exact"/>
              <w:rPr>
                <w:rFonts w:ascii="宋体" w:hAnsi="宋体" w:cs="宋体"/>
                <w:color w:val="auto"/>
                <w:szCs w:val="21"/>
              </w:rPr>
            </w:pPr>
            <w:r>
              <w:rPr>
                <w:rFonts w:hint="eastAsia" w:ascii="宋体" w:hAnsi="宋体" w:cs="宋体"/>
                <w:color w:val="auto"/>
                <w:szCs w:val="21"/>
              </w:rPr>
              <w:t>（1）电子响应文件，按政采云平台项目采购-电子交易操作指南及本竞争性磋商文件要求递交。</w:t>
            </w:r>
          </w:p>
          <w:p w14:paraId="6457920D">
            <w:pPr>
              <w:spacing w:line="320" w:lineRule="exact"/>
              <w:rPr>
                <w:rFonts w:ascii="宋体" w:hAnsi="宋体" w:cs="宋体"/>
                <w:color w:val="auto"/>
                <w:szCs w:val="21"/>
              </w:rPr>
            </w:pPr>
            <w:r>
              <w:rPr>
                <w:rFonts w:hint="eastAsia" w:ascii="宋体" w:hAnsi="宋体" w:cs="宋体"/>
                <w:color w:val="auto"/>
                <w:szCs w:val="21"/>
              </w:rPr>
              <w:t>（2）以介质存储的数据电文形式的备份响应文件，按政采云平台项目采购-电子交易操作指南中上传的电子响应文件格式。</w:t>
            </w:r>
          </w:p>
          <w:p w14:paraId="57D58EFD">
            <w:pPr>
              <w:spacing w:line="320" w:lineRule="exact"/>
              <w:rPr>
                <w:rFonts w:ascii="宋体" w:hAnsi="宋体"/>
                <w:color w:val="auto"/>
              </w:rPr>
            </w:pPr>
            <w:r>
              <w:rPr>
                <w:rFonts w:hint="eastAsia" w:ascii="宋体" w:hAnsi="宋体" w:cs="宋体"/>
                <w:color w:val="auto"/>
                <w:szCs w:val="21"/>
              </w:rPr>
              <w:t>响应文件均由响应报价文件、资格证明文件、商务技术文件组成。</w:t>
            </w:r>
          </w:p>
        </w:tc>
      </w:tr>
      <w:tr w14:paraId="7E737D8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395E4735">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11</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77AD0B91">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响应文件递交方式</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2EB8D9F0">
            <w:pPr>
              <w:spacing w:line="320" w:lineRule="exact"/>
              <w:rPr>
                <w:rFonts w:ascii="宋体" w:hAnsi="宋体" w:cs="宋体"/>
                <w:color w:val="auto"/>
                <w:szCs w:val="21"/>
              </w:rPr>
            </w:pPr>
            <w:r>
              <w:rPr>
                <w:rFonts w:hint="eastAsia" w:ascii="宋体" w:hAnsi="宋体" w:cs="宋体"/>
                <w:color w:val="auto"/>
                <w:szCs w:val="21"/>
              </w:rPr>
              <w:t>（1）响应人应当在投标截止时间前完成电子响应文件的传输递交，并可以补充、修改或者撤回电子响应文件。补充或者修改电子响应文件的，应当先行撤回原文件，补充、修改后重新传输递交。响应截止时间前未完成传输的，视为撤回响应文件。响应、响应截止时间后送达的投标、响应文件，将被政采云平台拒收。</w:t>
            </w:r>
          </w:p>
          <w:p w14:paraId="21B8D493">
            <w:pPr>
              <w:wordWrap w:val="0"/>
              <w:spacing w:line="360" w:lineRule="exact"/>
              <w:rPr>
                <w:rFonts w:ascii="宋体" w:hAnsi="宋体" w:cs="宋体"/>
                <w:color w:val="auto"/>
                <w:szCs w:val="21"/>
              </w:rPr>
            </w:pPr>
            <w:r>
              <w:rPr>
                <w:rFonts w:hint="eastAsia" w:ascii="宋体" w:hAnsi="宋体" w:cs="宋体"/>
                <w:color w:val="auto"/>
                <w:szCs w:val="21"/>
              </w:rPr>
              <w:t>（2）本项目实行电子投标，投标人无须授权代表参加现场开标会议。投标人应当于2025年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r>
              <w:rPr>
                <w:rFonts w:hint="eastAsia" w:ascii="宋体" w:hAnsi="宋体" w:cs="宋体"/>
                <w:color w:val="auto"/>
                <w:szCs w:val="21"/>
                <w:lang w:val="en-US" w:eastAsia="zh-CN"/>
              </w:rPr>
              <w:t xml:space="preserve">   </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5F6AB13A">
            <w:pPr>
              <w:spacing w:line="320" w:lineRule="exact"/>
              <w:rPr>
                <w:rFonts w:ascii="宋体" w:hAnsi="宋体" w:cs="宋体"/>
                <w:color w:val="auto"/>
                <w:szCs w:val="21"/>
              </w:rPr>
            </w:pPr>
            <w:r>
              <w:rPr>
                <w:rFonts w:hint="eastAsia" w:ascii="宋体" w:hAnsi="宋体" w:cs="宋体"/>
                <w:color w:val="auto"/>
                <w:szCs w:val="21"/>
              </w:rPr>
              <w:t>响应人递交以介质存储的数据电文形式的备份响应文件时，如出现下列情况之一的，将被拒收：</w:t>
            </w:r>
          </w:p>
          <w:p w14:paraId="08FA9451">
            <w:pPr>
              <w:spacing w:line="320" w:lineRule="exact"/>
              <w:ind w:firstLine="210" w:firstLineChars="100"/>
              <w:rPr>
                <w:rFonts w:ascii="宋体" w:hAnsi="宋体" w:cs="宋体"/>
                <w:color w:val="auto"/>
                <w:szCs w:val="21"/>
              </w:rPr>
            </w:pPr>
            <w:r>
              <w:rPr>
                <w:rFonts w:hint="eastAsia" w:ascii="宋体" w:hAnsi="宋体" w:cs="宋体"/>
                <w:color w:val="auto"/>
                <w:szCs w:val="21"/>
              </w:rPr>
              <w:t xml:space="preserve">1）未成功办理响应人竞争性磋商文件获取手续的； </w:t>
            </w:r>
          </w:p>
          <w:p w14:paraId="50A35E89">
            <w:pPr>
              <w:spacing w:line="320" w:lineRule="exact"/>
              <w:ind w:firstLine="210" w:firstLineChars="100"/>
              <w:rPr>
                <w:rFonts w:ascii="宋体" w:hAnsi="宋体" w:cs="宋体"/>
                <w:color w:val="auto"/>
                <w:szCs w:val="21"/>
              </w:rPr>
            </w:pPr>
            <w:r>
              <w:rPr>
                <w:rFonts w:hint="eastAsia" w:ascii="宋体" w:hAnsi="宋体" w:cs="宋体"/>
                <w:color w:val="auto"/>
                <w:szCs w:val="21"/>
              </w:rPr>
              <w:t>2）未按规定要求提供后缀为.bfbs电子备份响应文件的；</w:t>
            </w:r>
          </w:p>
          <w:p w14:paraId="21441340">
            <w:pPr>
              <w:spacing w:line="320" w:lineRule="exact"/>
              <w:ind w:firstLine="210" w:firstLineChars="100"/>
              <w:rPr>
                <w:rFonts w:ascii="宋体" w:hAnsi="宋体" w:cs="宋体"/>
                <w:color w:val="auto"/>
                <w:szCs w:val="21"/>
              </w:rPr>
            </w:pPr>
            <w:r>
              <w:rPr>
                <w:rFonts w:hint="eastAsia" w:ascii="宋体" w:hAnsi="宋体" w:cs="宋体"/>
                <w:color w:val="auto"/>
                <w:szCs w:val="21"/>
              </w:rPr>
              <w:t>3）超过响应截止时间发送的。</w:t>
            </w:r>
          </w:p>
          <w:p w14:paraId="6AE4AEBB">
            <w:pPr>
              <w:spacing w:line="320" w:lineRule="exact"/>
              <w:rPr>
                <w:rFonts w:ascii="宋体" w:hAnsi="宋体" w:cs="宋体"/>
                <w:color w:val="auto"/>
                <w:szCs w:val="21"/>
              </w:rPr>
            </w:pPr>
            <w:r>
              <w:rPr>
                <w:rFonts w:hint="eastAsia" w:ascii="宋体" w:hAnsi="宋体" w:cs="宋体"/>
                <w:color w:val="auto"/>
                <w:szCs w:val="21"/>
              </w:rPr>
              <w:t>仅提供备份响应文件的，投标无效，相关风险由响应人自行承担。</w:t>
            </w:r>
          </w:p>
        </w:tc>
      </w:tr>
      <w:tr w14:paraId="7170AC51">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7C6C8B4C">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12</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237A0D4">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开标地点</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33248BA5">
            <w:pPr>
              <w:spacing w:line="320" w:lineRule="exact"/>
              <w:rPr>
                <w:rFonts w:ascii="宋体" w:hAnsi="宋体" w:cs="宋体"/>
                <w:color w:val="auto"/>
                <w:szCs w:val="21"/>
              </w:rPr>
            </w:pPr>
            <w:r>
              <w:rPr>
                <w:rFonts w:hint="eastAsia" w:ascii="宋体" w:hAnsi="宋体" w:cs="宋体"/>
                <w:b/>
                <w:color w:val="auto"/>
                <w:kern w:val="0"/>
                <w:szCs w:val="21"/>
              </w:rPr>
              <w:t>响应人需通过“政府采购云平台（www.zcygov.cn）”在线投标响应。</w:t>
            </w:r>
          </w:p>
        </w:tc>
      </w:tr>
      <w:tr w14:paraId="7D43048D">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47E0B659">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13</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4EC67D5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响应文件提交截止时间以及开标时间</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179039CA">
            <w:pPr>
              <w:spacing w:line="32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日</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w:t>
            </w:r>
          </w:p>
        </w:tc>
      </w:tr>
      <w:tr w14:paraId="52952B4F">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0BAFBE03">
            <w:pPr>
              <w:spacing w:line="320" w:lineRule="exact"/>
              <w:jc w:val="center"/>
              <w:rPr>
                <w:rFonts w:hint="eastAsia" w:ascii="宋体" w:hAnsi="宋体" w:cs="宋体"/>
                <w:b/>
                <w:color w:val="auto"/>
                <w:szCs w:val="21"/>
                <w:shd w:val="pct10" w:color="auto" w:fill="FFFFFF"/>
                <w:lang w:eastAsia="zh-CN"/>
              </w:rPr>
            </w:pPr>
            <w:r>
              <w:rPr>
                <w:rFonts w:hint="eastAsia" w:ascii="宋体" w:hAnsi="宋体" w:cs="宋体"/>
                <w:b/>
                <w:color w:val="auto"/>
                <w:szCs w:val="21"/>
                <w:shd w:val="pct10" w:color="auto" w:fill="FFFFFF"/>
                <w:lang w:eastAsia="zh-CN"/>
              </w:rPr>
              <w:t>.</w:t>
            </w:r>
          </w:p>
          <w:p w14:paraId="5453BE27">
            <w:pPr>
              <w:spacing w:line="320" w:lineRule="exact"/>
              <w:jc w:val="center"/>
              <w:rPr>
                <w:rFonts w:ascii="宋体" w:hAnsi="宋体" w:cs="宋体"/>
                <w:b/>
                <w:color w:val="auto"/>
                <w:szCs w:val="21"/>
                <w:shd w:val="pct10" w:color="auto" w:fill="FFFFFF"/>
              </w:rPr>
            </w:pPr>
            <w:r>
              <w:rPr>
                <w:rFonts w:hint="eastAsia" w:ascii="宋体" w:hAnsi="宋体" w:cs="宋体"/>
                <w:b/>
                <w:color w:val="auto"/>
                <w:szCs w:val="21"/>
                <w:shd w:val="pct10" w:color="auto" w:fill="FFFFFF"/>
              </w:rPr>
              <w:t>14</w:t>
            </w: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3C2FCDAD">
            <w:pPr>
              <w:spacing w:line="320" w:lineRule="exact"/>
              <w:jc w:val="center"/>
              <w:rPr>
                <w:rFonts w:ascii="宋体" w:hAnsi="宋体" w:cs="宋体"/>
                <w:color w:val="auto"/>
                <w:sz w:val="24"/>
              </w:rPr>
            </w:pPr>
            <w:r>
              <w:rPr>
                <w:rFonts w:hint="eastAsia" w:ascii="宋体" w:hAnsi="宋体" w:cs="宋体"/>
                <w:b/>
                <w:color w:val="auto"/>
                <w:szCs w:val="21"/>
                <w:shd w:val="pct10" w:color="auto" w:fill="FFFFFF"/>
              </w:rPr>
              <w:t>中小企业划分标准所属行业</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7F422082">
            <w:pPr>
              <w:spacing w:line="320" w:lineRule="exact"/>
              <w:jc w:val="left"/>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采购标的：普陀区环境健康友好创新试点建设项目</w:t>
            </w:r>
            <w:r>
              <w:rPr>
                <w:rFonts w:hint="eastAsia" w:ascii="宋体" w:hAnsi="宋体" w:cs="宋体"/>
                <w:b/>
                <w:color w:val="auto"/>
                <w:kern w:val="0"/>
                <w:szCs w:val="21"/>
                <w:highlight w:val="none"/>
                <w:lang w:eastAsia="zh-CN"/>
              </w:rPr>
              <w:t>。</w:t>
            </w:r>
          </w:p>
          <w:p w14:paraId="6707984B">
            <w:pPr>
              <w:spacing w:line="320" w:lineRule="exact"/>
              <w:jc w:val="left"/>
              <w:rPr>
                <w:rFonts w:hint="eastAsia" w:ascii="宋体" w:hAnsi="宋体" w:cs="宋体"/>
                <w:b/>
                <w:color w:val="auto"/>
                <w:kern w:val="0"/>
                <w:szCs w:val="21"/>
                <w:highlight w:val="none"/>
                <w:lang w:eastAsia="zh-CN"/>
              </w:rPr>
            </w:pPr>
            <w:r>
              <w:rPr>
                <w:rFonts w:hint="eastAsia" w:cs="宋体" w:asciiTheme="minorEastAsia" w:hAnsiTheme="minorEastAsia" w:eastAsiaTheme="minorEastAsia"/>
                <w:b/>
                <w:color w:val="auto"/>
                <w:kern w:val="0"/>
                <w:szCs w:val="21"/>
                <w:highlight w:val="none"/>
              </w:rPr>
              <w:t>所属行业：</w:t>
            </w:r>
            <w:r>
              <w:rPr>
                <w:rFonts w:hint="eastAsia" w:ascii="宋体" w:hAnsi="宋体" w:cs="宋体"/>
                <w:b/>
                <w:color w:val="auto"/>
                <w:kern w:val="0"/>
                <w:szCs w:val="21"/>
                <w:highlight w:val="none"/>
              </w:rPr>
              <w:t>科学研究和技术服务业</w:t>
            </w:r>
            <w:r>
              <w:rPr>
                <w:rFonts w:hint="eastAsia" w:ascii="宋体" w:hAnsi="宋体" w:cs="宋体"/>
                <w:b/>
                <w:color w:val="auto"/>
                <w:kern w:val="0"/>
                <w:szCs w:val="21"/>
                <w:highlight w:val="none"/>
                <w:lang w:eastAsia="zh-CN"/>
              </w:rPr>
              <w:t>。</w:t>
            </w:r>
          </w:p>
          <w:p w14:paraId="294610C3">
            <w:pPr>
              <w:spacing w:line="320" w:lineRule="exact"/>
              <w:jc w:val="left"/>
              <w:rPr>
                <w:color w:val="auto"/>
                <w:highlight w:val="none"/>
              </w:rPr>
            </w:pPr>
            <w:r>
              <w:rPr>
                <w:rFonts w:hint="eastAsia" w:ascii="宋体" w:hAnsi="宋体" w:eastAsia="宋体" w:cs="宋体"/>
                <w:b/>
                <w:color w:val="auto"/>
                <w:kern w:val="0"/>
                <w:szCs w:val="21"/>
                <w:highlight w:val="none"/>
              </w:rPr>
              <w:t>（从业人员300人以下的为中小微型企业。其中，从业人员100人及以上的为中型企业；从业人员10人及以上的为小型企业；从业人员10人以下的为微型企业。）</w:t>
            </w:r>
          </w:p>
        </w:tc>
      </w:tr>
      <w:tr w14:paraId="3A812CCA">
        <w:tblPrEx>
          <w:tblCellMar>
            <w:top w:w="15" w:type="dxa"/>
            <w:left w:w="15" w:type="dxa"/>
            <w:bottom w:w="15" w:type="dxa"/>
            <w:right w:w="15" w:type="dxa"/>
          </w:tblCellMar>
        </w:tblPrEx>
        <w:trPr>
          <w:trHeight w:val="454" w:hRule="atLeast"/>
          <w:tblCellSpacing w:w="7" w:type="dxa"/>
          <w:jc w:val="center"/>
        </w:trPr>
        <w:tc>
          <w:tcPr>
            <w:tcW w:w="688" w:type="dxa"/>
            <w:tcBorders>
              <w:top w:val="single" w:color="auto" w:sz="4" w:space="0"/>
              <w:left w:val="single" w:color="auto" w:sz="4" w:space="0"/>
              <w:bottom w:val="single" w:color="auto" w:sz="4" w:space="0"/>
              <w:right w:val="single" w:color="auto" w:sz="4" w:space="0"/>
            </w:tcBorders>
            <w:shd w:val="clear" w:color="auto" w:fill="E0E0E0"/>
            <w:vAlign w:val="center"/>
          </w:tcPr>
          <w:p w14:paraId="66DAD617">
            <w:pPr>
              <w:spacing w:line="320" w:lineRule="exact"/>
              <w:jc w:val="center"/>
              <w:rPr>
                <w:rFonts w:hint="eastAsia" w:ascii="宋体" w:hAnsi="宋体" w:cs="宋体"/>
                <w:b/>
                <w:color w:val="auto"/>
                <w:szCs w:val="21"/>
                <w:shd w:val="pct10" w:color="auto" w:fill="FFFFFF"/>
              </w:rPr>
            </w:pPr>
          </w:p>
        </w:tc>
        <w:tc>
          <w:tcPr>
            <w:tcW w:w="1533" w:type="dxa"/>
            <w:tcBorders>
              <w:top w:val="single" w:color="auto" w:sz="4" w:space="0"/>
              <w:left w:val="single" w:color="auto" w:sz="4" w:space="0"/>
              <w:bottom w:val="single" w:color="auto" w:sz="4" w:space="0"/>
              <w:right w:val="single" w:color="auto" w:sz="4" w:space="0"/>
            </w:tcBorders>
            <w:shd w:val="clear" w:color="auto" w:fill="E0E0E0"/>
            <w:vAlign w:val="center"/>
          </w:tcPr>
          <w:p w14:paraId="1D30186A">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0B4E2EA6">
            <w:pPr>
              <w:spacing w:line="320" w:lineRule="exact"/>
              <w:jc w:val="center"/>
              <w:rPr>
                <w:rFonts w:hint="eastAsia" w:ascii="宋体" w:hAnsi="宋体" w:cs="宋体"/>
                <w:b/>
                <w:color w:val="auto"/>
                <w:szCs w:val="21"/>
                <w:shd w:val="pct10" w:color="auto" w:fill="FFFFFF"/>
              </w:rPr>
            </w:pPr>
            <w:r>
              <w:rPr>
                <w:rFonts w:hint="eastAsia" w:ascii="宋体" w:hAnsi="宋体" w:cs="宋体"/>
                <w:b/>
                <w:color w:val="auto"/>
                <w:szCs w:val="21"/>
              </w:rPr>
              <w:t>扶持政策</w:t>
            </w:r>
          </w:p>
        </w:tc>
        <w:tc>
          <w:tcPr>
            <w:tcW w:w="7999" w:type="dxa"/>
            <w:tcBorders>
              <w:top w:val="single" w:color="auto" w:sz="4" w:space="0"/>
              <w:left w:val="single" w:color="auto" w:sz="4" w:space="0"/>
              <w:bottom w:val="single" w:color="auto" w:sz="4" w:space="0"/>
              <w:right w:val="single" w:color="auto" w:sz="4" w:space="0"/>
            </w:tcBorders>
            <w:shd w:val="clear" w:color="auto" w:fill="FFFFFF"/>
            <w:vAlign w:val="center"/>
          </w:tcPr>
          <w:p w14:paraId="4CC3C95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733F7998">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F39D13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07F7EC6E">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3F8916C3">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5E7D3821">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5D5981ED">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6C34EB9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5BA98EFE">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16D09BA6">
            <w:pPr>
              <w:spacing w:line="360" w:lineRule="exact"/>
              <w:rPr>
                <w:rFonts w:hint="eastAsia" w:ascii="宋体" w:hAnsi="宋体" w:cs="宋体"/>
                <w:b/>
                <w:color w:val="auto"/>
                <w:szCs w:val="21"/>
              </w:rPr>
            </w:pPr>
            <w:r>
              <w:rPr>
                <w:rFonts w:hint="eastAsia" w:ascii="宋体" w:hAnsi="宋体" w:cs="宋体"/>
                <w:b/>
                <w:color w:val="auto"/>
                <w:szCs w:val="21"/>
                <w:lang w:val="en-US" w:eastAsia="zh-CN"/>
              </w:rPr>
              <w:t>4.本项目为未预留份额</w:t>
            </w:r>
            <w:bookmarkStart w:id="20" w:name="_GoBack"/>
            <w:r>
              <w:rPr>
                <w:rFonts w:hint="eastAsia" w:ascii="宋体" w:hAnsi="宋体" w:cs="宋体"/>
                <w:b/>
                <w:color w:val="auto"/>
                <w:szCs w:val="21"/>
                <w:lang w:val="en-US" w:eastAsia="zh-CN"/>
              </w:rPr>
              <w:t>专门</w:t>
            </w:r>
            <w:bookmarkEnd w:id="20"/>
            <w:r>
              <w:rPr>
                <w:rFonts w:hint="eastAsia" w:ascii="宋体" w:hAnsi="宋体" w:cs="宋体"/>
                <w:b/>
                <w:color w:val="auto"/>
                <w:szCs w:val="21"/>
                <w:lang w:val="en-US" w:eastAsia="zh-CN"/>
              </w:rPr>
              <w:t>面向中小企业采购的采购项目。</w:t>
            </w:r>
          </w:p>
          <w:p w14:paraId="7629B7C7">
            <w:pPr>
              <w:ind w:firstLine="422" w:firstLineChars="200"/>
              <w:rPr>
                <w:rFonts w:ascii="宋体" w:hAnsi="宋体" w:cs="宋体"/>
                <w:b/>
                <w:kern w:val="0"/>
                <w:szCs w:val="21"/>
              </w:rPr>
            </w:pPr>
            <w:r>
              <w:rPr>
                <w:rFonts w:hint="eastAsia" w:ascii="宋体" w:hAnsi="宋体" w:cs="宋体"/>
                <w:b/>
                <w:kern w:val="0"/>
                <w:szCs w:val="21"/>
              </w:rPr>
              <w:t>本项目中小企业扶持政策：</w:t>
            </w:r>
          </w:p>
          <w:p w14:paraId="25517CB4">
            <w:pPr>
              <w:ind w:firstLine="422" w:firstLineChars="200"/>
              <w:rPr>
                <w:rFonts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14:paraId="05385341">
            <w:pPr>
              <w:ind w:firstLine="422" w:firstLineChars="200"/>
              <w:rPr>
                <w:rFonts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14:paraId="290B5FCE">
            <w:pPr>
              <w:ind w:firstLine="422" w:firstLineChars="200"/>
              <w:rPr>
                <w:rFonts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14:paraId="65E8AF1C">
            <w:pPr>
              <w:spacing w:line="320" w:lineRule="exact"/>
              <w:jc w:val="left"/>
              <w:rPr>
                <w:rFonts w:hint="eastAsia" w:cs="宋体" w:asciiTheme="minorEastAsia" w:hAnsiTheme="minorEastAsia" w:eastAsiaTheme="minorEastAsia"/>
                <w:b/>
                <w:color w:val="auto"/>
                <w:kern w:val="0"/>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14:paraId="362ED1F8">
      <w:pPr>
        <w:snapToGrid w:val="0"/>
        <w:spacing w:after="240" w:line="276" w:lineRule="auto"/>
        <w:ind w:firstLine="560"/>
        <w:jc w:val="center"/>
        <w:rPr>
          <w:rFonts w:ascii="宋体" w:hAnsi="宋体" w:cs="宋体"/>
          <w:b/>
          <w:color w:val="000000" w:themeColor="text1"/>
          <w:sz w:val="28"/>
          <w:szCs w:val="30"/>
          <w14:textFill>
            <w14:solidFill>
              <w14:schemeClr w14:val="tx1"/>
            </w14:solidFill>
          </w14:textFill>
        </w:rPr>
      </w:pPr>
    </w:p>
    <w:p w14:paraId="50E0486F">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br w:type="page"/>
      </w:r>
      <w:r>
        <w:rPr>
          <w:rFonts w:hint="eastAsia" w:ascii="宋体" w:hAnsi="宋体" w:cs="宋体"/>
          <w:b/>
          <w:color w:val="000000" w:themeColor="text1"/>
          <w:sz w:val="28"/>
          <w:szCs w:val="30"/>
          <w14:textFill>
            <w14:solidFill>
              <w14:schemeClr w14:val="tx1"/>
            </w14:solidFill>
          </w14:textFill>
        </w:rPr>
        <w:t>一、总  则</w:t>
      </w:r>
    </w:p>
    <w:p w14:paraId="78BE687C">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（一）适用范围</w:t>
      </w:r>
    </w:p>
    <w:p w14:paraId="530D0B83">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本竞争性磋商文件适用于本次项目的评标、定标、验收、合同履约、付款等（法律、法规另有规定的，从其规定）。</w:t>
      </w:r>
    </w:p>
    <w:p w14:paraId="685C1ACE">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（二）定义</w:t>
      </w:r>
    </w:p>
    <w:p w14:paraId="61102BB1">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1.招标采购单位系指组织本次招标的代理机构和采购单位。</w:t>
      </w:r>
    </w:p>
    <w:p w14:paraId="356CFFC9">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2.“响应人（响应人）”系指向招标方提交响应文件的单位。</w:t>
      </w:r>
    </w:p>
    <w:p w14:paraId="2B8FD9CC">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3.“产品”系指供方按竞争性磋商文件规定，须向采购人提供的一切设备、保险、税金、备品备件、工具、手册及其它有关技术资料和材料。</w:t>
      </w:r>
    </w:p>
    <w:p w14:paraId="56330E6C">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4.“服务”系指竞争性磋商文件规定响应人须承担的服务等义务。</w:t>
      </w:r>
    </w:p>
    <w:p w14:paraId="42DDF0D4">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5.“项目”系指响应人按竞争性磋商文件规定向采购人提供服务。</w:t>
      </w:r>
    </w:p>
    <w:p w14:paraId="60753149">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6.“书面形式”包括信函、传真、电报、电子文档等。</w:t>
      </w:r>
    </w:p>
    <w:p w14:paraId="3326538E">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7.“▲”系指实质性要求条款。</w:t>
      </w:r>
    </w:p>
    <w:p w14:paraId="4FF8DEE1">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（三）招标方式</w:t>
      </w:r>
    </w:p>
    <w:p w14:paraId="6767B3C1">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1.本次招标采用竞争性磋商方式进行。</w:t>
      </w:r>
    </w:p>
    <w:p w14:paraId="7FA6AAA5">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2.本次招标</w:t>
      </w:r>
      <w:r>
        <w:rPr>
          <w:rFonts w:hint="eastAsia" w:hAnsi="宋体" w:eastAsia="宋体" w:cs="宋体"/>
          <w:b/>
          <w:color w:val="000000" w:themeColor="text1"/>
          <w:sz w:val="21"/>
          <w:szCs w:val="21"/>
          <w14:textFill>
            <w14:solidFill>
              <w14:schemeClr w14:val="tx1"/>
            </w14:solidFill>
          </w14:textFill>
        </w:rPr>
        <w:t>最高限价</w:t>
      </w:r>
      <w:r>
        <w:rPr>
          <w:rFonts w:hint="eastAsia" w:hAnsi="宋体" w:eastAsia="宋体" w:cs="宋体"/>
          <w:b/>
          <w:color w:val="000000" w:themeColor="text1"/>
          <w:sz w:val="21"/>
          <w:szCs w:val="21"/>
          <w:lang w:val="en-US" w:eastAsia="zh-CN"/>
          <w14:textFill>
            <w14:solidFill>
              <w14:schemeClr w14:val="tx1"/>
            </w14:solidFill>
          </w14:textFill>
        </w:rPr>
        <w:t>3</w:t>
      </w:r>
      <w:r>
        <w:rPr>
          <w:rFonts w:hint="eastAsia" w:hAnsi="宋体" w:eastAsia="宋体" w:cs="宋体"/>
          <w:b/>
          <w:color w:val="000000" w:themeColor="text1"/>
          <w:sz w:val="21"/>
          <w:szCs w:val="21"/>
          <w14:textFill>
            <w14:solidFill>
              <w14:schemeClr w14:val="tx1"/>
            </w14:solidFill>
          </w14:textFill>
        </w:rPr>
        <w:t>50万元</w:t>
      </w:r>
      <w:r>
        <w:rPr>
          <w:rFonts w:hint="eastAsia" w:hAnsi="宋体" w:eastAsia="宋体" w:cs="宋体"/>
          <w:color w:val="000000" w:themeColor="text1"/>
          <w:sz w:val="21"/>
          <w:szCs w:val="21"/>
          <w14:textFill>
            <w14:solidFill>
              <w14:schemeClr w14:val="tx1"/>
            </w14:solidFill>
          </w14:textFill>
        </w:rPr>
        <w:t>，超过作无效投标处理。</w:t>
      </w:r>
    </w:p>
    <w:p w14:paraId="3C513C34">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（四）投标费用</w:t>
      </w:r>
    </w:p>
    <w:p w14:paraId="4FCC8281">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不论投标结果如何，响应人均应自行承担所有与投标有关的全部费用（竞争性磋商文件另有规定除外）。</w:t>
      </w:r>
    </w:p>
    <w:p w14:paraId="241F4C63">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（五）联合体投标</w:t>
      </w:r>
    </w:p>
    <w:p w14:paraId="541B2A9E">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w:t>
      </w:r>
      <w:r>
        <w:rPr>
          <w:rFonts w:hint="eastAsia" w:hAnsi="宋体" w:eastAsia="宋体" w:cs="宋体"/>
          <w:color w:val="000000" w:themeColor="text1"/>
          <w:sz w:val="21"/>
          <w:szCs w:val="21"/>
          <w:u w:val="single"/>
          <w14:textFill>
            <w14:solidFill>
              <w14:schemeClr w14:val="tx1"/>
            </w14:solidFill>
          </w14:textFill>
        </w:rPr>
        <w:t>不接受</w:t>
      </w:r>
      <w:r>
        <w:rPr>
          <w:rFonts w:hint="eastAsia" w:hAnsi="宋体" w:eastAsia="宋体" w:cs="宋体"/>
          <w:color w:val="000000" w:themeColor="text1"/>
          <w:sz w:val="21"/>
          <w:szCs w:val="21"/>
          <w14:textFill>
            <w14:solidFill>
              <w14:schemeClr w14:val="tx1"/>
            </w14:solidFill>
          </w14:textFill>
        </w:rPr>
        <w:t>联合体投标。</w:t>
      </w:r>
    </w:p>
    <w:p w14:paraId="7655F290">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（六）转包与分包</w:t>
      </w:r>
    </w:p>
    <w:p w14:paraId="46789AAB">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1.本项目不允许转包。</w:t>
      </w:r>
    </w:p>
    <w:p w14:paraId="618A7CBE">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2.本项目不允许分包。</w:t>
      </w:r>
    </w:p>
    <w:p w14:paraId="10655976">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（七）特别说明：</w:t>
      </w:r>
    </w:p>
    <w:p w14:paraId="720CC5EF">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1.单位负责人为同一人或者存在直接控股、管理关系的不同供应商，不得参加同一合同项下的政府采购活动。违法该款规定的，相关投标均无效。</w:t>
      </w:r>
    </w:p>
    <w:p w14:paraId="7777F141">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2.响应人投标所使用的资格、信誉、荣誉、业绩与企业认证必须为本法人所拥有。响应人投标所使用的采购项目实施人员必须为本法人或控股公司正式员工。</w:t>
      </w:r>
    </w:p>
    <w:p w14:paraId="212481D2">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3.响应人应仔细阅读竞争性磋商文件的所有内容，按照竞争性磋商文件的要求提交响应文件，并对所提供的全部资料的真实性承担法律责任。</w:t>
      </w:r>
    </w:p>
    <w:p w14:paraId="0FE4F85B">
      <w:pPr>
        <w:pStyle w:val="15"/>
        <w:adjustRightInd w:val="0"/>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响应人在投标活动中提供任何虚假材料,其投标无效，并报监管部门查处；中标后发现的,成交人须依照《中华人民共和国消费者权益保护法》的规定双倍赔偿采购人，且民事赔偿并不免除违法响应人的行政与刑事责任。</w:t>
      </w:r>
    </w:p>
    <w:p w14:paraId="5F83A5DC">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（八）答疑与澄清</w:t>
      </w:r>
    </w:p>
    <w:p w14:paraId="48E9E752">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bookmarkStart w:id="7" w:name="_Hlk42953507"/>
      <w:r>
        <w:rPr>
          <w:rFonts w:hint="eastAsia" w:hAnsi="宋体" w:eastAsia="宋体" w:cs="宋体"/>
          <w:bCs/>
          <w:color w:val="000000" w:themeColor="text1"/>
          <w:kern w:val="0"/>
          <w:sz w:val="21"/>
          <w:szCs w:val="21"/>
          <w14:textFill>
            <w14:solidFill>
              <w14:schemeClr w14:val="tx1"/>
            </w14:solidFill>
          </w14:textFill>
        </w:rPr>
        <w:t>供应商若对采购文件有任何疑问，要求澄清或认为有必要与招标采购单位进行技术交流时，应于其在知道或者应知其权益受到损害之日起7个工作日内，通过书面向招标采购单位提问。</w:t>
      </w:r>
      <w:bookmarkEnd w:id="7"/>
    </w:p>
    <w:p w14:paraId="2DB053F5">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1、根据《中华人民共和国政府采购法实施条例》第五十三条：政府采购法第五十二条规定的供应商应知其权益受到损害之日，是指：</w:t>
      </w:r>
    </w:p>
    <w:p w14:paraId="2D5BA967">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①对可以质疑的采购文件提出质疑的，为收到采购文件之日或者采购文件公告期限届满之日；</w:t>
      </w:r>
    </w:p>
    <w:p w14:paraId="358ADC02">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②对采购过程提出质疑的，为各采购程序环节结束之日；</w:t>
      </w:r>
    </w:p>
    <w:p w14:paraId="198703B1">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③对中标或者成交结果提出质疑的，为中标或者成交结果公告期限届满之日。采购结果公告期限为1个工作日。</w:t>
      </w:r>
    </w:p>
    <w:p w14:paraId="4A5624DD">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2、质疑书应包括下列主要内容：</w:t>
      </w:r>
    </w:p>
    <w:p w14:paraId="49BA407C">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①质疑人的名称、地址、邮政编码、联系人、联系电话，以及被质疑人名称及联系方式；</w:t>
      </w:r>
    </w:p>
    <w:p w14:paraId="7E38F8DF">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②被质疑采购项目名称、编号及采购内容；</w:t>
      </w:r>
    </w:p>
    <w:p w14:paraId="57CA35E8">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③具体的质疑事项及事实依据；</w:t>
      </w:r>
    </w:p>
    <w:p w14:paraId="60EB8E5B">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④认为自己合法权益受到损害或可能受到损害的相关证据材料；</w:t>
      </w:r>
    </w:p>
    <w:p w14:paraId="1E1F0A92">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⑤提出质疑的日期。</w:t>
      </w:r>
    </w:p>
    <w:p w14:paraId="69525CC6">
      <w:pPr>
        <w:pStyle w:val="15"/>
        <w:numPr>
          <w:ilvl w:val="0"/>
          <w:numId w:val="5"/>
        </w:numPr>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50F49081">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供应商提出的询问或者质疑超出采购人对采购代理机构委托授权范围的，采购代理机构应当告知供应商向采购人提出。</w:t>
      </w:r>
    </w:p>
    <w:p w14:paraId="2C1A01A8">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14:paraId="3349FB10">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4、质疑供应商对采购人、采购代理机构的答复不满意或者采购人、采购代理机构未在规定的时间内作出答复的，可以在答复期满后十五个工作日内向同级政府采购监督管理部门投诉。</w:t>
      </w:r>
    </w:p>
    <w:p w14:paraId="61DBAF76">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3F76053D">
      <w:pPr>
        <w:pStyle w:val="15"/>
        <w:snapToGrid w:val="0"/>
        <w:spacing w:line="360" w:lineRule="exact"/>
        <w:ind w:firstLine="420" w:firstLineChars="200"/>
        <w:outlineLvl w:val="1"/>
        <w:rPr>
          <w:rFonts w:hAnsi="宋体" w:eastAsia="宋体" w:cs="宋体"/>
          <w:bCs/>
          <w:color w:val="000000" w:themeColor="text1"/>
          <w:kern w:val="0"/>
          <w:sz w:val="21"/>
          <w:szCs w:val="21"/>
          <w14:textFill>
            <w14:solidFill>
              <w14:schemeClr w14:val="tx1"/>
            </w14:solidFill>
          </w14:textFill>
        </w:rPr>
      </w:pPr>
      <w:r>
        <w:rPr>
          <w:rFonts w:hint="eastAsia" w:hAnsi="宋体" w:eastAsia="宋体" w:cs="宋体"/>
          <w:bCs/>
          <w:color w:val="000000" w:themeColor="text1"/>
          <w:kern w:val="0"/>
          <w:sz w:val="21"/>
          <w:szCs w:val="21"/>
          <w14:textFill>
            <w14:solidFill>
              <w14:schemeClr w14:val="tx1"/>
            </w14:solidFill>
          </w14:textFill>
        </w:rPr>
        <w:t>6、采购人或者采购代理机构对已发出的采购文件进行必要的澄清或者修改的，应当在原公告发布媒体上发布澄清公告，澄清或者修改的内容为采购文件的组成部分。</w:t>
      </w:r>
    </w:p>
    <w:p w14:paraId="2DFA8F1A">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（九）信用相关</w:t>
      </w:r>
    </w:p>
    <w:p w14:paraId="345F4FB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1、信用信息查询的截止时点：投标截止时间前查询；</w:t>
      </w:r>
    </w:p>
    <w:p w14:paraId="00EFE609">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2、查询渠道：</w:t>
      </w:r>
    </w:p>
    <w:p w14:paraId="21E5BDD9">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信用中国（www.creditchina.gov.cn）；</w:t>
      </w:r>
    </w:p>
    <w:p w14:paraId="5684D517">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中国政府采购网（www.ccgp.gov.cn）；</w:t>
      </w:r>
    </w:p>
    <w:p w14:paraId="491BFF12">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3、信用信息查询记录和证据留存具体方式：采购代理机构经办人和监督人员将查询网页打印与其他竞争性磋商文件一并保存。</w:t>
      </w:r>
    </w:p>
    <w:p w14:paraId="31910B6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4、信用信息的使用规则：响应人存在不良信用记录的，其投标将被作为无效投标被拒绝。</w:t>
      </w:r>
    </w:p>
    <w:p w14:paraId="54E59A74">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不良信用记录指：被列入失信被执行人、重大税收违法案件当事人名单、政府采购严重违法失信行为记录名单。</w:t>
      </w:r>
    </w:p>
    <w:p w14:paraId="0EB9C042">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（十）小、微企业（含监狱企业、残疾人福利性单位）扶持政策说明</w:t>
      </w:r>
    </w:p>
    <w:p w14:paraId="6C9F259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1、文件依据</w:t>
      </w:r>
    </w:p>
    <w:p w14:paraId="5A291429">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关于印发《政府采购促进中小企业发展管理办法》的通知财库[2020]46号</w:t>
      </w:r>
    </w:p>
    <w:p w14:paraId="2230F099">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浙江省省财政厅《关于开展政府采购供应商网上注册登记和诚信管理工作的通知》（浙财采监〔2010〕8号)</w:t>
      </w:r>
    </w:p>
    <w:p w14:paraId="52B7D4A2">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《工业和信息化部、国家统计局、国家发展和改革委员会、财政部关于印发中小企业划型标准规定的通知》（工信部联企业[2011]300号）</w:t>
      </w:r>
    </w:p>
    <w:p w14:paraId="7AA36918">
      <w:pPr>
        <w:spacing w:line="360" w:lineRule="exact"/>
        <w:ind w:firstLine="525" w:firstLineChars="2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1.4财政部、司法部《关于政府采购支持监狱企业发展有关问题的通知》（财库〔2014〕68号）</w:t>
      </w:r>
    </w:p>
    <w:p w14:paraId="1C0AD418">
      <w:pPr>
        <w:spacing w:line="360" w:lineRule="exact"/>
        <w:ind w:firstLine="525" w:firstLineChars="25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见第六章格式）。</w:t>
      </w:r>
    </w:p>
    <w:p w14:paraId="596987E3">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1.6《浙江省财政厅关于进一步发挥政府采购政策功能全力推动经济稳进提质的通知》（浙财采监[2022]3号）。</w:t>
      </w:r>
    </w:p>
    <w:p w14:paraId="1CB31DBE">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1.7《关于进一步加大政府采购支持中小企业力度的通知》（财库[2022]19号）。</w:t>
      </w:r>
    </w:p>
    <w:p w14:paraId="0B0CFB37">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1.8《浙江省财政厅关于进一步加大政府采购支持中小企业力度 助力扎实稳住经济的通知》（浙财采监[2022]8号）。</w:t>
      </w:r>
    </w:p>
    <w:p w14:paraId="0A3CAF5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2、享受小微企业价格折扣应具备的条件与价格折扣比例</w:t>
      </w:r>
    </w:p>
    <w:p w14:paraId="4836EA9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符合中小企业划分标准；</w:t>
      </w:r>
    </w:p>
    <w:p w14:paraId="07627C7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提供本企业制造的货物、承担的工程或者服务，或者提供其他中小企业制造的货物。本项所称货物不包括使用大型企业注册商标的货物。</w:t>
      </w:r>
    </w:p>
    <w:p w14:paraId="38C823FD">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中小企业划分标准，是指国务院有关部门根据企业从业人员、营业收入、资产总额等指标制定的中小企业划型标准。</w:t>
      </w:r>
    </w:p>
    <w:p w14:paraId="01656D0B">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小型、微型企业提供中型企业制造的货物的，视同为中型企业。</w:t>
      </w:r>
    </w:p>
    <w:p w14:paraId="2708FD0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价格折扣比例</w:t>
      </w:r>
    </w:p>
    <w:p w14:paraId="7E983AF1">
      <w:pPr>
        <w:ind w:firstLine="420" w:firstLineChars="200"/>
        <w:rPr>
          <w:rFonts w:ascii="宋体" w:hAnsi="宋体" w:cs="宋体"/>
          <w:b/>
          <w:kern w:val="0"/>
          <w:szCs w:val="21"/>
        </w:rPr>
      </w:pPr>
      <w:r>
        <w:rPr>
          <w:rFonts w:hint="eastAsia" w:ascii="宋体" w:hAnsi="宋体"/>
          <w:color w:val="000000" w:themeColor="text1"/>
          <w:szCs w:val="21"/>
          <w14:textFill>
            <w14:solidFill>
              <w14:schemeClr w14:val="tx1"/>
            </w14:solidFill>
          </w14:textFill>
        </w:rPr>
        <w:t>（1）</w:t>
      </w:r>
      <w:r>
        <w:rPr>
          <w:rFonts w:hint="eastAsia" w:ascii="宋体" w:hAnsi="宋体" w:cs="宋体"/>
          <w:b/>
          <w:kern w:val="0"/>
          <w:szCs w:val="21"/>
        </w:rPr>
        <w:t>本项目中小企业扶持政策：</w:t>
      </w:r>
    </w:p>
    <w:p w14:paraId="6BAEBAA9">
      <w:pPr>
        <w:ind w:firstLine="422" w:firstLineChars="200"/>
        <w:rPr>
          <w:rFonts w:ascii="宋体" w:hAnsi="宋体" w:cs="宋体"/>
          <w:b/>
          <w:kern w:val="0"/>
          <w:szCs w:val="21"/>
        </w:rPr>
      </w:pPr>
      <w:r>
        <w:rPr>
          <w:rFonts w:hint="eastAsia" w:ascii="宋体" w:hAnsi="宋体" w:cs="宋体"/>
          <w:b/>
          <w:kern w:val="0"/>
          <w:szCs w:val="21"/>
        </w:rPr>
        <w:t>【评审中价格扣除政策】本项目对符合本办法规定的小微企业报价给予10%的扣除，用扣除后的价格参加评审：</w:t>
      </w:r>
    </w:p>
    <w:p w14:paraId="7AC6D407">
      <w:pPr>
        <w:spacing w:line="240" w:lineRule="auto"/>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b/>
          <w:kern w:val="0"/>
          <w:szCs w:val="21"/>
        </w:rPr>
        <w:t>（1）小微企业须提供《中小企业声明函》，附在报价文件内，否则不享受评审中价格扣除政策；</w:t>
      </w:r>
    </w:p>
    <w:p w14:paraId="5DB7078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4470A85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A71F43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3、投标时应提供以下证明材料：</w:t>
      </w:r>
    </w:p>
    <w:p w14:paraId="3598A87A">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59C20A6A">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bookmarkStart w:id="8" w:name="_Hlk56696288"/>
      <w:r>
        <w:rPr>
          <w:rFonts w:hint="eastAsia" w:hAnsi="宋体" w:eastAsia="宋体" w:cs="宋体"/>
          <w:b/>
          <w:color w:val="000000" w:themeColor="text1"/>
          <w:sz w:val="21"/>
          <w:szCs w:val="21"/>
          <w14:textFill>
            <w14:solidFill>
              <w14:schemeClr w14:val="tx1"/>
            </w14:solidFill>
          </w14:textFill>
        </w:rPr>
        <w:t>（十一）节能、环保政策</w:t>
      </w:r>
    </w:p>
    <w:p w14:paraId="11833B0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1、文件依据</w:t>
      </w:r>
    </w:p>
    <w:p w14:paraId="6F7E6DD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 国务院办公厅关于建立政府强制采购节能产品制度的通知（国办发〔2007〕51号）</w:t>
      </w:r>
    </w:p>
    <w:p w14:paraId="247989A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1.2财政部 发展改革委 生态环境部 市场监管总局关于调整优化节能产品、环境标志产品政府采购执行机制的通知（财库〔2019〕9号）</w:t>
      </w:r>
    </w:p>
    <w:p w14:paraId="4A279BB5">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1.3关于印发环境标志产品政府采购品目清单的通知财库〔2019〕18号</w:t>
      </w:r>
    </w:p>
    <w:p w14:paraId="647092EC">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1.4关于印发节能产品政府采购品目清单的通知（财库〔2019〕19号）</w:t>
      </w:r>
    </w:p>
    <w:p w14:paraId="2B8D2DD2">
      <w:pPr>
        <w:snapToGrid w:val="0"/>
        <w:spacing w:line="360" w:lineRule="exact"/>
        <w:ind w:firstLine="420" w:firstLineChars="200"/>
        <w:jc w:val="left"/>
        <w:outlineLvl w:val="1"/>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1.5市场监管总局关于发布参与实施政府采购节能产品、环境标志产品认证机构名录的公告（2019年第16号）</w:t>
      </w:r>
    </w:p>
    <w:p w14:paraId="3911B730">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2、享受节能、环保政策优惠应具备的条件和优惠</w:t>
      </w:r>
    </w:p>
    <w:p w14:paraId="2CF77CAB">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 产品在节能、环境标志品目清单范围内；</w:t>
      </w:r>
    </w:p>
    <w:p w14:paraId="51561A96">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 提供国家确定的认证机构出具的、处于有效期之内的节能产品、环境标志产品认证证书，或提供中国政府采购网节能、环境标志产品查询截图。</w:t>
      </w:r>
    </w:p>
    <w:p w14:paraId="19F84534">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 优惠</w:t>
      </w:r>
    </w:p>
    <w:p w14:paraId="6DDCEF2B">
      <w:pPr>
        <w:snapToGrid w:val="0"/>
        <w:spacing w:line="360" w:lineRule="exact"/>
        <w:ind w:firstLine="422" w:firstLineChars="200"/>
        <w:jc w:val="left"/>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本项目不适用。</w:t>
      </w:r>
    </w:p>
    <w:p w14:paraId="71C37378">
      <w:pPr>
        <w:snapToGrid w:val="0"/>
        <w:spacing w:line="360" w:lineRule="exact"/>
        <w:ind w:firstLine="420" w:firstLineChars="200"/>
        <w:jc w:val="left"/>
        <w:outlineLvl w:val="1"/>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3、投标时享受节能、环境标志产品优惠应提供以下证明材料：</w:t>
      </w:r>
    </w:p>
    <w:p w14:paraId="75136A8D">
      <w:pPr>
        <w:snapToGrid w:val="0"/>
        <w:spacing w:line="360" w:lineRule="exact"/>
        <w:ind w:firstLine="420" w:firstLineChars="200"/>
        <w:jc w:val="left"/>
        <w:outlineLvl w:val="1"/>
        <w:rPr>
          <w:rFonts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国家确定的认证机构出具的、处于有效期之内的节能产品或环境标志产品认证证书，或提供中国政府采购网节能、环境标志产品查询截图。</w:t>
      </w:r>
    </w:p>
    <w:p w14:paraId="1BE081F9">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（十二）</w:t>
      </w:r>
      <w:bookmarkEnd w:id="8"/>
      <w:r>
        <w:rPr>
          <w:rFonts w:hint="eastAsia" w:hAnsi="宋体" w:eastAsia="宋体" w:cs="宋体"/>
          <w:b/>
          <w:color w:val="000000" w:themeColor="text1"/>
          <w:sz w:val="21"/>
          <w:szCs w:val="21"/>
          <w14:textFill>
            <w14:solidFill>
              <w14:schemeClr w14:val="tx1"/>
            </w14:solidFill>
          </w14:textFill>
        </w:rPr>
        <w:t>信贷政策</w:t>
      </w:r>
    </w:p>
    <w:p w14:paraId="3368036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仿宋"/>
          <w:color w:val="000000" w:themeColor="text1"/>
          <w:szCs w:val="21"/>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w:t>
      </w:r>
      <w:r>
        <w:rPr>
          <w:rFonts w:hint="eastAsia" w:ascii="宋体" w:hAnsi="宋体"/>
          <w:color w:val="000000" w:themeColor="text1"/>
          <w:szCs w:val="21"/>
          <w14:textFill>
            <w14:solidFill>
              <w14:schemeClr w14:val="tx1"/>
            </w14:solidFill>
          </w14:textFill>
        </w:rPr>
        <w:t>向舟山市政府采购信用融资合作银行申请相关融资产品，有关的合作银行详见下表：</w:t>
      </w:r>
    </w:p>
    <w:tbl>
      <w:tblPr>
        <w:tblStyle w:val="3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47"/>
        <w:gridCol w:w="1842"/>
        <w:gridCol w:w="1614"/>
      </w:tblGrid>
      <w:tr w14:paraId="147F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3FB6B6E">
            <w:pPr>
              <w:ind w:firstLine="422"/>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舟山市政府采购信用融资合作银行</w:t>
            </w:r>
          </w:p>
        </w:tc>
      </w:tr>
      <w:tr w14:paraId="494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3F3BDDCA">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银行名称</w:t>
            </w:r>
          </w:p>
        </w:tc>
        <w:tc>
          <w:tcPr>
            <w:tcW w:w="4647" w:type="dxa"/>
            <w:vAlign w:val="center"/>
          </w:tcPr>
          <w:p w14:paraId="0E7A8C8C">
            <w:pPr>
              <w:ind w:firstLine="422"/>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各银行介绍的产品特点</w:t>
            </w:r>
          </w:p>
        </w:tc>
        <w:tc>
          <w:tcPr>
            <w:tcW w:w="1842" w:type="dxa"/>
            <w:vAlign w:val="center"/>
          </w:tcPr>
          <w:p w14:paraId="1964EFC9">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w:t>
            </w:r>
          </w:p>
        </w:tc>
        <w:tc>
          <w:tcPr>
            <w:tcW w:w="1614" w:type="dxa"/>
            <w:vAlign w:val="center"/>
          </w:tcPr>
          <w:p w14:paraId="75EAC1D2">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r>
      <w:tr w14:paraId="3AD3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13A0C1">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中国工商银行股份有限公司舟山分行</w:t>
            </w:r>
          </w:p>
        </w:tc>
        <w:tc>
          <w:tcPr>
            <w:tcW w:w="4647" w:type="dxa"/>
          </w:tcPr>
          <w:p w14:paraId="5BBFD7A6">
            <w:pPr>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1.融资额度高，融资金额最高可至订单金额70%，线上申请，随借随还。</w:t>
            </w:r>
          </w:p>
          <w:p w14:paraId="1AFA82F1">
            <w:pPr>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2.融资利率低，最低可至当期LPR利率。</w:t>
            </w:r>
          </w:p>
          <w:p w14:paraId="7EDD68D8">
            <w:pPr>
              <w:contextualSpacing/>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3.担保方式灵活，以政府采购合同进行融资，无需另外抵押。</w:t>
            </w:r>
          </w:p>
        </w:tc>
        <w:tc>
          <w:tcPr>
            <w:tcW w:w="1842" w:type="dxa"/>
            <w:vAlign w:val="center"/>
          </w:tcPr>
          <w:p w14:paraId="7ACB1106">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柳超颖</w:t>
            </w:r>
          </w:p>
        </w:tc>
        <w:tc>
          <w:tcPr>
            <w:tcW w:w="1614" w:type="dxa"/>
            <w:vAlign w:val="center"/>
          </w:tcPr>
          <w:p w14:paraId="0DCD8376">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0580-2166242, 15858076468</w:t>
            </w:r>
          </w:p>
        </w:tc>
      </w:tr>
      <w:tr w14:paraId="273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0388F92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中国建设银行股份有限公司舟山分行</w:t>
            </w:r>
          </w:p>
        </w:tc>
        <w:tc>
          <w:tcPr>
            <w:tcW w:w="4647" w:type="dxa"/>
          </w:tcPr>
          <w:p w14:paraId="403F91D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1.快速便捷：全流程线上操作，通过浙江省政府采购网数据审核信用额度，建行供应链平台快速放款。</w:t>
            </w:r>
          </w:p>
          <w:p w14:paraId="01E9E4E8">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2.申请额度高：单笔融资额度最高可达政府采购合同金额的90%，单户额度最高可达3000万。</w:t>
            </w:r>
          </w:p>
          <w:p w14:paraId="54DF40B9">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3.无需额外抵押：以浙江省政府采购网备案公示的政府采购合同进行融资，无需额外抵押担保。</w:t>
            </w:r>
          </w:p>
          <w:p w14:paraId="26C2992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4.利率优惠：给予流动资金贷款最优惠利率。</w:t>
            </w:r>
          </w:p>
        </w:tc>
        <w:tc>
          <w:tcPr>
            <w:tcW w:w="1842" w:type="dxa"/>
            <w:vAlign w:val="center"/>
          </w:tcPr>
          <w:p w14:paraId="0DCD01E9">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普陀片区：蔡妮妮</w:t>
            </w:r>
          </w:p>
          <w:p w14:paraId="1EF5544E">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定海片区：杨莹</w:t>
            </w:r>
          </w:p>
          <w:p w14:paraId="22BBB371">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自贸区片区：方晓</w:t>
            </w:r>
          </w:p>
        </w:tc>
        <w:tc>
          <w:tcPr>
            <w:tcW w:w="1614" w:type="dxa"/>
            <w:vAlign w:val="center"/>
          </w:tcPr>
          <w:p w14:paraId="4C97A27B">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普陀片区：13957201791</w:t>
            </w:r>
          </w:p>
          <w:p w14:paraId="7CD1BF2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定海片区：13655803997</w:t>
            </w:r>
          </w:p>
          <w:p w14:paraId="57756E77">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自贸区片区：13587086324</w:t>
            </w:r>
          </w:p>
        </w:tc>
      </w:tr>
      <w:tr w14:paraId="4705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8F1616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杭州银行股份有限公司舟山市分行</w:t>
            </w:r>
          </w:p>
        </w:tc>
        <w:tc>
          <w:tcPr>
            <w:tcW w:w="4647" w:type="dxa"/>
          </w:tcPr>
          <w:p w14:paraId="3515A73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2" w:type="dxa"/>
            <w:vAlign w:val="center"/>
          </w:tcPr>
          <w:p w14:paraId="7ACD828D">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方经理</w:t>
            </w:r>
          </w:p>
        </w:tc>
        <w:tc>
          <w:tcPr>
            <w:tcW w:w="1614" w:type="dxa"/>
            <w:vAlign w:val="center"/>
          </w:tcPr>
          <w:p w14:paraId="1028F741">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0580-2185201，18205800451</w:t>
            </w:r>
          </w:p>
        </w:tc>
      </w:tr>
      <w:tr w14:paraId="5EF9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6207E06">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招商银行股份有限公司浙江自贸试验区舟山分行</w:t>
            </w:r>
          </w:p>
        </w:tc>
        <w:tc>
          <w:tcPr>
            <w:tcW w:w="4647" w:type="dxa"/>
          </w:tcPr>
          <w:p w14:paraId="01756DEA">
            <w:pP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842" w:type="dxa"/>
            <w:vAlign w:val="center"/>
          </w:tcPr>
          <w:p w14:paraId="26281154">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李玲</w:t>
            </w:r>
          </w:p>
        </w:tc>
        <w:tc>
          <w:tcPr>
            <w:tcW w:w="1614" w:type="dxa"/>
            <w:vAlign w:val="center"/>
          </w:tcPr>
          <w:p w14:paraId="2BC81AD9">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0580-2061710，13957227971</w:t>
            </w:r>
          </w:p>
        </w:tc>
      </w:tr>
      <w:tr w14:paraId="26F4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1F250F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温州银行股份有限公司舟山市分行</w:t>
            </w:r>
          </w:p>
        </w:tc>
        <w:tc>
          <w:tcPr>
            <w:tcW w:w="4647" w:type="dxa"/>
          </w:tcPr>
          <w:p w14:paraId="0233B6FD">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1.单户授信敞口最高不超过1000万元，且最高额度核定一般不超过借款人（含实际控制人控制的其他经营实体）最近13个月合计有效中标合同金额的70%。</w:t>
            </w:r>
          </w:p>
          <w:p w14:paraId="3FBFF12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2.单笔借款额度最高不超过1000万元，单笔业务授信额度不超过“政采云平台”提供的中标通知书承载的中标金额或本次申请授信提供的采购合同金额的80%，且用信金额不超过采购合同未付金额的80%。</w:t>
            </w:r>
          </w:p>
          <w:p w14:paraId="4EC11A38">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3.借款人中标采购人自行采购项目并向我行发起授信申请的，单笔业务授信敞口不超500万元，且不超过借款人中标通知书承载的中标金额或本次申请授信提供的采购合同的80%。</w:t>
            </w:r>
          </w:p>
          <w:p w14:paraId="1B5BFEA5">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4.符合我行采购人资质的，且负债率不超75%，配合应收账款质押登记确认的，并可出具确认函，单笔借款额度可按不超过采购合同的90%办理。</w:t>
            </w:r>
          </w:p>
        </w:tc>
        <w:tc>
          <w:tcPr>
            <w:tcW w:w="1842" w:type="dxa"/>
            <w:vAlign w:val="center"/>
          </w:tcPr>
          <w:p w14:paraId="1D3A0A7A">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郑贤栋</w:t>
            </w:r>
          </w:p>
        </w:tc>
        <w:tc>
          <w:tcPr>
            <w:tcW w:w="1614" w:type="dxa"/>
            <w:vAlign w:val="center"/>
          </w:tcPr>
          <w:p w14:paraId="665AB41D">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058—8866086</w:t>
            </w:r>
          </w:p>
        </w:tc>
      </w:tr>
      <w:tr w14:paraId="2098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8608D2B">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交通银行股份有限公司舟山分行</w:t>
            </w:r>
          </w:p>
        </w:tc>
        <w:tc>
          <w:tcPr>
            <w:tcW w:w="4647" w:type="dxa"/>
          </w:tcPr>
          <w:p w14:paraId="6CC52DB2">
            <w:pPr>
              <w:contextualSpacing/>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color w:val="000000" w:themeColor="text1"/>
                <w:szCs w:val="21"/>
                <w14:textFill>
                  <w14:solidFill>
                    <w14:schemeClr w14:val="tx1"/>
                  </w14:solidFill>
                </w14:textFill>
              </w:rPr>
              <w:t>PR</w:t>
            </w:r>
            <w:r>
              <w:rPr>
                <w:rFonts w:ascii="宋体" w:hAnsi="宋体"/>
                <w:color w:val="000000" w:themeColor="text1"/>
                <w:szCs w:val="21"/>
                <w14:textFill>
                  <w14:solidFill>
                    <w14:schemeClr w14:val="tx1"/>
                  </w14:solidFill>
                </w14:textFill>
              </w:rPr>
              <w:t>。</w:t>
            </w:r>
          </w:p>
        </w:tc>
        <w:tc>
          <w:tcPr>
            <w:tcW w:w="1842" w:type="dxa"/>
            <w:vAlign w:val="center"/>
          </w:tcPr>
          <w:p w14:paraId="396E49D7">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赵争艳</w:t>
            </w:r>
          </w:p>
        </w:tc>
        <w:tc>
          <w:tcPr>
            <w:tcW w:w="1614" w:type="dxa"/>
            <w:vAlign w:val="center"/>
          </w:tcPr>
          <w:p w14:paraId="40A4E5BE">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0580-2260728</w:t>
            </w:r>
          </w:p>
          <w:p w14:paraId="72533FB3">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13758007280</w:t>
            </w:r>
          </w:p>
        </w:tc>
      </w:tr>
      <w:tr w14:paraId="39C5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2892EB">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中信银行股份有限公司舟山分行</w:t>
            </w:r>
          </w:p>
        </w:tc>
        <w:tc>
          <w:tcPr>
            <w:tcW w:w="4647" w:type="dxa"/>
          </w:tcPr>
          <w:p w14:paraId="1BD89632">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842" w:type="dxa"/>
            <w:vAlign w:val="center"/>
          </w:tcPr>
          <w:p w14:paraId="36B2E693">
            <w:pPr>
              <w:ind w:firstLine="422"/>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黄丽</w:t>
            </w:r>
          </w:p>
        </w:tc>
        <w:tc>
          <w:tcPr>
            <w:tcW w:w="1614" w:type="dxa"/>
            <w:vAlign w:val="center"/>
          </w:tcPr>
          <w:p w14:paraId="410DEB18">
            <w:pPr>
              <w:contextualSpacing/>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13905808032</w:t>
            </w:r>
          </w:p>
        </w:tc>
      </w:tr>
      <w:tr w14:paraId="65BE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E6D0860">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泰隆银行舟山市分行</w:t>
            </w:r>
          </w:p>
        </w:tc>
        <w:tc>
          <w:tcPr>
            <w:tcW w:w="4647" w:type="dxa"/>
          </w:tcPr>
          <w:p w14:paraId="0A75A673">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842" w:type="dxa"/>
            <w:vAlign w:val="center"/>
          </w:tcPr>
          <w:p w14:paraId="39211159">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胡亢宇</w:t>
            </w:r>
          </w:p>
        </w:tc>
        <w:tc>
          <w:tcPr>
            <w:tcW w:w="1614" w:type="dxa"/>
            <w:vAlign w:val="center"/>
          </w:tcPr>
          <w:p w14:paraId="31208AC5">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17605868703</w:t>
            </w:r>
          </w:p>
        </w:tc>
      </w:tr>
      <w:tr w14:paraId="2687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418D84">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中国农业银行股份有限公司舟山分行</w:t>
            </w:r>
          </w:p>
        </w:tc>
        <w:tc>
          <w:tcPr>
            <w:tcW w:w="4647" w:type="dxa"/>
          </w:tcPr>
          <w:p w14:paraId="6D9782FC">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842" w:type="dxa"/>
            <w:vAlign w:val="center"/>
          </w:tcPr>
          <w:p w14:paraId="622DF7E4">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苏华瞻</w:t>
            </w:r>
          </w:p>
        </w:tc>
        <w:tc>
          <w:tcPr>
            <w:tcW w:w="1614" w:type="dxa"/>
            <w:vAlign w:val="center"/>
          </w:tcPr>
          <w:p w14:paraId="0FCDECC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13967228926</w:t>
            </w:r>
          </w:p>
        </w:tc>
      </w:tr>
      <w:tr w14:paraId="67E8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7E80E57">
            <w:pPr>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中国邮政储蓄银行股份有限公司舟山市分行</w:t>
            </w:r>
          </w:p>
        </w:tc>
        <w:tc>
          <w:tcPr>
            <w:tcW w:w="4647" w:type="dxa"/>
          </w:tcPr>
          <w:p w14:paraId="7197714F">
            <w:pPr>
              <w:tabs>
                <w:tab w:val="left" w:pos="0"/>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1842" w:type="dxa"/>
            <w:vAlign w:val="center"/>
          </w:tcPr>
          <w:p w14:paraId="720A68A2">
            <w:pPr>
              <w:ind w:firstLine="422"/>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蒋志燕</w:t>
            </w:r>
          </w:p>
        </w:tc>
        <w:tc>
          <w:tcPr>
            <w:tcW w:w="1614" w:type="dxa"/>
            <w:vAlign w:val="center"/>
          </w:tcPr>
          <w:p w14:paraId="69C4C732">
            <w:pPr>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13732527321</w:t>
            </w:r>
          </w:p>
        </w:tc>
      </w:tr>
    </w:tbl>
    <w:p w14:paraId="55A6F7B4">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2.一般步骤</w:t>
      </w:r>
    </w:p>
    <w:p w14:paraId="18B51308">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（1）供应商先与银行对接，办理融资前期手续；</w:t>
      </w:r>
    </w:p>
    <w:p w14:paraId="6F34BD00">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（2）供应商中标后，凭中标通知书等材料，向相关合作银行发出融资申请；</w:t>
      </w:r>
    </w:p>
    <w:p w14:paraId="675D986B">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（3）银行、供应商线上办理审批、放贷事宜。</w:t>
      </w:r>
    </w:p>
    <w:p w14:paraId="6E915E62">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3.注意事项</w:t>
      </w:r>
    </w:p>
    <w:p w14:paraId="180DE830">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（1）成交供应商需确保政府采购合同的收款账户与融资银行开户账户一致。</w:t>
      </w:r>
    </w:p>
    <w:p w14:paraId="2F5C8389">
      <w:pPr>
        <w:spacing w:line="36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（2）用于政府采购信用融资的政府采购合同，应当包含如下条款：“第   条：政府采购合同贷款</w:t>
      </w:r>
    </w:p>
    <w:p w14:paraId="0E8A42E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本合同同时用于乙方向银行（金融机构）申请政府采购信用贷款。</w:t>
      </w:r>
    </w:p>
    <w:p w14:paraId="69531C58">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合同一经签订，原则上不得更改</w:t>
      </w:r>
      <w:r>
        <w:rPr>
          <w:rFonts w:hint="eastAsia" w:ascii="宋体" w:hAnsi="宋体"/>
          <w:color w:val="000000" w:themeColor="text1"/>
          <w:szCs w:val="21"/>
          <w14:textFill>
            <w14:solidFill>
              <w14:schemeClr w14:val="tx1"/>
            </w14:solidFill>
          </w14:textFill>
        </w:rPr>
        <w:t>乙方收</w:t>
      </w:r>
      <w:r>
        <w:rPr>
          <w:rFonts w:ascii="宋体" w:hAnsi="宋体"/>
          <w:color w:val="000000" w:themeColor="text1"/>
          <w:szCs w:val="21"/>
          <w14:textFill>
            <w14:solidFill>
              <w14:schemeClr w14:val="tx1"/>
            </w14:solidFill>
          </w14:textFill>
        </w:rPr>
        <w:t>款</w:t>
      </w:r>
      <w:r>
        <w:rPr>
          <w:rFonts w:hint="eastAsia" w:ascii="宋体" w:hAnsi="宋体"/>
          <w:color w:val="000000" w:themeColor="text1"/>
          <w:szCs w:val="21"/>
          <w14:textFill>
            <w14:solidFill>
              <w14:schemeClr w14:val="tx1"/>
            </w14:solidFill>
          </w14:textFill>
        </w:rPr>
        <w:t>账户</w:t>
      </w:r>
      <w:r>
        <w:rPr>
          <w:rFonts w:ascii="宋体" w:hAnsi="宋体"/>
          <w:color w:val="000000" w:themeColor="text1"/>
          <w:szCs w:val="21"/>
          <w14:textFill>
            <w14:solidFill>
              <w14:schemeClr w14:val="tx1"/>
            </w14:solidFill>
          </w14:textFill>
        </w:rPr>
        <w:t>信息</w:t>
      </w:r>
      <w:r>
        <w:rPr>
          <w:rFonts w:hint="eastAsia" w:ascii="宋体" w:hAnsi="宋体"/>
          <w:color w:val="000000" w:themeColor="text1"/>
          <w:szCs w:val="21"/>
          <w14:textFill>
            <w14:solidFill>
              <w14:schemeClr w14:val="tx1"/>
            </w14:solidFill>
          </w14:textFill>
        </w:rPr>
        <w:t>。确</w:t>
      </w:r>
      <w:r>
        <w:rPr>
          <w:rFonts w:ascii="宋体" w:hAnsi="宋体"/>
          <w:color w:val="000000" w:themeColor="text1"/>
          <w:szCs w:val="21"/>
          <w14:textFill>
            <w14:solidFill>
              <w14:schemeClr w14:val="tx1"/>
            </w14:solidFill>
          </w14:textFill>
        </w:rPr>
        <w:t>须更改的，</w:t>
      </w:r>
      <w:r>
        <w:rPr>
          <w:rFonts w:hint="eastAsia" w:ascii="宋体" w:hAnsi="宋体"/>
          <w:color w:val="000000" w:themeColor="text1"/>
          <w:szCs w:val="21"/>
          <w14:textFill>
            <w14:solidFill>
              <w14:schemeClr w14:val="tx1"/>
            </w14:solidFill>
          </w14:textFill>
        </w:rPr>
        <w:t>乙方应</w:t>
      </w:r>
      <w:r>
        <w:rPr>
          <w:rFonts w:ascii="宋体" w:hAnsi="宋体"/>
          <w:color w:val="000000" w:themeColor="text1"/>
          <w:szCs w:val="21"/>
          <w14:textFill>
            <w14:solidFill>
              <w14:schemeClr w14:val="tx1"/>
            </w14:solidFill>
          </w14:textFill>
        </w:rPr>
        <w:t>取得</w:t>
      </w:r>
      <w:r>
        <w:rPr>
          <w:rFonts w:hint="eastAsia" w:ascii="宋体" w:hAnsi="宋体"/>
          <w:color w:val="000000" w:themeColor="text1"/>
          <w:szCs w:val="21"/>
          <w14:textFill>
            <w14:solidFill>
              <w14:schemeClr w14:val="tx1"/>
            </w14:solidFill>
          </w14:textFill>
        </w:rPr>
        <w:t>原</w:t>
      </w:r>
      <w:r>
        <w:rPr>
          <w:rFonts w:ascii="宋体" w:hAnsi="宋体"/>
          <w:color w:val="000000" w:themeColor="text1"/>
          <w:szCs w:val="21"/>
          <w14:textFill>
            <w14:solidFill>
              <w14:schemeClr w14:val="tx1"/>
            </w14:solidFill>
          </w14:textFill>
        </w:rPr>
        <w:t>合同收款账户开户银行书面同意，</w:t>
      </w:r>
      <w:r>
        <w:rPr>
          <w:rFonts w:hint="eastAsia" w:ascii="宋体" w:hAnsi="宋体"/>
          <w:color w:val="000000" w:themeColor="text1"/>
          <w:szCs w:val="21"/>
          <w14:textFill>
            <w14:solidFill>
              <w14:schemeClr w14:val="tx1"/>
            </w14:solidFill>
          </w14:textFill>
        </w:rPr>
        <w:t>否则修改后</w:t>
      </w:r>
      <w:r>
        <w:rPr>
          <w:rFonts w:ascii="宋体" w:hAnsi="宋体"/>
          <w:color w:val="000000" w:themeColor="text1"/>
          <w:szCs w:val="21"/>
          <w14:textFill>
            <w14:solidFill>
              <w14:schemeClr w14:val="tx1"/>
            </w14:solidFill>
          </w14:textFill>
        </w:rPr>
        <w:t>的合同不予</w:t>
      </w:r>
      <w:r>
        <w:rPr>
          <w:rFonts w:hint="eastAsia" w:ascii="宋体" w:hAnsi="宋体"/>
          <w:color w:val="000000" w:themeColor="text1"/>
          <w:szCs w:val="21"/>
          <w14:textFill>
            <w14:solidFill>
              <w14:schemeClr w14:val="tx1"/>
            </w14:solidFill>
          </w14:textFill>
        </w:rPr>
        <w:t>备案</w:t>
      </w:r>
      <w:r>
        <w:rPr>
          <w:rFonts w:ascii="宋体" w:hAnsi="宋体"/>
          <w:color w:val="000000" w:themeColor="text1"/>
          <w:szCs w:val="21"/>
          <w14:textFill>
            <w14:solidFill>
              <w14:schemeClr w14:val="tx1"/>
            </w14:solidFill>
          </w14:textFill>
        </w:rPr>
        <w:t>，采购资金不予</w:t>
      </w:r>
      <w:r>
        <w:rPr>
          <w:rFonts w:hint="eastAsia" w:ascii="宋体" w:hAnsi="宋体"/>
          <w:color w:val="000000" w:themeColor="text1"/>
          <w:szCs w:val="21"/>
          <w14:textFill>
            <w14:solidFill>
              <w14:schemeClr w14:val="tx1"/>
            </w14:solidFill>
          </w14:textFill>
        </w:rPr>
        <w:t>支付。”</w:t>
      </w:r>
    </w:p>
    <w:p w14:paraId="756B0B24">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（十三）</w:t>
      </w:r>
      <w:r>
        <w:rPr>
          <w:rFonts w:hint="eastAsia" w:hAnsi="宋体" w:eastAsia="宋体" w:cs="宋体"/>
          <w:b/>
          <w:color w:val="000000" w:themeColor="text1"/>
          <w:sz w:val="21"/>
          <w:szCs w:val="21"/>
          <w:lang w:eastAsia="zh-CN"/>
          <w14:textFill>
            <w14:solidFill>
              <w14:schemeClr w14:val="tx1"/>
            </w14:solidFill>
          </w14:textFill>
        </w:rPr>
        <w:t>浙江天隆工程管理有限公司</w:t>
      </w:r>
      <w:r>
        <w:rPr>
          <w:rFonts w:hint="eastAsia" w:hAnsi="宋体" w:eastAsia="宋体" w:cs="宋体"/>
          <w:b/>
          <w:color w:val="000000" w:themeColor="text1"/>
          <w:sz w:val="21"/>
          <w:szCs w:val="21"/>
          <w14:textFill>
            <w14:solidFill>
              <w14:schemeClr w14:val="tx1"/>
            </w14:solidFill>
          </w14:textFill>
        </w:rPr>
        <w:t>拥有本竞争性磋商文件最终解释权。</w:t>
      </w:r>
    </w:p>
    <w:p w14:paraId="1B60FF7E">
      <w:pPr>
        <w:snapToGrid w:val="0"/>
        <w:spacing w:after="240" w:line="276" w:lineRule="auto"/>
        <w:ind w:firstLine="560"/>
        <w:jc w:val="center"/>
        <w:rPr>
          <w:rFonts w:ascii="宋体" w:hAnsi="宋体" w:cs="宋体"/>
          <w:b/>
          <w:color w:val="000000" w:themeColor="text1"/>
          <w:sz w:val="28"/>
          <w:szCs w:val="30"/>
          <w14:textFill>
            <w14:solidFill>
              <w14:schemeClr w14:val="tx1"/>
            </w14:solidFill>
          </w14:textFill>
        </w:rPr>
      </w:pPr>
    </w:p>
    <w:p w14:paraId="735CEBC1">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二、竞争性磋商文件</w:t>
      </w:r>
    </w:p>
    <w:p w14:paraId="3353826D">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（一）竞争性磋商文件的构成</w:t>
      </w:r>
    </w:p>
    <w:p w14:paraId="63F1C5B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第一章  竞争性磋商公告</w:t>
      </w:r>
    </w:p>
    <w:p w14:paraId="15FEAE90">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第二章  采购需求</w:t>
      </w:r>
    </w:p>
    <w:p w14:paraId="74B2E638">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第三章  响应人须知</w:t>
      </w:r>
    </w:p>
    <w:p w14:paraId="16C616D6">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第四章  评标办法及标准</w:t>
      </w:r>
    </w:p>
    <w:p w14:paraId="6C14141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第五章  合同主要条款</w:t>
      </w:r>
    </w:p>
    <w:p w14:paraId="3F28D84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第六章  响应文件格式</w:t>
      </w:r>
    </w:p>
    <w:p w14:paraId="4152570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其他有关补充文件</w:t>
      </w:r>
    </w:p>
    <w:p w14:paraId="2C902162">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 xml:space="preserve">（二）竞争性磋商文件的澄清与修改 </w:t>
      </w:r>
    </w:p>
    <w:p w14:paraId="75ECF4EC">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人应认真阅读本竞争性磋商文件，发现其中有误或有要求不合理的，响应人必须以书面形式要求招标采购单位澄清。采购人对已发出的竞争性磋商文件进行必要澄清、答复、修改或补充的，应当在竞争性磋商文件要求提交响应文件截止时间5天前，在相关的采购信息发布媒体上发布更正公告，请潜在响应人自行关注。</w:t>
      </w:r>
    </w:p>
    <w:p w14:paraId="04BFCF65">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采购人以书面或线上形式答复响应人要求澄清的问题，并将不包含问题来源的答复以书面或线上形式通知所有购买竞争性磋商文件的潜在响应人；除书面答复或线上答复以外的其他澄清方式及澄清内容均无效。</w:t>
      </w:r>
    </w:p>
    <w:p w14:paraId="3C1F4E2F">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竞争性磋商文件的答复、澄清、修改、补充通知实质上改变采购需求相关内容，且自竞争性磋商文件的答复、澄清、修改、补充通知发出之日起至投标截止时间止不足5天的，采购人可视情况推迟投标截止时间和开标时间，按规定在相关的采购信息发布媒体上发布变更公告，请潜在响应人自行关注。</w:t>
      </w:r>
    </w:p>
    <w:p w14:paraId="7A60CA3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竞争性磋商文件澄清、答复、修改、补充的内容为竞争性磋商文件的组成部分。当竞争性磋商文件与竞争性磋商文件的答复、澄清、修改、补充通知就同一内容的表述不一致时，以最后补充文件明确的内容为准。</w:t>
      </w:r>
    </w:p>
    <w:p w14:paraId="6B61C819">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5、竞争性磋商文件的澄清、答复、修改或补充都应该通过本采购代理机构以法定形式发布，采购人非通过本采购代理机构的，不得擅自澄清、答复、修改或补充竞争性磋商文件。</w:t>
      </w:r>
    </w:p>
    <w:p w14:paraId="4562DBA3">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p>
    <w:p w14:paraId="45D0E7DC">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三、响应文件的编制</w:t>
      </w:r>
    </w:p>
    <w:p w14:paraId="1DBFB8BF">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（一）响应文件的组成</w:t>
      </w:r>
    </w:p>
    <w:p w14:paraId="797C2117">
      <w:pPr>
        <w:tabs>
          <w:tab w:val="left" w:pos="0"/>
        </w:tabs>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由投标报价文件、资格证明文件、商务技术文件三部分组成。电子响应文件中所须加盖公章部分均采用CA签章。（以下响应文件的部分格式详见本竞争性磋商文件第六部分，如本竞争性磋商文件没有提供相应的格式，响应人可自行制表填写）</w:t>
      </w:r>
    </w:p>
    <w:p w14:paraId="56B53593">
      <w:pPr>
        <w:snapToGrid w:val="0"/>
        <w:spacing w:line="360" w:lineRule="exact"/>
        <w:ind w:firstLine="413" w:firstLineChars="196"/>
        <w:jc w:val="left"/>
        <w:outlineLvl w:val="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1、资格证明部份：</w:t>
      </w:r>
    </w:p>
    <w:p w14:paraId="6F526B0B">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响应函（响应人必须对参加政府采购活动前3年内在经营活动中没有重大违法记录、有良好的商业信誉和健全的财务会计制度、依法缴纳税收（响应截止时间进行计算）、具备本项目履行合同所必需的设备和专业技术能力等情况进行书面承诺）；</w:t>
      </w:r>
    </w:p>
    <w:p w14:paraId="56467E65">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1.2提供营业执照复印件或事业单位法人证复印件；</w:t>
      </w:r>
    </w:p>
    <w:p w14:paraId="22E26016">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1.3响应人未被信用中国（www.creditchina.gov.cn）、中国政府采购网（www.ccgp.gov.cn） 列入失信被执行人、重大税收违法案件当事人名单、政府采购严重违法失信行为记录名单，提供网页截图；（具体以开标现场网页查询结果为准。）</w:t>
      </w:r>
    </w:p>
    <w:p w14:paraId="13D3F817">
      <w:pPr>
        <w:tabs>
          <w:tab w:val="left" w:pos="0"/>
        </w:tabs>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 法定代表人证明书或法定代表人委托授权书原件；</w:t>
      </w:r>
    </w:p>
    <w:p w14:paraId="2E8E5F51">
      <w:pPr>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本竞争性磋商文件要求提供的和响应人认为需要提供的其它说明和资料/文件。</w:t>
      </w:r>
    </w:p>
    <w:p w14:paraId="17DDFCCA">
      <w:pPr>
        <w:snapToGrid w:val="0"/>
        <w:spacing w:line="360" w:lineRule="exact"/>
        <w:ind w:firstLine="413" w:firstLineChars="196"/>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2、商务技术文件：</w:t>
      </w:r>
    </w:p>
    <w:p w14:paraId="17331906">
      <w:pPr>
        <w:snapToGrid w:val="0"/>
        <w:spacing w:line="360" w:lineRule="exact"/>
        <w:ind w:firstLine="426" w:firstLineChars="202"/>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响应人自评表</w:t>
      </w:r>
    </w:p>
    <w:p w14:paraId="36EA87DD">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2.1响应人企业业绩复印件；</w:t>
      </w:r>
    </w:p>
    <w:p w14:paraId="6AEC3182">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2.2企业认证证书资料复印件；</w:t>
      </w:r>
    </w:p>
    <w:p w14:paraId="418A7E33">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2.3企业著作权证书资料复印件</w:t>
      </w:r>
    </w:p>
    <w:p w14:paraId="29016955">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2.4企业荣誉资料复印件；</w:t>
      </w:r>
    </w:p>
    <w:p w14:paraId="34A26D00">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2.5响应人拟投入本项目人员一览表；</w:t>
      </w:r>
    </w:p>
    <w:p w14:paraId="06578977">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2.6</w:t>
      </w:r>
      <w:r>
        <w:rPr>
          <w:rFonts w:hint="eastAsia" w:ascii="宋体" w:hAnsi="宋体" w:cs="宋体"/>
          <w:bCs/>
          <w:szCs w:val="21"/>
          <w:highlight w:val="none"/>
          <w:lang w:val="en-US" w:eastAsia="zh-CN"/>
        </w:rPr>
        <w:t>服务承诺</w:t>
      </w:r>
      <w:r>
        <w:rPr>
          <w:rFonts w:hint="eastAsia" w:ascii="宋体" w:hAnsi="宋体" w:cs="宋体"/>
          <w:bCs/>
          <w:szCs w:val="21"/>
          <w:highlight w:val="none"/>
        </w:rPr>
        <w:t>；</w:t>
      </w:r>
    </w:p>
    <w:p w14:paraId="7AB24F67">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2.7</w:t>
      </w:r>
      <w:r>
        <w:rPr>
          <w:rFonts w:hint="eastAsia" w:ascii="宋体" w:hAnsi="宋体" w:cs="宋体"/>
          <w:bCs/>
          <w:szCs w:val="21"/>
          <w:highlight w:val="none"/>
          <w:lang w:val="en-US" w:eastAsia="zh-CN"/>
        </w:rPr>
        <w:t>项目整体认知</w:t>
      </w:r>
      <w:r>
        <w:rPr>
          <w:rFonts w:hint="eastAsia" w:ascii="宋体" w:hAnsi="宋体" w:cs="宋体"/>
          <w:bCs/>
          <w:szCs w:val="21"/>
          <w:highlight w:val="none"/>
        </w:rPr>
        <w:t>；</w:t>
      </w:r>
    </w:p>
    <w:p w14:paraId="183D4700">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2.9</w:t>
      </w:r>
      <w:r>
        <w:rPr>
          <w:rFonts w:hint="eastAsia" w:ascii="宋体" w:hAnsi="宋体" w:cs="宋体"/>
          <w:color w:val="auto"/>
          <w:szCs w:val="21"/>
        </w:rPr>
        <w:t>重难点解决方案</w:t>
      </w:r>
      <w:r>
        <w:rPr>
          <w:rFonts w:hint="eastAsia" w:ascii="宋体" w:hAnsi="宋体" w:cs="宋体"/>
          <w:bCs/>
          <w:szCs w:val="21"/>
          <w:highlight w:val="none"/>
        </w:rPr>
        <w:t>；</w:t>
      </w:r>
    </w:p>
    <w:p w14:paraId="7880C8E1">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2.10</w:t>
      </w:r>
      <w:r>
        <w:rPr>
          <w:rFonts w:hint="eastAsia" w:ascii="宋体" w:hAnsi="宋体" w:cs="宋体"/>
          <w:bCs/>
          <w:szCs w:val="21"/>
          <w:highlight w:val="none"/>
          <w:lang w:val="en-US" w:eastAsia="zh-CN"/>
        </w:rPr>
        <w:t>项目内容分析</w:t>
      </w:r>
      <w:r>
        <w:rPr>
          <w:rFonts w:hint="eastAsia" w:ascii="宋体" w:hAnsi="宋体" w:cs="宋体"/>
          <w:bCs/>
          <w:szCs w:val="21"/>
          <w:highlight w:val="none"/>
        </w:rPr>
        <w:t>；</w:t>
      </w:r>
    </w:p>
    <w:p w14:paraId="0C8B5291">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2.11</w:t>
      </w:r>
      <w:r>
        <w:rPr>
          <w:rFonts w:hint="eastAsia" w:ascii="宋体" w:hAnsi="宋体" w:cs="宋体"/>
          <w:color w:val="auto"/>
          <w:szCs w:val="21"/>
        </w:rPr>
        <w:t>技术方案</w:t>
      </w:r>
      <w:r>
        <w:rPr>
          <w:rFonts w:hint="eastAsia" w:ascii="宋体" w:hAnsi="宋体" w:cs="宋体"/>
          <w:bCs/>
          <w:szCs w:val="21"/>
          <w:highlight w:val="none"/>
        </w:rPr>
        <w:t>；</w:t>
      </w:r>
    </w:p>
    <w:p w14:paraId="1F0138A5">
      <w:pPr>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2.12</w:t>
      </w:r>
      <w:r>
        <w:rPr>
          <w:rFonts w:hint="eastAsia" w:ascii="宋体" w:hAnsi="宋体" w:cs="宋体"/>
          <w:bCs/>
          <w:szCs w:val="21"/>
          <w:highlight w:val="none"/>
          <w:lang w:val="en-US" w:eastAsia="zh-CN"/>
        </w:rPr>
        <w:t>保密管理</w:t>
      </w:r>
      <w:r>
        <w:rPr>
          <w:rFonts w:hint="eastAsia" w:ascii="宋体" w:hAnsi="宋体" w:cs="宋体"/>
          <w:bCs/>
          <w:szCs w:val="21"/>
          <w:highlight w:val="none"/>
        </w:rPr>
        <w:t>；</w:t>
      </w:r>
    </w:p>
    <w:p w14:paraId="06337603">
      <w:pPr>
        <w:snapToGrid w:val="0"/>
        <w:spacing w:line="36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2.13</w:t>
      </w:r>
      <w:r>
        <w:rPr>
          <w:rFonts w:hint="eastAsia" w:ascii="宋体" w:hAnsi="宋体" w:cs="宋体"/>
          <w:color w:val="auto"/>
          <w:szCs w:val="21"/>
        </w:rPr>
        <w:t>项目进度安排</w:t>
      </w:r>
      <w:r>
        <w:rPr>
          <w:rFonts w:hint="eastAsia" w:ascii="宋体" w:hAnsi="宋体" w:cs="宋体"/>
          <w:bCs/>
          <w:szCs w:val="21"/>
          <w:highlight w:val="none"/>
        </w:rPr>
        <w:t>；</w:t>
      </w:r>
    </w:p>
    <w:p w14:paraId="784D6FDD">
      <w:pPr>
        <w:snapToGrid w:val="0"/>
        <w:spacing w:line="360" w:lineRule="exact"/>
        <w:ind w:firstLine="420" w:firstLineChars="200"/>
        <w:jc w:val="left"/>
        <w:rPr>
          <w:rFonts w:hint="eastAsia" w:ascii="宋体" w:hAnsi="宋体" w:cs="宋体"/>
          <w:color w:val="auto"/>
          <w:szCs w:val="21"/>
          <w:lang w:eastAsia="zh-CN"/>
        </w:rPr>
      </w:pPr>
      <w:r>
        <w:rPr>
          <w:rFonts w:hint="eastAsia" w:ascii="宋体" w:hAnsi="宋体" w:cs="宋体"/>
          <w:bCs/>
          <w:szCs w:val="21"/>
          <w:highlight w:val="none"/>
          <w:lang w:val="en-US" w:eastAsia="zh-CN"/>
        </w:rPr>
        <w:t>2.14</w:t>
      </w:r>
      <w:r>
        <w:rPr>
          <w:rFonts w:hint="eastAsia" w:ascii="宋体" w:hAnsi="宋体" w:cs="宋体"/>
          <w:color w:val="auto"/>
          <w:szCs w:val="21"/>
        </w:rPr>
        <w:t>质量保障措施</w:t>
      </w:r>
      <w:r>
        <w:rPr>
          <w:rFonts w:hint="eastAsia" w:ascii="宋体" w:hAnsi="宋体" w:cs="宋体"/>
          <w:color w:val="auto"/>
          <w:szCs w:val="21"/>
          <w:lang w:eastAsia="zh-CN"/>
        </w:rPr>
        <w:t>；</w:t>
      </w:r>
    </w:p>
    <w:p w14:paraId="4DC78940">
      <w:pPr>
        <w:snapToGrid w:val="0"/>
        <w:spacing w:line="360" w:lineRule="exac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2.15</w:t>
      </w:r>
      <w:r>
        <w:rPr>
          <w:rFonts w:hint="eastAsia" w:ascii="宋体" w:hAnsi="宋体" w:cs="宋体"/>
          <w:color w:val="auto"/>
          <w:szCs w:val="21"/>
        </w:rPr>
        <w:t>售后服务方案</w:t>
      </w:r>
      <w:r>
        <w:rPr>
          <w:rFonts w:hint="eastAsia" w:ascii="宋体" w:hAnsi="宋体" w:cs="宋体"/>
          <w:color w:val="auto"/>
          <w:szCs w:val="21"/>
          <w:lang w:eastAsia="zh-CN"/>
        </w:rPr>
        <w:t>；</w:t>
      </w:r>
    </w:p>
    <w:p w14:paraId="3D0B4BA9">
      <w:pPr>
        <w:tabs>
          <w:tab w:val="left" w:pos="0"/>
        </w:tabs>
        <w:spacing w:line="360" w:lineRule="exact"/>
        <w:ind w:firstLine="420" w:firstLineChars="200"/>
        <w:rPr>
          <w:rFonts w:ascii="宋体" w:hAnsi="宋体" w:cs="宋体"/>
          <w:szCs w:val="21"/>
          <w:highlight w:val="none"/>
        </w:rPr>
      </w:pPr>
      <w:r>
        <w:rPr>
          <w:rFonts w:hint="eastAsia" w:ascii="宋体" w:hAnsi="宋体" w:cs="宋体"/>
          <w:bCs/>
          <w:szCs w:val="21"/>
          <w:highlight w:val="none"/>
        </w:rPr>
        <w:t>2.1</w:t>
      </w:r>
      <w:r>
        <w:rPr>
          <w:rFonts w:hint="eastAsia" w:ascii="宋体" w:hAnsi="宋体" w:cs="宋体"/>
          <w:bCs/>
          <w:szCs w:val="21"/>
          <w:highlight w:val="none"/>
          <w:lang w:val="en-US" w:eastAsia="zh-CN"/>
        </w:rPr>
        <w:t>6</w:t>
      </w:r>
      <w:r>
        <w:rPr>
          <w:rFonts w:hint="eastAsia" w:ascii="宋体" w:hAnsi="宋体" w:cs="宋体"/>
          <w:bCs/>
          <w:szCs w:val="21"/>
          <w:highlight w:val="none"/>
        </w:rPr>
        <w:t>本竞争性磋商文件要求提供的和响应人认为需要提供的其它资料/文件</w:t>
      </w:r>
      <w:r>
        <w:rPr>
          <w:rFonts w:hint="eastAsia" w:ascii="宋体" w:hAnsi="宋体" w:cs="宋体"/>
          <w:szCs w:val="21"/>
          <w:highlight w:val="none"/>
        </w:rPr>
        <w:t>。</w:t>
      </w:r>
    </w:p>
    <w:p w14:paraId="134A52FA">
      <w:pPr>
        <w:snapToGrid w:val="0"/>
        <w:spacing w:line="360" w:lineRule="exact"/>
        <w:ind w:firstLine="422" w:firstLineChars="200"/>
        <w:jc w:val="left"/>
        <w:outlineLvl w:val="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3、响应报价文件：</w:t>
      </w:r>
    </w:p>
    <w:p w14:paraId="28B6C724">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3.1初次报价一览表；</w:t>
      </w:r>
    </w:p>
    <w:p w14:paraId="3A8EB87B">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3.2《中小企业声明函》或《残疾人福利性单位声明函》（如有）或监狱企业证明文件（如有）；</w:t>
      </w:r>
    </w:p>
    <w:p w14:paraId="7F88C8CB">
      <w:pPr>
        <w:snapToGrid w:val="0"/>
        <w:spacing w:line="360" w:lineRule="exact"/>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3.3响应人针对报价需要说明的其他文件和说明。</w:t>
      </w:r>
    </w:p>
    <w:p w14:paraId="68D81E90">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（二）响应文件的语言及计量</w:t>
      </w:r>
    </w:p>
    <w:p w14:paraId="03835C13">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1、响应文件以及响应人与采购代理机构就有关投标事宜的所有来往函电，均应以中文汉语书写。除签名、盖章、专用名称、特殊证明材料等情形外，以中文汉语以外的文字表述的响应文件视同未提供。</w:t>
      </w:r>
    </w:p>
    <w:p w14:paraId="69183AD0">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2、响应计量单位，应采用中华人民共和国法定计量单位（货币单位：人民币元），否则视同未响应。</w:t>
      </w:r>
    </w:p>
    <w:p w14:paraId="7A226EEA">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（三）响应报价</w:t>
      </w:r>
    </w:p>
    <w:p w14:paraId="5164799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1、见响应人须知前附表。 </w:t>
      </w:r>
    </w:p>
    <w:p w14:paraId="509D776E">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（四）响应文件的有效期</w:t>
      </w:r>
    </w:p>
    <w:p w14:paraId="4A0D0F46">
      <w:pPr>
        <w:pStyle w:val="15"/>
        <w:snapToGrid w:val="0"/>
        <w:spacing w:line="360" w:lineRule="exact"/>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1、自投标截止日起90天响应文件应保持有效。有效期不足的响应文件将被拒绝。</w:t>
      </w:r>
    </w:p>
    <w:p w14:paraId="469EF1D8">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2、在特殊情况下，采购人可与响应人协商延长响应文件的有效期，这种要求和答复均以书面形式进行。</w:t>
      </w:r>
    </w:p>
    <w:p w14:paraId="12204899">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 xml:space="preserve">3、同意延长有效期的响应人不能修改响应文件。 </w:t>
      </w:r>
    </w:p>
    <w:p w14:paraId="4480B43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4、成交人的响应文件自开标之日起至合同履行完毕止均应保持有效。</w:t>
      </w:r>
    </w:p>
    <w:p w14:paraId="5F9B7A88">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（五）响应文件的包装、递交、修改和撤回</w:t>
      </w:r>
    </w:p>
    <w:p w14:paraId="0FCF7F80">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响应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1483FA46">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2、响应人应当在投标截止时间前将以介质存储的数据电文形式的备份响应文件</w:t>
      </w:r>
      <w:r>
        <w:rPr>
          <w:rFonts w:hint="eastAsia" w:ascii="宋体" w:hAnsi="宋体" w:cs="宋体"/>
          <w:color w:val="000000" w:themeColor="text1"/>
          <w:szCs w:val="21"/>
          <w14:textFill>
            <w14:solidFill>
              <w14:schemeClr w14:val="tx1"/>
            </w14:solidFill>
          </w14:textFill>
        </w:rPr>
        <w:t>（后缀为.bfbs）</w:t>
      </w:r>
      <w:r>
        <w:rPr>
          <w:rFonts w:hint="eastAsia" w:ascii="宋体" w:hAnsi="宋体"/>
          <w:color w:val="000000" w:themeColor="text1"/>
          <w14:textFill>
            <w14:solidFill>
              <w14:schemeClr w14:val="tx1"/>
            </w14:solidFill>
          </w14:textFill>
        </w:rPr>
        <w:t>发送至指定邮箱，逾期发送的视为备份文件无效。</w:t>
      </w:r>
    </w:p>
    <w:p w14:paraId="18AE8E21">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响应人递交以介质存储的数据电文形式的备份响应文件时，如出现下列情况之一的，将被拒收：</w:t>
      </w:r>
    </w:p>
    <w:p w14:paraId="51462A45">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（1）未成功办理响应人竞争性磋商文件获取手续的； </w:t>
      </w:r>
    </w:p>
    <w:p w14:paraId="01930F0D">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（2）未按规定要求提供后缀为.bfbs电子备份响应文件的；</w:t>
      </w:r>
    </w:p>
    <w:p w14:paraId="663E0B92">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（3）超过投标截止时间发送的；</w:t>
      </w:r>
    </w:p>
    <w:p w14:paraId="244F2872">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仅提供备份响应文件的，投标无效，相关风险由响应人自行承担。</w:t>
      </w:r>
    </w:p>
    <w:p w14:paraId="38C3F72F">
      <w:pPr>
        <w:snapToGrid w:val="0"/>
        <w:spacing w:line="360" w:lineRule="exact"/>
        <w:ind w:right="-86" w:rightChars="-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3、响应文件未按时解密，响应人提供了备份响应文件的，以备份响应文件作为依据，否则视为响应文件撤回。</w:t>
      </w:r>
    </w:p>
    <w:p w14:paraId="00F2CB20">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（六）投标无效的情形</w:t>
      </w:r>
    </w:p>
    <w:p w14:paraId="00248D83">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实质上没有响应竞争性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按照竞争性磋商文件规定进行，并应在中标结果公告之前查核原件。限期内不补正或经补正后仍不符合竞争性磋商文件要求的，应认定其投标无效。响应人修改、补正响应文件后，不影响磋商小组对其响应文件所作的评价和评分结果。</w:t>
      </w:r>
    </w:p>
    <w:p w14:paraId="1B0B0AF0">
      <w:pPr>
        <w:pStyle w:val="15"/>
        <w:snapToGrid w:val="0"/>
        <w:spacing w:line="360" w:lineRule="exact"/>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1、在商务评审时，如发现下列情形之一的，响应文件将被视为无效投标：</w:t>
      </w:r>
    </w:p>
    <w:p w14:paraId="4868085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（1）未按竞争性磋商文件要求签字、盖章或电子签章的；</w:t>
      </w:r>
    </w:p>
    <w:p w14:paraId="3BFD57F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（2）资格证明文件不全的，或者不符合竞争性磋商文件标明的资格要求的；</w:t>
      </w:r>
    </w:p>
    <w:p w14:paraId="738E9E2C">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（3）响应文件组成不全的；</w:t>
      </w:r>
    </w:p>
    <w:p w14:paraId="0172AF70">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（4）响应文件的实质性内容未使用中文表述、意思表述不明确、前后矛盾或者使用计量单位不符合竞争性磋商文件要求的；（经磋商小组认定允许其当场更正的笔误除外）</w:t>
      </w:r>
    </w:p>
    <w:p w14:paraId="77827704">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（5）响应文件的关键内容字迹模糊、无法辨认的，或者响应文件中经修正的内容字迹模糊难以辩认或者修改处未按规定签名盖章或电子签章的；</w:t>
      </w:r>
    </w:p>
    <w:p w14:paraId="7D6D048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（6）投标有效期、服务期限等条款不能满足竞争性磋商文件要求的；</w:t>
      </w:r>
    </w:p>
    <w:p w14:paraId="4C1DFA9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（7）在商务技术文件中出现响应报价的；</w:t>
      </w:r>
    </w:p>
    <w:p w14:paraId="35C5B4B9">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（8）电子响应文件解密失败的，且未在规定时间内提交备份响应文件的；</w:t>
      </w:r>
    </w:p>
    <w:p w14:paraId="567A0A7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（9）不响应竞争性磋商文件要求或者响应文件有采购人不能接受的附加条件的。</w:t>
      </w:r>
    </w:p>
    <w:p w14:paraId="671154B3">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10）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67DDF4E">
      <w:pPr>
        <w:pStyle w:val="15"/>
        <w:snapToGrid w:val="0"/>
        <w:spacing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2、在技术评审时，如发现下列情形之一的，响应文件将被视为无效投标：</w:t>
      </w:r>
    </w:p>
    <w:p w14:paraId="48F37DED">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（1）响应文件标明的响应或偏离与事实不符或虚假投标的；</w:t>
      </w:r>
    </w:p>
    <w:p w14:paraId="3C61FFD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（2）投标技术方案不明确，存在一个或一个以上备选（替代）投标的。</w:t>
      </w:r>
    </w:p>
    <w:p w14:paraId="7D05DE2C">
      <w:pPr>
        <w:pStyle w:val="15"/>
        <w:snapToGrid w:val="0"/>
        <w:spacing w:line="360" w:lineRule="exact"/>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3、在响应报价文件评审时，如发现下列情形之一的，响应文件将被视为无效投标：</w:t>
      </w:r>
    </w:p>
    <w:p w14:paraId="0E0A6AA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（1）未采用人民币报价或者未按照竞争性磋商文件标明的币种报价的；</w:t>
      </w:r>
    </w:p>
    <w:p w14:paraId="2BBF642A">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（2）报价超出采购预算金额或最高限价，采购人不能支付的；</w:t>
      </w:r>
    </w:p>
    <w:p w14:paraId="0CA4D6D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w:t>
      </w:r>
      <w:r>
        <w:rPr>
          <w:rFonts w:hAnsi="宋体" w:eastAsia="宋体" w:cs="宋体"/>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）响应报价具有选择性的；</w:t>
      </w:r>
    </w:p>
    <w:p w14:paraId="36C8B6F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磋商小组认为响应人的报价明显低于其他通过符合性审查响应人的报价，有可能影响服务质量或者不能诚信履约，且响应人无法在评标现场合理的时间内提供书面说明或相关证明材料以证明其报价合理性的。</w:t>
      </w:r>
    </w:p>
    <w:p w14:paraId="13F11047">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（七）出现以下情形，导致电子交易平台无法正常运行，或者无法保证电子交易的公平、公正和安全时，中止电子交易活动：</w:t>
      </w:r>
    </w:p>
    <w:p w14:paraId="3B832520">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1、电子交易平台发生故障而无法登录访问的；</w:t>
      </w:r>
    </w:p>
    <w:p w14:paraId="1C0E3000">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2、电子交易平台应用或数据库出现错误，不能进行正常操作的；</w:t>
      </w:r>
    </w:p>
    <w:p w14:paraId="5DCFD726">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3、电子交易平台发现严重安全漏洞，有潜在泄密危险的；</w:t>
      </w:r>
    </w:p>
    <w:p w14:paraId="7998F58E">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4、病毒发作导致不能进行正常操作的；</w:t>
      </w:r>
    </w:p>
    <w:p w14:paraId="00A73251">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5、其他无法保证电子交易的公平、公正和安全的情况。</w:t>
      </w:r>
    </w:p>
    <w:p w14:paraId="7061A93D">
      <w:pPr>
        <w:pStyle w:val="123"/>
        <w:snapToGrid w:val="0"/>
        <w:spacing w:line="360" w:lineRule="exact"/>
        <w:ind w:right="-86" w:rightChars="-41" w:firstLine="438" w:firstLineChars="20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14:paraId="10DED03D">
      <w:pPr>
        <w:pStyle w:val="15"/>
        <w:adjustRightInd w:val="0"/>
        <w:snapToGrid w:val="0"/>
        <w:spacing w:before="60" w:after="20"/>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（八）被拒绝的响应文件为无效。</w:t>
      </w:r>
    </w:p>
    <w:p w14:paraId="6F6D57CA">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四、开标</w:t>
      </w:r>
    </w:p>
    <w:p w14:paraId="6B5B4073">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（一）开标准备</w:t>
      </w:r>
    </w:p>
    <w:p w14:paraId="03DAC17B">
      <w:pPr>
        <w:pStyle w:val="15"/>
        <w:snapToGrid w:val="0"/>
        <w:spacing w:line="360" w:lineRule="exact"/>
        <w:ind w:firstLine="413" w:firstLineChars="196"/>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1.1采购代理机构按本竞争性磋商文件投标规定的时间和地点公开开标，所有响应人不需要派代表参加现场开标，响应人须通过政采云电子交易系统在线参与本项目的开标活动。</w:t>
      </w:r>
    </w:p>
    <w:p w14:paraId="3A2A39B5">
      <w:pPr>
        <w:pStyle w:val="15"/>
        <w:snapToGrid w:val="0"/>
        <w:spacing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1.2按规定提交合格的撤回通知的响应文件不予开封，并退回给响应人；开标时出现的无效响应文件，不予评审，但不退还给响应人。</w:t>
      </w:r>
    </w:p>
    <w:p w14:paraId="25C5251D">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（二）开标程序</w:t>
      </w:r>
    </w:p>
    <w:p w14:paraId="5E776464">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2.1开标现场会由采购代理机构工作人员负责主持，投标截止时间后主持人宣布开标会开始，同时宣读现场纪律。</w:t>
      </w:r>
    </w:p>
    <w:p w14:paraId="5CDD1AAD">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2.2主持人介绍招标项目基本情况、评标程序、评标办法以及参加本项目的响应人名称和各响应人响应文件送达的时间；主持人介绍到会供应商等情况，并要求响应人代表书面提出其中是否有应当回避的情况。</w:t>
      </w:r>
    </w:p>
    <w:p w14:paraId="2240C1EA">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3、电子招投标开标及评审程序</w:t>
      </w:r>
    </w:p>
    <w:p w14:paraId="7F7144F4">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 1投标截止时间后，响应人登录政采云平台，用“项目采购-开标评标”功能对电子响应文件进行在线解密。在线解密电子响应文件时间为开标时间起半个小时内；</w:t>
      </w:r>
    </w:p>
    <w:p w14:paraId="1D2D2ED9">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3.2.</w:t>
      </w:r>
      <w:r>
        <w:rPr>
          <w:rFonts w:hint="eastAsia"/>
          <w:color w:val="000000" w:themeColor="text1"/>
          <w14:textFill>
            <w14:solidFill>
              <w14:schemeClr w14:val="tx1"/>
            </w14:solidFill>
          </w14:textFill>
        </w:rPr>
        <w:t xml:space="preserve"> </w:t>
      </w:r>
      <w:r>
        <w:rPr>
          <w:rFonts w:hint="eastAsia" w:hAnsi="宋体" w:eastAsia="宋体" w:cs="宋体"/>
          <w:color w:val="000000" w:themeColor="text1"/>
          <w:sz w:val="21"/>
          <w:szCs w:val="21"/>
          <w14:textFill>
            <w14:solidFill>
              <w14:schemeClr w14:val="tx1"/>
            </w14:solidFill>
          </w14:textFill>
        </w:rPr>
        <w:t>磋商小组对响应人的资格进行审查。资格审查合格后，由磋商小组对商务技术响应文件进行评审；</w:t>
      </w:r>
    </w:p>
    <w:p w14:paraId="5AA711FF">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3.3磋商小组对报价情况进行评审；</w:t>
      </w:r>
    </w:p>
    <w:p w14:paraId="6546B84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3.4磋商小组与有效投标响应人进行磋商；</w:t>
      </w:r>
    </w:p>
    <w:p w14:paraId="4A6598C5">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3.5磋商后，响应人通过系统进行报价；</w:t>
      </w:r>
    </w:p>
    <w:p w14:paraId="6C2322F9">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3.6在系统上公布评审结果。</w:t>
      </w:r>
    </w:p>
    <w:p w14:paraId="5999D5B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特别说明：政采云公司如对电子化开标及评审程序有调整的，按调整后的程序操作。</w:t>
      </w:r>
    </w:p>
    <w:p w14:paraId="051EBA0C">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4、采购代理机构工作人员对开标过程进行记录（含音视频记录），并存档备查。</w:t>
      </w:r>
    </w:p>
    <w:p w14:paraId="3D569865">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5、本项目原则上采用政采云电子招投标开标及评审程序，但有下情形的，按以下情况处理：</w:t>
      </w:r>
    </w:p>
    <w:p w14:paraId="621D549F">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5.1若所有响应人在规定时间内无法解密或解密失败，采购组织机构将开启所有响应人递交的以介质存储云平台项目采购模块，以完成开标，电子投的数据电文形式的备份响应文件，上传至政采标文件自动失效</w:t>
      </w:r>
    </w:p>
    <w:p w14:paraId="62C0063D">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p>
    <w:p w14:paraId="338C3250">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五、评标</w:t>
      </w:r>
    </w:p>
    <w:p w14:paraId="23C89EC8">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（一）组建磋商小组</w:t>
      </w:r>
    </w:p>
    <w:p w14:paraId="7727ABC5">
      <w:pPr>
        <w:pStyle w:val="15"/>
        <w:snapToGrid w:val="0"/>
        <w:spacing w:line="360" w:lineRule="exact"/>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本项目磋商小组由政府采购评审专家和采购人代表组成，共3人。</w:t>
      </w:r>
    </w:p>
    <w:p w14:paraId="08BB84F0">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（二）评标程序</w:t>
      </w:r>
    </w:p>
    <w:p w14:paraId="688E8F35">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1、资格审查</w:t>
      </w:r>
    </w:p>
    <w:p w14:paraId="45B50B7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依据法律法规和竞争性磋商文件的规定，磋商小组对响应人的资格进行审查。</w:t>
      </w:r>
    </w:p>
    <w:p w14:paraId="1DE822B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2、实质审查与比较</w:t>
      </w:r>
    </w:p>
    <w:p w14:paraId="18120633">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2.1磋商小组审查响应文件的实质性内容是否符合竞争性磋商文件的实质性要求。</w:t>
      </w:r>
    </w:p>
    <w:p w14:paraId="1E4D94F5">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2.2磋商小组将根据响应人的响应文件进行审查、核对，如有疑问，将对响应人进行询标，响应人要向磋商小组澄清有关问题，并最终以书面形式进行答复。</w:t>
      </w:r>
    </w:p>
    <w:p w14:paraId="1F6860C8">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2.3响应人代表未及时澄清或者拒绝澄清或者澄清的内容改变了响应文件的实质性内容的，磋商小组有权对该响应文件作出不利于响应人的评判。</w:t>
      </w:r>
    </w:p>
    <w:p w14:paraId="155488F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2.4各响应人的商务技术得分由指定专人进行计算复核。</w:t>
      </w:r>
    </w:p>
    <w:p w14:paraId="0D0DB230">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2.5各响应人报价得分根据评分标准计算。</w:t>
      </w:r>
    </w:p>
    <w:p w14:paraId="4531F897">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2.6磋商小组完成评标后，对各部分得分汇总，得出本项目最终得分，磋商小组按评标原则推荐中标候选人同时起草评审报告。</w:t>
      </w:r>
    </w:p>
    <w:p w14:paraId="7DF7A889">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（三）澄清问题的形式</w:t>
      </w:r>
    </w:p>
    <w:p w14:paraId="01F343E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4E3FCDDE">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（四）错误修正</w:t>
      </w:r>
    </w:p>
    <w:p w14:paraId="178C2DC6">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响应文件如果出现计算或表达上的错误，修正错误的原则如下：</w:t>
      </w:r>
    </w:p>
    <w:p w14:paraId="54C642CD">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1、响应文件中开标一览表（报价表）内容与响应文件中相应内容不一致的，以开标一览表（报价表）为准；</w:t>
      </w:r>
    </w:p>
    <w:p w14:paraId="16174D6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2、大写金额和小写金额不一致的，以大写金额为准；</w:t>
      </w:r>
    </w:p>
    <w:p w14:paraId="0CB2A2A8">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3、单价金额小数点或者百分比有明显错位的，以开标一览表的总价为准，并修改单价；</w:t>
      </w:r>
    </w:p>
    <w:p w14:paraId="5219D9E6">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4、总价金额与按单价汇总金额不一致的，以单价金额计算结果为准。</w:t>
      </w:r>
    </w:p>
    <w:p w14:paraId="13B04E5E">
      <w:pPr>
        <w:pStyle w:val="15"/>
        <w:adjustRightInd w:val="0"/>
        <w:snapToGrid w:val="0"/>
        <w:spacing w:before="60" w:after="20" w:line="360" w:lineRule="exact"/>
        <w:ind w:firstLine="422" w:firstLineChars="200"/>
        <w:rPr>
          <w:rFonts w:hAnsi="宋体" w:eastAsia="宋体" w:cs="宋体"/>
          <w:b/>
          <w:bCs/>
          <w:color w:val="000000" w:themeColor="text1"/>
          <w:sz w:val="21"/>
          <w:szCs w:val="2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同时出现两种以上不一致的，按照前款规定的顺序修正。修正后的报价经响应人同意并盖章确认后产生约束力，如果响应人不接受修正后的报价或其不确认的，则其投标将作为无效投标处理。</w:t>
      </w:r>
    </w:p>
    <w:p w14:paraId="7023A892">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（五）评标原则和磋商办法</w:t>
      </w:r>
    </w:p>
    <w:p w14:paraId="18CB197E">
      <w:pPr>
        <w:pStyle w:val="15"/>
        <w:snapToGrid w:val="0"/>
        <w:spacing w:line="360" w:lineRule="exact"/>
        <w:ind w:firstLine="520" w:firstLineChars="24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1、磋商小组必须公平、公正、客观，不带任何倾向性和启发性；不得向外界透露任何与磋商有关的内容；任何单位和个人不得干扰、影响磋商的正常进行；磋商小组及有关工作人员不得私下与响应人接触。</w:t>
      </w:r>
    </w:p>
    <w:p w14:paraId="2BFE2FB7">
      <w:pPr>
        <w:pStyle w:val="15"/>
        <w:snapToGrid w:val="0"/>
        <w:spacing w:line="360" w:lineRule="exact"/>
        <w:ind w:firstLine="520" w:firstLineChars="24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2、磋商办法。本项目磋商办法是</w:t>
      </w:r>
      <w:r>
        <w:rPr>
          <w:rFonts w:hint="eastAsia" w:hAnsi="宋体" w:eastAsia="宋体" w:cs="宋体"/>
          <w:color w:val="000000" w:themeColor="text1"/>
          <w:sz w:val="21"/>
          <w:szCs w:val="21"/>
          <w:u w:val="single"/>
          <w14:textFill>
            <w14:solidFill>
              <w14:schemeClr w14:val="tx1"/>
            </w14:solidFill>
          </w14:textFill>
        </w:rPr>
        <w:t>综合评分法</w:t>
      </w:r>
      <w:r>
        <w:rPr>
          <w:rFonts w:hint="eastAsia" w:hAnsi="宋体" w:eastAsia="宋体" w:cs="宋体"/>
          <w:color w:val="000000" w:themeColor="text1"/>
          <w:sz w:val="21"/>
          <w:szCs w:val="21"/>
          <w14:textFill>
            <w14:solidFill>
              <w14:schemeClr w14:val="tx1"/>
            </w14:solidFill>
          </w14:textFill>
        </w:rPr>
        <w:t>，具体评标内容及评分标准等详见《第四章：磋商办法及评分标准》。</w:t>
      </w:r>
    </w:p>
    <w:p w14:paraId="044FB169">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（六）磋商过程的监控</w:t>
      </w:r>
    </w:p>
    <w:p w14:paraId="0AAAAE9F">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本项目磋商过程实行全程录音、录像监控，响应人在评标过程中所进行的试图影响评标结果的不公正活动，可能导致其投标被拒绝。</w:t>
      </w:r>
    </w:p>
    <w:p w14:paraId="0B2B04E2">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六、定标</w:t>
      </w:r>
    </w:p>
    <w:p w14:paraId="425C6087">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（一）确定成交人。本项目由采购人（或采购人事先授权磋商小组）确定成交人。</w:t>
      </w:r>
    </w:p>
    <w:p w14:paraId="4300C3D1">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1.采购代理机构在评审结束后2个工作日内将评审报告送采购人确认。</w:t>
      </w:r>
    </w:p>
    <w:p w14:paraId="3AD90CE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2.采购人应当自收到评审报告之日起5个工作日内，在评审报告确定的成交候选人名单中按顺序确定成交人。</w:t>
      </w:r>
    </w:p>
    <w:p w14:paraId="3F756C1E">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3.采购人或者采购代理机构应当自成交人确定之日起2个工作日内，在省级以上财政部门指定的媒体上公告中标结果，在公告中标结果的同时，采购人或者采购代理机构应当向成交人发出成交通知书。</w:t>
      </w:r>
    </w:p>
    <w:p w14:paraId="4BEBFD42">
      <w:pPr>
        <w:pStyle w:val="15"/>
        <w:adjustRightInd w:val="0"/>
        <w:snapToGrid w:val="0"/>
        <w:spacing w:before="60" w:after="20" w:line="360" w:lineRule="exact"/>
        <w:ind w:firstLine="420" w:firstLineChars="200"/>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二）成交人因自身原因放弃中标或因不可抗力不能履行合同的；经质疑，采购代理机构审查确认因成交人在本次采购活动中存在违法违规行为或其他原因使质疑成立的，如发生上述两种情况的，采购人可以与排位在成交人之后第一位的成交候选人签订采购合同，以此类推。</w:t>
      </w:r>
    </w:p>
    <w:p w14:paraId="3659A396">
      <w:pPr>
        <w:snapToGrid w:val="0"/>
        <w:spacing w:line="276" w:lineRule="auto"/>
        <w:ind w:firstLine="560"/>
        <w:jc w:val="center"/>
        <w:rPr>
          <w:rFonts w:ascii="宋体" w:hAnsi="宋体" w:cs="宋体"/>
          <w:b/>
          <w:color w:val="000000" w:themeColor="text1"/>
          <w:sz w:val="28"/>
          <w:szCs w:val="30"/>
          <w14:textFill>
            <w14:solidFill>
              <w14:schemeClr w14:val="tx1"/>
            </w14:solidFill>
          </w14:textFill>
        </w:rPr>
      </w:pPr>
    </w:p>
    <w:p w14:paraId="60C02089">
      <w:pPr>
        <w:snapToGrid w:val="0"/>
        <w:spacing w:after="240" w:line="276" w:lineRule="auto"/>
        <w:ind w:firstLine="562"/>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七、合同授予</w:t>
      </w:r>
    </w:p>
    <w:p w14:paraId="0B8574C6">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（一）签订合同</w:t>
      </w:r>
    </w:p>
    <w:p w14:paraId="64FCB4B2">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1、成交人应在《成交通知书》发出之日起30日内与采购人签定合同。同时，采购代理机构对合同内容进行审查，如发现与采购结果和投标承诺内容不一致的，应予以纠正。</w:t>
      </w:r>
    </w:p>
    <w:p w14:paraId="409A615F">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2、成交人拖延、拒签合同的，将上报监管部门并取消中标资格。</w:t>
      </w:r>
    </w:p>
    <w:p w14:paraId="79D29B4B">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3、成交人和采购人签订合同，按合同规定的服务时间完成服务。</w:t>
      </w:r>
    </w:p>
    <w:p w14:paraId="29E1E274">
      <w:pPr>
        <w:pStyle w:val="15"/>
        <w:snapToGrid w:val="0"/>
        <w:spacing w:line="360" w:lineRule="exact"/>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也可以重新开展采购活动。</w:t>
      </w:r>
    </w:p>
    <w:p w14:paraId="7754DE63">
      <w:pPr>
        <w:pStyle w:val="15"/>
        <w:adjustRightInd w:val="0"/>
        <w:snapToGrid w:val="0"/>
        <w:spacing w:before="60" w:after="20" w:line="360" w:lineRule="exact"/>
        <w:ind w:firstLine="422" w:firstLineChars="200"/>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（二）合同公告</w:t>
      </w:r>
    </w:p>
    <w:p w14:paraId="0C36F8CC">
      <w:pPr>
        <w:pStyle w:val="15"/>
        <w:snapToGrid w:val="0"/>
        <w:spacing w:line="360" w:lineRule="exact"/>
        <w:ind w:firstLine="415" w:firstLineChars="198"/>
        <w:jc w:val="left"/>
        <w:rPr>
          <w:rFonts w:hAnsi="宋体" w:eastAsia="宋体" w:cs="宋体"/>
          <w:b/>
          <w:color w:val="000000" w:themeColor="text1"/>
          <w:sz w:val="26"/>
          <w:szCs w:val="26"/>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采购人在政府采购合同签订后，将政府采购合同在省级以上人民政府财政部门指定的媒体上公告，但政府采购合同中涉及国家秘密、商业秘密的内容除外。</w:t>
      </w:r>
      <w:r>
        <w:rPr>
          <w:rFonts w:hAnsi="宋体" w:eastAsia="宋体" w:cs="宋体"/>
          <w:color w:val="000000" w:themeColor="text1"/>
          <w:sz w:val="21"/>
          <w:szCs w:val="21"/>
          <w14:textFill>
            <w14:solidFill>
              <w14:schemeClr w14:val="tx1"/>
            </w14:solidFill>
          </w14:textFill>
        </w:rPr>
        <w:br w:type="page"/>
      </w:r>
      <w:r>
        <w:rPr>
          <w:rFonts w:hint="eastAsia" w:hAnsi="宋体" w:eastAsia="宋体" w:cs="宋体"/>
          <w:color w:val="000000" w:themeColor="text1"/>
          <w:sz w:val="21"/>
          <w:szCs w:val="21"/>
          <w14:textFill>
            <w14:solidFill>
              <w14:schemeClr w14:val="tx1"/>
            </w14:solidFill>
          </w14:textFill>
        </w:rPr>
        <w:t xml:space="preserve">                             </w:t>
      </w:r>
      <w:r>
        <w:rPr>
          <w:rFonts w:hint="eastAsia" w:hAnsi="宋体" w:eastAsia="宋体" w:cs="宋体"/>
          <w:b/>
          <w:color w:val="000000" w:themeColor="text1"/>
          <w:szCs w:val="30"/>
          <w14:textFill>
            <w14:solidFill>
              <w14:schemeClr w14:val="tx1"/>
            </w14:solidFill>
          </w14:textFill>
        </w:rPr>
        <w:t>第四章  磋商办法及标准</w:t>
      </w:r>
    </w:p>
    <w:p w14:paraId="3FFAF776">
      <w:pPr>
        <w:pStyle w:val="15"/>
        <w:adjustRightInd w:val="0"/>
        <w:snapToGrid w:val="0"/>
        <w:spacing w:line="360" w:lineRule="exact"/>
        <w:ind w:firstLine="420" w:firstLineChars="2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为公正、公平、科学地选择成交人，根据《中华人民共和国政府采购法》等有关法律法规的规定，并结合本项目的实际，制定本办法。本次评标采用综合评分法。</w:t>
      </w:r>
    </w:p>
    <w:p w14:paraId="21CB9F5A">
      <w:pPr>
        <w:spacing w:before="156" w:beforeLines="50" w:line="276" w:lineRule="auto"/>
        <w:ind w:firstLine="482" w:firstLineChars="200"/>
        <w:rPr>
          <w:rFonts w:ascii="宋体" w:hAnsi="宋体" w:cs="仿宋_GB2312"/>
          <w:b/>
          <w:bCs/>
          <w:color w:val="000000" w:themeColor="text1"/>
          <w:sz w:val="24"/>
          <w:lang w:val="zh-CN"/>
          <w14:textFill>
            <w14:solidFill>
              <w14:schemeClr w14:val="tx1"/>
            </w14:solidFill>
          </w14:textFill>
        </w:rPr>
      </w:pPr>
      <w:r>
        <w:rPr>
          <w:rFonts w:hint="eastAsia" w:ascii="宋体" w:hAnsi="宋体" w:cs="仿宋_GB2312"/>
          <w:b/>
          <w:bCs/>
          <w:color w:val="000000" w:themeColor="text1"/>
          <w:sz w:val="24"/>
          <w:lang w:val="zh-CN"/>
          <w14:textFill>
            <w14:solidFill>
              <w14:schemeClr w14:val="tx1"/>
            </w14:solidFill>
          </w14:textFill>
        </w:rPr>
        <w:t>一、总则</w:t>
      </w:r>
    </w:p>
    <w:p w14:paraId="721101FC">
      <w:pPr>
        <w:pStyle w:val="15"/>
        <w:adjustRightInd w:val="0"/>
        <w:snapToGrid w:val="0"/>
        <w:spacing w:line="360" w:lineRule="exact"/>
        <w:ind w:firstLine="420" w:firstLineChars="2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本次评标采用综合评分法，总分为100分，其磋商小组对响应文件进行符合性审查，凡响应文件实质性内容、关键格式严重不符合有关规定或不响应采购文件要求的，磋商小组应评定该响应文件作无效标处理。</w:t>
      </w:r>
    </w:p>
    <w:p w14:paraId="18F32BB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格响应人的评标得分为价格分和商务技术分的汇总得分，成交候选资格按评标得分由高到低顺序排列，得分相同的，按最终响应报价由低到高顺序排列；评标得分且最终响应报价相同的，按技术部分得分由高到低顺序排列；评标得分、最终响应报价、技术部分得分均相同，由采购随机抽取确定排名顺序。排名第一的响应人为成交人，排名第二的响应人为成交候选人，其他响应人成交候选资格依此类推。各响应人的得分为所有专家的有效评分的算术平均数。评分过程中采用四舍五入法，并保留小数2位。</w:t>
      </w:r>
    </w:p>
    <w:p w14:paraId="356A75A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响应人评标综合得分=价格分+商务技术分</w:t>
      </w:r>
    </w:p>
    <w:p w14:paraId="6ECBF2E5">
      <w:pPr>
        <w:spacing w:before="156" w:beforeLines="50" w:line="276" w:lineRule="auto"/>
        <w:ind w:firstLine="482" w:firstLineChars="200"/>
        <w:rPr>
          <w:rFonts w:ascii="宋体" w:hAnsi="宋体" w:cs="仿宋_GB2312"/>
          <w:b/>
          <w:bCs/>
          <w:color w:val="000000" w:themeColor="text1"/>
          <w:sz w:val="24"/>
          <w:lang w:val="zh-CN"/>
          <w14:textFill>
            <w14:solidFill>
              <w14:schemeClr w14:val="tx1"/>
            </w14:solidFill>
          </w14:textFill>
        </w:rPr>
      </w:pPr>
      <w:r>
        <w:rPr>
          <w:rFonts w:hint="eastAsia" w:ascii="宋体" w:hAnsi="宋体" w:cs="仿宋_GB2312"/>
          <w:b/>
          <w:bCs/>
          <w:color w:val="000000" w:themeColor="text1"/>
          <w:sz w:val="24"/>
          <w:lang w:val="zh-CN"/>
          <w14:textFill>
            <w14:solidFill>
              <w14:schemeClr w14:val="tx1"/>
            </w14:solidFill>
          </w14:textFill>
        </w:rPr>
        <w:t>二、资格审查</w:t>
      </w:r>
    </w:p>
    <w:p w14:paraId="3F6D9EC4">
      <w:pPr>
        <w:autoSpaceDE w:val="0"/>
        <w:autoSpaceDN w:val="0"/>
        <w:adjustRightIn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1、由磋商小组对响应人的资格进行审查。</w:t>
      </w:r>
    </w:p>
    <w:p w14:paraId="6CCAD3F0">
      <w:pPr>
        <w:autoSpaceDE w:val="0"/>
        <w:autoSpaceDN w:val="0"/>
        <w:adjustRightIn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2、按以下内容审核响应文件是否符合竞争性磋商文件的资格文件要求。</w:t>
      </w:r>
    </w:p>
    <w:tbl>
      <w:tblPr>
        <w:tblStyle w:val="31"/>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14:paraId="0E38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661CFE01">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4395" w:type="dxa"/>
            <w:tcBorders>
              <w:tl2br w:val="single" w:color="auto" w:sz="4" w:space="0"/>
            </w:tcBorders>
            <w:vAlign w:val="center"/>
          </w:tcPr>
          <w:p w14:paraId="6A8177BB">
            <w:pPr>
              <w:spacing w:line="320" w:lineRule="exact"/>
              <w:jc w:val="righ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响应人</w:t>
            </w:r>
          </w:p>
          <w:p w14:paraId="6FE473F8">
            <w:pPr>
              <w:spacing w:line="32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4621" w:type="dxa"/>
            <w:vAlign w:val="center"/>
          </w:tcPr>
          <w:p w14:paraId="61729A33">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审核标准</w:t>
            </w:r>
          </w:p>
        </w:tc>
      </w:tr>
      <w:tr w14:paraId="7442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C25EA7C">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395" w:type="dxa"/>
            <w:vAlign w:val="center"/>
          </w:tcPr>
          <w:p w14:paraId="3BF6D14E">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4621" w:type="dxa"/>
            <w:vAlign w:val="center"/>
          </w:tcPr>
          <w:p w14:paraId="0B583278">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提供营业执照复印件或事业单位法人证复印件。</w:t>
            </w:r>
          </w:p>
        </w:tc>
      </w:tr>
      <w:tr w14:paraId="5F08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040A1E67">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95" w:type="dxa"/>
            <w:vAlign w:val="center"/>
          </w:tcPr>
          <w:p w14:paraId="5C757800">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4621" w:type="dxa"/>
            <w:vAlign w:val="center"/>
          </w:tcPr>
          <w:p w14:paraId="5902CF1C">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投标函</w:t>
            </w:r>
            <w:r>
              <w:rPr>
                <w:rFonts w:hint="eastAsia" w:ascii="宋体" w:hAnsi="宋体" w:cs="宋体"/>
                <w:color w:val="000000" w:themeColor="text1"/>
                <w:szCs w:val="21"/>
                <w14:textFill>
                  <w14:solidFill>
                    <w14:schemeClr w14:val="tx1"/>
                  </w14:solidFill>
                </w14:textFill>
              </w:rPr>
              <w:t>》</w:t>
            </w:r>
          </w:p>
        </w:tc>
      </w:tr>
      <w:tr w14:paraId="54FC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3BD12EDD">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395" w:type="dxa"/>
            <w:vAlign w:val="center"/>
          </w:tcPr>
          <w:p w14:paraId="52D6E87B">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具有履行合同所必需的设备和专业技术能力</w:t>
            </w:r>
          </w:p>
        </w:tc>
        <w:tc>
          <w:tcPr>
            <w:tcW w:w="4621" w:type="dxa"/>
            <w:vAlign w:val="center"/>
          </w:tcPr>
          <w:p w14:paraId="1E565F0A">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投标函</w:t>
            </w:r>
            <w:r>
              <w:rPr>
                <w:rFonts w:hint="eastAsia" w:ascii="宋体" w:hAnsi="宋体" w:cs="宋体"/>
                <w:color w:val="000000" w:themeColor="text1"/>
                <w:szCs w:val="21"/>
                <w14:textFill>
                  <w14:solidFill>
                    <w14:schemeClr w14:val="tx1"/>
                  </w14:solidFill>
                </w14:textFill>
              </w:rPr>
              <w:t>》</w:t>
            </w:r>
          </w:p>
        </w:tc>
      </w:tr>
      <w:tr w14:paraId="362B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14:paraId="5DE3B93B">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95" w:type="dxa"/>
            <w:vAlign w:val="center"/>
          </w:tcPr>
          <w:p w14:paraId="19888114">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4621" w:type="dxa"/>
            <w:vAlign w:val="center"/>
          </w:tcPr>
          <w:p w14:paraId="1D7CC946">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投标函</w:t>
            </w:r>
            <w:r>
              <w:rPr>
                <w:rFonts w:hint="eastAsia" w:ascii="宋体" w:hAnsi="宋体" w:cs="宋体"/>
                <w:color w:val="000000" w:themeColor="text1"/>
                <w:szCs w:val="21"/>
                <w14:textFill>
                  <w14:solidFill>
                    <w14:schemeClr w14:val="tx1"/>
                  </w14:solidFill>
                </w14:textFill>
              </w:rPr>
              <w:t>》</w:t>
            </w:r>
          </w:p>
        </w:tc>
      </w:tr>
      <w:tr w14:paraId="5CA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14:paraId="1C69BE7F">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395" w:type="dxa"/>
            <w:vAlign w:val="center"/>
          </w:tcPr>
          <w:p w14:paraId="3833070F">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参加政府采购活动前三年内，在经营活动中没有重大违法记录</w:t>
            </w:r>
          </w:p>
        </w:tc>
        <w:tc>
          <w:tcPr>
            <w:tcW w:w="4621" w:type="dxa"/>
            <w:vAlign w:val="center"/>
          </w:tcPr>
          <w:p w14:paraId="0D5F3B15">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声明函</w:t>
            </w:r>
            <w:r>
              <w:rPr>
                <w:rFonts w:hint="eastAsia" w:ascii="宋体" w:hAnsi="宋体" w:cs="宋体"/>
                <w:color w:val="000000" w:themeColor="text1"/>
                <w:szCs w:val="21"/>
                <w14:textFill>
                  <w14:solidFill>
                    <w14:schemeClr w14:val="tx1"/>
                  </w14:solidFill>
                </w14:textFill>
              </w:rPr>
              <w:t>》</w:t>
            </w:r>
          </w:p>
        </w:tc>
      </w:tr>
      <w:tr w14:paraId="120E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14:paraId="7675230C">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395" w:type="dxa"/>
            <w:vAlign w:val="center"/>
          </w:tcPr>
          <w:p w14:paraId="078A2802">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未被信用中国（www.creditchina.gov.cn）、中国政府采购网（www.ccgp.gov.cn） 列入失信被执行人、重大税收违法案件当事人名单、政府采购严重违法失信行为记录名单</w:t>
            </w:r>
          </w:p>
        </w:tc>
        <w:tc>
          <w:tcPr>
            <w:tcW w:w="4621" w:type="dxa"/>
            <w:vAlign w:val="center"/>
          </w:tcPr>
          <w:p w14:paraId="19935E2D">
            <w:pPr>
              <w:tabs>
                <w:tab w:val="left" w:pos="0"/>
              </w:tabs>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以开标现场网页查询结果为准。</w:t>
            </w:r>
          </w:p>
        </w:tc>
      </w:tr>
      <w:tr w14:paraId="56B7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vAlign w:val="center"/>
          </w:tcPr>
          <w:p w14:paraId="30488D12">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395" w:type="dxa"/>
            <w:vAlign w:val="center"/>
          </w:tcPr>
          <w:p w14:paraId="5AC5193F">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法定代表人证明书或法定代表人委托授权书</w:t>
            </w:r>
          </w:p>
        </w:tc>
        <w:tc>
          <w:tcPr>
            <w:tcW w:w="4621" w:type="dxa"/>
            <w:vAlign w:val="center"/>
          </w:tcPr>
          <w:p w14:paraId="58464B42">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法定代表人参加投标时提供《法定代表人证明书》原件，非法定代表人参加投标时提供《法定代表人委托授权书》原件</w:t>
            </w:r>
          </w:p>
        </w:tc>
      </w:tr>
      <w:tr w14:paraId="4CA7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14:paraId="0A2B3BE4">
            <w:pPr>
              <w:pStyle w:val="18"/>
              <w:spacing w:line="320" w:lineRule="exact"/>
              <w:ind w:left="0" w:firstLine="0" w:firstLineChars="0"/>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结   论</w:t>
            </w:r>
          </w:p>
        </w:tc>
        <w:tc>
          <w:tcPr>
            <w:tcW w:w="4621" w:type="dxa"/>
            <w:vAlign w:val="center"/>
          </w:tcPr>
          <w:p w14:paraId="651AA78C">
            <w:pPr>
              <w:spacing w:line="320" w:lineRule="exact"/>
              <w:jc w:val="center"/>
              <w:rPr>
                <w:rFonts w:ascii="宋体" w:hAnsi="宋体" w:cs="宋体"/>
                <w:b/>
                <w:color w:val="000000" w:themeColor="text1"/>
                <w:szCs w:val="21"/>
                <w14:textFill>
                  <w14:solidFill>
                    <w14:schemeClr w14:val="tx1"/>
                  </w14:solidFill>
                </w14:textFill>
              </w:rPr>
            </w:pPr>
          </w:p>
        </w:tc>
      </w:tr>
    </w:tbl>
    <w:p w14:paraId="12EFCFE9">
      <w:pPr>
        <w:widowControl/>
        <w:numPr>
          <w:ilvl w:val="0"/>
          <w:numId w:val="6"/>
        </w:numPr>
        <w:spacing w:line="320" w:lineRule="exact"/>
        <w:ind w:firstLine="482" w:firstLineChars="200"/>
        <w:jc w:val="left"/>
        <w:rPr>
          <w:rFonts w:ascii="宋体" w:hAnsi="宋体" w:cs="仿宋_GB2312"/>
          <w:b/>
          <w:bCs/>
          <w:color w:val="000000" w:themeColor="text1"/>
          <w:sz w:val="24"/>
          <w:szCs w:val="22"/>
          <w:lang w:val="zh-CN"/>
          <w14:textFill>
            <w14:solidFill>
              <w14:schemeClr w14:val="tx1"/>
            </w14:solidFill>
          </w14:textFill>
        </w:rPr>
      </w:pPr>
      <w:r>
        <w:rPr>
          <w:rFonts w:hint="eastAsia" w:ascii="宋体" w:hAnsi="宋体" w:cs="仿宋_GB2312"/>
          <w:b/>
          <w:bCs/>
          <w:color w:val="000000" w:themeColor="text1"/>
          <w:sz w:val="24"/>
          <w:szCs w:val="22"/>
          <w:lang w:val="zh-CN"/>
          <w14:textFill>
            <w14:solidFill>
              <w14:schemeClr w14:val="tx1"/>
            </w14:solidFill>
          </w14:textFill>
        </w:rPr>
        <w:t>评分内容及标准</w:t>
      </w:r>
    </w:p>
    <w:tbl>
      <w:tblPr>
        <w:tblStyle w:val="31"/>
        <w:tblpPr w:leftFromText="180" w:rightFromText="180" w:vertAnchor="text" w:horzAnchor="page" w:tblpX="1746" w:tblpY="412"/>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52"/>
        <w:gridCol w:w="6345"/>
      </w:tblGrid>
      <w:tr w14:paraId="1C44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7" w:type="dxa"/>
            <w:vAlign w:val="center"/>
          </w:tcPr>
          <w:p w14:paraId="2C2C304C">
            <w:pPr>
              <w:spacing w:line="400" w:lineRule="exact"/>
              <w:jc w:val="center"/>
              <w:rPr>
                <w:rFonts w:hint="eastAsia" w:ascii="宋体" w:hAnsi="宋体" w:cs="宋体"/>
                <w:color w:val="auto"/>
                <w:szCs w:val="21"/>
              </w:rPr>
            </w:pPr>
          </w:p>
        </w:tc>
        <w:tc>
          <w:tcPr>
            <w:tcW w:w="1352" w:type="dxa"/>
            <w:noWrap/>
            <w:vAlign w:val="center"/>
          </w:tcPr>
          <w:p w14:paraId="55BE234B">
            <w:pPr>
              <w:spacing w:line="400" w:lineRule="exact"/>
              <w:jc w:val="center"/>
              <w:rPr>
                <w:rFonts w:hint="eastAsia" w:ascii="宋体" w:hAnsi="宋体" w:cs="宋体"/>
                <w:color w:val="auto"/>
                <w:szCs w:val="21"/>
              </w:rPr>
            </w:pPr>
            <w:r>
              <w:rPr>
                <w:rFonts w:hint="eastAsia" w:ascii="宋体" w:hAnsi="宋体" w:cs="宋体"/>
                <w:b/>
                <w:color w:val="auto"/>
                <w:szCs w:val="21"/>
              </w:rPr>
              <w:t>内容</w:t>
            </w:r>
          </w:p>
        </w:tc>
        <w:tc>
          <w:tcPr>
            <w:tcW w:w="6345" w:type="dxa"/>
            <w:noWrap/>
            <w:vAlign w:val="center"/>
          </w:tcPr>
          <w:p w14:paraId="3872F3AE">
            <w:pPr>
              <w:spacing w:line="400" w:lineRule="exact"/>
              <w:jc w:val="center"/>
              <w:rPr>
                <w:rFonts w:hint="eastAsia" w:ascii="宋体" w:hAnsi="宋体" w:cs="宋体"/>
                <w:color w:val="auto"/>
                <w:szCs w:val="21"/>
              </w:rPr>
            </w:pPr>
            <w:r>
              <w:rPr>
                <w:rFonts w:hint="eastAsia" w:ascii="宋体" w:hAnsi="宋体" w:cs="宋体"/>
                <w:b/>
                <w:color w:val="auto"/>
                <w:szCs w:val="21"/>
              </w:rPr>
              <w:t>评分要点</w:t>
            </w:r>
          </w:p>
        </w:tc>
      </w:tr>
      <w:tr w14:paraId="1723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07" w:type="dxa"/>
          </w:tcPr>
          <w:p w14:paraId="0A9D4C15">
            <w:pPr>
              <w:spacing w:line="400" w:lineRule="exact"/>
              <w:jc w:val="center"/>
              <w:rPr>
                <w:rFonts w:hint="eastAsia" w:ascii="宋体" w:hAnsi="宋体" w:cs="宋体"/>
                <w:color w:val="auto"/>
                <w:szCs w:val="21"/>
              </w:rPr>
            </w:pPr>
            <w:r>
              <w:rPr>
                <w:rFonts w:hint="eastAsia" w:ascii="宋体" w:hAnsi="宋体" w:cs="宋体"/>
                <w:color w:val="auto"/>
                <w:szCs w:val="21"/>
              </w:rPr>
              <w:t>报价</w:t>
            </w:r>
          </w:p>
          <w:p w14:paraId="0E857826">
            <w:pPr>
              <w:spacing w:line="400" w:lineRule="exact"/>
              <w:jc w:val="center"/>
              <w:rPr>
                <w:rFonts w:hint="eastAsia" w:ascii="宋体" w:hAnsi="宋体" w:cs="宋体"/>
                <w:color w:val="auto"/>
                <w:szCs w:val="21"/>
              </w:rPr>
            </w:pPr>
            <w:r>
              <w:rPr>
                <w:rFonts w:hint="eastAsia" w:ascii="宋体" w:hAnsi="宋体" w:cs="宋体"/>
                <w:color w:val="auto"/>
                <w:szCs w:val="21"/>
              </w:rPr>
              <w:t>部分</w:t>
            </w:r>
          </w:p>
          <w:p w14:paraId="47A60A5D">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1352" w:type="dxa"/>
            <w:noWrap/>
            <w:vAlign w:val="center"/>
          </w:tcPr>
          <w:p w14:paraId="0D0C2C80">
            <w:pPr>
              <w:spacing w:line="400" w:lineRule="exact"/>
              <w:jc w:val="center"/>
              <w:rPr>
                <w:rFonts w:hint="eastAsia" w:ascii="宋体" w:hAnsi="宋体" w:cs="宋体"/>
                <w:bCs/>
                <w:color w:val="auto"/>
                <w:szCs w:val="21"/>
              </w:rPr>
            </w:pPr>
            <w:r>
              <w:rPr>
                <w:rFonts w:hint="eastAsia" w:ascii="宋体" w:hAnsi="宋体" w:cs="宋体"/>
                <w:bCs/>
                <w:color w:val="auto"/>
                <w:szCs w:val="21"/>
              </w:rPr>
              <w:t>报价分</w:t>
            </w:r>
          </w:p>
          <w:p w14:paraId="29B2F2F4">
            <w:pPr>
              <w:spacing w:line="400" w:lineRule="exact"/>
              <w:jc w:val="center"/>
              <w:rPr>
                <w:rFonts w:hint="eastAsia"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1</w:t>
            </w:r>
            <w:r>
              <w:rPr>
                <w:rFonts w:hint="eastAsia" w:ascii="宋体" w:hAnsi="宋体" w:cs="宋体"/>
                <w:bCs/>
                <w:color w:val="auto"/>
                <w:szCs w:val="21"/>
              </w:rPr>
              <w:t>0分)</w:t>
            </w:r>
          </w:p>
        </w:tc>
        <w:tc>
          <w:tcPr>
            <w:tcW w:w="6345" w:type="dxa"/>
            <w:noWrap/>
            <w:vAlign w:val="center"/>
          </w:tcPr>
          <w:p w14:paraId="7347EEF5">
            <w:pPr>
              <w:spacing w:line="240" w:lineRule="auto"/>
              <w:ind w:left="105" w:leftChars="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价格分采用低价优先法计算，即满足采购文件要求且投标价格最低的投标报价为评标基准价，其他投标人的价格分按照下列公式计算：</w:t>
            </w:r>
          </w:p>
          <w:p w14:paraId="78BB2F04">
            <w:pPr>
              <w:rPr>
                <w:rFonts w:hint="eastAsia"/>
                <w:color w:val="auto"/>
              </w:rPr>
            </w:pPr>
            <w:r>
              <w:rPr>
                <w:rFonts w:hint="eastAsia" w:ascii="宋体" w:hAnsi="宋体" w:eastAsia="宋体" w:cs="宋体"/>
                <w:color w:val="auto"/>
                <w:sz w:val="21"/>
                <w:szCs w:val="21"/>
                <w:lang w:val="zh-CN"/>
              </w:rPr>
              <w:t>投标报价得分</w:t>
            </w:r>
            <w:r>
              <w:rPr>
                <w:rFonts w:hint="eastAsia" w:ascii="宋体" w:hAnsi="宋体" w:eastAsia="宋体" w:cs="宋体"/>
                <w:color w:val="auto"/>
                <w:sz w:val="21"/>
                <w:szCs w:val="21"/>
              </w:rPr>
              <w:t>=（评标基准价/</w:t>
            </w:r>
            <w:r>
              <w:rPr>
                <w:rFonts w:hint="eastAsia" w:ascii="宋体" w:hAnsi="宋体" w:eastAsia="宋体" w:cs="宋体"/>
                <w:color w:val="auto"/>
                <w:sz w:val="21"/>
                <w:szCs w:val="21"/>
                <w:lang w:val="zh-CN"/>
              </w:rPr>
              <w:t>评审价格</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r>
              <w:rPr>
                <w:rFonts w:hint="eastAsia" w:ascii="宋体" w:hAnsi="宋体" w:eastAsia="宋体" w:cs="宋体"/>
                <w:color w:val="auto"/>
                <w:sz w:val="21"/>
                <w:szCs w:val="21"/>
                <w:lang w:val="zh-CN"/>
              </w:rPr>
              <w:t>%×100（分值计算时保留小数点后二位,第三位四舍五入）</w:t>
            </w:r>
            <w:r>
              <w:rPr>
                <w:rFonts w:hint="eastAsia" w:ascii="宋体" w:hAnsi="宋体" w:cs="宋体"/>
                <w:color w:val="auto"/>
                <w:szCs w:val="21"/>
                <w:lang w:val="zh-CN"/>
              </w:rPr>
              <w:t>。</w:t>
            </w:r>
          </w:p>
        </w:tc>
      </w:tr>
      <w:tr w14:paraId="2DC3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7" w:type="dxa"/>
            <w:vMerge w:val="restart"/>
            <w:vAlign w:val="center"/>
          </w:tcPr>
          <w:p w14:paraId="12D1C445">
            <w:pPr>
              <w:spacing w:line="400" w:lineRule="exact"/>
              <w:jc w:val="center"/>
              <w:rPr>
                <w:rFonts w:hint="eastAsia" w:ascii="宋体" w:hAnsi="宋体" w:cs="宋体"/>
                <w:color w:val="auto"/>
                <w:szCs w:val="21"/>
              </w:rPr>
            </w:pPr>
            <w:r>
              <w:rPr>
                <w:rFonts w:hint="eastAsia" w:ascii="宋体" w:hAnsi="宋体" w:cs="宋体"/>
                <w:color w:val="auto"/>
                <w:szCs w:val="21"/>
              </w:rPr>
              <w:t>商务</w:t>
            </w:r>
          </w:p>
          <w:p w14:paraId="4A12FADA">
            <w:pPr>
              <w:spacing w:line="400" w:lineRule="exact"/>
              <w:jc w:val="center"/>
              <w:rPr>
                <w:rFonts w:hint="eastAsia" w:ascii="宋体" w:hAnsi="宋体" w:cs="宋体"/>
                <w:color w:val="auto"/>
                <w:szCs w:val="21"/>
              </w:rPr>
            </w:pPr>
            <w:r>
              <w:rPr>
                <w:rFonts w:hint="eastAsia" w:ascii="宋体" w:hAnsi="宋体" w:cs="宋体"/>
                <w:color w:val="auto"/>
                <w:szCs w:val="21"/>
              </w:rPr>
              <w:t>技术</w:t>
            </w:r>
          </w:p>
          <w:p w14:paraId="4425C2E6">
            <w:pPr>
              <w:spacing w:line="400" w:lineRule="exact"/>
              <w:jc w:val="center"/>
              <w:rPr>
                <w:rFonts w:hint="eastAsia" w:ascii="宋体" w:hAnsi="宋体" w:cs="宋体"/>
                <w:color w:val="auto"/>
                <w:szCs w:val="21"/>
              </w:rPr>
            </w:pPr>
            <w:r>
              <w:rPr>
                <w:rFonts w:hint="eastAsia" w:ascii="宋体" w:hAnsi="宋体" w:cs="宋体"/>
                <w:color w:val="auto"/>
                <w:szCs w:val="21"/>
              </w:rPr>
              <w:t>部分</w:t>
            </w:r>
          </w:p>
          <w:p w14:paraId="27AC7331">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0分</w:t>
            </w:r>
          </w:p>
        </w:tc>
        <w:tc>
          <w:tcPr>
            <w:tcW w:w="1352" w:type="dxa"/>
            <w:noWrap/>
            <w:vAlign w:val="center"/>
          </w:tcPr>
          <w:p w14:paraId="49DD5638">
            <w:pPr>
              <w:widowControl/>
              <w:jc w:val="center"/>
              <w:textAlignment w:val="center"/>
              <w:rPr>
                <w:rFonts w:hint="eastAsia" w:ascii="宋体" w:hAnsi="宋体" w:cs="宋体"/>
                <w:color w:val="auto"/>
                <w:szCs w:val="21"/>
              </w:rPr>
            </w:pPr>
            <w:r>
              <w:rPr>
                <w:rFonts w:hint="eastAsia" w:ascii="宋体" w:hAnsi="宋体" w:eastAsia="宋体" w:cs="宋体"/>
                <w:color w:val="auto"/>
                <w:sz w:val="21"/>
                <w:szCs w:val="21"/>
                <w:lang w:val="en-US" w:eastAsia="zh-CN"/>
              </w:rPr>
              <w:t xml:space="preserve">类似业绩  </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tc>
        <w:tc>
          <w:tcPr>
            <w:tcW w:w="6345" w:type="dxa"/>
            <w:noWrap/>
            <w:vAlign w:val="center"/>
          </w:tcPr>
          <w:p w14:paraId="59266FC0">
            <w:pPr>
              <w:rPr>
                <w:rFonts w:hint="eastAsia" w:ascii="宋体" w:hAnsi="宋体" w:cs="宋体"/>
                <w:color w:val="auto"/>
                <w:szCs w:val="21"/>
              </w:rPr>
            </w:pPr>
            <w:r>
              <w:rPr>
                <w:rFonts w:hint="eastAsia" w:ascii="宋体" w:hAnsi="宋体" w:cs="宋体"/>
                <w:color w:val="auto"/>
                <w:szCs w:val="21"/>
              </w:rPr>
              <w:t>投标人自2022年1月1日以来(以合同签订时间为准)，具有承接过“环境健康（或环境保护或环境治理）技术服务方案编制项目”类似业绩的，每个合同得</w:t>
            </w:r>
            <w:r>
              <w:rPr>
                <w:rFonts w:hint="eastAsia" w:ascii="宋体" w:hAnsi="宋体" w:cs="宋体"/>
                <w:color w:val="auto"/>
                <w:szCs w:val="21"/>
                <w:lang w:val="en-US" w:eastAsia="zh-CN"/>
              </w:rPr>
              <w:t>0.5</w:t>
            </w:r>
            <w:r>
              <w:rPr>
                <w:rFonts w:hint="eastAsia" w:ascii="宋体" w:hAnsi="宋体" w:cs="宋体"/>
                <w:color w:val="auto"/>
                <w:szCs w:val="21"/>
              </w:rPr>
              <w:t>分，最高得</w:t>
            </w:r>
            <w:r>
              <w:rPr>
                <w:rFonts w:hint="eastAsia" w:ascii="宋体" w:hAnsi="宋体" w:cs="宋体"/>
                <w:color w:val="auto"/>
                <w:szCs w:val="21"/>
                <w:lang w:val="en-US" w:eastAsia="zh-CN"/>
              </w:rPr>
              <w:t>1</w:t>
            </w:r>
            <w:r>
              <w:rPr>
                <w:rFonts w:hint="eastAsia" w:ascii="宋体" w:hAnsi="宋体" w:cs="宋体"/>
                <w:color w:val="auto"/>
                <w:szCs w:val="21"/>
              </w:rPr>
              <w:t>分。</w:t>
            </w:r>
          </w:p>
          <w:p w14:paraId="5902EAE1">
            <w:pPr>
              <w:rPr>
                <w:rFonts w:hint="eastAsia" w:ascii="宋体" w:hAnsi="宋体" w:cs="宋体"/>
                <w:color w:val="auto"/>
                <w:szCs w:val="21"/>
              </w:rPr>
            </w:pPr>
            <w:r>
              <w:rPr>
                <w:rFonts w:hint="eastAsia" w:ascii="宋体" w:hAnsi="宋体" w:cs="宋体"/>
                <w:color w:val="auto"/>
                <w:szCs w:val="21"/>
              </w:rPr>
              <w:t>须同时提供业绩证明材料：①中标(成交)公告(提供相关网站中标(成交)公告的下载网页并注明网址)；②中标(成交)通知书；③采购合同文本。否则不得分。</w:t>
            </w:r>
          </w:p>
        </w:tc>
      </w:tr>
      <w:tr w14:paraId="7A6E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7CFF27B6">
            <w:pPr>
              <w:spacing w:line="400" w:lineRule="exact"/>
              <w:jc w:val="center"/>
              <w:rPr>
                <w:rFonts w:hint="eastAsia" w:ascii="宋体" w:hAnsi="宋体" w:cs="宋体"/>
                <w:color w:val="auto"/>
                <w:szCs w:val="21"/>
              </w:rPr>
            </w:pPr>
          </w:p>
        </w:tc>
        <w:tc>
          <w:tcPr>
            <w:tcW w:w="1352" w:type="dxa"/>
            <w:shd w:val="clear" w:color="auto" w:fill="auto"/>
            <w:noWrap/>
            <w:vAlign w:val="center"/>
          </w:tcPr>
          <w:p w14:paraId="4F707FAD">
            <w:pPr>
              <w:widowControl/>
              <w:jc w:val="center"/>
              <w:textAlignment w:val="center"/>
              <w:rPr>
                <w:rFonts w:hint="eastAsia" w:ascii="宋体" w:hAnsi="宋体" w:cs="宋体"/>
                <w:color w:val="auto"/>
                <w:szCs w:val="21"/>
                <w:highlight w:val="none"/>
              </w:rPr>
            </w:pPr>
            <w:r>
              <w:rPr>
                <w:rFonts w:hint="eastAsia"/>
                <w:color w:val="auto"/>
                <w:sz w:val="21"/>
                <w:szCs w:val="21"/>
                <w:highlight w:val="none"/>
                <w:lang w:val="en-US" w:eastAsia="zh-CN"/>
              </w:rPr>
              <w:t>体系认证  （3分）</w:t>
            </w:r>
          </w:p>
        </w:tc>
        <w:tc>
          <w:tcPr>
            <w:tcW w:w="6345" w:type="dxa"/>
            <w:shd w:val="clear" w:color="auto" w:fill="auto"/>
            <w:noWrap/>
            <w:vAlign w:val="center"/>
          </w:tcPr>
          <w:p w14:paraId="7CE86DA3">
            <w:pPr>
              <w:keepNext w:val="0"/>
              <w:keepLines w:val="0"/>
              <w:pageBreakBefore w:val="0"/>
              <w:widowControl/>
              <w:kinsoku/>
              <w:wordWrap/>
              <w:overflowPunct/>
              <w:topLinePunct w:val="0"/>
              <w:autoSpaceDE/>
              <w:autoSpaceDN/>
              <w:bidi w:val="0"/>
              <w:adjustRightInd/>
              <w:snapToGrid/>
              <w:spacing w:after="0" w:line="360" w:lineRule="exact"/>
              <w:ind w:firstLine="0" w:firstLineChars="0"/>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供应商具有有效的质量管理体系认证、环境管理体系认证、职业健康安全管理体系认证</w:t>
            </w:r>
            <w:r>
              <w:rPr>
                <w:rFonts w:hint="eastAsia" w:ascii="宋体" w:hAnsi="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，每个得1分，最多得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331C939E">
            <w:pPr>
              <w:widowControl/>
              <w:textAlignment w:val="center"/>
              <w:rPr>
                <w:rFonts w:hint="eastAsia" w:ascii="宋体" w:hAnsi="宋体" w:cs="宋体"/>
                <w:b/>
                <w:bCs/>
                <w:color w:val="auto"/>
                <w:szCs w:val="21"/>
                <w:highlight w:val="none"/>
              </w:rPr>
            </w:pPr>
            <w:r>
              <w:rPr>
                <w:rFonts w:hint="eastAsia" w:ascii="宋体" w:hAnsi="宋体" w:eastAsia="宋体" w:cs="宋体"/>
                <w:b/>
                <w:bCs/>
                <w:color w:val="auto"/>
                <w:sz w:val="21"/>
                <w:szCs w:val="21"/>
                <w:highlight w:val="none"/>
                <w:lang w:val="en-US" w:eastAsia="zh-CN" w:bidi="ar"/>
              </w:rPr>
              <w:t>须提供相关证明材料原件扫描件</w:t>
            </w:r>
            <w:r>
              <w:rPr>
                <w:rFonts w:hint="eastAsia" w:ascii="宋体" w:hAnsi="宋体" w:eastAsia="宋体" w:cs="宋体"/>
                <w:b/>
                <w:bCs/>
                <w:color w:val="auto"/>
                <w:sz w:val="21"/>
                <w:szCs w:val="21"/>
                <w:highlight w:val="none"/>
                <w:lang w:bidi="ar"/>
              </w:rPr>
              <w:t>，否则不得分。</w:t>
            </w:r>
          </w:p>
        </w:tc>
      </w:tr>
      <w:tr w14:paraId="427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007" w:type="dxa"/>
            <w:vMerge w:val="continue"/>
            <w:vAlign w:val="center"/>
          </w:tcPr>
          <w:p w14:paraId="662B3A5D">
            <w:pPr>
              <w:spacing w:line="400" w:lineRule="exact"/>
              <w:jc w:val="center"/>
              <w:rPr>
                <w:rFonts w:hint="eastAsia" w:ascii="宋体" w:hAnsi="宋体" w:cs="宋体"/>
                <w:color w:val="auto"/>
                <w:szCs w:val="21"/>
              </w:rPr>
            </w:pPr>
          </w:p>
        </w:tc>
        <w:tc>
          <w:tcPr>
            <w:tcW w:w="1352" w:type="dxa"/>
            <w:shd w:val="clear" w:color="auto" w:fill="auto"/>
            <w:noWrap/>
            <w:vAlign w:val="center"/>
          </w:tcPr>
          <w:p w14:paraId="25A9D717">
            <w:pPr>
              <w:widowControl/>
              <w:jc w:val="center"/>
              <w:textAlignment w:val="center"/>
              <w:rPr>
                <w:rFonts w:hint="eastAsia" w:ascii="宋体" w:hAnsi="宋体" w:cs="宋体"/>
                <w:color w:val="auto"/>
                <w:szCs w:val="21"/>
                <w:highlight w:val="none"/>
              </w:rPr>
            </w:pPr>
            <w:r>
              <w:rPr>
                <w:rFonts w:hint="eastAsia"/>
                <w:color w:val="auto"/>
                <w:sz w:val="21"/>
                <w:szCs w:val="21"/>
                <w:highlight w:val="none"/>
                <w:lang w:val="en-US" w:eastAsia="zh-CN"/>
              </w:rPr>
              <w:t>企业实力  （6分）</w:t>
            </w:r>
          </w:p>
        </w:tc>
        <w:tc>
          <w:tcPr>
            <w:tcW w:w="6345" w:type="dxa"/>
            <w:shd w:val="clear" w:color="auto" w:fill="auto"/>
            <w:noWrap/>
            <w:vAlign w:val="center"/>
          </w:tcPr>
          <w:p w14:paraId="10E79F4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根据投标人工作实力及业务能力情况：</w:t>
            </w:r>
          </w:p>
          <w:p w14:paraId="168E626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1、具有环境健康风险评估技术国家级指导机构认定的得</w:t>
            </w:r>
            <w:r>
              <w:rPr>
                <w:rFonts w:hint="eastAsia" w:ascii="宋体"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val="en-US" w:eastAsia="zh-CN" w:bidi="ar"/>
              </w:rPr>
              <w:t>分；</w:t>
            </w:r>
          </w:p>
          <w:p w14:paraId="5EF854F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2、具有省级及以上环境健康风险评估相关课题研究基础的得</w:t>
            </w:r>
            <w:r>
              <w:rPr>
                <w:rFonts w:hint="eastAsia" w:ascii="宋体"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val="en-US" w:eastAsia="zh-CN" w:bidi="ar"/>
              </w:rPr>
              <w:t>分</w:t>
            </w:r>
            <w:r>
              <w:rPr>
                <w:rFonts w:hint="eastAsia" w:ascii="宋体" w:hAnsi="宋体" w:cs="宋体"/>
                <w:b w:val="0"/>
                <w:bCs w:val="0"/>
                <w:color w:val="auto"/>
                <w:sz w:val="21"/>
                <w:szCs w:val="21"/>
                <w:highlight w:val="none"/>
                <w:lang w:val="en-US" w:eastAsia="zh-CN" w:bidi="ar"/>
              </w:rPr>
              <w:t>；</w:t>
            </w:r>
          </w:p>
          <w:p w14:paraId="486C7937">
            <w:pPr>
              <w:keepNext w:val="0"/>
              <w:keepLines w:val="0"/>
              <w:pageBreakBefore w:val="0"/>
              <w:widowControl/>
              <w:kinsoku/>
              <w:wordWrap/>
              <w:overflowPunct/>
              <w:topLinePunct w:val="0"/>
              <w:autoSpaceDE/>
              <w:autoSpaceDN/>
              <w:bidi w:val="0"/>
              <w:adjustRightInd w:val="0"/>
              <w:snapToGrid w:val="0"/>
              <w:spacing w:line="360" w:lineRule="exact"/>
              <w:jc w:val="left"/>
              <w:rPr>
                <w:rFonts w:hint="eastAsia" w:ascii="宋体" w:hAnsi="宋体" w:eastAsia="宋体" w:cs="宋体"/>
                <w:b w:val="0"/>
                <w:bCs w:val="0"/>
                <w:color w:val="auto"/>
                <w:sz w:val="21"/>
                <w:szCs w:val="21"/>
                <w:highlight w:val="none"/>
                <w:lang w:val="en-US" w:eastAsia="zh-CN" w:bidi="ar"/>
              </w:rPr>
            </w:pPr>
            <w:r>
              <w:rPr>
                <w:rFonts w:hint="eastAsia" w:ascii="宋体" w:hAnsi="宋体" w:cs="宋体"/>
                <w:b w:val="0"/>
                <w:bCs w:val="0"/>
                <w:color w:val="auto"/>
                <w:sz w:val="21"/>
                <w:szCs w:val="21"/>
                <w:highlight w:val="none"/>
                <w:lang w:val="en-US" w:eastAsia="zh-CN" w:bidi="ar"/>
              </w:rPr>
              <w:t>3、</w:t>
            </w:r>
            <w:r>
              <w:rPr>
                <w:rFonts w:hint="eastAsia" w:ascii="宋体" w:hAnsi="宋体" w:cs="宋体"/>
                <w:color w:val="auto"/>
                <w:szCs w:val="21"/>
                <w:highlight w:val="none"/>
              </w:rPr>
              <w:t>2018年1月1日（以颁发时间为准）以来，响应人获得过政府部门颁发的环境健康（或环境保护或环境治理）类奖项（荣誉）的每个得2分，最高得4分。</w:t>
            </w:r>
          </w:p>
          <w:p w14:paraId="44653904">
            <w:pPr>
              <w:rPr>
                <w:rFonts w:hint="eastAsia" w:ascii="宋体" w:hAnsi="宋体" w:cs="宋体"/>
                <w:color w:val="auto"/>
                <w:szCs w:val="21"/>
                <w:highlight w:val="none"/>
              </w:rPr>
            </w:pPr>
            <w:r>
              <w:rPr>
                <w:rFonts w:hint="eastAsia" w:ascii="宋体" w:hAnsi="宋体" w:eastAsia="宋体" w:cs="宋体"/>
                <w:b/>
                <w:bCs/>
                <w:color w:val="auto"/>
                <w:sz w:val="21"/>
                <w:szCs w:val="21"/>
                <w:highlight w:val="none"/>
                <w:lang w:val="en-US" w:eastAsia="zh-CN" w:bidi="ar"/>
              </w:rPr>
              <w:t>须提供相关证明材料复印件，或投标人自身的业务能力证明材料，未提供或提供无法自证的不得分。</w:t>
            </w:r>
          </w:p>
        </w:tc>
      </w:tr>
      <w:tr w14:paraId="2B54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7" w:type="dxa"/>
            <w:vMerge w:val="continue"/>
            <w:vAlign w:val="center"/>
          </w:tcPr>
          <w:p w14:paraId="0DB83166">
            <w:pPr>
              <w:spacing w:line="400" w:lineRule="exact"/>
              <w:jc w:val="center"/>
              <w:rPr>
                <w:rFonts w:hint="eastAsia" w:ascii="宋体" w:hAnsi="宋体" w:cs="宋体"/>
                <w:color w:val="auto"/>
                <w:szCs w:val="21"/>
              </w:rPr>
            </w:pPr>
          </w:p>
        </w:tc>
        <w:tc>
          <w:tcPr>
            <w:tcW w:w="1352" w:type="dxa"/>
            <w:shd w:val="clear" w:color="auto" w:fill="auto"/>
            <w:noWrap/>
            <w:vAlign w:val="center"/>
          </w:tcPr>
          <w:p w14:paraId="32E2BDF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exact"/>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拟投入项目</w:t>
            </w:r>
            <w:r>
              <w:rPr>
                <w:rFonts w:hint="eastAsia" w:ascii="宋体" w:hAnsi="宋体" w:cs="宋体"/>
                <w:color w:val="auto"/>
                <w:sz w:val="21"/>
                <w:szCs w:val="21"/>
                <w:highlight w:val="none"/>
                <w:lang w:val="en-US" w:eastAsia="zh-CN"/>
              </w:rPr>
              <w:t>组</w:t>
            </w:r>
            <w:r>
              <w:rPr>
                <w:rFonts w:hint="eastAsia" w:ascii="宋体" w:hAnsi="宋体" w:cs="宋体"/>
                <w:color w:val="auto"/>
                <w:sz w:val="21"/>
                <w:szCs w:val="21"/>
                <w:highlight w:val="none"/>
                <w:lang w:eastAsia="zh-CN"/>
              </w:rPr>
              <w:t>人员</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28分</w:t>
            </w:r>
            <w:r>
              <w:rPr>
                <w:rFonts w:hint="eastAsia" w:ascii="宋体" w:hAnsi="宋体" w:cs="宋体"/>
                <w:color w:val="auto"/>
                <w:sz w:val="21"/>
                <w:szCs w:val="21"/>
                <w:highlight w:val="none"/>
                <w:lang w:eastAsia="zh-CN"/>
              </w:rPr>
              <w:t>）</w:t>
            </w:r>
          </w:p>
          <w:p w14:paraId="59E17302">
            <w:pPr>
              <w:widowControl/>
              <w:jc w:val="center"/>
              <w:textAlignment w:val="center"/>
              <w:rPr>
                <w:rFonts w:hint="eastAsia" w:ascii="宋体" w:hAnsi="宋体" w:cs="宋体"/>
                <w:color w:val="auto"/>
                <w:szCs w:val="21"/>
                <w:highlight w:val="none"/>
              </w:rPr>
            </w:pPr>
          </w:p>
        </w:tc>
        <w:tc>
          <w:tcPr>
            <w:tcW w:w="6345" w:type="dxa"/>
            <w:shd w:val="clear" w:color="auto" w:fill="auto"/>
            <w:noWrap/>
            <w:vAlign w:val="center"/>
          </w:tcPr>
          <w:p w14:paraId="38986022">
            <w:pPr>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p>
          <w:p w14:paraId="42FF0D13">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（1）具有环境类相关专业正高级职称的得4分，具有环境类相关专业副高级职称的得2分，具有环境类相关专业中级职称的得1分。</w:t>
            </w:r>
          </w:p>
          <w:p w14:paraId="5A909D0C">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相关专业博士学位的得4分，具有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相关专业硕士学位的得2分，具有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相关专业学士学位的得1分。</w:t>
            </w:r>
          </w:p>
          <w:p w14:paraId="585DCDB3">
            <w:pPr>
              <w:spacing w:line="36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主持过环境健康试点相关项目的，每项得1分，最高得2分</w:t>
            </w:r>
            <w:r>
              <w:rPr>
                <w:rFonts w:hint="eastAsia" w:ascii="宋体" w:hAnsi="宋体" w:cs="宋体"/>
                <w:color w:val="auto"/>
                <w:sz w:val="21"/>
                <w:szCs w:val="21"/>
                <w:highlight w:val="none"/>
                <w:lang w:eastAsia="zh-CN"/>
              </w:rPr>
              <w:t>。</w:t>
            </w:r>
          </w:p>
          <w:p w14:paraId="03EC3E2C">
            <w:pPr>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）具有省级及以上环境健康、环境卫生和环境</w:t>
            </w:r>
            <w:r>
              <w:rPr>
                <w:rFonts w:hint="eastAsia" w:ascii="宋体" w:hAnsi="宋体" w:cs="宋体"/>
                <w:color w:val="auto"/>
                <w:sz w:val="21"/>
                <w:szCs w:val="21"/>
                <w:highlight w:val="none"/>
                <w:lang w:val="en-US" w:eastAsia="zh-CN"/>
              </w:rPr>
              <w:t>治理</w:t>
            </w:r>
            <w:r>
              <w:rPr>
                <w:rFonts w:hint="eastAsia" w:ascii="宋体" w:hAnsi="宋体" w:cs="宋体"/>
                <w:color w:val="auto"/>
                <w:sz w:val="21"/>
                <w:szCs w:val="21"/>
                <w:highlight w:val="none"/>
                <w:lang w:eastAsia="zh-CN"/>
              </w:rPr>
              <w:t>相关专业委员会聘书的，每项得2分，最高</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w:t>
            </w:r>
          </w:p>
          <w:p w14:paraId="431E2AA2">
            <w:pPr>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2、项目组成员（项目负责人除外）</w:t>
            </w:r>
          </w:p>
          <w:p w14:paraId="6EC95D94">
            <w:pPr>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）每提供一个具有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相关专业高级职称的得2分，具有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相关专业中级职称的得1分，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eastAsia="zh-CN"/>
              </w:rPr>
              <w:t>8分。</w:t>
            </w:r>
          </w:p>
          <w:p w14:paraId="5CE60780">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）每提供一名具有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相关专业研究生学位的得2分，具有</w:t>
            </w:r>
            <w:r>
              <w:rPr>
                <w:rFonts w:hint="eastAsia" w:ascii="宋体" w:hAnsi="宋体" w:cs="宋体"/>
                <w:color w:val="auto"/>
                <w:szCs w:val="21"/>
                <w:highlight w:val="none"/>
              </w:rPr>
              <w:t>环境工程或环境科学或环境规划或环境化学或生态学或劳动卫生与环境卫生学</w:t>
            </w:r>
            <w:r>
              <w:rPr>
                <w:rFonts w:hint="eastAsia" w:ascii="宋体" w:hAnsi="宋体" w:eastAsia="宋体" w:cs="宋体"/>
                <w:color w:val="auto"/>
                <w:sz w:val="21"/>
                <w:szCs w:val="21"/>
                <w:highlight w:val="none"/>
                <w:lang w:eastAsia="zh-CN"/>
              </w:rPr>
              <w:t>相关专业本科学位的得1分，</w:t>
            </w:r>
            <w:r>
              <w:rPr>
                <w:rFonts w:hint="eastAsia" w:ascii="宋体" w:hAnsi="宋体" w:cs="宋体"/>
                <w:color w:val="auto"/>
                <w:sz w:val="21"/>
                <w:szCs w:val="21"/>
                <w:highlight w:val="none"/>
                <w:lang w:val="en-US" w:eastAsia="zh-CN"/>
              </w:rPr>
              <w:t>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1B4B009E">
            <w:pPr>
              <w:rPr>
                <w:rFonts w:hint="eastAsia" w:ascii="宋体" w:hAnsi="宋体" w:cs="宋体"/>
                <w:color w:val="auto"/>
                <w:szCs w:val="21"/>
                <w:highlight w:val="none"/>
              </w:rPr>
            </w:pPr>
            <w:r>
              <w:rPr>
                <w:rFonts w:hint="eastAsia" w:ascii="宋体" w:hAnsi="宋体" w:cs="宋体"/>
                <w:b/>
                <w:bCs/>
                <w:color w:val="auto"/>
                <w:kern w:val="2"/>
                <w:sz w:val="21"/>
                <w:szCs w:val="21"/>
                <w:highlight w:val="none"/>
                <w:lang w:val="en-US" w:eastAsia="zh-CN" w:bidi="ar-SA"/>
              </w:rPr>
              <w:t>以上人员须</w:t>
            </w:r>
            <w:r>
              <w:rPr>
                <w:rFonts w:hint="eastAsia" w:ascii="宋体" w:hAnsi="宋体" w:cs="宋体"/>
                <w:b/>
                <w:bCs/>
                <w:color w:val="auto"/>
                <w:kern w:val="2"/>
                <w:sz w:val="21"/>
                <w:szCs w:val="21"/>
                <w:highlight w:val="none"/>
                <w:lang w:eastAsia="zh-CN" w:bidi="ar-SA"/>
              </w:rPr>
              <w:t>同时提供：</w:t>
            </w:r>
            <w:r>
              <w:rPr>
                <w:rFonts w:hint="eastAsia" w:ascii="宋体" w:hAnsi="宋体" w:cs="宋体"/>
                <w:b/>
                <w:bCs/>
                <w:color w:val="auto"/>
                <w:sz w:val="21"/>
                <w:szCs w:val="21"/>
                <w:highlight w:val="none"/>
                <w:lang w:eastAsia="zh-CN"/>
              </w:rPr>
              <w:t>①有效的相关人员证书</w:t>
            </w:r>
            <w:r>
              <w:rPr>
                <w:rFonts w:hint="eastAsia" w:ascii="宋体" w:hAnsi="宋体" w:cs="宋体"/>
                <w:b/>
                <w:bCs/>
                <w:color w:val="auto"/>
                <w:sz w:val="21"/>
                <w:szCs w:val="21"/>
                <w:highlight w:val="none"/>
                <w:lang w:val="en-US" w:eastAsia="zh-CN"/>
              </w:rPr>
              <w:t>等证明材料</w:t>
            </w:r>
            <w:r>
              <w:rPr>
                <w:rFonts w:hint="eastAsia" w:ascii="宋体" w:hAnsi="宋体" w:cs="宋体"/>
                <w:b/>
                <w:bCs/>
                <w:color w:val="auto"/>
                <w:sz w:val="21"/>
                <w:szCs w:val="21"/>
                <w:highlight w:val="none"/>
                <w:lang w:eastAsia="zh-CN"/>
              </w:rPr>
              <w:t>原件扫描件并加盖单位公章，否则不得分；②投标人为以上人员</w:t>
            </w:r>
            <w:r>
              <w:rPr>
                <w:rFonts w:hint="eastAsia" w:ascii="宋体" w:hAnsi="宋体" w:cs="宋体"/>
                <w:b/>
                <w:bCs/>
                <w:color w:val="auto"/>
                <w:sz w:val="21"/>
                <w:szCs w:val="21"/>
                <w:highlight w:val="none"/>
                <w:lang w:val="en-US" w:eastAsia="zh-CN"/>
              </w:rPr>
              <w:t>开标前</w:t>
            </w:r>
            <w:r>
              <w:rPr>
                <w:rFonts w:hint="eastAsia" w:ascii="宋体" w:hAnsi="宋体" w:cs="宋体"/>
                <w:b/>
                <w:color w:val="auto"/>
                <w:sz w:val="21"/>
                <w:szCs w:val="21"/>
                <w:highlight w:val="none"/>
                <w:lang w:eastAsia="zh-CN"/>
              </w:rPr>
              <w:t>近</w:t>
            </w:r>
            <w:r>
              <w:rPr>
                <w:rFonts w:hint="eastAsia" w:ascii="宋体" w:hAnsi="宋体" w:cs="宋体"/>
                <w:b/>
                <w:bCs/>
                <w:color w:val="auto"/>
                <w:sz w:val="21"/>
                <w:szCs w:val="21"/>
                <w:highlight w:val="none"/>
                <w:lang w:eastAsia="zh-CN"/>
              </w:rPr>
              <w:t>三个月内的任意一个月</w:t>
            </w:r>
            <w:r>
              <w:rPr>
                <w:rFonts w:hint="eastAsia" w:ascii="宋体" w:hAnsi="宋体" w:cs="宋体"/>
                <w:b/>
                <w:color w:val="auto"/>
                <w:sz w:val="21"/>
                <w:szCs w:val="21"/>
                <w:highlight w:val="none"/>
                <w:lang w:eastAsia="zh-CN"/>
              </w:rPr>
              <w:t>社保证明</w:t>
            </w:r>
            <w:r>
              <w:rPr>
                <w:rFonts w:hint="eastAsia" w:ascii="宋体" w:hAnsi="宋体" w:cs="宋体"/>
                <w:b/>
                <w:bCs/>
                <w:color w:val="auto"/>
                <w:sz w:val="21"/>
                <w:szCs w:val="21"/>
                <w:highlight w:val="none"/>
                <w:lang w:eastAsia="zh-CN"/>
              </w:rPr>
              <w:t>复印件并加盖单位公章，否则不得分。以上人员不得重复，</w:t>
            </w:r>
            <w:r>
              <w:rPr>
                <w:rFonts w:hint="eastAsia" w:ascii="宋体" w:hAnsi="宋体" w:cs="宋体"/>
                <w:b/>
                <w:bCs/>
                <w:color w:val="auto"/>
                <w:sz w:val="21"/>
                <w:szCs w:val="21"/>
                <w:highlight w:val="none"/>
              </w:rPr>
              <w:t>否则不得分。</w:t>
            </w:r>
          </w:p>
        </w:tc>
      </w:tr>
      <w:tr w14:paraId="2935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59A9C25C">
            <w:pPr>
              <w:spacing w:line="400" w:lineRule="exact"/>
              <w:jc w:val="center"/>
              <w:rPr>
                <w:rFonts w:hint="eastAsia" w:ascii="宋体" w:hAnsi="宋体" w:cs="宋体"/>
                <w:color w:val="auto"/>
                <w:szCs w:val="21"/>
              </w:rPr>
            </w:pPr>
          </w:p>
        </w:tc>
        <w:tc>
          <w:tcPr>
            <w:tcW w:w="1352" w:type="dxa"/>
            <w:shd w:val="clear" w:color="auto" w:fill="auto"/>
            <w:noWrap/>
            <w:vAlign w:val="center"/>
          </w:tcPr>
          <w:p w14:paraId="2D32BE40">
            <w:pPr>
              <w:autoSpaceDE w:val="0"/>
              <w:autoSpaceDN w:val="0"/>
              <w:adjustRightInd w:val="0"/>
              <w:spacing w:line="240" w:lineRule="auto"/>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服务承诺   （3分）</w:t>
            </w:r>
          </w:p>
        </w:tc>
        <w:tc>
          <w:tcPr>
            <w:tcW w:w="6345" w:type="dxa"/>
            <w:shd w:val="clear" w:color="auto" w:fill="auto"/>
            <w:noWrap/>
            <w:vAlign w:val="center"/>
          </w:tcPr>
          <w:p w14:paraId="23695BA1">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投标人承诺提供后续跟踪服务，自该项目完成验收后起，以半年为基础，每增加2个月后续跟踪服务加 1分，本项最高得3分。</w:t>
            </w:r>
          </w:p>
          <w:p w14:paraId="4CE3135D">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须提供承诺函，否则不得分。</w:t>
            </w:r>
          </w:p>
        </w:tc>
      </w:tr>
      <w:tr w14:paraId="0AA9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365B50C5">
            <w:pPr>
              <w:spacing w:line="400" w:lineRule="exact"/>
              <w:jc w:val="center"/>
              <w:rPr>
                <w:rFonts w:hint="eastAsia" w:ascii="宋体" w:hAnsi="宋体" w:cs="宋体"/>
                <w:color w:val="auto"/>
                <w:szCs w:val="21"/>
              </w:rPr>
            </w:pPr>
          </w:p>
        </w:tc>
        <w:tc>
          <w:tcPr>
            <w:tcW w:w="1352" w:type="dxa"/>
            <w:noWrap/>
            <w:vAlign w:val="center"/>
          </w:tcPr>
          <w:p w14:paraId="6F5327C0">
            <w:pPr>
              <w:autoSpaceDE w:val="0"/>
              <w:autoSpaceDN w:val="0"/>
              <w:adjustRightInd w:val="0"/>
              <w:spacing w:line="240" w:lineRule="auto"/>
              <w:jc w:val="center"/>
              <w:rPr>
                <w:rFonts w:hint="eastAsia" w:ascii="宋体" w:hAnsi="宋体" w:eastAsia="宋体" w:cs="宋体"/>
                <w:color w:val="auto"/>
                <w:szCs w:val="21"/>
                <w:highlight w:val="none"/>
                <w:lang w:eastAsia="zh-CN"/>
              </w:rPr>
            </w:pPr>
            <w:r>
              <w:rPr>
                <w:rFonts w:hint="eastAsia" w:eastAsia="宋体" w:cs="Times New Roman"/>
                <w:color w:val="auto"/>
                <w:sz w:val="21"/>
                <w:szCs w:val="21"/>
                <w:highlight w:val="none"/>
              </w:rPr>
              <w:t>项目整体认知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6分</w:t>
            </w:r>
            <w:r>
              <w:rPr>
                <w:rFonts w:hint="eastAsia" w:cs="Times New Roman"/>
                <w:color w:val="auto"/>
                <w:sz w:val="21"/>
                <w:szCs w:val="21"/>
                <w:highlight w:val="none"/>
                <w:lang w:eastAsia="zh-CN"/>
              </w:rPr>
              <w:t>）</w:t>
            </w:r>
          </w:p>
        </w:tc>
        <w:tc>
          <w:tcPr>
            <w:tcW w:w="6345" w:type="dxa"/>
            <w:noWrap/>
            <w:vAlign w:val="center"/>
          </w:tcPr>
          <w:p w14:paraId="5C7361D1">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根据供应商对普陀区环境健康现状、指标体系的总体了解程度及建议性的对策，是否与当地实际情况相符合，进行综合评定：</w:t>
            </w:r>
          </w:p>
          <w:p w14:paraId="4699C4B6">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1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了解程度深入，完全与当地实际情况符合的，得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09E255C">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2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了解程度一般，基本与当地情况符合的，得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A280F5A">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3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了解不够充分、分析不够全面到位，得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953374A">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4 \* GB3</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未提供或不符合项目需求不得分。</w:t>
            </w:r>
          </w:p>
        </w:tc>
      </w:tr>
      <w:tr w14:paraId="7C94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007" w:type="dxa"/>
            <w:vMerge w:val="continue"/>
            <w:vAlign w:val="center"/>
          </w:tcPr>
          <w:p w14:paraId="2CFE3C05">
            <w:pPr>
              <w:spacing w:line="400" w:lineRule="exact"/>
              <w:jc w:val="center"/>
              <w:rPr>
                <w:rFonts w:hint="eastAsia" w:ascii="宋体" w:hAnsi="宋体" w:cs="宋体"/>
                <w:color w:val="auto"/>
                <w:szCs w:val="21"/>
              </w:rPr>
            </w:pPr>
          </w:p>
        </w:tc>
        <w:tc>
          <w:tcPr>
            <w:tcW w:w="1352" w:type="dxa"/>
            <w:noWrap/>
            <w:vAlign w:val="center"/>
          </w:tcPr>
          <w:p w14:paraId="6844CBDF">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重难点解决方案</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3CD371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根据投标人提供的内容中对特点、难点、重点问题的技术分析是否全面，提出的相应解决措施是否合理可行，进行综合评分：</w:t>
            </w:r>
          </w:p>
          <w:p w14:paraId="181841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①对本项目的现状描述清晰，对难点、要点了解深入，论述完整，重点突出，解决方案合理、可操作性强的得</w:t>
            </w:r>
            <w:r>
              <w:rPr>
                <w:rFonts w:hint="eastAsia" w:ascii="宋体" w:hAnsi="宋体" w:cs="宋体"/>
                <w:color w:val="auto"/>
                <w:szCs w:val="21"/>
                <w:lang w:val="en-US" w:eastAsia="zh-CN"/>
              </w:rPr>
              <w:t>6</w:t>
            </w:r>
            <w:r>
              <w:rPr>
                <w:rFonts w:hint="eastAsia" w:ascii="宋体" w:hAnsi="宋体" w:cs="宋体"/>
                <w:color w:val="auto"/>
                <w:szCs w:val="21"/>
              </w:rPr>
              <w:t>分。</w:t>
            </w:r>
          </w:p>
          <w:p w14:paraId="72C907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②对本项目的描述较清晰，对难点、要点了解比较深入，论述比较完整，解决方案比较合理、可操作性较强的得</w:t>
            </w:r>
            <w:r>
              <w:rPr>
                <w:rFonts w:hint="eastAsia" w:ascii="宋体" w:hAnsi="宋体" w:cs="宋体"/>
                <w:color w:val="auto"/>
                <w:szCs w:val="21"/>
                <w:lang w:val="en-US" w:eastAsia="zh-CN"/>
              </w:rPr>
              <w:t>4</w:t>
            </w:r>
            <w:r>
              <w:rPr>
                <w:rFonts w:hint="eastAsia" w:ascii="宋体" w:hAnsi="宋体" w:cs="宋体"/>
                <w:color w:val="auto"/>
                <w:szCs w:val="21"/>
              </w:rPr>
              <w:t>分。</w:t>
            </w:r>
          </w:p>
          <w:p w14:paraId="0B7334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③对本项目的现状、对重点、难点认识不全面，论述不完整清晰，或解决方案不合理、操作性差的得</w:t>
            </w:r>
            <w:r>
              <w:rPr>
                <w:rFonts w:hint="eastAsia" w:ascii="宋体" w:hAnsi="宋体" w:cs="宋体"/>
                <w:color w:val="auto"/>
                <w:szCs w:val="21"/>
                <w:lang w:val="en-US" w:eastAsia="zh-CN"/>
              </w:rPr>
              <w:t>2</w:t>
            </w:r>
            <w:r>
              <w:rPr>
                <w:rFonts w:hint="eastAsia" w:ascii="宋体" w:hAnsi="宋体" w:cs="宋体"/>
                <w:color w:val="auto"/>
                <w:szCs w:val="21"/>
              </w:rPr>
              <w:t>分。</w:t>
            </w:r>
          </w:p>
          <w:p w14:paraId="201BFE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color w:val="auto"/>
                <w:szCs w:val="21"/>
              </w:rPr>
            </w:pPr>
            <w:r>
              <w:rPr>
                <w:rFonts w:hint="eastAsia" w:ascii="宋体" w:hAnsi="宋体" w:cs="宋体"/>
                <w:color w:val="auto"/>
                <w:szCs w:val="21"/>
              </w:rPr>
              <w:t>④未提供或不符合项目需求的不得分。</w:t>
            </w:r>
          </w:p>
        </w:tc>
      </w:tr>
      <w:tr w14:paraId="625D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07" w:type="dxa"/>
            <w:vMerge w:val="continue"/>
          </w:tcPr>
          <w:p w14:paraId="7EA8260F">
            <w:pPr>
              <w:spacing w:line="400" w:lineRule="exact"/>
              <w:jc w:val="center"/>
              <w:rPr>
                <w:rFonts w:hint="eastAsia" w:ascii="宋体" w:hAnsi="宋体" w:cs="宋体"/>
                <w:color w:val="auto"/>
                <w:szCs w:val="21"/>
              </w:rPr>
            </w:pPr>
          </w:p>
        </w:tc>
        <w:tc>
          <w:tcPr>
            <w:tcW w:w="1352" w:type="dxa"/>
            <w:noWrap/>
            <w:vAlign w:val="center"/>
          </w:tcPr>
          <w:p w14:paraId="544077FB">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项目内容分析</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597151FE">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根据供应商阐述项目内容分析（包括方案制定、危害识别、剂量-反应评估、暴露评估、风险表征等），从内容的完整性、可操作性以及内容安排的合理性等方面进行评分：</w:t>
            </w:r>
          </w:p>
          <w:p w14:paraId="65BF951A">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①方案制定合理，评估识别结果精准，操作符合相关规范要求的得</w:t>
            </w:r>
            <w:r>
              <w:rPr>
                <w:rFonts w:hint="eastAsia"/>
                <w:color w:val="auto"/>
                <w:lang w:val="en-US" w:eastAsia="zh-CN"/>
              </w:rPr>
              <w:t>6</w:t>
            </w:r>
            <w:r>
              <w:rPr>
                <w:rFonts w:hint="eastAsia"/>
                <w:color w:val="auto"/>
              </w:rPr>
              <w:t>分；</w:t>
            </w:r>
          </w:p>
          <w:p w14:paraId="48F17587">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②方案制定较为合理，评估识别结果比较精准，操作基本符合相关规范要求的得</w:t>
            </w:r>
            <w:r>
              <w:rPr>
                <w:rFonts w:hint="eastAsia"/>
                <w:color w:val="auto"/>
                <w:lang w:val="en-US" w:eastAsia="zh-CN"/>
              </w:rPr>
              <w:t>4</w:t>
            </w:r>
            <w:r>
              <w:rPr>
                <w:rFonts w:hint="eastAsia"/>
                <w:color w:val="auto"/>
              </w:rPr>
              <w:t>分；</w:t>
            </w:r>
          </w:p>
          <w:p w14:paraId="5222B4A1">
            <w:pPr>
              <w:keepNext w:val="0"/>
              <w:keepLines w:val="0"/>
              <w:pageBreakBefore w:val="0"/>
              <w:kinsoku/>
              <w:wordWrap/>
              <w:overflowPunct/>
              <w:topLinePunct w:val="0"/>
              <w:bidi w:val="0"/>
              <w:adjustRightInd/>
              <w:snapToGrid/>
              <w:spacing w:line="240" w:lineRule="auto"/>
              <w:rPr>
                <w:rFonts w:hint="eastAsia"/>
                <w:color w:val="auto"/>
              </w:rPr>
            </w:pPr>
            <w:r>
              <w:rPr>
                <w:rFonts w:hint="eastAsia"/>
                <w:color w:val="auto"/>
              </w:rPr>
              <w:t>③方案制定和评估识别结果模糊，操作不够符合相关规范要求的得</w:t>
            </w:r>
            <w:r>
              <w:rPr>
                <w:rFonts w:hint="eastAsia"/>
                <w:color w:val="auto"/>
                <w:lang w:val="en-US" w:eastAsia="zh-CN"/>
              </w:rPr>
              <w:t>2</w:t>
            </w:r>
            <w:r>
              <w:rPr>
                <w:rFonts w:hint="eastAsia"/>
                <w:color w:val="auto"/>
              </w:rPr>
              <w:t>分；</w:t>
            </w:r>
          </w:p>
          <w:p w14:paraId="3654F98F">
            <w:pPr>
              <w:keepNext w:val="0"/>
              <w:keepLines w:val="0"/>
              <w:pageBreakBefore w:val="0"/>
              <w:kinsoku/>
              <w:wordWrap/>
              <w:overflowPunct/>
              <w:topLinePunct w:val="0"/>
              <w:bidi w:val="0"/>
              <w:adjustRightInd/>
              <w:snapToGrid/>
              <w:spacing w:line="240" w:lineRule="auto"/>
              <w:rPr>
                <w:color w:val="auto"/>
              </w:rPr>
            </w:pPr>
            <w:r>
              <w:rPr>
                <w:rFonts w:hint="eastAsia"/>
                <w:color w:val="auto"/>
              </w:rPr>
              <w:t>④未提供或不符合实际需求的不得分。</w:t>
            </w:r>
          </w:p>
        </w:tc>
      </w:tr>
      <w:tr w14:paraId="5E72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7" w:type="dxa"/>
            <w:vMerge w:val="continue"/>
          </w:tcPr>
          <w:p w14:paraId="22FF58F0">
            <w:pPr>
              <w:spacing w:line="400" w:lineRule="exact"/>
              <w:jc w:val="center"/>
              <w:rPr>
                <w:rFonts w:hint="eastAsia" w:ascii="宋体" w:hAnsi="宋体" w:cs="宋体"/>
                <w:color w:val="auto"/>
                <w:szCs w:val="21"/>
              </w:rPr>
            </w:pPr>
          </w:p>
        </w:tc>
        <w:tc>
          <w:tcPr>
            <w:tcW w:w="1352" w:type="dxa"/>
            <w:vMerge w:val="restart"/>
            <w:noWrap/>
            <w:vAlign w:val="center"/>
          </w:tcPr>
          <w:p w14:paraId="75EDB689">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技术方案</w:t>
            </w:r>
            <w:r>
              <w:rPr>
                <w:rFonts w:hint="eastAsia" w:ascii="宋体" w:hAnsi="宋体" w:cs="宋体"/>
                <w:color w:val="auto"/>
                <w:szCs w:val="21"/>
                <w:lang w:eastAsia="zh-CN"/>
              </w:rPr>
              <w:t>（</w:t>
            </w:r>
            <w:r>
              <w:rPr>
                <w:rFonts w:hint="eastAsia" w:ascii="宋体" w:hAnsi="宋体" w:cs="宋体"/>
                <w:color w:val="auto"/>
                <w:szCs w:val="21"/>
                <w:lang w:val="en-US" w:eastAsia="zh-CN"/>
              </w:rPr>
              <w:t>8分</w:t>
            </w:r>
            <w:r>
              <w:rPr>
                <w:rFonts w:hint="eastAsia" w:ascii="宋体" w:hAnsi="宋体" w:cs="宋体"/>
                <w:color w:val="auto"/>
                <w:szCs w:val="21"/>
                <w:lang w:eastAsia="zh-CN"/>
              </w:rPr>
              <w:t>）</w:t>
            </w:r>
          </w:p>
        </w:tc>
        <w:tc>
          <w:tcPr>
            <w:tcW w:w="6345" w:type="dxa"/>
            <w:noWrap/>
            <w:vAlign w:val="center"/>
          </w:tcPr>
          <w:p w14:paraId="04D5E71D">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根据投标人的服务方案总体设计的可行性、扩展性、安全性和独特性，从项目前期调研的技术路线进行综合评定：</w:t>
            </w:r>
          </w:p>
          <w:p w14:paraId="711BA44D">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①总体思路清晰，前期调研路线合理准确的，得</w:t>
            </w:r>
            <w:r>
              <w:rPr>
                <w:rFonts w:hint="eastAsia" w:ascii="宋体" w:hAnsi="宋体" w:cs="宋体"/>
                <w:color w:val="auto"/>
                <w:szCs w:val="21"/>
                <w:lang w:val="en-US" w:eastAsia="zh-CN"/>
              </w:rPr>
              <w:t>4</w:t>
            </w:r>
            <w:r>
              <w:rPr>
                <w:rFonts w:hint="eastAsia" w:ascii="宋体" w:hAnsi="宋体" w:cs="宋体"/>
                <w:color w:val="auto"/>
                <w:szCs w:val="21"/>
              </w:rPr>
              <w:t>分；</w:t>
            </w:r>
          </w:p>
          <w:p w14:paraId="53BAFCDB">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②总体思路较为清晰，前期调研路线基本合理准确的，得</w:t>
            </w:r>
            <w:r>
              <w:rPr>
                <w:rFonts w:hint="eastAsia" w:ascii="宋体" w:hAnsi="宋体" w:cs="宋体"/>
                <w:color w:val="auto"/>
                <w:szCs w:val="21"/>
                <w:lang w:val="en-US" w:eastAsia="zh-CN"/>
              </w:rPr>
              <w:t>2</w:t>
            </w:r>
            <w:r>
              <w:rPr>
                <w:rFonts w:hint="eastAsia" w:ascii="宋体" w:hAnsi="宋体" w:cs="宋体"/>
                <w:color w:val="auto"/>
                <w:szCs w:val="21"/>
              </w:rPr>
              <w:t>分；</w:t>
            </w:r>
          </w:p>
          <w:p w14:paraId="32C70262">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③总体思路不够清晰，前期调研路线不够合理准确的，得</w:t>
            </w:r>
            <w:r>
              <w:rPr>
                <w:rFonts w:hint="eastAsia" w:ascii="宋体" w:hAnsi="宋体" w:cs="宋体"/>
                <w:color w:val="auto"/>
                <w:szCs w:val="21"/>
                <w:lang w:val="en-US" w:eastAsia="zh-CN"/>
              </w:rPr>
              <w:t>1</w:t>
            </w:r>
            <w:r>
              <w:rPr>
                <w:rFonts w:hint="eastAsia" w:ascii="宋体" w:hAnsi="宋体" w:cs="宋体"/>
                <w:color w:val="auto"/>
                <w:szCs w:val="21"/>
              </w:rPr>
              <w:t>分；</w:t>
            </w:r>
          </w:p>
          <w:p w14:paraId="6FE36B0C">
            <w:pPr>
              <w:keepNext w:val="0"/>
              <w:keepLines w:val="0"/>
              <w:pageBreakBefore w:val="0"/>
              <w:numPr>
                <w:ilvl w:val="0"/>
                <w:numId w:val="0"/>
              </w:numPr>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cs="宋体"/>
                <w:color w:val="auto"/>
                <w:szCs w:val="21"/>
              </w:rPr>
              <w:t>④未提供或不符合采购需求的不得分。</w:t>
            </w:r>
          </w:p>
        </w:tc>
      </w:tr>
      <w:tr w14:paraId="36C4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007" w:type="dxa"/>
            <w:vMerge w:val="continue"/>
          </w:tcPr>
          <w:p w14:paraId="201028B8">
            <w:pPr>
              <w:spacing w:line="400" w:lineRule="exact"/>
              <w:jc w:val="center"/>
              <w:rPr>
                <w:rFonts w:hint="eastAsia" w:ascii="宋体" w:hAnsi="宋体" w:cs="宋体"/>
                <w:color w:val="auto"/>
                <w:szCs w:val="21"/>
              </w:rPr>
            </w:pPr>
          </w:p>
        </w:tc>
        <w:tc>
          <w:tcPr>
            <w:tcW w:w="1352" w:type="dxa"/>
            <w:vMerge w:val="continue"/>
            <w:noWrap/>
            <w:vAlign w:val="center"/>
          </w:tcPr>
          <w:p w14:paraId="574CD527">
            <w:pPr>
              <w:autoSpaceDE w:val="0"/>
              <w:autoSpaceDN w:val="0"/>
              <w:adjustRightInd w:val="0"/>
              <w:spacing w:line="240" w:lineRule="auto"/>
              <w:jc w:val="center"/>
              <w:rPr>
                <w:rFonts w:hint="eastAsia" w:ascii="宋体" w:hAnsi="宋体" w:cs="宋体"/>
                <w:color w:val="auto"/>
                <w:szCs w:val="21"/>
              </w:rPr>
            </w:pPr>
          </w:p>
        </w:tc>
        <w:tc>
          <w:tcPr>
            <w:tcW w:w="6345" w:type="dxa"/>
            <w:noWrap/>
            <w:vAlign w:val="center"/>
          </w:tcPr>
          <w:p w14:paraId="7AAE0285">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根据投标人的服务方案总体设计的可行性、扩展性、安全性和独特性，从项目实施方案和关键技术的阐述情况综合评定：</w:t>
            </w:r>
          </w:p>
          <w:p w14:paraId="2FAD66E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①总体思路清晰，实施方案全面，符合项目实际情况的，得</w:t>
            </w:r>
            <w:r>
              <w:rPr>
                <w:rFonts w:hint="eastAsia" w:hAnsi="宋体" w:eastAsia="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p>
          <w:p w14:paraId="1946717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②总体思路较为清晰，实施方案较全面，基本符合项目实际情况的，得</w:t>
            </w:r>
            <w:r>
              <w:rPr>
                <w:rFonts w:hint="eastAsia"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p>
          <w:p w14:paraId="01AFC12B">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③总体思路不够清晰，实施方案不够全面，有一定符合项目实际情况的，得</w:t>
            </w:r>
            <w:r>
              <w:rPr>
                <w:rFonts w:hint="eastAsia"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w:t>
            </w:r>
          </w:p>
          <w:p w14:paraId="7B9BB5CA">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④未提供或不符合采购需求的不得分。</w:t>
            </w:r>
          </w:p>
        </w:tc>
      </w:tr>
      <w:tr w14:paraId="0A3D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18E8011A">
            <w:pPr>
              <w:spacing w:line="400" w:lineRule="exact"/>
              <w:jc w:val="center"/>
              <w:rPr>
                <w:rFonts w:hint="eastAsia" w:ascii="宋体" w:hAnsi="宋体" w:cs="宋体"/>
                <w:color w:val="auto"/>
                <w:szCs w:val="21"/>
              </w:rPr>
            </w:pPr>
          </w:p>
        </w:tc>
        <w:tc>
          <w:tcPr>
            <w:tcW w:w="1352" w:type="dxa"/>
            <w:noWrap/>
            <w:vAlign w:val="center"/>
          </w:tcPr>
          <w:p w14:paraId="38701A70">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保密管理</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6345" w:type="dxa"/>
            <w:noWrap/>
            <w:vAlign w:val="center"/>
          </w:tcPr>
          <w:p w14:paraId="362A6B4D">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根据投标人提供的保密管理方案，从保密措施内容和保密制度进行综合评分：</w:t>
            </w:r>
          </w:p>
          <w:p w14:paraId="357BFF68">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①保密措施内容十分完善，且具有严格的保密制度能保障项目信息安全的，得</w:t>
            </w:r>
            <w:r>
              <w:rPr>
                <w:rFonts w:hint="eastAsia" w:hAnsi="宋体" w:eastAsia="宋体"/>
                <w:b w:val="0"/>
                <w:bCs w:val="0"/>
                <w:color w:val="auto"/>
                <w:sz w:val="21"/>
                <w:szCs w:val="21"/>
                <w:lang w:val="en-US" w:eastAsia="zh-CN"/>
              </w:rPr>
              <w:t>5</w:t>
            </w:r>
            <w:r>
              <w:rPr>
                <w:rFonts w:hint="eastAsia" w:ascii="宋体" w:hAnsi="宋体" w:eastAsia="宋体"/>
                <w:b w:val="0"/>
                <w:bCs w:val="0"/>
                <w:color w:val="auto"/>
                <w:sz w:val="21"/>
                <w:szCs w:val="21"/>
              </w:rPr>
              <w:t>分；</w:t>
            </w:r>
          </w:p>
          <w:p w14:paraId="275585D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②保密措施内容较为完善，保密制度比较严格，基本能保障项目信息安全的，得</w:t>
            </w:r>
            <w:r>
              <w:rPr>
                <w:rFonts w:hint="eastAsia" w:hAnsi="宋体" w:eastAsia="宋体"/>
                <w:b w:val="0"/>
                <w:bCs w:val="0"/>
                <w:color w:val="auto"/>
                <w:sz w:val="21"/>
                <w:szCs w:val="21"/>
                <w:lang w:val="en-US" w:eastAsia="zh-CN"/>
              </w:rPr>
              <w:t>3</w:t>
            </w:r>
            <w:r>
              <w:rPr>
                <w:rFonts w:hint="eastAsia" w:ascii="宋体" w:hAnsi="宋体" w:eastAsia="宋体"/>
                <w:b w:val="0"/>
                <w:bCs w:val="0"/>
                <w:color w:val="auto"/>
                <w:sz w:val="21"/>
                <w:szCs w:val="21"/>
              </w:rPr>
              <w:t>分；</w:t>
            </w:r>
          </w:p>
          <w:p w14:paraId="6FE04259">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③保密措施内容和保密制度相对简单，不太能保障项目信息安全的，得</w:t>
            </w:r>
            <w:r>
              <w:rPr>
                <w:rFonts w:hint="eastAsia" w:hAnsi="宋体" w:eastAsia="宋体"/>
                <w:b w:val="0"/>
                <w:bCs w:val="0"/>
                <w:color w:val="auto"/>
                <w:sz w:val="21"/>
                <w:szCs w:val="21"/>
                <w:lang w:val="en-US" w:eastAsia="zh-CN"/>
              </w:rPr>
              <w:t>1</w:t>
            </w:r>
            <w:r>
              <w:rPr>
                <w:rFonts w:hint="eastAsia" w:ascii="宋体" w:hAnsi="宋体" w:eastAsia="宋体"/>
                <w:b w:val="0"/>
                <w:bCs w:val="0"/>
                <w:color w:val="auto"/>
                <w:sz w:val="21"/>
                <w:szCs w:val="21"/>
              </w:rPr>
              <w:t>分；</w:t>
            </w:r>
          </w:p>
          <w:p w14:paraId="6B409B33">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④未提供或不符合采购需求的不得分。</w:t>
            </w:r>
          </w:p>
        </w:tc>
      </w:tr>
      <w:tr w14:paraId="657C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1E52256C">
            <w:pPr>
              <w:spacing w:line="400" w:lineRule="exact"/>
              <w:jc w:val="center"/>
              <w:rPr>
                <w:rFonts w:hint="eastAsia" w:ascii="宋体" w:hAnsi="宋体" w:cs="宋体"/>
                <w:color w:val="auto"/>
                <w:szCs w:val="21"/>
              </w:rPr>
            </w:pPr>
          </w:p>
        </w:tc>
        <w:tc>
          <w:tcPr>
            <w:tcW w:w="1352" w:type="dxa"/>
            <w:noWrap/>
            <w:vAlign w:val="center"/>
          </w:tcPr>
          <w:p w14:paraId="7598E62A">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项目进度安排</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358561D8">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根据投标人提供的项目进度安排，从工作部署和计划是否详实，进度安排是否合理等，进行综合评分：</w:t>
            </w:r>
          </w:p>
          <w:p w14:paraId="48BEC7F2">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①进度安排紧凑合理，有明确的进度控制节点，各阶段工作任务明确、责任落实的得6分。</w:t>
            </w:r>
          </w:p>
          <w:p w14:paraId="5B58029C">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②进度安排比较合理，各阶段工作任务比较明确，比较能保证项目进度的得4分；</w:t>
            </w:r>
          </w:p>
          <w:p w14:paraId="14B5D007">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③进度安排不合理，或没有明确的进度控制节点，或各阶段工作任务不明确的2分。</w:t>
            </w:r>
          </w:p>
          <w:p w14:paraId="67FE8A0C">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④未提供或不符合项目需求的不得分。</w:t>
            </w:r>
          </w:p>
        </w:tc>
      </w:tr>
      <w:tr w14:paraId="48C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64F9051F">
            <w:pPr>
              <w:spacing w:line="400" w:lineRule="exact"/>
              <w:jc w:val="center"/>
              <w:rPr>
                <w:rFonts w:hint="eastAsia" w:ascii="宋体" w:hAnsi="宋体" w:cs="宋体"/>
                <w:color w:val="auto"/>
                <w:szCs w:val="21"/>
              </w:rPr>
            </w:pPr>
          </w:p>
        </w:tc>
        <w:tc>
          <w:tcPr>
            <w:tcW w:w="1352" w:type="dxa"/>
            <w:noWrap/>
            <w:vAlign w:val="center"/>
          </w:tcPr>
          <w:p w14:paraId="28E89286">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质量保障措施</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292F988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根据投标人提供的质量保障措施，进行综合评分：</w:t>
            </w:r>
          </w:p>
          <w:p w14:paraId="1AE571F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①有制定相应的服务质量保障措施，对服务过程中的关键节点有具体的质量控制措施，有相应的人力、物力投入安排，能够确保服务质量的得</w:t>
            </w:r>
            <w:r>
              <w:rPr>
                <w:rFonts w:hint="eastAsia" w:hAnsi="宋体" w:eastAsia="宋体"/>
                <w:b w:val="0"/>
                <w:bCs w:val="0"/>
                <w:color w:val="auto"/>
                <w:sz w:val="21"/>
                <w:szCs w:val="21"/>
                <w:lang w:val="en-US" w:eastAsia="zh-CN"/>
              </w:rPr>
              <w:t>6</w:t>
            </w:r>
            <w:r>
              <w:rPr>
                <w:rFonts w:hint="eastAsia" w:ascii="宋体" w:hAnsi="宋体" w:eastAsia="宋体"/>
                <w:b w:val="0"/>
                <w:bCs w:val="0"/>
                <w:color w:val="auto"/>
                <w:sz w:val="21"/>
                <w:szCs w:val="21"/>
              </w:rPr>
              <w:t>分。</w:t>
            </w:r>
          </w:p>
          <w:p w14:paraId="58B0891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②有制定相应的服务质量保障措施，对服务过程中的关键节点有具体的质量控制措施，有相应的人力、物力投入安排，基本能确保服务质量的得</w:t>
            </w:r>
            <w:r>
              <w:rPr>
                <w:rFonts w:hint="eastAsia" w:hAnsi="宋体" w:eastAsia="宋体"/>
                <w:b w:val="0"/>
                <w:bCs w:val="0"/>
                <w:color w:val="auto"/>
                <w:sz w:val="21"/>
                <w:szCs w:val="21"/>
                <w:lang w:val="en-US" w:eastAsia="zh-CN"/>
              </w:rPr>
              <w:t>4</w:t>
            </w:r>
            <w:r>
              <w:rPr>
                <w:rFonts w:hint="eastAsia" w:ascii="宋体" w:hAnsi="宋体" w:eastAsia="宋体"/>
                <w:b w:val="0"/>
                <w:bCs w:val="0"/>
                <w:color w:val="auto"/>
                <w:sz w:val="21"/>
                <w:szCs w:val="21"/>
              </w:rPr>
              <w:t>分。</w:t>
            </w:r>
          </w:p>
          <w:p w14:paraId="12420C4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③服务质量保障措施较为简单，对服务过程中的关键节点的质量控制措施一般的得</w:t>
            </w:r>
            <w:r>
              <w:rPr>
                <w:rFonts w:hint="eastAsia" w:hAnsi="宋体" w:eastAsia="宋体"/>
                <w:b w:val="0"/>
                <w:bCs w:val="0"/>
                <w:color w:val="auto"/>
                <w:sz w:val="21"/>
                <w:szCs w:val="21"/>
                <w:lang w:val="en-US" w:eastAsia="zh-CN"/>
              </w:rPr>
              <w:t>2</w:t>
            </w:r>
            <w:r>
              <w:rPr>
                <w:rFonts w:hint="eastAsia" w:ascii="宋体" w:hAnsi="宋体" w:eastAsia="宋体"/>
                <w:b w:val="0"/>
                <w:bCs w:val="0"/>
                <w:color w:val="auto"/>
                <w:sz w:val="21"/>
                <w:szCs w:val="21"/>
              </w:rPr>
              <w:t>分；</w:t>
            </w:r>
          </w:p>
          <w:p w14:paraId="05A233C6">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④未提供或不符合项目需求的不得分。</w:t>
            </w:r>
          </w:p>
        </w:tc>
      </w:tr>
      <w:tr w14:paraId="1229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007" w:type="dxa"/>
            <w:vMerge w:val="continue"/>
          </w:tcPr>
          <w:p w14:paraId="6896FA37">
            <w:pPr>
              <w:spacing w:line="400" w:lineRule="exact"/>
              <w:jc w:val="center"/>
              <w:rPr>
                <w:rFonts w:hint="eastAsia" w:ascii="宋体" w:hAnsi="宋体" w:cs="宋体"/>
                <w:color w:val="auto"/>
                <w:szCs w:val="21"/>
              </w:rPr>
            </w:pPr>
          </w:p>
        </w:tc>
        <w:tc>
          <w:tcPr>
            <w:tcW w:w="1352" w:type="dxa"/>
            <w:noWrap/>
            <w:vAlign w:val="center"/>
          </w:tcPr>
          <w:p w14:paraId="42FF3F58">
            <w:pPr>
              <w:autoSpaceDE w:val="0"/>
              <w:autoSpaceDN w:val="0"/>
              <w:adjustRightInd w:val="0"/>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rPr>
              <w:t>售后服务方案</w:t>
            </w:r>
            <w:r>
              <w:rPr>
                <w:rFonts w:hint="eastAsia" w:ascii="宋体" w:hAnsi="宋体" w:cs="宋体"/>
                <w:color w:val="auto"/>
                <w:szCs w:val="21"/>
                <w:lang w:eastAsia="zh-CN"/>
              </w:rPr>
              <w:t>（</w:t>
            </w:r>
            <w:r>
              <w:rPr>
                <w:rFonts w:hint="eastAsia" w:ascii="宋体" w:hAnsi="宋体" w:cs="宋体"/>
                <w:color w:val="auto"/>
                <w:szCs w:val="21"/>
                <w:lang w:val="en-US" w:eastAsia="zh-CN"/>
              </w:rPr>
              <w:t>6分</w:t>
            </w:r>
            <w:r>
              <w:rPr>
                <w:rFonts w:hint="eastAsia" w:ascii="宋体" w:hAnsi="宋体" w:cs="宋体"/>
                <w:color w:val="auto"/>
                <w:szCs w:val="21"/>
                <w:lang w:eastAsia="zh-CN"/>
              </w:rPr>
              <w:t>）</w:t>
            </w:r>
          </w:p>
        </w:tc>
        <w:tc>
          <w:tcPr>
            <w:tcW w:w="6345" w:type="dxa"/>
            <w:noWrap/>
            <w:vAlign w:val="center"/>
          </w:tcPr>
          <w:p w14:paraId="50609240">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投标人针对本项目提供的售后服务方案（包括服务承诺、响应时间、服务力量），对采购人的问题能否及时、有效的提出解决方案等进行综合评分：</w:t>
            </w:r>
          </w:p>
          <w:p w14:paraId="17E7A77B">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①服务方案详细、具体，及时有效地解决对采购人的问题的，得6分；</w:t>
            </w:r>
          </w:p>
          <w:p w14:paraId="5F6F314F">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②服务方案比较详细、具体，能比较及时地解决对采购人的问题的，得4分；</w:t>
            </w:r>
          </w:p>
          <w:p w14:paraId="3B3FC527">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③服务方案简单，不能及时有效地解决对采购人的问题的，得2分；</w:t>
            </w:r>
          </w:p>
          <w:p w14:paraId="4EDF6165">
            <w:pPr>
              <w:pStyle w:val="155"/>
              <w:keepNext w:val="0"/>
              <w:keepLines w:val="0"/>
              <w:pageBreakBefore w:val="0"/>
              <w:kinsoku/>
              <w:wordWrap/>
              <w:overflowPunct/>
              <w:topLinePunct w:val="0"/>
              <w:bidi w:val="0"/>
              <w:adjustRightInd/>
              <w:snapToGrid/>
              <w:spacing w:line="240" w:lineRule="auto"/>
              <w:ind w:left="0" w:leftChars="0" w:firstLine="0" w:firstLineChars="0"/>
              <w:rPr>
                <w:rFonts w:hint="eastAsia" w:ascii="宋体" w:hAnsi="宋体" w:eastAsia="宋体"/>
                <w:b w:val="0"/>
                <w:bCs w:val="0"/>
                <w:color w:val="auto"/>
                <w:sz w:val="21"/>
                <w:szCs w:val="21"/>
              </w:rPr>
            </w:pPr>
            <w:r>
              <w:rPr>
                <w:rFonts w:hint="eastAsia" w:ascii="宋体" w:hAnsi="宋体" w:eastAsia="宋体"/>
                <w:b w:val="0"/>
                <w:bCs w:val="0"/>
                <w:color w:val="auto"/>
                <w:sz w:val="21"/>
                <w:szCs w:val="21"/>
              </w:rPr>
              <w:t>④未提供或不符合采购需求的不得分。</w:t>
            </w:r>
          </w:p>
        </w:tc>
      </w:tr>
    </w:tbl>
    <w:p w14:paraId="6CF7C1BB">
      <w:pPr>
        <w:widowControl/>
        <w:numPr>
          <w:ilvl w:val="0"/>
          <w:numId w:val="6"/>
        </w:numPr>
        <w:spacing w:before="312" w:beforeLines="100" w:line="320" w:lineRule="exact"/>
        <w:ind w:firstLine="482" w:firstLineChars="200"/>
        <w:jc w:val="left"/>
        <w:rPr>
          <w:rFonts w:ascii="宋体" w:hAnsi="宋体" w:cs="仿宋_GB2312"/>
          <w:b/>
          <w:bCs/>
          <w:color w:val="000000" w:themeColor="text1"/>
          <w:sz w:val="24"/>
          <w:szCs w:val="22"/>
          <w14:textFill>
            <w14:solidFill>
              <w14:schemeClr w14:val="tx1"/>
            </w14:solidFill>
          </w14:textFill>
        </w:rPr>
      </w:pPr>
      <w:r>
        <w:rPr>
          <w:rFonts w:hint="eastAsia" w:ascii="宋体" w:hAnsi="宋体" w:cs="仿宋_GB2312"/>
          <w:b/>
          <w:bCs/>
          <w:color w:val="000000" w:themeColor="text1"/>
          <w:sz w:val="24"/>
          <w:szCs w:val="22"/>
          <w14:textFill>
            <w14:solidFill>
              <w14:schemeClr w14:val="tx1"/>
            </w14:solidFill>
          </w14:textFill>
        </w:rPr>
        <w:t>其他</w:t>
      </w:r>
    </w:p>
    <w:p w14:paraId="7A52212B">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30FFF11">
      <w:pPr>
        <w:pStyle w:val="11"/>
        <w:rPr>
          <w:color w:val="000000" w:themeColor="text1"/>
          <w:lang w:val="zh-CN"/>
          <w14:textFill>
            <w14:solidFill>
              <w14:schemeClr w14:val="tx1"/>
            </w14:solidFill>
          </w14:textFill>
        </w:rPr>
      </w:pPr>
    </w:p>
    <w:p w14:paraId="336B4012">
      <w:pPr>
        <w:widowControl/>
        <w:spacing w:line="240" w:lineRule="auto"/>
        <w:jc w:val="center"/>
        <w:rPr>
          <w:rFonts w:hint="eastAsia" w:ascii="宋体" w:hAnsi="宋体" w:cs="宋体"/>
          <w:b/>
          <w:bCs/>
          <w:color w:val="000000" w:themeColor="text1"/>
          <w:kern w:val="0"/>
          <w:sz w:val="30"/>
          <w:szCs w:val="30"/>
          <w14:textFill>
            <w14:solidFill>
              <w14:schemeClr w14:val="tx1"/>
            </w14:solidFill>
          </w14:textFill>
        </w:rPr>
      </w:pPr>
    </w:p>
    <w:p w14:paraId="251FF3EC">
      <w:pPr>
        <w:widowControl/>
        <w:spacing w:line="240" w:lineRule="auto"/>
        <w:jc w:val="center"/>
        <w:rPr>
          <w:rFonts w:hint="eastAsia" w:ascii="宋体" w:hAnsi="宋体" w:cs="宋体"/>
          <w:b/>
          <w:bCs/>
          <w:color w:val="000000" w:themeColor="text1"/>
          <w:kern w:val="0"/>
          <w:sz w:val="30"/>
          <w:szCs w:val="30"/>
          <w14:textFill>
            <w14:solidFill>
              <w14:schemeClr w14:val="tx1"/>
            </w14:solidFill>
          </w14:textFill>
        </w:rPr>
      </w:pPr>
    </w:p>
    <w:p w14:paraId="28B8576C">
      <w:pPr>
        <w:widowControl/>
        <w:spacing w:line="240" w:lineRule="auto"/>
        <w:jc w:val="center"/>
        <w:rPr>
          <w:rFonts w:hint="eastAsia" w:ascii="宋体" w:hAnsi="宋体" w:cs="宋体"/>
          <w:b/>
          <w:bCs/>
          <w:color w:val="000000" w:themeColor="text1"/>
          <w:kern w:val="0"/>
          <w:sz w:val="30"/>
          <w:szCs w:val="30"/>
          <w14:textFill>
            <w14:solidFill>
              <w14:schemeClr w14:val="tx1"/>
            </w14:solidFill>
          </w14:textFill>
        </w:rPr>
      </w:pPr>
    </w:p>
    <w:p w14:paraId="1CD5E9D4">
      <w:pPr>
        <w:widowControl/>
        <w:spacing w:line="240" w:lineRule="auto"/>
        <w:jc w:val="center"/>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第五章 合同主要条款</w:t>
      </w:r>
    </w:p>
    <w:p w14:paraId="2C3F13DC">
      <w:pPr>
        <w:spacing w:line="360" w:lineRule="exact"/>
        <w:ind w:firstLine="422"/>
        <w:rPr>
          <w:rFonts w:ascii="宋体" w:hAnsi="宋体"/>
          <w:color w:val="000000" w:themeColor="text1"/>
          <w14:textFill>
            <w14:solidFill>
              <w14:schemeClr w14:val="tx1"/>
            </w14:solidFill>
          </w14:textFill>
        </w:rPr>
      </w:pPr>
    </w:p>
    <w:p w14:paraId="665575F7">
      <w:pPr>
        <w:pStyle w:val="11"/>
        <w:rPr>
          <w:rFonts w:hint="eastAsia" w:ascii="宋体" w:hAnsi="宋体" w:eastAsia="宋体" w:cs="宋体"/>
          <w:color w:val="auto"/>
          <w:sz w:val="21"/>
          <w:szCs w:val="21"/>
        </w:rPr>
      </w:pPr>
      <w:bookmarkStart w:id="9" w:name="_Toc509493362"/>
      <w:bookmarkStart w:id="10" w:name="_Toc468650665"/>
      <w:bookmarkStart w:id="11" w:name="_Toc5717"/>
      <w:bookmarkStart w:id="12" w:name="_Toc276974208"/>
      <w:bookmarkStart w:id="13" w:name="_Toc21974"/>
      <w:bookmarkStart w:id="14" w:name="_Toc7722"/>
      <w:bookmarkStart w:id="15" w:name="_Toc251160747"/>
      <w:bookmarkStart w:id="16" w:name="_Toc510022499"/>
      <w:bookmarkStart w:id="17" w:name="_Toc13710"/>
      <w:r>
        <w:rPr>
          <w:rFonts w:hint="eastAsia" w:ascii="宋体" w:hAnsi="宋体" w:eastAsia="宋体" w:cs="宋体"/>
          <w:color w:val="auto"/>
          <w:sz w:val="21"/>
          <w:szCs w:val="21"/>
        </w:rPr>
        <w:t>项目名称：普陀区环境健康友好创新试点建设项目</w:t>
      </w:r>
    </w:p>
    <w:p w14:paraId="2EFB39F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甲    方：舟山市生态环境局普陀分局 </w:t>
      </w:r>
    </w:p>
    <w:p w14:paraId="1E0FCF3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乙    方：</w:t>
      </w:r>
    </w:p>
    <w:p w14:paraId="5BA815AD">
      <w:pPr>
        <w:pStyle w:val="11"/>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甲、乙双方根据《普陀区环境健康友好创新试点建设项目》公开招标的结果，签署本合同。</w:t>
      </w:r>
    </w:p>
    <w:p w14:paraId="129E00B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一、服务主要内容</w:t>
      </w:r>
    </w:p>
    <w:p w14:paraId="0EC9ECA0">
      <w:pPr>
        <w:pStyle w:val="11"/>
        <w:rPr>
          <w:rFonts w:hint="eastAsia" w:ascii="宋体" w:hAnsi="宋体" w:eastAsia="宋体" w:cs="宋体"/>
          <w:color w:val="auto"/>
          <w:sz w:val="21"/>
          <w:szCs w:val="21"/>
        </w:rPr>
      </w:pPr>
    </w:p>
    <w:p w14:paraId="53C30D24">
      <w:pPr>
        <w:pStyle w:val="11"/>
        <w:rPr>
          <w:rFonts w:hint="eastAsia" w:ascii="宋体" w:hAnsi="宋体" w:eastAsia="宋体" w:cs="宋体"/>
          <w:color w:val="auto"/>
          <w:sz w:val="21"/>
          <w:szCs w:val="21"/>
        </w:rPr>
      </w:pPr>
    </w:p>
    <w:p w14:paraId="73C935F7">
      <w:pPr>
        <w:pStyle w:val="11"/>
        <w:rPr>
          <w:rFonts w:hint="eastAsia" w:ascii="宋体" w:hAnsi="宋体" w:eastAsia="宋体" w:cs="宋体"/>
          <w:color w:val="auto"/>
          <w:sz w:val="21"/>
          <w:szCs w:val="21"/>
        </w:rPr>
      </w:pPr>
    </w:p>
    <w:p w14:paraId="5B3AD31C">
      <w:pPr>
        <w:pStyle w:val="11"/>
        <w:rPr>
          <w:rFonts w:hint="eastAsia" w:ascii="宋体" w:hAnsi="宋体" w:eastAsia="宋体" w:cs="宋体"/>
          <w:color w:val="auto"/>
          <w:sz w:val="21"/>
          <w:szCs w:val="21"/>
        </w:rPr>
      </w:pPr>
    </w:p>
    <w:p w14:paraId="2A9E26B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二、合同金额</w:t>
      </w:r>
    </w:p>
    <w:p w14:paraId="45C2E49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本合同金额为：大写人民币                          元（￥：           元）</w:t>
      </w:r>
    </w:p>
    <w:p w14:paraId="0FCB20B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报价明细：</w:t>
      </w:r>
    </w:p>
    <w:p w14:paraId="4A2F60A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094C5ED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3766C21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0D15E65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14:paraId="7F1655A1">
      <w:pPr>
        <w:adjustRightInd w:val="0"/>
        <w:snapToGrid w:val="0"/>
        <w:spacing w:line="400" w:lineRule="exact"/>
        <w:ind w:firstLine="420" w:firstLineChars="200"/>
        <w:rPr>
          <w:rFonts w:hint="eastAsia" w:ascii="宋体" w:hAnsi="宋体" w:cs="宋体"/>
          <w:b w:val="0"/>
          <w:color w:val="auto"/>
          <w:szCs w:val="21"/>
        </w:rPr>
      </w:pPr>
      <w:r>
        <w:rPr>
          <w:rFonts w:hint="eastAsia" w:ascii="宋体" w:hAnsi="宋体" w:cs="宋体"/>
          <w:b w:val="0"/>
          <w:color w:val="auto"/>
          <w:szCs w:val="21"/>
        </w:rPr>
        <w:t>三、甲方责任和义务</w:t>
      </w:r>
    </w:p>
    <w:p w14:paraId="7C2A6A8F">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1、按照合同约定支付款项。</w:t>
      </w:r>
    </w:p>
    <w:p w14:paraId="2F897C7B">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2、甲方按双方约定的内容和时间，向乙方提供与项目有关的可以提供的资料，并对其完整性、正确性、及时性负责。</w:t>
      </w:r>
    </w:p>
    <w:p w14:paraId="657E6C03">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3、甲方对乙方的工作进行监督和检查。</w:t>
      </w:r>
    </w:p>
    <w:p w14:paraId="6F03AD52">
      <w:pPr>
        <w:pStyle w:val="110"/>
        <w:adjustRightInd w:val="0"/>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4、检查乙方项目组成员的工作能力，如因人力、能力不足致使服务工作不能保质保量完成时，甲方有权要求其增加或调整相应的工作人员。</w:t>
      </w:r>
    </w:p>
    <w:p w14:paraId="44C0ADA6">
      <w:pPr>
        <w:adjustRightInd w:val="0"/>
        <w:snapToGrid w:val="0"/>
        <w:spacing w:line="400" w:lineRule="exact"/>
        <w:ind w:firstLine="420" w:firstLineChars="200"/>
        <w:rPr>
          <w:rFonts w:hint="eastAsia" w:ascii="宋体" w:hAnsi="宋体" w:cs="宋体"/>
          <w:b w:val="0"/>
          <w:color w:val="auto"/>
          <w:szCs w:val="21"/>
        </w:rPr>
      </w:pPr>
      <w:r>
        <w:rPr>
          <w:rFonts w:hint="eastAsia" w:ascii="宋体" w:hAnsi="宋体" w:cs="宋体"/>
          <w:b w:val="0"/>
          <w:color w:val="auto"/>
          <w:szCs w:val="21"/>
        </w:rPr>
        <w:t>四、乙方责任和义务</w:t>
      </w:r>
    </w:p>
    <w:p w14:paraId="5F65628B">
      <w:pPr>
        <w:adjustRightInd w:val="0"/>
        <w:snapToGrid w:val="0"/>
        <w:spacing w:line="400" w:lineRule="exact"/>
        <w:ind w:firstLine="420" w:firstLineChars="200"/>
        <w:rPr>
          <w:rFonts w:hint="eastAsia" w:ascii="宋体" w:hAnsi="宋体" w:cs="宋体"/>
          <w:color w:val="auto"/>
          <w:szCs w:val="21"/>
          <w:u w:val="none"/>
        </w:rPr>
      </w:pPr>
      <w:r>
        <w:rPr>
          <w:rFonts w:hint="eastAsia" w:ascii="宋体" w:hAnsi="宋体" w:cs="宋体"/>
          <w:color w:val="auto"/>
          <w:szCs w:val="21"/>
        </w:rPr>
        <w:t>1、乙方应按法律规定和招标文件规定保质、保量完成服务，并对服务质量负责；</w:t>
      </w:r>
    </w:p>
    <w:p w14:paraId="5CA8E018">
      <w:pPr>
        <w:pStyle w:val="110"/>
        <w:adjustRightInd w:val="0"/>
        <w:snapToGrid w:val="0"/>
        <w:spacing w:line="360" w:lineRule="exact"/>
        <w:ind w:firstLine="420" w:firstLineChars="200"/>
        <w:rPr>
          <w:rFonts w:hint="eastAsia" w:ascii="宋体" w:hAnsi="宋体" w:cs="宋体"/>
          <w:color w:val="auto"/>
          <w:kern w:val="2"/>
          <w:szCs w:val="21"/>
          <w:lang w:bidi="ar-SA"/>
        </w:rPr>
      </w:pPr>
      <w:r>
        <w:rPr>
          <w:rFonts w:hint="eastAsia" w:ascii="宋体" w:hAnsi="宋体" w:cs="宋体"/>
          <w:color w:val="auto"/>
          <w:szCs w:val="21"/>
        </w:rPr>
        <w:t>2、乙方应服从甲方的监督和检查，</w:t>
      </w:r>
      <w:r>
        <w:rPr>
          <w:rFonts w:hint="eastAsia" w:ascii="宋体" w:hAnsi="宋体" w:eastAsia="宋体" w:cs="宋体"/>
          <w:color w:val="auto"/>
          <w:szCs w:val="21"/>
        </w:rPr>
        <w:t>对甲方提出的针对本项目的要求及时进行调整更改</w:t>
      </w:r>
      <w:r>
        <w:rPr>
          <w:rFonts w:hint="eastAsia" w:ascii="宋体" w:hAnsi="宋体" w:cs="宋体"/>
          <w:color w:val="auto"/>
          <w:szCs w:val="21"/>
        </w:rPr>
        <w:t>；</w:t>
      </w:r>
    </w:p>
    <w:p w14:paraId="0FD8B515">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3、乙方服务期间，应满足并达到本项目“采购需求”中的要求。</w:t>
      </w:r>
    </w:p>
    <w:p w14:paraId="1792EE84">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4、乙方必须为参与本项目的项目组成员购买社保及人身意外险，必须重视安全服务工作。合同履约期间，如发生人员伤亡的意外事故，由乙方承担一切责任及损失； </w:t>
      </w:r>
    </w:p>
    <w:p w14:paraId="265A077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5、服务期间，做好人员的安全防护工作，在</w:t>
      </w:r>
      <w:r>
        <w:rPr>
          <w:rFonts w:hint="eastAsia" w:ascii="宋体" w:hAnsi="宋体" w:eastAsia="宋体" w:cs="宋体"/>
          <w:color w:val="auto"/>
          <w:sz w:val="21"/>
          <w:szCs w:val="21"/>
          <w:lang w:eastAsia="zh-CN"/>
        </w:rPr>
        <w:t>现场调研等服务期间</w:t>
      </w:r>
      <w:r>
        <w:rPr>
          <w:rFonts w:hint="eastAsia" w:ascii="宋体" w:hAnsi="宋体" w:cs="宋体"/>
          <w:color w:val="auto"/>
          <w:szCs w:val="21"/>
        </w:rPr>
        <w:t>做好安全防护措施等；</w:t>
      </w:r>
    </w:p>
    <w:p w14:paraId="4C32631F">
      <w:pPr>
        <w:widowControl/>
        <w:adjustRightInd w:val="0"/>
        <w:snapToGrid w:val="0"/>
        <w:spacing w:line="400" w:lineRule="exact"/>
        <w:ind w:firstLine="420" w:firstLineChars="200"/>
        <w:jc w:val="left"/>
        <w:rPr>
          <w:rFonts w:hint="eastAsia" w:ascii="宋体" w:hAnsi="宋体" w:cs="宋体"/>
          <w:color w:val="auto"/>
          <w:kern w:val="2"/>
          <w:szCs w:val="21"/>
        </w:rPr>
      </w:pPr>
      <w:r>
        <w:rPr>
          <w:rFonts w:hint="eastAsia" w:ascii="宋体" w:hAnsi="宋体" w:cs="宋体"/>
          <w:color w:val="auto"/>
          <w:kern w:val="2"/>
          <w:szCs w:val="21"/>
        </w:rPr>
        <w:t>6、</w:t>
      </w:r>
      <w:r>
        <w:rPr>
          <w:rFonts w:hint="eastAsia" w:ascii="宋体" w:hAnsi="宋体" w:cs="宋体"/>
          <w:bCs w:val="0"/>
          <w:color w:val="auto"/>
          <w:kern w:val="2"/>
          <w:szCs w:val="21"/>
        </w:rPr>
        <w:t>乙方应按照招标要求及时提交相关资料；</w:t>
      </w:r>
    </w:p>
    <w:p w14:paraId="2A8951EB">
      <w:pPr>
        <w:adjustRightInd w:val="0"/>
        <w:snapToGrid w:val="0"/>
        <w:spacing w:line="400" w:lineRule="exact"/>
        <w:ind w:firstLine="420" w:firstLineChars="200"/>
        <w:rPr>
          <w:rFonts w:hint="eastAsia" w:ascii="宋体" w:hAnsi="宋体" w:cs="宋体"/>
          <w:bCs w:val="0"/>
          <w:color w:val="auto"/>
          <w:kern w:val="2"/>
          <w:szCs w:val="21"/>
        </w:rPr>
      </w:pPr>
      <w:r>
        <w:rPr>
          <w:rFonts w:hint="eastAsia" w:ascii="宋体" w:hAnsi="宋体" w:cs="宋体"/>
          <w:bCs w:val="0"/>
          <w:color w:val="auto"/>
          <w:kern w:val="2"/>
          <w:szCs w:val="21"/>
        </w:rPr>
        <w:t>7、未尽事项详见采购需求。</w:t>
      </w:r>
    </w:p>
    <w:p w14:paraId="1BB2D51F">
      <w:pPr>
        <w:pStyle w:val="12"/>
        <w:rPr>
          <w:rFonts w:hint="eastAsia" w:ascii="宋体" w:hAnsi="宋体" w:cs="宋体"/>
          <w:szCs w:val="21"/>
        </w:rPr>
      </w:pPr>
    </w:p>
    <w:p w14:paraId="2C1CD5F6">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、技术资料</w:t>
      </w:r>
    </w:p>
    <w:p w14:paraId="4827F86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1、乙方应按招标文件规定的时间向甲方提供有关技术资料。</w:t>
      </w:r>
    </w:p>
    <w:p w14:paraId="16B0F18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C5D19B">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、知识产权</w:t>
      </w:r>
    </w:p>
    <w:p w14:paraId="1D2ED20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乙方应保证提供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过程中不会侵犯任何第三方的知识产权。</w:t>
      </w:r>
    </w:p>
    <w:p w14:paraId="198AC9A9">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、履约保证金</w:t>
      </w:r>
    </w:p>
    <w:p w14:paraId="360FE9C8">
      <w:pPr>
        <w:pStyle w:val="1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不设履约保证金。</w:t>
      </w:r>
    </w:p>
    <w:p w14:paraId="410F268C">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、转包或分包</w:t>
      </w:r>
    </w:p>
    <w:p w14:paraId="60508D1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1、本合同范围的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，应由乙方直接供应，不得转让他人供应；</w:t>
      </w:r>
    </w:p>
    <w:p w14:paraId="5C83DA33">
      <w:pPr>
        <w:pStyle w:val="1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2、除非得到甲方的书面同意，乙方不得将本合同范围的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w:t>
      </w:r>
    </w:p>
    <w:p w14:paraId="7ED1226A">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成果</w:t>
      </w:r>
      <w:r>
        <w:rPr>
          <w:rFonts w:hint="eastAsia" w:ascii="宋体" w:hAnsi="宋体" w:eastAsia="宋体" w:cs="宋体"/>
          <w:color w:val="auto"/>
          <w:sz w:val="21"/>
          <w:szCs w:val="21"/>
        </w:rPr>
        <w:t>全部或部分分包给他人供应；</w:t>
      </w:r>
    </w:p>
    <w:p w14:paraId="33F1F03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3、如有转让和未经甲方同意的分包行为，甲方有权解除合同，并追究乙方的违约责任。</w:t>
      </w:r>
    </w:p>
    <w:p w14:paraId="60BBB07C">
      <w:pPr>
        <w:pStyle w:val="11"/>
        <w:adjustRightInd w:val="0"/>
        <w:snapToGrid w:val="0"/>
        <w:spacing w:line="360" w:lineRule="exact"/>
        <w:ind w:firstLine="420" w:firstLineChars="200"/>
        <w:rPr>
          <w:rFonts w:hint="eastAsia" w:ascii="宋体" w:hAnsi="宋体" w:eastAsia="宋体" w:cs="宋体"/>
          <w:b w:val="0"/>
          <w:color w:val="auto"/>
          <w:kern w:val="2"/>
          <w:sz w:val="21"/>
          <w:szCs w:val="21"/>
        </w:rPr>
      </w:pP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b w:val="0"/>
          <w:color w:val="auto"/>
          <w:kern w:val="2"/>
          <w:sz w:val="21"/>
          <w:szCs w:val="21"/>
        </w:rPr>
        <w:t>服务期和服务地点</w:t>
      </w:r>
    </w:p>
    <w:p w14:paraId="5250278B">
      <w:pPr>
        <w:pStyle w:val="11"/>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val="0"/>
          <w:color w:val="auto"/>
          <w:kern w:val="2"/>
          <w:sz w:val="21"/>
          <w:szCs w:val="21"/>
        </w:rPr>
        <w:t>1、服务期：</w:t>
      </w:r>
    </w:p>
    <w:p w14:paraId="0193CA41">
      <w:pPr>
        <w:pStyle w:val="11"/>
        <w:adjustRightInd w:val="0"/>
        <w:snapToGrid w:val="0"/>
        <w:spacing w:line="360" w:lineRule="exact"/>
        <w:ind w:firstLine="420" w:firstLineChars="200"/>
        <w:rPr>
          <w:rFonts w:hint="eastAsia" w:ascii="宋体" w:hAnsi="宋体" w:eastAsia="宋体" w:cs="宋体"/>
          <w:b w:val="0"/>
          <w:color w:val="auto"/>
          <w:sz w:val="21"/>
          <w:szCs w:val="21"/>
        </w:rPr>
      </w:pPr>
      <w:r>
        <w:rPr>
          <w:rFonts w:hint="eastAsia" w:ascii="宋体" w:hAnsi="宋体" w:eastAsia="宋体" w:cs="宋体"/>
          <w:bCs w:val="0"/>
          <w:color w:val="auto"/>
          <w:kern w:val="2"/>
          <w:sz w:val="21"/>
          <w:szCs w:val="21"/>
        </w:rPr>
        <w:t>2、服务地点：</w:t>
      </w:r>
    </w:p>
    <w:p w14:paraId="7CD7C3FA">
      <w:pPr>
        <w:pStyle w:val="11"/>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、款项支付</w:t>
      </w:r>
    </w:p>
    <w:p w14:paraId="5E68E5A8">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200"/>
        <w:jc w:val="both"/>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分为两部分项目进行支付：</w:t>
      </w:r>
    </w:p>
    <w:p w14:paraId="080C69B5">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10" w:firstLineChars="1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 xml:space="preserve"> （一）</w:t>
      </w:r>
      <w:r>
        <w:rPr>
          <w:rFonts w:hint="eastAsia" w:ascii="宋体" w:hAnsi="宋体" w:eastAsia="宋体" w:cs="宋体"/>
          <w:color w:val="auto"/>
          <w:sz w:val="21"/>
          <w:szCs w:val="21"/>
          <w:lang w:val="en-US" w:eastAsia="zh-CN"/>
        </w:rPr>
        <w:t>省级</w:t>
      </w:r>
      <w:r>
        <w:rPr>
          <w:rFonts w:hint="eastAsia" w:ascii="宋体" w:hAnsi="宋体" w:eastAsia="宋体" w:cs="宋体"/>
          <w:color w:val="auto"/>
          <w:sz w:val="21"/>
          <w:szCs w:val="21"/>
          <w:lang w:eastAsia="zh-CN"/>
        </w:rPr>
        <w:t>环境健康友好创新试点建设</w:t>
      </w:r>
    </w:p>
    <w:p w14:paraId="67CA3ED6">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（1）合同签订并具备实施条件后7个工作日内支付合同金额的30%；</w:t>
      </w:r>
    </w:p>
    <w:p w14:paraId="31B5F75A">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（2）2025年12月前，按要求提交相关成果产出的，在收到中标单位正式发票起15个工作日内支付合同金额的30%；</w:t>
      </w:r>
    </w:p>
    <w:p w14:paraId="70B87884">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（3）2026年12月前，按要求提交相关成果产出的，在收到中标单位正式发票起15个工作日内支付合同金额的30%；</w:t>
      </w:r>
    </w:p>
    <w:p w14:paraId="4CA476F0">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（4）完成剩余工作并经甲方认可后，支付剩余10%合同款。</w:t>
      </w:r>
    </w:p>
    <w:p w14:paraId="6C3CC88A">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lang w:val="en-US" w:eastAsia="zh-CN"/>
        </w:rPr>
        <w:t>国家环境健康管理试点申报及建设规划技术服务</w:t>
      </w:r>
    </w:p>
    <w:p w14:paraId="17DBB503">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（1）试点申报成功并获部里明确后，在收到中标单位正式发票起15个工作日内支付合同金额的40%；三年试点建设期间内，每年年底前支付合同金额的20%。</w:t>
      </w:r>
    </w:p>
    <w:p w14:paraId="6A592C32">
      <w:pPr>
        <w:pStyle w:val="11"/>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200"/>
        <w:textAlignment w:val="auto"/>
        <w:outlineLvl w:val="0"/>
        <w:rPr>
          <w:rFonts w:hint="eastAsia" w:ascii="宋体" w:hAnsi="宋体" w:eastAsia="宋体" w:cs="宋体"/>
          <w:color w:val="auto"/>
          <w:sz w:val="21"/>
          <w:szCs w:val="21"/>
          <w:highlight w:val="yellow"/>
          <w:lang w:val="en-US" w:eastAsia="zh-CN"/>
        </w:rPr>
        <w:sectPr>
          <w:footerReference r:id="rId5" w:type="default"/>
          <w:type w:val="continuous"/>
          <w:pgSz w:w="11905" w:h="16838"/>
          <w:pgMar w:top="1304" w:right="1531" w:bottom="833" w:left="1531" w:header="1304" w:footer="1304" w:gutter="0"/>
          <w:pgNumType w:fmt="decimal"/>
          <w:cols w:space="0" w:num="1"/>
          <w:rtlGutter w:val="0"/>
          <w:docGrid w:linePitch="0" w:charSpace="0"/>
        </w:sectPr>
      </w:pPr>
      <w:r>
        <w:rPr>
          <w:rFonts w:hint="eastAsia" w:ascii="宋体" w:hAnsi="宋体" w:eastAsia="宋体" w:cs="宋体"/>
          <w:color w:val="auto"/>
          <w:sz w:val="21"/>
          <w:szCs w:val="21"/>
          <w:lang w:val="en-US" w:eastAsia="zh-CN"/>
        </w:rPr>
        <w:t>（2）若未开展试点申报或在服务期内未申报成功的，则全部不予支付。</w:t>
      </w:r>
    </w:p>
    <w:p w14:paraId="4E00A45B">
      <w:pPr>
        <w:pStyle w:val="11"/>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、税费</w:t>
      </w:r>
    </w:p>
    <w:p w14:paraId="1DE1AF0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w:t>
      </w:r>
    </w:p>
    <w:p w14:paraId="7FDDDDE2">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、质量保证及后续服务</w:t>
      </w:r>
    </w:p>
    <w:p w14:paraId="6D205DC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1、乙方应按招标文件规定向甲方提供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w:t>
      </w:r>
    </w:p>
    <w:p w14:paraId="7E46FC8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和产出成果</w:t>
      </w:r>
      <w:r>
        <w:rPr>
          <w:rFonts w:hint="eastAsia" w:ascii="宋体" w:hAnsi="宋体" w:eastAsia="宋体" w:cs="宋体"/>
          <w:color w:val="auto"/>
          <w:sz w:val="21"/>
          <w:szCs w:val="21"/>
        </w:rPr>
        <w:t>在服务期内发生</w:t>
      </w:r>
      <w:r>
        <w:rPr>
          <w:rFonts w:hint="eastAsia" w:ascii="宋体" w:hAnsi="宋体" w:eastAsia="宋体" w:cs="宋体"/>
          <w:color w:val="auto"/>
          <w:sz w:val="21"/>
          <w:szCs w:val="21"/>
          <w:lang w:eastAsia="zh-CN"/>
        </w:rPr>
        <w:t>质量不符合要求等问题的</w:t>
      </w:r>
      <w:r>
        <w:rPr>
          <w:rFonts w:hint="eastAsia" w:ascii="宋体" w:hAnsi="宋体" w:eastAsia="宋体" w:cs="宋体"/>
          <w:color w:val="auto"/>
          <w:sz w:val="21"/>
          <w:szCs w:val="21"/>
        </w:rPr>
        <w:t>，乙方应负责免费提供后续服务。对达不到要求者，根据实际情况，经双方协商，可按以下办法处理：</w:t>
      </w:r>
    </w:p>
    <w:p w14:paraId="7D6B2710">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⑴重做：由乙方承担所发生的全部费用。</w:t>
      </w:r>
    </w:p>
    <w:p w14:paraId="1A6F968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⑵贬值处理：由甲乙双方合议定价。</w:t>
      </w:r>
    </w:p>
    <w:p w14:paraId="6398DF2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⑶解除合同。</w:t>
      </w:r>
    </w:p>
    <w:p w14:paraId="400FEB8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3、在质量保证期内，乙方应对出现的质量及安全问题负责处理解决并承担一切费用。</w:t>
      </w:r>
    </w:p>
    <w:p w14:paraId="6DC181D2">
      <w:pPr>
        <w:pStyle w:val="11"/>
        <w:adjustRightInd w:val="0"/>
        <w:snapToGrid w:val="0"/>
        <w:spacing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十</w:t>
      </w:r>
      <w:r>
        <w:rPr>
          <w:rFonts w:hint="eastAsia" w:ascii="宋体" w:hAnsi="宋体" w:eastAsia="宋体" w:cs="宋体"/>
          <w:b w:val="0"/>
          <w:color w:val="auto"/>
          <w:sz w:val="21"/>
          <w:szCs w:val="21"/>
          <w:lang w:eastAsia="zh-CN"/>
        </w:rPr>
        <w:t>三</w:t>
      </w:r>
      <w:r>
        <w:rPr>
          <w:rFonts w:hint="eastAsia" w:ascii="宋体" w:hAnsi="宋体" w:eastAsia="宋体" w:cs="宋体"/>
          <w:b w:val="0"/>
          <w:color w:val="auto"/>
          <w:sz w:val="21"/>
          <w:szCs w:val="21"/>
        </w:rPr>
        <w:t>、验收</w:t>
      </w:r>
    </w:p>
    <w:p w14:paraId="5C59E994">
      <w:pPr>
        <w:pStyle w:val="11"/>
        <w:rPr>
          <w:rFonts w:hint="eastAsia" w:ascii="宋体" w:hAnsi="宋体" w:eastAsia="宋体" w:cs="宋体"/>
          <w:color w:val="auto"/>
          <w:sz w:val="21"/>
          <w:szCs w:val="21"/>
        </w:rPr>
      </w:pPr>
      <w:r>
        <w:rPr>
          <w:rFonts w:hint="eastAsia" w:ascii="宋体" w:hAnsi="宋体" w:eastAsia="宋体" w:cs="宋体"/>
          <w:color w:val="auto"/>
          <w:sz w:val="21"/>
          <w:szCs w:val="21"/>
        </w:rPr>
        <w:t>由甲方组织相关人员，对乙方提供的服务进行验收，并出具验收合格证明。</w:t>
      </w:r>
    </w:p>
    <w:p w14:paraId="3E88828B">
      <w:pPr>
        <w:pStyle w:val="11"/>
        <w:adjustRightInd w:val="0"/>
        <w:snapToGrid w:val="0"/>
        <w:spacing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十</w:t>
      </w:r>
      <w:r>
        <w:rPr>
          <w:rFonts w:hint="eastAsia" w:ascii="宋体" w:hAnsi="宋体" w:eastAsia="宋体" w:cs="宋体"/>
          <w:b w:val="0"/>
          <w:color w:val="auto"/>
          <w:sz w:val="21"/>
          <w:szCs w:val="21"/>
          <w:lang w:eastAsia="zh-CN"/>
        </w:rPr>
        <w:t>四</w:t>
      </w:r>
      <w:r>
        <w:rPr>
          <w:rFonts w:hint="eastAsia" w:ascii="宋体" w:hAnsi="宋体" w:eastAsia="宋体" w:cs="宋体"/>
          <w:b w:val="0"/>
          <w:color w:val="auto"/>
          <w:sz w:val="21"/>
          <w:szCs w:val="21"/>
        </w:rPr>
        <w:t>、不可抗力事件处理</w:t>
      </w:r>
    </w:p>
    <w:p w14:paraId="3F7E4A8F">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14:paraId="4788D4A1">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14:paraId="0CD38E0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3、不可抗力事件延续120天以上，双方应通过友好协商，确定是否继续履行合同。</w:t>
      </w:r>
    </w:p>
    <w:p w14:paraId="68048EEB">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、违约责任</w:t>
      </w:r>
    </w:p>
    <w:p w14:paraId="5B22FED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1、甲方无正当理由拒收接受服务的，甲方向乙方偿付合同款项百分之五作为违约金。</w:t>
      </w:r>
    </w:p>
    <w:p w14:paraId="3E80757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2、甲方无故逾期验收和办理款项支付手续的,甲方应按逾期付款总额每日万分之五向乙方支付违约金</w:t>
      </w:r>
    </w:p>
    <w:p w14:paraId="2D5592D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3、乙方未能如期提供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或产出成果</w:t>
      </w:r>
      <w:r>
        <w:rPr>
          <w:rFonts w:hint="eastAsia" w:ascii="宋体" w:hAnsi="宋体" w:eastAsia="宋体" w:cs="宋体"/>
          <w:color w:val="auto"/>
          <w:sz w:val="21"/>
          <w:szCs w:val="21"/>
        </w:rPr>
        <w:t>的，每日向甲方支付合同款项的千分之六作为违约金。乙方超过约定日期10个工作日仍不能提供</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或产出成果</w:t>
      </w:r>
      <w:r>
        <w:rPr>
          <w:rFonts w:hint="eastAsia" w:ascii="宋体" w:hAnsi="宋体" w:eastAsia="宋体" w:cs="宋体"/>
          <w:color w:val="auto"/>
          <w:sz w:val="21"/>
          <w:szCs w:val="21"/>
        </w:rPr>
        <w:t>的，甲方可解除本合同。乙方因未能如期提</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、产出成果</w:t>
      </w:r>
      <w:r>
        <w:rPr>
          <w:rFonts w:hint="eastAsia" w:ascii="宋体" w:hAnsi="宋体" w:eastAsia="宋体" w:cs="宋体"/>
          <w:color w:val="auto"/>
          <w:sz w:val="21"/>
          <w:szCs w:val="21"/>
        </w:rPr>
        <w:t>或因其他违约行为导致甲方解除合同的，乙方应向甲方支付合同总值5%的违约金，如造成甲方损失超过违约金的，超出部分由乙方继续承担赔偿责任。</w:t>
      </w:r>
    </w:p>
    <w:p w14:paraId="74B67F3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w:t>
      </w:r>
      <w:r>
        <w:rPr>
          <w:rFonts w:hint="eastAsia" w:ascii="宋体" w:hAnsi="宋体" w:eastAsia="宋体" w:cs="宋体"/>
          <w:b w:val="0"/>
          <w:color w:val="auto"/>
          <w:sz w:val="21"/>
          <w:szCs w:val="21"/>
          <w:lang w:eastAsia="zh-CN"/>
        </w:rPr>
        <w:t>争议解决</w:t>
      </w:r>
    </w:p>
    <w:p w14:paraId="20978D5D">
      <w:pPr>
        <w:pStyle w:val="11"/>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双方在执行合同中所发生的一切争议，应通过协商解决。如协商不成，可向 </w:t>
      </w:r>
      <w:r>
        <w:rPr>
          <w:rFonts w:hint="eastAsia" w:ascii="宋体" w:hAnsi="宋体" w:eastAsia="宋体" w:cs="宋体"/>
          <w:color w:val="auto"/>
          <w:sz w:val="21"/>
          <w:szCs w:val="21"/>
          <w:u w:val="none"/>
          <w:lang w:eastAsia="zh-CN"/>
        </w:rPr>
        <w:t>舟山市仲裁委员会</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lang w:eastAsia="zh-CN"/>
        </w:rPr>
        <w:t>申请仲裁或甲方所在地人民法院起诉</w:t>
      </w:r>
      <w:r>
        <w:rPr>
          <w:rFonts w:hint="eastAsia" w:ascii="宋体" w:hAnsi="宋体" w:eastAsia="宋体" w:cs="宋体"/>
          <w:color w:val="auto"/>
          <w:sz w:val="21"/>
          <w:szCs w:val="21"/>
        </w:rPr>
        <w:t>。</w:t>
      </w:r>
    </w:p>
    <w:p w14:paraId="39C59F5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、合同生效及其它</w:t>
      </w:r>
    </w:p>
    <w:p w14:paraId="56AC4E4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1、合同经双方法定代表人或授权代表签字并加盖单位公章后生效。</w:t>
      </w:r>
    </w:p>
    <w:p w14:paraId="40CCE2D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2、合同执行中涉及采购资金和采购内容修改或补充的，须经财政部门审批，并签书面补充协议报政府采购监督管理部门备案，方可作为主合同不可分割的一部分。</w:t>
      </w:r>
    </w:p>
    <w:p w14:paraId="6ACCEEA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3、招标文件、投标文件与合同具有同等法律效力。</w:t>
      </w:r>
    </w:p>
    <w:p w14:paraId="43B1FD6E">
      <w:pPr>
        <w:pStyle w:val="11"/>
        <w:rPr>
          <w:rFonts w:hint="eastAsia" w:ascii="宋体" w:hAnsi="宋体" w:eastAsia="宋体" w:cs="宋体"/>
          <w:color w:val="auto"/>
          <w:sz w:val="21"/>
          <w:szCs w:val="21"/>
        </w:rPr>
      </w:pPr>
      <w:r>
        <w:rPr>
          <w:rFonts w:hint="eastAsia" w:ascii="宋体" w:hAnsi="宋体" w:eastAsia="宋体" w:cs="宋体"/>
          <w:color w:val="auto"/>
          <w:sz w:val="21"/>
          <w:szCs w:val="21"/>
        </w:rPr>
        <w:t>4、本合同未尽事宜，遵照《中华人民共和国民法典》有关条文执行。</w:t>
      </w:r>
    </w:p>
    <w:p w14:paraId="00E586EB">
      <w:pPr>
        <w:pStyle w:val="11"/>
        <w:rPr>
          <w:rFonts w:hint="eastAsia" w:ascii="宋体" w:hAnsi="宋体" w:eastAsia="宋体" w:cs="宋体"/>
          <w:color w:val="auto"/>
          <w:sz w:val="21"/>
          <w:szCs w:val="21"/>
        </w:rPr>
      </w:pPr>
      <w:r>
        <w:rPr>
          <w:rFonts w:hint="eastAsia" w:ascii="宋体" w:hAnsi="宋体" w:eastAsia="宋体" w:cs="宋体"/>
          <w:color w:val="auto"/>
          <w:sz w:val="21"/>
          <w:szCs w:val="21"/>
        </w:rPr>
        <w:t>5、本合同正本一式三份，具有同等法律效力，甲乙双方、代理机构各执一份；副本份。</w:t>
      </w:r>
    </w:p>
    <w:p w14:paraId="21CF905F">
      <w:pPr>
        <w:pStyle w:val="11"/>
        <w:rPr>
          <w:rFonts w:hint="eastAsia" w:ascii="宋体" w:hAnsi="宋体" w:eastAsia="宋体" w:cs="宋体"/>
          <w:color w:val="auto"/>
          <w:sz w:val="21"/>
          <w:szCs w:val="21"/>
        </w:rPr>
      </w:pPr>
      <w:r>
        <w:rPr>
          <w:rFonts w:hint="eastAsia" w:ascii="宋体" w:hAnsi="宋体" w:eastAsia="宋体" w:cs="宋体"/>
          <w:color w:val="auto"/>
          <w:sz w:val="21"/>
          <w:szCs w:val="21"/>
        </w:rPr>
        <w:t>甲方：                                  乙方：</w:t>
      </w:r>
    </w:p>
    <w:p w14:paraId="1FC7C17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地址：                                  地址：</w:t>
      </w:r>
    </w:p>
    <w:p w14:paraId="571B9F6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52305043">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（或）授权经办人：                     （或）授权经办人：</w:t>
      </w:r>
    </w:p>
    <w:p w14:paraId="3A102804">
      <w:pPr>
        <w:pStyle w:val="11"/>
        <w:rPr>
          <w:rFonts w:hint="eastAsia" w:ascii="宋体" w:hAnsi="宋体" w:eastAsia="宋体" w:cs="宋体"/>
          <w:color w:val="auto"/>
          <w:sz w:val="21"/>
          <w:szCs w:val="21"/>
        </w:rPr>
      </w:pPr>
      <w:r>
        <w:rPr>
          <w:rFonts w:hint="eastAsia" w:ascii="宋体" w:hAnsi="宋体" w:eastAsia="宋体" w:cs="宋体"/>
          <w:color w:val="auto"/>
          <w:sz w:val="21"/>
          <w:szCs w:val="21"/>
        </w:rPr>
        <w:t>联系方式：                              联系方式：</w:t>
      </w:r>
    </w:p>
    <w:p w14:paraId="335B5887">
      <w:pPr>
        <w:pStyle w:val="11"/>
        <w:rPr>
          <w:rFonts w:hint="eastAsia"/>
        </w:rPr>
      </w:pPr>
      <w:r>
        <w:rPr>
          <w:rFonts w:hint="eastAsia" w:ascii="宋体" w:hAnsi="宋体" w:eastAsia="宋体" w:cs="宋体"/>
          <w:color w:val="auto"/>
          <w:sz w:val="21"/>
          <w:szCs w:val="21"/>
        </w:rPr>
        <w:t>签字日期：   年   月   日                签字日期：  年   月   日</w:t>
      </w:r>
    </w:p>
    <w:bookmarkEnd w:id="9"/>
    <w:bookmarkEnd w:id="10"/>
    <w:bookmarkEnd w:id="11"/>
    <w:bookmarkEnd w:id="12"/>
    <w:bookmarkEnd w:id="13"/>
    <w:bookmarkEnd w:id="14"/>
    <w:bookmarkEnd w:id="15"/>
    <w:bookmarkEnd w:id="16"/>
    <w:bookmarkEnd w:id="17"/>
    <w:p w14:paraId="31B4EEB5">
      <w:pPr>
        <w:autoSpaceDE w:val="0"/>
        <w:autoSpaceDN w:val="0"/>
        <w:adjustRightInd w:val="0"/>
        <w:spacing w:line="360" w:lineRule="auto"/>
        <w:outlineLvl w:val="1"/>
        <w:rPr>
          <w:rFonts w:hint="eastAsia" w:ascii="宋体" w:hAnsi="宋体" w:cs="宋体"/>
          <w:b/>
          <w:bCs/>
          <w:color w:val="auto"/>
          <w:sz w:val="24"/>
          <w:highlight w:val="none"/>
        </w:rPr>
      </w:pPr>
    </w:p>
    <w:p w14:paraId="21D184DC">
      <w:pPr>
        <w:autoSpaceDE w:val="0"/>
        <w:autoSpaceDN w:val="0"/>
        <w:adjustRightInd w:val="0"/>
        <w:spacing w:line="360" w:lineRule="auto"/>
        <w:outlineLvl w:val="1"/>
        <w:rPr>
          <w:rFonts w:hint="eastAsia" w:ascii="宋体" w:hAnsi="宋体" w:cs="宋体"/>
          <w:b/>
          <w:bCs/>
          <w:color w:val="auto"/>
          <w:sz w:val="24"/>
          <w:highlight w:val="none"/>
        </w:rPr>
      </w:pPr>
    </w:p>
    <w:p w14:paraId="14054406">
      <w:pPr>
        <w:autoSpaceDE w:val="0"/>
        <w:autoSpaceDN w:val="0"/>
        <w:adjustRightInd w:val="0"/>
        <w:spacing w:line="360" w:lineRule="auto"/>
        <w:outlineLvl w:val="1"/>
        <w:rPr>
          <w:rFonts w:hint="eastAsia" w:ascii="宋体" w:hAnsi="宋体" w:cs="宋体"/>
          <w:b/>
          <w:bCs/>
          <w:color w:val="auto"/>
          <w:sz w:val="24"/>
          <w:highlight w:val="none"/>
        </w:rPr>
      </w:pPr>
    </w:p>
    <w:p w14:paraId="0E2F4791">
      <w:pPr>
        <w:autoSpaceDE w:val="0"/>
        <w:autoSpaceDN w:val="0"/>
        <w:adjustRightInd w:val="0"/>
        <w:spacing w:line="360" w:lineRule="auto"/>
        <w:outlineLvl w:val="1"/>
        <w:rPr>
          <w:rFonts w:hint="eastAsia" w:ascii="宋体" w:hAnsi="宋体" w:cs="宋体"/>
          <w:b/>
          <w:bCs/>
          <w:color w:val="auto"/>
          <w:sz w:val="24"/>
          <w:highlight w:val="none"/>
        </w:rPr>
      </w:pPr>
    </w:p>
    <w:p w14:paraId="05858AFC">
      <w:pPr>
        <w:autoSpaceDE w:val="0"/>
        <w:autoSpaceDN w:val="0"/>
        <w:adjustRightInd w:val="0"/>
        <w:spacing w:line="360" w:lineRule="auto"/>
        <w:outlineLvl w:val="1"/>
        <w:rPr>
          <w:rFonts w:hint="eastAsia" w:ascii="宋体" w:hAnsi="宋体" w:cs="宋体"/>
          <w:b/>
          <w:bCs/>
          <w:color w:val="auto"/>
          <w:sz w:val="24"/>
          <w:highlight w:val="none"/>
        </w:rPr>
      </w:pPr>
    </w:p>
    <w:p w14:paraId="1BFA1EEC">
      <w:pPr>
        <w:autoSpaceDE w:val="0"/>
        <w:autoSpaceDN w:val="0"/>
        <w:adjustRightInd w:val="0"/>
        <w:spacing w:line="360" w:lineRule="auto"/>
        <w:outlineLvl w:val="1"/>
        <w:rPr>
          <w:rFonts w:hint="eastAsia" w:ascii="宋体" w:hAnsi="宋体" w:cs="宋体"/>
          <w:b/>
          <w:bCs/>
          <w:color w:val="auto"/>
          <w:sz w:val="24"/>
          <w:highlight w:val="none"/>
        </w:rPr>
      </w:pPr>
    </w:p>
    <w:p w14:paraId="57030E82">
      <w:pPr>
        <w:autoSpaceDE w:val="0"/>
        <w:autoSpaceDN w:val="0"/>
        <w:adjustRightInd w:val="0"/>
        <w:spacing w:line="360" w:lineRule="auto"/>
        <w:outlineLvl w:val="1"/>
        <w:rPr>
          <w:rFonts w:hint="eastAsia" w:ascii="宋体" w:hAnsi="宋体" w:cs="宋体"/>
          <w:b/>
          <w:bCs/>
          <w:color w:val="auto"/>
          <w:sz w:val="24"/>
          <w:highlight w:val="none"/>
        </w:rPr>
      </w:pPr>
    </w:p>
    <w:p w14:paraId="4AB96E53">
      <w:pPr>
        <w:autoSpaceDE w:val="0"/>
        <w:autoSpaceDN w:val="0"/>
        <w:adjustRightInd w:val="0"/>
        <w:spacing w:line="360" w:lineRule="auto"/>
        <w:outlineLvl w:val="1"/>
        <w:rPr>
          <w:rFonts w:hint="eastAsia" w:ascii="宋体" w:hAnsi="宋体" w:cs="宋体"/>
          <w:b/>
          <w:bCs/>
          <w:color w:val="auto"/>
          <w:sz w:val="24"/>
          <w:highlight w:val="none"/>
        </w:rPr>
      </w:pPr>
    </w:p>
    <w:p w14:paraId="4E4CAEF0">
      <w:pPr>
        <w:autoSpaceDE w:val="0"/>
        <w:autoSpaceDN w:val="0"/>
        <w:adjustRightInd w:val="0"/>
        <w:spacing w:line="360" w:lineRule="auto"/>
        <w:outlineLvl w:val="1"/>
        <w:rPr>
          <w:rFonts w:hint="eastAsia" w:ascii="宋体" w:hAnsi="宋体" w:cs="宋体"/>
          <w:b/>
          <w:bCs/>
          <w:color w:val="auto"/>
          <w:sz w:val="24"/>
          <w:highlight w:val="none"/>
        </w:rPr>
      </w:pPr>
    </w:p>
    <w:p w14:paraId="7F58DCA7">
      <w:pPr>
        <w:autoSpaceDE w:val="0"/>
        <w:autoSpaceDN w:val="0"/>
        <w:adjustRightInd w:val="0"/>
        <w:spacing w:line="360" w:lineRule="auto"/>
        <w:outlineLvl w:val="1"/>
        <w:rPr>
          <w:rFonts w:hint="eastAsia" w:ascii="宋体" w:hAnsi="宋体" w:cs="宋体"/>
          <w:b/>
          <w:bCs/>
          <w:color w:val="auto"/>
          <w:sz w:val="24"/>
          <w:highlight w:val="none"/>
        </w:rPr>
      </w:pPr>
    </w:p>
    <w:p w14:paraId="4DD53E14">
      <w:pPr>
        <w:autoSpaceDE w:val="0"/>
        <w:autoSpaceDN w:val="0"/>
        <w:adjustRightInd w:val="0"/>
        <w:spacing w:line="360" w:lineRule="auto"/>
        <w:outlineLvl w:val="1"/>
        <w:rPr>
          <w:rFonts w:hint="eastAsia" w:ascii="宋体" w:hAnsi="宋体" w:cs="宋体"/>
          <w:b/>
          <w:bCs/>
          <w:color w:val="auto"/>
          <w:sz w:val="24"/>
          <w:highlight w:val="none"/>
        </w:rPr>
      </w:pPr>
    </w:p>
    <w:p w14:paraId="0C230924">
      <w:pPr>
        <w:autoSpaceDE w:val="0"/>
        <w:autoSpaceDN w:val="0"/>
        <w:adjustRightInd w:val="0"/>
        <w:spacing w:line="360" w:lineRule="auto"/>
        <w:outlineLvl w:val="1"/>
        <w:rPr>
          <w:rFonts w:hint="eastAsia" w:ascii="宋体" w:hAnsi="宋体" w:cs="宋体"/>
          <w:b/>
          <w:bCs/>
          <w:color w:val="auto"/>
          <w:sz w:val="24"/>
          <w:highlight w:val="none"/>
        </w:rPr>
      </w:pPr>
    </w:p>
    <w:p w14:paraId="7A521F35">
      <w:pPr>
        <w:autoSpaceDE w:val="0"/>
        <w:autoSpaceDN w:val="0"/>
        <w:adjustRightInd w:val="0"/>
        <w:spacing w:line="360" w:lineRule="auto"/>
        <w:outlineLvl w:val="1"/>
        <w:rPr>
          <w:rFonts w:hint="eastAsia" w:ascii="宋体" w:hAnsi="宋体" w:cs="宋体"/>
          <w:b/>
          <w:bCs/>
          <w:color w:val="auto"/>
          <w:sz w:val="24"/>
          <w:highlight w:val="none"/>
        </w:rPr>
      </w:pPr>
    </w:p>
    <w:p w14:paraId="03A19A5F">
      <w:pPr>
        <w:autoSpaceDE w:val="0"/>
        <w:autoSpaceDN w:val="0"/>
        <w:adjustRightInd w:val="0"/>
        <w:spacing w:line="360" w:lineRule="auto"/>
        <w:outlineLvl w:val="1"/>
        <w:rPr>
          <w:rFonts w:hint="eastAsia" w:ascii="宋体" w:hAnsi="宋体" w:cs="宋体"/>
          <w:b/>
          <w:bCs/>
          <w:color w:val="auto"/>
          <w:sz w:val="24"/>
          <w:highlight w:val="none"/>
        </w:rPr>
      </w:pPr>
    </w:p>
    <w:p w14:paraId="782D2BF4">
      <w:pPr>
        <w:autoSpaceDE w:val="0"/>
        <w:autoSpaceDN w:val="0"/>
        <w:adjustRightInd w:val="0"/>
        <w:spacing w:line="360" w:lineRule="auto"/>
        <w:outlineLvl w:val="1"/>
        <w:rPr>
          <w:rFonts w:hint="eastAsia" w:ascii="宋体" w:hAnsi="宋体" w:cs="宋体"/>
          <w:b/>
          <w:bCs/>
          <w:color w:val="auto"/>
          <w:sz w:val="24"/>
          <w:highlight w:val="none"/>
        </w:rPr>
      </w:pPr>
    </w:p>
    <w:p w14:paraId="7D3A80EE">
      <w:pPr>
        <w:autoSpaceDE w:val="0"/>
        <w:autoSpaceDN w:val="0"/>
        <w:adjustRightInd w:val="0"/>
        <w:spacing w:line="360" w:lineRule="auto"/>
        <w:outlineLvl w:val="1"/>
        <w:rPr>
          <w:rFonts w:hint="eastAsia" w:ascii="宋体" w:hAnsi="宋体" w:cs="宋体"/>
          <w:b/>
          <w:bCs/>
          <w:color w:val="auto"/>
          <w:sz w:val="24"/>
          <w:highlight w:val="none"/>
        </w:rPr>
      </w:pPr>
    </w:p>
    <w:p w14:paraId="3F3E30C1">
      <w:pPr>
        <w:autoSpaceDE w:val="0"/>
        <w:autoSpaceDN w:val="0"/>
        <w:adjustRightInd w:val="0"/>
        <w:spacing w:line="360" w:lineRule="auto"/>
        <w:outlineLvl w:val="1"/>
        <w:rPr>
          <w:rFonts w:hint="eastAsia" w:ascii="宋体" w:hAnsi="宋体" w:cs="宋体"/>
          <w:b/>
          <w:bCs/>
          <w:color w:val="auto"/>
          <w:sz w:val="24"/>
          <w:highlight w:val="none"/>
        </w:rPr>
      </w:pPr>
    </w:p>
    <w:p w14:paraId="3F4F4AF1">
      <w:pPr>
        <w:autoSpaceDE w:val="0"/>
        <w:autoSpaceDN w:val="0"/>
        <w:adjustRightInd w:val="0"/>
        <w:spacing w:line="360" w:lineRule="auto"/>
        <w:outlineLvl w:val="1"/>
        <w:rPr>
          <w:rFonts w:hint="eastAsia" w:ascii="宋体" w:hAnsi="宋体" w:cs="宋体"/>
          <w:b/>
          <w:bCs/>
          <w:color w:val="auto"/>
          <w:sz w:val="24"/>
          <w:highlight w:val="none"/>
        </w:rPr>
      </w:pPr>
    </w:p>
    <w:p w14:paraId="361210D3">
      <w:pPr>
        <w:autoSpaceDE w:val="0"/>
        <w:autoSpaceDN w:val="0"/>
        <w:adjustRightInd w:val="0"/>
        <w:spacing w:line="360" w:lineRule="auto"/>
        <w:outlineLvl w:val="1"/>
        <w:rPr>
          <w:rFonts w:hint="eastAsia" w:ascii="宋体" w:hAnsi="宋体" w:cs="宋体"/>
          <w:b/>
          <w:bCs/>
          <w:color w:val="auto"/>
          <w:sz w:val="24"/>
          <w:highlight w:val="none"/>
        </w:rPr>
      </w:pPr>
    </w:p>
    <w:p w14:paraId="17644A0E">
      <w:pPr>
        <w:autoSpaceDE w:val="0"/>
        <w:autoSpaceDN w:val="0"/>
        <w:adjustRightInd w:val="0"/>
        <w:spacing w:line="360" w:lineRule="auto"/>
        <w:outlineLvl w:val="1"/>
        <w:rPr>
          <w:rFonts w:hint="eastAsia" w:ascii="宋体" w:hAnsi="宋体" w:cs="宋体"/>
          <w:b/>
          <w:bCs/>
          <w:color w:val="auto"/>
          <w:sz w:val="24"/>
          <w:highlight w:val="none"/>
        </w:rPr>
      </w:pPr>
    </w:p>
    <w:p w14:paraId="501245B1">
      <w:pPr>
        <w:autoSpaceDE w:val="0"/>
        <w:autoSpaceDN w:val="0"/>
        <w:adjustRightInd w:val="0"/>
        <w:spacing w:line="360" w:lineRule="auto"/>
        <w:outlineLvl w:val="1"/>
        <w:rPr>
          <w:rFonts w:hint="eastAsia" w:ascii="宋体" w:hAnsi="宋体" w:cs="宋体"/>
          <w:b/>
          <w:bCs/>
          <w:color w:val="auto"/>
          <w:sz w:val="24"/>
          <w:highlight w:val="none"/>
        </w:rPr>
      </w:pPr>
    </w:p>
    <w:p w14:paraId="778BF07E">
      <w:pPr>
        <w:autoSpaceDE w:val="0"/>
        <w:autoSpaceDN w:val="0"/>
        <w:adjustRightInd w:val="0"/>
        <w:spacing w:line="360" w:lineRule="auto"/>
        <w:outlineLvl w:val="1"/>
        <w:rPr>
          <w:rFonts w:hint="eastAsia" w:ascii="宋体" w:hAnsi="宋体" w:cs="宋体"/>
          <w:b/>
          <w:bCs/>
          <w:color w:val="auto"/>
          <w:sz w:val="24"/>
          <w:highlight w:val="none"/>
        </w:rPr>
      </w:pPr>
    </w:p>
    <w:p w14:paraId="2DC990AC">
      <w:pPr>
        <w:autoSpaceDE w:val="0"/>
        <w:autoSpaceDN w:val="0"/>
        <w:adjustRightInd w:val="0"/>
        <w:spacing w:line="360" w:lineRule="auto"/>
        <w:outlineLvl w:val="1"/>
        <w:rPr>
          <w:rFonts w:hint="eastAsia" w:ascii="宋体" w:hAnsi="宋体" w:cs="宋体"/>
          <w:b/>
          <w:bCs/>
          <w:color w:val="auto"/>
          <w:sz w:val="24"/>
          <w:highlight w:val="none"/>
        </w:rPr>
      </w:pPr>
    </w:p>
    <w:p w14:paraId="3ED9D3CB">
      <w:pPr>
        <w:autoSpaceDE w:val="0"/>
        <w:autoSpaceDN w:val="0"/>
        <w:adjustRightInd w:val="0"/>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一、备份文件包装封面（格式供参考）：</w:t>
      </w:r>
    </w:p>
    <w:p w14:paraId="7167D474">
      <w:pPr>
        <w:autoSpaceDE w:val="0"/>
        <w:autoSpaceDN w:val="0"/>
        <w:adjustRightInd w:val="0"/>
        <w:spacing w:line="360" w:lineRule="auto"/>
        <w:jc w:val="center"/>
        <w:rPr>
          <w:rFonts w:hint="eastAsia" w:ascii="宋体" w:hAnsi="宋体" w:cs="宋体"/>
          <w:b/>
          <w:color w:val="auto"/>
          <w:sz w:val="32"/>
          <w:szCs w:val="32"/>
          <w:highlight w:val="none"/>
        </w:rPr>
      </w:pPr>
    </w:p>
    <w:p w14:paraId="0186D4B8">
      <w:pPr>
        <w:pStyle w:val="11"/>
        <w:rPr>
          <w:rFonts w:hint="eastAsia" w:ascii="宋体" w:hAnsi="宋体" w:cs="宋体"/>
          <w:color w:val="auto"/>
          <w:highlight w:val="none"/>
        </w:rPr>
      </w:pPr>
    </w:p>
    <w:p w14:paraId="2CE71F84">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0BCE96A7">
      <w:pPr>
        <w:snapToGrid w:val="0"/>
        <w:spacing w:before="156" w:beforeLines="50" w:after="50"/>
        <w:rPr>
          <w:rFonts w:hint="eastAsia" w:ascii="宋体" w:hAnsi="宋体" w:cs="宋体"/>
          <w:sz w:val="24"/>
        </w:rPr>
      </w:pPr>
    </w:p>
    <w:p w14:paraId="6668036A">
      <w:pPr>
        <w:snapToGrid w:val="0"/>
        <w:spacing w:before="312" w:beforeLines="100" w:after="312" w:afterLines="100" w:line="360" w:lineRule="auto"/>
        <w:ind w:firstLine="1124" w:firstLineChars="400"/>
        <w:rPr>
          <w:rFonts w:hint="eastAsia" w:ascii="宋体" w:hAnsi="宋体" w:cs="宋体"/>
          <w:b/>
          <w:sz w:val="28"/>
        </w:rPr>
      </w:pPr>
    </w:p>
    <w:p w14:paraId="6D8BC8D2">
      <w:pPr>
        <w:snapToGrid w:val="0"/>
        <w:spacing w:before="312" w:beforeLines="100" w:after="312" w:afterLines="100" w:line="360" w:lineRule="auto"/>
        <w:ind w:firstLine="1124" w:firstLineChars="400"/>
        <w:rPr>
          <w:rFonts w:hint="eastAsia" w:ascii="宋体" w:hAnsi="宋体" w:cs="宋体"/>
          <w:b/>
          <w:sz w:val="28"/>
        </w:rPr>
      </w:pPr>
    </w:p>
    <w:p w14:paraId="70A0E5F3">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34A75BB6">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261253C8">
      <w:pPr>
        <w:pStyle w:val="2"/>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4B2C376E">
      <w:pPr>
        <w:pStyle w:val="2"/>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4E760FD2">
      <w:pPr>
        <w:pStyle w:val="2"/>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5B6BCA4D">
      <w:pPr>
        <w:pStyle w:val="2"/>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p w14:paraId="41D6A2F5">
      <w:pPr>
        <w:autoSpaceDE w:val="0"/>
        <w:autoSpaceDN w:val="0"/>
        <w:adjustRightInd w:val="0"/>
        <w:spacing w:line="360" w:lineRule="auto"/>
        <w:rPr>
          <w:rFonts w:hint="eastAsia" w:ascii="宋体" w:hAnsi="宋体" w:cs="宋体"/>
        </w:rPr>
        <w:sectPr>
          <w:headerReference r:id="rId6" w:type="default"/>
          <w:footerReference r:id="rId7" w:type="default"/>
          <w:type w:val="continuous"/>
          <w:pgSz w:w="11905" w:h="16838"/>
          <w:pgMar w:top="1304" w:right="1531" w:bottom="833" w:left="1531" w:header="1304" w:footer="1304" w:gutter="0"/>
          <w:pgNumType w:fmt="decimal"/>
          <w:cols w:space="0" w:num="1"/>
          <w:rtlGutter w:val="0"/>
          <w:docGrid w:linePitch="312" w:charSpace="0"/>
        </w:sectPr>
      </w:pPr>
    </w:p>
    <w:p w14:paraId="3D15D0CE">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2137D86A">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4835D708">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1D19AB75">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56CD49C5">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29F661C7">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42D8B30D">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307FF04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4C9F8677">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971414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36E74E3F">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3C0D9B1A">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5FC545F5">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749B572B">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2B7E2EFB">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3C8424DD">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w:t>
      </w:r>
    </w:p>
    <w:p w14:paraId="7EC3FB3E">
      <w:pPr>
        <w:pStyle w:val="134"/>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03A16F87">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1D78DB80">
      <w:pPr>
        <w:pStyle w:val="134"/>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7C073A22">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w:t>
      </w:r>
    </w:p>
    <w:p w14:paraId="53A3758C">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6885467B">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投标人须在投标文件中出具《声明函》。（格式见附件）</w:t>
      </w:r>
    </w:p>
    <w:p w14:paraId="4DFE60C4">
      <w:pPr>
        <w:pStyle w:val="40"/>
        <w:ind w:left="0"/>
        <w:rPr>
          <w:rFonts w:hint="eastAsia" w:ascii="宋体" w:hAnsi="宋体" w:cs="宋体"/>
          <w:sz w:val="21"/>
          <w:szCs w:val="21"/>
        </w:rPr>
      </w:pPr>
      <w:r>
        <w:rPr>
          <w:rFonts w:hint="eastAsia" w:ascii="宋体" w:hAnsi="宋体" w:cs="宋体"/>
          <w:sz w:val="21"/>
          <w:szCs w:val="21"/>
        </w:rPr>
        <w:t xml:space="preserve">    1.2投标人法定代表人身份证扫描件；</w:t>
      </w:r>
    </w:p>
    <w:p w14:paraId="373B2996">
      <w:pPr>
        <w:pStyle w:val="40"/>
        <w:ind w:left="0" w:firstLine="420" w:firstLineChars="200"/>
        <w:rPr>
          <w:rFonts w:hint="eastAsia" w:ascii="宋体" w:hAnsi="宋体" w:cs="宋体"/>
          <w:sz w:val="21"/>
          <w:szCs w:val="21"/>
        </w:rPr>
      </w:pPr>
      <w:r>
        <w:rPr>
          <w:rFonts w:hint="eastAsia" w:ascii="宋体" w:hAnsi="宋体" w:cs="宋体"/>
          <w:sz w:val="21"/>
          <w:szCs w:val="21"/>
        </w:rPr>
        <w:t>1.3《法定代表人授权函》原件，非法定代表人参加投标时用；</w:t>
      </w:r>
    </w:p>
    <w:p w14:paraId="74D4621C">
      <w:pPr>
        <w:pStyle w:val="40"/>
        <w:ind w:left="0" w:firstLine="420" w:firstLineChars="200"/>
        <w:rPr>
          <w:rFonts w:hint="eastAsia" w:ascii="宋体" w:hAnsi="宋体" w:cs="宋体"/>
          <w:sz w:val="21"/>
          <w:szCs w:val="21"/>
        </w:rPr>
      </w:pPr>
      <w:r>
        <w:rPr>
          <w:rFonts w:hint="eastAsia" w:ascii="宋体" w:hAnsi="宋体" w:cs="宋体"/>
          <w:sz w:val="21"/>
          <w:szCs w:val="21"/>
        </w:rPr>
        <w:t>1.4投标人代表身份证扫描件，非法定代表人参加投标时用；</w:t>
      </w:r>
    </w:p>
    <w:p w14:paraId="3D10A1F0">
      <w:pPr>
        <w:pStyle w:val="40"/>
        <w:ind w:left="0" w:firstLine="420" w:firstLineChars="200"/>
        <w:rPr>
          <w:rFonts w:hint="eastAsia" w:ascii="宋体" w:hAnsi="宋体" w:cs="宋体"/>
          <w:sz w:val="21"/>
          <w:szCs w:val="21"/>
        </w:rPr>
      </w:pPr>
      <w:r>
        <w:rPr>
          <w:rFonts w:hint="eastAsia" w:ascii="宋体" w:hAnsi="宋体" w:cs="宋体"/>
          <w:sz w:val="21"/>
          <w:szCs w:val="21"/>
        </w:rPr>
        <w:t xml:space="preserve">   </w:t>
      </w:r>
    </w:p>
    <w:p w14:paraId="3FD95A26">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27519D33">
      <w:pPr>
        <w:rPr>
          <w:rFonts w:hint="eastAsia" w:ascii="宋体" w:hAnsi="宋体" w:cs="宋体"/>
          <w:b/>
          <w:szCs w:val="21"/>
        </w:rPr>
      </w:pPr>
    </w:p>
    <w:p w14:paraId="3E61031A">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42A52F12">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0ED933E2">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56BA6B39">
      <w:pPr>
        <w:pStyle w:val="15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69B1AF5E">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17B4D60C">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3DCFFECA">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7992609E">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5DFFC0F5">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w:t>
      </w:r>
      <w:r>
        <w:rPr>
          <w:rFonts w:hint="eastAsia" w:ascii="宋体" w:hAnsi="宋体" w:cs="宋体"/>
          <w:szCs w:val="21"/>
          <w:lang w:eastAsia="zh-CN"/>
        </w:rPr>
        <w:t>，</w:t>
      </w:r>
      <w:r>
        <w:rPr>
          <w:rFonts w:hint="eastAsia" w:ascii="宋体" w:hAnsi="宋体" w:cs="宋体"/>
          <w:szCs w:val="21"/>
        </w:rPr>
        <w:t>依法缴纳了税收</w:t>
      </w:r>
      <w:r>
        <w:rPr>
          <w:rFonts w:hint="eastAsia" w:ascii="宋体" w:hAnsi="宋体" w:cs="宋体"/>
          <w:sz w:val="21"/>
          <w:szCs w:val="21"/>
        </w:rPr>
        <w:t>和社会保障资金</w:t>
      </w:r>
      <w:r>
        <w:rPr>
          <w:rFonts w:hint="eastAsia" w:ascii="宋体" w:hAnsi="宋体" w:cs="宋体"/>
          <w:szCs w:val="21"/>
        </w:rPr>
        <w:t>（投标截止时间进行计算）。</w:t>
      </w:r>
    </w:p>
    <w:p w14:paraId="3AC827D6">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64C888BF">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275E97D">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75B76D8C">
      <w:pPr>
        <w:pStyle w:val="158"/>
        <w:tabs>
          <w:tab w:val="left" w:pos="939"/>
        </w:tabs>
        <w:snapToGrid w:val="0"/>
        <w:ind w:left="716" w:leftChars="150" w:hanging="401" w:hangingChars="191"/>
        <w:rPr>
          <w:rFonts w:hint="eastAsia" w:ascii="宋体" w:hAnsi="宋体" w:cs="宋体"/>
          <w:sz w:val="21"/>
          <w:szCs w:val="21"/>
        </w:rPr>
      </w:pPr>
    </w:p>
    <w:p w14:paraId="2DAF077B">
      <w:pPr>
        <w:pStyle w:val="111"/>
        <w:snapToGrid w:val="0"/>
        <w:spacing w:before="156" w:beforeLines="50"/>
        <w:ind w:firstLine="200"/>
        <w:rPr>
          <w:rFonts w:hint="eastAsia" w:ascii="宋体" w:hAnsi="宋体" w:cs="宋体"/>
          <w:sz w:val="21"/>
          <w:szCs w:val="21"/>
        </w:rPr>
      </w:pPr>
    </w:p>
    <w:p w14:paraId="4B5E7F06">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5880FB36">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3C1093C1">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32862437">
      <w:pPr>
        <w:pStyle w:val="15"/>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5E0C3091">
      <w:pPr>
        <w:snapToGrid w:val="0"/>
        <w:spacing w:line="360" w:lineRule="auto"/>
        <w:jc w:val="left"/>
        <w:rPr>
          <w:rFonts w:hint="eastAsia" w:ascii="宋体" w:hAnsi="宋体" w:cs="宋体"/>
          <w:b/>
          <w:bCs/>
          <w:szCs w:val="21"/>
        </w:rPr>
      </w:pPr>
    </w:p>
    <w:p w14:paraId="0491D0A9">
      <w:pPr>
        <w:snapToGrid w:val="0"/>
        <w:spacing w:line="360" w:lineRule="auto"/>
        <w:jc w:val="left"/>
        <w:rPr>
          <w:rFonts w:hint="eastAsia" w:ascii="宋体" w:hAnsi="宋体" w:cs="宋体"/>
          <w:b/>
          <w:bCs/>
          <w:szCs w:val="21"/>
        </w:rPr>
      </w:pPr>
    </w:p>
    <w:p w14:paraId="4A48A309">
      <w:pPr>
        <w:snapToGrid w:val="0"/>
        <w:spacing w:line="360" w:lineRule="auto"/>
        <w:jc w:val="left"/>
        <w:outlineLvl w:val="1"/>
        <w:rPr>
          <w:rFonts w:hint="eastAsia" w:ascii="宋体" w:hAnsi="宋体" w:cs="宋体"/>
          <w:b/>
          <w:bCs/>
          <w:szCs w:val="21"/>
        </w:rPr>
      </w:pPr>
    </w:p>
    <w:p w14:paraId="0C9E7ACB">
      <w:pPr>
        <w:snapToGrid w:val="0"/>
        <w:spacing w:line="360" w:lineRule="auto"/>
        <w:jc w:val="left"/>
        <w:outlineLvl w:val="1"/>
        <w:rPr>
          <w:rFonts w:hint="eastAsia" w:ascii="宋体" w:hAnsi="宋体" w:cs="宋体"/>
          <w:b/>
          <w:bCs/>
          <w:szCs w:val="21"/>
        </w:rPr>
      </w:pPr>
    </w:p>
    <w:p w14:paraId="707F3C5B">
      <w:pPr>
        <w:snapToGrid w:val="0"/>
        <w:spacing w:line="360" w:lineRule="auto"/>
        <w:jc w:val="left"/>
        <w:outlineLvl w:val="1"/>
        <w:rPr>
          <w:rFonts w:hint="eastAsia" w:ascii="宋体" w:hAnsi="宋体" w:cs="宋体"/>
          <w:b/>
          <w:bCs/>
          <w:szCs w:val="21"/>
        </w:rPr>
      </w:pPr>
    </w:p>
    <w:p w14:paraId="2943C2A4">
      <w:pPr>
        <w:snapToGrid w:val="0"/>
        <w:spacing w:line="360" w:lineRule="auto"/>
        <w:jc w:val="left"/>
        <w:outlineLvl w:val="1"/>
        <w:rPr>
          <w:rFonts w:hint="eastAsia" w:ascii="宋体" w:hAnsi="宋体" w:cs="宋体"/>
          <w:b/>
          <w:bCs/>
          <w:szCs w:val="21"/>
        </w:rPr>
      </w:pPr>
    </w:p>
    <w:p w14:paraId="050955A2">
      <w:pPr>
        <w:snapToGrid w:val="0"/>
        <w:spacing w:line="360" w:lineRule="auto"/>
        <w:jc w:val="left"/>
        <w:outlineLvl w:val="1"/>
        <w:rPr>
          <w:rFonts w:hint="eastAsia" w:ascii="宋体" w:hAnsi="宋体" w:cs="宋体"/>
          <w:b/>
          <w:bCs/>
          <w:szCs w:val="21"/>
        </w:rPr>
      </w:pPr>
    </w:p>
    <w:p w14:paraId="1270A8D8">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41DFC7C0">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01794A60">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2D475B70">
      <w:pPr>
        <w:pStyle w:val="11"/>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BDF8716">
      <w:pPr>
        <w:pStyle w:val="11"/>
        <w:spacing w:line="360" w:lineRule="auto"/>
        <w:ind w:firstLine="480"/>
        <w:rPr>
          <w:rFonts w:hint="eastAsia" w:ascii="宋体" w:hAnsi="宋体" w:cs="宋体"/>
          <w:sz w:val="21"/>
          <w:szCs w:val="21"/>
        </w:rPr>
      </w:pPr>
      <w:r>
        <w:rPr>
          <w:rFonts w:hint="eastAsia" w:ascii="宋体" w:hAnsi="宋体" w:cs="宋体"/>
          <w:sz w:val="21"/>
          <w:szCs w:val="21"/>
        </w:rPr>
        <w:t>特此声明！</w:t>
      </w:r>
    </w:p>
    <w:p w14:paraId="46EEF7B3">
      <w:pPr>
        <w:pStyle w:val="11"/>
        <w:ind w:firstLine="480"/>
        <w:rPr>
          <w:rFonts w:hint="eastAsia" w:ascii="宋体" w:hAnsi="宋体" w:cs="宋体"/>
          <w:sz w:val="21"/>
          <w:szCs w:val="21"/>
        </w:rPr>
      </w:pPr>
    </w:p>
    <w:p w14:paraId="71C47E60">
      <w:pPr>
        <w:snapToGrid w:val="0"/>
        <w:spacing w:before="156" w:beforeLines="50"/>
        <w:ind w:firstLine="200"/>
        <w:rPr>
          <w:rFonts w:hint="eastAsia" w:ascii="宋体" w:hAnsi="宋体" w:cs="宋体"/>
          <w:szCs w:val="21"/>
        </w:rPr>
      </w:pPr>
    </w:p>
    <w:p w14:paraId="50743426">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79F29092">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16B0886F">
      <w:pPr>
        <w:pStyle w:val="111"/>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60E3614C">
      <w:pPr>
        <w:snapToGrid w:val="0"/>
        <w:spacing w:before="156" w:beforeLines="50" w:after="50"/>
        <w:ind w:firstLine="422" w:firstLineChars="200"/>
        <w:jc w:val="left"/>
        <w:rPr>
          <w:rFonts w:hint="eastAsia" w:ascii="宋体" w:hAnsi="宋体" w:cs="宋体"/>
          <w:b/>
          <w:bCs/>
          <w:szCs w:val="21"/>
        </w:rPr>
      </w:pPr>
    </w:p>
    <w:p w14:paraId="57E70F4C">
      <w:pPr>
        <w:snapToGrid w:val="0"/>
        <w:spacing w:before="156" w:beforeLines="50" w:after="50"/>
        <w:ind w:firstLine="482" w:firstLineChars="200"/>
        <w:jc w:val="left"/>
        <w:rPr>
          <w:rFonts w:hint="eastAsia" w:ascii="宋体" w:hAnsi="宋体" w:cs="宋体"/>
          <w:b/>
          <w:bCs/>
          <w:sz w:val="24"/>
        </w:rPr>
      </w:pPr>
    </w:p>
    <w:p w14:paraId="5E7956B8">
      <w:pPr>
        <w:pStyle w:val="11"/>
        <w:rPr>
          <w:rFonts w:hint="eastAsia" w:ascii="宋体" w:hAnsi="宋体" w:cs="宋体"/>
        </w:rPr>
      </w:pPr>
    </w:p>
    <w:p w14:paraId="46AFEA87">
      <w:pPr>
        <w:pStyle w:val="11"/>
        <w:rPr>
          <w:rFonts w:hint="eastAsia" w:ascii="宋体" w:hAnsi="宋体" w:cs="宋体"/>
        </w:rPr>
      </w:pPr>
    </w:p>
    <w:p w14:paraId="40D60F9A">
      <w:pPr>
        <w:pStyle w:val="11"/>
        <w:rPr>
          <w:rFonts w:hint="eastAsia" w:ascii="宋体" w:hAnsi="宋体" w:cs="宋体"/>
        </w:rPr>
      </w:pPr>
    </w:p>
    <w:p w14:paraId="3953E2A6">
      <w:pPr>
        <w:pStyle w:val="11"/>
        <w:rPr>
          <w:rFonts w:hint="eastAsia" w:ascii="宋体" w:hAnsi="宋体" w:cs="宋体"/>
        </w:rPr>
      </w:pPr>
    </w:p>
    <w:p w14:paraId="63CC75F3">
      <w:pPr>
        <w:pStyle w:val="12"/>
        <w:ind w:left="0" w:leftChars="0" w:firstLine="0" w:firstLineChars="0"/>
      </w:pPr>
    </w:p>
    <w:p w14:paraId="6FDE4394">
      <w:pPr>
        <w:spacing w:line="360" w:lineRule="auto"/>
        <w:rPr>
          <w:rFonts w:hint="eastAsia" w:ascii="宋体" w:hAnsi="宋体" w:cs="宋体"/>
          <w:b/>
          <w:bCs/>
          <w:szCs w:val="21"/>
        </w:rPr>
      </w:pPr>
    </w:p>
    <w:p w14:paraId="747269B1">
      <w:pPr>
        <w:snapToGrid w:val="0"/>
        <w:spacing w:line="360" w:lineRule="auto"/>
        <w:jc w:val="left"/>
        <w:outlineLvl w:val="1"/>
        <w:rPr>
          <w:rFonts w:hint="eastAsia" w:ascii="宋体" w:hAnsi="宋体" w:cs="宋体"/>
          <w:b/>
          <w:bCs/>
          <w:szCs w:val="21"/>
        </w:rPr>
      </w:pPr>
      <w:r>
        <w:rPr>
          <w:rFonts w:hint="eastAsia" w:ascii="宋体" w:hAnsi="宋体" w:cs="宋体"/>
          <w:b/>
          <w:bCs/>
          <w:szCs w:val="21"/>
        </w:rPr>
        <w:t>四、投标人法定代表人身份证扫描件</w:t>
      </w:r>
    </w:p>
    <w:p w14:paraId="5C1402D4">
      <w:pPr>
        <w:spacing w:line="480" w:lineRule="auto"/>
        <w:ind w:firstLine="463" w:firstLineChars="192"/>
        <w:jc w:val="center"/>
        <w:rPr>
          <w:rFonts w:hint="eastAsia" w:ascii="宋体" w:hAnsi="宋体" w:cs="宋体"/>
          <w:b/>
          <w:bCs/>
          <w:sz w:val="24"/>
        </w:rPr>
      </w:pPr>
    </w:p>
    <w:p w14:paraId="55012476">
      <w:pPr>
        <w:pStyle w:val="11"/>
        <w:rPr>
          <w:rFonts w:hint="eastAsia" w:ascii="宋体" w:hAnsi="宋体" w:cs="宋体"/>
        </w:rPr>
      </w:pPr>
    </w:p>
    <w:p w14:paraId="42AED539">
      <w:pPr>
        <w:widowControl/>
        <w:jc w:val="left"/>
        <w:rPr>
          <w:rFonts w:hint="eastAsia" w:ascii="宋体" w:hAnsi="宋体" w:cs="宋体"/>
          <w:b/>
          <w:bCs/>
          <w:szCs w:val="21"/>
        </w:rPr>
      </w:pPr>
      <w:r>
        <w:rPr>
          <w:rFonts w:ascii="宋体" w:hAnsi="宋体" w:cs="宋体"/>
          <w:b/>
          <w:bCs/>
          <w:szCs w:val="21"/>
        </w:rPr>
        <w:br w:type="page"/>
      </w:r>
    </w:p>
    <w:p w14:paraId="46BBC58F">
      <w:pPr>
        <w:snapToGrid w:val="0"/>
        <w:spacing w:line="360" w:lineRule="auto"/>
        <w:jc w:val="left"/>
        <w:outlineLvl w:val="1"/>
        <w:rPr>
          <w:rFonts w:hint="eastAsia" w:ascii="宋体" w:hAnsi="宋体" w:cs="宋体"/>
          <w:b/>
          <w:bCs/>
          <w:szCs w:val="21"/>
        </w:rPr>
      </w:pPr>
      <w:r>
        <w:rPr>
          <w:rFonts w:hint="eastAsia" w:ascii="宋体" w:hAnsi="宋体" w:cs="宋体"/>
          <w:b/>
          <w:bCs/>
          <w:szCs w:val="21"/>
        </w:rPr>
        <w:t>五、法定代表人授权委托书格式：</w:t>
      </w:r>
    </w:p>
    <w:p w14:paraId="32970C7E">
      <w:pPr>
        <w:pStyle w:val="159"/>
        <w:ind w:firstLine="0"/>
        <w:jc w:val="center"/>
        <w:rPr>
          <w:rFonts w:hint="eastAsia"/>
        </w:rPr>
      </w:pPr>
    </w:p>
    <w:p w14:paraId="24E2A29E">
      <w:pPr>
        <w:pStyle w:val="159"/>
        <w:ind w:firstLine="0"/>
        <w:jc w:val="center"/>
        <w:rPr>
          <w:rFonts w:hint="eastAsia" w:cs="宋体"/>
          <w:kern w:val="2"/>
          <w:sz w:val="21"/>
          <w:szCs w:val="21"/>
        </w:rPr>
      </w:pPr>
      <w:r>
        <w:rPr>
          <w:rFonts w:hint="eastAsia" w:cs="宋体"/>
          <w:kern w:val="2"/>
          <w:sz w:val="21"/>
          <w:szCs w:val="21"/>
        </w:rPr>
        <w:t>法定代表人授权委托书</w:t>
      </w:r>
    </w:p>
    <w:p w14:paraId="3480AC82">
      <w:pPr>
        <w:snapToGrid w:val="0"/>
        <w:spacing w:before="156" w:beforeLines="50" w:after="156" w:afterLines="50" w:line="360" w:lineRule="auto"/>
        <w:ind w:firstLine="630" w:firstLineChars="300"/>
        <w:rPr>
          <w:rFonts w:hint="eastAsia" w:ascii="宋体" w:hAnsi="宋体" w:cs="宋体"/>
          <w:szCs w:val="21"/>
        </w:rPr>
      </w:pPr>
    </w:p>
    <w:p w14:paraId="69616593">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11832B9B">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56D59477">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439BD406">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7AAED1E3">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67DDF257">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2A5EF493">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18CDC8EA">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6B06B4F9">
      <w:pPr>
        <w:snapToGrid w:val="0"/>
        <w:spacing w:before="156" w:beforeLines="50" w:line="360" w:lineRule="auto"/>
        <w:rPr>
          <w:rFonts w:hint="eastAsia" w:ascii="宋体" w:hAnsi="宋体" w:cs="宋体"/>
          <w:b/>
          <w:bCs/>
          <w:szCs w:val="21"/>
          <w:u w:val="single"/>
        </w:rPr>
      </w:pPr>
    </w:p>
    <w:p w14:paraId="763C6E81">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695B5794">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4B5AED65">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06A70C28">
      <w:pPr>
        <w:outlineLvl w:val="1"/>
        <w:rPr>
          <w:rFonts w:hint="eastAsia" w:ascii="宋体" w:hAnsi="宋体" w:cs="宋体"/>
          <w:szCs w:val="21"/>
        </w:rPr>
      </w:pPr>
      <w:r>
        <w:rPr>
          <w:rFonts w:hint="eastAsia" w:ascii="宋体" w:hAnsi="宋体" w:cs="宋体"/>
          <w:b/>
          <w:bCs/>
          <w:szCs w:val="21"/>
          <w:lang w:val="en-US" w:eastAsia="zh-CN"/>
        </w:rPr>
        <w:t>六</w:t>
      </w:r>
      <w:r>
        <w:rPr>
          <w:rFonts w:hint="eastAsia" w:ascii="宋体" w:hAnsi="宋体" w:cs="宋体"/>
          <w:b/>
          <w:bCs/>
          <w:szCs w:val="21"/>
        </w:rPr>
        <w:t>、投标人基本情况表</w:t>
      </w:r>
    </w:p>
    <w:p w14:paraId="1DF22EA4">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3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7AF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427036B0">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2DB01DA1">
            <w:pPr>
              <w:spacing w:line="440" w:lineRule="exact"/>
              <w:jc w:val="center"/>
              <w:rPr>
                <w:rFonts w:hint="eastAsia" w:ascii="宋体" w:hAnsi="宋体" w:cs="宋体"/>
                <w:color w:val="000000"/>
                <w:szCs w:val="21"/>
              </w:rPr>
            </w:pPr>
          </w:p>
        </w:tc>
        <w:tc>
          <w:tcPr>
            <w:tcW w:w="1701" w:type="dxa"/>
            <w:gridSpan w:val="2"/>
            <w:vAlign w:val="center"/>
          </w:tcPr>
          <w:p w14:paraId="6BD83609">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4B5A34C9">
            <w:pPr>
              <w:spacing w:line="440" w:lineRule="exact"/>
              <w:jc w:val="center"/>
              <w:rPr>
                <w:rFonts w:hint="eastAsia" w:ascii="宋体" w:hAnsi="宋体" w:cs="宋体"/>
                <w:color w:val="000000"/>
                <w:szCs w:val="21"/>
              </w:rPr>
            </w:pPr>
          </w:p>
        </w:tc>
      </w:tr>
      <w:tr w14:paraId="48F0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6AB71FA">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52B6F5CF">
            <w:pPr>
              <w:spacing w:line="440" w:lineRule="exact"/>
              <w:jc w:val="center"/>
              <w:rPr>
                <w:rFonts w:hint="eastAsia" w:ascii="宋体" w:hAnsi="宋体" w:cs="宋体"/>
                <w:color w:val="000000"/>
                <w:szCs w:val="21"/>
              </w:rPr>
            </w:pPr>
          </w:p>
        </w:tc>
        <w:tc>
          <w:tcPr>
            <w:tcW w:w="1701" w:type="dxa"/>
            <w:gridSpan w:val="2"/>
            <w:vAlign w:val="center"/>
          </w:tcPr>
          <w:p w14:paraId="333ACB2A">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6411DF32">
            <w:pPr>
              <w:spacing w:line="440" w:lineRule="exact"/>
              <w:jc w:val="center"/>
              <w:rPr>
                <w:rFonts w:hint="eastAsia" w:ascii="宋体" w:hAnsi="宋体" w:cs="宋体"/>
                <w:color w:val="000000"/>
                <w:szCs w:val="21"/>
              </w:rPr>
            </w:pPr>
          </w:p>
        </w:tc>
      </w:tr>
      <w:tr w14:paraId="1196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DF0E27A">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405D0142">
            <w:pPr>
              <w:spacing w:line="440" w:lineRule="exact"/>
              <w:jc w:val="center"/>
              <w:rPr>
                <w:rFonts w:hint="eastAsia" w:ascii="宋体" w:hAnsi="宋体" w:cs="宋体"/>
                <w:color w:val="000000"/>
                <w:szCs w:val="21"/>
              </w:rPr>
            </w:pPr>
          </w:p>
        </w:tc>
        <w:tc>
          <w:tcPr>
            <w:tcW w:w="1418" w:type="dxa"/>
            <w:vAlign w:val="center"/>
          </w:tcPr>
          <w:p w14:paraId="5BC1D142">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70FC7CDF">
            <w:pPr>
              <w:spacing w:line="440" w:lineRule="exact"/>
              <w:jc w:val="center"/>
              <w:rPr>
                <w:rFonts w:hint="eastAsia" w:ascii="宋体" w:hAnsi="宋体" w:cs="宋体"/>
                <w:color w:val="000000"/>
                <w:szCs w:val="21"/>
              </w:rPr>
            </w:pPr>
          </w:p>
        </w:tc>
        <w:tc>
          <w:tcPr>
            <w:tcW w:w="1701" w:type="dxa"/>
            <w:gridSpan w:val="2"/>
            <w:vAlign w:val="center"/>
          </w:tcPr>
          <w:p w14:paraId="5FCCFEDE">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63215375">
            <w:pPr>
              <w:spacing w:line="440" w:lineRule="exact"/>
              <w:jc w:val="center"/>
              <w:rPr>
                <w:rFonts w:hint="eastAsia" w:ascii="宋体" w:hAnsi="宋体" w:cs="宋体"/>
                <w:color w:val="000000"/>
                <w:szCs w:val="21"/>
              </w:rPr>
            </w:pPr>
          </w:p>
        </w:tc>
      </w:tr>
      <w:tr w14:paraId="359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25EA35CF">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2810EFB0">
            <w:pPr>
              <w:spacing w:line="440" w:lineRule="exact"/>
              <w:jc w:val="center"/>
              <w:rPr>
                <w:rFonts w:hint="eastAsia" w:ascii="宋体" w:hAnsi="宋体" w:cs="宋体"/>
                <w:color w:val="000000"/>
                <w:szCs w:val="21"/>
              </w:rPr>
            </w:pPr>
          </w:p>
        </w:tc>
        <w:tc>
          <w:tcPr>
            <w:tcW w:w="1418" w:type="dxa"/>
            <w:vAlign w:val="center"/>
          </w:tcPr>
          <w:p w14:paraId="53FFF13B">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2403A972">
            <w:pPr>
              <w:spacing w:line="440" w:lineRule="exact"/>
              <w:jc w:val="center"/>
              <w:rPr>
                <w:rFonts w:hint="eastAsia" w:ascii="宋体" w:hAnsi="宋体" w:cs="宋体"/>
                <w:color w:val="000000"/>
                <w:szCs w:val="21"/>
              </w:rPr>
            </w:pPr>
          </w:p>
        </w:tc>
        <w:tc>
          <w:tcPr>
            <w:tcW w:w="1701" w:type="dxa"/>
            <w:gridSpan w:val="2"/>
            <w:vMerge w:val="restart"/>
            <w:vAlign w:val="center"/>
          </w:tcPr>
          <w:p w14:paraId="57D658FE">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2C490458">
            <w:pPr>
              <w:spacing w:line="440" w:lineRule="exact"/>
              <w:jc w:val="center"/>
              <w:rPr>
                <w:rFonts w:hint="eastAsia" w:ascii="宋体" w:hAnsi="宋体" w:cs="宋体"/>
                <w:color w:val="000000"/>
                <w:szCs w:val="21"/>
              </w:rPr>
            </w:pPr>
          </w:p>
        </w:tc>
      </w:tr>
      <w:tr w14:paraId="0CD7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4922AC41">
            <w:pPr>
              <w:spacing w:line="440" w:lineRule="exact"/>
              <w:jc w:val="center"/>
              <w:rPr>
                <w:rFonts w:hint="eastAsia" w:ascii="宋体" w:hAnsi="宋体" w:cs="宋体"/>
                <w:color w:val="000000"/>
                <w:szCs w:val="21"/>
              </w:rPr>
            </w:pPr>
          </w:p>
        </w:tc>
        <w:tc>
          <w:tcPr>
            <w:tcW w:w="992" w:type="dxa"/>
            <w:vMerge w:val="continue"/>
            <w:vAlign w:val="center"/>
          </w:tcPr>
          <w:p w14:paraId="4E3E16BA">
            <w:pPr>
              <w:spacing w:line="440" w:lineRule="exact"/>
              <w:jc w:val="center"/>
              <w:rPr>
                <w:rFonts w:hint="eastAsia" w:ascii="宋体" w:hAnsi="宋体" w:cs="宋体"/>
                <w:color w:val="000000"/>
                <w:szCs w:val="21"/>
              </w:rPr>
            </w:pPr>
          </w:p>
        </w:tc>
        <w:tc>
          <w:tcPr>
            <w:tcW w:w="1418" w:type="dxa"/>
            <w:vAlign w:val="center"/>
          </w:tcPr>
          <w:p w14:paraId="4CDF4011">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2CC7F466">
            <w:pPr>
              <w:spacing w:line="440" w:lineRule="exact"/>
              <w:jc w:val="center"/>
              <w:rPr>
                <w:rFonts w:hint="eastAsia" w:ascii="宋体" w:hAnsi="宋体" w:cs="宋体"/>
                <w:color w:val="000000"/>
                <w:szCs w:val="21"/>
              </w:rPr>
            </w:pPr>
          </w:p>
        </w:tc>
        <w:tc>
          <w:tcPr>
            <w:tcW w:w="1701" w:type="dxa"/>
            <w:gridSpan w:val="2"/>
            <w:vMerge w:val="continue"/>
            <w:vAlign w:val="center"/>
          </w:tcPr>
          <w:p w14:paraId="13375ECA">
            <w:pPr>
              <w:spacing w:line="440" w:lineRule="exact"/>
              <w:jc w:val="center"/>
              <w:rPr>
                <w:rFonts w:hint="eastAsia" w:ascii="宋体" w:hAnsi="宋体" w:cs="宋体"/>
                <w:color w:val="000000"/>
                <w:szCs w:val="21"/>
              </w:rPr>
            </w:pPr>
          </w:p>
        </w:tc>
        <w:tc>
          <w:tcPr>
            <w:tcW w:w="2551" w:type="dxa"/>
            <w:gridSpan w:val="4"/>
            <w:vMerge w:val="continue"/>
            <w:vAlign w:val="center"/>
          </w:tcPr>
          <w:p w14:paraId="28E93C63">
            <w:pPr>
              <w:spacing w:line="440" w:lineRule="exact"/>
              <w:jc w:val="center"/>
              <w:rPr>
                <w:rFonts w:hint="eastAsia" w:ascii="宋体" w:hAnsi="宋体" w:cs="宋体"/>
                <w:color w:val="000000"/>
                <w:szCs w:val="21"/>
              </w:rPr>
            </w:pPr>
          </w:p>
        </w:tc>
      </w:tr>
      <w:tr w14:paraId="3D98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44836574">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4B1D418D">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0A63D6B1">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47B748AB">
            <w:pPr>
              <w:spacing w:line="440" w:lineRule="exact"/>
              <w:jc w:val="center"/>
              <w:rPr>
                <w:rFonts w:hint="eastAsia" w:ascii="宋体" w:hAnsi="宋体" w:cs="宋体"/>
                <w:color w:val="000000"/>
                <w:szCs w:val="21"/>
              </w:rPr>
            </w:pPr>
          </w:p>
        </w:tc>
        <w:tc>
          <w:tcPr>
            <w:tcW w:w="1276" w:type="dxa"/>
            <w:gridSpan w:val="2"/>
            <w:vAlign w:val="center"/>
          </w:tcPr>
          <w:p w14:paraId="076D403E">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38381FD2">
            <w:pPr>
              <w:spacing w:line="440" w:lineRule="exact"/>
              <w:jc w:val="center"/>
              <w:rPr>
                <w:rFonts w:hint="eastAsia" w:ascii="宋体" w:hAnsi="宋体" w:cs="宋体"/>
                <w:color w:val="000000"/>
                <w:szCs w:val="21"/>
              </w:rPr>
            </w:pPr>
          </w:p>
        </w:tc>
        <w:tc>
          <w:tcPr>
            <w:tcW w:w="1701" w:type="dxa"/>
            <w:gridSpan w:val="2"/>
            <w:vAlign w:val="center"/>
          </w:tcPr>
          <w:p w14:paraId="0D91B5A4">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1A0DC6F0">
            <w:pPr>
              <w:spacing w:line="440" w:lineRule="exact"/>
              <w:jc w:val="center"/>
              <w:rPr>
                <w:rFonts w:hint="eastAsia" w:ascii="宋体" w:hAnsi="宋体" w:cs="宋体"/>
                <w:color w:val="000000"/>
                <w:szCs w:val="21"/>
              </w:rPr>
            </w:pPr>
          </w:p>
        </w:tc>
      </w:tr>
      <w:tr w14:paraId="5634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EE42104">
            <w:pPr>
              <w:spacing w:line="440" w:lineRule="exact"/>
              <w:jc w:val="center"/>
              <w:rPr>
                <w:rFonts w:hint="eastAsia" w:ascii="宋体" w:hAnsi="宋体" w:cs="宋体"/>
                <w:color w:val="000000"/>
                <w:szCs w:val="21"/>
              </w:rPr>
            </w:pPr>
          </w:p>
        </w:tc>
        <w:tc>
          <w:tcPr>
            <w:tcW w:w="992" w:type="dxa"/>
            <w:vAlign w:val="center"/>
          </w:tcPr>
          <w:p w14:paraId="5BB0F8DC">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49614A55">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3350E227">
            <w:pPr>
              <w:spacing w:line="440" w:lineRule="exact"/>
              <w:jc w:val="center"/>
              <w:rPr>
                <w:rFonts w:hint="eastAsia" w:ascii="宋体" w:hAnsi="宋体" w:cs="宋体"/>
                <w:color w:val="000000"/>
                <w:szCs w:val="21"/>
              </w:rPr>
            </w:pPr>
          </w:p>
        </w:tc>
        <w:tc>
          <w:tcPr>
            <w:tcW w:w="1276" w:type="dxa"/>
            <w:gridSpan w:val="2"/>
            <w:vAlign w:val="center"/>
          </w:tcPr>
          <w:p w14:paraId="0E78C710">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32651EAC">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32EE5243">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6C903D7D">
            <w:pPr>
              <w:spacing w:line="440" w:lineRule="exact"/>
              <w:jc w:val="center"/>
              <w:rPr>
                <w:rFonts w:hint="eastAsia" w:ascii="宋体" w:hAnsi="宋体" w:cs="宋体"/>
                <w:color w:val="000000"/>
                <w:szCs w:val="21"/>
              </w:rPr>
            </w:pPr>
          </w:p>
        </w:tc>
      </w:tr>
      <w:tr w14:paraId="0612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7EFA84E">
            <w:pPr>
              <w:spacing w:line="440" w:lineRule="exact"/>
              <w:jc w:val="center"/>
              <w:rPr>
                <w:rFonts w:hint="eastAsia" w:ascii="宋体" w:hAnsi="宋体" w:cs="宋体"/>
                <w:color w:val="000000"/>
                <w:szCs w:val="21"/>
              </w:rPr>
            </w:pPr>
          </w:p>
        </w:tc>
        <w:tc>
          <w:tcPr>
            <w:tcW w:w="992" w:type="dxa"/>
            <w:vAlign w:val="center"/>
          </w:tcPr>
          <w:p w14:paraId="1A7BCCBB">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118EE7CE">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16C92969">
            <w:pPr>
              <w:spacing w:line="440" w:lineRule="exact"/>
              <w:jc w:val="center"/>
              <w:rPr>
                <w:rFonts w:hint="eastAsia" w:ascii="宋体" w:hAnsi="宋体" w:cs="宋体"/>
                <w:color w:val="000000"/>
                <w:szCs w:val="21"/>
              </w:rPr>
            </w:pPr>
          </w:p>
        </w:tc>
        <w:tc>
          <w:tcPr>
            <w:tcW w:w="1276" w:type="dxa"/>
            <w:gridSpan w:val="2"/>
            <w:vAlign w:val="center"/>
          </w:tcPr>
          <w:p w14:paraId="3659A1DC">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0F9B4327">
            <w:pPr>
              <w:spacing w:line="440" w:lineRule="exact"/>
              <w:jc w:val="center"/>
              <w:rPr>
                <w:rFonts w:hint="eastAsia" w:ascii="宋体" w:hAnsi="宋体" w:cs="宋体"/>
                <w:color w:val="000000"/>
                <w:szCs w:val="21"/>
              </w:rPr>
            </w:pPr>
          </w:p>
        </w:tc>
        <w:tc>
          <w:tcPr>
            <w:tcW w:w="992" w:type="dxa"/>
            <w:gridSpan w:val="2"/>
            <w:vAlign w:val="center"/>
          </w:tcPr>
          <w:p w14:paraId="2E83DFC2">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67AA4A7B">
            <w:pPr>
              <w:spacing w:line="440" w:lineRule="exact"/>
              <w:jc w:val="center"/>
              <w:rPr>
                <w:rFonts w:hint="eastAsia" w:ascii="宋体" w:hAnsi="宋体" w:cs="宋体"/>
                <w:color w:val="000000"/>
                <w:szCs w:val="21"/>
              </w:rPr>
            </w:pPr>
          </w:p>
        </w:tc>
      </w:tr>
      <w:tr w14:paraId="051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125E119">
            <w:pPr>
              <w:spacing w:line="440" w:lineRule="exact"/>
              <w:jc w:val="center"/>
              <w:rPr>
                <w:rFonts w:hint="eastAsia" w:ascii="宋体" w:hAnsi="宋体" w:cs="宋体"/>
                <w:color w:val="000000"/>
                <w:szCs w:val="21"/>
              </w:rPr>
            </w:pPr>
          </w:p>
        </w:tc>
        <w:tc>
          <w:tcPr>
            <w:tcW w:w="992" w:type="dxa"/>
            <w:vAlign w:val="center"/>
          </w:tcPr>
          <w:p w14:paraId="188C8C38">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13DC9C9E">
            <w:pPr>
              <w:spacing w:line="440" w:lineRule="exact"/>
              <w:jc w:val="center"/>
              <w:rPr>
                <w:rFonts w:hint="eastAsia" w:ascii="宋体" w:hAnsi="宋体" w:cs="宋体"/>
                <w:color w:val="000000"/>
                <w:szCs w:val="21"/>
              </w:rPr>
            </w:pPr>
          </w:p>
        </w:tc>
      </w:tr>
      <w:tr w14:paraId="7962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6D59492">
            <w:pPr>
              <w:spacing w:line="440" w:lineRule="exact"/>
              <w:jc w:val="center"/>
              <w:rPr>
                <w:rFonts w:hint="eastAsia" w:ascii="宋体" w:hAnsi="宋体" w:cs="宋体"/>
                <w:color w:val="000000"/>
                <w:szCs w:val="21"/>
              </w:rPr>
            </w:pPr>
          </w:p>
        </w:tc>
        <w:tc>
          <w:tcPr>
            <w:tcW w:w="9072" w:type="dxa"/>
            <w:gridSpan w:val="12"/>
            <w:vAlign w:val="center"/>
          </w:tcPr>
          <w:p w14:paraId="031842AC">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56C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07D94F46">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30394218">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2CD458F1">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436DCC0F">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6761F641">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50435CB0">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61B45A36">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72E5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76C3B1DF">
            <w:pPr>
              <w:spacing w:line="440" w:lineRule="exact"/>
              <w:jc w:val="center"/>
              <w:rPr>
                <w:rFonts w:hint="eastAsia" w:ascii="宋体" w:hAnsi="宋体" w:cs="宋体"/>
                <w:color w:val="000000"/>
                <w:szCs w:val="21"/>
              </w:rPr>
            </w:pPr>
          </w:p>
        </w:tc>
        <w:tc>
          <w:tcPr>
            <w:tcW w:w="2590" w:type="dxa"/>
            <w:gridSpan w:val="3"/>
            <w:vMerge w:val="continue"/>
            <w:vAlign w:val="center"/>
          </w:tcPr>
          <w:p w14:paraId="5784DB4C">
            <w:pPr>
              <w:spacing w:line="440" w:lineRule="exact"/>
              <w:jc w:val="center"/>
              <w:rPr>
                <w:rFonts w:hint="eastAsia" w:ascii="宋体" w:hAnsi="宋体" w:cs="宋体"/>
                <w:color w:val="000000"/>
                <w:szCs w:val="21"/>
              </w:rPr>
            </w:pPr>
          </w:p>
        </w:tc>
        <w:tc>
          <w:tcPr>
            <w:tcW w:w="1663" w:type="dxa"/>
            <w:gridSpan w:val="2"/>
            <w:vAlign w:val="center"/>
          </w:tcPr>
          <w:p w14:paraId="4842FEE4">
            <w:pPr>
              <w:spacing w:line="440" w:lineRule="exact"/>
              <w:jc w:val="center"/>
              <w:rPr>
                <w:rFonts w:hint="eastAsia" w:ascii="宋体" w:hAnsi="宋体" w:cs="宋体"/>
                <w:color w:val="000000"/>
                <w:szCs w:val="21"/>
              </w:rPr>
            </w:pPr>
          </w:p>
        </w:tc>
        <w:tc>
          <w:tcPr>
            <w:tcW w:w="1417" w:type="dxa"/>
            <w:gridSpan w:val="2"/>
            <w:vAlign w:val="center"/>
          </w:tcPr>
          <w:p w14:paraId="4E63EA89">
            <w:pPr>
              <w:spacing w:line="440" w:lineRule="exact"/>
              <w:jc w:val="center"/>
              <w:rPr>
                <w:rFonts w:hint="eastAsia" w:ascii="宋体" w:hAnsi="宋体" w:cs="宋体"/>
                <w:color w:val="000000"/>
                <w:szCs w:val="21"/>
              </w:rPr>
            </w:pPr>
          </w:p>
        </w:tc>
        <w:tc>
          <w:tcPr>
            <w:tcW w:w="1181" w:type="dxa"/>
            <w:gridSpan w:val="2"/>
            <w:vAlign w:val="center"/>
          </w:tcPr>
          <w:p w14:paraId="08D96825">
            <w:pPr>
              <w:spacing w:line="440" w:lineRule="exact"/>
              <w:jc w:val="center"/>
              <w:rPr>
                <w:rFonts w:hint="eastAsia" w:ascii="宋体" w:hAnsi="宋体" w:cs="宋体"/>
                <w:color w:val="000000"/>
                <w:szCs w:val="21"/>
              </w:rPr>
            </w:pPr>
          </w:p>
        </w:tc>
        <w:tc>
          <w:tcPr>
            <w:tcW w:w="2221" w:type="dxa"/>
            <w:gridSpan w:val="3"/>
            <w:vAlign w:val="center"/>
          </w:tcPr>
          <w:p w14:paraId="629F6BCE">
            <w:pPr>
              <w:spacing w:line="440" w:lineRule="exact"/>
              <w:jc w:val="center"/>
              <w:rPr>
                <w:rFonts w:hint="eastAsia" w:ascii="宋体" w:hAnsi="宋体" w:cs="宋体"/>
                <w:color w:val="000000"/>
                <w:szCs w:val="21"/>
              </w:rPr>
            </w:pPr>
          </w:p>
        </w:tc>
      </w:tr>
      <w:tr w14:paraId="1489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DDCBE80">
            <w:pPr>
              <w:spacing w:line="440" w:lineRule="exact"/>
              <w:jc w:val="center"/>
              <w:rPr>
                <w:rFonts w:hint="eastAsia" w:ascii="宋体" w:hAnsi="宋体" w:cs="宋体"/>
                <w:color w:val="000000"/>
                <w:szCs w:val="21"/>
              </w:rPr>
            </w:pPr>
          </w:p>
        </w:tc>
        <w:tc>
          <w:tcPr>
            <w:tcW w:w="2590" w:type="dxa"/>
            <w:gridSpan w:val="3"/>
            <w:vAlign w:val="center"/>
          </w:tcPr>
          <w:p w14:paraId="2B7A10A5">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563EEDFE">
            <w:pPr>
              <w:spacing w:line="440" w:lineRule="exact"/>
              <w:jc w:val="center"/>
              <w:rPr>
                <w:rFonts w:hint="eastAsia" w:ascii="宋体" w:hAnsi="宋体" w:cs="宋体"/>
                <w:color w:val="000000"/>
                <w:szCs w:val="21"/>
              </w:rPr>
            </w:pPr>
          </w:p>
        </w:tc>
      </w:tr>
      <w:tr w14:paraId="33A0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C2A014A">
            <w:pPr>
              <w:spacing w:line="440" w:lineRule="exact"/>
              <w:jc w:val="center"/>
              <w:rPr>
                <w:rFonts w:hint="eastAsia" w:ascii="宋体" w:hAnsi="宋体" w:cs="宋体"/>
                <w:color w:val="000000"/>
                <w:szCs w:val="21"/>
              </w:rPr>
            </w:pPr>
          </w:p>
        </w:tc>
        <w:tc>
          <w:tcPr>
            <w:tcW w:w="2590" w:type="dxa"/>
            <w:gridSpan w:val="3"/>
            <w:vAlign w:val="center"/>
          </w:tcPr>
          <w:p w14:paraId="453FDDD5">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4BC5AE2D">
            <w:pPr>
              <w:spacing w:line="440" w:lineRule="exact"/>
              <w:jc w:val="center"/>
              <w:rPr>
                <w:rFonts w:hint="eastAsia" w:ascii="宋体" w:hAnsi="宋体" w:cs="宋体"/>
                <w:color w:val="000000"/>
                <w:szCs w:val="21"/>
              </w:rPr>
            </w:pPr>
          </w:p>
        </w:tc>
      </w:tr>
    </w:tbl>
    <w:p w14:paraId="3EBFEA50">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48E74858">
      <w:pPr>
        <w:spacing w:line="360" w:lineRule="auto"/>
        <w:rPr>
          <w:rFonts w:hint="eastAsia" w:ascii="宋体" w:hAnsi="宋体" w:cs="宋体"/>
          <w:szCs w:val="21"/>
        </w:rPr>
      </w:pPr>
    </w:p>
    <w:p w14:paraId="7418EFA2">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5EFCFF0C">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11F76C6F">
      <w:pPr>
        <w:snapToGrid w:val="0"/>
        <w:spacing w:before="50" w:after="50" w:line="480" w:lineRule="auto"/>
        <w:ind w:left="-21" w:leftChars="-72" w:right="-817" w:rightChars="-389" w:hanging="130" w:hangingChars="62"/>
        <w:rPr>
          <w:rFonts w:hint="eastAsia" w:hAnsi="宋体" w:cs="宋体"/>
          <w:b/>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hAnsi="宋体" w:cs="宋体"/>
          <w:b/>
          <w:bCs/>
          <w:szCs w:val="21"/>
        </w:rPr>
        <w:br w:type="page"/>
      </w:r>
      <w:r>
        <w:rPr>
          <w:rFonts w:hint="eastAsia" w:ascii="宋体" w:hAnsi="宋体" w:cs="宋体"/>
          <w:b/>
          <w:bCs/>
          <w:szCs w:val="21"/>
          <w:lang w:val="en-US" w:eastAsia="zh-CN"/>
        </w:rPr>
        <w:t>七</w:t>
      </w:r>
      <w:r>
        <w:rPr>
          <w:rFonts w:hint="eastAsia" w:ascii="宋体" w:hAnsi="宋体" w:cs="宋体"/>
          <w:b/>
          <w:bCs/>
          <w:szCs w:val="21"/>
        </w:rPr>
        <w:t>、类似项目业绩格式：</w:t>
      </w:r>
    </w:p>
    <w:p w14:paraId="00A7A64B">
      <w:pPr>
        <w:pStyle w:val="160"/>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31"/>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7C7A8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190CD9EA">
            <w:pPr>
              <w:pStyle w:val="160"/>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389807A4">
            <w:pPr>
              <w:pStyle w:val="160"/>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09F36FF9">
            <w:pPr>
              <w:pStyle w:val="160"/>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4B0853FD">
            <w:pPr>
              <w:pStyle w:val="160"/>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1298DAFC">
            <w:pPr>
              <w:pStyle w:val="160"/>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5F76934D">
            <w:pPr>
              <w:pStyle w:val="160"/>
              <w:spacing w:line="400" w:lineRule="exact"/>
              <w:ind w:firstLine="0"/>
              <w:jc w:val="center"/>
              <w:rPr>
                <w:rFonts w:hint="eastAsia" w:hAnsi="宋体" w:cs="宋体"/>
                <w:sz w:val="21"/>
                <w:szCs w:val="21"/>
              </w:rPr>
            </w:pPr>
            <w:r>
              <w:rPr>
                <w:rFonts w:hint="eastAsia" w:hAnsi="宋体" w:cs="宋体"/>
                <w:sz w:val="21"/>
                <w:szCs w:val="21"/>
              </w:rPr>
              <w:t>招标人</w:t>
            </w:r>
          </w:p>
          <w:p w14:paraId="712ED676">
            <w:pPr>
              <w:pStyle w:val="160"/>
              <w:spacing w:line="400" w:lineRule="exact"/>
              <w:ind w:firstLine="0"/>
              <w:jc w:val="center"/>
              <w:rPr>
                <w:rFonts w:hint="eastAsia" w:hAnsi="宋体" w:cs="宋体"/>
                <w:sz w:val="21"/>
                <w:szCs w:val="21"/>
              </w:rPr>
            </w:pPr>
            <w:r>
              <w:rPr>
                <w:rFonts w:hint="eastAsia" w:hAnsi="宋体" w:cs="宋体"/>
                <w:sz w:val="21"/>
                <w:szCs w:val="21"/>
              </w:rPr>
              <w:t>联系人/电话</w:t>
            </w:r>
          </w:p>
        </w:tc>
      </w:tr>
      <w:tr w14:paraId="7D983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0CC89C2">
            <w:pPr>
              <w:pStyle w:val="160"/>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42D3C6F2">
            <w:pPr>
              <w:pStyle w:val="160"/>
              <w:spacing w:line="400" w:lineRule="exact"/>
              <w:ind w:firstLine="480"/>
              <w:jc w:val="center"/>
              <w:rPr>
                <w:rFonts w:hint="eastAsia" w:hAnsi="宋体" w:cs="宋体"/>
                <w:sz w:val="21"/>
                <w:szCs w:val="21"/>
              </w:rPr>
            </w:pPr>
          </w:p>
        </w:tc>
        <w:tc>
          <w:tcPr>
            <w:tcW w:w="1861" w:type="dxa"/>
            <w:vAlign w:val="center"/>
          </w:tcPr>
          <w:p w14:paraId="5569566E">
            <w:pPr>
              <w:pStyle w:val="160"/>
              <w:spacing w:line="400" w:lineRule="exact"/>
              <w:ind w:firstLine="482"/>
              <w:jc w:val="center"/>
              <w:rPr>
                <w:rFonts w:hint="eastAsia" w:hAnsi="宋体" w:cs="宋体"/>
                <w:b/>
                <w:sz w:val="21"/>
                <w:szCs w:val="21"/>
              </w:rPr>
            </w:pPr>
          </w:p>
        </w:tc>
        <w:tc>
          <w:tcPr>
            <w:tcW w:w="1620" w:type="dxa"/>
            <w:vAlign w:val="center"/>
          </w:tcPr>
          <w:p w14:paraId="4485999E">
            <w:pPr>
              <w:pStyle w:val="160"/>
              <w:spacing w:line="400" w:lineRule="exact"/>
              <w:ind w:firstLine="482"/>
              <w:jc w:val="center"/>
              <w:rPr>
                <w:rFonts w:hint="eastAsia" w:hAnsi="宋体" w:cs="宋体"/>
                <w:b/>
                <w:sz w:val="21"/>
                <w:szCs w:val="21"/>
              </w:rPr>
            </w:pPr>
          </w:p>
        </w:tc>
        <w:tc>
          <w:tcPr>
            <w:tcW w:w="1312" w:type="dxa"/>
            <w:vAlign w:val="center"/>
          </w:tcPr>
          <w:p w14:paraId="0E9F213E">
            <w:pPr>
              <w:pStyle w:val="160"/>
              <w:spacing w:line="400" w:lineRule="exact"/>
              <w:ind w:firstLine="482"/>
              <w:jc w:val="center"/>
              <w:rPr>
                <w:rFonts w:hint="eastAsia" w:hAnsi="宋体" w:cs="宋体"/>
                <w:b/>
                <w:sz w:val="21"/>
                <w:szCs w:val="21"/>
              </w:rPr>
            </w:pPr>
          </w:p>
        </w:tc>
        <w:tc>
          <w:tcPr>
            <w:tcW w:w="1501" w:type="dxa"/>
            <w:vAlign w:val="center"/>
          </w:tcPr>
          <w:p w14:paraId="02C9520A">
            <w:pPr>
              <w:pStyle w:val="160"/>
              <w:spacing w:line="400" w:lineRule="exact"/>
              <w:ind w:firstLine="482"/>
              <w:jc w:val="center"/>
              <w:rPr>
                <w:rFonts w:hint="eastAsia" w:hAnsi="宋体" w:cs="宋体"/>
                <w:b/>
                <w:sz w:val="21"/>
                <w:szCs w:val="21"/>
              </w:rPr>
            </w:pPr>
          </w:p>
        </w:tc>
      </w:tr>
      <w:tr w14:paraId="74491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9040507">
            <w:pPr>
              <w:pStyle w:val="160"/>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18873480">
            <w:pPr>
              <w:pStyle w:val="160"/>
              <w:spacing w:line="400" w:lineRule="exact"/>
              <w:ind w:firstLine="480"/>
              <w:jc w:val="center"/>
              <w:rPr>
                <w:rFonts w:hint="eastAsia" w:hAnsi="宋体" w:cs="宋体"/>
                <w:sz w:val="21"/>
                <w:szCs w:val="21"/>
              </w:rPr>
            </w:pPr>
          </w:p>
        </w:tc>
        <w:tc>
          <w:tcPr>
            <w:tcW w:w="1861" w:type="dxa"/>
            <w:vAlign w:val="center"/>
          </w:tcPr>
          <w:p w14:paraId="3E7C6DA1">
            <w:pPr>
              <w:pStyle w:val="160"/>
              <w:spacing w:line="400" w:lineRule="exact"/>
              <w:ind w:firstLine="482"/>
              <w:jc w:val="center"/>
              <w:rPr>
                <w:rFonts w:hint="eastAsia" w:hAnsi="宋体" w:cs="宋体"/>
                <w:b/>
                <w:sz w:val="21"/>
                <w:szCs w:val="21"/>
              </w:rPr>
            </w:pPr>
          </w:p>
        </w:tc>
        <w:tc>
          <w:tcPr>
            <w:tcW w:w="1620" w:type="dxa"/>
            <w:vAlign w:val="center"/>
          </w:tcPr>
          <w:p w14:paraId="1F78C367">
            <w:pPr>
              <w:pStyle w:val="160"/>
              <w:spacing w:line="400" w:lineRule="exact"/>
              <w:ind w:firstLine="482"/>
              <w:jc w:val="center"/>
              <w:rPr>
                <w:rFonts w:hint="eastAsia" w:hAnsi="宋体" w:cs="宋体"/>
                <w:b/>
                <w:sz w:val="21"/>
                <w:szCs w:val="21"/>
              </w:rPr>
            </w:pPr>
          </w:p>
        </w:tc>
        <w:tc>
          <w:tcPr>
            <w:tcW w:w="1312" w:type="dxa"/>
            <w:vAlign w:val="center"/>
          </w:tcPr>
          <w:p w14:paraId="6194292B">
            <w:pPr>
              <w:pStyle w:val="160"/>
              <w:spacing w:line="400" w:lineRule="exact"/>
              <w:ind w:firstLine="482"/>
              <w:jc w:val="center"/>
              <w:rPr>
                <w:rFonts w:hint="eastAsia" w:hAnsi="宋体" w:cs="宋体"/>
                <w:b/>
                <w:sz w:val="21"/>
                <w:szCs w:val="21"/>
              </w:rPr>
            </w:pPr>
          </w:p>
        </w:tc>
        <w:tc>
          <w:tcPr>
            <w:tcW w:w="1501" w:type="dxa"/>
            <w:vAlign w:val="center"/>
          </w:tcPr>
          <w:p w14:paraId="6FAF2415">
            <w:pPr>
              <w:pStyle w:val="160"/>
              <w:spacing w:line="400" w:lineRule="exact"/>
              <w:ind w:firstLine="482"/>
              <w:jc w:val="center"/>
              <w:rPr>
                <w:rFonts w:hint="eastAsia" w:hAnsi="宋体" w:cs="宋体"/>
                <w:b/>
                <w:sz w:val="21"/>
                <w:szCs w:val="21"/>
              </w:rPr>
            </w:pPr>
          </w:p>
        </w:tc>
      </w:tr>
      <w:tr w14:paraId="644FA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9B4333C">
            <w:pPr>
              <w:pStyle w:val="160"/>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2A731912">
            <w:pPr>
              <w:pStyle w:val="160"/>
              <w:spacing w:line="400" w:lineRule="exact"/>
              <w:ind w:firstLine="480"/>
              <w:jc w:val="center"/>
              <w:rPr>
                <w:rFonts w:hint="eastAsia" w:hAnsi="宋体" w:cs="宋体"/>
                <w:sz w:val="21"/>
                <w:szCs w:val="21"/>
              </w:rPr>
            </w:pPr>
          </w:p>
        </w:tc>
        <w:tc>
          <w:tcPr>
            <w:tcW w:w="1861" w:type="dxa"/>
            <w:vAlign w:val="center"/>
          </w:tcPr>
          <w:p w14:paraId="60F24DA1">
            <w:pPr>
              <w:pStyle w:val="160"/>
              <w:spacing w:line="400" w:lineRule="exact"/>
              <w:ind w:firstLine="480"/>
              <w:jc w:val="center"/>
              <w:rPr>
                <w:rFonts w:hint="eastAsia" w:hAnsi="宋体" w:cs="宋体"/>
                <w:sz w:val="21"/>
                <w:szCs w:val="21"/>
              </w:rPr>
            </w:pPr>
          </w:p>
        </w:tc>
        <w:tc>
          <w:tcPr>
            <w:tcW w:w="1620" w:type="dxa"/>
            <w:vAlign w:val="center"/>
          </w:tcPr>
          <w:p w14:paraId="0DE32F4D">
            <w:pPr>
              <w:pStyle w:val="160"/>
              <w:spacing w:line="400" w:lineRule="exact"/>
              <w:ind w:firstLine="480"/>
              <w:jc w:val="center"/>
              <w:rPr>
                <w:rFonts w:hint="eastAsia" w:hAnsi="宋体" w:cs="宋体"/>
                <w:sz w:val="21"/>
                <w:szCs w:val="21"/>
              </w:rPr>
            </w:pPr>
          </w:p>
        </w:tc>
        <w:tc>
          <w:tcPr>
            <w:tcW w:w="1312" w:type="dxa"/>
            <w:vAlign w:val="center"/>
          </w:tcPr>
          <w:p w14:paraId="43DE049B">
            <w:pPr>
              <w:pStyle w:val="160"/>
              <w:spacing w:line="400" w:lineRule="exact"/>
              <w:ind w:firstLine="480"/>
              <w:jc w:val="center"/>
              <w:rPr>
                <w:rFonts w:hint="eastAsia" w:hAnsi="宋体" w:cs="宋体"/>
                <w:sz w:val="21"/>
                <w:szCs w:val="21"/>
              </w:rPr>
            </w:pPr>
          </w:p>
        </w:tc>
        <w:tc>
          <w:tcPr>
            <w:tcW w:w="1501" w:type="dxa"/>
            <w:vAlign w:val="center"/>
          </w:tcPr>
          <w:p w14:paraId="0C119A75">
            <w:pPr>
              <w:pStyle w:val="160"/>
              <w:spacing w:line="400" w:lineRule="exact"/>
              <w:ind w:firstLine="480"/>
              <w:jc w:val="center"/>
              <w:rPr>
                <w:rFonts w:hint="eastAsia" w:hAnsi="宋体" w:cs="宋体"/>
                <w:sz w:val="21"/>
                <w:szCs w:val="21"/>
              </w:rPr>
            </w:pPr>
          </w:p>
        </w:tc>
      </w:tr>
      <w:tr w14:paraId="7F5E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85ED9E8">
            <w:pPr>
              <w:pStyle w:val="160"/>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0B3724F6">
            <w:pPr>
              <w:pStyle w:val="160"/>
              <w:spacing w:line="400" w:lineRule="exact"/>
              <w:ind w:firstLine="480"/>
              <w:jc w:val="center"/>
              <w:rPr>
                <w:rFonts w:hint="eastAsia" w:hAnsi="宋体" w:cs="宋体"/>
                <w:sz w:val="21"/>
                <w:szCs w:val="21"/>
              </w:rPr>
            </w:pPr>
          </w:p>
        </w:tc>
        <w:tc>
          <w:tcPr>
            <w:tcW w:w="1861" w:type="dxa"/>
            <w:vAlign w:val="center"/>
          </w:tcPr>
          <w:p w14:paraId="248C6E87">
            <w:pPr>
              <w:pStyle w:val="160"/>
              <w:spacing w:line="400" w:lineRule="exact"/>
              <w:ind w:firstLine="480"/>
              <w:jc w:val="center"/>
              <w:rPr>
                <w:rFonts w:hint="eastAsia" w:hAnsi="宋体" w:cs="宋体"/>
                <w:sz w:val="21"/>
                <w:szCs w:val="21"/>
              </w:rPr>
            </w:pPr>
          </w:p>
        </w:tc>
        <w:tc>
          <w:tcPr>
            <w:tcW w:w="1620" w:type="dxa"/>
            <w:vAlign w:val="center"/>
          </w:tcPr>
          <w:p w14:paraId="2321FCCC">
            <w:pPr>
              <w:pStyle w:val="160"/>
              <w:spacing w:line="400" w:lineRule="exact"/>
              <w:ind w:firstLine="480"/>
              <w:jc w:val="center"/>
              <w:rPr>
                <w:rFonts w:hint="eastAsia" w:hAnsi="宋体" w:cs="宋体"/>
                <w:sz w:val="21"/>
                <w:szCs w:val="21"/>
              </w:rPr>
            </w:pPr>
          </w:p>
        </w:tc>
        <w:tc>
          <w:tcPr>
            <w:tcW w:w="1312" w:type="dxa"/>
            <w:vAlign w:val="center"/>
          </w:tcPr>
          <w:p w14:paraId="1831AC04">
            <w:pPr>
              <w:pStyle w:val="160"/>
              <w:spacing w:line="400" w:lineRule="exact"/>
              <w:ind w:firstLine="480"/>
              <w:jc w:val="center"/>
              <w:rPr>
                <w:rFonts w:hint="eastAsia" w:hAnsi="宋体" w:cs="宋体"/>
                <w:sz w:val="21"/>
                <w:szCs w:val="21"/>
              </w:rPr>
            </w:pPr>
          </w:p>
        </w:tc>
        <w:tc>
          <w:tcPr>
            <w:tcW w:w="1501" w:type="dxa"/>
            <w:vAlign w:val="center"/>
          </w:tcPr>
          <w:p w14:paraId="06AE01CF">
            <w:pPr>
              <w:pStyle w:val="160"/>
              <w:spacing w:line="400" w:lineRule="exact"/>
              <w:ind w:firstLine="480"/>
              <w:jc w:val="center"/>
              <w:rPr>
                <w:rFonts w:hint="eastAsia" w:hAnsi="宋体" w:cs="宋体"/>
                <w:sz w:val="21"/>
                <w:szCs w:val="21"/>
              </w:rPr>
            </w:pPr>
          </w:p>
        </w:tc>
      </w:tr>
      <w:tr w14:paraId="4E235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0CF050D">
            <w:pPr>
              <w:pStyle w:val="160"/>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786CD669">
            <w:pPr>
              <w:pStyle w:val="160"/>
              <w:spacing w:line="400" w:lineRule="exact"/>
              <w:ind w:firstLine="480"/>
              <w:jc w:val="center"/>
              <w:rPr>
                <w:rFonts w:hint="eastAsia" w:hAnsi="宋体" w:cs="宋体"/>
                <w:sz w:val="21"/>
                <w:szCs w:val="21"/>
              </w:rPr>
            </w:pPr>
          </w:p>
        </w:tc>
        <w:tc>
          <w:tcPr>
            <w:tcW w:w="1861" w:type="dxa"/>
            <w:vAlign w:val="center"/>
          </w:tcPr>
          <w:p w14:paraId="0611C1EE">
            <w:pPr>
              <w:pStyle w:val="160"/>
              <w:spacing w:line="400" w:lineRule="exact"/>
              <w:ind w:firstLine="480"/>
              <w:jc w:val="center"/>
              <w:rPr>
                <w:rFonts w:hint="eastAsia" w:hAnsi="宋体" w:cs="宋体"/>
                <w:sz w:val="21"/>
                <w:szCs w:val="21"/>
              </w:rPr>
            </w:pPr>
          </w:p>
        </w:tc>
        <w:tc>
          <w:tcPr>
            <w:tcW w:w="1620" w:type="dxa"/>
            <w:vAlign w:val="center"/>
          </w:tcPr>
          <w:p w14:paraId="7EEC65F9">
            <w:pPr>
              <w:pStyle w:val="160"/>
              <w:spacing w:line="400" w:lineRule="exact"/>
              <w:ind w:firstLine="480"/>
              <w:jc w:val="center"/>
              <w:rPr>
                <w:rFonts w:hint="eastAsia" w:hAnsi="宋体" w:cs="宋体"/>
                <w:sz w:val="21"/>
                <w:szCs w:val="21"/>
              </w:rPr>
            </w:pPr>
          </w:p>
        </w:tc>
        <w:tc>
          <w:tcPr>
            <w:tcW w:w="1312" w:type="dxa"/>
            <w:vAlign w:val="center"/>
          </w:tcPr>
          <w:p w14:paraId="3A3D2AA6">
            <w:pPr>
              <w:pStyle w:val="160"/>
              <w:spacing w:line="400" w:lineRule="exact"/>
              <w:ind w:firstLine="480"/>
              <w:jc w:val="center"/>
              <w:rPr>
                <w:rFonts w:hint="eastAsia" w:hAnsi="宋体" w:cs="宋体"/>
                <w:sz w:val="21"/>
                <w:szCs w:val="21"/>
              </w:rPr>
            </w:pPr>
          </w:p>
        </w:tc>
        <w:tc>
          <w:tcPr>
            <w:tcW w:w="1501" w:type="dxa"/>
            <w:vAlign w:val="center"/>
          </w:tcPr>
          <w:p w14:paraId="22748B72">
            <w:pPr>
              <w:pStyle w:val="160"/>
              <w:spacing w:line="400" w:lineRule="exact"/>
              <w:ind w:firstLine="480"/>
              <w:jc w:val="center"/>
              <w:rPr>
                <w:rFonts w:hint="eastAsia" w:hAnsi="宋体" w:cs="宋体"/>
                <w:sz w:val="21"/>
                <w:szCs w:val="21"/>
              </w:rPr>
            </w:pPr>
          </w:p>
        </w:tc>
      </w:tr>
      <w:tr w14:paraId="60380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3863611">
            <w:pPr>
              <w:pStyle w:val="160"/>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692D2009">
            <w:pPr>
              <w:pStyle w:val="160"/>
              <w:spacing w:line="400" w:lineRule="exact"/>
              <w:ind w:firstLine="480"/>
              <w:jc w:val="center"/>
              <w:rPr>
                <w:rFonts w:hint="eastAsia" w:hAnsi="宋体" w:cs="宋体"/>
                <w:sz w:val="21"/>
                <w:szCs w:val="21"/>
              </w:rPr>
            </w:pPr>
          </w:p>
        </w:tc>
        <w:tc>
          <w:tcPr>
            <w:tcW w:w="1861" w:type="dxa"/>
            <w:vAlign w:val="center"/>
          </w:tcPr>
          <w:p w14:paraId="5D6C3813">
            <w:pPr>
              <w:pStyle w:val="160"/>
              <w:spacing w:line="400" w:lineRule="exact"/>
              <w:ind w:firstLine="480"/>
              <w:jc w:val="center"/>
              <w:rPr>
                <w:rFonts w:hint="eastAsia" w:hAnsi="宋体" w:cs="宋体"/>
                <w:sz w:val="21"/>
                <w:szCs w:val="21"/>
              </w:rPr>
            </w:pPr>
          </w:p>
        </w:tc>
        <w:tc>
          <w:tcPr>
            <w:tcW w:w="1620" w:type="dxa"/>
            <w:vAlign w:val="center"/>
          </w:tcPr>
          <w:p w14:paraId="71A74A04">
            <w:pPr>
              <w:pStyle w:val="160"/>
              <w:spacing w:line="400" w:lineRule="exact"/>
              <w:ind w:firstLine="480"/>
              <w:jc w:val="center"/>
              <w:rPr>
                <w:rFonts w:hint="eastAsia" w:hAnsi="宋体" w:cs="宋体"/>
                <w:sz w:val="21"/>
                <w:szCs w:val="21"/>
              </w:rPr>
            </w:pPr>
          </w:p>
        </w:tc>
        <w:tc>
          <w:tcPr>
            <w:tcW w:w="1312" w:type="dxa"/>
            <w:vAlign w:val="center"/>
          </w:tcPr>
          <w:p w14:paraId="5FD484C0">
            <w:pPr>
              <w:pStyle w:val="160"/>
              <w:spacing w:line="400" w:lineRule="exact"/>
              <w:ind w:firstLine="480"/>
              <w:jc w:val="center"/>
              <w:rPr>
                <w:rFonts w:hint="eastAsia" w:hAnsi="宋体" w:cs="宋体"/>
                <w:sz w:val="21"/>
                <w:szCs w:val="21"/>
              </w:rPr>
            </w:pPr>
          </w:p>
        </w:tc>
        <w:tc>
          <w:tcPr>
            <w:tcW w:w="1501" w:type="dxa"/>
            <w:vAlign w:val="center"/>
          </w:tcPr>
          <w:p w14:paraId="340D69F7">
            <w:pPr>
              <w:pStyle w:val="160"/>
              <w:spacing w:line="400" w:lineRule="exact"/>
              <w:ind w:firstLine="480"/>
              <w:jc w:val="center"/>
              <w:rPr>
                <w:rFonts w:hint="eastAsia" w:hAnsi="宋体" w:cs="宋体"/>
                <w:sz w:val="21"/>
                <w:szCs w:val="21"/>
              </w:rPr>
            </w:pPr>
          </w:p>
        </w:tc>
      </w:tr>
      <w:tr w14:paraId="3AAA1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F1CBA65">
            <w:pPr>
              <w:pStyle w:val="160"/>
              <w:spacing w:line="400" w:lineRule="exact"/>
              <w:jc w:val="center"/>
              <w:rPr>
                <w:rFonts w:hint="eastAsia" w:hAnsi="宋体" w:cs="宋体"/>
                <w:sz w:val="21"/>
                <w:szCs w:val="21"/>
              </w:rPr>
            </w:pPr>
          </w:p>
        </w:tc>
        <w:tc>
          <w:tcPr>
            <w:tcW w:w="1419" w:type="dxa"/>
            <w:vAlign w:val="center"/>
          </w:tcPr>
          <w:p w14:paraId="62796E13">
            <w:pPr>
              <w:pStyle w:val="160"/>
              <w:spacing w:line="400" w:lineRule="exact"/>
              <w:jc w:val="center"/>
              <w:rPr>
                <w:rFonts w:hint="eastAsia" w:hAnsi="宋体" w:cs="宋体"/>
                <w:sz w:val="21"/>
                <w:szCs w:val="21"/>
              </w:rPr>
            </w:pPr>
          </w:p>
        </w:tc>
        <w:tc>
          <w:tcPr>
            <w:tcW w:w="1861" w:type="dxa"/>
            <w:vAlign w:val="center"/>
          </w:tcPr>
          <w:p w14:paraId="401DB67A">
            <w:pPr>
              <w:pStyle w:val="160"/>
              <w:spacing w:line="400" w:lineRule="exact"/>
              <w:ind w:firstLine="480"/>
              <w:jc w:val="center"/>
              <w:rPr>
                <w:rFonts w:hint="eastAsia" w:hAnsi="宋体" w:cs="宋体"/>
                <w:sz w:val="21"/>
                <w:szCs w:val="21"/>
              </w:rPr>
            </w:pPr>
          </w:p>
        </w:tc>
        <w:tc>
          <w:tcPr>
            <w:tcW w:w="1620" w:type="dxa"/>
            <w:vAlign w:val="center"/>
          </w:tcPr>
          <w:p w14:paraId="23A3F36F">
            <w:pPr>
              <w:pStyle w:val="160"/>
              <w:spacing w:line="400" w:lineRule="exact"/>
              <w:ind w:firstLine="480"/>
              <w:jc w:val="center"/>
              <w:rPr>
                <w:rFonts w:hint="eastAsia" w:hAnsi="宋体" w:cs="宋体"/>
                <w:sz w:val="21"/>
                <w:szCs w:val="21"/>
              </w:rPr>
            </w:pPr>
          </w:p>
        </w:tc>
        <w:tc>
          <w:tcPr>
            <w:tcW w:w="1312" w:type="dxa"/>
            <w:vAlign w:val="center"/>
          </w:tcPr>
          <w:p w14:paraId="3A697998">
            <w:pPr>
              <w:pStyle w:val="160"/>
              <w:spacing w:line="400" w:lineRule="exact"/>
              <w:ind w:firstLine="480"/>
              <w:jc w:val="center"/>
              <w:rPr>
                <w:rFonts w:hint="eastAsia" w:hAnsi="宋体" w:cs="宋体"/>
                <w:sz w:val="21"/>
                <w:szCs w:val="21"/>
              </w:rPr>
            </w:pPr>
          </w:p>
        </w:tc>
        <w:tc>
          <w:tcPr>
            <w:tcW w:w="1501" w:type="dxa"/>
            <w:vAlign w:val="center"/>
          </w:tcPr>
          <w:p w14:paraId="74B30C4D">
            <w:pPr>
              <w:pStyle w:val="160"/>
              <w:spacing w:line="400" w:lineRule="exact"/>
              <w:ind w:firstLine="480"/>
              <w:jc w:val="center"/>
              <w:rPr>
                <w:rFonts w:hint="eastAsia" w:hAnsi="宋体" w:cs="宋体"/>
                <w:sz w:val="21"/>
                <w:szCs w:val="21"/>
              </w:rPr>
            </w:pPr>
          </w:p>
        </w:tc>
      </w:tr>
      <w:tr w14:paraId="33AC2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598765EE">
            <w:pPr>
              <w:pStyle w:val="160"/>
              <w:spacing w:line="400" w:lineRule="exact"/>
              <w:jc w:val="center"/>
              <w:rPr>
                <w:rFonts w:hint="eastAsia" w:hAnsi="宋体" w:cs="宋体"/>
                <w:sz w:val="21"/>
                <w:szCs w:val="21"/>
              </w:rPr>
            </w:pPr>
          </w:p>
        </w:tc>
        <w:tc>
          <w:tcPr>
            <w:tcW w:w="1419" w:type="dxa"/>
            <w:vAlign w:val="center"/>
          </w:tcPr>
          <w:p w14:paraId="17E6C414">
            <w:pPr>
              <w:pStyle w:val="160"/>
              <w:spacing w:line="400" w:lineRule="exact"/>
              <w:jc w:val="center"/>
              <w:rPr>
                <w:rFonts w:hint="eastAsia" w:hAnsi="宋体" w:cs="宋体"/>
                <w:sz w:val="21"/>
                <w:szCs w:val="21"/>
              </w:rPr>
            </w:pPr>
          </w:p>
        </w:tc>
        <w:tc>
          <w:tcPr>
            <w:tcW w:w="1861" w:type="dxa"/>
            <w:vAlign w:val="center"/>
          </w:tcPr>
          <w:p w14:paraId="470AFFA8">
            <w:pPr>
              <w:pStyle w:val="160"/>
              <w:spacing w:line="400" w:lineRule="exact"/>
              <w:ind w:firstLine="480"/>
              <w:jc w:val="center"/>
              <w:rPr>
                <w:rFonts w:hint="eastAsia" w:hAnsi="宋体" w:cs="宋体"/>
                <w:sz w:val="21"/>
                <w:szCs w:val="21"/>
              </w:rPr>
            </w:pPr>
          </w:p>
        </w:tc>
        <w:tc>
          <w:tcPr>
            <w:tcW w:w="1620" w:type="dxa"/>
            <w:vAlign w:val="center"/>
          </w:tcPr>
          <w:p w14:paraId="391EA633">
            <w:pPr>
              <w:pStyle w:val="160"/>
              <w:spacing w:line="400" w:lineRule="exact"/>
              <w:ind w:firstLine="480"/>
              <w:jc w:val="center"/>
              <w:rPr>
                <w:rFonts w:hint="eastAsia" w:hAnsi="宋体" w:cs="宋体"/>
                <w:sz w:val="21"/>
                <w:szCs w:val="21"/>
              </w:rPr>
            </w:pPr>
          </w:p>
        </w:tc>
        <w:tc>
          <w:tcPr>
            <w:tcW w:w="1312" w:type="dxa"/>
            <w:vAlign w:val="center"/>
          </w:tcPr>
          <w:p w14:paraId="490EB07A">
            <w:pPr>
              <w:pStyle w:val="160"/>
              <w:spacing w:line="400" w:lineRule="exact"/>
              <w:ind w:firstLine="480"/>
              <w:jc w:val="center"/>
              <w:rPr>
                <w:rFonts w:hint="eastAsia" w:hAnsi="宋体" w:cs="宋体"/>
                <w:sz w:val="21"/>
                <w:szCs w:val="21"/>
              </w:rPr>
            </w:pPr>
          </w:p>
        </w:tc>
        <w:tc>
          <w:tcPr>
            <w:tcW w:w="1501" w:type="dxa"/>
            <w:vAlign w:val="center"/>
          </w:tcPr>
          <w:p w14:paraId="5621D1F0">
            <w:pPr>
              <w:pStyle w:val="160"/>
              <w:spacing w:line="400" w:lineRule="exact"/>
              <w:ind w:firstLine="480"/>
              <w:jc w:val="center"/>
              <w:rPr>
                <w:rFonts w:hint="eastAsia" w:hAnsi="宋体" w:cs="宋体"/>
                <w:sz w:val="21"/>
                <w:szCs w:val="21"/>
              </w:rPr>
            </w:pPr>
          </w:p>
        </w:tc>
      </w:tr>
    </w:tbl>
    <w:p w14:paraId="4CE4B674">
      <w:pPr>
        <w:ind w:firstLine="210" w:firstLineChars="100"/>
        <w:rPr>
          <w:rFonts w:hint="eastAsia" w:ascii="宋体" w:hAnsi="宋体" w:cs="宋体"/>
          <w:szCs w:val="21"/>
        </w:rPr>
      </w:pPr>
    </w:p>
    <w:p w14:paraId="6B66BE86">
      <w:pPr>
        <w:ind w:firstLine="210" w:firstLineChars="100"/>
        <w:rPr>
          <w:rFonts w:hint="eastAsia" w:ascii="宋体" w:hAnsi="宋体" w:cs="宋体"/>
          <w:szCs w:val="21"/>
        </w:rPr>
      </w:pPr>
      <w:r>
        <w:rPr>
          <w:rFonts w:hint="eastAsia" w:ascii="宋体" w:hAnsi="宋体" w:cs="宋体"/>
          <w:szCs w:val="21"/>
        </w:rPr>
        <w:t>注：提供相应业绩材料等评分细则所要求的相关材料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24C56827">
      <w:pPr>
        <w:jc w:val="left"/>
        <w:rPr>
          <w:rFonts w:hint="eastAsia" w:ascii="宋体" w:hAnsi="宋体" w:cs="宋体"/>
          <w:szCs w:val="21"/>
        </w:rPr>
      </w:pPr>
      <w:r>
        <w:rPr>
          <w:rFonts w:hint="eastAsia" w:ascii="宋体" w:hAnsi="宋体" w:cs="宋体"/>
          <w:szCs w:val="21"/>
        </w:rPr>
        <w:t xml:space="preserve">  </w:t>
      </w:r>
    </w:p>
    <w:p w14:paraId="139F62F9">
      <w:pPr>
        <w:jc w:val="left"/>
        <w:rPr>
          <w:rFonts w:hint="eastAsia" w:ascii="宋体" w:hAnsi="宋体" w:cs="宋体"/>
          <w:szCs w:val="21"/>
        </w:rPr>
      </w:pPr>
    </w:p>
    <w:p w14:paraId="23C2D5E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EEFD59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52EBF865">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pgNumType w:fmt="decimal"/>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CF85B7E">
      <w:pPr>
        <w:pStyle w:val="12"/>
        <w:ind w:firstLine="0" w:firstLineChars="0"/>
        <w:outlineLvl w:val="1"/>
        <w:rPr>
          <w:rFonts w:hint="eastAsia" w:ascii="宋体" w:hAnsi="宋体" w:cs="宋体"/>
          <w:b/>
          <w:bCs/>
          <w:szCs w:val="21"/>
        </w:rPr>
      </w:pPr>
      <w:r>
        <w:rPr>
          <w:rFonts w:hint="eastAsia" w:ascii="宋体" w:hAnsi="宋体" w:cs="宋体"/>
          <w:b/>
          <w:bCs/>
          <w:szCs w:val="21"/>
          <w:lang w:val="en-US" w:eastAsia="zh-CN"/>
        </w:rPr>
        <w:t>八</w:t>
      </w:r>
      <w:r>
        <w:rPr>
          <w:rFonts w:hint="eastAsia" w:ascii="宋体" w:hAnsi="宋体" w:cs="宋体"/>
          <w:b/>
          <w:bCs/>
          <w:szCs w:val="21"/>
        </w:rPr>
        <w:t>、商务条款响应表格式：</w:t>
      </w:r>
    </w:p>
    <w:p w14:paraId="21C6F344">
      <w:pPr>
        <w:pStyle w:val="12"/>
        <w:ind w:firstLine="210"/>
        <w:jc w:val="center"/>
        <w:rPr>
          <w:rFonts w:hint="eastAsia" w:ascii="宋体" w:hAnsi="宋体" w:cs="宋体"/>
          <w:szCs w:val="21"/>
        </w:rPr>
      </w:pPr>
      <w:r>
        <w:rPr>
          <w:rFonts w:hint="eastAsia" w:ascii="宋体" w:hAnsi="宋体" w:cs="宋体"/>
          <w:b/>
          <w:bCs/>
          <w:szCs w:val="21"/>
        </w:rPr>
        <w:t>商务条款响应表</w:t>
      </w:r>
    </w:p>
    <w:tbl>
      <w:tblPr>
        <w:tblStyle w:val="3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2FD7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32BA5C0E">
            <w:pPr>
              <w:jc w:val="center"/>
              <w:rPr>
                <w:rFonts w:hint="eastAsia" w:ascii="宋体" w:hAnsi="宋体" w:cs="宋体"/>
                <w:b/>
                <w:bCs/>
                <w:szCs w:val="21"/>
              </w:rPr>
            </w:pPr>
            <w:r>
              <w:rPr>
                <w:rFonts w:hint="eastAsia" w:ascii="宋体" w:hAnsi="宋体" w:cs="宋体"/>
                <w:b/>
                <w:bCs/>
                <w:szCs w:val="21"/>
              </w:rPr>
              <w:t>序号</w:t>
            </w:r>
          </w:p>
        </w:tc>
        <w:tc>
          <w:tcPr>
            <w:tcW w:w="6185" w:type="dxa"/>
            <w:shd w:val="clear" w:color="auto" w:fill="F3F3F3"/>
            <w:noWrap w:val="0"/>
            <w:vAlign w:val="center"/>
          </w:tcPr>
          <w:p w14:paraId="13CB0054">
            <w:pPr>
              <w:jc w:val="center"/>
              <w:rPr>
                <w:rFonts w:hint="eastAsia" w:ascii="宋体" w:hAnsi="宋体" w:cs="宋体"/>
                <w:b/>
                <w:bCs/>
                <w:szCs w:val="21"/>
              </w:rPr>
            </w:pPr>
            <w:r>
              <w:rPr>
                <w:rFonts w:hint="eastAsia" w:ascii="宋体" w:hAnsi="宋体" w:cs="宋体"/>
                <w:b/>
                <w:bCs/>
                <w:szCs w:val="21"/>
              </w:rPr>
              <w:t>一般商务条款要求</w:t>
            </w:r>
          </w:p>
        </w:tc>
        <w:tc>
          <w:tcPr>
            <w:tcW w:w="1299" w:type="dxa"/>
            <w:shd w:val="clear" w:color="auto" w:fill="F3F3F3"/>
            <w:noWrap w:val="0"/>
            <w:vAlign w:val="center"/>
          </w:tcPr>
          <w:p w14:paraId="7B0D8803">
            <w:pPr>
              <w:jc w:val="center"/>
              <w:rPr>
                <w:rFonts w:hint="eastAsia" w:ascii="宋体" w:hAnsi="宋体" w:cs="宋体"/>
                <w:b/>
                <w:bCs/>
                <w:szCs w:val="21"/>
              </w:rPr>
            </w:pPr>
            <w:r>
              <w:rPr>
                <w:rFonts w:hint="eastAsia" w:ascii="宋体" w:hAnsi="宋体" w:cs="宋体"/>
                <w:b/>
                <w:bCs/>
                <w:szCs w:val="21"/>
              </w:rPr>
              <w:t>是否响应</w:t>
            </w:r>
          </w:p>
        </w:tc>
        <w:tc>
          <w:tcPr>
            <w:tcW w:w="1646" w:type="dxa"/>
            <w:shd w:val="clear" w:color="auto" w:fill="F3F3F3"/>
            <w:noWrap w:val="0"/>
            <w:vAlign w:val="center"/>
          </w:tcPr>
          <w:p w14:paraId="384160B6">
            <w:pPr>
              <w:jc w:val="center"/>
              <w:rPr>
                <w:rFonts w:hint="eastAsia" w:ascii="宋体" w:hAnsi="宋体" w:cs="宋体"/>
                <w:b/>
                <w:bCs/>
                <w:szCs w:val="21"/>
              </w:rPr>
            </w:pPr>
            <w:r>
              <w:rPr>
                <w:rFonts w:hint="eastAsia" w:ascii="宋体" w:hAnsi="宋体" w:cs="宋体"/>
                <w:b/>
                <w:bCs/>
                <w:szCs w:val="21"/>
              </w:rPr>
              <w:t>偏离说明</w:t>
            </w:r>
          </w:p>
        </w:tc>
      </w:tr>
      <w:tr w14:paraId="4195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7995590">
            <w:pPr>
              <w:jc w:val="center"/>
              <w:rPr>
                <w:rFonts w:hint="eastAsia" w:ascii="宋体" w:hAnsi="宋体" w:cs="宋体"/>
                <w:szCs w:val="21"/>
              </w:rPr>
            </w:pPr>
            <w:r>
              <w:rPr>
                <w:rFonts w:hint="eastAsia" w:ascii="宋体" w:hAnsi="宋体" w:cs="宋体"/>
                <w:szCs w:val="21"/>
              </w:rPr>
              <w:t>1</w:t>
            </w:r>
          </w:p>
        </w:tc>
        <w:tc>
          <w:tcPr>
            <w:tcW w:w="6185" w:type="dxa"/>
            <w:noWrap w:val="0"/>
            <w:vAlign w:val="center"/>
          </w:tcPr>
          <w:p w14:paraId="12E23D64">
            <w:pPr>
              <w:rPr>
                <w:rFonts w:hint="eastAsia" w:ascii="宋体" w:hAnsi="宋体" w:cs="宋体"/>
                <w:szCs w:val="21"/>
              </w:rPr>
            </w:pPr>
            <w:r>
              <w:rPr>
                <w:rFonts w:hint="eastAsia" w:ascii="宋体" w:hAnsi="宋体" w:cs="宋体"/>
                <w:szCs w:val="21"/>
              </w:rPr>
              <w:t>完全理解并接受合同条款要求</w:t>
            </w:r>
          </w:p>
        </w:tc>
        <w:tc>
          <w:tcPr>
            <w:tcW w:w="1299" w:type="dxa"/>
            <w:noWrap w:val="0"/>
            <w:vAlign w:val="center"/>
          </w:tcPr>
          <w:p w14:paraId="533AE117">
            <w:pPr>
              <w:pStyle w:val="112"/>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457E2DE3">
            <w:pPr>
              <w:jc w:val="center"/>
              <w:rPr>
                <w:rFonts w:hint="eastAsia" w:ascii="宋体" w:hAnsi="宋体" w:cs="宋体"/>
                <w:szCs w:val="21"/>
              </w:rPr>
            </w:pPr>
          </w:p>
        </w:tc>
      </w:tr>
      <w:tr w14:paraId="76FF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1F918A7">
            <w:pPr>
              <w:jc w:val="center"/>
              <w:rPr>
                <w:rFonts w:hint="eastAsia" w:ascii="宋体" w:hAnsi="宋体" w:cs="宋体"/>
                <w:szCs w:val="21"/>
              </w:rPr>
            </w:pPr>
            <w:r>
              <w:rPr>
                <w:rFonts w:hint="eastAsia" w:ascii="宋体" w:hAnsi="宋体" w:cs="宋体"/>
                <w:szCs w:val="21"/>
              </w:rPr>
              <w:t>2</w:t>
            </w:r>
          </w:p>
        </w:tc>
        <w:tc>
          <w:tcPr>
            <w:tcW w:w="6185" w:type="dxa"/>
            <w:noWrap w:val="0"/>
            <w:vAlign w:val="center"/>
          </w:tcPr>
          <w:p w14:paraId="49A6BBA0">
            <w:pPr>
              <w:rPr>
                <w:rFonts w:hint="eastAsia" w:ascii="宋体" w:hAnsi="宋体" w:cs="宋体"/>
                <w:szCs w:val="21"/>
              </w:rPr>
            </w:pPr>
            <w:r>
              <w:rPr>
                <w:rFonts w:hint="eastAsia" w:ascii="宋体" w:hAnsi="宋体" w:cs="宋体"/>
                <w:szCs w:val="21"/>
              </w:rPr>
              <w:t>完全理解并接受对合格投标人、合格的货物、工程和服务要求</w:t>
            </w:r>
          </w:p>
        </w:tc>
        <w:tc>
          <w:tcPr>
            <w:tcW w:w="1299" w:type="dxa"/>
            <w:noWrap w:val="0"/>
            <w:vAlign w:val="center"/>
          </w:tcPr>
          <w:p w14:paraId="505499F7">
            <w:pPr>
              <w:pStyle w:val="112"/>
              <w:keepNext w:val="0"/>
              <w:adjustRightInd/>
              <w:spacing w:before="0" w:after="0" w:line="240" w:lineRule="auto"/>
              <w:textAlignment w:val="auto"/>
              <w:rPr>
                <w:rFonts w:hint="eastAsia" w:ascii="宋体" w:hAnsi="宋体" w:cs="宋体"/>
                <w:snapToGrid/>
                <w:spacing w:val="0"/>
                <w:kern w:val="2"/>
                <w:sz w:val="21"/>
                <w:szCs w:val="21"/>
              </w:rPr>
            </w:pPr>
          </w:p>
        </w:tc>
        <w:tc>
          <w:tcPr>
            <w:tcW w:w="1646" w:type="dxa"/>
            <w:noWrap w:val="0"/>
            <w:vAlign w:val="center"/>
          </w:tcPr>
          <w:p w14:paraId="33C800F7">
            <w:pPr>
              <w:jc w:val="center"/>
              <w:rPr>
                <w:rFonts w:hint="eastAsia" w:ascii="宋体" w:hAnsi="宋体" w:cs="宋体"/>
                <w:szCs w:val="21"/>
              </w:rPr>
            </w:pPr>
          </w:p>
        </w:tc>
      </w:tr>
      <w:tr w14:paraId="4611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52EAA71">
            <w:pPr>
              <w:jc w:val="center"/>
              <w:rPr>
                <w:rFonts w:hint="eastAsia" w:ascii="宋体" w:hAnsi="宋体" w:cs="宋体"/>
                <w:szCs w:val="21"/>
              </w:rPr>
            </w:pPr>
            <w:r>
              <w:rPr>
                <w:rFonts w:hint="eastAsia" w:ascii="宋体" w:hAnsi="宋体" w:cs="宋体"/>
                <w:szCs w:val="21"/>
              </w:rPr>
              <w:t>3</w:t>
            </w:r>
          </w:p>
        </w:tc>
        <w:tc>
          <w:tcPr>
            <w:tcW w:w="6185" w:type="dxa"/>
            <w:noWrap w:val="0"/>
            <w:vAlign w:val="center"/>
          </w:tcPr>
          <w:p w14:paraId="60389905">
            <w:pPr>
              <w:rPr>
                <w:rFonts w:hint="eastAsia" w:ascii="宋体" w:hAnsi="宋体" w:cs="宋体"/>
                <w:szCs w:val="21"/>
              </w:rPr>
            </w:pPr>
            <w:r>
              <w:rPr>
                <w:rFonts w:hint="eastAsia" w:ascii="宋体" w:hAnsi="宋体" w:cs="宋体"/>
                <w:szCs w:val="21"/>
              </w:rPr>
              <w:t>完全理解并接受对投标人的各项须知、规约要求和责任义务</w:t>
            </w:r>
          </w:p>
        </w:tc>
        <w:tc>
          <w:tcPr>
            <w:tcW w:w="1299" w:type="dxa"/>
            <w:noWrap w:val="0"/>
            <w:vAlign w:val="center"/>
          </w:tcPr>
          <w:p w14:paraId="112E2CAD">
            <w:pPr>
              <w:jc w:val="center"/>
              <w:rPr>
                <w:rFonts w:hint="eastAsia" w:ascii="宋体" w:hAnsi="宋体" w:cs="宋体"/>
                <w:szCs w:val="21"/>
              </w:rPr>
            </w:pPr>
          </w:p>
        </w:tc>
        <w:tc>
          <w:tcPr>
            <w:tcW w:w="1646" w:type="dxa"/>
            <w:noWrap w:val="0"/>
            <w:vAlign w:val="center"/>
          </w:tcPr>
          <w:p w14:paraId="523BEAE0">
            <w:pPr>
              <w:ind w:right="-35"/>
              <w:jc w:val="center"/>
              <w:rPr>
                <w:rFonts w:hint="eastAsia" w:ascii="宋体" w:hAnsi="宋体" w:cs="宋体"/>
                <w:szCs w:val="21"/>
              </w:rPr>
            </w:pPr>
          </w:p>
        </w:tc>
      </w:tr>
      <w:tr w14:paraId="0095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CFD8240">
            <w:pPr>
              <w:jc w:val="center"/>
              <w:rPr>
                <w:rFonts w:hint="eastAsia" w:ascii="宋体" w:hAnsi="宋体" w:cs="宋体"/>
                <w:szCs w:val="21"/>
              </w:rPr>
            </w:pPr>
            <w:r>
              <w:rPr>
                <w:rFonts w:hint="eastAsia" w:ascii="宋体" w:hAnsi="宋体" w:cs="宋体"/>
                <w:szCs w:val="21"/>
              </w:rPr>
              <w:t>4</w:t>
            </w:r>
          </w:p>
        </w:tc>
        <w:tc>
          <w:tcPr>
            <w:tcW w:w="6185" w:type="dxa"/>
            <w:noWrap w:val="0"/>
            <w:vAlign w:val="center"/>
          </w:tcPr>
          <w:p w14:paraId="35162A86">
            <w:pPr>
              <w:rPr>
                <w:rFonts w:hint="eastAsia" w:ascii="宋体" w:hAnsi="宋体" w:cs="宋体"/>
                <w:iCs/>
                <w:szCs w:val="21"/>
              </w:rPr>
            </w:pPr>
            <w:r>
              <w:rPr>
                <w:rFonts w:hint="eastAsia" w:ascii="宋体" w:hAnsi="宋体" w:cs="宋体"/>
                <w:szCs w:val="21"/>
              </w:rPr>
              <w:t>投标有效期：投标有效期为自递交投标响应文件起至确定正式中标人止不少于</w:t>
            </w:r>
            <w:r>
              <w:rPr>
                <w:rFonts w:hint="eastAsia" w:ascii="宋体" w:hAnsi="宋体" w:cs="宋体"/>
                <w:szCs w:val="21"/>
                <w:u w:val="single"/>
              </w:rPr>
              <w:t xml:space="preserve"> 90 </w:t>
            </w:r>
            <w:r>
              <w:rPr>
                <w:rFonts w:hint="eastAsia" w:ascii="宋体" w:hAnsi="宋体" w:cs="宋体"/>
                <w:szCs w:val="21"/>
              </w:rPr>
              <w:t>天，有效期将延至本项目《政府采购合同》执行期满日为止。</w:t>
            </w:r>
          </w:p>
        </w:tc>
        <w:tc>
          <w:tcPr>
            <w:tcW w:w="1299" w:type="dxa"/>
            <w:noWrap w:val="0"/>
            <w:vAlign w:val="center"/>
          </w:tcPr>
          <w:p w14:paraId="45D9689D">
            <w:pPr>
              <w:jc w:val="center"/>
              <w:rPr>
                <w:rFonts w:hint="eastAsia" w:ascii="宋体" w:hAnsi="宋体" w:cs="宋体"/>
                <w:szCs w:val="21"/>
              </w:rPr>
            </w:pPr>
          </w:p>
        </w:tc>
        <w:tc>
          <w:tcPr>
            <w:tcW w:w="1646" w:type="dxa"/>
            <w:noWrap w:val="0"/>
            <w:vAlign w:val="center"/>
          </w:tcPr>
          <w:p w14:paraId="02C989C5">
            <w:pPr>
              <w:ind w:right="-35"/>
              <w:jc w:val="center"/>
              <w:rPr>
                <w:rFonts w:hint="eastAsia" w:ascii="宋体" w:hAnsi="宋体" w:cs="宋体"/>
                <w:szCs w:val="21"/>
              </w:rPr>
            </w:pPr>
          </w:p>
        </w:tc>
      </w:tr>
      <w:tr w14:paraId="420A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14DB9AD">
            <w:pPr>
              <w:jc w:val="center"/>
              <w:rPr>
                <w:rFonts w:hint="eastAsia" w:ascii="宋体" w:hAnsi="宋体" w:cs="宋体"/>
                <w:szCs w:val="21"/>
              </w:rPr>
            </w:pPr>
            <w:r>
              <w:rPr>
                <w:rFonts w:hint="eastAsia" w:ascii="宋体" w:hAnsi="宋体" w:cs="宋体"/>
                <w:szCs w:val="21"/>
              </w:rPr>
              <w:t>5</w:t>
            </w:r>
          </w:p>
        </w:tc>
        <w:tc>
          <w:tcPr>
            <w:tcW w:w="6185" w:type="dxa"/>
            <w:noWrap w:val="0"/>
            <w:vAlign w:val="center"/>
          </w:tcPr>
          <w:p w14:paraId="484D4E05">
            <w:pPr>
              <w:rPr>
                <w:rFonts w:hint="eastAsia" w:ascii="宋体" w:hAnsi="宋体" w:cs="宋体"/>
                <w:szCs w:val="21"/>
              </w:rPr>
            </w:pPr>
            <w:r>
              <w:rPr>
                <w:rFonts w:hint="eastAsia" w:ascii="宋体" w:hAnsi="宋体" w:cs="宋体"/>
                <w:szCs w:val="21"/>
              </w:rPr>
              <w:t>报价内容均涵盖报价要求之一切费用和伴随服务。</w:t>
            </w:r>
          </w:p>
        </w:tc>
        <w:tc>
          <w:tcPr>
            <w:tcW w:w="1299" w:type="dxa"/>
            <w:noWrap w:val="0"/>
            <w:vAlign w:val="center"/>
          </w:tcPr>
          <w:p w14:paraId="6313124B">
            <w:pPr>
              <w:jc w:val="center"/>
              <w:rPr>
                <w:rFonts w:hint="eastAsia" w:ascii="宋体" w:hAnsi="宋体" w:cs="宋体"/>
                <w:szCs w:val="21"/>
              </w:rPr>
            </w:pPr>
          </w:p>
        </w:tc>
        <w:tc>
          <w:tcPr>
            <w:tcW w:w="1646" w:type="dxa"/>
            <w:noWrap w:val="0"/>
            <w:vAlign w:val="center"/>
          </w:tcPr>
          <w:p w14:paraId="0AD13F93">
            <w:pPr>
              <w:ind w:right="-35"/>
              <w:jc w:val="center"/>
              <w:rPr>
                <w:rFonts w:hint="eastAsia" w:ascii="宋体" w:hAnsi="宋体" w:cs="宋体"/>
                <w:szCs w:val="21"/>
              </w:rPr>
            </w:pPr>
          </w:p>
        </w:tc>
      </w:tr>
      <w:tr w14:paraId="5AC1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64CD4DE1">
            <w:pPr>
              <w:jc w:val="center"/>
              <w:rPr>
                <w:rFonts w:hint="eastAsia" w:ascii="宋体" w:hAnsi="宋体" w:cs="宋体"/>
                <w:szCs w:val="21"/>
              </w:rPr>
            </w:pPr>
            <w:r>
              <w:rPr>
                <w:rFonts w:hint="eastAsia" w:ascii="宋体" w:hAnsi="宋体" w:cs="宋体"/>
                <w:szCs w:val="21"/>
              </w:rPr>
              <w:t>6</w:t>
            </w:r>
          </w:p>
        </w:tc>
        <w:tc>
          <w:tcPr>
            <w:tcW w:w="6185" w:type="dxa"/>
            <w:noWrap w:val="0"/>
            <w:vAlign w:val="center"/>
          </w:tcPr>
          <w:p w14:paraId="46354E7F">
            <w:pPr>
              <w:rPr>
                <w:rFonts w:hint="default" w:ascii="宋体" w:hAnsi="宋体" w:eastAsia="宋体" w:cs="宋体"/>
                <w:szCs w:val="21"/>
                <w:lang w:val="en-US" w:eastAsia="zh-CN"/>
              </w:rPr>
            </w:pPr>
            <w:r>
              <w:rPr>
                <w:rFonts w:hint="eastAsia" w:ascii="宋体" w:hAnsi="宋体" w:cs="宋体"/>
                <w:color w:val="auto"/>
                <w:szCs w:val="21"/>
              </w:rPr>
              <w:t>项目服务期要求：</w:t>
            </w:r>
            <w:r>
              <w:rPr>
                <w:rFonts w:hint="eastAsia" w:ascii="宋体" w:hAnsi="宋体" w:cs="宋体"/>
                <w:color w:val="auto"/>
                <w:szCs w:val="21"/>
                <w:lang w:val="en-US" w:eastAsia="zh-CN"/>
              </w:rPr>
              <w:t xml:space="preserve">     。</w:t>
            </w:r>
          </w:p>
        </w:tc>
        <w:tc>
          <w:tcPr>
            <w:tcW w:w="1299" w:type="dxa"/>
            <w:noWrap w:val="0"/>
            <w:vAlign w:val="center"/>
          </w:tcPr>
          <w:p w14:paraId="2F12D0A2">
            <w:pPr>
              <w:jc w:val="center"/>
              <w:rPr>
                <w:rFonts w:hint="eastAsia" w:ascii="宋体" w:hAnsi="宋体" w:cs="宋体"/>
                <w:szCs w:val="21"/>
              </w:rPr>
            </w:pPr>
          </w:p>
        </w:tc>
        <w:tc>
          <w:tcPr>
            <w:tcW w:w="1646" w:type="dxa"/>
            <w:noWrap w:val="0"/>
            <w:vAlign w:val="center"/>
          </w:tcPr>
          <w:p w14:paraId="2060BBA3">
            <w:pPr>
              <w:jc w:val="center"/>
              <w:rPr>
                <w:rFonts w:hint="eastAsia" w:ascii="宋体" w:hAnsi="宋体" w:cs="宋体"/>
                <w:szCs w:val="21"/>
              </w:rPr>
            </w:pPr>
          </w:p>
        </w:tc>
      </w:tr>
      <w:tr w14:paraId="13AF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3D619DE">
            <w:pPr>
              <w:jc w:val="center"/>
              <w:rPr>
                <w:rFonts w:hint="eastAsia" w:ascii="宋体" w:hAnsi="宋体" w:cs="宋体"/>
                <w:szCs w:val="21"/>
              </w:rPr>
            </w:pPr>
            <w:r>
              <w:rPr>
                <w:rFonts w:hint="eastAsia" w:ascii="宋体" w:hAnsi="宋体" w:cs="宋体"/>
                <w:szCs w:val="21"/>
              </w:rPr>
              <w:t>7</w:t>
            </w:r>
          </w:p>
        </w:tc>
        <w:tc>
          <w:tcPr>
            <w:tcW w:w="6185" w:type="dxa"/>
            <w:noWrap w:val="0"/>
            <w:vAlign w:val="center"/>
          </w:tcPr>
          <w:p w14:paraId="07D369C1">
            <w:pPr>
              <w:rPr>
                <w:rFonts w:hint="eastAsia" w:ascii="宋体" w:hAnsi="宋体" w:cs="宋体"/>
                <w:szCs w:val="21"/>
              </w:rPr>
            </w:pPr>
            <w:r>
              <w:rPr>
                <w:rFonts w:hint="eastAsia" w:ascii="宋体" w:hAnsi="宋体" w:cs="宋体"/>
                <w:szCs w:val="21"/>
                <w:lang w:val="en-GB"/>
              </w:rPr>
              <w:t>同意接受合同范本所列述的各项条款。</w:t>
            </w:r>
          </w:p>
        </w:tc>
        <w:tc>
          <w:tcPr>
            <w:tcW w:w="1299" w:type="dxa"/>
            <w:noWrap w:val="0"/>
            <w:vAlign w:val="center"/>
          </w:tcPr>
          <w:p w14:paraId="6F731428">
            <w:pPr>
              <w:jc w:val="center"/>
              <w:rPr>
                <w:rFonts w:hint="eastAsia" w:ascii="宋体" w:hAnsi="宋体" w:cs="宋体"/>
                <w:szCs w:val="21"/>
              </w:rPr>
            </w:pPr>
          </w:p>
        </w:tc>
        <w:tc>
          <w:tcPr>
            <w:tcW w:w="1646" w:type="dxa"/>
            <w:noWrap w:val="0"/>
            <w:vAlign w:val="center"/>
          </w:tcPr>
          <w:p w14:paraId="58AC9640">
            <w:pPr>
              <w:jc w:val="center"/>
              <w:rPr>
                <w:rFonts w:hint="eastAsia" w:ascii="宋体" w:hAnsi="宋体" w:cs="宋体"/>
                <w:szCs w:val="21"/>
              </w:rPr>
            </w:pPr>
          </w:p>
        </w:tc>
      </w:tr>
      <w:tr w14:paraId="2A9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9FC59E0">
            <w:pPr>
              <w:jc w:val="center"/>
              <w:rPr>
                <w:rFonts w:hint="eastAsia" w:ascii="宋体" w:hAnsi="宋体" w:cs="宋体"/>
                <w:szCs w:val="21"/>
              </w:rPr>
            </w:pPr>
            <w:r>
              <w:rPr>
                <w:rFonts w:hint="eastAsia" w:ascii="宋体" w:hAnsi="宋体" w:cs="宋体"/>
                <w:szCs w:val="21"/>
              </w:rPr>
              <w:t>8</w:t>
            </w:r>
          </w:p>
        </w:tc>
        <w:tc>
          <w:tcPr>
            <w:tcW w:w="6185" w:type="dxa"/>
            <w:noWrap w:val="0"/>
            <w:vAlign w:val="center"/>
          </w:tcPr>
          <w:p w14:paraId="6A14DA26">
            <w:pPr>
              <w:ind w:left="-4" w:leftChars="-2"/>
              <w:rPr>
                <w:rFonts w:hint="eastAsia" w:ascii="宋体" w:hAnsi="宋体" w:cs="宋体"/>
                <w:szCs w:val="21"/>
                <w:lang w:val="zh-CN"/>
              </w:rPr>
            </w:pPr>
            <w:r>
              <w:rPr>
                <w:rFonts w:hint="eastAsia" w:ascii="宋体" w:hAnsi="宋体" w:cs="宋体"/>
                <w:szCs w:val="21"/>
              </w:rPr>
              <w:t>同意按本项目要求缴付相关款项。</w:t>
            </w:r>
          </w:p>
        </w:tc>
        <w:tc>
          <w:tcPr>
            <w:tcW w:w="1299" w:type="dxa"/>
            <w:noWrap w:val="0"/>
            <w:vAlign w:val="center"/>
          </w:tcPr>
          <w:p w14:paraId="084926B4">
            <w:pPr>
              <w:jc w:val="center"/>
              <w:rPr>
                <w:rFonts w:hint="eastAsia" w:ascii="宋体" w:hAnsi="宋体" w:cs="宋体"/>
                <w:szCs w:val="21"/>
                <w:lang w:val="en-GB"/>
              </w:rPr>
            </w:pPr>
          </w:p>
        </w:tc>
        <w:tc>
          <w:tcPr>
            <w:tcW w:w="1646" w:type="dxa"/>
            <w:noWrap w:val="0"/>
            <w:vAlign w:val="center"/>
          </w:tcPr>
          <w:p w14:paraId="78B5D57E">
            <w:pPr>
              <w:jc w:val="center"/>
              <w:rPr>
                <w:rFonts w:hint="eastAsia" w:ascii="宋体" w:hAnsi="宋体" w:cs="宋体"/>
                <w:szCs w:val="21"/>
              </w:rPr>
            </w:pPr>
          </w:p>
        </w:tc>
      </w:tr>
      <w:tr w14:paraId="75CD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8A45673">
            <w:pPr>
              <w:jc w:val="center"/>
              <w:rPr>
                <w:rFonts w:hint="eastAsia" w:ascii="宋体" w:hAnsi="宋体" w:cs="宋体"/>
                <w:szCs w:val="21"/>
              </w:rPr>
            </w:pPr>
            <w:r>
              <w:rPr>
                <w:rFonts w:hint="eastAsia" w:ascii="宋体" w:hAnsi="宋体" w:cs="宋体"/>
                <w:szCs w:val="21"/>
              </w:rPr>
              <w:t>9</w:t>
            </w:r>
          </w:p>
        </w:tc>
        <w:tc>
          <w:tcPr>
            <w:tcW w:w="6185" w:type="dxa"/>
            <w:noWrap w:val="0"/>
            <w:vAlign w:val="center"/>
          </w:tcPr>
          <w:p w14:paraId="70FC1F86">
            <w:pPr>
              <w:rPr>
                <w:rFonts w:hint="eastAsia" w:ascii="宋体" w:hAnsi="宋体" w:cs="宋体"/>
                <w:szCs w:val="21"/>
              </w:rPr>
            </w:pPr>
            <w:r>
              <w:rPr>
                <w:rFonts w:hint="eastAsia" w:ascii="宋体" w:hAnsi="宋体" w:cs="宋体"/>
                <w:szCs w:val="21"/>
                <w:lang w:val="en-GB"/>
              </w:rPr>
              <w:t>同意采购方以任何形式对我方投标响应文件内容的真实性和有效性进行审查、验证。</w:t>
            </w:r>
          </w:p>
        </w:tc>
        <w:tc>
          <w:tcPr>
            <w:tcW w:w="1299" w:type="dxa"/>
            <w:noWrap w:val="0"/>
            <w:vAlign w:val="center"/>
          </w:tcPr>
          <w:p w14:paraId="5DB110FE">
            <w:pPr>
              <w:jc w:val="center"/>
              <w:rPr>
                <w:rFonts w:hint="eastAsia" w:ascii="宋体" w:hAnsi="宋体" w:cs="宋体"/>
                <w:szCs w:val="21"/>
              </w:rPr>
            </w:pPr>
          </w:p>
        </w:tc>
        <w:tc>
          <w:tcPr>
            <w:tcW w:w="1646" w:type="dxa"/>
            <w:noWrap w:val="0"/>
            <w:vAlign w:val="center"/>
          </w:tcPr>
          <w:p w14:paraId="60D549EA">
            <w:pPr>
              <w:pStyle w:val="112"/>
              <w:keepNext w:val="0"/>
              <w:adjustRightInd/>
              <w:spacing w:before="0" w:after="0" w:line="240" w:lineRule="auto"/>
              <w:textAlignment w:val="auto"/>
              <w:rPr>
                <w:rFonts w:hint="eastAsia" w:ascii="宋体" w:hAnsi="宋体" w:cs="宋体"/>
                <w:snapToGrid/>
                <w:spacing w:val="0"/>
                <w:kern w:val="2"/>
                <w:sz w:val="21"/>
                <w:szCs w:val="21"/>
              </w:rPr>
            </w:pPr>
          </w:p>
        </w:tc>
      </w:tr>
      <w:tr w14:paraId="25B5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407437C">
            <w:pPr>
              <w:ind w:left="170"/>
              <w:rPr>
                <w:rFonts w:hint="eastAsia" w:ascii="宋体" w:hAnsi="宋体" w:cs="宋体"/>
                <w:szCs w:val="21"/>
              </w:rPr>
            </w:pPr>
            <w:r>
              <w:rPr>
                <w:rFonts w:hint="eastAsia" w:ascii="宋体" w:hAnsi="宋体" w:cs="宋体"/>
                <w:szCs w:val="21"/>
              </w:rPr>
              <w:t>10</w:t>
            </w:r>
          </w:p>
        </w:tc>
        <w:tc>
          <w:tcPr>
            <w:tcW w:w="6185" w:type="dxa"/>
            <w:noWrap w:val="0"/>
            <w:vAlign w:val="center"/>
          </w:tcPr>
          <w:p w14:paraId="5B97017C">
            <w:pPr>
              <w:rPr>
                <w:rFonts w:hint="eastAsia" w:ascii="宋体" w:hAnsi="宋体" w:cs="宋体"/>
                <w:szCs w:val="21"/>
              </w:rPr>
            </w:pPr>
            <w:r>
              <w:rPr>
                <w:rFonts w:hint="eastAsia" w:ascii="宋体" w:hAnsi="宋体" w:cs="宋体"/>
                <w:szCs w:val="21"/>
              </w:rPr>
              <w:t>其它商务条款偏离说明：无</w:t>
            </w:r>
          </w:p>
        </w:tc>
        <w:tc>
          <w:tcPr>
            <w:tcW w:w="1299" w:type="dxa"/>
            <w:noWrap w:val="0"/>
            <w:vAlign w:val="top"/>
          </w:tcPr>
          <w:p w14:paraId="75608114">
            <w:pPr>
              <w:jc w:val="center"/>
              <w:rPr>
                <w:rFonts w:hint="eastAsia" w:ascii="宋体" w:hAnsi="宋体" w:cs="宋体"/>
                <w:szCs w:val="21"/>
              </w:rPr>
            </w:pPr>
          </w:p>
        </w:tc>
        <w:tc>
          <w:tcPr>
            <w:tcW w:w="1646" w:type="dxa"/>
            <w:noWrap w:val="0"/>
            <w:vAlign w:val="center"/>
          </w:tcPr>
          <w:p w14:paraId="6D1642FF">
            <w:pPr>
              <w:pStyle w:val="112"/>
              <w:keepNext w:val="0"/>
              <w:adjustRightInd/>
              <w:spacing w:before="0" w:after="0" w:line="240" w:lineRule="auto"/>
              <w:textAlignment w:val="auto"/>
              <w:rPr>
                <w:rFonts w:hint="eastAsia" w:ascii="宋体" w:hAnsi="宋体" w:cs="宋体"/>
                <w:snapToGrid/>
                <w:spacing w:val="0"/>
                <w:kern w:val="2"/>
                <w:sz w:val="21"/>
                <w:szCs w:val="21"/>
              </w:rPr>
            </w:pPr>
          </w:p>
        </w:tc>
      </w:tr>
    </w:tbl>
    <w:p w14:paraId="12D59F52">
      <w:pPr>
        <w:ind w:left="735" w:hanging="735" w:hangingChars="350"/>
        <w:rPr>
          <w:rFonts w:hint="eastAsia" w:ascii="宋体" w:hAnsi="宋体" w:cs="宋体"/>
          <w:szCs w:val="21"/>
          <w:lang w:val="en-GB"/>
        </w:rPr>
      </w:pPr>
      <w:r>
        <w:rPr>
          <w:rFonts w:hint="eastAsia" w:ascii="宋体" w:hAnsi="宋体" w:cs="宋体"/>
          <w:szCs w:val="21"/>
          <w:lang w:val="en-GB"/>
        </w:rPr>
        <w:t>注： 1.</w:t>
      </w:r>
      <w:r>
        <w:rPr>
          <w:rFonts w:hint="eastAsia" w:ascii="宋体" w:hAnsi="宋体" w:cs="宋体"/>
          <w:szCs w:val="21"/>
        </w:rPr>
        <w:t>对</w:t>
      </w:r>
      <w:r>
        <w:rPr>
          <w:rFonts w:hint="eastAsia" w:ascii="宋体" w:hAnsi="宋体" w:cs="宋体"/>
          <w:szCs w:val="21"/>
          <w:lang w:val="en-GB"/>
        </w:rPr>
        <w:t>于上述要求，如投标人完全响应，则请在“是否响应”栏内打“√”，对空白或打“×”视为偏离，请在“偏离说明”栏内扼要说明偏离情况。</w:t>
      </w:r>
    </w:p>
    <w:p w14:paraId="280001CC">
      <w:pPr>
        <w:ind w:firstLine="420"/>
        <w:rPr>
          <w:rFonts w:hint="eastAsia" w:ascii="宋体" w:hAnsi="宋体" w:cs="宋体"/>
          <w:szCs w:val="21"/>
          <w:lang w:val="en-GB"/>
        </w:rPr>
      </w:pPr>
      <w:r>
        <w:rPr>
          <w:rFonts w:hint="eastAsia" w:ascii="宋体" w:hAnsi="宋体" w:cs="宋体"/>
          <w:szCs w:val="21"/>
          <w:lang w:val="en-GB"/>
        </w:rPr>
        <w:t xml:space="preserve"> 2.本表内容不得擅自修改。</w:t>
      </w:r>
    </w:p>
    <w:p w14:paraId="48B14605">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0061585E">
      <w:pPr>
        <w:spacing w:line="36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7B34A8CF">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06E2F528">
      <w:pPr>
        <w:pStyle w:val="12"/>
        <w:ind w:firstLine="0" w:firstLineChars="0"/>
      </w:pPr>
    </w:p>
    <w:p w14:paraId="32F95594">
      <w:pPr>
        <w:outlineLvl w:val="1"/>
        <w:rPr>
          <w:rFonts w:hint="eastAsia" w:ascii="宋体" w:hAnsi="宋体" w:cs="宋体"/>
          <w:b/>
          <w:bCs/>
          <w:szCs w:val="21"/>
        </w:rPr>
      </w:pPr>
    </w:p>
    <w:p w14:paraId="17529A7F">
      <w:pPr>
        <w:outlineLvl w:val="1"/>
        <w:rPr>
          <w:rFonts w:hint="eastAsia" w:ascii="宋体" w:hAnsi="宋体" w:cs="宋体"/>
          <w:b/>
          <w:bCs/>
          <w:szCs w:val="21"/>
        </w:rPr>
      </w:pPr>
    </w:p>
    <w:p w14:paraId="336A7C1C">
      <w:pPr>
        <w:outlineLvl w:val="1"/>
        <w:rPr>
          <w:rFonts w:hint="eastAsia" w:ascii="宋体" w:hAnsi="宋体" w:cs="宋体"/>
          <w:b/>
          <w:bCs/>
          <w:szCs w:val="21"/>
        </w:rPr>
      </w:pPr>
    </w:p>
    <w:p w14:paraId="49053F13">
      <w:pPr>
        <w:outlineLvl w:val="1"/>
        <w:rPr>
          <w:rFonts w:hint="eastAsia" w:ascii="宋体" w:hAnsi="宋体" w:cs="宋体"/>
          <w:b/>
          <w:bCs/>
          <w:szCs w:val="21"/>
        </w:rPr>
      </w:pPr>
    </w:p>
    <w:p w14:paraId="297FF7C3">
      <w:pPr>
        <w:outlineLvl w:val="1"/>
        <w:rPr>
          <w:rFonts w:hint="eastAsia" w:ascii="宋体" w:hAnsi="宋体" w:cs="宋体"/>
          <w:b/>
          <w:bCs/>
          <w:szCs w:val="21"/>
        </w:rPr>
      </w:pPr>
    </w:p>
    <w:p w14:paraId="6D3D24B8">
      <w:pPr>
        <w:outlineLvl w:val="1"/>
        <w:rPr>
          <w:rFonts w:hint="eastAsia" w:ascii="宋体" w:hAnsi="宋体" w:cs="宋体"/>
          <w:b/>
          <w:bCs/>
          <w:szCs w:val="21"/>
        </w:rPr>
      </w:pPr>
    </w:p>
    <w:p w14:paraId="4253E8F4">
      <w:pPr>
        <w:outlineLvl w:val="1"/>
        <w:rPr>
          <w:rFonts w:hint="eastAsia" w:ascii="宋体" w:hAnsi="宋体" w:cs="宋体"/>
          <w:b/>
          <w:bCs/>
          <w:szCs w:val="21"/>
        </w:rPr>
      </w:pPr>
    </w:p>
    <w:p w14:paraId="1F498542">
      <w:pPr>
        <w:outlineLvl w:val="1"/>
        <w:rPr>
          <w:rFonts w:hint="eastAsia" w:ascii="宋体" w:hAnsi="宋体" w:cs="宋体"/>
          <w:b/>
          <w:bCs/>
          <w:szCs w:val="21"/>
        </w:rPr>
      </w:pPr>
    </w:p>
    <w:p w14:paraId="31130F2C">
      <w:pPr>
        <w:outlineLvl w:val="1"/>
        <w:rPr>
          <w:rFonts w:hint="eastAsia" w:ascii="宋体" w:hAnsi="宋体" w:cs="宋体"/>
          <w:b/>
          <w:bCs/>
          <w:szCs w:val="21"/>
        </w:rPr>
      </w:pPr>
    </w:p>
    <w:p w14:paraId="038B70E8">
      <w:pPr>
        <w:outlineLvl w:val="1"/>
        <w:rPr>
          <w:rFonts w:hint="eastAsia" w:ascii="宋体" w:hAnsi="宋体" w:cs="宋体"/>
          <w:b/>
          <w:bCs/>
          <w:szCs w:val="21"/>
        </w:rPr>
      </w:pPr>
    </w:p>
    <w:p w14:paraId="315C5A2F">
      <w:pPr>
        <w:outlineLvl w:val="1"/>
        <w:rPr>
          <w:rFonts w:hint="eastAsia" w:ascii="宋体" w:hAnsi="宋体" w:cs="宋体"/>
          <w:b/>
          <w:bCs/>
          <w:szCs w:val="21"/>
        </w:rPr>
      </w:pPr>
    </w:p>
    <w:p w14:paraId="1300983A">
      <w:pPr>
        <w:outlineLvl w:val="1"/>
        <w:rPr>
          <w:rFonts w:hint="eastAsia" w:ascii="宋体" w:hAnsi="宋体" w:cs="宋体"/>
          <w:b/>
          <w:bCs/>
          <w:szCs w:val="21"/>
        </w:rPr>
      </w:pPr>
    </w:p>
    <w:p w14:paraId="1F418C56">
      <w:pPr>
        <w:outlineLvl w:val="1"/>
        <w:rPr>
          <w:rFonts w:hint="eastAsia" w:ascii="宋体" w:hAnsi="宋体" w:cs="宋体"/>
          <w:b/>
          <w:bCs/>
          <w:szCs w:val="21"/>
        </w:rPr>
      </w:pPr>
    </w:p>
    <w:p w14:paraId="328AD597">
      <w:pPr>
        <w:outlineLvl w:val="1"/>
        <w:rPr>
          <w:rFonts w:hint="eastAsia" w:ascii="宋体" w:hAnsi="宋体" w:cs="宋体"/>
          <w:b/>
          <w:bCs/>
          <w:szCs w:val="21"/>
        </w:rPr>
      </w:pPr>
    </w:p>
    <w:p w14:paraId="0A2A7A9F">
      <w:pPr>
        <w:outlineLvl w:val="1"/>
        <w:rPr>
          <w:rFonts w:hint="eastAsia" w:ascii="宋体" w:hAnsi="宋体" w:cs="宋体"/>
          <w:b/>
          <w:bCs/>
          <w:szCs w:val="21"/>
        </w:rPr>
      </w:pPr>
    </w:p>
    <w:p w14:paraId="6A828FE5">
      <w:pPr>
        <w:outlineLvl w:val="1"/>
        <w:rPr>
          <w:rFonts w:hint="eastAsia" w:ascii="宋体" w:hAnsi="宋体" w:cs="宋体"/>
          <w:b/>
          <w:bCs/>
          <w:szCs w:val="21"/>
        </w:rPr>
      </w:pPr>
    </w:p>
    <w:p w14:paraId="52122B17">
      <w:pPr>
        <w:outlineLvl w:val="1"/>
        <w:rPr>
          <w:rFonts w:hint="eastAsia" w:ascii="宋体" w:hAnsi="宋体" w:cs="宋体"/>
          <w:b/>
          <w:bCs/>
          <w:szCs w:val="21"/>
        </w:rPr>
      </w:pPr>
    </w:p>
    <w:p w14:paraId="1A93D141">
      <w:pPr>
        <w:outlineLvl w:val="1"/>
        <w:rPr>
          <w:rFonts w:hint="eastAsia" w:ascii="宋体" w:hAnsi="宋体" w:cs="宋体"/>
          <w:b/>
          <w:bCs/>
          <w:szCs w:val="21"/>
        </w:rPr>
      </w:pPr>
    </w:p>
    <w:p w14:paraId="22E83CBF">
      <w:pPr>
        <w:outlineLvl w:val="1"/>
        <w:rPr>
          <w:rFonts w:hint="eastAsia" w:ascii="宋体" w:hAnsi="宋体" w:cs="宋体"/>
          <w:b/>
          <w:bCs/>
          <w:szCs w:val="21"/>
        </w:rPr>
      </w:pPr>
    </w:p>
    <w:p w14:paraId="0ADCA8DB">
      <w:pPr>
        <w:outlineLvl w:val="1"/>
        <w:rPr>
          <w:rFonts w:hint="eastAsia" w:ascii="宋体" w:hAnsi="宋体" w:cs="宋体"/>
          <w:b/>
          <w:bCs/>
          <w:szCs w:val="21"/>
        </w:rPr>
      </w:pPr>
    </w:p>
    <w:p w14:paraId="3B46843F">
      <w:pPr>
        <w:outlineLvl w:val="1"/>
        <w:rPr>
          <w:rFonts w:hint="eastAsia" w:ascii="宋体" w:hAnsi="宋体" w:cs="宋体"/>
          <w:b/>
          <w:bCs/>
          <w:szCs w:val="21"/>
        </w:rPr>
      </w:pPr>
    </w:p>
    <w:p w14:paraId="52EF0CFE">
      <w:pPr>
        <w:outlineLvl w:val="1"/>
        <w:rPr>
          <w:rFonts w:hint="eastAsia" w:ascii="宋体" w:hAnsi="宋体" w:cs="宋体"/>
          <w:b/>
          <w:bCs/>
          <w:szCs w:val="21"/>
        </w:rPr>
      </w:pPr>
    </w:p>
    <w:p w14:paraId="232B061A">
      <w:pPr>
        <w:outlineLvl w:val="1"/>
        <w:rPr>
          <w:rFonts w:hint="eastAsia" w:ascii="宋体" w:hAnsi="宋体" w:cs="宋体"/>
          <w:b/>
          <w:bCs/>
          <w:szCs w:val="21"/>
        </w:rPr>
      </w:pPr>
    </w:p>
    <w:p w14:paraId="3F8B6746">
      <w:pPr>
        <w:outlineLvl w:val="1"/>
        <w:rPr>
          <w:rFonts w:hint="eastAsia" w:ascii="宋体" w:hAnsi="宋体" w:cs="宋体"/>
          <w:b/>
          <w:bCs/>
          <w:szCs w:val="21"/>
        </w:rPr>
      </w:pPr>
      <w:r>
        <w:rPr>
          <w:rFonts w:hint="eastAsia" w:ascii="宋体" w:hAnsi="宋体" w:cs="宋体"/>
          <w:b/>
          <w:bCs/>
          <w:szCs w:val="21"/>
          <w:lang w:val="en-US" w:eastAsia="zh-CN"/>
        </w:rPr>
        <w:t>九</w:t>
      </w:r>
      <w:r>
        <w:rPr>
          <w:rFonts w:hint="eastAsia" w:ascii="宋体" w:hAnsi="宋体" w:cs="宋体"/>
          <w:b/>
          <w:bCs/>
          <w:szCs w:val="21"/>
        </w:rPr>
        <w:t>、项目组成人员情况表格式：</w:t>
      </w:r>
    </w:p>
    <w:p w14:paraId="70D9DAF0">
      <w:pPr>
        <w:pStyle w:val="16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31"/>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305C4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C31D4E3">
            <w:pPr>
              <w:pStyle w:val="162"/>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7710B981">
            <w:pPr>
              <w:pStyle w:val="162"/>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0EF4DFF3">
            <w:pPr>
              <w:pStyle w:val="162"/>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A231AD9">
            <w:pPr>
              <w:pStyle w:val="162"/>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26258878">
            <w:pPr>
              <w:pStyle w:val="162"/>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63888C5F">
            <w:pPr>
              <w:pStyle w:val="162"/>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53E83BB9">
            <w:pPr>
              <w:pStyle w:val="162"/>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1A3D5EBF">
            <w:pPr>
              <w:pStyle w:val="162"/>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3836FAB2">
            <w:pPr>
              <w:pStyle w:val="162"/>
              <w:jc w:val="center"/>
              <w:rPr>
                <w:rFonts w:hint="eastAsia" w:ascii="宋体" w:hAnsi="宋体" w:cs="宋体"/>
                <w:sz w:val="21"/>
                <w:szCs w:val="21"/>
              </w:rPr>
            </w:pPr>
            <w:r>
              <w:rPr>
                <w:rFonts w:hint="eastAsia" w:ascii="宋体" w:hAnsi="宋体" w:cs="宋体"/>
                <w:sz w:val="21"/>
                <w:szCs w:val="21"/>
              </w:rPr>
              <w:t>备注</w:t>
            </w:r>
          </w:p>
        </w:tc>
      </w:tr>
      <w:tr w14:paraId="241FE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D72CF3B">
            <w:pPr>
              <w:pStyle w:val="162"/>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7E24AF87">
            <w:pPr>
              <w:pStyle w:val="162"/>
              <w:jc w:val="center"/>
              <w:rPr>
                <w:rFonts w:hint="eastAsia" w:ascii="宋体" w:hAnsi="宋体" w:eastAsia="宋体" w:cs="宋体"/>
                <w:sz w:val="21"/>
                <w:szCs w:val="21"/>
                <w:lang w:eastAsia="zh-CN"/>
              </w:rPr>
            </w:pPr>
            <w:r>
              <w:rPr>
                <w:rFonts w:hint="eastAsia" w:ascii="宋体" w:hAnsi="宋体" w:cs="宋体"/>
                <w:b/>
                <w:bCs/>
                <w:color w:val="000000"/>
                <w:kern w:val="0"/>
                <w:sz w:val="21"/>
                <w:szCs w:val="21"/>
                <w:lang w:bidi="ar"/>
              </w:rPr>
              <w:t>项目</w:t>
            </w:r>
            <w:r>
              <w:rPr>
                <w:rFonts w:hint="eastAsia" w:ascii="宋体" w:hAnsi="宋体" w:cs="宋体"/>
                <w:b/>
                <w:bCs/>
                <w:color w:val="000000"/>
                <w:kern w:val="0"/>
                <w:sz w:val="21"/>
                <w:szCs w:val="21"/>
                <w:lang w:val="en-US" w:eastAsia="zh-CN" w:bidi="ar"/>
              </w:rPr>
              <w:t>负责人</w:t>
            </w:r>
          </w:p>
        </w:tc>
        <w:tc>
          <w:tcPr>
            <w:tcW w:w="865" w:type="dxa"/>
            <w:tcBorders>
              <w:top w:val="single" w:color="auto" w:sz="4" w:space="0"/>
              <w:left w:val="single" w:color="auto" w:sz="4" w:space="0"/>
              <w:bottom w:val="single" w:color="auto" w:sz="4" w:space="0"/>
              <w:right w:val="single" w:color="auto" w:sz="4" w:space="0"/>
            </w:tcBorders>
            <w:vAlign w:val="center"/>
          </w:tcPr>
          <w:p w14:paraId="277DED42">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0BE2667">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E3F2D98">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B60F8E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124EA54">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77BDE1">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AFB7EF0">
            <w:pPr>
              <w:pStyle w:val="162"/>
              <w:jc w:val="center"/>
              <w:rPr>
                <w:rFonts w:hint="eastAsia" w:ascii="宋体" w:hAnsi="宋体" w:cs="宋体"/>
                <w:sz w:val="21"/>
                <w:szCs w:val="21"/>
              </w:rPr>
            </w:pPr>
          </w:p>
        </w:tc>
      </w:tr>
      <w:tr w14:paraId="2CF92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595D985">
            <w:pPr>
              <w:pStyle w:val="162"/>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4CA8654E">
            <w:pPr>
              <w:pStyle w:val="16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06C8B915">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FC17622">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FB199A4">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18FB33D">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8D1D28F">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7364CB">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5C055FA">
            <w:pPr>
              <w:pStyle w:val="162"/>
              <w:jc w:val="center"/>
              <w:rPr>
                <w:rFonts w:hint="eastAsia" w:ascii="宋体" w:hAnsi="宋体" w:cs="宋体"/>
                <w:sz w:val="21"/>
                <w:szCs w:val="21"/>
              </w:rPr>
            </w:pPr>
          </w:p>
        </w:tc>
      </w:tr>
      <w:tr w14:paraId="6AF37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6074FEE">
            <w:pPr>
              <w:pStyle w:val="162"/>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2799EF4D">
            <w:pPr>
              <w:pStyle w:val="16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6CCF7A3B">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8761343">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0C18BB4">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D5D26B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87BC2E0">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65A1E7">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71453A64">
            <w:pPr>
              <w:pStyle w:val="162"/>
              <w:jc w:val="center"/>
              <w:rPr>
                <w:rFonts w:hint="eastAsia" w:ascii="宋体" w:hAnsi="宋体" w:cs="宋体"/>
                <w:sz w:val="21"/>
                <w:szCs w:val="21"/>
              </w:rPr>
            </w:pPr>
          </w:p>
        </w:tc>
      </w:tr>
      <w:tr w14:paraId="12347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77570F4">
            <w:pPr>
              <w:pStyle w:val="162"/>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6FD15BFD">
            <w:pPr>
              <w:pStyle w:val="16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895B9BF">
            <w:pPr>
              <w:pStyle w:val="16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50E57D8">
            <w:pPr>
              <w:pStyle w:val="16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01B9E682">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97CEFE3">
            <w:pPr>
              <w:pStyle w:val="16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BCDF2AC">
            <w:pPr>
              <w:pStyle w:val="16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36E3C1">
            <w:pPr>
              <w:pStyle w:val="16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6776728">
            <w:pPr>
              <w:pStyle w:val="162"/>
              <w:jc w:val="center"/>
              <w:rPr>
                <w:rFonts w:hint="eastAsia" w:ascii="宋体" w:hAnsi="宋体" w:cs="宋体"/>
                <w:sz w:val="21"/>
                <w:szCs w:val="21"/>
              </w:rPr>
            </w:pPr>
          </w:p>
        </w:tc>
      </w:tr>
      <w:tr w14:paraId="40FDF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3861C78">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432D0749">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F7F411D">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532C4B4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6A78C4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EEE449A">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A00AB7A">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3EDE292">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F2F8A62">
            <w:pPr>
              <w:rPr>
                <w:rFonts w:hint="eastAsia" w:ascii="宋体" w:hAnsi="宋体" w:cs="宋体"/>
                <w:szCs w:val="21"/>
              </w:rPr>
            </w:pPr>
          </w:p>
        </w:tc>
      </w:tr>
      <w:tr w14:paraId="51005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4FF5FC97">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0798D0FA">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1CFC449">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039CEFC">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66864762">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3D9E5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249C904">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7883DA">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6892583">
            <w:pPr>
              <w:rPr>
                <w:rFonts w:hint="eastAsia" w:ascii="宋体" w:hAnsi="宋体" w:cs="宋体"/>
                <w:szCs w:val="21"/>
              </w:rPr>
            </w:pPr>
          </w:p>
        </w:tc>
      </w:tr>
      <w:tr w14:paraId="60F8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14409AF">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1C59A425">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712A5AFF">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00EEEF5">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615A8745">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F2C1193">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926D77B">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CB6138A">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75F1B504">
            <w:pPr>
              <w:rPr>
                <w:rFonts w:hint="eastAsia" w:ascii="宋体" w:hAnsi="宋体" w:cs="宋体"/>
                <w:szCs w:val="21"/>
              </w:rPr>
            </w:pPr>
          </w:p>
        </w:tc>
      </w:tr>
      <w:tr w14:paraId="4331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AAAE8C4">
            <w:pPr>
              <w:jc w:val="center"/>
              <w:rPr>
                <w:rFonts w:hint="eastAsia" w:ascii="宋体" w:hAnsi="宋体" w:cs="宋体"/>
                <w:szCs w:val="21"/>
              </w:rPr>
            </w:pPr>
          </w:p>
        </w:tc>
        <w:tc>
          <w:tcPr>
            <w:tcW w:w="1352" w:type="dxa"/>
            <w:tcBorders>
              <w:top w:val="single" w:color="auto" w:sz="4" w:space="0"/>
              <w:left w:val="single" w:color="auto" w:sz="4" w:space="0"/>
              <w:bottom w:val="single" w:color="auto" w:sz="4" w:space="0"/>
              <w:right w:val="single" w:color="auto" w:sz="4" w:space="0"/>
            </w:tcBorders>
            <w:vAlign w:val="center"/>
          </w:tcPr>
          <w:p w14:paraId="2170A08B">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048E4E14">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25523A34">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4F7594A">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8B5AAA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0726408">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25971F">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D702D5E">
            <w:pPr>
              <w:rPr>
                <w:rFonts w:hint="eastAsia" w:ascii="宋体" w:hAnsi="宋体" w:cs="宋体"/>
                <w:szCs w:val="21"/>
              </w:rPr>
            </w:pPr>
          </w:p>
        </w:tc>
      </w:tr>
    </w:tbl>
    <w:p w14:paraId="241CAB7C">
      <w:pPr>
        <w:ind w:firstLine="630" w:firstLineChars="300"/>
        <w:rPr>
          <w:rFonts w:hint="eastAsia" w:ascii="宋体" w:hAnsi="宋体" w:cs="宋体"/>
          <w:szCs w:val="21"/>
        </w:rPr>
      </w:pPr>
    </w:p>
    <w:p w14:paraId="2B29CB5C">
      <w:pPr>
        <w:ind w:firstLine="420" w:firstLineChars="200"/>
        <w:rPr>
          <w:rFonts w:hint="eastAsia" w:ascii="宋体" w:hAnsi="宋体" w:cs="宋体"/>
          <w:szCs w:val="21"/>
        </w:rPr>
      </w:pPr>
      <w:r>
        <w:rPr>
          <w:rFonts w:hint="eastAsia" w:ascii="宋体" w:hAnsi="宋体" w:cs="宋体"/>
          <w:szCs w:val="21"/>
        </w:rPr>
        <w:t>注：1、提供上述人员相关证书及</w:t>
      </w:r>
      <w:r>
        <w:rPr>
          <w:rFonts w:hint="eastAsia" w:ascii="宋体" w:hAnsi="宋体" w:cs="宋体"/>
          <w:szCs w:val="21"/>
          <w:lang w:eastAsia="zh-CN"/>
        </w:rPr>
        <w:t>社保</w:t>
      </w:r>
      <w:r>
        <w:rPr>
          <w:rFonts w:hint="eastAsia" w:ascii="宋体" w:hAnsi="宋体" w:cs="宋体"/>
          <w:szCs w:val="21"/>
        </w:rPr>
        <w:t>证明材料等评分细则要求提供的相应材料复印件（加盖投标人公章）。</w:t>
      </w:r>
    </w:p>
    <w:p w14:paraId="247BA387">
      <w:pPr>
        <w:rPr>
          <w:rFonts w:hint="eastAsia" w:ascii="宋体" w:hAnsi="宋体" w:cs="宋体"/>
          <w:szCs w:val="21"/>
        </w:rPr>
      </w:pPr>
    </w:p>
    <w:p w14:paraId="6EDA71EB">
      <w:pPr>
        <w:pStyle w:val="12"/>
        <w:ind w:firstLine="210"/>
      </w:pPr>
    </w:p>
    <w:p w14:paraId="3BAC04B1">
      <w:pPr>
        <w:jc w:val="right"/>
        <w:rPr>
          <w:rFonts w:hint="eastAsia" w:ascii="宋体" w:hAnsi="宋体" w:cs="宋体"/>
          <w:szCs w:val="21"/>
        </w:rPr>
      </w:pPr>
    </w:p>
    <w:p w14:paraId="7BAE3F1B">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6465830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089382AE">
      <w:pPr>
        <w:snapToGrid w:val="0"/>
        <w:spacing w:before="50" w:after="50" w:line="480" w:lineRule="auto"/>
        <w:ind w:left="-21" w:leftChars="-72" w:right="-817" w:rightChars="-389" w:hanging="130" w:hangingChars="62"/>
        <w:rPr>
          <w:rFonts w:hint="eastAsia" w:ascii="宋体" w:hAnsi="宋体" w:cs="宋体"/>
          <w:szCs w:val="21"/>
        </w:rPr>
        <w:sectPr>
          <w:pgSz w:w="11905" w:h="16838"/>
          <w:pgMar w:top="1304" w:right="1531" w:bottom="833" w:left="1531" w:header="1304" w:footer="1304" w:gutter="0"/>
          <w:pgNumType w:fmt="decimal"/>
          <w:cols w:space="0" w:num="1"/>
          <w:rtlGutter w:val="0"/>
          <w:docGrid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9343A75">
      <w:pPr>
        <w:snapToGrid w:val="0"/>
        <w:spacing w:before="50" w:after="50" w:line="480" w:lineRule="auto"/>
        <w:ind w:left="-21" w:leftChars="-72" w:right="-817" w:rightChars="-389" w:hanging="130" w:hangingChars="62"/>
        <w:rPr>
          <w:rFonts w:hint="eastAsia" w:ascii="宋体" w:hAnsi="宋体" w:cs="宋体"/>
          <w:szCs w:val="21"/>
        </w:rPr>
      </w:pPr>
    </w:p>
    <w:p w14:paraId="5FED98E9">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十、投标报价一览表格式：</w:t>
      </w:r>
    </w:p>
    <w:p w14:paraId="39B1E034">
      <w:pPr>
        <w:pStyle w:val="163"/>
        <w:jc w:val="center"/>
        <w:rPr>
          <w:rFonts w:hint="eastAsia" w:hAnsi="宋体" w:eastAsia="宋体" w:cs="宋体"/>
          <w:b/>
          <w:sz w:val="24"/>
          <w:szCs w:val="24"/>
        </w:rPr>
      </w:pPr>
    </w:p>
    <w:p w14:paraId="6109964B">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42D30063">
      <w:pPr>
        <w:snapToGrid w:val="0"/>
        <w:spacing w:before="50" w:after="50"/>
        <w:ind w:right="480" w:firstLine="1680" w:firstLineChars="800"/>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金额单位：人民币（元）</w:t>
      </w:r>
    </w:p>
    <w:tbl>
      <w:tblPr>
        <w:tblStyle w:val="3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C59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400AB526">
            <w:pPr>
              <w:jc w:val="center"/>
              <w:rPr>
                <w:rFonts w:hint="eastAsia" w:ascii="宋体" w:hAnsi="宋体" w:cs="宋体"/>
                <w:bCs/>
                <w:szCs w:val="21"/>
              </w:rPr>
            </w:pPr>
            <w:r>
              <w:rPr>
                <w:rFonts w:hint="eastAsia" w:ascii="宋体" w:hAnsi="宋体" w:cs="宋体"/>
                <w:szCs w:val="21"/>
              </w:rPr>
              <w:t>项目名称</w:t>
            </w:r>
          </w:p>
        </w:tc>
        <w:tc>
          <w:tcPr>
            <w:tcW w:w="6996" w:type="dxa"/>
            <w:noWrap w:val="0"/>
            <w:vAlign w:val="center"/>
          </w:tcPr>
          <w:p w14:paraId="4256DD36">
            <w:pPr>
              <w:jc w:val="center"/>
              <w:rPr>
                <w:rFonts w:hint="eastAsia" w:ascii="宋体" w:hAnsi="宋体" w:cs="宋体"/>
                <w:bCs/>
                <w:szCs w:val="21"/>
              </w:rPr>
            </w:pPr>
            <w:r>
              <w:rPr>
                <w:rFonts w:hint="eastAsia" w:ascii="宋体" w:hAnsi="宋体" w:cs="宋体"/>
                <w:bCs/>
                <w:szCs w:val="21"/>
              </w:rPr>
              <w:t xml:space="preserve"> </w:t>
            </w:r>
          </w:p>
        </w:tc>
      </w:tr>
      <w:tr w14:paraId="0A9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4E581741">
            <w:pPr>
              <w:jc w:val="center"/>
              <w:rPr>
                <w:rFonts w:hint="eastAsia" w:ascii="宋体" w:hAnsi="宋体" w:cs="宋体"/>
                <w:szCs w:val="21"/>
              </w:rPr>
            </w:pPr>
            <w:r>
              <w:rPr>
                <w:rFonts w:hint="eastAsia" w:ascii="宋体" w:hAnsi="宋体" w:cs="宋体"/>
                <w:szCs w:val="21"/>
              </w:rPr>
              <w:t>项目编号</w:t>
            </w:r>
          </w:p>
        </w:tc>
        <w:tc>
          <w:tcPr>
            <w:tcW w:w="6996" w:type="dxa"/>
            <w:noWrap w:val="0"/>
            <w:vAlign w:val="center"/>
          </w:tcPr>
          <w:p w14:paraId="52A6E4FB">
            <w:pPr>
              <w:jc w:val="center"/>
              <w:rPr>
                <w:rFonts w:hint="eastAsia" w:ascii="宋体" w:hAnsi="宋体" w:cs="宋体"/>
                <w:bCs/>
                <w:szCs w:val="21"/>
              </w:rPr>
            </w:pPr>
          </w:p>
        </w:tc>
      </w:tr>
      <w:tr w14:paraId="7900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5AD58E92">
            <w:pPr>
              <w:jc w:val="center"/>
              <w:rPr>
                <w:rFonts w:hint="eastAsia" w:ascii="宋体" w:hAnsi="宋体" w:cs="宋体"/>
                <w:szCs w:val="21"/>
              </w:rPr>
            </w:pPr>
            <w:r>
              <w:rPr>
                <w:rFonts w:hint="eastAsia" w:ascii="宋体" w:hAnsi="宋体" w:cs="宋体"/>
                <w:szCs w:val="21"/>
              </w:rPr>
              <w:t>投标报价</w:t>
            </w:r>
          </w:p>
        </w:tc>
        <w:tc>
          <w:tcPr>
            <w:tcW w:w="6996" w:type="dxa"/>
            <w:noWrap w:val="0"/>
            <w:vAlign w:val="center"/>
          </w:tcPr>
          <w:p w14:paraId="12485DD0">
            <w:pPr>
              <w:spacing w:line="360" w:lineRule="auto"/>
              <w:rPr>
                <w:rFonts w:hint="eastAsia"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56C674C2">
            <w:pPr>
              <w:spacing w:line="360" w:lineRule="auto"/>
              <w:rPr>
                <w:rFonts w:hint="eastAsia" w:ascii="宋体" w:hAnsi="宋体" w:cs="宋体"/>
                <w:bCs/>
                <w:szCs w:val="21"/>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BA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039DE39D">
            <w:pPr>
              <w:pStyle w:val="163"/>
              <w:jc w:val="center"/>
              <w:rPr>
                <w:rFonts w:hint="eastAsia" w:hAnsi="宋体" w:eastAsia="宋体" w:cs="宋体"/>
                <w:sz w:val="21"/>
                <w:szCs w:val="21"/>
              </w:rPr>
            </w:pPr>
            <w:r>
              <w:rPr>
                <w:rFonts w:hint="eastAsia" w:hAnsi="宋体" w:eastAsia="宋体" w:cs="宋体"/>
                <w:sz w:val="21"/>
                <w:szCs w:val="21"/>
              </w:rPr>
              <w:t>备注：详细内容见《</w:t>
            </w:r>
            <w:r>
              <w:rPr>
                <w:rFonts w:hint="eastAsia" w:hAnsi="宋体" w:eastAsia="宋体" w:cs="宋体"/>
                <w:b/>
                <w:bCs/>
                <w:sz w:val="21"/>
                <w:szCs w:val="21"/>
              </w:rPr>
              <w:t>分项报价表</w:t>
            </w:r>
            <w:r>
              <w:rPr>
                <w:rFonts w:hint="eastAsia" w:hAnsi="宋体" w:eastAsia="宋体" w:cs="宋体"/>
                <w:sz w:val="21"/>
                <w:szCs w:val="21"/>
              </w:rPr>
              <w:t>》</w:t>
            </w:r>
          </w:p>
        </w:tc>
      </w:tr>
    </w:tbl>
    <w:p w14:paraId="61081714">
      <w:pPr>
        <w:snapToGrid w:val="0"/>
        <w:spacing w:before="50" w:after="50"/>
        <w:jc w:val="left"/>
        <w:rPr>
          <w:rFonts w:hint="eastAsia" w:ascii="宋体" w:hAnsi="宋体" w:cs="宋体"/>
          <w:b/>
          <w:szCs w:val="21"/>
        </w:rPr>
      </w:pPr>
    </w:p>
    <w:p w14:paraId="11BADCBF">
      <w:pPr>
        <w:snapToGrid w:val="0"/>
        <w:spacing w:before="50" w:after="50"/>
        <w:jc w:val="left"/>
        <w:rPr>
          <w:rFonts w:hint="eastAsia" w:ascii="宋体" w:hAnsi="宋体" w:cs="宋体"/>
          <w:b/>
          <w:szCs w:val="21"/>
        </w:rPr>
      </w:pPr>
    </w:p>
    <w:p w14:paraId="47E149C8">
      <w:pPr>
        <w:snapToGrid w:val="0"/>
        <w:spacing w:before="50" w:after="50"/>
        <w:jc w:val="left"/>
        <w:rPr>
          <w:rFonts w:hint="eastAsia" w:ascii="宋体" w:hAnsi="宋体" w:cs="宋体"/>
          <w:b/>
          <w:szCs w:val="21"/>
        </w:rPr>
      </w:pPr>
    </w:p>
    <w:p w14:paraId="51204E59">
      <w:pPr>
        <w:snapToGrid w:val="0"/>
        <w:spacing w:before="50" w:after="50"/>
        <w:ind w:firstLine="420" w:firstLineChars="200"/>
        <w:jc w:val="left"/>
        <w:rPr>
          <w:rFonts w:hint="eastAsia"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1DD2FF09">
      <w:pPr>
        <w:snapToGrid w:val="0"/>
        <w:spacing w:before="50" w:after="50"/>
        <w:ind w:firstLine="420" w:firstLineChars="200"/>
        <w:jc w:val="left"/>
        <w:rPr>
          <w:rFonts w:hint="eastAsia" w:ascii="宋体" w:hAnsi="宋体" w:cs="宋体"/>
          <w:szCs w:val="21"/>
        </w:rPr>
      </w:pPr>
      <w:r>
        <w:rPr>
          <w:rFonts w:hint="eastAsia" w:ascii="宋体" w:hAnsi="宋体" w:cs="宋体"/>
          <w:szCs w:val="21"/>
        </w:rPr>
        <w:t>2、以上报价应与“分项报价表”中的“合计”数相一致。</w:t>
      </w:r>
    </w:p>
    <w:p w14:paraId="51B82D17">
      <w:pPr>
        <w:snapToGrid w:val="0"/>
        <w:spacing w:before="50" w:after="50"/>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本报价</w:t>
      </w:r>
      <w:r>
        <w:rPr>
          <w:rFonts w:hint="eastAsia" w:ascii="宋体" w:hAnsi="宋体" w:cs="宋体"/>
          <w:color w:val="auto"/>
          <w:szCs w:val="21"/>
        </w:rPr>
        <w:t>应包括完成本项目所需的设备、</w:t>
      </w:r>
      <w:r>
        <w:rPr>
          <w:rFonts w:hint="eastAsia" w:ascii="宋体" w:hAnsi="宋体" w:cs="宋体"/>
          <w:color w:val="auto"/>
          <w:szCs w:val="21"/>
          <w:lang w:val="en-US" w:eastAsia="zh-CN"/>
        </w:rPr>
        <w:t>清运费、</w:t>
      </w:r>
      <w:r>
        <w:rPr>
          <w:rFonts w:hint="eastAsia" w:ascii="宋体" w:hAnsi="宋体" w:cs="宋体"/>
          <w:color w:val="auto"/>
          <w:szCs w:val="21"/>
        </w:rPr>
        <w:t>清运工具费、税费、管理费用、人员工资等其他一切费用如有漏项，视为已包含在总价中。</w:t>
      </w:r>
    </w:p>
    <w:p w14:paraId="60B9C738">
      <w:pPr>
        <w:snapToGrid w:val="0"/>
        <w:spacing w:before="50" w:after="50"/>
        <w:ind w:left="-23" w:leftChars="-11" w:right="-817" w:rightChars="-389"/>
        <w:jc w:val="right"/>
        <w:rPr>
          <w:rFonts w:hint="eastAsia" w:ascii="宋体" w:hAnsi="宋体" w:cs="宋体"/>
          <w:szCs w:val="21"/>
        </w:rPr>
      </w:pPr>
    </w:p>
    <w:p w14:paraId="04A81D2C">
      <w:pPr>
        <w:snapToGrid w:val="0"/>
        <w:spacing w:before="50" w:after="50"/>
        <w:ind w:left="-23" w:leftChars="-11" w:right="-817" w:rightChars="-389"/>
        <w:jc w:val="center"/>
        <w:rPr>
          <w:rFonts w:hint="eastAsia" w:ascii="宋体" w:hAnsi="宋体" w:cs="宋体"/>
          <w:szCs w:val="21"/>
        </w:rPr>
      </w:pPr>
    </w:p>
    <w:p w14:paraId="78F81175">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法定代表人或授权代表（签字</w:t>
      </w:r>
      <w:r>
        <w:rPr>
          <w:rFonts w:ascii="Times New Roman" w:hAnsi="Times New Roman"/>
          <w:szCs w:val="21"/>
        </w:rPr>
        <w:t>或盖章</w:t>
      </w:r>
      <w:r>
        <w:rPr>
          <w:rFonts w:hint="eastAsia" w:ascii="宋体" w:hAnsi="宋体" w:cs="宋体"/>
          <w:szCs w:val="21"/>
        </w:rPr>
        <w:t>）：</w:t>
      </w:r>
    </w:p>
    <w:p w14:paraId="3E6D5689">
      <w:pPr>
        <w:snapToGrid w:val="0"/>
        <w:spacing w:before="50" w:after="50"/>
        <w:ind w:left="-23" w:leftChars="-11" w:right="-817" w:rightChars="-389"/>
        <w:jc w:val="center"/>
        <w:rPr>
          <w:rFonts w:hint="eastAsia" w:ascii="宋体" w:hAnsi="宋体" w:cs="宋体"/>
          <w:szCs w:val="21"/>
        </w:rPr>
      </w:pPr>
      <w:r>
        <w:rPr>
          <w:rFonts w:hint="eastAsia" w:ascii="宋体" w:hAnsi="宋体" w:cs="宋体"/>
          <w:szCs w:val="21"/>
        </w:rPr>
        <w:t>投标人（盖章）：</w:t>
      </w:r>
    </w:p>
    <w:p w14:paraId="2C40D472">
      <w:pPr>
        <w:snapToGrid w:val="0"/>
        <w:spacing w:before="50" w:after="50"/>
        <w:ind w:left="-23" w:leftChars="-11" w:right="-817" w:rightChars="-389"/>
        <w:jc w:val="center"/>
        <w:rPr>
          <w:rFonts w:hint="eastAsia" w:ascii="宋体" w:hAnsi="宋体" w:cs="宋体"/>
          <w:szCs w:val="21"/>
        </w:rPr>
      </w:pPr>
    </w:p>
    <w:p w14:paraId="1109F427">
      <w:pPr>
        <w:snapToGrid w:val="0"/>
        <w:spacing w:before="50" w:after="50"/>
        <w:jc w:val="center"/>
        <w:rPr>
          <w:rFonts w:hint="eastAsia" w:ascii="宋体" w:hAnsi="宋体" w:cs="宋体"/>
          <w:b/>
          <w:szCs w:val="21"/>
        </w:rPr>
      </w:pPr>
      <w:r>
        <w:rPr>
          <w:rFonts w:hint="eastAsia" w:ascii="宋体" w:hAnsi="宋体" w:cs="宋体"/>
          <w:szCs w:val="21"/>
        </w:rPr>
        <w:t xml:space="preserve">             日期： 年 月 日</w:t>
      </w:r>
    </w:p>
    <w:p w14:paraId="13D60573">
      <w:pPr>
        <w:spacing w:line="360" w:lineRule="auto"/>
        <w:sectPr>
          <w:pgSz w:w="11906" w:h="16838"/>
          <w:pgMar w:top="1440" w:right="1803" w:bottom="1440" w:left="1803" w:header="851" w:footer="992" w:gutter="0"/>
          <w:pgNumType w:fmt="decimal"/>
          <w:cols w:space="720" w:num="1"/>
          <w:docGrid w:type="lines" w:linePitch="319" w:charSpace="0"/>
        </w:sectPr>
      </w:pPr>
    </w:p>
    <w:p w14:paraId="70BE0179">
      <w:pPr>
        <w:pStyle w:val="163"/>
        <w:jc w:val="left"/>
        <w:outlineLvl w:val="1"/>
        <w:rPr>
          <w:rFonts w:hint="eastAsia" w:hAnsi="宋体" w:eastAsia="宋体" w:cs="宋体"/>
          <w:b/>
          <w:bCs/>
          <w:sz w:val="21"/>
          <w:szCs w:val="21"/>
        </w:rPr>
      </w:pPr>
      <w:r>
        <w:rPr>
          <w:rFonts w:hint="eastAsia" w:hAnsi="宋体" w:eastAsia="宋体" w:cs="宋体"/>
          <w:b/>
          <w:bCs/>
          <w:sz w:val="21"/>
          <w:szCs w:val="21"/>
        </w:rPr>
        <w:t>十二、报价明细表格式：</w:t>
      </w:r>
    </w:p>
    <w:p w14:paraId="72E45FC2">
      <w:pPr>
        <w:pStyle w:val="15"/>
        <w:snapToGrid w:val="0"/>
        <w:spacing w:before="295" w:after="295"/>
        <w:jc w:val="center"/>
        <w:rPr>
          <w:rFonts w:hint="eastAsia" w:hAnsi="宋体" w:eastAsia="宋体"/>
          <w:b/>
          <w:bCs/>
          <w:sz w:val="21"/>
          <w:szCs w:val="21"/>
        </w:rPr>
      </w:pPr>
      <w:r>
        <w:rPr>
          <w:rFonts w:hint="eastAsia" w:hAnsi="宋体" w:eastAsia="宋体"/>
          <w:b/>
          <w:bCs/>
          <w:sz w:val="21"/>
          <w:szCs w:val="21"/>
        </w:rPr>
        <w:t>分项报价表</w:t>
      </w:r>
    </w:p>
    <w:p w14:paraId="358EF934">
      <w:pPr>
        <w:spacing w:line="280" w:lineRule="exact"/>
        <w:rPr>
          <w:rFonts w:ascii="Times New Roman" w:hAnsi="Times New Roman"/>
          <w:b/>
        </w:rPr>
      </w:pPr>
      <w:r>
        <w:rPr>
          <w:rFonts w:ascii="Times New Roman" w:hAnsi="Times New Roman"/>
          <w:b/>
        </w:rPr>
        <w:t>货币种类：人民币（元）</w:t>
      </w:r>
    </w:p>
    <w:tbl>
      <w:tblPr>
        <w:tblStyle w:val="31"/>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3131"/>
        <w:gridCol w:w="1445"/>
        <w:gridCol w:w="1445"/>
        <w:gridCol w:w="1159"/>
      </w:tblGrid>
      <w:tr w14:paraId="464C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4AB7059">
            <w:pPr>
              <w:autoSpaceDE w:val="0"/>
              <w:autoSpaceDN w:val="0"/>
              <w:spacing w:line="280" w:lineRule="exact"/>
              <w:jc w:val="center"/>
              <w:rPr>
                <w:rFonts w:ascii="宋体"/>
                <w:b/>
                <w:sz w:val="18"/>
                <w:szCs w:val="18"/>
              </w:rPr>
            </w:pPr>
            <w:r>
              <w:rPr>
                <w:rFonts w:hint="eastAsia" w:ascii="宋体" w:hAnsi="宋体"/>
                <w:b/>
                <w:sz w:val="18"/>
                <w:szCs w:val="18"/>
              </w:rPr>
              <w:t>序号</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2F64308">
            <w:pPr>
              <w:autoSpaceDE w:val="0"/>
              <w:autoSpaceDN w:val="0"/>
              <w:spacing w:line="280" w:lineRule="exact"/>
              <w:jc w:val="center"/>
              <w:rPr>
                <w:rFonts w:ascii="宋体"/>
                <w:b/>
                <w:sz w:val="18"/>
                <w:szCs w:val="18"/>
              </w:rPr>
            </w:pPr>
            <w:r>
              <w:rPr>
                <w:rFonts w:hint="eastAsia" w:ascii="宋体" w:hAnsi="宋体"/>
                <w:b/>
                <w:sz w:val="18"/>
                <w:szCs w:val="18"/>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242CDA1">
            <w:pPr>
              <w:autoSpaceDE w:val="0"/>
              <w:autoSpaceDN w:val="0"/>
              <w:spacing w:line="280" w:lineRule="exact"/>
              <w:jc w:val="center"/>
              <w:rPr>
                <w:rFonts w:ascii="宋体"/>
                <w:b/>
                <w:sz w:val="18"/>
                <w:szCs w:val="18"/>
              </w:rPr>
            </w:pPr>
            <w:r>
              <w:rPr>
                <w:rFonts w:hint="eastAsia" w:ascii="宋体" w:hAnsi="宋体"/>
                <w:b/>
                <w:sz w:val="18"/>
                <w:szCs w:val="18"/>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6B24DC0">
            <w:pPr>
              <w:autoSpaceDE w:val="0"/>
              <w:autoSpaceDN w:val="0"/>
              <w:spacing w:line="280" w:lineRule="exact"/>
              <w:jc w:val="center"/>
              <w:rPr>
                <w:rFonts w:hint="eastAsia" w:ascii="宋体"/>
                <w:b/>
                <w:sz w:val="18"/>
                <w:szCs w:val="18"/>
              </w:rPr>
            </w:pPr>
            <w:r>
              <w:rPr>
                <w:rFonts w:hint="eastAsia" w:ascii="宋体" w:hAnsi="宋体"/>
                <w:b/>
                <w:sz w:val="18"/>
                <w:szCs w:val="18"/>
              </w:rPr>
              <w:t>数量</w:t>
            </w:r>
          </w:p>
        </w:tc>
        <w:tc>
          <w:tcPr>
            <w:tcW w:w="1159" w:type="dxa"/>
            <w:tcBorders>
              <w:top w:val="single" w:color="auto" w:sz="4" w:space="0"/>
              <w:left w:val="single" w:color="auto" w:sz="4" w:space="0"/>
              <w:bottom w:val="single" w:color="auto" w:sz="4" w:space="0"/>
            </w:tcBorders>
            <w:noWrap w:val="0"/>
            <w:vAlign w:val="center"/>
          </w:tcPr>
          <w:p w14:paraId="3AE303F3">
            <w:pPr>
              <w:autoSpaceDE w:val="0"/>
              <w:autoSpaceDN w:val="0"/>
              <w:spacing w:line="280" w:lineRule="exact"/>
              <w:jc w:val="center"/>
              <w:rPr>
                <w:rFonts w:hint="eastAsia" w:ascii="宋体"/>
                <w:b/>
                <w:sz w:val="18"/>
                <w:szCs w:val="18"/>
              </w:rPr>
            </w:pPr>
            <w:r>
              <w:rPr>
                <w:rFonts w:hint="eastAsia" w:ascii="宋体"/>
                <w:b/>
                <w:sz w:val="18"/>
                <w:szCs w:val="18"/>
              </w:rPr>
              <w:t>合价</w:t>
            </w:r>
          </w:p>
        </w:tc>
      </w:tr>
      <w:tr w14:paraId="34E22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7F8E613">
            <w:pPr>
              <w:spacing w:line="320" w:lineRule="exact"/>
              <w:jc w:val="center"/>
              <w:rPr>
                <w:rFonts w:hint="eastAsia" w:ascii="宋体" w:cs="黑体"/>
                <w:spacing w:val="20"/>
                <w:szCs w:val="21"/>
              </w:rPr>
            </w:pPr>
            <w:r>
              <w:rPr>
                <w:rFonts w:hint="eastAsia" w:ascii="宋体" w:cs="黑体"/>
                <w:spacing w:val="20"/>
                <w:szCs w:val="21"/>
              </w:rPr>
              <w:t>1</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630E19F9">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8A357B5">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8368DFF">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E851435">
            <w:pPr>
              <w:jc w:val="center"/>
              <w:rPr>
                <w:rFonts w:ascii="宋体"/>
                <w:b/>
                <w:bCs/>
                <w:sz w:val="18"/>
                <w:szCs w:val="18"/>
              </w:rPr>
            </w:pPr>
          </w:p>
        </w:tc>
      </w:tr>
      <w:tr w14:paraId="39CF3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B3130FF">
            <w:pPr>
              <w:spacing w:line="320" w:lineRule="exact"/>
              <w:jc w:val="center"/>
              <w:rPr>
                <w:rFonts w:hint="eastAsia" w:ascii="宋体" w:cs="黑体"/>
                <w:spacing w:val="20"/>
                <w:szCs w:val="21"/>
              </w:rPr>
            </w:pPr>
            <w:r>
              <w:rPr>
                <w:rFonts w:hint="eastAsia" w:ascii="宋体" w:cs="黑体"/>
                <w:spacing w:val="20"/>
                <w:szCs w:val="21"/>
              </w:rPr>
              <w:t>2</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67DF65D">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BC7B4F1">
            <w:pPr>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F7D0CF5">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14DA9E76">
            <w:pPr>
              <w:jc w:val="center"/>
              <w:rPr>
                <w:rFonts w:ascii="宋体"/>
                <w:b/>
                <w:bCs/>
                <w:sz w:val="18"/>
                <w:szCs w:val="18"/>
              </w:rPr>
            </w:pPr>
          </w:p>
        </w:tc>
      </w:tr>
      <w:tr w14:paraId="4B4D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03D3BFB">
            <w:pPr>
              <w:spacing w:line="320" w:lineRule="exact"/>
              <w:jc w:val="center"/>
              <w:rPr>
                <w:rFonts w:hint="eastAsia" w:ascii="宋体" w:cs="黑体"/>
                <w:spacing w:val="20"/>
                <w:szCs w:val="21"/>
              </w:rPr>
            </w:pPr>
            <w:r>
              <w:rPr>
                <w:rFonts w:hint="eastAsia" w:ascii="宋体" w:cs="黑体"/>
                <w:spacing w:val="20"/>
                <w:szCs w:val="21"/>
              </w:rPr>
              <w:t>3</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A9956F1">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304D27D">
            <w:pPr>
              <w:jc w:val="center"/>
              <w:rPr>
                <w:rFonts w:ascii="宋体"/>
                <w:b/>
                <w:bCs/>
                <w:sz w:val="18"/>
                <w:szCs w:val="18"/>
              </w:rPr>
            </w:pPr>
            <w:r>
              <w:rPr>
                <w:rFonts w:hint="eastAsia" w:ascii="宋体" w:hAnsi="宋体"/>
                <w:szCs w:val="21"/>
              </w:rPr>
              <w:t xml:space="preserve"> </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E29CCAE">
            <w:pPr>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24B927BA">
            <w:pPr>
              <w:jc w:val="center"/>
              <w:rPr>
                <w:rFonts w:hint="eastAsia" w:ascii="宋体"/>
                <w:b/>
                <w:bCs/>
                <w:sz w:val="18"/>
                <w:szCs w:val="18"/>
              </w:rPr>
            </w:pPr>
            <w:r>
              <w:rPr>
                <w:rFonts w:hint="eastAsia" w:ascii="宋体" w:hAnsi="宋体"/>
                <w:szCs w:val="21"/>
              </w:rPr>
              <w:t xml:space="preserve"> </w:t>
            </w:r>
          </w:p>
        </w:tc>
      </w:tr>
      <w:tr w14:paraId="0C914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7891F28">
            <w:pPr>
              <w:spacing w:line="320" w:lineRule="exact"/>
              <w:jc w:val="center"/>
              <w:rPr>
                <w:rFonts w:hint="eastAsia" w:ascii="宋体" w:cs="黑体"/>
                <w:spacing w:val="20"/>
                <w:szCs w:val="21"/>
              </w:rPr>
            </w:pPr>
            <w:r>
              <w:rPr>
                <w:rFonts w:hint="eastAsia" w:ascii="宋体" w:cs="黑体"/>
                <w:spacing w:val="20"/>
                <w:szCs w:val="21"/>
              </w:rPr>
              <w:t>4</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9F95B1E">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8E9163">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A06F5D5">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49AC768D">
            <w:pPr>
              <w:spacing w:line="280" w:lineRule="exact"/>
              <w:jc w:val="center"/>
              <w:rPr>
                <w:rFonts w:ascii="宋体"/>
                <w:b/>
                <w:bCs/>
                <w:sz w:val="18"/>
                <w:szCs w:val="18"/>
              </w:rPr>
            </w:pPr>
          </w:p>
        </w:tc>
      </w:tr>
      <w:tr w14:paraId="6845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629B0687">
            <w:pPr>
              <w:spacing w:line="320" w:lineRule="exact"/>
              <w:jc w:val="center"/>
              <w:rPr>
                <w:rFonts w:hint="eastAsia" w:ascii="宋体" w:cs="黑体"/>
                <w:spacing w:val="20"/>
                <w:szCs w:val="21"/>
              </w:rPr>
            </w:pPr>
            <w:r>
              <w:rPr>
                <w:rFonts w:hint="eastAsia" w:ascii="宋体" w:cs="黑体"/>
                <w:spacing w:val="20"/>
                <w:szCs w:val="21"/>
              </w:rPr>
              <w:t>5</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17861204">
            <w:pPr>
              <w:spacing w:line="360" w:lineRule="auto"/>
              <w:jc w:val="center"/>
              <w:rPr>
                <w:rFonts w:hint="eastAsia" w:ascii="宋体" w:hAnsi="宋体"/>
                <w:color w:val="FF000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E7BCDC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A1F0E0">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1F933DA9">
            <w:pPr>
              <w:spacing w:line="280" w:lineRule="exact"/>
              <w:jc w:val="center"/>
              <w:rPr>
                <w:rFonts w:ascii="宋体"/>
                <w:b/>
                <w:bCs/>
                <w:sz w:val="18"/>
                <w:szCs w:val="18"/>
              </w:rPr>
            </w:pPr>
          </w:p>
        </w:tc>
      </w:tr>
      <w:tr w14:paraId="7E5E4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25BE4B2">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7CB03BF">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B22D99D">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4EAF936">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73405D91">
            <w:pPr>
              <w:spacing w:line="280" w:lineRule="exact"/>
              <w:jc w:val="center"/>
              <w:rPr>
                <w:rFonts w:ascii="宋体"/>
                <w:b/>
                <w:bCs/>
                <w:sz w:val="18"/>
                <w:szCs w:val="18"/>
              </w:rPr>
            </w:pPr>
          </w:p>
        </w:tc>
      </w:tr>
      <w:tr w14:paraId="48D32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A797FC3">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71269C60">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F6FFC7">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A71233F">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0D405828">
            <w:pPr>
              <w:spacing w:line="280" w:lineRule="exact"/>
              <w:jc w:val="center"/>
              <w:rPr>
                <w:rFonts w:ascii="宋体"/>
                <w:b/>
                <w:bCs/>
                <w:sz w:val="18"/>
                <w:szCs w:val="18"/>
              </w:rPr>
            </w:pPr>
          </w:p>
        </w:tc>
      </w:tr>
      <w:tr w14:paraId="54F6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721042F">
            <w:pPr>
              <w:spacing w:line="280" w:lineRule="exact"/>
              <w:jc w:val="center"/>
              <w:rPr>
                <w:rFonts w:ascii="宋体"/>
                <w:bCs/>
                <w:sz w:val="18"/>
                <w:szCs w:val="18"/>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317296C">
            <w:pPr>
              <w:tabs>
                <w:tab w:val="left" w:pos="1418"/>
              </w:tabs>
              <w:snapToGrid w:val="0"/>
              <w:spacing w:before="50" w:after="50" w:line="192" w:lineRule="auto"/>
              <w:jc w:val="center"/>
              <w:rPr>
                <w:rFonts w:ascii="宋体"/>
                <w:spacing w:val="20"/>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E86063A">
            <w:pPr>
              <w:spacing w:line="280" w:lineRule="exact"/>
              <w:jc w:val="center"/>
              <w:rPr>
                <w:rFonts w:ascii="宋体"/>
                <w:b/>
                <w:bCs/>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79C6C9F">
            <w:pPr>
              <w:spacing w:line="280" w:lineRule="exact"/>
              <w:jc w:val="center"/>
              <w:rPr>
                <w:rFonts w:ascii="宋体"/>
                <w:b/>
                <w:bCs/>
                <w:sz w:val="18"/>
                <w:szCs w:val="18"/>
              </w:rPr>
            </w:pPr>
          </w:p>
        </w:tc>
        <w:tc>
          <w:tcPr>
            <w:tcW w:w="1159" w:type="dxa"/>
            <w:tcBorders>
              <w:top w:val="single" w:color="auto" w:sz="4" w:space="0"/>
              <w:left w:val="single" w:color="auto" w:sz="4" w:space="0"/>
              <w:bottom w:val="single" w:color="auto" w:sz="4" w:space="0"/>
            </w:tcBorders>
            <w:noWrap w:val="0"/>
            <w:vAlign w:val="center"/>
          </w:tcPr>
          <w:p w14:paraId="6A3B3CC5">
            <w:pPr>
              <w:spacing w:line="280" w:lineRule="exact"/>
              <w:jc w:val="center"/>
              <w:rPr>
                <w:rFonts w:ascii="宋体"/>
                <w:b/>
                <w:bCs/>
                <w:sz w:val="18"/>
                <w:szCs w:val="18"/>
              </w:rPr>
            </w:pPr>
          </w:p>
        </w:tc>
      </w:tr>
      <w:tr w14:paraId="4075F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tcBorders>
              <w:top w:val="single" w:color="auto" w:sz="4" w:space="0"/>
              <w:bottom w:val="single" w:color="auto" w:sz="4" w:space="0"/>
              <w:right w:val="single" w:color="auto" w:sz="4" w:space="0"/>
            </w:tcBorders>
            <w:noWrap w:val="0"/>
            <w:vAlign w:val="center"/>
          </w:tcPr>
          <w:p w14:paraId="32A8129F">
            <w:pPr>
              <w:spacing w:line="280" w:lineRule="exact"/>
              <w:jc w:val="center"/>
              <w:rPr>
                <w:rFonts w:hint="eastAsia" w:ascii="宋体"/>
                <w:bCs/>
                <w:sz w:val="18"/>
                <w:szCs w:val="18"/>
              </w:rPr>
            </w:pPr>
            <w:r>
              <w:rPr>
                <w:rFonts w:hint="eastAsia" w:ascii="宋体"/>
                <w:bCs/>
                <w:sz w:val="18"/>
                <w:szCs w:val="18"/>
              </w:rPr>
              <w:t>合计</w:t>
            </w:r>
          </w:p>
        </w:tc>
        <w:tc>
          <w:tcPr>
            <w:tcW w:w="7180" w:type="dxa"/>
            <w:gridSpan w:val="4"/>
            <w:tcBorders>
              <w:top w:val="single" w:color="auto" w:sz="4" w:space="0"/>
              <w:left w:val="single" w:color="auto" w:sz="4" w:space="0"/>
              <w:bottom w:val="single" w:color="auto" w:sz="4" w:space="0"/>
            </w:tcBorders>
            <w:noWrap w:val="0"/>
            <w:vAlign w:val="center"/>
          </w:tcPr>
          <w:p w14:paraId="38FFE17D">
            <w:pPr>
              <w:spacing w:line="280" w:lineRule="exact"/>
              <w:jc w:val="center"/>
              <w:rPr>
                <w:rFonts w:ascii="宋体"/>
                <w:bCs/>
                <w:sz w:val="18"/>
                <w:szCs w:val="18"/>
              </w:rPr>
            </w:pPr>
          </w:p>
        </w:tc>
      </w:tr>
      <w:tr w14:paraId="26500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31" w:type="dxa"/>
            <w:vMerge w:val="restart"/>
            <w:tcBorders>
              <w:top w:val="single" w:color="auto" w:sz="4" w:space="0"/>
              <w:right w:val="single" w:color="auto" w:sz="4" w:space="0"/>
            </w:tcBorders>
            <w:noWrap w:val="0"/>
            <w:vAlign w:val="center"/>
          </w:tcPr>
          <w:p w14:paraId="3C9BD8D1">
            <w:pPr>
              <w:spacing w:line="360" w:lineRule="auto"/>
              <w:jc w:val="center"/>
              <w:rPr>
                <w:rFonts w:ascii="宋体"/>
                <w:bCs/>
                <w:sz w:val="18"/>
                <w:szCs w:val="18"/>
              </w:rPr>
            </w:pPr>
            <w:r>
              <w:rPr>
                <w:rFonts w:ascii="Times New Roman" w:hAnsi="Times New Roman"/>
                <w:b/>
                <w:bCs/>
                <w:szCs w:val="21"/>
              </w:rPr>
              <w:t>投标总价</w:t>
            </w:r>
          </w:p>
        </w:tc>
        <w:tc>
          <w:tcPr>
            <w:tcW w:w="7180" w:type="dxa"/>
            <w:gridSpan w:val="4"/>
            <w:tcBorders>
              <w:top w:val="single" w:color="auto" w:sz="4" w:space="0"/>
              <w:left w:val="single" w:color="auto" w:sz="4" w:space="0"/>
              <w:bottom w:val="single" w:color="auto" w:sz="4" w:space="0"/>
            </w:tcBorders>
            <w:noWrap w:val="0"/>
            <w:vAlign w:val="center"/>
          </w:tcPr>
          <w:p w14:paraId="4D3A6821">
            <w:pPr>
              <w:spacing w:line="360" w:lineRule="auto"/>
              <w:jc w:val="left"/>
              <w:rPr>
                <w:rFonts w:ascii="宋体"/>
                <w:bCs/>
                <w:sz w:val="18"/>
                <w:szCs w:val="18"/>
              </w:rPr>
            </w:pPr>
            <w:r>
              <w:rPr>
                <w:rFonts w:ascii="Times New Roman" w:hAnsi="Times New Roman"/>
                <w:b/>
                <w:szCs w:val="21"/>
              </w:rPr>
              <w:t>（小写）</w:t>
            </w:r>
            <w:r>
              <w:rPr>
                <w:rFonts w:hint="eastAsia" w:ascii="Times New Roman" w:hAnsi="Times New Roman"/>
                <w:b/>
                <w:szCs w:val="21"/>
              </w:rPr>
              <w:t>¥</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rPr>
              <w:t xml:space="preserve">元； </w:t>
            </w:r>
          </w:p>
        </w:tc>
      </w:tr>
      <w:tr w14:paraId="56B1D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vMerge w:val="continue"/>
            <w:tcBorders>
              <w:bottom w:val="single" w:color="auto" w:sz="4" w:space="0"/>
              <w:right w:val="single" w:color="auto" w:sz="4" w:space="0"/>
            </w:tcBorders>
            <w:noWrap w:val="0"/>
            <w:vAlign w:val="center"/>
          </w:tcPr>
          <w:p w14:paraId="34B490B2">
            <w:pPr>
              <w:spacing w:line="360" w:lineRule="auto"/>
              <w:jc w:val="center"/>
              <w:rPr>
                <w:rFonts w:ascii="宋体"/>
                <w:bCs/>
                <w:sz w:val="18"/>
                <w:szCs w:val="18"/>
              </w:rPr>
            </w:pPr>
          </w:p>
        </w:tc>
        <w:tc>
          <w:tcPr>
            <w:tcW w:w="7180" w:type="dxa"/>
            <w:gridSpan w:val="4"/>
            <w:tcBorders>
              <w:top w:val="single" w:color="auto" w:sz="4" w:space="0"/>
              <w:left w:val="single" w:color="auto" w:sz="4" w:space="0"/>
              <w:bottom w:val="single" w:color="auto" w:sz="4" w:space="0"/>
            </w:tcBorders>
            <w:noWrap w:val="0"/>
            <w:vAlign w:val="center"/>
          </w:tcPr>
          <w:p w14:paraId="31236126">
            <w:pPr>
              <w:spacing w:line="360" w:lineRule="auto"/>
              <w:jc w:val="left"/>
              <w:rPr>
                <w:rFonts w:ascii="宋体"/>
                <w:bCs/>
                <w:sz w:val="18"/>
                <w:szCs w:val="18"/>
              </w:rPr>
            </w:pPr>
            <w:r>
              <w:rPr>
                <w:rFonts w:ascii="Times New Roman" w:hAnsi="Times New Roman"/>
                <w:b/>
                <w:szCs w:val="21"/>
              </w:rPr>
              <w:t xml:space="preserve">（大写）： </w:t>
            </w:r>
            <w:r>
              <w:rPr>
                <w:rFonts w:ascii="Times New Roman" w:hAnsi="Times New Roman"/>
                <w:b/>
                <w:szCs w:val="21"/>
                <w:u w:val="single"/>
              </w:rPr>
              <w:t xml:space="preserve">            </w:t>
            </w:r>
            <w:r>
              <w:rPr>
                <w:rFonts w:ascii="Times New Roman" w:hAnsi="Times New Roman"/>
                <w:b/>
                <w:szCs w:val="21"/>
              </w:rPr>
              <w:t>元整。</w:t>
            </w:r>
          </w:p>
        </w:tc>
      </w:tr>
    </w:tbl>
    <w:p w14:paraId="6A9EB53C">
      <w:pPr>
        <w:rPr>
          <w:rFonts w:ascii="Times New Roman" w:hAnsi="Times New Roman"/>
          <w:szCs w:val="21"/>
        </w:rPr>
      </w:pPr>
      <w:r>
        <w:rPr>
          <w:rFonts w:ascii="Times New Roman" w:hAnsi="Times New Roman"/>
          <w:kern w:val="0"/>
          <w:szCs w:val="21"/>
          <w:lang w:val="zh-CN"/>
        </w:rPr>
        <w:t>注：</w:t>
      </w:r>
      <w:r>
        <w:rPr>
          <w:rFonts w:ascii="Times New Roman" w:hAnsi="Times New Roman"/>
          <w:kern w:val="0"/>
          <w:szCs w:val="21"/>
        </w:rPr>
        <w:t>1、</w:t>
      </w:r>
      <w:r>
        <w:rPr>
          <w:rFonts w:ascii="Times New Roman" w:hAnsi="Times New Roman"/>
          <w:kern w:val="0"/>
          <w:szCs w:val="21"/>
          <w:lang w:val="zh-CN"/>
        </w:rPr>
        <w:t>以上表格要求细分项目及报价</w:t>
      </w:r>
      <w:r>
        <w:rPr>
          <w:rFonts w:hint="eastAsia" w:ascii="Times New Roman" w:hAnsi="Times New Roman"/>
          <w:kern w:val="0"/>
          <w:szCs w:val="21"/>
          <w:lang w:val="zh-CN"/>
        </w:rPr>
        <w:t>；</w:t>
      </w:r>
    </w:p>
    <w:p w14:paraId="7E2B4FBE">
      <w:pPr>
        <w:pStyle w:val="13"/>
        <w:spacing w:line="360" w:lineRule="auto"/>
        <w:ind w:firstLine="404" w:firstLineChars="200"/>
        <w:rPr>
          <w:rFonts w:ascii="Times New Roman" w:hAnsi="Times New Roman"/>
          <w:spacing w:val="-4"/>
          <w:szCs w:val="21"/>
        </w:rPr>
      </w:pPr>
      <w:r>
        <w:rPr>
          <w:rFonts w:ascii="Times New Roman" w:hAnsi="Times New Roman"/>
          <w:spacing w:val="-4"/>
          <w:szCs w:val="21"/>
        </w:rPr>
        <w:t>2、总价合计必须与</w:t>
      </w:r>
      <w:r>
        <w:rPr>
          <w:rFonts w:hint="eastAsia" w:ascii="Times New Roman" w:hAnsi="Times New Roman"/>
          <w:spacing w:val="-4"/>
          <w:szCs w:val="21"/>
        </w:rPr>
        <w:t>投标报价一</w:t>
      </w:r>
      <w:r>
        <w:rPr>
          <w:rFonts w:ascii="Times New Roman" w:hAnsi="Times New Roman"/>
          <w:spacing w:val="-4"/>
          <w:szCs w:val="21"/>
        </w:rPr>
        <w:t>览表一致。</w:t>
      </w:r>
    </w:p>
    <w:p w14:paraId="2B1F67C9">
      <w:pPr>
        <w:spacing w:line="360" w:lineRule="auto"/>
        <w:jc w:val="right"/>
        <w:rPr>
          <w:rFonts w:ascii="Times New Roman" w:hAnsi="Times New Roman"/>
          <w:szCs w:val="21"/>
          <w:u w:val="single"/>
        </w:rPr>
      </w:pPr>
      <w:r>
        <w:rPr>
          <w:rFonts w:ascii="Times New Roman" w:hAnsi="Times New Roman"/>
          <w:szCs w:val="21"/>
        </w:rPr>
        <w:t>投标人名称：</w:t>
      </w:r>
      <w:r>
        <w:rPr>
          <w:rFonts w:ascii="Times New Roman" w:hAnsi="Times New Roman"/>
          <w:b/>
          <w:spacing w:val="20"/>
          <w:szCs w:val="21"/>
          <w:u w:val="single"/>
        </w:rPr>
        <w:t xml:space="preserve">                </w:t>
      </w:r>
      <w:r>
        <w:rPr>
          <w:rFonts w:ascii="Times New Roman" w:hAnsi="Times New Roman"/>
          <w:szCs w:val="21"/>
        </w:rPr>
        <w:t xml:space="preserve">（加盖公章）  </w:t>
      </w:r>
    </w:p>
    <w:p w14:paraId="6D9ED065">
      <w:pPr>
        <w:spacing w:line="360" w:lineRule="auto"/>
        <w:jc w:val="right"/>
        <w:rPr>
          <w:rFonts w:ascii="Times New Roman" w:hAnsi="Times New Roman"/>
          <w:szCs w:val="21"/>
        </w:rPr>
      </w:pPr>
      <w:r>
        <w:rPr>
          <w:rFonts w:ascii="Times New Roman" w:hAnsi="Times New Roman"/>
          <w:spacing w:val="-4"/>
          <w:szCs w:val="21"/>
        </w:rPr>
        <w:t>法定代表人或授权代表</w:t>
      </w:r>
      <w:r>
        <w:rPr>
          <w:rFonts w:ascii="Times New Roman" w:hAnsi="Times New Roman"/>
          <w:szCs w:val="21"/>
        </w:rPr>
        <w:t>：</w:t>
      </w:r>
      <w:r>
        <w:rPr>
          <w:rFonts w:ascii="Times New Roman" w:hAnsi="Times New Roman"/>
          <w:b/>
          <w:spacing w:val="20"/>
          <w:szCs w:val="21"/>
          <w:u w:val="single"/>
        </w:rPr>
        <w:t xml:space="preserve">           </w:t>
      </w:r>
      <w:r>
        <w:rPr>
          <w:rFonts w:ascii="Times New Roman" w:hAnsi="Times New Roman"/>
          <w:szCs w:val="21"/>
        </w:rPr>
        <w:t>（签字或盖章）</w:t>
      </w:r>
    </w:p>
    <w:p w14:paraId="579F3BB9">
      <w:pPr>
        <w:spacing w:line="360" w:lineRule="auto"/>
        <w:jc w:val="right"/>
        <w:rPr>
          <w:rFonts w:hint="eastAsia" w:ascii="宋体" w:hAnsi="宋体"/>
          <w:b/>
          <w:szCs w:val="21"/>
        </w:rPr>
        <w:sectPr>
          <w:headerReference r:id="rId8" w:type="default"/>
          <w:footerReference r:id="rId9" w:type="default"/>
          <w:pgSz w:w="11906" w:h="16838"/>
          <w:pgMar w:top="1440" w:right="1803" w:bottom="1440" w:left="1803" w:header="851" w:footer="992" w:gutter="0"/>
          <w:pgNumType w:fmt="decimal"/>
          <w:cols w:space="720" w:num="1"/>
          <w:docGrid w:type="lines" w:linePitch="319" w:charSpace="0"/>
        </w:sectPr>
      </w:pPr>
      <w:r>
        <w:rPr>
          <w:rFonts w:ascii="Times New Roman" w:hAnsi="Times New Roman"/>
          <w:spacing w:val="20"/>
          <w:szCs w:val="21"/>
        </w:rPr>
        <w:t>日期：</w:t>
      </w:r>
      <w:r>
        <w:rPr>
          <w:rFonts w:ascii="Times New Roman" w:hAnsi="Times New Roman"/>
          <w:spacing w:val="20"/>
          <w:szCs w:val="21"/>
          <w:u w:val="single"/>
        </w:rPr>
        <w:t xml:space="preserve">    </w:t>
      </w:r>
      <w:r>
        <w:rPr>
          <w:rFonts w:ascii="Times New Roman" w:hAnsi="Times New Roman"/>
          <w:spacing w:val="20"/>
          <w:szCs w:val="21"/>
        </w:rPr>
        <w:t>年</w:t>
      </w:r>
      <w:r>
        <w:rPr>
          <w:rFonts w:ascii="Times New Roman" w:hAnsi="Times New Roman"/>
          <w:spacing w:val="20"/>
          <w:szCs w:val="21"/>
          <w:u w:val="single"/>
        </w:rPr>
        <w:t xml:space="preserve">   </w:t>
      </w:r>
      <w:r>
        <w:rPr>
          <w:rFonts w:ascii="Times New Roman" w:hAnsi="Times New Roman"/>
          <w:spacing w:val="20"/>
          <w:szCs w:val="21"/>
        </w:rPr>
        <w:t>月</w:t>
      </w:r>
      <w:r>
        <w:rPr>
          <w:rFonts w:ascii="Times New Roman" w:hAnsi="Times New Roman"/>
          <w:spacing w:val="20"/>
          <w:szCs w:val="21"/>
          <w:u w:val="single"/>
        </w:rPr>
        <w:t xml:space="preserve">   </w:t>
      </w:r>
      <w:r>
        <w:rPr>
          <w:rFonts w:ascii="Times New Roman" w:hAnsi="Times New Roman"/>
          <w:spacing w:val="20"/>
          <w:szCs w:val="21"/>
        </w:rPr>
        <w:t>日</w:t>
      </w:r>
    </w:p>
    <w:p w14:paraId="109CCB64">
      <w:pPr>
        <w:pStyle w:val="27"/>
        <w:jc w:val="both"/>
        <w:rPr>
          <w:rFonts w:hint="eastAsia"/>
        </w:rPr>
      </w:pPr>
    </w:p>
    <w:p w14:paraId="19E4287D">
      <w:pPr>
        <w:rPr>
          <w:rFonts w:hint="eastAsia"/>
        </w:rPr>
      </w:pPr>
    </w:p>
    <w:p w14:paraId="07BBD523">
      <w:pPr>
        <w:rPr>
          <w:rFonts w:hint="eastAsia"/>
        </w:rPr>
      </w:pPr>
    </w:p>
    <w:p w14:paraId="444C114E">
      <w:pPr>
        <w:rPr>
          <w:rFonts w:hint="eastAsia"/>
        </w:rPr>
      </w:pPr>
    </w:p>
    <w:p w14:paraId="754EAB82">
      <w:pPr>
        <w:rPr>
          <w:rFonts w:hint="eastAsia"/>
        </w:rPr>
      </w:pPr>
    </w:p>
    <w:p w14:paraId="66DDB252">
      <w:pPr>
        <w:rPr>
          <w:rFonts w:hint="eastAsia"/>
        </w:rPr>
      </w:pPr>
    </w:p>
    <w:p w14:paraId="10934707">
      <w:pPr>
        <w:rPr>
          <w:rFonts w:hint="eastAsia"/>
        </w:rPr>
      </w:pPr>
    </w:p>
    <w:p w14:paraId="127D23D8">
      <w:pPr>
        <w:rPr>
          <w:rFonts w:hint="eastAsia"/>
        </w:rPr>
      </w:pPr>
    </w:p>
    <w:p w14:paraId="10BF7DAF">
      <w:pPr>
        <w:rPr>
          <w:rFonts w:hint="eastAsia"/>
        </w:rPr>
      </w:pPr>
    </w:p>
    <w:p w14:paraId="01DDDA14">
      <w:pPr>
        <w:rPr>
          <w:rFonts w:hint="eastAsia"/>
        </w:rPr>
      </w:pPr>
    </w:p>
    <w:p w14:paraId="45D4AF6A">
      <w:pPr>
        <w:snapToGrid w:val="0"/>
        <w:spacing w:line="360" w:lineRule="auto"/>
        <w:jc w:val="left"/>
        <w:rPr>
          <w:rFonts w:hint="eastAsia" w:ascii="宋体" w:hAnsi="宋体" w:cs="宋体"/>
          <w:b/>
          <w:bCs/>
          <w:szCs w:val="21"/>
        </w:rPr>
      </w:pPr>
      <w:bookmarkStart w:id="18" w:name="OLE_LINK7"/>
      <w:bookmarkStart w:id="19" w:name="OLE_LINK6"/>
      <w:r>
        <w:rPr>
          <w:rFonts w:hint="eastAsia" w:ascii="宋体" w:hAnsi="宋体" w:cs="宋体"/>
          <w:b/>
          <w:bCs/>
          <w:szCs w:val="21"/>
          <w:lang w:val="en-US" w:eastAsia="zh-CN"/>
        </w:rPr>
        <w:t>十二</w:t>
      </w:r>
      <w:r>
        <w:rPr>
          <w:rFonts w:hint="eastAsia" w:ascii="宋体" w:hAnsi="宋体" w:cs="宋体"/>
          <w:b/>
          <w:bCs/>
          <w:szCs w:val="21"/>
        </w:rPr>
        <w:t>、中小企业声明函（服务）</w:t>
      </w:r>
    </w:p>
    <w:p w14:paraId="2E388826">
      <w:pPr>
        <w:pStyle w:val="13"/>
        <w:ind w:firstLine="0"/>
      </w:pPr>
    </w:p>
    <w:p w14:paraId="2B3CFD6A">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1B904A09">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7BE212E5">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760BEF4C">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45044065">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0CFCDAC">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74677BE1">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539A9754">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00AA0EAF">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6EB371DF">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0CF3153A">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8EC0D21">
      <w:pPr>
        <w:snapToGrid w:val="0"/>
        <w:spacing w:line="360" w:lineRule="auto"/>
        <w:ind w:firstLine="422" w:firstLineChars="200"/>
        <w:rPr>
          <w:rFonts w:hint="eastAsia" w:ascii="宋体" w:hAnsi="宋体" w:cs="宋体"/>
          <w:b/>
          <w:color w:val="FF0000"/>
          <w:szCs w:val="21"/>
        </w:rPr>
      </w:pPr>
    </w:p>
    <w:p w14:paraId="32A742F9">
      <w:pPr>
        <w:spacing w:line="360" w:lineRule="auto"/>
        <w:ind w:firstLine="422" w:firstLineChars="200"/>
        <w:rPr>
          <w:rFonts w:hint="eastAsia" w:ascii="宋体" w:hAnsi="宋体" w:cs="宋体"/>
          <w:b/>
          <w:szCs w:val="21"/>
        </w:rPr>
      </w:pPr>
    </w:p>
    <w:p w14:paraId="1962EA92">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6D565AC7">
      <w:pPr>
        <w:pStyle w:val="11"/>
        <w:jc w:val="center"/>
        <w:rPr>
          <w:rFonts w:hint="eastAsia" w:asciiTheme="minorEastAsia" w:hAnsiTheme="minorEastAsia" w:eastAsiaTheme="minorEastAsia"/>
          <w:b/>
          <w:sz w:val="32"/>
        </w:rPr>
      </w:pPr>
    </w:p>
    <w:p w14:paraId="2E864CEC">
      <w:pPr>
        <w:pStyle w:val="12"/>
        <w:rPr>
          <w:rFonts w:hint="eastAsia"/>
        </w:rPr>
      </w:pPr>
    </w:p>
    <w:p w14:paraId="600F52F9">
      <w:pPr>
        <w:pStyle w:val="11"/>
        <w:jc w:val="center"/>
        <w:rPr>
          <w:rFonts w:hint="eastAsia" w:asciiTheme="minorEastAsia" w:hAnsiTheme="minorEastAsia" w:eastAsiaTheme="minorEastAsia"/>
          <w:b/>
          <w:sz w:val="32"/>
          <w:highlight w:val="yellow"/>
        </w:rPr>
      </w:pPr>
    </w:p>
    <w:p w14:paraId="2E9E82EF">
      <w:pPr>
        <w:pStyle w:val="11"/>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1ED6556F">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DC85A15">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47F0497B">
      <w:pPr>
        <w:widowControl/>
        <w:spacing w:line="500" w:lineRule="exact"/>
        <w:rPr>
          <w:rFonts w:hint="eastAsia" w:ascii="宋体" w:hAnsi="宋体" w:cs="宋体"/>
          <w:spacing w:val="6"/>
          <w:kern w:val="0"/>
          <w:szCs w:val="21"/>
        </w:rPr>
      </w:pPr>
    </w:p>
    <w:p w14:paraId="7D60B9CA">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6CEC7F1D">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150F6A0F">
      <w:pPr>
        <w:spacing w:before="312" w:beforeLines="100" w:line="440" w:lineRule="atLeast"/>
        <w:ind w:firstLine="444" w:firstLineChars="200"/>
        <w:rPr>
          <w:rFonts w:hint="eastAsia" w:ascii="宋体" w:hAnsi="宋体" w:cs="宋体"/>
          <w:spacing w:val="6"/>
          <w:szCs w:val="21"/>
        </w:rPr>
      </w:pPr>
    </w:p>
    <w:p w14:paraId="3DF0C020">
      <w:pPr>
        <w:spacing w:before="312" w:beforeLines="100" w:line="440" w:lineRule="atLeast"/>
        <w:ind w:firstLine="444" w:firstLineChars="200"/>
        <w:rPr>
          <w:rFonts w:hint="eastAsia" w:ascii="宋体" w:hAnsi="宋体" w:cs="宋体"/>
          <w:spacing w:val="6"/>
          <w:szCs w:val="21"/>
        </w:rPr>
      </w:pPr>
    </w:p>
    <w:p w14:paraId="7D6A40E2">
      <w:pPr>
        <w:spacing w:line="360" w:lineRule="auto"/>
        <w:rPr>
          <w:rFonts w:hint="eastAsia" w:ascii="宋体" w:hAnsi="宋体" w:cs="宋体"/>
          <w:b/>
          <w:spacing w:val="20"/>
          <w:szCs w:val="21"/>
        </w:rPr>
      </w:pPr>
      <w:r>
        <w:rPr>
          <w:rFonts w:hint="eastAsia" w:ascii="宋体" w:hAnsi="宋体" w:cs="宋体"/>
          <w:b/>
          <w:spacing w:val="20"/>
          <w:szCs w:val="21"/>
        </w:rPr>
        <w:t>注：</w:t>
      </w:r>
    </w:p>
    <w:p w14:paraId="227DD989">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9080A92">
      <w:pPr>
        <w:snapToGrid w:val="0"/>
        <w:spacing w:line="360" w:lineRule="auto"/>
        <w:ind w:firstLine="422" w:firstLineChars="200"/>
        <w:jc w:val="left"/>
        <w:rPr>
          <w:rFonts w:hint="eastAsia" w:ascii="宋体" w:hAnsi="宋体"/>
          <w:b/>
          <w:sz w:val="32"/>
        </w:rPr>
      </w:pPr>
      <w:r>
        <w:rPr>
          <w:rFonts w:hint="eastAsia" w:ascii="宋体" w:hAnsi="宋体" w:cs="宋体"/>
          <w:b/>
          <w:szCs w:val="21"/>
        </w:rPr>
        <w:t>2.供应商提供的《残疾人福利性单位声明函》与事实不符的，依照《政府采购法》第七十七条第一款的规定追究法律责任。</w:t>
      </w:r>
    </w:p>
    <w:p w14:paraId="74F044E6">
      <w:pPr>
        <w:widowControl/>
        <w:jc w:val="left"/>
        <w:rPr>
          <w:rFonts w:hint="eastAsia" w:asciiTheme="minorEastAsia" w:hAnsiTheme="minorEastAsia" w:eastAsiaTheme="minorEastAsia"/>
          <w:b/>
          <w:szCs w:val="21"/>
        </w:rPr>
      </w:pPr>
      <w:r>
        <w:rPr>
          <w:rFonts w:asciiTheme="minorEastAsia" w:hAnsiTheme="minorEastAsia" w:eastAsiaTheme="minorEastAsia"/>
          <w:b/>
          <w:szCs w:val="21"/>
        </w:rPr>
        <w:br w:type="page"/>
      </w:r>
    </w:p>
    <w:p w14:paraId="569F8B85">
      <w:pPr>
        <w:pStyle w:val="11"/>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58885643">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6D1B6DC1">
      <w:pPr>
        <w:spacing w:line="360" w:lineRule="auto"/>
        <w:ind w:firstLine="480"/>
        <w:rPr>
          <w:rFonts w:hint="eastAsia" w:asciiTheme="minorEastAsia" w:hAnsiTheme="minorEastAsia" w:eastAsiaTheme="minorEastAsia"/>
          <w:szCs w:val="21"/>
        </w:rPr>
      </w:pPr>
    </w:p>
    <w:p w14:paraId="618DB803">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7B7A2C8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42363F2C">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710A7E4D">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7CB92B11">
      <w:pPr>
        <w:spacing w:line="360" w:lineRule="auto"/>
        <w:ind w:firstLine="480"/>
        <w:rPr>
          <w:rFonts w:hint="eastAsia" w:asciiTheme="minorEastAsia" w:hAnsiTheme="minorEastAsia" w:eastAsiaTheme="minorEastAsia"/>
          <w:szCs w:val="21"/>
        </w:rPr>
      </w:pPr>
    </w:p>
    <w:p w14:paraId="69EC0464">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7D792024">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0E6FB4E5">
      <w:pPr>
        <w:spacing w:line="360" w:lineRule="auto"/>
        <w:ind w:firstLine="480"/>
        <w:rPr>
          <w:rFonts w:hint="eastAsia" w:asciiTheme="minorEastAsia" w:hAnsiTheme="minorEastAsia" w:eastAsiaTheme="minorEastAsia"/>
          <w:szCs w:val="21"/>
        </w:rPr>
      </w:pPr>
    </w:p>
    <w:p w14:paraId="38537264">
      <w:pPr>
        <w:spacing w:line="360" w:lineRule="auto"/>
        <w:ind w:firstLine="480"/>
        <w:rPr>
          <w:rFonts w:hint="eastAsia" w:asciiTheme="minorEastAsia" w:hAnsiTheme="minorEastAsia" w:eastAsiaTheme="minorEastAsia"/>
          <w:szCs w:val="21"/>
        </w:rPr>
      </w:pPr>
    </w:p>
    <w:p w14:paraId="1ECF9454">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211BCD76">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217E453C">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A35738">
      <w:pPr>
        <w:rPr>
          <w:rFonts w:hint="eastAsia" w:asciiTheme="minorEastAsia" w:hAnsiTheme="minorEastAsia" w:eastAsiaTheme="minorEastAsia"/>
          <w:b/>
          <w:sz w:val="32"/>
        </w:rPr>
      </w:pPr>
    </w:p>
    <w:p w14:paraId="698E2F87">
      <w:pPr>
        <w:widowControl/>
        <w:jc w:val="left"/>
        <w:outlineLvl w:val="9"/>
        <w:rPr>
          <w:rFonts w:hint="eastAsia" w:ascii="宋体" w:hAnsi="宋体" w:cs="宋体"/>
          <w:b/>
          <w:bCs/>
          <w:spacing w:val="-4"/>
          <w:szCs w:val="21"/>
        </w:rPr>
      </w:pPr>
      <w:r>
        <w:rPr>
          <w:rFonts w:ascii="宋体" w:hAnsi="宋体" w:cs="宋体"/>
          <w:b/>
          <w:bCs/>
          <w:szCs w:val="21"/>
        </w:rPr>
        <w:br w:type="page"/>
      </w:r>
    </w:p>
    <w:p w14:paraId="035918BF">
      <w:pPr>
        <w:jc w:val="left"/>
        <w:outlineLvl w:val="1"/>
        <w:rPr>
          <w:rFonts w:hint="eastAsia" w:ascii="宋体" w:hAnsi="宋体" w:cs="宋体"/>
          <w:szCs w:val="21"/>
        </w:rPr>
      </w:pPr>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w:t>
      </w:r>
      <w:bookmarkEnd w:id="18"/>
      <w:bookmarkEnd w:id="19"/>
      <w:r>
        <w:rPr>
          <w:rFonts w:hint="eastAsia" w:ascii="宋体" w:hAnsi="宋体" w:cs="宋体"/>
          <w:b/>
          <w:bCs/>
          <w:spacing w:val="-4"/>
          <w:szCs w:val="21"/>
        </w:rPr>
        <w:t>政府采购投标人质疑函范本</w:t>
      </w:r>
    </w:p>
    <w:tbl>
      <w:tblPr>
        <w:tblStyle w:val="31"/>
        <w:tblW w:w="9299" w:type="dxa"/>
        <w:jc w:val="center"/>
        <w:tblCellSpacing w:w="0" w:type="dxa"/>
        <w:tblLayout w:type="fixed"/>
        <w:tblCellMar>
          <w:top w:w="0" w:type="dxa"/>
          <w:left w:w="0" w:type="dxa"/>
          <w:bottom w:w="0" w:type="dxa"/>
          <w:right w:w="0" w:type="dxa"/>
        </w:tblCellMar>
      </w:tblPr>
      <w:tblGrid>
        <w:gridCol w:w="9299"/>
      </w:tblGrid>
      <w:tr w14:paraId="48CF4557">
        <w:tblPrEx>
          <w:tblCellMar>
            <w:top w:w="0" w:type="dxa"/>
            <w:left w:w="0" w:type="dxa"/>
            <w:bottom w:w="0" w:type="dxa"/>
            <w:right w:w="0" w:type="dxa"/>
          </w:tblCellMar>
        </w:tblPrEx>
        <w:trPr>
          <w:tblCellSpacing w:w="0" w:type="dxa"/>
          <w:jc w:val="center"/>
        </w:trPr>
        <w:tc>
          <w:tcPr>
            <w:tcW w:w="9299" w:type="dxa"/>
            <w:vAlign w:val="center"/>
          </w:tcPr>
          <w:tbl>
            <w:tblPr>
              <w:tblStyle w:val="31"/>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9DD9B0D">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1"/>
                    <w:tblW w:w="7904" w:type="dxa"/>
                    <w:jc w:val="center"/>
                    <w:tblCellSpacing w:w="0" w:type="dxa"/>
                    <w:tblLayout w:type="fixed"/>
                    <w:tblCellMar>
                      <w:top w:w="0" w:type="dxa"/>
                      <w:left w:w="0" w:type="dxa"/>
                      <w:bottom w:w="0" w:type="dxa"/>
                      <w:right w:w="0" w:type="dxa"/>
                    </w:tblCellMar>
                  </w:tblPr>
                  <w:tblGrid>
                    <w:gridCol w:w="7904"/>
                  </w:tblGrid>
                  <w:tr w14:paraId="6979424E">
                    <w:tblPrEx>
                      <w:tblCellMar>
                        <w:top w:w="0" w:type="dxa"/>
                        <w:left w:w="0" w:type="dxa"/>
                        <w:bottom w:w="0" w:type="dxa"/>
                        <w:right w:w="0" w:type="dxa"/>
                      </w:tblCellMar>
                    </w:tblPrEx>
                    <w:trPr>
                      <w:tblCellSpacing w:w="0" w:type="dxa"/>
                      <w:jc w:val="center"/>
                    </w:trPr>
                    <w:tc>
                      <w:tcPr>
                        <w:tcW w:w="7904" w:type="dxa"/>
                        <w:vAlign w:val="center"/>
                      </w:tcPr>
                      <w:p w14:paraId="4AE330EF">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1A96BA57">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22F9505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4BDFA4B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02148C0D">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50E58FA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0067CD7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3D74188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0DE2170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3649175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7D94974F">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2E641AF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4FB3980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5D66944E">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55E2630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6ED28CA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613BBCEC">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205A94F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3EBFA99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23A3DF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680CBB6B">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31095384">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12602CCE">
                        <w:pPr>
                          <w:widowControl/>
                          <w:spacing w:beforeAutospacing="1" w:afterAutospacing="1"/>
                          <w:ind w:firstLine="422"/>
                          <w:jc w:val="left"/>
                          <w:rPr>
                            <w:rFonts w:hint="eastAsia" w:ascii="宋体" w:hAnsi="宋体" w:cs="宋体"/>
                            <w:b/>
                            <w:kern w:val="0"/>
                            <w:szCs w:val="21"/>
                          </w:rPr>
                        </w:pPr>
                      </w:p>
                      <w:p w14:paraId="7AD3A82F">
                        <w:pPr>
                          <w:widowControl/>
                          <w:spacing w:beforeAutospacing="1" w:afterAutospacing="1"/>
                          <w:ind w:firstLine="422"/>
                          <w:jc w:val="left"/>
                          <w:rPr>
                            <w:rFonts w:hint="eastAsia" w:ascii="宋体" w:hAnsi="宋体" w:cs="宋体"/>
                            <w:b/>
                            <w:kern w:val="0"/>
                            <w:szCs w:val="21"/>
                          </w:rPr>
                        </w:pPr>
                      </w:p>
                      <w:p w14:paraId="5CA555FD">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15CC84AB">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111F3EC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AA12D55">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43CD7591">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72E8E9CD">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279EB9E1">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5D60D6A6">
                  <w:pPr>
                    <w:ind w:firstLine="360"/>
                    <w:jc w:val="center"/>
                    <w:rPr>
                      <w:rFonts w:hint="eastAsia" w:ascii="宋体" w:hAnsi="宋体" w:cs="宋体"/>
                      <w:szCs w:val="21"/>
                    </w:rPr>
                  </w:pPr>
                </w:p>
              </w:tc>
            </w:tr>
          </w:tbl>
          <w:p w14:paraId="6DBC2156">
            <w:pPr>
              <w:spacing w:line="432" w:lineRule="auto"/>
              <w:ind w:firstLine="360"/>
              <w:jc w:val="center"/>
              <w:rPr>
                <w:rFonts w:hint="eastAsia" w:ascii="宋体" w:hAnsi="宋体" w:cs="宋体"/>
                <w:szCs w:val="21"/>
              </w:rPr>
            </w:pPr>
          </w:p>
        </w:tc>
      </w:tr>
    </w:tbl>
    <w:p w14:paraId="66B33E96">
      <w:pPr>
        <w:pStyle w:val="11"/>
        <w:spacing w:line="360" w:lineRule="auto"/>
        <w:rPr>
          <w:rFonts w:hint="eastAsia" w:ascii="宋体" w:hAnsi="宋体" w:cs="宋体"/>
          <w:sz w:val="21"/>
          <w:szCs w:val="21"/>
        </w:rPr>
      </w:pPr>
    </w:p>
    <w:p w14:paraId="7F0A6076">
      <w:pPr>
        <w:spacing w:before="120" w:line="360" w:lineRule="auto"/>
        <w:jc w:val="center"/>
        <w:rPr>
          <w:rFonts w:hint="eastAsia" w:ascii="宋体" w:hAnsi="宋体" w:cs="宋体"/>
          <w:b/>
          <w:bCs/>
          <w:szCs w:val="21"/>
        </w:rPr>
      </w:pPr>
    </w:p>
    <w:p w14:paraId="3F694AD8">
      <w:pPr>
        <w:pStyle w:val="11"/>
        <w:rPr>
          <w:rFonts w:hint="eastAsia" w:ascii="宋体" w:hAnsi="宋体" w:cs="宋体"/>
          <w:sz w:val="21"/>
          <w:szCs w:val="21"/>
        </w:rPr>
      </w:pPr>
    </w:p>
    <w:p w14:paraId="6B39D0F7">
      <w:pPr>
        <w:rPr>
          <w:rFonts w:hint="eastAsia" w:ascii="宋体" w:hAnsi="宋体" w:cs="宋体"/>
          <w:szCs w:val="21"/>
        </w:rPr>
      </w:pPr>
    </w:p>
    <w:p w14:paraId="6425DB3F">
      <w:pPr>
        <w:pStyle w:val="11"/>
        <w:rPr>
          <w:rFonts w:hint="eastAsia" w:ascii="宋体" w:hAnsi="宋体" w:cs="宋体"/>
          <w:sz w:val="21"/>
          <w:szCs w:val="21"/>
        </w:rPr>
      </w:pPr>
    </w:p>
    <w:p w14:paraId="688EEDC7">
      <w:pPr>
        <w:pStyle w:val="11"/>
        <w:rPr>
          <w:rFonts w:hint="eastAsia" w:ascii="宋体" w:hAnsi="宋体" w:cs="宋体"/>
          <w:sz w:val="21"/>
          <w:szCs w:val="21"/>
        </w:rPr>
      </w:pPr>
    </w:p>
    <w:p w14:paraId="0FEF4900">
      <w:pPr>
        <w:pStyle w:val="2"/>
        <w:jc w:val="left"/>
        <w:rPr>
          <w:rFonts w:hint="eastAsia" w:ascii="宋体" w:hAnsi="宋体" w:cs="宋体"/>
          <w:szCs w:val="21"/>
        </w:rPr>
      </w:pPr>
    </w:p>
    <w:p w14:paraId="67F4D4B6">
      <w:pPr>
        <w:rPr>
          <w:rFonts w:hint="eastAsia" w:ascii="宋体" w:hAnsi="宋体" w:cs="宋体"/>
          <w:szCs w:val="21"/>
        </w:rPr>
      </w:pPr>
    </w:p>
    <w:p w14:paraId="13D3CC03">
      <w:pPr>
        <w:rPr>
          <w:rFonts w:hint="eastAsia" w:ascii="宋体" w:hAnsi="宋体" w:cs="宋体"/>
          <w:szCs w:val="21"/>
        </w:rPr>
      </w:pPr>
    </w:p>
    <w:p w14:paraId="609BF2BE">
      <w:pPr>
        <w:rPr>
          <w:rFonts w:hint="eastAsia" w:ascii="宋体" w:hAnsi="宋体" w:cs="宋体"/>
          <w:szCs w:val="21"/>
        </w:rPr>
      </w:pPr>
    </w:p>
    <w:p w14:paraId="0E421DA1">
      <w:pPr>
        <w:rPr>
          <w:rFonts w:hint="eastAsia" w:ascii="宋体" w:hAnsi="宋体" w:cs="宋体"/>
          <w:szCs w:val="21"/>
        </w:rPr>
      </w:pPr>
    </w:p>
    <w:p w14:paraId="60B53430">
      <w:pPr>
        <w:rPr>
          <w:rFonts w:hint="eastAsia" w:ascii="宋体" w:hAnsi="宋体" w:cs="宋体"/>
          <w:szCs w:val="21"/>
        </w:rPr>
      </w:pPr>
    </w:p>
    <w:p w14:paraId="5B2ECF50">
      <w:pPr>
        <w:rPr>
          <w:rFonts w:hint="eastAsia" w:ascii="宋体" w:hAnsi="宋体" w:cs="宋体"/>
          <w:szCs w:val="21"/>
        </w:rPr>
      </w:pPr>
    </w:p>
    <w:p w14:paraId="37B017B6">
      <w:pPr>
        <w:rPr>
          <w:rFonts w:hint="eastAsia" w:ascii="宋体" w:hAnsi="宋体" w:cs="宋体"/>
          <w:szCs w:val="21"/>
        </w:rPr>
      </w:pPr>
    </w:p>
    <w:p w14:paraId="19A4A7EF">
      <w:pPr>
        <w:rPr>
          <w:rFonts w:hint="eastAsia" w:ascii="宋体" w:hAnsi="宋体" w:cs="宋体"/>
          <w:szCs w:val="21"/>
        </w:rPr>
      </w:pPr>
    </w:p>
    <w:p w14:paraId="24446430">
      <w:pPr>
        <w:rPr>
          <w:rFonts w:hint="eastAsia" w:ascii="宋体" w:hAnsi="宋体" w:cs="宋体"/>
          <w:szCs w:val="21"/>
        </w:rPr>
      </w:pPr>
    </w:p>
    <w:p w14:paraId="4E70A352">
      <w:pPr>
        <w:rPr>
          <w:rFonts w:hint="eastAsia" w:ascii="宋体" w:hAnsi="宋体" w:cs="宋体"/>
          <w:szCs w:val="21"/>
        </w:rPr>
      </w:pPr>
    </w:p>
    <w:p w14:paraId="350378C0">
      <w:pPr>
        <w:rPr>
          <w:rFonts w:hint="eastAsia" w:ascii="宋体" w:hAnsi="宋体" w:cs="宋体"/>
          <w:szCs w:val="21"/>
        </w:rPr>
      </w:pPr>
    </w:p>
    <w:p w14:paraId="7E5099A7">
      <w:pPr>
        <w:rPr>
          <w:rFonts w:hint="eastAsia" w:ascii="宋体" w:hAnsi="宋体" w:cs="宋体"/>
          <w:szCs w:val="21"/>
        </w:rPr>
      </w:pPr>
    </w:p>
    <w:p w14:paraId="41B7333E">
      <w:pPr>
        <w:rPr>
          <w:rFonts w:hint="eastAsia" w:ascii="宋体" w:hAnsi="宋体" w:cs="宋体"/>
          <w:szCs w:val="21"/>
        </w:rPr>
      </w:pPr>
    </w:p>
    <w:p w14:paraId="5D8C8606">
      <w:pPr>
        <w:rPr>
          <w:rFonts w:hint="eastAsia" w:ascii="宋体" w:hAnsi="宋体" w:cs="宋体"/>
          <w:szCs w:val="21"/>
        </w:rPr>
      </w:pPr>
    </w:p>
    <w:p w14:paraId="11284919">
      <w:pPr>
        <w:rPr>
          <w:rFonts w:hint="eastAsia" w:ascii="宋体" w:hAnsi="宋体" w:cs="宋体"/>
          <w:szCs w:val="21"/>
        </w:rPr>
      </w:pPr>
    </w:p>
    <w:p w14:paraId="77A71856">
      <w:pPr>
        <w:rPr>
          <w:rFonts w:hint="eastAsia" w:ascii="宋体" w:hAnsi="宋体" w:cs="宋体"/>
          <w:szCs w:val="21"/>
        </w:rPr>
      </w:pPr>
    </w:p>
    <w:p w14:paraId="18129C2A">
      <w:pPr>
        <w:rPr>
          <w:rFonts w:hint="eastAsia" w:ascii="宋体" w:hAnsi="宋体" w:cs="宋体"/>
          <w:szCs w:val="21"/>
        </w:rPr>
      </w:pPr>
    </w:p>
    <w:p w14:paraId="167DFFAC">
      <w:pPr>
        <w:widowControl/>
        <w:jc w:val="left"/>
        <w:rPr>
          <w:color w:val="000000" w:themeColor="text1"/>
          <w14:textFill>
            <w14:solidFill>
              <w14:schemeClr w14:val="tx1"/>
            </w14:solidFill>
          </w14:textFill>
        </w:rPr>
      </w:pPr>
    </w:p>
    <w:sectPr>
      <w:headerReference r:id="rId10" w:type="default"/>
      <w:footerReference r:id="rId11" w:type="default"/>
      <w:type w:val="continuous"/>
      <w:pgSz w:w="11906" w:h="16838"/>
      <w:pgMar w:top="1134" w:right="1274" w:bottom="1134" w:left="1276" w:header="851" w:footer="25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utura Bk">
    <w:altName w:val="Arial"/>
    <w:panose1 w:val="00000000000000000000"/>
    <w:charset w:val="00"/>
    <w:family w:val="auto"/>
    <w:pitch w:val="default"/>
    <w:sig w:usb0="00000000" w:usb1="00000000" w:usb2="00000000" w:usb3="00000000" w:csb0="0000001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3E40">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6AD0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F6AD0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81C8">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C5188">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7C5188">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D49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08C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3308C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98972">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7AC62">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37AC6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81CD">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75958">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CF75958">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4035">
    <w:pPr>
      <w:pStyle w:val="20"/>
      <w:ind w:firstLine="36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39E16">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A39E16">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7BA77">
                          <w:pPr>
                            <w:pStyle w:val="20"/>
                            <w:ind w:firstLine="361"/>
                            <w:jc w:val="center"/>
                          </w:pPr>
                        </w:p>
                        <w:p w14:paraId="0CA799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537BA77">
                    <w:pPr>
                      <w:pStyle w:val="20"/>
                      <w:ind w:firstLine="361"/>
                      <w:jc w:val="center"/>
                    </w:pPr>
                  </w:p>
                  <w:p w14:paraId="0CA7997F"/>
                </w:txbxContent>
              </v:textbox>
            </v:shape>
          </w:pict>
        </mc:Fallback>
      </mc:AlternateContent>
    </w:r>
  </w:p>
  <w:p w14:paraId="5FC2BEE5">
    <w:pPr>
      <w:pStyle w:val="20"/>
      <w:ind w:firstLine="361"/>
      <w:rPr>
        <w:kern w:val="0"/>
        <w:szCs w:val="21"/>
      </w:rPr>
    </w:pPr>
  </w:p>
  <w:p w14:paraId="1914100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8CCF">
    <w:pPr>
      <w:pStyle w:val="2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3BAC">
    <w:pPr>
      <w:pStyle w:val="2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D4D3">
    <w:pPr>
      <w:pStyle w:val="21"/>
      <w:pBdr>
        <w:bottom w:val="none" w:color="auto" w:sz="0" w:space="0"/>
      </w:pBdr>
      <w:ind w:firstLine="361"/>
    </w:pPr>
  </w:p>
  <w:p w14:paraId="2CF60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09AE"/>
    <w:multiLevelType w:val="singleLevel"/>
    <w:tmpl w:val="82D909AE"/>
    <w:lvl w:ilvl="0" w:tentative="0">
      <w:start w:val="2"/>
      <w:numFmt w:val="chineseCounting"/>
      <w:suff w:val="space"/>
      <w:lvlText w:val="第%1章"/>
      <w:lvlJc w:val="left"/>
      <w:rPr>
        <w:rFonts w:hint="eastAsia"/>
      </w:rPr>
    </w:lvl>
  </w:abstractNum>
  <w:abstractNum w:abstractNumId="1">
    <w:nsid w:val="8B549825"/>
    <w:multiLevelType w:val="singleLevel"/>
    <w:tmpl w:val="8B549825"/>
    <w:lvl w:ilvl="0" w:tentative="0">
      <w:start w:val="1"/>
      <w:numFmt w:val="chineseCounting"/>
      <w:suff w:val="nothing"/>
      <w:lvlText w:val="（%1）"/>
      <w:lvlJc w:val="left"/>
      <w:pPr>
        <w:ind w:left="105" w:leftChars="0" w:firstLine="0" w:firstLineChars="0"/>
      </w:pPr>
      <w:rPr>
        <w:rFonts w:hint="eastAsia"/>
      </w:rPr>
    </w:lvl>
  </w:abstractNum>
  <w:abstractNum w:abstractNumId="2">
    <w:nsid w:val="A7C71E4E"/>
    <w:multiLevelType w:val="singleLevel"/>
    <w:tmpl w:val="A7C71E4E"/>
    <w:lvl w:ilvl="0" w:tentative="0">
      <w:start w:val="2"/>
      <w:numFmt w:val="chineseCounting"/>
      <w:suff w:val="nothing"/>
      <w:lvlText w:val="%1、"/>
      <w:lvlJc w:val="left"/>
      <w:rPr>
        <w:rFonts w:hint="eastAsia"/>
      </w:rPr>
    </w:lvl>
  </w:abstractNum>
  <w:abstractNum w:abstractNumId="3">
    <w:nsid w:val="DCE14C15"/>
    <w:multiLevelType w:val="singleLevel"/>
    <w:tmpl w:val="DCE14C15"/>
    <w:lvl w:ilvl="0" w:tentative="0">
      <w:start w:val="3"/>
      <w:numFmt w:val="chineseCounting"/>
      <w:suff w:val="nothing"/>
      <w:lvlText w:val="%1、"/>
      <w:lvlJc w:val="left"/>
      <w:rPr>
        <w:rFonts w:hint="eastAsia"/>
      </w:rPr>
    </w:lvl>
  </w:abstractNum>
  <w:abstractNum w:abstractNumId="4">
    <w:nsid w:val="FCDC5A4D"/>
    <w:multiLevelType w:val="singleLevel"/>
    <w:tmpl w:val="FCDC5A4D"/>
    <w:lvl w:ilvl="0" w:tentative="0">
      <w:start w:val="3"/>
      <w:numFmt w:val="decimal"/>
      <w:suff w:val="nothing"/>
      <w:lvlText w:val="%1、"/>
      <w:lvlJc w:val="left"/>
    </w:lvl>
  </w:abstractNum>
  <w:abstractNum w:abstractNumId="5">
    <w:nsid w:val="FFFFFF7D"/>
    <w:multiLevelType w:val="singleLevel"/>
    <w:tmpl w:val="FFFFFF7D"/>
    <w:lvl w:ilvl="0" w:tentative="0">
      <w:start w:val="1"/>
      <w:numFmt w:val="decimal"/>
      <w:pStyle w:val="16"/>
      <w:lvlText w:val="%1."/>
      <w:lvlJc w:val="left"/>
      <w:pPr>
        <w:tabs>
          <w:tab w:val="left" w:pos="1620"/>
        </w:tabs>
        <w:ind w:left="1620" w:leftChars="600" w:hanging="360" w:hangingChars="200"/>
      </w:pPr>
    </w:lvl>
  </w:abstractNum>
  <w:abstractNum w:abstractNumId="6">
    <w:nsid w:val="0000000A"/>
    <w:multiLevelType w:val="singleLevel"/>
    <w:tmpl w:val="0000000A"/>
    <w:lvl w:ilvl="0" w:tentative="0">
      <w:start w:val="1"/>
      <w:numFmt w:val="decimal"/>
      <w:suff w:val="nothing"/>
      <w:lvlText w:val="%1）"/>
      <w:lvlJc w:val="left"/>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jgxOTQyYWI5ZjYwNGYwMjFkNjI0NmQxN2MxNDIifQ=="/>
  </w:docVars>
  <w:rsids>
    <w:rsidRoot w:val="00BC0A06"/>
    <w:rsid w:val="00000139"/>
    <w:rsid w:val="0000107B"/>
    <w:rsid w:val="00001351"/>
    <w:rsid w:val="00001616"/>
    <w:rsid w:val="00001857"/>
    <w:rsid w:val="0000190C"/>
    <w:rsid w:val="000036AE"/>
    <w:rsid w:val="000045C2"/>
    <w:rsid w:val="00004EC3"/>
    <w:rsid w:val="000053D9"/>
    <w:rsid w:val="000053DD"/>
    <w:rsid w:val="00006308"/>
    <w:rsid w:val="000067D2"/>
    <w:rsid w:val="00010099"/>
    <w:rsid w:val="00010723"/>
    <w:rsid w:val="0001082C"/>
    <w:rsid w:val="00011540"/>
    <w:rsid w:val="00011FAA"/>
    <w:rsid w:val="00012FC0"/>
    <w:rsid w:val="00013165"/>
    <w:rsid w:val="000131FB"/>
    <w:rsid w:val="00013217"/>
    <w:rsid w:val="0001372D"/>
    <w:rsid w:val="00013F7B"/>
    <w:rsid w:val="000150F2"/>
    <w:rsid w:val="00015267"/>
    <w:rsid w:val="000176E2"/>
    <w:rsid w:val="00017C39"/>
    <w:rsid w:val="00020487"/>
    <w:rsid w:val="000209C3"/>
    <w:rsid w:val="00021A4D"/>
    <w:rsid w:val="00021CDE"/>
    <w:rsid w:val="00021CF2"/>
    <w:rsid w:val="0002235A"/>
    <w:rsid w:val="000225BC"/>
    <w:rsid w:val="00022F32"/>
    <w:rsid w:val="00023C49"/>
    <w:rsid w:val="00023E4C"/>
    <w:rsid w:val="0002452C"/>
    <w:rsid w:val="00025333"/>
    <w:rsid w:val="000260AD"/>
    <w:rsid w:val="00026B1D"/>
    <w:rsid w:val="00026CC2"/>
    <w:rsid w:val="000273C7"/>
    <w:rsid w:val="00027A49"/>
    <w:rsid w:val="00027CC8"/>
    <w:rsid w:val="00027CEC"/>
    <w:rsid w:val="00027D38"/>
    <w:rsid w:val="00027E5E"/>
    <w:rsid w:val="00030AD8"/>
    <w:rsid w:val="00030CED"/>
    <w:rsid w:val="000317CA"/>
    <w:rsid w:val="00032134"/>
    <w:rsid w:val="00032BBB"/>
    <w:rsid w:val="0003307A"/>
    <w:rsid w:val="0003343E"/>
    <w:rsid w:val="00033555"/>
    <w:rsid w:val="00033641"/>
    <w:rsid w:val="0003486B"/>
    <w:rsid w:val="00034D19"/>
    <w:rsid w:val="00034E70"/>
    <w:rsid w:val="00034EE8"/>
    <w:rsid w:val="00035E03"/>
    <w:rsid w:val="000367AA"/>
    <w:rsid w:val="000369D2"/>
    <w:rsid w:val="00037ABE"/>
    <w:rsid w:val="000407B3"/>
    <w:rsid w:val="0004094E"/>
    <w:rsid w:val="00040A25"/>
    <w:rsid w:val="0004111B"/>
    <w:rsid w:val="000415B1"/>
    <w:rsid w:val="00041BE4"/>
    <w:rsid w:val="0004279E"/>
    <w:rsid w:val="0004335D"/>
    <w:rsid w:val="00043AC8"/>
    <w:rsid w:val="00043B5F"/>
    <w:rsid w:val="000447F2"/>
    <w:rsid w:val="00044B3F"/>
    <w:rsid w:val="000450E4"/>
    <w:rsid w:val="00045883"/>
    <w:rsid w:val="00045A3C"/>
    <w:rsid w:val="00046374"/>
    <w:rsid w:val="00046C41"/>
    <w:rsid w:val="000470BC"/>
    <w:rsid w:val="00047114"/>
    <w:rsid w:val="0005095B"/>
    <w:rsid w:val="00050D64"/>
    <w:rsid w:val="00050DEE"/>
    <w:rsid w:val="00050E9E"/>
    <w:rsid w:val="00051B80"/>
    <w:rsid w:val="00052F70"/>
    <w:rsid w:val="00053F58"/>
    <w:rsid w:val="0005415C"/>
    <w:rsid w:val="000550AC"/>
    <w:rsid w:val="00055835"/>
    <w:rsid w:val="00055B9A"/>
    <w:rsid w:val="00055C01"/>
    <w:rsid w:val="00055F72"/>
    <w:rsid w:val="000566FC"/>
    <w:rsid w:val="0005769A"/>
    <w:rsid w:val="00057A16"/>
    <w:rsid w:val="0006014D"/>
    <w:rsid w:val="000601BC"/>
    <w:rsid w:val="00060954"/>
    <w:rsid w:val="00060E2E"/>
    <w:rsid w:val="00060FF6"/>
    <w:rsid w:val="0006107F"/>
    <w:rsid w:val="00061AE1"/>
    <w:rsid w:val="00061B2C"/>
    <w:rsid w:val="00063583"/>
    <w:rsid w:val="00064447"/>
    <w:rsid w:val="00065C18"/>
    <w:rsid w:val="000668F7"/>
    <w:rsid w:val="00066E95"/>
    <w:rsid w:val="00067BAD"/>
    <w:rsid w:val="00067FB7"/>
    <w:rsid w:val="000702F9"/>
    <w:rsid w:val="0007071F"/>
    <w:rsid w:val="0007087F"/>
    <w:rsid w:val="00070E4F"/>
    <w:rsid w:val="00071492"/>
    <w:rsid w:val="00071E30"/>
    <w:rsid w:val="0007335F"/>
    <w:rsid w:val="000733CB"/>
    <w:rsid w:val="000735C6"/>
    <w:rsid w:val="000749EA"/>
    <w:rsid w:val="00074E62"/>
    <w:rsid w:val="0007669B"/>
    <w:rsid w:val="00077441"/>
    <w:rsid w:val="000779FD"/>
    <w:rsid w:val="00077C97"/>
    <w:rsid w:val="0008040C"/>
    <w:rsid w:val="00080E9A"/>
    <w:rsid w:val="00081307"/>
    <w:rsid w:val="00081811"/>
    <w:rsid w:val="00081A6F"/>
    <w:rsid w:val="00083162"/>
    <w:rsid w:val="000839AD"/>
    <w:rsid w:val="000849E1"/>
    <w:rsid w:val="00085105"/>
    <w:rsid w:val="00086CA9"/>
    <w:rsid w:val="00087727"/>
    <w:rsid w:val="00087AAD"/>
    <w:rsid w:val="00087E11"/>
    <w:rsid w:val="00090553"/>
    <w:rsid w:val="00090784"/>
    <w:rsid w:val="00091498"/>
    <w:rsid w:val="00091A59"/>
    <w:rsid w:val="00091AB0"/>
    <w:rsid w:val="0009261A"/>
    <w:rsid w:val="00092D91"/>
    <w:rsid w:val="00094603"/>
    <w:rsid w:val="000951EF"/>
    <w:rsid w:val="0009524E"/>
    <w:rsid w:val="00095920"/>
    <w:rsid w:val="00095E9A"/>
    <w:rsid w:val="00096C32"/>
    <w:rsid w:val="00096F0A"/>
    <w:rsid w:val="00097B9D"/>
    <w:rsid w:val="00097D22"/>
    <w:rsid w:val="00097D7E"/>
    <w:rsid w:val="000A0103"/>
    <w:rsid w:val="000A0331"/>
    <w:rsid w:val="000A0956"/>
    <w:rsid w:val="000A0D2D"/>
    <w:rsid w:val="000A0DDE"/>
    <w:rsid w:val="000A147D"/>
    <w:rsid w:val="000A33D8"/>
    <w:rsid w:val="000A3ADA"/>
    <w:rsid w:val="000A4221"/>
    <w:rsid w:val="000A4912"/>
    <w:rsid w:val="000A4C96"/>
    <w:rsid w:val="000A637E"/>
    <w:rsid w:val="000A6D99"/>
    <w:rsid w:val="000A756D"/>
    <w:rsid w:val="000B1196"/>
    <w:rsid w:val="000B162E"/>
    <w:rsid w:val="000B16A7"/>
    <w:rsid w:val="000B1E87"/>
    <w:rsid w:val="000B208E"/>
    <w:rsid w:val="000B28DB"/>
    <w:rsid w:val="000B2A5F"/>
    <w:rsid w:val="000B2EA7"/>
    <w:rsid w:val="000B318B"/>
    <w:rsid w:val="000B332C"/>
    <w:rsid w:val="000B3DC5"/>
    <w:rsid w:val="000B44C6"/>
    <w:rsid w:val="000B46A2"/>
    <w:rsid w:val="000B4C39"/>
    <w:rsid w:val="000B56F1"/>
    <w:rsid w:val="000B590F"/>
    <w:rsid w:val="000B6583"/>
    <w:rsid w:val="000B7447"/>
    <w:rsid w:val="000B75CD"/>
    <w:rsid w:val="000B7AA8"/>
    <w:rsid w:val="000C021F"/>
    <w:rsid w:val="000C0C00"/>
    <w:rsid w:val="000C1DC6"/>
    <w:rsid w:val="000C34F2"/>
    <w:rsid w:val="000C48DE"/>
    <w:rsid w:val="000C4B01"/>
    <w:rsid w:val="000C5A51"/>
    <w:rsid w:val="000C6525"/>
    <w:rsid w:val="000C69B4"/>
    <w:rsid w:val="000C77F6"/>
    <w:rsid w:val="000C7C49"/>
    <w:rsid w:val="000C7D28"/>
    <w:rsid w:val="000D0040"/>
    <w:rsid w:val="000D0336"/>
    <w:rsid w:val="000D130E"/>
    <w:rsid w:val="000D153D"/>
    <w:rsid w:val="000D1936"/>
    <w:rsid w:val="000D1AA4"/>
    <w:rsid w:val="000D1DF0"/>
    <w:rsid w:val="000D24C2"/>
    <w:rsid w:val="000D278E"/>
    <w:rsid w:val="000D291A"/>
    <w:rsid w:val="000D2A21"/>
    <w:rsid w:val="000D2A35"/>
    <w:rsid w:val="000D2B33"/>
    <w:rsid w:val="000D32EC"/>
    <w:rsid w:val="000D33F2"/>
    <w:rsid w:val="000D3A03"/>
    <w:rsid w:val="000D4CFD"/>
    <w:rsid w:val="000D6C97"/>
    <w:rsid w:val="000D6DDF"/>
    <w:rsid w:val="000D7508"/>
    <w:rsid w:val="000D75BD"/>
    <w:rsid w:val="000D79EB"/>
    <w:rsid w:val="000D7AF8"/>
    <w:rsid w:val="000D7E24"/>
    <w:rsid w:val="000E028B"/>
    <w:rsid w:val="000E1949"/>
    <w:rsid w:val="000E2164"/>
    <w:rsid w:val="000E2837"/>
    <w:rsid w:val="000E2B01"/>
    <w:rsid w:val="000E2E55"/>
    <w:rsid w:val="000E3EEF"/>
    <w:rsid w:val="000E416C"/>
    <w:rsid w:val="000E454D"/>
    <w:rsid w:val="000E515F"/>
    <w:rsid w:val="000E56DE"/>
    <w:rsid w:val="000E575B"/>
    <w:rsid w:val="000E706B"/>
    <w:rsid w:val="000E70F6"/>
    <w:rsid w:val="000F01C0"/>
    <w:rsid w:val="000F02E6"/>
    <w:rsid w:val="000F1074"/>
    <w:rsid w:val="000F13AF"/>
    <w:rsid w:val="000F1C1B"/>
    <w:rsid w:val="000F2A94"/>
    <w:rsid w:val="000F2E5E"/>
    <w:rsid w:val="000F323A"/>
    <w:rsid w:val="000F3B6C"/>
    <w:rsid w:val="000F421C"/>
    <w:rsid w:val="000F4C37"/>
    <w:rsid w:val="000F55ED"/>
    <w:rsid w:val="000F5680"/>
    <w:rsid w:val="000F5897"/>
    <w:rsid w:val="000F5D86"/>
    <w:rsid w:val="000F6027"/>
    <w:rsid w:val="000F6AD6"/>
    <w:rsid w:val="000F6B56"/>
    <w:rsid w:val="000F6E50"/>
    <w:rsid w:val="001007C1"/>
    <w:rsid w:val="00101417"/>
    <w:rsid w:val="001022F2"/>
    <w:rsid w:val="001032D2"/>
    <w:rsid w:val="00103FBC"/>
    <w:rsid w:val="00105664"/>
    <w:rsid w:val="00105C54"/>
    <w:rsid w:val="001062C4"/>
    <w:rsid w:val="00106DD0"/>
    <w:rsid w:val="00107E23"/>
    <w:rsid w:val="00111062"/>
    <w:rsid w:val="001111C6"/>
    <w:rsid w:val="001113A5"/>
    <w:rsid w:val="00112791"/>
    <w:rsid w:val="00112993"/>
    <w:rsid w:val="0011355D"/>
    <w:rsid w:val="0011384C"/>
    <w:rsid w:val="0011396E"/>
    <w:rsid w:val="00113FC6"/>
    <w:rsid w:val="0011495F"/>
    <w:rsid w:val="00114F22"/>
    <w:rsid w:val="00115E32"/>
    <w:rsid w:val="00116541"/>
    <w:rsid w:val="00116EB5"/>
    <w:rsid w:val="001172A3"/>
    <w:rsid w:val="00117A86"/>
    <w:rsid w:val="001204FF"/>
    <w:rsid w:val="00120CB6"/>
    <w:rsid w:val="00121115"/>
    <w:rsid w:val="00121412"/>
    <w:rsid w:val="001222DD"/>
    <w:rsid w:val="001223F9"/>
    <w:rsid w:val="00122D30"/>
    <w:rsid w:val="00122D3E"/>
    <w:rsid w:val="00123169"/>
    <w:rsid w:val="001236D5"/>
    <w:rsid w:val="0012439F"/>
    <w:rsid w:val="00124AFE"/>
    <w:rsid w:val="00124D7A"/>
    <w:rsid w:val="00124EDB"/>
    <w:rsid w:val="0012509E"/>
    <w:rsid w:val="00126051"/>
    <w:rsid w:val="0012620A"/>
    <w:rsid w:val="0012621D"/>
    <w:rsid w:val="00127FAF"/>
    <w:rsid w:val="00130AB2"/>
    <w:rsid w:val="00131683"/>
    <w:rsid w:val="00131B3F"/>
    <w:rsid w:val="00131F48"/>
    <w:rsid w:val="00132636"/>
    <w:rsid w:val="00132E4D"/>
    <w:rsid w:val="00133BA3"/>
    <w:rsid w:val="00133CBD"/>
    <w:rsid w:val="00133D3A"/>
    <w:rsid w:val="00133F40"/>
    <w:rsid w:val="00134E37"/>
    <w:rsid w:val="00136020"/>
    <w:rsid w:val="001360FC"/>
    <w:rsid w:val="001363C1"/>
    <w:rsid w:val="00136F2C"/>
    <w:rsid w:val="001373C7"/>
    <w:rsid w:val="001375A8"/>
    <w:rsid w:val="001375E4"/>
    <w:rsid w:val="001407C7"/>
    <w:rsid w:val="0014100A"/>
    <w:rsid w:val="00143696"/>
    <w:rsid w:val="00143787"/>
    <w:rsid w:val="00143FF7"/>
    <w:rsid w:val="00144B9A"/>
    <w:rsid w:val="001458B5"/>
    <w:rsid w:val="0014653F"/>
    <w:rsid w:val="00146B1C"/>
    <w:rsid w:val="00146D3C"/>
    <w:rsid w:val="00147531"/>
    <w:rsid w:val="00147A6E"/>
    <w:rsid w:val="00150017"/>
    <w:rsid w:val="001504B3"/>
    <w:rsid w:val="00150F5B"/>
    <w:rsid w:val="00150FD2"/>
    <w:rsid w:val="001517FA"/>
    <w:rsid w:val="00151AF1"/>
    <w:rsid w:val="00151F9D"/>
    <w:rsid w:val="0015311C"/>
    <w:rsid w:val="00153203"/>
    <w:rsid w:val="00153ACA"/>
    <w:rsid w:val="00153CFC"/>
    <w:rsid w:val="00154CD8"/>
    <w:rsid w:val="0015506F"/>
    <w:rsid w:val="0015597C"/>
    <w:rsid w:val="0015624B"/>
    <w:rsid w:val="001564A4"/>
    <w:rsid w:val="00156900"/>
    <w:rsid w:val="00156A6A"/>
    <w:rsid w:val="00156CB6"/>
    <w:rsid w:val="00157978"/>
    <w:rsid w:val="0016025E"/>
    <w:rsid w:val="00160802"/>
    <w:rsid w:val="00161178"/>
    <w:rsid w:val="0016143D"/>
    <w:rsid w:val="0016170E"/>
    <w:rsid w:val="00161AEE"/>
    <w:rsid w:val="00163495"/>
    <w:rsid w:val="00163779"/>
    <w:rsid w:val="001639C0"/>
    <w:rsid w:val="00165846"/>
    <w:rsid w:val="00166238"/>
    <w:rsid w:val="00167C19"/>
    <w:rsid w:val="00170CE3"/>
    <w:rsid w:val="00170FBD"/>
    <w:rsid w:val="00170FEB"/>
    <w:rsid w:val="001716ED"/>
    <w:rsid w:val="0017193F"/>
    <w:rsid w:val="00171C55"/>
    <w:rsid w:val="00171E68"/>
    <w:rsid w:val="00172246"/>
    <w:rsid w:val="00172AB0"/>
    <w:rsid w:val="00172EC3"/>
    <w:rsid w:val="00174733"/>
    <w:rsid w:val="00174BF0"/>
    <w:rsid w:val="00176088"/>
    <w:rsid w:val="0017679A"/>
    <w:rsid w:val="00176D5C"/>
    <w:rsid w:val="00176E91"/>
    <w:rsid w:val="001777BF"/>
    <w:rsid w:val="0018014D"/>
    <w:rsid w:val="00180A60"/>
    <w:rsid w:val="001811B0"/>
    <w:rsid w:val="00181604"/>
    <w:rsid w:val="00181950"/>
    <w:rsid w:val="00181D07"/>
    <w:rsid w:val="00181D5D"/>
    <w:rsid w:val="001822EE"/>
    <w:rsid w:val="00182669"/>
    <w:rsid w:val="00183845"/>
    <w:rsid w:val="001839A5"/>
    <w:rsid w:val="00183A1C"/>
    <w:rsid w:val="00184B1A"/>
    <w:rsid w:val="00185BAD"/>
    <w:rsid w:val="00185D10"/>
    <w:rsid w:val="00185E52"/>
    <w:rsid w:val="00186E75"/>
    <w:rsid w:val="00186E86"/>
    <w:rsid w:val="00187049"/>
    <w:rsid w:val="00191A11"/>
    <w:rsid w:val="00191BAF"/>
    <w:rsid w:val="00191BBD"/>
    <w:rsid w:val="00192EDF"/>
    <w:rsid w:val="001943C2"/>
    <w:rsid w:val="001956F6"/>
    <w:rsid w:val="0019586F"/>
    <w:rsid w:val="001961E5"/>
    <w:rsid w:val="0019686E"/>
    <w:rsid w:val="00196991"/>
    <w:rsid w:val="00196D89"/>
    <w:rsid w:val="00196E1C"/>
    <w:rsid w:val="00197723"/>
    <w:rsid w:val="001A06DA"/>
    <w:rsid w:val="001A0C0B"/>
    <w:rsid w:val="001A0C59"/>
    <w:rsid w:val="001A0CC2"/>
    <w:rsid w:val="001A0D8E"/>
    <w:rsid w:val="001A12B0"/>
    <w:rsid w:val="001A174D"/>
    <w:rsid w:val="001A1A69"/>
    <w:rsid w:val="001A1B18"/>
    <w:rsid w:val="001A26B9"/>
    <w:rsid w:val="001A2735"/>
    <w:rsid w:val="001A3695"/>
    <w:rsid w:val="001A3784"/>
    <w:rsid w:val="001A3B7F"/>
    <w:rsid w:val="001A3DC7"/>
    <w:rsid w:val="001A43EB"/>
    <w:rsid w:val="001A55C6"/>
    <w:rsid w:val="001A5A17"/>
    <w:rsid w:val="001A5D09"/>
    <w:rsid w:val="001A6087"/>
    <w:rsid w:val="001A60CD"/>
    <w:rsid w:val="001A6EE2"/>
    <w:rsid w:val="001A7817"/>
    <w:rsid w:val="001B2D02"/>
    <w:rsid w:val="001B3018"/>
    <w:rsid w:val="001B37FC"/>
    <w:rsid w:val="001B3C2A"/>
    <w:rsid w:val="001B3E80"/>
    <w:rsid w:val="001B4EE8"/>
    <w:rsid w:val="001B5DD2"/>
    <w:rsid w:val="001B6068"/>
    <w:rsid w:val="001B700B"/>
    <w:rsid w:val="001C0AE0"/>
    <w:rsid w:val="001C0F0E"/>
    <w:rsid w:val="001C1A4D"/>
    <w:rsid w:val="001C2753"/>
    <w:rsid w:val="001C2B5F"/>
    <w:rsid w:val="001C2C2A"/>
    <w:rsid w:val="001C2E15"/>
    <w:rsid w:val="001C31B2"/>
    <w:rsid w:val="001C38DD"/>
    <w:rsid w:val="001C4002"/>
    <w:rsid w:val="001C46EA"/>
    <w:rsid w:val="001C57FE"/>
    <w:rsid w:val="001C62BD"/>
    <w:rsid w:val="001C682C"/>
    <w:rsid w:val="001C6CAA"/>
    <w:rsid w:val="001C7542"/>
    <w:rsid w:val="001C7CDF"/>
    <w:rsid w:val="001D03DA"/>
    <w:rsid w:val="001D063F"/>
    <w:rsid w:val="001D099A"/>
    <w:rsid w:val="001D1B9F"/>
    <w:rsid w:val="001D1C72"/>
    <w:rsid w:val="001D2D6D"/>
    <w:rsid w:val="001D308A"/>
    <w:rsid w:val="001D350B"/>
    <w:rsid w:val="001D39A1"/>
    <w:rsid w:val="001D5538"/>
    <w:rsid w:val="001D5AA4"/>
    <w:rsid w:val="001D6BF5"/>
    <w:rsid w:val="001D6CC5"/>
    <w:rsid w:val="001D6E4F"/>
    <w:rsid w:val="001D7BAA"/>
    <w:rsid w:val="001D7BB5"/>
    <w:rsid w:val="001E046D"/>
    <w:rsid w:val="001E0975"/>
    <w:rsid w:val="001E0BA7"/>
    <w:rsid w:val="001E14E9"/>
    <w:rsid w:val="001E1A83"/>
    <w:rsid w:val="001E1E4B"/>
    <w:rsid w:val="001E28D3"/>
    <w:rsid w:val="001E2D22"/>
    <w:rsid w:val="001E3F1A"/>
    <w:rsid w:val="001E4836"/>
    <w:rsid w:val="001E4B3B"/>
    <w:rsid w:val="001E5C00"/>
    <w:rsid w:val="001E6A8B"/>
    <w:rsid w:val="001E6C80"/>
    <w:rsid w:val="001E6F65"/>
    <w:rsid w:val="001E72E4"/>
    <w:rsid w:val="001E77DC"/>
    <w:rsid w:val="001F1468"/>
    <w:rsid w:val="001F2335"/>
    <w:rsid w:val="001F2C36"/>
    <w:rsid w:val="001F30A5"/>
    <w:rsid w:val="001F32E1"/>
    <w:rsid w:val="001F3D30"/>
    <w:rsid w:val="001F5049"/>
    <w:rsid w:val="001F57E8"/>
    <w:rsid w:val="001F5872"/>
    <w:rsid w:val="001F658A"/>
    <w:rsid w:val="001F6FBE"/>
    <w:rsid w:val="0020042E"/>
    <w:rsid w:val="00201B76"/>
    <w:rsid w:val="00201F65"/>
    <w:rsid w:val="0020203B"/>
    <w:rsid w:val="00202BAD"/>
    <w:rsid w:val="002030D7"/>
    <w:rsid w:val="002033B0"/>
    <w:rsid w:val="00203813"/>
    <w:rsid w:val="00203CBD"/>
    <w:rsid w:val="00203EB7"/>
    <w:rsid w:val="00204173"/>
    <w:rsid w:val="00204E0B"/>
    <w:rsid w:val="002055AA"/>
    <w:rsid w:val="0020572E"/>
    <w:rsid w:val="002067BE"/>
    <w:rsid w:val="0020749D"/>
    <w:rsid w:val="002074C7"/>
    <w:rsid w:val="002076B2"/>
    <w:rsid w:val="002077D4"/>
    <w:rsid w:val="00207FDF"/>
    <w:rsid w:val="00210A22"/>
    <w:rsid w:val="00210A2F"/>
    <w:rsid w:val="00210C93"/>
    <w:rsid w:val="00210FF5"/>
    <w:rsid w:val="00211D1E"/>
    <w:rsid w:val="00211ED8"/>
    <w:rsid w:val="00211F2E"/>
    <w:rsid w:val="002121FB"/>
    <w:rsid w:val="002132F3"/>
    <w:rsid w:val="00213539"/>
    <w:rsid w:val="0021389D"/>
    <w:rsid w:val="00215256"/>
    <w:rsid w:val="002153EE"/>
    <w:rsid w:val="0021546A"/>
    <w:rsid w:val="00215532"/>
    <w:rsid w:val="00215C31"/>
    <w:rsid w:val="00216140"/>
    <w:rsid w:val="0021681E"/>
    <w:rsid w:val="00216DD0"/>
    <w:rsid w:val="00217077"/>
    <w:rsid w:val="00220121"/>
    <w:rsid w:val="00220417"/>
    <w:rsid w:val="0022082E"/>
    <w:rsid w:val="00220DD3"/>
    <w:rsid w:val="002214F8"/>
    <w:rsid w:val="00221E2B"/>
    <w:rsid w:val="00222143"/>
    <w:rsid w:val="00222549"/>
    <w:rsid w:val="0022331B"/>
    <w:rsid w:val="002234D2"/>
    <w:rsid w:val="00223CD4"/>
    <w:rsid w:val="002245E7"/>
    <w:rsid w:val="0022507E"/>
    <w:rsid w:val="00225B0C"/>
    <w:rsid w:val="00225E87"/>
    <w:rsid w:val="002264AE"/>
    <w:rsid w:val="00226C76"/>
    <w:rsid w:val="0023264C"/>
    <w:rsid w:val="0023411F"/>
    <w:rsid w:val="0023434B"/>
    <w:rsid w:val="0023487B"/>
    <w:rsid w:val="00234DDF"/>
    <w:rsid w:val="00235302"/>
    <w:rsid w:val="002353CC"/>
    <w:rsid w:val="0023545C"/>
    <w:rsid w:val="0023575F"/>
    <w:rsid w:val="00235E4D"/>
    <w:rsid w:val="002367A2"/>
    <w:rsid w:val="00237206"/>
    <w:rsid w:val="00237FF3"/>
    <w:rsid w:val="00240388"/>
    <w:rsid w:val="0024050C"/>
    <w:rsid w:val="00240D95"/>
    <w:rsid w:val="00240FEC"/>
    <w:rsid w:val="002416B2"/>
    <w:rsid w:val="00242A57"/>
    <w:rsid w:val="00242EA2"/>
    <w:rsid w:val="002458CA"/>
    <w:rsid w:val="00245F3C"/>
    <w:rsid w:val="00245FF9"/>
    <w:rsid w:val="002470CB"/>
    <w:rsid w:val="0024728E"/>
    <w:rsid w:val="0024774E"/>
    <w:rsid w:val="00247A3F"/>
    <w:rsid w:val="00247CD9"/>
    <w:rsid w:val="002507AA"/>
    <w:rsid w:val="00253993"/>
    <w:rsid w:val="002549ED"/>
    <w:rsid w:val="00254A27"/>
    <w:rsid w:val="00255BF9"/>
    <w:rsid w:val="00255FCF"/>
    <w:rsid w:val="00256489"/>
    <w:rsid w:val="0025677D"/>
    <w:rsid w:val="00256852"/>
    <w:rsid w:val="00257583"/>
    <w:rsid w:val="00257C06"/>
    <w:rsid w:val="002600B8"/>
    <w:rsid w:val="00260567"/>
    <w:rsid w:val="00260A07"/>
    <w:rsid w:val="002613F0"/>
    <w:rsid w:val="0026184C"/>
    <w:rsid w:val="00262B33"/>
    <w:rsid w:val="00263AB5"/>
    <w:rsid w:val="00263D21"/>
    <w:rsid w:val="00263D2F"/>
    <w:rsid w:val="0026546B"/>
    <w:rsid w:val="00265BF6"/>
    <w:rsid w:val="00265D74"/>
    <w:rsid w:val="002662FA"/>
    <w:rsid w:val="002666A8"/>
    <w:rsid w:val="0026732B"/>
    <w:rsid w:val="00267627"/>
    <w:rsid w:val="00267758"/>
    <w:rsid w:val="00267917"/>
    <w:rsid w:val="00270ABA"/>
    <w:rsid w:val="00270BEF"/>
    <w:rsid w:val="00272DBA"/>
    <w:rsid w:val="0027319A"/>
    <w:rsid w:val="00273262"/>
    <w:rsid w:val="00273D91"/>
    <w:rsid w:val="00275730"/>
    <w:rsid w:val="00276E78"/>
    <w:rsid w:val="0027710E"/>
    <w:rsid w:val="00277869"/>
    <w:rsid w:val="002805E4"/>
    <w:rsid w:val="00280E3D"/>
    <w:rsid w:val="0028136B"/>
    <w:rsid w:val="00282D58"/>
    <w:rsid w:val="002839B4"/>
    <w:rsid w:val="00283B0C"/>
    <w:rsid w:val="00283D5C"/>
    <w:rsid w:val="002840EE"/>
    <w:rsid w:val="00284B14"/>
    <w:rsid w:val="00285BBA"/>
    <w:rsid w:val="002865E2"/>
    <w:rsid w:val="00286BCF"/>
    <w:rsid w:val="00287327"/>
    <w:rsid w:val="00287CC0"/>
    <w:rsid w:val="0029021B"/>
    <w:rsid w:val="00290767"/>
    <w:rsid w:val="0029085E"/>
    <w:rsid w:val="002909AB"/>
    <w:rsid w:val="002911D5"/>
    <w:rsid w:val="00291CC5"/>
    <w:rsid w:val="00291F0C"/>
    <w:rsid w:val="00292041"/>
    <w:rsid w:val="002929D7"/>
    <w:rsid w:val="00293E2F"/>
    <w:rsid w:val="00294734"/>
    <w:rsid w:val="00294C4F"/>
    <w:rsid w:val="00295C67"/>
    <w:rsid w:val="00296F21"/>
    <w:rsid w:val="002A02A4"/>
    <w:rsid w:val="002A0601"/>
    <w:rsid w:val="002A13BB"/>
    <w:rsid w:val="002A143F"/>
    <w:rsid w:val="002A1BB0"/>
    <w:rsid w:val="002A23F6"/>
    <w:rsid w:val="002A337D"/>
    <w:rsid w:val="002A33CA"/>
    <w:rsid w:val="002A3923"/>
    <w:rsid w:val="002A40F4"/>
    <w:rsid w:val="002A46B3"/>
    <w:rsid w:val="002A5014"/>
    <w:rsid w:val="002A51F8"/>
    <w:rsid w:val="002A51FA"/>
    <w:rsid w:val="002A56B4"/>
    <w:rsid w:val="002A787A"/>
    <w:rsid w:val="002B0084"/>
    <w:rsid w:val="002B08AA"/>
    <w:rsid w:val="002B0932"/>
    <w:rsid w:val="002B0A91"/>
    <w:rsid w:val="002B0EFE"/>
    <w:rsid w:val="002B12DD"/>
    <w:rsid w:val="002B1AA7"/>
    <w:rsid w:val="002B1D02"/>
    <w:rsid w:val="002B342D"/>
    <w:rsid w:val="002B418B"/>
    <w:rsid w:val="002B44A7"/>
    <w:rsid w:val="002B6782"/>
    <w:rsid w:val="002B6A7C"/>
    <w:rsid w:val="002C01E9"/>
    <w:rsid w:val="002C14DC"/>
    <w:rsid w:val="002C18FB"/>
    <w:rsid w:val="002C1F63"/>
    <w:rsid w:val="002C2273"/>
    <w:rsid w:val="002C2E90"/>
    <w:rsid w:val="002C3058"/>
    <w:rsid w:val="002C3655"/>
    <w:rsid w:val="002C49B8"/>
    <w:rsid w:val="002C4CBD"/>
    <w:rsid w:val="002C595B"/>
    <w:rsid w:val="002D033A"/>
    <w:rsid w:val="002D04B3"/>
    <w:rsid w:val="002D0ED8"/>
    <w:rsid w:val="002D0FFF"/>
    <w:rsid w:val="002D1672"/>
    <w:rsid w:val="002D1763"/>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674"/>
    <w:rsid w:val="002D68BE"/>
    <w:rsid w:val="002D759B"/>
    <w:rsid w:val="002D7D28"/>
    <w:rsid w:val="002E003C"/>
    <w:rsid w:val="002E12A6"/>
    <w:rsid w:val="002E207D"/>
    <w:rsid w:val="002E2385"/>
    <w:rsid w:val="002E378A"/>
    <w:rsid w:val="002E390F"/>
    <w:rsid w:val="002E3A85"/>
    <w:rsid w:val="002E5893"/>
    <w:rsid w:val="002E5AC9"/>
    <w:rsid w:val="002E5AE6"/>
    <w:rsid w:val="002E5B85"/>
    <w:rsid w:val="002E5D77"/>
    <w:rsid w:val="002E5EFB"/>
    <w:rsid w:val="002E6A09"/>
    <w:rsid w:val="002E6BA0"/>
    <w:rsid w:val="002F01AD"/>
    <w:rsid w:val="002F04D3"/>
    <w:rsid w:val="002F0A35"/>
    <w:rsid w:val="002F0DC9"/>
    <w:rsid w:val="002F142C"/>
    <w:rsid w:val="002F1C69"/>
    <w:rsid w:val="002F1FD6"/>
    <w:rsid w:val="002F21B8"/>
    <w:rsid w:val="002F27E5"/>
    <w:rsid w:val="002F2931"/>
    <w:rsid w:val="002F3808"/>
    <w:rsid w:val="002F39BA"/>
    <w:rsid w:val="002F47BB"/>
    <w:rsid w:val="002F5279"/>
    <w:rsid w:val="002F55C4"/>
    <w:rsid w:val="002F6266"/>
    <w:rsid w:val="002F6AC7"/>
    <w:rsid w:val="002F6F34"/>
    <w:rsid w:val="002F74AC"/>
    <w:rsid w:val="002F7C47"/>
    <w:rsid w:val="002F7CB2"/>
    <w:rsid w:val="0030006D"/>
    <w:rsid w:val="003004C0"/>
    <w:rsid w:val="00300BF0"/>
    <w:rsid w:val="003011A4"/>
    <w:rsid w:val="00301410"/>
    <w:rsid w:val="003016A8"/>
    <w:rsid w:val="0030176F"/>
    <w:rsid w:val="00301866"/>
    <w:rsid w:val="00301895"/>
    <w:rsid w:val="00302485"/>
    <w:rsid w:val="00302DCD"/>
    <w:rsid w:val="0030369D"/>
    <w:rsid w:val="00303D1E"/>
    <w:rsid w:val="003052B5"/>
    <w:rsid w:val="003057CB"/>
    <w:rsid w:val="003062C0"/>
    <w:rsid w:val="00307176"/>
    <w:rsid w:val="00307C2B"/>
    <w:rsid w:val="00310DCB"/>
    <w:rsid w:val="0031128C"/>
    <w:rsid w:val="00311354"/>
    <w:rsid w:val="00311CF0"/>
    <w:rsid w:val="0031207F"/>
    <w:rsid w:val="00312A64"/>
    <w:rsid w:val="00312C56"/>
    <w:rsid w:val="00312C5E"/>
    <w:rsid w:val="00312FCE"/>
    <w:rsid w:val="003132A5"/>
    <w:rsid w:val="003135AD"/>
    <w:rsid w:val="00313656"/>
    <w:rsid w:val="00314245"/>
    <w:rsid w:val="00314629"/>
    <w:rsid w:val="003151D6"/>
    <w:rsid w:val="003156AE"/>
    <w:rsid w:val="00315782"/>
    <w:rsid w:val="00315C81"/>
    <w:rsid w:val="00315E8C"/>
    <w:rsid w:val="00317500"/>
    <w:rsid w:val="00317701"/>
    <w:rsid w:val="00320063"/>
    <w:rsid w:val="0032014A"/>
    <w:rsid w:val="00320BB5"/>
    <w:rsid w:val="003214F9"/>
    <w:rsid w:val="003216E1"/>
    <w:rsid w:val="00322AC5"/>
    <w:rsid w:val="00322B7A"/>
    <w:rsid w:val="00322EB5"/>
    <w:rsid w:val="00322FEE"/>
    <w:rsid w:val="003230A4"/>
    <w:rsid w:val="00323826"/>
    <w:rsid w:val="00323C9E"/>
    <w:rsid w:val="0032419F"/>
    <w:rsid w:val="00325465"/>
    <w:rsid w:val="00325502"/>
    <w:rsid w:val="00325837"/>
    <w:rsid w:val="00325D44"/>
    <w:rsid w:val="00325DA0"/>
    <w:rsid w:val="00326083"/>
    <w:rsid w:val="0032642C"/>
    <w:rsid w:val="00326634"/>
    <w:rsid w:val="00327877"/>
    <w:rsid w:val="00330AE5"/>
    <w:rsid w:val="003317A2"/>
    <w:rsid w:val="00332221"/>
    <w:rsid w:val="00332314"/>
    <w:rsid w:val="003327BC"/>
    <w:rsid w:val="00332FD6"/>
    <w:rsid w:val="00333482"/>
    <w:rsid w:val="00333FCA"/>
    <w:rsid w:val="003349B0"/>
    <w:rsid w:val="00334A9A"/>
    <w:rsid w:val="00335037"/>
    <w:rsid w:val="003352A1"/>
    <w:rsid w:val="0033541A"/>
    <w:rsid w:val="00335E50"/>
    <w:rsid w:val="00336D4E"/>
    <w:rsid w:val="00337523"/>
    <w:rsid w:val="00337DC7"/>
    <w:rsid w:val="003401F3"/>
    <w:rsid w:val="00340407"/>
    <w:rsid w:val="00340FEB"/>
    <w:rsid w:val="0034131D"/>
    <w:rsid w:val="00341441"/>
    <w:rsid w:val="00341A4A"/>
    <w:rsid w:val="00341AF8"/>
    <w:rsid w:val="00342E67"/>
    <w:rsid w:val="0034329A"/>
    <w:rsid w:val="003432C7"/>
    <w:rsid w:val="00343AE0"/>
    <w:rsid w:val="003445A6"/>
    <w:rsid w:val="00345641"/>
    <w:rsid w:val="00345DF5"/>
    <w:rsid w:val="00345FC9"/>
    <w:rsid w:val="0034683C"/>
    <w:rsid w:val="003471E8"/>
    <w:rsid w:val="003478E0"/>
    <w:rsid w:val="00347D99"/>
    <w:rsid w:val="00351058"/>
    <w:rsid w:val="003513B9"/>
    <w:rsid w:val="00351611"/>
    <w:rsid w:val="003516BA"/>
    <w:rsid w:val="0035196A"/>
    <w:rsid w:val="00351CE1"/>
    <w:rsid w:val="00352288"/>
    <w:rsid w:val="00352B37"/>
    <w:rsid w:val="00353221"/>
    <w:rsid w:val="0035411A"/>
    <w:rsid w:val="0035413A"/>
    <w:rsid w:val="00354656"/>
    <w:rsid w:val="0035478C"/>
    <w:rsid w:val="003553E5"/>
    <w:rsid w:val="0035550A"/>
    <w:rsid w:val="00355FEF"/>
    <w:rsid w:val="003564AB"/>
    <w:rsid w:val="00356676"/>
    <w:rsid w:val="00356E84"/>
    <w:rsid w:val="0035767B"/>
    <w:rsid w:val="0035779B"/>
    <w:rsid w:val="00357928"/>
    <w:rsid w:val="00360699"/>
    <w:rsid w:val="00360913"/>
    <w:rsid w:val="00360D67"/>
    <w:rsid w:val="0036126C"/>
    <w:rsid w:val="00361CAE"/>
    <w:rsid w:val="00362401"/>
    <w:rsid w:val="00363715"/>
    <w:rsid w:val="003638A9"/>
    <w:rsid w:val="00363BBA"/>
    <w:rsid w:val="003648B6"/>
    <w:rsid w:val="003652A9"/>
    <w:rsid w:val="00365EE9"/>
    <w:rsid w:val="00366ED4"/>
    <w:rsid w:val="00367079"/>
    <w:rsid w:val="0036790D"/>
    <w:rsid w:val="00367DE3"/>
    <w:rsid w:val="00370FB7"/>
    <w:rsid w:val="003711A1"/>
    <w:rsid w:val="00371AC2"/>
    <w:rsid w:val="00371E7B"/>
    <w:rsid w:val="003721C7"/>
    <w:rsid w:val="003729D4"/>
    <w:rsid w:val="00373488"/>
    <w:rsid w:val="00373B32"/>
    <w:rsid w:val="00373B73"/>
    <w:rsid w:val="003740C9"/>
    <w:rsid w:val="003745F0"/>
    <w:rsid w:val="00374BA1"/>
    <w:rsid w:val="00374E2E"/>
    <w:rsid w:val="00375369"/>
    <w:rsid w:val="00375BBA"/>
    <w:rsid w:val="00376B55"/>
    <w:rsid w:val="00376C94"/>
    <w:rsid w:val="00376F5F"/>
    <w:rsid w:val="00377A80"/>
    <w:rsid w:val="00377AD2"/>
    <w:rsid w:val="0038009B"/>
    <w:rsid w:val="00380907"/>
    <w:rsid w:val="00380A86"/>
    <w:rsid w:val="003818F2"/>
    <w:rsid w:val="00382058"/>
    <w:rsid w:val="00382856"/>
    <w:rsid w:val="003828CC"/>
    <w:rsid w:val="00382AA2"/>
    <w:rsid w:val="00382BE9"/>
    <w:rsid w:val="00383DD6"/>
    <w:rsid w:val="003847DC"/>
    <w:rsid w:val="00386134"/>
    <w:rsid w:val="0039083A"/>
    <w:rsid w:val="00390A14"/>
    <w:rsid w:val="003916DE"/>
    <w:rsid w:val="00391B33"/>
    <w:rsid w:val="0039215F"/>
    <w:rsid w:val="00393C13"/>
    <w:rsid w:val="003947B1"/>
    <w:rsid w:val="00395317"/>
    <w:rsid w:val="003957D0"/>
    <w:rsid w:val="003A018D"/>
    <w:rsid w:val="003A060E"/>
    <w:rsid w:val="003A15E4"/>
    <w:rsid w:val="003A19B2"/>
    <w:rsid w:val="003A19DF"/>
    <w:rsid w:val="003A1A79"/>
    <w:rsid w:val="003A1FD2"/>
    <w:rsid w:val="003A2C91"/>
    <w:rsid w:val="003A2E74"/>
    <w:rsid w:val="003A394E"/>
    <w:rsid w:val="003A3B63"/>
    <w:rsid w:val="003A3DC8"/>
    <w:rsid w:val="003A4726"/>
    <w:rsid w:val="003A47A8"/>
    <w:rsid w:val="003A4E6E"/>
    <w:rsid w:val="003A50D4"/>
    <w:rsid w:val="003A5854"/>
    <w:rsid w:val="003A5FCF"/>
    <w:rsid w:val="003A7FFD"/>
    <w:rsid w:val="003B02D7"/>
    <w:rsid w:val="003B06D3"/>
    <w:rsid w:val="003B1E64"/>
    <w:rsid w:val="003B2DD8"/>
    <w:rsid w:val="003B483E"/>
    <w:rsid w:val="003B5149"/>
    <w:rsid w:val="003B6E5F"/>
    <w:rsid w:val="003C04C3"/>
    <w:rsid w:val="003C0893"/>
    <w:rsid w:val="003C15BE"/>
    <w:rsid w:val="003C1722"/>
    <w:rsid w:val="003C174A"/>
    <w:rsid w:val="003C1AFA"/>
    <w:rsid w:val="003C249B"/>
    <w:rsid w:val="003C2746"/>
    <w:rsid w:val="003C31EF"/>
    <w:rsid w:val="003C3482"/>
    <w:rsid w:val="003C4557"/>
    <w:rsid w:val="003C47E0"/>
    <w:rsid w:val="003C5C00"/>
    <w:rsid w:val="003C5FCB"/>
    <w:rsid w:val="003C608D"/>
    <w:rsid w:val="003C7AC7"/>
    <w:rsid w:val="003C7AD3"/>
    <w:rsid w:val="003C7FF6"/>
    <w:rsid w:val="003D0389"/>
    <w:rsid w:val="003D073E"/>
    <w:rsid w:val="003D0B4C"/>
    <w:rsid w:val="003D1AB8"/>
    <w:rsid w:val="003D1CA3"/>
    <w:rsid w:val="003D2180"/>
    <w:rsid w:val="003D236F"/>
    <w:rsid w:val="003D23B1"/>
    <w:rsid w:val="003D371F"/>
    <w:rsid w:val="003D4BB7"/>
    <w:rsid w:val="003D5C1F"/>
    <w:rsid w:val="003D66E6"/>
    <w:rsid w:val="003D6EA3"/>
    <w:rsid w:val="003E020A"/>
    <w:rsid w:val="003E078F"/>
    <w:rsid w:val="003E0FF3"/>
    <w:rsid w:val="003E1569"/>
    <w:rsid w:val="003E19B3"/>
    <w:rsid w:val="003E31B4"/>
    <w:rsid w:val="003E3937"/>
    <w:rsid w:val="003E3B68"/>
    <w:rsid w:val="003E40DF"/>
    <w:rsid w:val="003E461C"/>
    <w:rsid w:val="003E5F11"/>
    <w:rsid w:val="003E6152"/>
    <w:rsid w:val="003E646C"/>
    <w:rsid w:val="003E7D84"/>
    <w:rsid w:val="003E7FAF"/>
    <w:rsid w:val="003F06A1"/>
    <w:rsid w:val="003F0CA2"/>
    <w:rsid w:val="003F0D00"/>
    <w:rsid w:val="003F1A58"/>
    <w:rsid w:val="003F287E"/>
    <w:rsid w:val="003F40C3"/>
    <w:rsid w:val="003F498F"/>
    <w:rsid w:val="003F4B88"/>
    <w:rsid w:val="003F54CB"/>
    <w:rsid w:val="003F6191"/>
    <w:rsid w:val="003F6578"/>
    <w:rsid w:val="003F65BC"/>
    <w:rsid w:val="003F6710"/>
    <w:rsid w:val="003F6C58"/>
    <w:rsid w:val="003F771B"/>
    <w:rsid w:val="003F7815"/>
    <w:rsid w:val="004000E0"/>
    <w:rsid w:val="004006B3"/>
    <w:rsid w:val="00400784"/>
    <w:rsid w:val="00400CA4"/>
    <w:rsid w:val="00400FD2"/>
    <w:rsid w:val="00401676"/>
    <w:rsid w:val="00402AEA"/>
    <w:rsid w:val="00402E22"/>
    <w:rsid w:val="00403135"/>
    <w:rsid w:val="004040F2"/>
    <w:rsid w:val="0040455D"/>
    <w:rsid w:val="00404FFE"/>
    <w:rsid w:val="00406167"/>
    <w:rsid w:val="004068F0"/>
    <w:rsid w:val="00406DF0"/>
    <w:rsid w:val="0040717F"/>
    <w:rsid w:val="004074B8"/>
    <w:rsid w:val="00410519"/>
    <w:rsid w:val="004107B7"/>
    <w:rsid w:val="004107F8"/>
    <w:rsid w:val="004112BE"/>
    <w:rsid w:val="0041166D"/>
    <w:rsid w:val="00411BD4"/>
    <w:rsid w:val="004122A8"/>
    <w:rsid w:val="00413CD3"/>
    <w:rsid w:val="00413DDA"/>
    <w:rsid w:val="00414E41"/>
    <w:rsid w:val="004155A9"/>
    <w:rsid w:val="004156DD"/>
    <w:rsid w:val="004156FF"/>
    <w:rsid w:val="00415936"/>
    <w:rsid w:val="00415A34"/>
    <w:rsid w:val="00415B66"/>
    <w:rsid w:val="00415F2A"/>
    <w:rsid w:val="00416DAC"/>
    <w:rsid w:val="00417F17"/>
    <w:rsid w:val="00420792"/>
    <w:rsid w:val="0042094D"/>
    <w:rsid w:val="00421108"/>
    <w:rsid w:val="00421C1F"/>
    <w:rsid w:val="004222D1"/>
    <w:rsid w:val="004228CF"/>
    <w:rsid w:val="004233F5"/>
    <w:rsid w:val="00423638"/>
    <w:rsid w:val="00423853"/>
    <w:rsid w:val="00423920"/>
    <w:rsid w:val="00423E04"/>
    <w:rsid w:val="0042490A"/>
    <w:rsid w:val="004253BD"/>
    <w:rsid w:val="004260C1"/>
    <w:rsid w:val="00426879"/>
    <w:rsid w:val="004268E4"/>
    <w:rsid w:val="00426A9C"/>
    <w:rsid w:val="00430005"/>
    <w:rsid w:val="004300E4"/>
    <w:rsid w:val="004308D7"/>
    <w:rsid w:val="0043100F"/>
    <w:rsid w:val="004317E9"/>
    <w:rsid w:val="00431C92"/>
    <w:rsid w:val="00433CC9"/>
    <w:rsid w:val="00434036"/>
    <w:rsid w:val="00434814"/>
    <w:rsid w:val="00434E86"/>
    <w:rsid w:val="00435132"/>
    <w:rsid w:val="00435A7C"/>
    <w:rsid w:val="00435DAB"/>
    <w:rsid w:val="00435DFB"/>
    <w:rsid w:val="00435FB9"/>
    <w:rsid w:val="00441796"/>
    <w:rsid w:val="004430DA"/>
    <w:rsid w:val="00444670"/>
    <w:rsid w:val="00444922"/>
    <w:rsid w:val="00444BB2"/>
    <w:rsid w:val="00444C91"/>
    <w:rsid w:val="00446AAA"/>
    <w:rsid w:val="004479B6"/>
    <w:rsid w:val="0045089C"/>
    <w:rsid w:val="00450D77"/>
    <w:rsid w:val="004513EC"/>
    <w:rsid w:val="00451F76"/>
    <w:rsid w:val="0045200D"/>
    <w:rsid w:val="004529E8"/>
    <w:rsid w:val="00452A57"/>
    <w:rsid w:val="00452B2D"/>
    <w:rsid w:val="004536C8"/>
    <w:rsid w:val="00453ED0"/>
    <w:rsid w:val="004543EA"/>
    <w:rsid w:val="00454595"/>
    <w:rsid w:val="00454D8F"/>
    <w:rsid w:val="0045532A"/>
    <w:rsid w:val="00455660"/>
    <w:rsid w:val="004559F0"/>
    <w:rsid w:val="00457476"/>
    <w:rsid w:val="00457A68"/>
    <w:rsid w:val="00457B20"/>
    <w:rsid w:val="00457DA6"/>
    <w:rsid w:val="00460832"/>
    <w:rsid w:val="00460A7F"/>
    <w:rsid w:val="00460F02"/>
    <w:rsid w:val="00461C65"/>
    <w:rsid w:val="00463360"/>
    <w:rsid w:val="00463831"/>
    <w:rsid w:val="00463CD7"/>
    <w:rsid w:val="00463D89"/>
    <w:rsid w:val="00463E3D"/>
    <w:rsid w:val="00464A12"/>
    <w:rsid w:val="00465688"/>
    <w:rsid w:val="00466269"/>
    <w:rsid w:val="004669BE"/>
    <w:rsid w:val="004702EA"/>
    <w:rsid w:val="004706C4"/>
    <w:rsid w:val="00470E8C"/>
    <w:rsid w:val="0047107E"/>
    <w:rsid w:val="00471A96"/>
    <w:rsid w:val="00472B1E"/>
    <w:rsid w:val="00472B4F"/>
    <w:rsid w:val="00472E81"/>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1B82"/>
    <w:rsid w:val="004823BC"/>
    <w:rsid w:val="00483A8C"/>
    <w:rsid w:val="00483C3E"/>
    <w:rsid w:val="00484DA3"/>
    <w:rsid w:val="0048502E"/>
    <w:rsid w:val="0048523B"/>
    <w:rsid w:val="004860EB"/>
    <w:rsid w:val="00486565"/>
    <w:rsid w:val="0048664D"/>
    <w:rsid w:val="004879F6"/>
    <w:rsid w:val="00487B00"/>
    <w:rsid w:val="00487EE5"/>
    <w:rsid w:val="00490645"/>
    <w:rsid w:val="004907BA"/>
    <w:rsid w:val="0049084B"/>
    <w:rsid w:val="00491662"/>
    <w:rsid w:val="0049203C"/>
    <w:rsid w:val="00492474"/>
    <w:rsid w:val="0049250A"/>
    <w:rsid w:val="00492A81"/>
    <w:rsid w:val="004938BD"/>
    <w:rsid w:val="00493BA4"/>
    <w:rsid w:val="00494FCF"/>
    <w:rsid w:val="004951C5"/>
    <w:rsid w:val="00495F13"/>
    <w:rsid w:val="004961B6"/>
    <w:rsid w:val="004963AD"/>
    <w:rsid w:val="0049649B"/>
    <w:rsid w:val="00496949"/>
    <w:rsid w:val="0049717B"/>
    <w:rsid w:val="00497437"/>
    <w:rsid w:val="004A0B83"/>
    <w:rsid w:val="004A0C13"/>
    <w:rsid w:val="004A10B5"/>
    <w:rsid w:val="004A147E"/>
    <w:rsid w:val="004A1495"/>
    <w:rsid w:val="004A22C0"/>
    <w:rsid w:val="004A29AD"/>
    <w:rsid w:val="004A33D3"/>
    <w:rsid w:val="004A3805"/>
    <w:rsid w:val="004A385D"/>
    <w:rsid w:val="004A46D4"/>
    <w:rsid w:val="004A5077"/>
    <w:rsid w:val="004A5A8E"/>
    <w:rsid w:val="004A6038"/>
    <w:rsid w:val="004A6150"/>
    <w:rsid w:val="004A646E"/>
    <w:rsid w:val="004A66FA"/>
    <w:rsid w:val="004A7050"/>
    <w:rsid w:val="004A74E8"/>
    <w:rsid w:val="004A7971"/>
    <w:rsid w:val="004A7B81"/>
    <w:rsid w:val="004B0BEA"/>
    <w:rsid w:val="004B13EE"/>
    <w:rsid w:val="004B21C0"/>
    <w:rsid w:val="004B28E8"/>
    <w:rsid w:val="004B2F0E"/>
    <w:rsid w:val="004B3151"/>
    <w:rsid w:val="004B3501"/>
    <w:rsid w:val="004B3E6A"/>
    <w:rsid w:val="004B4272"/>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1F5C"/>
    <w:rsid w:val="004C2111"/>
    <w:rsid w:val="004C3C93"/>
    <w:rsid w:val="004C4283"/>
    <w:rsid w:val="004C517F"/>
    <w:rsid w:val="004C51B9"/>
    <w:rsid w:val="004C5293"/>
    <w:rsid w:val="004C5F58"/>
    <w:rsid w:val="004C5FF1"/>
    <w:rsid w:val="004C692D"/>
    <w:rsid w:val="004C6BC5"/>
    <w:rsid w:val="004C73FD"/>
    <w:rsid w:val="004D0668"/>
    <w:rsid w:val="004D10FC"/>
    <w:rsid w:val="004D2C53"/>
    <w:rsid w:val="004D2CED"/>
    <w:rsid w:val="004D2D38"/>
    <w:rsid w:val="004D356D"/>
    <w:rsid w:val="004D35E5"/>
    <w:rsid w:val="004D3EAC"/>
    <w:rsid w:val="004D3FAF"/>
    <w:rsid w:val="004D4263"/>
    <w:rsid w:val="004D47EA"/>
    <w:rsid w:val="004D4CE9"/>
    <w:rsid w:val="004D5F77"/>
    <w:rsid w:val="004D5F79"/>
    <w:rsid w:val="004D743C"/>
    <w:rsid w:val="004D77F4"/>
    <w:rsid w:val="004D781C"/>
    <w:rsid w:val="004D7974"/>
    <w:rsid w:val="004E0022"/>
    <w:rsid w:val="004E15D5"/>
    <w:rsid w:val="004E1768"/>
    <w:rsid w:val="004E1C28"/>
    <w:rsid w:val="004E295D"/>
    <w:rsid w:val="004E33C3"/>
    <w:rsid w:val="004E353B"/>
    <w:rsid w:val="004E3772"/>
    <w:rsid w:val="004E4054"/>
    <w:rsid w:val="004E49E6"/>
    <w:rsid w:val="004E608B"/>
    <w:rsid w:val="004E64D9"/>
    <w:rsid w:val="004E650A"/>
    <w:rsid w:val="004E6FCF"/>
    <w:rsid w:val="004E79C8"/>
    <w:rsid w:val="004E7D7B"/>
    <w:rsid w:val="004E7F41"/>
    <w:rsid w:val="004F094C"/>
    <w:rsid w:val="004F0BC9"/>
    <w:rsid w:val="004F1DCD"/>
    <w:rsid w:val="004F2C39"/>
    <w:rsid w:val="004F34A8"/>
    <w:rsid w:val="004F361E"/>
    <w:rsid w:val="004F38E6"/>
    <w:rsid w:val="004F3B51"/>
    <w:rsid w:val="004F3C21"/>
    <w:rsid w:val="004F50B7"/>
    <w:rsid w:val="004F51DE"/>
    <w:rsid w:val="004F59CA"/>
    <w:rsid w:val="004F61A2"/>
    <w:rsid w:val="004F6217"/>
    <w:rsid w:val="004F6E63"/>
    <w:rsid w:val="004F775B"/>
    <w:rsid w:val="00500405"/>
    <w:rsid w:val="005006C9"/>
    <w:rsid w:val="005014E8"/>
    <w:rsid w:val="005015CE"/>
    <w:rsid w:val="005025E7"/>
    <w:rsid w:val="00502B6A"/>
    <w:rsid w:val="00502BB9"/>
    <w:rsid w:val="005036EB"/>
    <w:rsid w:val="005046E1"/>
    <w:rsid w:val="00504893"/>
    <w:rsid w:val="005050E1"/>
    <w:rsid w:val="005057FF"/>
    <w:rsid w:val="005058D2"/>
    <w:rsid w:val="00505997"/>
    <w:rsid w:val="00505CBF"/>
    <w:rsid w:val="0050617F"/>
    <w:rsid w:val="005064BC"/>
    <w:rsid w:val="005073EF"/>
    <w:rsid w:val="00510049"/>
    <w:rsid w:val="00510645"/>
    <w:rsid w:val="00510E1E"/>
    <w:rsid w:val="00511D55"/>
    <w:rsid w:val="005120B7"/>
    <w:rsid w:val="0051306F"/>
    <w:rsid w:val="00513FBD"/>
    <w:rsid w:val="005144CD"/>
    <w:rsid w:val="00514C2A"/>
    <w:rsid w:val="00515A0E"/>
    <w:rsid w:val="00516030"/>
    <w:rsid w:val="00516B72"/>
    <w:rsid w:val="005200FB"/>
    <w:rsid w:val="00520452"/>
    <w:rsid w:val="00520459"/>
    <w:rsid w:val="005207F6"/>
    <w:rsid w:val="00520FB2"/>
    <w:rsid w:val="00520FE2"/>
    <w:rsid w:val="00521563"/>
    <w:rsid w:val="00521926"/>
    <w:rsid w:val="00521BED"/>
    <w:rsid w:val="00521D58"/>
    <w:rsid w:val="00522737"/>
    <w:rsid w:val="00522E00"/>
    <w:rsid w:val="00523332"/>
    <w:rsid w:val="00523B9C"/>
    <w:rsid w:val="00523D80"/>
    <w:rsid w:val="00523FEE"/>
    <w:rsid w:val="00524565"/>
    <w:rsid w:val="00524CA9"/>
    <w:rsid w:val="00525A86"/>
    <w:rsid w:val="0052613D"/>
    <w:rsid w:val="005264F8"/>
    <w:rsid w:val="0052710A"/>
    <w:rsid w:val="00527415"/>
    <w:rsid w:val="00530EC7"/>
    <w:rsid w:val="00531573"/>
    <w:rsid w:val="00531885"/>
    <w:rsid w:val="00531E06"/>
    <w:rsid w:val="0053240B"/>
    <w:rsid w:val="0053253B"/>
    <w:rsid w:val="0053256A"/>
    <w:rsid w:val="00532C0A"/>
    <w:rsid w:val="00532CBF"/>
    <w:rsid w:val="00533416"/>
    <w:rsid w:val="0053392A"/>
    <w:rsid w:val="00533F3C"/>
    <w:rsid w:val="0053434A"/>
    <w:rsid w:val="0053467A"/>
    <w:rsid w:val="0053501C"/>
    <w:rsid w:val="00535474"/>
    <w:rsid w:val="00535BAA"/>
    <w:rsid w:val="0053665E"/>
    <w:rsid w:val="0053705F"/>
    <w:rsid w:val="00537373"/>
    <w:rsid w:val="0054015D"/>
    <w:rsid w:val="00540D3B"/>
    <w:rsid w:val="005412EE"/>
    <w:rsid w:val="00541D23"/>
    <w:rsid w:val="005421FD"/>
    <w:rsid w:val="00542D6D"/>
    <w:rsid w:val="00543021"/>
    <w:rsid w:val="00543258"/>
    <w:rsid w:val="005437F4"/>
    <w:rsid w:val="00543935"/>
    <w:rsid w:val="00543D14"/>
    <w:rsid w:val="005444CA"/>
    <w:rsid w:val="00544F85"/>
    <w:rsid w:val="00545565"/>
    <w:rsid w:val="00545F55"/>
    <w:rsid w:val="00546310"/>
    <w:rsid w:val="00546343"/>
    <w:rsid w:val="00546927"/>
    <w:rsid w:val="005477FA"/>
    <w:rsid w:val="00547A44"/>
    <w:rsid w:val="00547C05"/>
    <w:rsid w:val="0055092B"/>
    <w:rsid w:val="0055166F"/>
    <w:rsid w:val="005518FA"/>
    <w:rsid w:val="00551952"/>
    <w:rsid w:val="00552A19"/>
    <w:rsid w:val="00552DCE"/>
    <w:rsid w:val="0055312B"/>
    <w:rsid w:val="00553D3E"/>
    <w:rsid w:val="00553D47"/>
    <w:rsid w:val="0055443C"/>
    <w:rsid w:val="00554990"/>
    <w:rsid w:val="00554B44"/>
    <w:rsid w:val="00555789"/>
    <w:rsid w:val="005558D1"/>
    <w:rsid w:val="00556800"/>
    <w:rsid w:val="005569DC"/>
    <w:rsid w:val="00556D10"/>
    <w:rsid w:val="00556D8C"/>
    <w:rsid w:val="00556DDB"/>
    <w:rsid w:val="00556F64"/>
    <w:rsid w:val="0055787B"/>
    <w:rsid w:val="00557B62"/>
    <w:rsid w:val="0056126A"/>
    <w:rsid w:val="00562046"/>
    <w:rsid w:val="005622D7"/>
    <w:rsid w:val="00563060"/>
    <w:rsid w:val="005632AA"/>
    <w:rsid w:val="005639C3"/>
    <w:rsid w:val="0056553B"/>
    <w:rsid w:val="00565B91"/>
    <w:rsid w:val="00565E66"/>
    <w:rsid w:val="00566434"/>
    <w:rsid w:val="00566479"/>
    <w:rsid w:val="00566E53"/>
    <w:rsid w:val="00567329"/>
    <w:rsid w:val="0056741A"/>
    <w:rsid w:val="00567F9E"/>
    <w:rsid w:val="00567FE4"/>
    <w:rsid w:val="005715B6"/>
    <w:rsid w:val="00571A63"/>
    <w:rsid w:val="00571D7C"/>
    <w:rsid w:val="00571FD2"/>
    <w:rsid w:val="005733AF"/>
    <w:rsid w:val="00574C58"/>
    <w:rsid w:val="005752A9"/>
    <w:rsid w:val="005754AC"/>
    <w:rsid w:val="00575782"/>
    <w:rsid w:val="00576111"/>
    <w:rsid w:val="005769B4"/>
    <w:rsid w:val="00576D68"/>
    <w:rsid w:val="005810FE"/>
    <w:rsid w:val="00581120"/>
    <w:rsid w:val="00581C05"/>
    <w:rsid w:val="00581F07"/>
    <w:rsid w:val="005826A4"/>
    <w:rsid w:val="00582773"/>
    <w:rsid w:val="00582B6E"/>
    <w:rsid w:val="00582B7B"/>
    <w:rsid w:val="00582F81"/>
    <w:rsid w:val="00583199"/>
    <w:rsid w:val="005836AF"/>
    <w:rsid w:val="0058425E"/>
    <w:rsid w:val="00584270"/>
    <w:rsid w:val="00584691"/>
    <w:rsid w:val="005847BC"/>
    <w:rsid w:val="00584C94"/>
    <w:rsid w:val="00584D21"/>
    <w:rsid w:val="0058504F"/>
    <w:rsid w:val="005856A7"/>
    <w:rsid w:val="00585A86"/>
    <w:rsid w:val="00585EC2"/>
    <w:rsid w:val="005861FA"/>
    <w:rsid w:val="005862D4"/>
    <w:rsid w:val="00586435"/>
    <w:rsid w:val="0058658C"/>
    <w:rsid w:val="0058677C"/>
    <w:rsid w:val="00586997"/>
    <w:rsid w:val="00587EC3"/>
    <w:rsid w:val="00587F5C"/>
    <w:rsid w:val="00590288"/>
    <w:rsid w:val="00591316"/>
    <w:rsid w:val="00591F70"/>
    <w:rsid w:val="00592724"/>
    <w:rsid w:val="00592FAD"/>
    <w:rsid w:val="005965AA"/>
    <w:rsid w:val="00596EDA"/>
    <w:rsid w:val="00596F4B"/>
    <w:rsid w:val="00596F5B"/>
    <w:rsid w:val="005977CE"/>
    <w:rsid w:val="005979F2"/>
    <w:rsid w:val="005A00BC"/>
    <w:rsid w:val="005A0418"/>
    <w:rsid w:val="005A053C"/>
    <w:rsid w:val="005A0D81"/>
    <w:rsid w:val="005A0E99"/>
    <w:rsid w:val="005A12F3"/>
    <w:rsid w:val="005A153A"/>
    <w:rsid w:val="005A17C1"/>
    <w:rsid w:val="005A1FD7"/>
    <w:rsid w:val="005A2843"/>
    <w:rsid w:val="005A32A6"/>
    <w:rsid w:val="005A42B3"/>
    <w:rsid w:val="005A42E5"/>
    <w:rsid w:val="005A453B"/>
    <w:rsid w:val="005A485D"/>
    <w:rsid w:val="005A5317"/>
    <w:rsid w:val="005A5AD0"/>
    <w:rsid w:val="005A63D2"/>
    <w:rsid w:val="005A7B38"/>
    <w:rsid w:val="005B0E97"/>
    <w:rsid w:val="005B1512"/>
    <w:rsid w:val="005B203F"/>
    <w:rsid w:val="005B224A"/>
    <w:rsid w:val="005B24DC"/>
    <w:rsid w:val="005B2691"/>
    <w:rsid w:val="005B328A"/>
    <w:rsid w:val="005B47E2"/>
    <w:rsid w:val="005B49B7"/>
    <w:rsid w:val="005B5061"/>
    <w:rsid w:val="005B5189"/>
    <w:rsid w:val="005B58E8"/>
    <w:rsid w:val="005B6066"/>
    <w:rsid w:val="005B6345"/>
    <w:rsid w:val="005B6700"/>
    <w:rsid w:val="005B6DD2"/>
    <w:rsid w:val="005B6F56"/>
    <w:rsid w:val="005B709A"/>
    <w:rsid w:val="005B70DF"/>
    <w:rsid w:val="005B7B2A"/>
    <w:rsid w:val="005C01C6"/>
    <w:rsid w:val="005C0BDA"/>
    <w:rsid w:val="005C0FAB"/>
    <w:rsid w:val="005C1E44"/>
    <w:rsid w:val="005C32B7"/>
    <w:rsid w:val="005C3632"/>
    <w:rsid w:val="005C3BDA"/>
    <w:rsid w:val="005C4125"/>
    <w:rsid w:val="005C442E"/>
    <w:rsid w:val="005C4587"/>
    <w:rsid w:val="005C5BAB"/>
    <w:rsid w:val="005D1799"/>
    <w:rsid w:val="005D1E11"/>
    <w:rsid w:val="005D1E58"/>
    <w:rsid w:val="005D1FBF"/>
    <w:rsid w:val="005D23E8"/>
    <w:rsid w:val="005D282C"/>
    <w:rsid w:val="005D28DF"/>
    <w:rsid w:val="005D2FB0"/>
    <w:rsid w:val="005D3D65"/>
    <w:rsid w:val="005D454A"/>
    <w:rsid w:val="005D4821"/>
    <w:rsid w:val="005D4A58"/>
    <w:rsid w:val="005D4CA4"/>
    <w:rsid w:val="005D4DDD"/>
    <w:rsid w:val="005D5518"/>
    <w:rsid w:val="005D672F"/>
    <w:rsid w:val="005D750A"/>
    <w:rsid w:val="005D7AC9"/>
    <w:rsid w:val="005E0079"/>
    <w:rsid w:val="005E033A"/>
    <w:rsid w:val="005E05DB"/>
    <w:rsid w:val="005E0831"/>
    <w:rsid w:val="005E09C7"/>
    <w:rsid w:val="005E1A5B"/>
    <w:rsid w:val="005E231B"/>
    <w:rsid w:val="005E2725"/>
    <w:rsid w:val="005E2DD9"/>
    <w:rsid w:val="005E2E1B"/>
    <w:rsid w:val="005E2F5B"/>
    <w:rsid w:val="005E3A58"/>
    <w:rsid w:val="005E5038"/>
    <w:rsid w:val="005E5CCC"/>
    <w:rsid w:val="005E61C3"/>
    <w:rsid w:val="005E647A"/>
    <w:rsid w:val="005E67C7"/>
    <w:rsid w:val="005E6A86"/>
    <w:rsid w:val="005E6E78"/>
    <w:rsid w:val="005E708C"/>
    <w:rsid w:val="005E77CD"/>
    <w:rsid w:val="005E79F5"/>
    <w:rsid w:val="005E7B2F"/>
    <w:rsid w:val="005E7BF7"/>
    <w:rsid w:val="005E7D01"/>
    <w:rsid w:val="005F0B8E"/>
    <w:rsid w:val="005F0E5C"/>
    <w:rsid w:val="005F0F13"/>
    <w:rsid w:val="005F1919"/>
    <w:rsid w:val="005F279C"/>
    <w:rsid w:val="005F321F"/>
    <w:rsid w:val="005F4116"/>
    <w:rsid w:val="005F530B"/>
    <w:rsid w:val="005F590F"/>
    <w:rsid w:val="005F616A"/>
    <w:rsid w:val="005F623C"/>
    <w:rsid w:val="005F6525"/>
    <w:rsid w:val="005F6591"/>
    <w:rsid w:val="005F70EA"/>
    <w:rsid w:val="005F7BC5"/>
    <w:rsid w:val="006003D7"/>
    <w:rsid w:val="00600B5F"/>
    <w:rsid w:val="00600BB5"/>
    <w:rsid w:val="0060108A"/>
    <w:rsid w:val="00601C81"/>
    <w:rsid w:val="00602307"/>
    <w:rsid w:val="006042FA"/>
    <w:rsid w:val="006049A2"/>
    <w:rsid w:val="0060635D"/>
    <w:rsid w:val="00606365"/>
    <w:rsid w:val="00606ACA"/>
    <w:rsid w:val="00610BA9"/>
    <w:rsid w:val="0061127E"/>
    <w:rsid w:val="0061188C"/>
    <w:rsid w:val="00611CCA"/>
    <w:rsid w:val="006121E6"/>
    <w:rsid w:val="006127F7"/>
    <w:rsid w:val="00614912"/>
    <w:rsid w:val="00614A1D"/>
    <w:rsid w:val="00614CD6"/>
    <w:rsid w:val="00615A26"/>
    <w:rsid w:val="00615A2E"/>
    <w:rsid w:val="00615B68"/>
    <w:rsid w:val="00617316"/>
    <w:rsid w:val="00617E47"/>
    <w:rsid w:val="00620EE4"/>
    <w:rsid w:val="006212C5"/>
    <w:rsid w:val="00621F2F"/>
    <w:rsid w:val="00623BBB"/>
    <w:rsid w:val="00623CA6"/>
    <w:rsid w:val="0062428C"/>
    <w:rsid w:val="0062429B"/>
    <w:rsid w:val="00624335"/>
    <w:rsid w:val="00624805"/>
    <w:rsid w:val="00624ABB"/>
    <w:rsid w:val="0062567C"/>
    <w:rsid w:val="00625A02"/>
    <w:rsid w:val="006267DC"/>
    <w:rsid w:val="006269D8"/>
    <w:rsid w:val="00630C11"/>
    <w:rsid w:val="00630E47"/>
    <w:rsid w:val="006316EF"/>
    <w:rsid w:val="00631DDC"/>
    <w:rsid w:val="00631E5F"/>
    <w:rsid w:val="006328DB"/>
    <w:rsid w:val="00633139"/>
    <w:rsid w:val="0063358D"/>
    <w:rsid w:val="00633645"/>
    <w:rsid w:val="00633CA2"/>
    <w:rsid w:val="00634245"/>
    <w:rsid w:val="006345CE"/>
    <w:rsid w:val="006354F8"/>
    <w:rsid w:val="0063723B"/>
    <w:rsid w:val="00637C2D"/>
    <w:rsid w:val="00637EBF"/>
    <w:rsid w:val="0064054E"/>
    <w:rsid w:val="006405B6"/>
    <w:rsid w:val="006416A0"/>
    <w:rsid w:val="00641B82"/>
    <w:rsid w:val="00642CC9"/>
    <w:rsid w:val="00643917"/>
    <w:rsid w:val="006439F2"/>
    <w:rsid w:val="00643A63"/>
    <w:rsid w:val="00644124"/>
    <w:rsid w:val="0064422E"/>
    <w:rsid w:val="00644768"/>
    <w:rsid w:val="00645926"/>
    <w:rsid w:val="00645A68"/>
    <w:rsid w:val="0064678A"/>
    <w:rsid w:val="006469D1"/>
    <w:rsid w:val="00646E28"/>
    <w:rsid w:val="006501FB"/>
    <w:rsid w:val="00650E1E"/>
    <w:rsid w:val="0065115C"/>
    <w:rsid w:val="0065199F"/>
    <w:rsid w:val="006521B2"/>
    <w:rsid w:val="00652406"/>
    <w:rsid w:val="00652BE4"/>
    <w:rsid w:val="006532B4"/>
    <w:rsid w:val="00653319"/>
    <w:rsid w:val="0065351F"/>
    <w:rsid w:val="00653D11"/>
    <w:rsid w:val="00653DAD"/>
    <w:rsid w:val="00654073"/>
    <w:rsid w:val="006542A2"/>
    <w:rsid w:val="0065441B"/>
    <w:rsid w:val="00655401"/>
    <w:rsid w:val="00656339"/>
    <w:rsid w:val="0065675E"/>
    <w:rsid w:val="00657982"/>
    <w:rsid w:val="00657FA2"/>
    <w:rsid w:val="006608F1"/>
    <w:rsid w:val="0066293E"/>
    <w:rsid w:val="00662C01"/>
    <w:rsid w:val="00663B24"/>
    <w:rsid w:val="00664167"/>
    <w:rsid w:val="006641F7"/>
    <w:rsid w:val="00664EE4"/>
    <w:rsid w:val="00665C01"/>
    <w:rsid w:val="00665D6C"/>
    <w:rsid w:val="00666256"/>
    <w:rsid w:val="0066697F"/>
    <w:rsid w:val="00666BE2"/>
    <w:rsid w:val="006674C5"/>
    <w:rsid w:val="006674C8"/>
    <w:rsid w:val="006675A7"/>
    <w:rsid w:val="0066780C"/>
    <w:rsid w:val="00667A9C"/>
    <w:rsid w:val="00670AEB"/>
    <w:rsid w:val="00670BB2"/>
    <w:rsid w:val="00670D99"/>
    <w:rsid w:val="006717E2"/>
    <w:rsid w:val="00672851"/>
    <w:rsid w:val="00672D7C"/>
    <w:rsid w:val="0067321F"/>
    <w:rsid w:val="00673AF8"/>
    <w:rsid w:val="00673B28"/>
    <w:rsid w:val="006741D7"/>
    <w:rsid w:val="006746D7"/>
    <w:rsid w:val="00674F70"/>
    <w:rsid w:val="00675836"/>
    <w:rsid w:val="00675F43"/>
    <w:rsid w:val="0067642E"/>
    <w:rsid w:val="00676B6F"/>
    <w:rsid w:val="00676EAF"/>
    <w:rsid w:val="00677315"/>
    <w:rsid w:val="00677720"/>
    <w:rsid w:val="00677C34"/>
    <w:rsid w:val="00680304"/>
    <w:rsid w:val="0068124D"/>
    <w:rsid w:val="00681804"/>
    <w:rsid w:val="00681E06"/>
    <w:rsid w:val="00681F3E"/>
    <w:rsid w:val="00683A3A"/>
    <w:rsid w:val="00683DF4"/>
    <w:rsid w:val="00683F6B"/>
    <w:rsid w:val="0068448D"/>
    <w:rsid w:val="00684801"/>
    <w:rsid w:val="00684B65"/>
    <w:rsid w:val="006851B1"/>
    <w:rsid w:val="00685D6D"/>
    <w:rsid w:val="0068614C"/>
    <w:rsid w:val="006863DE"/>
    <w:rsid w:val="00686729"/>
    <w:rsid w:val="0068698A"/>
    <w:rsid w:val="006879C6"/>
    <w:rsid w:val="00687C33"/>
    <w:rsid w:val="00687DE4"/>
    <w:rsid w:val="00690CF8"/>
    <w:rsid w:val="00690D71"/>
    <w:rsid w:val="00690D97"/>
    <w:rsid w:val="00691AA6"/>
    <w:rsid w:val="00691EC2"/>
    <w:rsid w:val="006936A2"/>
    <w:rsid w:val="00693969"/>
    <w:rsid w:val="00694F01"/>
    <w:rsid w:val="006950B5"/>
    <w:rsid w:val="0069520A"/>
    <w:rsid w:val="006960E4"/>
    <w:rsid w:val="00696202"/>
    <w:rsid w:val="0069720C"/>
    <w:rsid w:val="0069745E"/>
    <w:rsid w:val="006974A5"/>
    <w:rsid w:val="00697815"/>
    <w:rsid w:val="00697E55"/>
    <w:rsid w:val="00697F65"/>
    <w:rsid w:val="006A01AD"/>
    <w:rsid w:val="006A0EC1"/>
    <w:rsid w:val="006A1358"/>
    <w:rsid w:val="006A1957"/>
    <w:rsid w:val="006A29F4"/>
    <w:rsid w:val="006A2CB0"/>
    <w:rsid w:val="006A35D9"/>
    <w:rsid w:val="006A3782"/>
    <w:rsid w:val="006A409E"/>
    <w:rsid w:val="006A42E4"/>
    <w:rsid w:val="006A4710"/>
    <w:rsid w:val="006A48A0"/>
    <w:rsid w:val="006A4C36"/>
    <w:rsid w:val="006A4E0B"/>
    <w:rsid w:val="006A4FFA"/>
    <w:rsid w:val="006A5B89"/>
    <w:rsid w:val="006A5BDE"/>
    <w:rsid w:val="006A6CFB"/>
    <w:rsid w:val="006A72DB"/>
    <w:rsid w:val="006A75AB"/>
    <w:rsid w:val="006A7F4D"/>
    <w:rsid w:val="006B0C53"/>
    <w:rsid w:val="006B0FE9"/>
    <w:rsid w:val="006B140F"/>
    <w:rsid w:val="006B2597"/>
    <w:rsid w:val="006B25FF"/>
    <w:rsid w:val="006B29BF"/>
    <w:rsid w:val="006B3155"/>
    <w:rsid w:val="006B33B9"/>
    <w:rsid w:val="006B3A47"/>
    <w:rsid w:val="006B4A48"/>
    <w:rsid w:val="006B4AA1"/>
    <w:rsid w:val="006B5229"/>
    <w:rsid w:val="006B5C7B"/>
    <w:rsid w:val="006B5E89"/>
    <w:rsid w:val="006B670E"/>
    <w:rsid w:val="006B703C"/>
    <w:rsid w:val="006B7D34"/>
    <w:rsid w:val="006B7F0A"/>
    <w:rsid w:val="006C095F"/>
    <w:rsid w:val="006C26D6"/>
    <w:rsid w:val="006C2879"/>
    <w:rsid w:val="006C3F91"/>
    <w:rsid w:val="006C3FCA"/>
    <w:rsid w:val="006C477F"/>
    <w:rsid w:val="006C553A"/>
    <w:rsid w:val="006C5D54"/>
    <w:rsid w:val="006C62C2"/>
    <w:rsid w:val="006C6AB9"/>
    <w:rsid w:val="006C7EC5"/>
    <w:rsid w:val="006D0C61"/>
    <w:rsid w:val="006D0EA1"/>
    <w:rsid w:val="006D1CB7"/>
    <w:rsid w:val="006D247B"/>
    <w:rsid w:val="006D2641"/>
    <w:rsid w:val="006D2B6C"/>
    <w:rsid w:val="006D3321"/>
    <w:rsid w:val="006D3954"/>
    <w:rsid w:val="006D3A34"/>
    <w:rsid w:val="006D47E5"/>
    <w:rsid w:val="006D4BEA"/>
    <w:rsid w:val="006D5035"/>
    <w:rsid w:val="006D5520"/>
    <w:rsid w:val="006D5AA9"/>
    <w:rsid w:val="006D5CC1"/>
    <w:rsid w:val="006D6404"/>
    <w:rsid w:val="006D64BD"/>
    <w:rsid w:val="006D670E"/>
    <w:rsid w:val="006D677C"/>
    <w:rsid w:val="006D6D62"/>
    <w:rsid w:val="006D749F"/>
    <w:rsid w:val="006D7E3B"/>
    <w:rsid w:val="006E075F"/>
    <w:rsid w:val="006E0F7E"/>
    <w:rsid w:val="006E1721"/>
    <w:rsid w:val="006E2563"/>
    <w:rsid w:val="006E2C5D"/>
    <w:rsid w:val="006E2E3D"/>
    <w:rsid w:val="006E30F9"/>
    <w:rsid w:val="006E37D9"/>
    <w:rsid w:val="006E3AB7"/>
    <w:rsid w:val="006E573E"/>
    <w:rsid w:val="006E63D6"/>
    <w:rsid w:val="006F0D24"/>
    <w:rsid w:val="006F135C"/>
    <w:rsid w:val="006F1862"/>
    <w:rsid w:val="006F1AFC"/>
    <w:rsid w:val="006F1DEE"/>
    <w:rsid w:val="006F2037"/>
    <w:rsid w:val="006F2BB7"/>
    <w:rsid w:val="006F2BC8"/>
    <w:rsid w:val="006F2C92"/>
    <w:rsid w:val="006F3688"/>
    <w:rsid w:val="006F38D9"/>
    <w:rsid w:val="006F4186"/>
    <w:rsid w:val="006F4D4B"/>
    <w:rsid w:val="006F60DD"/>
    <w:rsid w:val="006F6337"/>
    <w:rsid w:val="006F66AF"/>
    <w:rsid w:val="006F6F59"/>
    <w:rsid w:val="006F75D7"/>
    <w:rsid w:val="006F7B4D"/>
    <w:rsid w:val="006F7CF5"/>
    <w:rsid w:val="0070179E"/>
    <w:rsid w:val="00701C5C"/>
    <w:rsid w:val="00702475"/>
    <w:rsid w:val="00702886"/>
    <w:rsid w:val="00702F29"/>
    <w:rsid w:val="0070369F"/>
    <w:rsid w:val="00703BE5"/>
    <w:rsid w:val="0070413A"/>
    <w:rsid w:val="007049A7"/>
    <w:rsid w:val="00704DDE"/>
    <w:rsid w:val="0070541F"/>
    <w:rsid w:val="007057DA"/>
    <w:rsid w:val="00706BF8"/>
    <w:rsid w:val="0070793E"/>
    <w:rsid w:val="007104C6"/>
    <w:rsid w:val="007105B5"/>
    <w:rsid w:val="00710D82"/>
    <w:rsid w:val="0071140D"/>
    <w:rsid w:val="00712136"/>
    <w:rsid w:val="00713786"/>
    <w:rsid w:val="00713FB5"/>
    <w:rsid w:val="00714375"/>
    <w:rsid w:val="00714950"/>
    <w:rsid w:val="007150E0"/>
    <w:rsid w:val="0071570C"/>
    <w:rsid w:val="00715BA6"/>
    <w:rsid w:val="0071600B"/>
    <w:rsid w:val="00716231"/>
    <w:rsid w:val="00716581"/>
    <w:rsid w:val="0071668F"/>
    <w:rsid w:val="0071788B"/>
    <w:rsid w:val="00720741"/>
    <w:rsid w:val="00720D50"/>
    <w:rsid w:val="00720EBE"/>
    <w:rsid w:val="00723630"/>
    <w:rsid w:val="0072397A"/>
    <w:rsid w:val="00723F5C"/>
    <w:rsid w:val="00724043"/>
    <w:rsid w:val="007242D0"/>
    <w:rsid w:val="007248A2"/>
    <w:rsid w:val="0072585D"/>
    <w:rsid w:val="00725BD0"/>
    <w:rsid w:val="00726117"/>
    <w:rsid w:val="00726990"/>
    <w:rsid w:val="00726C7F"/>
    <w:rsid w:val="00726E05"/>
    <w:rsid w:val="00726F7C"/>
    <w:rsid w:val="00727591"/>
    <w:rsid w:val="007300B0"/>
    <w:rsid w:val="00730C03"/>
    <w:rsid w:val="00730FF9"/>
    <w:rsid w:val="00731E29"/>
    <w:rsid w:val="00731FF9"/>
    <w:rsid w:val="00732C61"/>
    <w:rsid w:val="0073344D"/>
    <w:rsid w:val="0073379B"/>
    <w:rsid w:val="007341BF"/>
    <w:rsid w:val="00734B0A"/>
    <w:rsid w:val="00735043"/>
    <w:rsid w:val="0073551E"/>
    <w:rsid w:val="00735F6D"/>
    <w:rsid w:val="00736247"/>
    <w:rsid w:val="007367F3"/>
    <w:rsid w:val="00736BF7"/>
    <w:rsid w:val="007370B3"/>
    <w:rsid w:val="0073783F"/>
    <w:rsid w:val="0074005B"/>
    <w:rsid w:val="0074038A"/>
    <w:rsid w:val="007417EF"/>
    <w:rsid w:val="0074192F"/>
    <w:rsid w:val="00741C93"/>
    <w:rsid w:val="00741EFF"/>
    <w:rsid w:val="0074224F"/>
    <w:rsid w:val="00743096"/>
    <w:rsid w:val="007432EA"/>
    <w:rsid w:val="00743517"/>
    <w:rsid w:val="00743FEB"/>
    <w:rsid w:val="00744442"/>
    <w:rsid w:val="00745253"/>
    <w:rsid w:val="00745AA1"/>
    <w:rsid w:val="00745BB9"/>
    <w:rsid w:val="00745DA3"/>
    <w:rsid w:val="0074643A"/>
    <w:rsid w:val="00747049"/>
    <w:rsid w:val="00747972"/>
    <w:rsid w:val="00747D5C"/>
    <w:rsid w:val="00747D83"/>
    <w:rsid w:val="00750D6E"/>
    <w:rsid w:val="00751257"/>
    <w:rsid w:val="00751635"/>
    <w:rsid w:val="00751ADB"/>
    <w:rsid w:val="00751F77"/>
    <w:rsid w:val="00752886"/>
    <w:rsid w:val="00754DB2"/>
    <w:rsid w:val="00754F83"/>
    <w:rsid w:val="00755956"/>
    <w:rsid w:val="00756074"/>
    <w:rsid w:val="0075675B"/>
    <w:rsid w:val="00756BFE"/>
    <w:rsid w:val="00756F56"/>
    <w:rsid w:val="0075773C"/>
    <w:rsid w:val="00757B35"/>
    <w:rsid w:val="00757C04"/>
    <w:rsid w:val="0076105C"/>
    <w:rsid w:val="0076179F"/>
    <w:rsid w:val="00761866"/>
    <w:rsid w:val="0076201A"/>
    <w:rsid w:val="007626BD"/>
    <w:rsid w:val="00762BF8"/>
    <w:rsid w:val="0076348A"/>
    <w:rsid w:val="007639E6"/>
    <w:rsid w:val="007657DA"/>
    <w:rsid w:val="00766053"/>
    <w:rsid w:val="007662E0"/>
    <w:rsid w:val="007663C7"/>
    <w:rsid w:val="00766FA8"/>
    <w:rsid w:val="007673D9"/>
    <w:rsid w:val="00767CA6"/>
    <w:rsid w:val="007703FE"/>
    <w:rsid w:val="00770B14"/>
    <w:rsid w:val="00771928"/>
    <w:rsid w:val="00771A69"/>
    <w:rsid w:val="00771B62"/>
    <w:rsid w:val="00771CE6"/>
    <w:rsid w:val="00773AFA"/>
    <w:rsid w:val="0077445D"/>
    <w:rsid w:val="00774A2E"/>
    <w:rsid w:val="00775151"/>
    <w:rsid w:val="0077642D"/>
    <w:rsid w:val="007772A6"/>
    <w:rsid w:val="007773CB"/>
    <w:rsid w:val="00782EED"/>
    <w:rsid w:val="007832E8"/>
    <w:rsid w:val="00783AA6"/>
    <w:rsid w:val="00783BE7"/>
    <w:rsid w:val="007856F9"/>
    <w:rsid w:val="00785D24"/>
    <w:rsid w:val="0078625A"/>
    <w:rsid w:val="007865C4"/>
    <w:rsid w:val="00787358"/>
    <w:rsid w:val="00787650"/>
    <w:rsid w:val="007878E6"/>
    <w:rsid w:val="00787B67"/>
    <w:rsid w:val="00787C1D"/>
    <w:rsid w:val="00790169"/>
    <w:rsid w:val="0079055D"/>
    <w:rsid w:val="00790730"/>
    <w:rsid w:val="007910E4"/>
    <w:rsid w:val="007913AE"/>
    <w:rsid w:val="0079172F"/>
    <w:rsid w:val="00791D6D"/>
    <w:rsid w:val="00792C46"/>
    <w:rsid w:val="00792F9C"/>
    <w:rsid w:val="00793252"/>
    <w:rsid w:val="00793A0F"/>
    <w:rsid w:val="00795CCF"/>
    <w:rsid w:val="00796E2A"/>
    <w:rsid w:val="00797DA4"/>
    <w:rsid w:val="007A05E0"/>
    <w:rsid w:val="007A0C45"/>
    <w:rsid w:val="007A1061"/>
    <w:rsid w:val="007A2386"/>
    <w:rsid w:val="007A24A8"/>
    <w:rsid w:val="007A3F71"/>
    <w:rsid w:val="007A4712"/>
    <w:rsid w:val="007A4E0F"/>
    <w:rsid w:val="007A703C"/>
    <w:rsid w:val="007A70ED"/>
    <w:rsid w:val="007A72CC"/>
    <w:rsid w:val="007A7608"/>
    <w:rsid w:val="007A7B9C"/>
    <w:rsid w:val="007B02FF"/>
    <w:rsid w:val="007B05F4"/>
    <w:rsid w:val="007B0ECE"/>
    <w:rsid w:val="007B1EC1"/>
    <w:rsid w:val="007B2245"/>
    <w:rsid w:val="007B38B2"/>
    <w:rsid w:val="007B3A08"/>
    <w:rsid w:val="007B439E"/>
    <w:rsid w:val="007B4552"/>
    <w:rsid w:val="007B53A4"/>
    <w:rsid w:val="007B554A"/>
    <w:rsid w:val="007B55E8"/>
    <w:rsid w:val="007B62E4"/>
    <w:rsid w:val="007B6CE6"/>
    <w:rsid w:val="007B7428"/>
    <w:rsid w:val="007B7EA9"/>
    <w:rsid w:val="007C0C22"/>
    <w:rsid w:val="007C0FC9"/>
    <w:rsid w:val="007C2EFE"/>
    <w:rsid w:val="007C31F6"/>
    <w:rsid w:val="007C3510"/>
    <w:rsid w:val="007C3A0A"/>
    <w:rsid w:val="007C3D21"/>
    <w:rsid w:val="007C4906"/>
    <w:rsid w:val="007C4AA7"/>
    <w:rsid w:val="007C4CD5"/>
    <w:rsid w:val="007C505A"/>
    <w:rsid w:val="007C5632"/>
    <w:rsid w:val="007C5D27"/>
    <w:rsid w:val="007C627E"/>
    <w:rsid w:val="007C6900"/>
    <w:rsid w:val="007C6B04"/>
    <w:rsid w:val="007C6F59"/>
    <w:rsid w:val="007C707A"/>
    <w:rsid w:val="007C786E"/>
    <w:rsid w:val="007D03F9"/>
    <w:rsid w:val="007D08D9"/>
    <w:rsid w:val="007D0D37"/>
    <w:rsid w:val="007D0DF3"/>
    <w:rsid w:val="007D172A"/>
    <w:rsid w:val="007D1FFD"/>
    <w:rsid w:val="007D2160"/>
    <w:rsid w:val="007D2430"/>
    <w:rsid w:val="007D24BF"/>
    <w:rsid w:val="007D273A"/>
    <w:rsid w:val="007D278B"/>
    <w:rsid w:val="007D2B30"/>
    <w:rsid w:val="007D4860"/>
    <w:rsid w:val="007D4E72"/>
    <w:rsid w:val="007D529A"/>
    <w:rsid w:val="007D5C70"/>
    <w:rsid w:val="007D5F4E"/>
    <w:rsid w:val="007D6970"/>
    <w:rsid w:val="007D6C6C"/>
    <w:rsid w:val="007D73F5"/>
    <w:rsid w:val="007E0C4D"/>
    <w:rsid w:val="007E3081"/>
    <w:rsid w:val="007E33F7"/>
    <w:rsid w:val="007E3DE8"/>
    <w:rsid w:val="007E45E0"/>
    <w:rsid w:val="007E4924"/>
    <w:rsid w:val="007E49AE"/>
    <w:rsid w:val="007E4C81"/>
    <w:rsid w:val="007E4DFA"/>
    <w:rsid w:val="007E5712"/>
    <w:rsid w:val="007E5AA3"/>
    <w:rsid w:val="007E5C65"/>
    <w:rsid w:val="007E6A64"/>
    <w:rsid w:val="007E74BB"/>
    <w:rsid w:val="007F0441"/>
    <w:rsid w:val="007F08E1"/>
    <w:rsid w:val="007F142C"/>
    <w:rsid w:val="007F204D"/>
    <w:rsid w:val="007F2FD1"/>
    <w:rsid w:val="007F42B3"/>
    <w:rsid w:val="007F45BE"/>
    <w:rsid w:val="007F4620"/>
    <w:rsid w:val="007F4B0E"/>
    <w:rsid w:val="007F4C67"/>
    <w:rsid w:val="007F52DF"/>
    <w:rsid w:val="007F5D9D"/>
    <w:rsid w:val="007F7175"/>
    <w:rsid w:val="007F71E5"/>
    <w:rsid w:val="007F76FD"/>
    <w:rsid w:val="0080028D"/>
    <w:rsid w:val="00800310"/>
    <w:rsid w:val="008003FF"/>
    <w:rsid w:val="008005C1"/>
    <w:rsid w:val="00800658"/>
    <w:rsid w:val="008018F1"/>
    <w:rsid w:val="00801EB4"/>
    <w:rsid w:val="00802B2C"/>
    <w:rsid w:val="00802B99"/>
    <w:rsid w:val="00803913"/>
    <w:rsid w:val="00804137"/>
    <w:rsid w:val="00804285"/>
    <w:rsid w:val="00804C56"/>
    <w:rsid w:val="0080506B"/>
    <w:rsid w:val="00805230"/>
    <w:rsid w:val="00805370"/>
    <w:rsid w:val="00805916"/>
    <w:rsid w:val="008065B3"/>
    <w:rsid w:val="00806A98"/>
    <w:rsid w:val="00810B43"/>
    <w:rsid w:val="00810B7A"/>
    <w:rsid w:val="00810EEF"/>
    <w:rsid w:val="00813175"/>
    <w:rsid w:val="00813BC7"/>
    <w:rsid w:val="008153D2"/>
    <w:rsid w:val="0081553F"/>
    <w:rsid w:val="008158FA"/>
    <w:rsid w:val="0081594D"/>
    <w:rsid w:val="00815993"/>
    <w:rsid w:val="00815B0D"/>
    <w:rsid w:val="00815B55"/>
    <w:rsid w:val="00815C56"/>
    <w:rsid w:val="00816250"/>
    <w:rsid w:val="0081643D"/>
    <w:rsid w:val="008165D0"/>
    <w:rsid w:val="00816C86"/>
    <w:rsid w:val="00820522"/>
    <w:rsid w:val="00820B42"/>
    <w:rsid w:val="00820FC3"/>
    <w:rsid w:val="00821544"/>
    <w:rsid w:val="008215CB"/>
    <w:rsid w:val="008218A6"/>
    <w:rsid w:val="00821AFD"/>
    <w:rsid w:val="0082272D"/>
    <w:rsid w:val="008227E3"/>
    <w:rsid w:val="008231FD"/>
    <w:rsid w:val="00823B78"/>
    <w:rsid w:val="00824ABE"/>
    <w:rsid w:val="008255BA"/>
    <w:rsid w:val="00825E81"/>
    <w:rsid w:val="008267B8"/>
    <w:rsid w:val="00826E27"/>
    <w:rsid w:val="00826EFD"/>
    <w:rsid w:val="0082742D"/>
    <w:rsid w:val="00827615"/>
    <w:rsid w:val="00830492"/>
    <w:rsid w:val="008304A9"/>
    <w:rsid w:val="008307B5"/>
    <w:rsid w:val="00830ABD"/>
    <w:rsid w:val="00830AED"/>
    <w:rsid w:val="00831613"/>
    <w:rsid w:val="0083233D"/>
    <w:rsid w:val="0083274A"/>
    <w:rsid w:val="00832956"/>
    <w:rsid w:val="00832C00"/>
    <w:rsid w:val="0083362D"/>
    <w:rsid w:val="008338DD"/>
    <w:rsid w:val="00834B74"/>
    <w:rsid w:val="00834DE7"/>
    <w:rsid w:val="008355D8"/>
    <w:rsid w:val="008355E2"/>
    <w:rsid w:val="00835AC1"/>
    <w:rsid w:val="00836B07"/>
    <w:rsid w:val="00837447"/>
    <w:rsid w:val="0084018A"/>
    <w:rsid w:val="00840271"/>
    <w:rsid w:val="00840D14"/>
    <w:rsid w:val="00841383"/>
    <w:rsid w:val="00841435"/>
    <w:rsid w:val="00841694"/>
    <w:rsid w:val="008416EC"/>
    <w:rsid w:val="0084243E"/>
    <w:rsid w:val="0084279E"/>
    <w:rsid w:val="008427F7"/>
    <w:rsid w:val="0084281F"/>
    <w:rsid w:val="008429B9"/>
    <w:rsid w:val="0084344D"/>
    <w:rsid w:val="00843761"/>
    <w:rsid w:val="0084393D"/>
    <w:rsid w:val="00843EAD"/>
    <w:rsid w:val="008446B6"/>
    <w:rsid w:val="00844818"/>
    <w:rsid w:val="0084507D"/>
    <w:rsid w:val="0084540C"/>
    <w:rsid w:val="008469C4"/>
    <w:rsid w:val="00846EE5"/>
    <w:rsid w:val="00850323"/>
    <w:rsid w:val="00850874"/>
    <w:rsid w:val="00850CE9"/>
    <w:rsid w:val="0085199D"/>
    <w:rsid w:val="00851A9D"/>
    <w:rsid w:val="008523F2"/>
    <w:rsid w:val="008537D4"/>
    <w:rsid w:val="00853BE8"/>
    <w:rsid w:val="00855034"/>
    <w:rsid w:val="0085593E"/>
    <w:rsid w:val="00856168"/>
    <w:rsid w:val="0085616B"/>
    <w:rsid w:val="00857114"/>
    <w:rsid w:val="00860254"/>
    <w:rsid w:val="0086039B"/>
    <w:rsid w:val="008608B6"/>
    <w:rsid w:val="00860D36"/>
    <w:rsid w:val="00860F3C"/>
    <w:rsid w:val="00861399"/>
    <w:rsid w:val="00862BBE"/>
    <w:rsid w:val="00864057"/>
    <w:rsid w:val="0086407F"/>
    <w:rsid w:val="0086429B"/>
    <w:rsid w:val="0086440B"/>
    <w:rsid w:val="008647F9"/>
    <w:rsid w:val="00864BF5"/>
    <w:rsid w:val="00864F11"/>
    <w:rsid w:val="00866C49"/>
    <w:rsid w:val="00867212"/>
    <w:rsid w:val="00867DAD"/>
    <w:rsid w:val="00867F8B"/>
    <w:rsid w:val="008702A6"/>
    <w:rsid w:val="008705C5"/>
    <w:rsid w:val="00870D71"/>
    <w:rsid w:val="008711F2"/>
    <w:rsid w:val="008726AF"/>
    <w:rsid w:val="00872768"/>
    <w:rsid w:val="00872D74"/>
    <w:rsid w:val="0087300E"/>
    <w:rsid w:val="00873027"/>
    <w:rsid w:val="0087317C"/>
    <w:rsid w:val="00873B52"/>
    <w:rsid w:val="00873B6A"/>
    <w:rsid w:val="00874155"/>
    <w:rsid w:val="0087498C"/>
    <w:rsid w:val="00874F99"/>
    <w:rsid w:val="00875E33"/>
    <w:rsid w:val="00876282"/>
    <w:rsid w:val="0087684C"/>
    <w:rsid w:val="00876B5F"/>
    <w:rsid w:val="008770BB"/>
    <w:rsid w:val="008778F3"/>
    <w:rsid w:val="00880170"/>
    <w:rsid w:val="008802FC"/>
    <w:rsid w:val="008806F7"/>
    <w:rsid w:val="008808D8"/>
    <w:rsid w:val="0088098D"/>
    <w:rsid w:val="00881A11"/>
    <w:rsid w:val="00881A77"/>
    <w:rsid w:val="00881DDE"/>
    <w:rsid w:val="008820C5"/>
    <w:rsid w:val="00882945"/>
    <w:rsid w:val="00882F28"/>
    <w:rsid w:val="008833FC"/>
    <w:rsid w:val="00883B74"/>
    <w:rsid w:val="00883D71"/>
    <w:rsid w:val="00885520"/>
    <w:rsid w:val="00885A0C"/>
    <w:rsid w:val="00886573"/>
    <w:rsid w:val="008872DC"/>
    <w:rsid w:val="00887585"/>
    <w:rsid w:val="0088764A"/>
    <w:rsid w:val="00887C5F"/>
    <w:rsid w:val="00887FEE"/>
    <w:rsid w:val="008908D8"/>
    <w:rsid w:val="0089158C"/>
    <w:rsid w:val="00891E82"/>
    <w:rsid w:val="00892077"/>
    <w:rsid w:val="008925B9"/>
    <w:rsid w:val="008925E0"/>
    <w:rsid w:val="00892BA5"/>
    <w:rsid w:val="00893537"/>
    <w:rsid w:val="008935AA"/>
    <w:rsid w:val="008938A4"/>
    <w:rsid w:val="00894315"/>
    <w:rsid w:val="00894811"/>
    <w:rsid w:val="0089481B"/>
    <w:rsid w:val="00894A07"/>
    <w:rsid w:val="00894B7F"/>
    <w:rsid w:val="0089584D"/>
    <w:rsid w:val="00895F9B"/>
    <w:rsid w:val="00896A70"/>
    <w:rsid w:val="00897372"/>
    <w:rsid w:val="008975F5"/>
    <w:rsid w:val="00897ACD"/>
    <w:rsid w:val="00897EDE"/>
    <w:rsid w:val="008A0D92"/>
    <w:rsid w:val="008A108A"/>
    <w:rsid w:val="008A13F5"/>
    <w:rsid w:val="008A147A"/>
    <w:rsid w:val="008A1BA3"/>
    <w:rsid w:val="008A2DA3"/>
    <w:rsid w:val="008A40C5"/>
    <w:rsid w:val="008A4E00"/>
    <w:rsid w:val="008A4F9E"/>
    <w:rsid w:val="008A56BD"/>
    <w:rsid w:val="008A5B91"/>
    <w:rsid w:val="008A5FA4"/>
    <w:rsid w:val="008A6619"/>
    <w:rsid w:val="008A6684"/>
    <w:rsid w:val="008A68E3"/>
    <w:rsid w:val="008A6ADE"/>
    <w:rsid w:val="008A6D39"/>
    <w:rsid w:val="008A7591"/>
    <w:rsid w:val="008B09FE"/>
    <w:rsid w:val="008B0AD0"/>
    <w:rsid w:val="008B0B9E"/>
    <w:rsid w:val="008B11E0"/>
    <w:rsid w:val="008B1293"/>
    <w:rsid w:val="008B1B8A"/>
    <w:rsid w:val="008B1C67"/>
    <w:rsid w:val="008B24B8"/>
    <w:rsid w:val="008B29AD"/>
    <w:rsid w:val="008B2F7A"/>
    <w:rsid w:val="008B4011"/>
    <w:rsid w:val="008B4106"/>
    <w:rsid w:val="008B49AF"/>
    <w:rsid w:val="008B6031"/>
    <w:rsid w:val="008B7172"/>
    <w:rsid w:val="008B7263"/>
    <w:rsid w:val="008B75C7"/>
    <w:rsid w:val="008B78D9"/>
    <w:rsid w:val="008C0E05"/>
    <w:rsid w:val="008C0EC4"/>
    <w:rsid w:val="008C19C5"/>
    <w:rsid w:val="008C2331"/>
    <w:rsid w:val="008C2A1D"/>
    <w:rsid w:val="008C2FE9"/>
    <w:rsid w:val="008C3EC4"/>
    <w:rsid w:val="008C3EDF"/>
    <w:rsid w:val="008C4B84"/>
    <w:rsid w:val="008C52C6"/>
    <w:rsid w:val="008C6A51"/>
    <w:rsid w:val="008C6E51"/>
    <w:rsid w:val="008C751F"/>
    <w:rsid w:val="008C7761"/>
    <w:rsid w:val="008D0139"/>
    <w:rsid w:val="008D093E"/>
    <w:rsid w:val="008D138D"/>
    <w:rsid w:val="008D1B58"/>
    <w:rsid w:val="008D2F73"/>
    <w:rsid w:val="008D3DA9"/>
    <w:rsid w:val="008D3E9A"/>
    <w:rsid w:val="008D45FC"/>
    <w:rsid w:val="008D5CBA"/>
    <w:rsid w:val="008D65E5"/>
    <w:rsid w:val="008D68B4"/>
    <w:rsid w:val="008E0B41"/>
    <w:rsid w:val="008E0BCE"/>
    <w:rsid w:val="008E1AD0"/>
    <w:rsid w:val="008E21AE"/>
    <w:rsid w:val="008E2EDB"/>
    <w:rsid w:val="008E2FBD"/>
    <w:rsid w:val="008E311D"/>
    <w:rsid w:val="008E3396"/>
    <w:rsid w:val="008E35EB"/>
    <w:rsid w:val="008E3670"/>
    <w:rsid w:val="008E42AE"/>
    <w:rsid w:val="008E472E"/>
    <w:rsid w:val="008E474D"/>
    <w:rsid w:val="008E4F76"/>
    <w:rsid w:val="008E510F"/>
    <w:rsid w:val="008E56A7"/>
    <w:rsid w:val="008E5A90"/>
    <w:rsid w:val="008E60A5"/>
    <w:rsid w:val="008E681A"/>
    <w:rsid w:val="008E6F8A"/>
    <w:rsid w:val="008E732C"/>
    <w:rsid w:val="008E74CD"/>
    <w:rsid w:val="008E7604"/>
    <w:rsid w:val="008E7647"/>
    <w:rsid w:val="008E777D"/>
    <w:rsid w:val="008F1711"/>
    <w:rsid w:val="008F17A2"/>
    <w:rsid w:val="008F1911"/>
    <w:rsid w:val="008F193C"/>
    <w:rsid w:val="008F1B30"/>
    <w:rsid w:val="008F247F"/>
    <w:rsid w:val="008F347F"/>
    <w:rsid w:val="008F35E3"/>
    <w:rsid w:val="008F5FAD"/>
    <w:rsid w:val="008F6E60"/>
    <w:rsid w:val="008F7329"/>
    <w:rsid w:val="008F76CC"/>
    <w:rsid w:val="00900492"/>
    <w:rsid w:val="00900931"/>
    <w:rsid w:val="00900C66"/>
    <w:rsid w:val="00900DAE"/>
    <w:rsid w:val="009022A2"/>
    <w:rsid w:val="009022DF"/>
    <w:rsid w:val="00902528"/>
    <w:rsid w:val="00903446"/>
    <w:rsid w:val="009036CD"/>
    <w:rsid w:val="009055D4"/>
    <w:rsid w:val="009057E5"/>
    <w:rsid w:val="00906975"/>
    <w:rsid w:val="009069C3"/>
    <w:rsid w:val="009069EE"/>
    <w:rsid w:val="00906A36"/>
    <w:rsid w:val="00906B51"/>
    <w:rsid w:val="009077E7"/>
    <w:rsid w:val="00907EB3"/>
    <w:rsid w:val="0091029F"/>
    <w:rsid w:val="00910948"/>
    <w:rsid w:val="00910AA5"/>
    <w:rsid w:val="00911456"/>
    <w:rsid w:val="009118CD"/>
    <w:rsid w:val="00911AE9"/>
    <w:rsid w:val="00912405"/>
    <w:rsid w:val="009133FC"/>
    <w:rsid w:val="009139F1"/>
    <w:rsid w:val="009143D9"/>
    <w:rsid w:val="009147B3"/>
    <w:rsid w:val="0091712A"/>
    <w:rsid w:val="009171C5"/>
    <w:rsid w:val="00917FFA"/>
    <w:rsid w:val="00920B87"/>
    <w:rsid w:val="00921412"/>
    <w:rsid w:val="009223B2"/>
    <w:rsid w:val="0092267F"/>
    <w:rsid w:val="00922A93"/>
    <w:rsid w:val="00922C9F"/>
    <w:rsid w:val="00922F98"/>
    <w:rsid w:val="00923741"/>
    <w:rsid w:val="00923A7F"/>
    <w:rsid w:val="00924410"/>
    <w:rsid w:val="00924546"/>
    <w:rsid w:val="00925052"/>
    <w:rsid w:val="00925102"/>
    <w:rsid w:val="00926263"/>
    <w:rsid w:val="009267D8"/>
    <w:rsid w:val="0092695C"/>
    <w:rsid w:val="00926BDC"/>
    <w:rsid w:val="00926D50"/>
    <w:rsid w:val="00927974"/>
    <w:rsid w:val="0093033B"/>
    <w:rsid w:val="00931041"/>
    <w:rsid w:val="0093112A"/>
    <w:rsid w:val="0093135B"/>
    <w:rsid w:val="009316BF"/>
    <w:rsid w:val="00931C1E"/>
    <w:rsid w:val="00932759"/>
    <w:rsid w:val="00932D57"/>
    <w:rsid w:val="009334CB"/>
    <w:rsid w:val="0093370E"/>
    <w:rsid w:val="00936195"/>
    <w:rsid w:val="0093685C"/>
    <w:rsid w:val="00936AE4"/>
    <w:rsid w:val="00936CD4"/>
    <w:rsid w:val="0093718D"/>
    <w:rsid w:val="0093747B"/>
    <w:rsid w:val="00937550"/>
    <w:rsid w:val="009379ED"/>
    <w:rsid w:val="00937C9C"/>
    <w:rsid w:val="00940078"/>
    <w:rsid w:val="0094020D"/>
    <w:rsid w:val="009408AC"/>
    <w:rsid w:val="009409DE"/>
    <w:rsid w:val="009409E5"/>
    <w:rsid w:val="009411AA"/>
    <w:rsid w:val="0094137F"/>
    <w:rsid w:val="0094206C"/>
    <w:rsid w:val="0094232B"/>
    <w:rsid w:val="00942CC7"/>
    <w:rsid w:val="00942FA8"/>
    <w:rsid w:val="00943993"/>
    <w:rsid w:val="009440F9"/>
    <w:rsid w:val="00944DCF"/>
    <w:rsid w:val="0094564A"/>
    <w:rsid w:val="00945F5F"/>
    <w:rsid w:val="009466A0"/>
    <w:rsid w:val="0094685F"/>
    <w:rsid w:val="00950242"/>
    <w:rsid w:val="00950AF3"/>
    <w:rsid w:val="009515F5"/>
    <w:rsid w:val="00951CD0"/>
    <w:rsid w:val="00951E86"/>
    <w:rsid w:val="00951F73"/>
    <w:rsid w:val="0095209A"/>
    <w:rsid w:val="00952669"/>
    <w:rsid w:val="00952A9C"/>
    <w:rsid w:val="00952AC3"/>
    <w:rsid w:val="0095316C"/>
    <w:rsid w:val="009532DF"/>
    <w:rsid w:val="00953431"/>
    <w:rsid w:val="009534F1"/>
    <w:rsid w:val="00953A9D"/>
    <w:rsid w:val="00954629"/>
    <w:rsid w:val="009548C1"/>
    <w:rsid w:val="00955096"/>
    <w:rsid w:val="00955D42"/>
    <w:rsid w:val="009571A3"/>
    <w:rsid w:val="00960F8D"/>
    <w:rsid w:val="009614B1"/>
    <w:rsid w:val="0096174A"/>
    <w:rsid w:val="0096340A"/>
    <w:rsid w:val="00963859"/>
    <w:rsid w:val="00964049"/>
    <w:rsid w:val="009657E0"/>
    <w:rsid w:val="0096586E"/>
    <w:rsid w:val="00965ABF"/>
    <w:rsid w:val="00965C88"/>
    <w:rsid w:val="00965E11"/>
    <w:rsid w:val="009664E2"/>
    <w:rsid w:val="00967725"/>
    <w:rsid w:val="00970740"/>
    <w:rsid w:val="00970C52"/>
    <w:rsid w:val="00970C88"/>
    <w:rsid w:val="00972497"/>
    <w:rsid w:val="00973085"/>
    <w:rsid w:val="00974280"/>
    <w:rsid w:val="0097469A"/>
    <w:rsid w:val="00975143"/>
    <w:rsid w:val="00976064"/>
    <w:rsid w:val="00976415"/>
    <w:rsid w:val="00976E33"/>
    <w:rsid w:val="00976F29"/>
    <w:rsid w:val="00976F3C"/>
    <w:rsid w:val="0097761F"/>
    <w:rsid w:val="00980380"/>
    <w:rsid w:val="00980E7B"/>
    <w:rsid w:val="00980FC1"/>
    <w:rsid w:val="00980FD3"/>
    <w:rsid w:val="009813D9"/>
    <w:rsid w:val="009817CA"/>
    <w:rsid w:val="00981D29"/>
    <w:rsid w:val="00981E36"/>
    <w:rsid w:val="00983CC1"/>
    <w:rsid w:val="00983CC6"/>
    <w:rsid w:val="00984903"/>
    <w:rsid w:val="00984C5C"/>
    <w:rsid w:val="00984CDA"/>
    <w:rsid w:val="0098546F"/>
    <w:rsid w:val="00985B25"/>
    <w:rsid w:val="009862CF"/>
    <w:rsid w:val="0098640C"/>
    <w:rsid w:val="00991978"/>
    <w:rsid w:val="0099252A"/>
    <w:rsid w:val="0099271A"/>
    <w:rsid w:val="00993824"/>
    <w:rsid w:val="00993A94"/>
    <w:rsid w:val="0099471E"/>
    <w:rsid w:val="00994C63"/>
    <w:rsid w:val="009957E7"/>
    <w:rsid w:val="00995BA0"/>
    <w:rsid w:val="009965F7"/>
    <w:rsid w:val="00996623"/>
    <w:rsid w:val="0099662F"/>
    <w:rsid w:val="009968D0"/>
    <w:rsid w:val="00997C95"/>
    <w:rsid w:val="00997E34"/>
    <w:rsid w:val="009A01E1"/>
    <w:rsid w:val="009A04D3"/>
    <w:rsid w:val="009A0DDA"/>
    <w:rsid w:val="009A464A"/>
    <w:rsid w:val="009A4E27"/>
    <w:rsid w:val="009A55A8"/>
    <w:rsid w:val="009A5B33"/>
    <w:rsid w:val="009A62F4"/>
    <w:rsid w:val="009A6C67"/>
    <w:rsid w:val="009A7CFE"/>
    <w:rsid w:val="009B065A"/>
    <w:rsid w:val="009B07C3"/>
    <w:rsid w:val="009B08AC"/>
    <w:rsid w:val="009B0D5F"/>
    <w:rsid w:val="009B10C7"/>
    <w:rsid w:val="009B1CF6"/>
    <w:rsid w:val="009B2A93"/>
    <w:rsid w:val="009B352D"/>
    <w:rsid w:val="009B3573"/>
    <w:rsid w:val="009B3B52"/>
    <w:rsid w:val="009B3DBE"/>
    <w:rsid w:val="009B40B2"/>
    <w:rsid w:val="009B48DA"/>
    <w:rsid w:val="009B4FE5"/>
    <w:rsid w:val="009B505B"/>
    <w:rsid w:val="009B6659"/>
    <w:rsid w:val="009B68FD"/>
    <w:rsid w:val="009B7888"/>
    <w:rsid w:val="009B7B76"/>
    <w:rsid w:val="009B7C54"/>
    <w:rsid w:val="009C0B67"/>
    <w:rsid w:val="009C0DCA"/>
    <w:rsid w:val="009C16E3"/>
    <w:rsid w:val="009C1C9C"/>
    <w:rsid w:val="009C2759"/>
    <w:rsid w:val="009C2838"/>
    <w:rsid w:val="009C383B"/>
    <w:rsid w:val="009C3C63"/>
    <w:rsid w:val="009C47F4"/>
    <w:rsid w:val="009C48B3"/>
    <w:rsid w:val="009C4911"/>
    <w:rsid w:val="009C4977"/>
    <w:rsid w:val="009C4A47"/>
    <w:rsid w:val="009C5796"/>
    <w:rsid w:val="009C6442"/>
    <w:rsid w:val="009C6948"/>
    <w:rsid w:val="009C6B72"/>
    <w:rsid w:val="009C6DB1"/>
    <w:rsid w:val="009C7865"/>
    <w:rsid w:val="009C7EFC"/>
    <w:rsid w:val="009D00D8"/>
    <w:rsid w:val="009D1C72"/>
    <w:rsid w:val="009D21A2"/>
    <w:rsid w:val="009D24D4"/>
    <w:rsid w:val="009D27A4"/>
    <w:rsid w:val="009D2ED5"/>
    <w:rsid w:val="009D55DF"/>
    <w:rsid w:val="009D5DDE"/>
    <w:rsid w:val="009D61A5"/>
    <w:rsid w:val="009D66DE"/>
    <w:rsid w:val="009D79B4"/>
    <w:rsid w:val="009D7E26"/>
    <w:rsid w:val="009E042D"/>
    <w:rsid w:val="009E06AB"/>
    <w:rsid w:val="009E0FF2"/>
    <w:rsid w:val="009E1D3E"/>
    <w:rsid w:val="009E1DEB"/>
    <w:rsid w:val="009E2896"/>
    <w:rsid w:val="009E3160"/>
    <w:rsid w:val="009E3982"/>
    <w:rsid w:val="009E3D5A"/>
    <w:rsid w:val="009E547F"/>
    <w:rsid w:val="009E5536"/>
    <w:rsid w:val="009E56BA"/>
    <w:rsid w:val="009E5B96"/>
    <w:rsid w:val="009E6107"/>
    <w:rsid w:val="009E63AF"/>
    <w:rsid w:val="009E65E6"/>
    <w:rsid w:val="009E7008"/>
    <w:rsid w:val="009E7138"/>
    <w:rsid w:val="009E71D3"/>
    <w:rsid w:val="009E769C"/>
    <w:rsid w:val="009F095D"/>
    <w:rsid w:val="009F0E77"/>
    <w:rsid w:val="009F0E8A"/>
    <w:rsid w:val="009F1367"/>
    <w:rsid w:val="009F1410"/>
    <w:rsid w:val="009F2CF8"/>
    <w:rsid w:val="009F2F2A"/>
    <w:rsid w:val="009F3BE9"/>
    <w:rsid w:val="009F3C4F"/>
    <w:rsid w:val="009F46D0"/>
    <w:rsid w:val="009F4F82"/>
    <w:rsid w:val="009F510A"/>
    <w:rsid w:val="009F5119"/>
    <w:rsid w:val="009F58A7"/>
    <w:rsid w:val="009F5C0A"/>
    <w:rsid w:val="009F61D7"/>
    <w:rsid w:val="009F62F0"/>
    <w:rsid w:val="009F73C7"/>
    <w:rsid w:val="009F790B"/>
    <w:rsid w:val="00A0036E"/>
    <w:rsid w:val="00A0095D"/>
    <w:rsid w:val="00A00976"/>
    <w:rsid w:val="00A0098B"/>
    <w:rsid w:val="00A00B1B"/>
    <w:rsid w:val="00A026E0"/>
    <w:rsid w:val="00A02FF4"/>
    <w:rsid w:val="00A033E6"/>
    <w:rsid w:val="00A03CA8"/>
    <w:rsid w:val="00A04241"/>
    <w:rsid w:val="00A04E82"/>
    <w:rsid w:val="00A06168"/>
    <w:rsid w:val="00A0636E"/>
    <w:rsid w:val="00A0682D"/>
    <w:rsid w:val="00A06924"/>
    <w:rsid w:val="00A06BDB"/>
    <w:rsid w:val="00A07C15"/>
    <w:rsid w:val="00A07E0A"/>
    <w:rsid w:val="00A10118"/>
    <w:rsid w:val="00A104A5"/>
    <w:rsid w:val="00A1091A"/>
    <w:rsid w:val="00A11C76"/>
    <w:rsid w:val="00A12893"/>
    <w:rsid w:val="00A12DAE"/>
    <w:rsid w:val="00A138E0"/>
    <w:rsid w:val="00A13E52"/>
    <w:rsid w:val="00A14D04"/>
    <w:rsid w:val="00A14E54"/>
    <w:rsid w:val="00A15766"/>
    <w:rsid w:val="00A158A9"/>
    <w:rsid w:val="00A164D9"/>
    <w:rsid w:val="00A16604"/>
    <w:rsid w:val="00A16B82"/>
    <w:rsid w:val="00A16E61"/>
    <w:rsid w:val="00A20581"/>
    <w:rsid w:val="00A2070E"/>
    <w:rsid w:val="00A21AA4"/>
    <w:rsid w:val="00A21E94"/>
    <w:rsid w:val="00A22C58"/>
    <w:rsid w:val="00A22C6F"/>
    <w:rsid w:val="00A22DC1"/>
    <w:rsid w:val="00A23282"/>
    <w:rsid w:val="00A235A2"/>
    <w:rsid w:val="00A23749"/>
    <w:rsid w:val="00A23B7F"/>
    <w:rsid w:val="00A2423A"/>
    <w:rsid w:val="00A24359"/>
    <w:rsid w:val="00A24594"/>
    <w:rsid w:val="00A24F34"/>
    <w:rsid w:val="00A25D1E"/>
    <w:rsid w:val="00A264E1"/>
    <w:rsid w:val="00A27B3F"/>
    <w:rsid w:val="00A30ED6"/>
    <w:rsid w:val="00A311E1"/>
    <w:rsid w:val="00A31827"/>
    <w:rsid w:val="00A3183D"/>
    <w:rsid w:val="00A3206E"/>
    <w:rsid w:val="00A3230C"/>
    <w:rsid w:val="00A32CC8"/>
    <w:rsid w:val="00A33DAC"/>
    <w:rsid w:val="00A33DEB"/>
    <w:rsid w:val="00A3401E"/>
    <w:rsid w:val="00A3445F"/>
    <w:rsid w:val="00A3507E"/>
    <w:rsid w:val="00A35471"/>
    <w:rsid w:val="00A3588C"/>
    <w:rsid w:val="00A35C4F"/>
    <w:rsid w:val="00A367B3"/>
    <w:rsid w:val="00A36880"/>
    <w:rsid w:val="00A36C44"/>
    <w:rsid w:val="00A36EE9"/>
    <w:rsid w:val="00A40402"/>
    <w:rsid w:val="00A40E64"/>
    <w:rsid w:val="00A4106B"/>
    <w:rsid w:val="00A415C2"/>
    <w:rsid w:val="00A41B4B"/>
    <w:rsid w:val="00A41F79"/>
    <w:rsid w:val="00A42B99"/>
    <w:rsid w:val="00A4304F"/>
    <w:rsid w:val="00A43157"/>
    <w:rsid w:val="00A439DD"/>
    <w:rsid w:val="00A43AC6"/>
    <w:rsid w:val="00A43B1E"/>
    <w:rsid w:val="00A43DBB"/>
    <w:rsid w:val="00A43E94"/>
    <w:rsid w:val="00A444B2"/>
    <w:rsid w:val="00A447F7"/>
    <w:rsid w:val="00A44D01"/>
    <w:rsid w:val="00A44F96"/>
    <w:rsid w:val="00A450F8"/>
    <w:rsid w:val="00A45193"/>
    <w:rsid w:val="00A46B1A"/>
    <w:rsid w:val="00A503F4"/>
    <w:rsid w:val="00A50628"/>
    <w:rsid w:val="00A50ADA"/>
    <w:rsid w:val="00A50B04"/>
    <w:rsid w:val="00A50D30"/>
    <w:rsid w:val="00A514AA"/>
    <w:rsid w:val="00A51B26"/>
    <w:rsid w:val="00A51F48"/>
    <w:rsid w:val="00A5281F"/>
    <w:rsid w:val="00A536F5"/>
    <w:rsid w:val="00A53B60"/>
    <w:rsid w:val="00A53D38"/>
    <w:rsid w:val="00A544D8"/>
    <w:rsid w:val="00A54787"/>
    <w:rsid w:val="00A54976"/>
    <w:rsid w:val="00A549F2"/>
    <w:rsid w:val="00A54BE6"/>
    <w:rsid w:val="00A55C7B"/>
    <w:rsid w:val="00A56355"/>
    <w:rsid w:val="00A57351"/>
    <w:rsid w:val="00A57BF3"/>
    <w:rsid w:val="00A609DC"/>
    <w:rsid w:val="00A60CC6"/>
    <w:rsid w:val="00A61388"/>
    <w:rsid w:val="00A6191A"/>
    <w:rsid w:val="00A61AA8"/>
    <w:rsid w:val="00A61CE3"/>
    <w:rsid w:val="00A622B4"/>
    <w:rsid w:val="00A6246D"/>
    <w:rsid w:val="00A62CF7"/>
    <w:rsid w:val="00A630D2"/>
    <w:rsid w:val="00A6445E"/>
    <w:rsid w:val="00A644BD"/>
    <w:rsid w:val="00A65287"/>
    <w:rsid w:val="00A65845"/>
    <w:rsid w:val="00A6687B"/>
    <w:rsid w:val="00A66AEE"/>
    <w:rsid w:val="00A66F25"/>
    <w:rsid w:val="00A673AB"/>
    <w:rsid w:val="00A67AEE"/>
    <w:rsid w:val="00A70085"/>
    <w:rsid w:val="00A7044D"/>
    <w:rsid w:val="00A70B72"/>
    <w:rsid w:val="00A71AF4"/>
    <w:rsid w:val="00A722EC"/>
    <w:rsid w:val="00A73508"/>
    <w:rsid w:val="00A73E76"/>
    <w:rsid w:val="00A73FAA"/>
    <w:rsid w:val="00A74270"/>
    <w:rsid w:val="00A752BD"/>
    <w:rsid w:val="00A7712E"/>
    <w:rsid w:val="00A77C24"/>
    <w:rsid w:val="00A801C3"/>
    <w:rsid w:val="00A80A0E"/>
    <w:rsid w:val="00A81C33"/>
    <w:rsid w:val="00A81DE9"/>
    <w:rsid w:val="00A83198"/>
    <w:rsid w:val="00A835F5"/>
    <w:rsid w:val="00A836A9"/>
    <w:rsid w:val="00A83A21"/>
    <w:rsid w:val="00A852C4"/>
    <w:rsid w:val="00A8556A"/>
    <w:rsid w:val="00A85BEF"/>
    <w:rsid w:val="00A8603E"/>
    <w:rsid w:val="00A867E6"/>
    <w:rsid w:val="00A87811"/>
    <w:rsid w:val="00A8791C"/>
    <w:rsid w:val="00A87EF0"/>
    <w:rsid w:val="00A90E5C"/>
    <w:rsid w:val="00A91511"/>
    <w:rsid w:val="00A93BA5"/>
    <w:rsid w:val="00A948BF"/>
    <w:rsid w:val="00A94C0D"/>
    <w:rsid w:val="00A9556B"/>
    <w:rsid w:val="00A95F7B"/>
    <w:rsid w:val="00A967D3"/>
    <w:rsid w:val="00A9709B"/>
    <w:rsid w:val="00A971F4"/>
    <w:rsid w:val="00A97A8E"/>
    <w:rsid w:val="00A97AEC"/>
    <w:rsid w:val="00AA0568"/>
    <w:rsid w:val="00AA0BE0"/>
    <w:rsid w:val="00AA0C77"/>
    <w:rsid w:val="00AA1183"/>
    <w:rsid w:val="00AA165D"/>
    <w:rsid w:val="00AA1FF5"/>
    <w:rsid w:val="00AA22CC"/>
    <w:rsid w:val="00AA2D9D"/>
    <w:rsid w:val="00AA3DD7"/>
    <w:rsid w:val="00AA44A1"/>
    <w:rsid w:val="00AA4728"/>
    <w:rsid w:val="00AA4A57"/>
    <w:rsid w:val="00AA50C4"/>
    <w:rsid w:val="00AA5B75"/>
    <w:rsid w:val="00AA5DB3"/>
    <w:rsid w:val="00AA6E31"/>
    <w:rsid w:val="00AA75D4"/>
    <w:rsid w:val="00AA79A1"/>
    <w:rsid w:val="00AA7AFC"/>
    <w:rsid w:val="00AA7B22"/>
    <w:rsid w:val="00AB055F"/>
    <w:rsid w:val="00AB1856"/>
    <w:rsid w:val="00AB232F"/>
    <w:rsid w:val="00AB279A"/>
    <w:rsid w:val="00AB2840"/>
    <w:rsid w:val="00AB290C"/>
    <w:rsid w:val="00AB3785"/>
    <w:rsid w:val="00AB46DA"/>
    <w:rsid w:val="00AB4721"/>
    <w:rsid w:val="00AB4D1E"/>
    <w:rsid w:val="00AB5E14"/>
    <w:rsid w:val="00AB5FF8"/>
    <w:rsid w:val="00AB6091"/>
    <w:rsid w:val="00AB6FF3"/>
    <w:rsid w:val="00AB7618"/>
    <w:rsid w:val="00AC03B1"/>
    <w:rsid w:val="00AC03BE"/>
    <w:rsid w:val="00AC0A86"/>
    <w:rsid w:val="00AC0AD0"/>
    <w:rsid w:val="00AC0C5D"/>
    <w:rsid w:val="00AC1430"/>
    <w:rsid w:val="00AC1DAF"/>
    <w:rsid w:val="00AC210F"/>
    <w:rsid w:val="00AC27D8"/>
    <w:rsid w:val="00AC3A6A"/>
    <w:rsid w:val="00AC3B94"/>
    <w:rsid w:val="00AC46D6"/>
    <w:rsid w:val="00AC4B70"/>
    <w:rsid w:val="00AC5A64"/>
    <w:rsid w:val="00AC5A68"/>
    <w:rsid w:val="00AC6E99"/>
    <w:rsid w:val="00AC6F82"/>
    <w:rsid w:val="00AC739B"/>
    <w:rsid w:val="00AC7C68"/>
    <w:rsid w:val="00AC7E75"/>
    <w:rsid w:val="00AC7FC5"/>
    <w:rsid w:val="00AD0AE8"/>
    <w:rsid w:val="00AD118E"/>
    <w:rsid w:val="00AD2C66"/>
    <w:rsid w:val="00AD2FDD"/>
    <w:rsid w:val="00AD4C80"/>
    <w:rsid w:val="00AD4D9F"/>
    <w:rsid w:val="00AD4FF5"/>
    <w:rsid w:val="00AD566F"/>
    <w:rsid w:val="00AD5C2D"/>
    <w:rsid w:val="00AD6111"/>
    <w:rsid w:val="00AD667F"/>
    <w:rsid w:val="00AD7121"/>
    <w:rsid w:val="00AD7BC4"/>
    <w:rsid w:val="00AD7BD9"/>
    <w:rsid w:val="00AD7DDF"/>
    <w:rsid w:val="00AE07DA"/>
    <w:rsid w:val="00AE087F"/>
    <w:rsid w:val="00AE0CB9"/>
    <w:rsid w:val="00AE10AC"/>
    <w:rsid w:val="00AE1597"/>
    <w:rsid w:val="00AE1A74"/>
    <w:rsid w:val="00AE2077"/>
    <w:rsid w:val="00AE24CE"/>
    <w:rsid w:val="00AE303D"/>
    <w:rsid w:val="00AE3E36"/>
    <w:rsid w:val="00AE49E8"/>
    <w:rsid w:val="00AE4ACB"/>
    <w:rsid w:val="00AE5B84"/>
    <w:rsid w:val="00AE75A4"/>
    <w:rsid w:val="00AE788A"/>
    <w:rsid w:val="00AE7EC6"/>
    <w:rsid w:val="00AF0E9D"/>
    <w:rsid w:val="00AF2034"/>
    <w:rsid w:val="00AF2261"/>
    <w:rsid w:val="00AF2A33"/>
    <w:rsid w:val="00AF2D1E"/>
    <w:rsid w:val="00AF2E9C"/>
    <w:rsid w:val="00AF3ADA"/>
    <w:rsid w:val="00AF3C92"/>
    <w:rsid w:val="00AF4443"/>
    <w:rsid w:val="00AF485C"/>
    <w:rsid w:val="00AF4AEF"/>
    <w:rsid w:val="00AF51FC"/>
    <w:rsid w:val="00AF525D"/>
    <w:rsid w:val="00AF5280"/>
    <w:rsid w:val="00AF5413"/>
    <w:rsid w:val="00AF5B08"/>
    <w:rsid w:val="00AF5F82"/>
    <w:rsid w:val="00AF6CB0"/>
    <w:rsid w:val="00AF6D2F"/>
    <w:rsid w:val="00AF6F2E"/>
    <w:rsid w:val="00AF72B8"/>
    <w:rsid w:val="00AF74F2"/>
    <w:rsid w:val="00AF7B91"/>
    <w:rsid w:val="00B0133D"/>
    <w:rsid w:val="00B02412"/>
    <w:rsid w:val="00B0254A"/>
    <w:rsid w:val="00B02819"/>
    <w:rsid w:val="00B02D63"/>
    <w:rsid w:val="00B02E59"/>
    <w:rsid w:val="00B04704"/>
    <w:rsid w:val="00B04A63"/>
    <w:rsid w:val="00B04E1A"/>
    <w:rsid w:val="00B053FF"/>
    <w:rsid w:val="00B05739"/>
    <w:rsid w:val="00B061AF"/>
    <w:rsid w:val="00B06CF6"/>
    <w:rsid w:val="00B07195"/>
    <w:rsid w:val="00B071D5"/>
    <w:rsid w:val="00B075EC"/>
    <w:rsid w:val="00B078EA"/>
    <w:rsid w:val="00B07FCB"/>
    <w:rsid w:val="00B10719"/>
    <w:rsid w:val="00B107F5"/>
    <w:rsid w:val="00B108A4"/>
    <w:rsid w:val="00B10FEB"/>
    <w:rsid w:val="00B11478"/>
    <w:rsid w:val="00B1317C"/>
    <w:rsid w:val="00B13CD2"/>
    <w:rsid w:val="00B13DD8"/>
    <w:rsid w:val="00B141BB"/>
    <w:rsid w:val="00B146B3"/>
    <w:rsid w:val="00B1477E"/>
    <w:rsid w:val="00B14A10"/>
    <w:rsid w:val="00B15452"/>
    <w:rsid w:val="00B1623A"/>
    <w:rsid w:val="00B16362"/>
    <w:rsid w:val="00B170C9"/>
    <w:rsid w:val="00B171CD"/>
    <w:rsid w:val="00B17A39"/>
    <w:rsid w:val="00B17F46"/>
    <w:rsid w:val="00B201BE"/>
    <w:rsid w:val="00B20635"/>
    <w:rsid w:val="00B20D54"/>
    <w:rsid w:val="00B21935"/>
    <w:rsid w:val="00B21AD0"/>
    <w:rsid w:val="00B21E3A"/>
    <w:rsid w:val="00B21F7F"/>
    <w:rsid w:val="00B24D11"/>
    <w:rsid w:val="00B256BE"/>
    <w:rsid w:val="00B257F9"/>
    <w:rsid w:val="00B25EB9"/>
    <w:rsid w:val="00B275AD"/>
    <w:rsid w:val="00B303A4"/>
    <w:rsid w:val="00B30734"/>
    <w:rsid w:val="00B3078E"/>
    <w:rsid w:val="00B308D1"/>
    <w:rsid w:val="00B309E0"/>
    <w:rsid w:val="00B30A25"/>
    <w:rsid w:val="00B30D95"/>
    <w:rsid w:val="00B3110C"/>
    <w:rsid w:val="00B31509"/>
    <w:rsid w:val="00B31D02"/>
    <w:rsid w:val="00B32005"/>
    <w:rsid w:val="00B325F4"/>
    <w:rsid w:val="00B32E9B"/>
    <w:rsid w:val="00B3321A"/>
    <w:rsid w:val="00B339CD"/>
    <w:rsid w:val="00B341FC"/>
    <w:rsid w:val="00B35095"/>
    <w:rsid w:val="00B358E9"/>
    <w:rsid w:val="00B36451"/>
    <w:rsid w:val="00B36548"/>
    <w:rsid w:val="00B36A9C"/>
    <w:rsid w:val="00B37743"/>
    <w:rsid w:val="00B3775A"/>
    <w:rsid w:val="00B406BE"/>
    <w:rsid w:val="00B41486"/>
    <w:rsid w:val="00B41C8E"/>
    <w:rsid w:val="00B41CE6"/>
    <w:rsid w:val="00B42F44"/>
    <w:rsid w:val="00B43372"/>
    <w:rsid w:val="00B43E2B"/>
    <w:rsid w:val="00B45397"/>
    <w:rsid w:val="00B4592C"/>
    <w:rsid w:val="00B4654D"/>
    <w:rsid w:val="00B4698C"/>
    <w:rsid w:val="00B46B99"/>
    <w:rsid w:val="00B47461"/>
    <w:rsid w:val="00B47626"/>
    <w:rsid w:val="00B476FB"/>
    <w:rsid w:val="00B5102A"/>
    <w:rsid w:val="00B515DF"/>
    <w:rsid w:val="00B523AC"/>
    <w:rsid w:val="00B52605"/>
    <w:rsid w:val="00B52D24"/>
    <w:rsid w:val="00B53631"/>
    <w:rsid w:val="00B53753"/>
    <w:rsid w:val="00B53825"/>
    <w:rsid w:val="00B53A1E"/>
    <w:rsid w:val="00B53BCA"/>
    <w:rsid w:val="00B5430E"/>
    <w:rsid w:val="00B54AE0"/>
    <w:rsid w:val="00B55390"/>
    <w:rsid w:val="00B55C96"/>
    <w:rsid w:val="00B56573"/>
    <w:rsid w:val="00B565CF"/>
    <w:rsid w:val="00B5669A"/>
    <w:rsid w:val="00B5680D"/>
    <w:rsid w:val="00B56FFC"/>
    <w:rsid w:val="00B5774B"/>
    <w:rsid w:val="00B57E95"/>
    <w:rsid w:val="00B6069F"/>
    <w:rsid w:val="00B607DF"/>
    <w:rsid w:val="00B60ACA"/>
    <w:rsid w:val="00B60FA5"/>
    <w:rsid w:val="00B611F5"/>
    <w:rsid w:val="00B620AF"/>
    <w:rsid w:val="00B62223"/>
    <w:rsid w:val="00B62813"/>
    <w:rsid w:val="00B62D29"/>
    <w:rsid w:val="00B647A9"/>
    <w:rsid w:val="00B65225"/>
    <w:rsid w:val="00B65C18"/>
    <w:rsid w:val="00B660E8"/>
    <w:rsid w:val="00B66520"/>
    <w:rsid w:val="00B669AD"/>
    <w:rsid w:val="00B6797B"/>
    <w:rsid w:val="00B67AEE"/>
    <w:rsid w:val="00B70021"/>
    <w:rsid w:val="00B70063"/>
    <w:rsid w:val="00B7028B"/>
    <w:rsid w:val="00B7084C"/>
    <w:rsid w:val="00B7086A"/>
    <w:rsid w:val="00B70AE3"/>
    <w:rsid w:val="00B70F0D"/>
    <w:rsid w:val="00B71780"/>
    <w:rsid w:val="00B71A16"/>
    <w:rsid w:val="00B71B10"/>
    <w:rsid w:val="00B7272F"/>
    <w:rsid w:val="00B72EDB"/>
    <w:rsid w:val="00B7339A"/>
    <w:rsid w:val="00B74E90"/>
    <w:rsid w:val="00B7564E"/>
    <w:rsid w:val="00B75BF2"/>
    <w:rsid w:val="00B76B95"/>
    <w:rsid w:val="00B76BDB"/>
    <w:rsid w:val="00B76C43"/>
    <w:rsid w:val="00B77519"/>
    <w:rsid w:val="00B776FE"/>
    <w:rsid w:val="00B778A7"/>
    <w:rsid w:val="00B80AA4"/>
    <w:rsid w:val="00B817E3"/>
    <w:rsid w:val="00B821CF"/>
    <w:rsid w:val="00B8267C"/>
    <w:rsid w:val="00B82ECD"/>
    <w:rsid w:val="00B8307A"/>
    <w:rsid w:val="00B83807"/>
    <w:rsid w:val="00B848F8"/>
    <w:rsid w:val="00B84A39"/>
    <w:rsid w:val="00B84EBB"/>
    <w:rsid w:val="00B85C69"/>
    <w:rsid w:val="00B85F9C"/>
    <w:rsid w:val="00B86607"/>
    <w:rsid w:val="00B86AA0"/>
    <w:rsid w:val="00B86BB9"/>
    <w:rsid w:val="00B86DDD"/>
    <w:rsid w:val="00B86F7F"/>
    <w:rsid w:val="00B876EC"/>
    <w:rsid w:val="00B904D4"/>
    <w:rsid w:val="00B90F81"/>
    <w:rsid w:val="00B921D7"/>
    <w:rsid w:val="00B922AE"/>
    <w:rsid w:val="00B926AF"/>
    <w:rsid w:val="00B92C76"/>
    <w:rsid w:val="00B93777"/>
    <w:rsid w:val="00B95099"/>
    <w:rsid w:val="00B9582E"/>
    <w:rsid w:val="00B9584E"/>
    <w:rsid w:val="00B96949"/>
    <w:rsid w:val="00B96F00"/>
    <w:rsid w:val="00B9730E"/>
    <w:rsid w:val="00B97319"/>
    <w:rsid w:val="00B97F42"/>
    <w:rsid w:val="00BA0519"/>
    <w:rsid w:val="00BA08C9"/>
    <w:rsid w:val="00BA19CE"/>
    <w:rsid w:val="00BA1CB2"/>
    <w:rsid w:val="00BA1CB9"/>
    <w:rsid w:val="00BA1FA3"/>
    <w:rsid w:val="00BA2432"/>
    <w:rsid w:val="00BA3175"/>
    <w:rsid w:val="00BA395A"/>
    <w:rsid w:val="00BA40B7"/>
    <w:rsid w:val="00BA47B3"/>
    <w:rsid w:val="00BA485B"/>
    <w:rsid w:val="00BA5E0A"/>
    <w:rsid w:val="00BA6DFC"/>
    <w:rsid w:val="00BA6E9D"/>
    <w:rsid w:val="00BA721D"/>
    <w:rsid w:val="00BA78F7"/>
    <w:rsid w:val="00BA7B0E"/>
    <w:rsid w:val="00BA7F41"/>
    <w:rsid w:val="00BB00D2"/>
    <w:rsid w:val="00BB01D5"/>
    <w:rsid w:val="00BB020F"/>
    <w:rsid w:val="00BB06AF"/>
    <w:rsid w:val="00BB0EB9"/>
    <w:rsid w:val="00BB1157"/>
    <w:rsid w:val="00BB1793"/>
    <w:rsid w:val="00BB1C77"/>
    <w:rsid w:val="00BB1EE2"/>
    <w:rsid w:val="00BB2203"/>
    <w:rsid w:val="00BB253B"/>
    <w:rsid w:val="00BB2CAA"/>
    <w:rsid w:val="00BB30EF"/>
    <w:rsid w:val="00BB3C74"/>
    <w:rsid w:val="00BB46AD"/>
    <w:rsid w:val="00BB47C2"/>
    <w:rsid w:val="00BB4BCA"/>
    <w:rsid w:val="00BB572D"/>
    <w:rsid w:val="00BB6493"/>
    <w:rsid w:val="00BB7003"/>
    <w:rsid w:val="00BB7974"/>
    <w:rsid w:val="00BB7B96"/>
    <w:rsid w:val="00BC03CA"/>
    <w:rsid w:val="00BC0709"/>
    <w:rsid w:val="00BC0A06"/>
    <w:rsid w:val="00BC1AE0"/>
    <w:rsid w:val="00BC1F01"/>
    <w:rsid w:val="00BC1F0E"/>
    <w:rsid w:val="00BC2486"/>
    <w:rsid w:val="00BC273A"/>
    <w:rsid w:val="00BC27F2"/>
    <w:rsid w:val="00BC28A4"/>
    <w:rsid w:val="00BC3424"/>
    <w:rsid w:val="00BC3D28"/>
    <w:rsid w:val="00BC4638"/>
    <w:rsid w:val="00BC4902"/>
    <w:rsid w:val="00BC49D8"/>
    <w:rsid w:val="00BC6C2C"/>
    <w:rsid w:val="00BC6C48"/>
    <w:rsid w:val="00BC6F10"/>
    <w:rsid w:val="00BC7189"/>
    <w:rsid w:val="00BC74D7"/>
    <w:rsid w:val="00BD016F"/>
    <w:rsid w:val="00BD0C9F"/>
    <w:rsid w:val="00BD1165"/>
    <w:rsid w:val="00BD1CC0"/>
    <w:rsid w:val="00BD1DD9"/>
    <w:rsid w:val="00BD2570"/>
    <w:rsid w:val="00BD290E"/>
    <w:rsid w:val="00BD2A52"/>
    <w:rsid w:val="00BD2C07"/>
    <w:rsid w:val="00BD39C9"/>
    <w:rsid w:val="00BD3A45"/>
    <w:rsid w:val="00BD4231"/>
    <w:rsid w:val="00BD5064"/>
    <w:rsid w:val="00BD5385"/>
    <w:rsid w:val="00BD5756"/>
    <w:rsid w:val="00BD5DA1"/>
    <w:rsid w:val="00BD64B7"/>
    <w:rsid w:val="00BD70AF"/>
    <w:rsid w:val="00BD726A"/>
    <w:rsid w:val="00BE079A"/>
    <w:rsid w:val="00BE0CF9"/>
    <w:rsid w:val="00BE1888"/>
    <w:rsid w:val="00BE27CC"/>
    <w:rsid w:val="00BE291B"/>
    <w:rsid w:val="00BE2F95"/>
    <w:rsid w:val="00BE34A4"/>
    <w:rsid w:val="00BE4222"/>
    <w:rsid w:val="00BE4C62"/>
    <w:rsid w:val="00BE4F39"/>
    <w:rsid w:val="00BE62D2"/>
    <w:rsid w:val="00BE692F"/>
    <w:rsid w:val="00BE72ED"/>
    <w:rsid w:val="00BF002F"/>
    <w:rsid w:val="00BF0295"/>
    <w:rsid w:val="00BF0845"/>
    <w:rsid w:val="00BF09A4"/>
    <w:rsid w:val="00BF0D3A"/>
    <w:rsid w:val="00BF1028"/>
    <w:rsid w:val="00BF1BFD"/>
    <w:rsid w:val="00BF2097"/>
    <w:rsid w:val="00BF2197"/>
    <w:rsid w:val="00BF24B7"/>
    <w:rsid w:val="00BF270E"/>
    <w:rsid w:val="00BF27E0"/>
    <w:rsid w:val="00BF285D"/>
    <w:rsid w:val="00BF2BFB"/>
    <w:rsid w:val="00BF3113"/>
    <w:rsid w:val="00BF340F"/>
    <w:rsid w:val="00BF37A7"/>
    <w:rsid w:val="00BF3B3A"/>
    <w:rsid w:val="00BF4532"/>
    <w:rsid w:val="00BF4863"/>
    <w:rsid w:val="00BF59A1"/>
    <w:rsid w:val="00BF609D"/>
    <w:rsid w:val="00BF6B58"/>
    <w:rsid w:val="00BF6E54"/>
    <w:rsid w:val="00C003A2"/>
    <w:rsid w:val="00C00839"/>
    <w:rsid w:val="00C00C87"/>
    <w:rsid w:val="00C00D6F"/>
    <w:rsid w:val="00C01477"/>
    <w:rsid w:val="00C015A6"/>
    <w:rsid w:val="00C016D8"/>
    <w:rsid w:val="00C017F8"/>
    <w:rsid w:val="00C026A7"/>
    <w:rsid w:val="00C02974"/>
    <w:rsid w:val="00C03225"/>
    <w:rsid w:val="00C0392B"/>
    <w:rsid w:val="00C04B17"/>
    <w:rsid w:val="00C05375"/>
    <w:rsid w:val="00C062C5"/>
    <w:rsid w:val="00C06984"/>
    <w:rsid w:val="00C07119"/>
    <w:rsid w:val="00C07260"/>
    <w:rsid w:val="00C0750D"/>
    <w:rsid w:val="00C07985"/>
    <w:rsid w:val="00C1011C"/>
    <w:rsid w:val="00C101A5"/>
    <w:rsid w:val="00C101D7"/>
    <w:rsid w:val="00C10527"/>
    <w:rsid w:val="00C1065A"/>
    <w:rsid w:val="00C10A92"/>
    <w:rsid w:val="00C10AF6"/>
    <w:rsid w:val="00C10D85"/>
    <w:rsid w:val="00C11057"/>
    <w:rsid w:val="00C11226"/>
    <w:rsid w:val="00C12974"/>
    <w:rsid w:val="00C12AD0"/>
    <w:rsid w:val="00C12D08"/>
    <w:rsid w:val="00C13D3A"/>
    <w:rsid w:val="00C142C0"/>
    <w:rsid w:val="00C1508A"/>
    <w:rsid w:val="00C1539D"/>
    <w:rsid w:val="00C1604C"/>
    <w:rsid w:val="00C16674"/>
    <w:rsid w:val="00C16891"/>
    <w:rsid w:val="00C16BCC"/>
    <w:rsid w:val="00C174F5"/>
    <w:rsid w:val="00C179A2"/>
    <w:rsid w:val="00C17AC4"/>
    <w:rsid w:val="00C203A0"/>
    <w:rsid w:val="00C20A57"/>
    <w:rsid w:val="00C20D67"/>
    <w:rsid w:val="00C210BA"/>
    <w:rsid w:val="00C21987"/>
    <w:rsid w:val="00C2198E"/>
    <w:rsid w:val="00C21D13"/>
    <w:rsid w:val="00C21FD9"/>
    <w:rsid w:val="00C22557"/>
    <w:rsid w:val="00C24F95"/>
    <w:rsid w:val="00C25011"/>
    <w:rsid w:val="00C25079"/>
    <w:rsid w:val="00C25353"/>
    <w:rsid w:val="00C255D1"/>
    <w:rsid w:val="00C2588B"/>
    <w:rsid w:val="00C25C1D"/>
    <w:rsid w:val="00C260DB"/>
    <w:rsid w:val="00C26C6A"/>
    <w:rsid w:val="00C2702A"/>
    <w:rsid w:val="00C27048"/>
    <w:rsid w:val="00C30A71"/>
    <w:rsid w:val="00C31790"/>
    <w:rsid w:val="00C3232D"/>
    <w:rsid w:val="00C3257C"/>
    <w:rsid w:val="00C32B0F"/>
    <w:rsid w:val="00C3381F"/>
    <w:rsid w:val="00C33FD1"/>
    <w:rsid w:val="00C344F5"/>
    <w:rsid w:val="00C34D50"/>
    <w:rsid w:val="00C35391"/>
    <w:rsid w:val="00C35F5F"/>
    <w:rsid w:val="00C365CF"/>
    <w:rsid w:val="00C37E01"/>
    <w:rsid w:val="00C400B5"/>
    <w:rsid w:val="00C40A44"/>
    <w:rsid w:val="00C40B78"/>
    <w:rsid w:val="00C40CAD"/>
    <w:rsid w:val="00C43115"/>
    <w:rsid w:val="00C431BE"/>
    <w:rsid w:val="00C435FA"/>
    <w:rsid w:val="00C44110"/>
    <w:rsid w:val="00C44CBB"/>
    <w:rsid w:val="00C453AD"/>
    <w:rsid w:val="00C45EB3"/>
    <w:rsid w:val="00C4602D"/>
    <w:rsid w:val="00C471D3"/>
    <w:rsid w:val="00C47324"/>
    <w:rsid w:val="00C47527"/>
    <w:rsid w:val="00C478A8"/>
    <w:rsid w:val="00C5022F"/>
    <w:rsid w:val="00C504CA"/>
    <w:rsid w:val="00C51460"/>
    <w:rsid w:val="00C5351F"/>
    <w:rsid w:val="00C53E40"/>
    <w:rsid w:val="00C5465D"/>
    <w:rsid w:val="00C548C8"/>
    <w:rsid w:val="00C55750"/>
    <w:rsid w:val="00C55AF5"/>
    <w:rsid w:val="00C55CA5"/>
    <w:rsid w:val="00C56EB8"/>
    <w:rsid w:val="00C570A2"/>
    <w:rsid w:val="00C61574"/>
    <w:rsid w:val="00C61BCD"/>
    <w:rsid w:val="00C61DC4"/>
    <w:rsid w:val="00C63873"/>
    <w:rsid w:val="00C63B06"/>
    <w:rsid w:val="00C6410F"/>
    <w:rsid w:val="00C64AC6"/>
    <w:rsid w:val="00C65232"/>
    <w:rsid w:val="00C664BE"/>
    <w:rsid w:val="00C6674B"/>
    <w:rsid w:val="00C67D1F"/>
    <w:rsid w:val="00C67E5D"/>
    <w:rsid w:val="00C702C1"/>
    <w:rsid w:val="00C702D1"/>
    <w:rsid w:val="00C703AD"/>
    <w:rsid w:val="00C70B20"/>
    <w:rsid w:val="00C70C3A"/>
    <w:rsid w:val="00C70E1C"/>
    <w:rsid w:val="00C714F9"/>
    <w:rsid w:val="00C722A1"/>
    <w:rsid w:val="00C72ECF"/>
    <w:rsid w:val="00C72F57"/>
    <w:rsid w:val="00C732E4"/>
    <w:rsid w:val="00C736D9"/>
    <w:rsid w:val="00C737C5"/>
    <w:rsid w:val="00C74B26"/>
    <w:rsid w:val="00C74E37"/>
    <w:rsid w:val="00C757A9"/>
    <w:rsid w:val="00C75850"/>
    <w:rsid w:val="00C76F3F"/>
    <w:rsid w:val="00C8001F"/>
    <w:rsid w:val="00C802AB"/>
    <w:rsid w:val="00C80451"/>
    <w:rsid w:val="00C80AEE"/>
    <w:rsid w:val="00C80CF0"/>
    <w:rsid w:val="00C81351"/>
    <w:rsid w:val="00C81981"/>
    <w:rsid w:val="00C8233D"/>
    <w:rsid w:val="00C82440"/>
    <w:rsid w:val="00C82509"/>
    <w:rsid w:val="00C82713"/>
    <w:rsid w:val="00C831D5"/>
    <w:rsid w:val="00C83B76"/>
    <w:rsid w:val="00C84B22"/>
    <w:rsid w:val="00C84CDC"/>
    <w:rsid w:val="00C8560A"/>
    <w:rsid w:val="00C8596F"/>
    <w:rsid w:val="00C85AD7"/>
    <w:rsid w:val="00C87325"/>
    <w:rsid w:val="00C87407"/>
    <w:rsid w:val="00C8767B"/>
    <w:rsid w:val="00C87CE9"/>
    <w:rsid w:val="00C87DA2"/>
    <w:rsid w:val="00C87F28"/>
    <w:rsid w:val="00C903DA"/>
    <w:rsid w:val="00C903FF"/>
    <w:rsid w:val="00C90714"/>
    <w:rsid w:val="00C915AF"/>
    <w:rsid w:val="00C91A73"/>
    <w:rsid w:val="00C91B3D"/>
    <w:rsid w:val="00C92CA1"/>
    <w:rsid w:val="00C93592"/>
    <w:rsid w:val="00C937C2"/>
    <w:rsid w:val="00C93A3B"/>
    <w:rsid w:val="00C9423F"/>
    <w:rsid w:val="00C94306"/>
    <w:rsid w:val="00C9509D"/>
    <w:rsid w:val="00C95324"/>
    <w:rsid w:val="00C9566C"/>
    <w:rsid w:val="00C958C3"/>
    <w:rsid w:val="00C96026"/>
    <w:rsid w:val="00C9755D"/>
    <w:rsid w:val="00C97F4B"/>
    <w:rsid w:val="00CA065D"/>
    <w:rsid w:val="00CA1072"/>
    <w:rsid w:val="00CA1923"/>
    <w:rsid w:val="00CA2260"/>
    <w:rsid w:val="00CA250A"/>
    <w:rsid w:val="00CA2638"/>
    <w:rsid w:val="00CA30D8"/>
    <w:rsid w:val="00CA34EE"/>
    <w:rsid w:val="00CA36B4"/>
    <w:rsid w:val="00CA37BC"/>
    <w:rsid w:val="00CA3C98"/>
    <w:rsid w:val="00CA3D48"/>
    <w:rsid w:val="00CA40E2"/>
    <w:rsid w:val="00CA42E2"/>
    <w:rsid w:val="00CA522B"/>
    <w:rsid w:val="00CA5D02"/>
    <w:rsid w:val="00CA5EC8"/>
    <w:rsid w:val="00CA63A8"/>
    <w:rsid w:val="00CA67C8"/>
    <w:rsid w:val="00CA6BE4"/>
    <w:rsid w:val="00CA73D8"/>
    <w:rsid w:val="00CA745E"/>
    <w:rsid w:val="00CA7BF6"/>
    <w:rsid w:val="00CB001A"/>
    <w:rsid w:val="00CB00B8"/>
    <w:rsid w:val="00CB0E2A"/>
    <w:rsid w:val="00CB101F"/>
    <w:rsid w:val="00CB168A"/>
    <w:rsid w:val="00CB1717"/>
    <w:rsid w:val="00CB1924"/>
    <w:rsid w:val="00CB1E5F"/>
    <w:rsid w:val="00CB2988"/>
    <w:rsid w:val="00CB29B1"/>
    <w:rsid w:val="00CB2DD0"/>
    <w:rsid w:val="00CB44C3"/>
    <w:rsid w:val="00CB4755"/>
    <w:rsid w:val="00CB480B"/>
    <w:rsid w:val="00CB68FB"/>
    <w:rsid w:val="00CB6FC3"/>
    <w:rsid w:val="00CB7772"/>
    <w:rsid w:val="00CB7777"/>
    <w:rsid w:val="00CB7FC7"/>
    <w:rsid w:val="00CC0112"/>
    <w:rsid w:val="00CC1962"/>
    <w:rsid w:val="00CC1D27"/>
    <w:rsid w:val="00CC1E6D"/>
    <w:rsid w:val="00CC3590"/>
    <w:rsid w:val="00CC3B30"/>
    <w:rsid w:val="00CC4607"/>
    <w:rsid w:val="00CC4855"/>
    <w:rsid w:val="00CC55BE"/>
    <w:rsid w:val="00CC5D7C"/>
    <w:rsid w:val="00CC7BD3"/>
    <w:rsid w:val="00CC7D91"/>
    <w:rsid w:val="00CD07C7"/>
    <w:rsid w:val="00CD0D5A"/>
    <w:rsid w:val="00CD197F"/>
    <w:rsid w:val="00CD1FBA"/>
    <w:rsid w:val="00CD2258"/>
    <w:rsid w:val="00CD23E7"/>
    <w:rsid w:val="00CD2FB3"/>
    <w:rsid w:val="00CD379D"/>
    <w:rsid w:val="00CD3E4D"/>
    <w:rsid w:val="00CD45DD"/>
    <w:rsid w:val="00CD4711"/>
    <w:rsid w:val="00CD4BD8"/>
    <w:rsid w:val="00CD55CC"/>
    <w:rsid w:val="00CD573B"/>
    <w:rsid w:val="00CD5BAD"/>
    <w:rsid w:val="00CD604D"/>
    <w:rsid w:val="00CD625A"/>
    <w:rsid w:val="00CD631F"/>
    <w:rsid w:val="00CD6B64"/>
    <w:rsid w:val="00CD6C75"/>
    <w:rsid w:val="00CD721B"/>
    <w:rsid w:val="00CD7DAB"/>
    <w:rsid w:val="00CE0416"/>
    <w:rsid w:val="00CE05E7"/>
    <w:rsid w:val="00CE09F6"/>
    <w:rsid w:val="00CE10DE"/>
    <w:rsid w:val="00CE12E9"/>
    <w:rsid w:val="00CE1C09"/>
    <w:rsid w:val="00CE1C41"/>
    <w:rsid w:val="00CE213E"/>
    <w:rsid w:val="00CE2153"/>
    <w:rsid w:val="00CE2A2C"/>
    <w:rsid w:val="00CE2E38"/>
    <w:rsid w:val="00CE3331"/>
    <w:rsid w:val="00CE39C1"/>
    <w:rsid w:val="00CE4239"/>
    <w:rsid w:val="00CE4244"/>
    <w:rsid w:val="00CE49E4"/>
    <w:rsid w:val="00CE4C05"/>
    <w:rsid w:val="00CE56EB"/>
    <w:rsid w:val="00CE6352"/>
    <w:rsid w:val="00CE65C4"/>
    <w:rsid w:val="00CF1865"/>
    <w:rsid w:val="00CF2991"/>
    <w:rsid w:val="00CF38DD"/>
    <w:rsid w:val="00CF5902"/>
    <w:rsid w:val="00CF5C08"/>
    <w:rsid w:val="00CF74AA"/>
    <w:rsid w:val="00CF74D4"/>
    <w:rsid w:val="00D007A6"/>
    <w:rsid w:val="00D00A46"/>
    <w:rsid w:val="00D00FB1"/>
    <w:rsid w:val="00D018BC"/>
    <w:rsid w:val="00D01E5B"/>
    <w:rsid w:val="00D02250"/>
    <w:rsid w:val="00D0299D"/>
    <w:rsid w:val="00D042F0"/>
    <w:rsid w:val="00D04C1F"/>
    <w:rsid w:val="00D057A7"/>
    <w:rsid w:val="00D05D65"/>
    <w:rsid w:val="00D06306"/>
    <w:rsid w:val="00D06B5C"/>
    <w:rsid w:val="00D06BAF"/>
    <w:rsid w:val="00D0748E"/>
    <w:rsid w:val="00D10939"/>
    <w:rsid w:val="00D10F6A"/>
    <w:rsid w:val="00D11349"/>
    <w:rsid w:val="00D125A0"/>
    <w:rsid w:val="00D12A55"/>
    <w:rsid w:val="00D148AA"/>
    <w:rsid w:val="00D14A7C"/>
    <w:rsid w:val="00D14B83"/>
    <w:rsid w:val="00D14FFB"/>
    <w:rsid w:val="00D1515B"/>
    <w:rsid w:val="00D15241"/>
    <w:rsid w:val="00D15AA5"/>
    <w:rsid w:val="00D15C25"/>
    <w:rsid w:val="00D1616A"/>
    <w:rsid w:val="00D16C0D"/>
    <w:rsid w:val="00D1772A"/>
    <w:rsid w:val="00D1795A"/>
    <w:rsid w:val="00D17D9F"/>
    <w:rsid w:val="00D17DA4"/>
    <w:rsid w:val="00D17E4E"/>
    <w:rsid w:val="00D210E4"/>
    <w:rsid w:val="00D215CC"/>
    <w:rsid w:val="00D21D86"/>
    <w:rsid w:val="00D2213B"/>
    <w:rsid w:val="00D2423C"/>
    <w:rsid w:val="00D242E8"/>
    <w:rsid w:val="00D2445B"/>
    <w:rsid w:val="00D255D5"/>
    <w:rsid w:val="00D259ED"/>
    <w:rsid w:val="00D2635B"/>
    <w:rsid w:val="00D26771"/>
    <w:rsid w:val="00D27035"/>
    <w:rsid w:val="00D27428"/>
    <w:rsid w:val="00D27454"/>
    <w:rsid w:val="00D27A81"/>
    <w:rsid w:val="00D27B65"/>
    <w:rsid w:val="00D27EFE"/>
    <w:rsid w:val="00D27FFE"/>
    <w:rsid w:val="00D30442"/>
    <w:rsid w:val="00D3057F"/>
    <w:rsid w:val="00D30B67"/>
    <w:rsid w:val="00D31B03"/>
    <w:rsid w:val="00D325E7"/>
    <w:rsid w:val="00D32757"/>
    <w:rsid w:val="00D33081"/>
    <w:rsid w:val="00D339DE"/>
    <w:rsid w:val="00D33E1A"/>
    <w:rsid w:val="00D3618F"/>
    <w:rsid w:val="00D366CA"/>
    <w:rsid w:val="00D37312"/>
    <w:rsid w:val="00D40FBE"/>
    <w:rsid w:val="00D414B7"/>
    <w:rsid w:val="00D41505"/>
    <w:rsid w:val="00D415F1"/>
    <w:rsid w:val="00D43629"/>
    <w:rsid w:val="00D437C2"/>
    <w:rsid w:val="00D43A75"/>
    <w:rsid w:val="00D440BD"/>
    <w:rsid w:val="00D442EC"/>
    <w:rsid w:val="00D445A6"/>
    <w:rsid w:val="00D44664"/>
    <w:rsid w:val="00D4479C"/>
    <w:rsid w:val="00D45511"/>
    <w:rsid w:val="00D458B9"/>
    <w:rsid w:val="00D45B3D"/>
    <w:rsid w:val="00D45B40"/>
    <w:rsid w:val="00D45E44"/>
    <w:rsid w:val="00D46CE2"/>
    <w:rsid w:val="00D46FFD"/>
    <w:rsid w:val="00D47089"/>
    <w:rsid w:val="00D50F43"/>
    <w:rsid w:val="00D51E44"/>
    <w:rsid w:val="00D520F2"/>
    <w:rsid w:val="00D52D3F"/>
    <w:rsid w:val="00D52F51"/>
    <w:rsid w:val="00D54147"/>
    <w:rsid w:val="00D54216"/>
    <w:rsid w:val="00D55671"/>
    <w:rsid w:val="00D55AA5"/>
    <w:rsid w:val="00D564FC"/>
    <w:rsid w:val="00D567EF"/>
    <w:rsid w:val="00D56D74"/>
    <w:rsid w:val="00D57351"/>
    <w:rsid w:val="00D57661"/>
    <w:rsid w:val="00D57973"/>
    <w:rsid w:val="00D57B00"/>
    <w:rsid w:val="00D602AA"/>
    <w:rsid w:val="00D60756"/>
    <w:rsid w:val="00D60A41"/>
    <w:rsid w:val="00D616C8"/>
    <w:rsid w:val="00D6271F"/>
    <w:rsid w:val="00D63108"/>
    <w:rsid w:val="00D63109"/>
    <w:rsid w:val="00D63466"/>
    <w:rsid w:val="00D634F9"/>
    <w:rsid w:val="00D6395F"/>
    <w:rsid w:val="00D65D01"/>
    <w:rsid w:val="00D65D48"/>
    <w:rsid w:val="00D66050"/>
    <w:rsid w:val="00D67236"/>
    <w:rsid w:val="00D67F1A"/>
    <w:rsid w:val="00D7042B"/>
    <w:rsid w:val="00D7048D"/>
    <w:rsid w:val="00D70520"/>
    <w:rsid w:val="00D7098C"/>
    <w:rsid w:val="00D70B6B"/>
    <w:rsid w:val="00D71944"/>
    <w:rsid w:val="00D71B07"/>
    <w:rsid w:val="00D722F0"/>
    <w:rsid w:val="00D72629"/>
    <w:rsid w:val="00D732C5"/>
    <w:rsid w:val="00D74EE2"/>
    <w:rsid w:val="00D752A6"/>
    <w:rsid w:val="00D756E7"/>
    <w:rsid w:val="00D759D1"/>
    <w:rsid w:val="00D760BE"/>
    <w:rsid w:val="00D76453"/>
    <w:rsid w:val="00D76723"/>
    <w:rsid w:val="00D77032"/>
    <w:rsid w:val="00D7720D"/>
    <w:rsid w:val="00D77743"/>
    <w:rsid w:val="00D77933"/>
    <w:rsid w:val="00D77B5E"/>
    <w:rsid w:val="00D80B5C"/>
    <w:rsid w:val="00D80F74"/>
    <w:rsid w:val="00D80FCE"/>
    <w:rsid w:val="00D811B4"/>
    <w:rsid w:val="00D81544"/>
    <w:rsid w:val="00D818B2"/>
    <w:rsid w:val="00D8272A"/>
    <w:rsid w:val="00D82E97"/>
    <w:rsid w:val="00D8348B"/>
    <w:rsid w:val="00D8367C"/>
    <w:rsid w:val="00D8385F"/>
    <w:rsid w:val="00D83C31"/>
    <w:rsid w:val="00D8447E"/>
    <w:rsid w:val="00D850ED"/>
    <w:rsid w:val="00D865A8"/>
    <w:rsid w:val="00D86C5C"/>
    <w:rsid w:val="00D8761B"/>
    <w:rsid w:val="00D8771E"/>
    <w:rsid w:val="00D87824"/>
    <w:rsid w:val="00D906F8"/>
    <w:rsid w:val="00D9128E"/>
    <w:rsid w:val="00D914C7"/>
    <w:rsid w:val="00D915D8"/>
    <w:rsid w:val="00D91CB8"/>
    <w:rsid w:val="00D93898"/>
    <w:rsid w:val="00D93BE9"/>
    <w:rsid w:val="00D95CE1"/>
    <w:rsid w:val="00D9673D"/>
    <w:rsid w:val="00D97321"/>
    <w:rsid w:val="00D97451"/>
    <w:rsid w:val="00D9768E"/>
    <w:rsid w:val="00DA02E4"/>
    <w:rsid w:val="00DA11A4"/>
    <w:rsid w:val="00DA17EC"/>
    <w:rsid w:val="00DA1F4D"/>
    <w:rsid w:val="00DA2338"/>
    <w:rsid w:val="00DA26A6"/>
    <w:rsid w:val="00DA31DC"/>
    <w:rsid w:val="00DA3C22"/>
    <w:rsid w:val="00DA4463"/>
    <w:rsid w:val="00DA455B"/>
    <w:rsid w:val="00DA50BC"/>
    <w:rsid w:val="00DA52FD"/>
    <w:rsid w:val="00DA6052"/>
    <w:rsid w:val="00DA64BC"/>
    <w:rsid w:val="00DA6AF4"/>
    <w:rsid w:val="00DA6B0C"/>
    <w:rsid w:val="00DA6ECC"/>
    <w:rsid w:val="00DA7F27"/>
    <w:rsid w:val="00DB2172"/>
    <w:rsid w:val="00DB2874"/>
    <w:rsid w:val="00DB2F07"/>
    <w:rsid w:val="00DB3059"/>
    <w:rsid w:val="00DB3280"/>
    <w:rsid w:val="00DB421A"/>
    <w:rsid w:val="00DB44B2"/>
    <w:rsid w:val="00DB4FF2"/>
    <w:rsid w:val="00DB6704"/>
    <w:rsid w:val="00DB6773"/>
    <w:rsid w:val="00DB6D9B"/>
    <w:rsid w:val="00DC08D5"/>
    <w:rsid w:val="00DC1B53"/>
    <w:rsid w:val="00DC30F4"/>
    <w:rsid w:val="00DC32B6"/>
    <w:rsid w:val="00DC3471"/>
    <w:rsid w:val="00DC385A"/>
    <w:rsid w:val="00DC525E"/>
    <w:rsid w:val="00DC5B42"/>
    <w:rsid w:val="00DC680D"/>
    <w:rsid w:val="00DC6E05"/>
    <w:rsid w:val="00DC77EB"/>
    <w:rsid w:val="00DC7B7D"/>
    <w:rsid w:val="00DC7C57"/>
    <w:rsid w:val="00DD05AD"/>
    <w:rsid w:val="00DD11B3"/>
    <w:rsid w:val="00DD1686"/>
    <w:rsid w:val="00DD1744"/>
    <w:rsid w:val="00DD1CCD"/>
    <w:rsid w:val="00DD1F4A"/>
    <w:rsid w:val="00DD1F9F"/>
    <w:rsid w:val="00DD2891"/>
    <w:rsid w:val="00DD3316"/>
    <w:rsid w:val="00DD3B19"/>
    <w:rsid w:val="00DD43ED"/>
    <w:rsid w:val="00DD4F71"/>
    <w:rsid w:val="00DD6E30"/>
    <w:rsid w:val="00DD735D"/>
    <w:rsid w:val="00DD751F"/>
    <w:rsid w:val="00DE019E"/>
    <w:rsid w:val="00DE06BA"/>
    <w:rsid w:val="00DE0750"/>
    <w:rsid w:val="00DE1C5C"/>
    <w:rsid w:val="00DE22FA"/>
    <w:rsid w:val="00DE3153"/>
    <w:rsid w:val="00DE397A"/>
    <w:rsid w:val="00DE3F84"/>
    <w:rsid w:val="00DE4041"/>
    <w:rsid w:val="00DE43AE"/>
    <w:rsid w:val="00DE4615"/>
    <w:rsid w:val="00DE53E5"/>
    <w:rsid w:val="00DE5AC3"/>
    <w:rsid w:val="00DE5ECC"/>
    <w:rsid w:val="00DE697A"/>
    <w:rsid w:val="00DE75A7"/>
    <w:rsid w:val="00DE7EE4"/>
    <w:rsid w:val="00DF0B5A"/>
    <w:rsid w:val="00DF0E5B"/>
    <w:rsid w:val="00DF139F"/>
    <w:rsid w:val="00DF1775"/>
    <w:rsid w:val="00DF1BAD"/>
    <w:rsid w:val="00DF23C0"/>
    <w:rsid w:val="00DF362B"/>
    <w:rsid w:val="00DF397B"/>
    <w:rsid w:val="00DF3DBD"/>
    <w:rsid w:val="00DF3EC1"/>
    <w:rsid w:val="00DF3FC3"/>
    <w:rsid w:val="00DF50E2"/>
    <w:rsid w:val="00DF5E60"/>
    <w:rsid w:val="00DF63C0"/>
    <w:rsid w:val="00DF64BF"/>
    <w:rsid w:val="00DF7459"/>
    <w:rsid w:val="00E000DE"/>
    <w:rsid w:val="00E00332"/>
    <w:rsid w:val="00E00A92"/>
    <w:rsid w:val="00E00FAB"/>
    <w:rsid w:val="00E01D4E"/>
    <w:rsid w:val="00E0210A"/>
    <w:rsid w:val="00E0226F"/>
    <w:rsid w:val="00E02DA6"/>
    <w:rsid w:val="00E032EF"/>
    <w:rsid w:val="00E03506"/>
    <w:rsid w:val="00E03E69"/>
    <w:rsid w:val="00E0403D"/>
    <w:rsid w:val="00E04986"/>
    <w:rsid w:val="00E04A9D"/>
    <w:rsid w:val="00E04D73"/>
    <w:rsid w:val="00E051BA"/>
    <w:rsid w:val="00E0596A"/>
    <w:rsid w:val="00E062E4"/>
    <w:rsid w:val="00E0667E"/>
    <w:rsid w:val="00E06D0F"/>
    <w:rsid w:val="00E077AF"/>
    <w:rsid w:val="00E07A51"/>
    <w:rsid w:val="00E07BAD"/>
    <w:rsid w:val="00E1114E"/>
    <w:rsid w:val="00E120EF"/>
    <w:rsid w:val="00E12274"/>
    <w:rsid w:val="00E12F86"/>
    <w:rsid w:val="00E137A5"/>
    <w:rsid w:val="00E137E0"/>
    <w:rsid w:val="00E1414F"/>
    <w:rsid w:val="00E1471B"/>
    <w:rsid w:val="00E14D56"/>
    <w:rsid w:val="00E15861"/>
    <w:rsid w:val="00E15AF2"/>
    <w:rsid w:val="00E15D98"/>
    <w:rsid w:val="00E15F18"/>
    <w:rsid w:val="00E1614B"/>
    <w:rsid w:val="00E16379"/>
    <w:rsid w:val="00E167CF"/>
    <w:rsid w:val="00E16E5F"/>
    <w:rsid w:val="00E17D52"/>
    <w:rsid w:val="00E203D1"/>
    <w:rsid w:val="00E207CD"/>
    <w:rsid w:val="00E20958"/>
    <w:rsid w:val="00E20C11"/>
    <w:rsid w:val="00E212DE"/>
    <w:rsid w:val="00E2184A"/>
    <w:rsid w:val="00E218E9"/>
    <w:rsid w:val="00E2213B"/>
    <w:rsid w:val="00E22C3C"/>
    <w:rsid w:val="00E23AE0"/>
    <w:rsid w:val="00E24164"/>
    <w:rsid w:val="00E241CA"/>
    <w:rsid w:val="00E251BC"/>
    <w:rsid w:val="00E25454"/>
    <w:rsid w:val="00E25D42"/>
    <w:rsid w:val="00E26A84"/>
    <w:rsid w:val="00E26BD3"/>
    <w:rsid w:val="00E2710A"/>
    <w:rsid w:val="00E27C21"/>
    <w:rsid w:val="00E27D25"/>
    <w:rsid w:val="00E3018E"/>
    <w:rsid w:val="00E307D4"/>
    <w:rsid w:val="00E30884"/>
    <w:rsid w:val="00E30A65"/>
    <w:rsid w:val="00E30AD2"/>
    <w:rsid w:val="00E31751"/>
    <w:rsid w:val="00E31C0F"/>
    <w:rsid w:val="00E31E49"/>
    <w:rsid w:val="00E3286B"/>
    <w:rsid w:val="00E32E9E"/>
    <w:rsid w:val="00E33DA8"/>
    <w:rsid w:val="00E34093"/>
    <w:rsid w:val="00E342C0"/>
    <w:rsid w:val="00E3466B"/>
    <w:rsid w:val="00E34DEB"/>
    <w:rsid w:val="00E34DFF"/>
    <w:rsid w:val="00E3507E"/>
    <w:rsid w:val="00E35B74"/>
    <w:rsid w:val="00E36165"/>
    <w:rsid w:val="00E3625C"/>
    <w:rsid w:val="00E36423"/>
    <w:rsid w:val="00E369CD"/>
    <w:rsid w:val="00E36BD7"/>
    <w:rsid w:val="00E412C9"/>
    <w:rsid w:val="00E4150C"/>
    <w:rsid w:val="00E417A8"/>
    <w:rsid w:val="00E41920"/>
    <w:rsid w:val="00E427B6"/>
    <w:rsid w:val="00E42AB1"/>
    <w:rsid w:val="00E42CE3"/>
    <w:rsid w:val="00E42F7F"/>
    <w:rsid w:val="00E4375F"/>
    <w:rsid w:val="00E438D6"/>
    <w:rsid w:val="00E43E5A"/>
    <w:rsid w:val="00E44B3D"/>
    <w:rsid w:val="00E44F8E"/>
    <w:rsid w:val="00E453AA"/>
    <w:rsid w:val="00E46463"/>
    <w:rsid w:val="00E473C0"/>
    <w:rsid w:val="00E513DD"/>
    <w:rsid w:val="00E51C1E"/>
    <w:rsid w:val="00E52044"/>
    <w:rsid w:val="00E5286C"/>
    <w:rsid w:val="00E52D69"/>
    <w:rsid w:val="00E53A0E"/>
    <w:rsid w:val="00E53BE2"/>
    <w:rsid w:val="00E53E78"/>
    <w:rsid w:val="00E542D5"/>
    <w:rsid w:val="00E547CC"/>
    <w:rsid w:val="00E54846"/>
    <w:rsid w:val="00E55277"/>
    <w:rsid w:val="00E5650E"/>
    <w:rsid w:val="00E5661E"/>
    <w:rsid w:val="00E57AE6"/>
    <w:rsid w:val="00E60295"/>
    <w:rsid w:val="00E6034D"/>
    <w:rsid w:val="00E60650"/>
    <w:rsid w:val="00E60B54"/>
    <w:rsid w:val="00E6117C"/>
    <w:rsid w:val="00E6145D"/>
    <w:rsid w:val="00E61685"/>
    <w:rsid w:val="00E6198A"/>
    <w:rsid w:val="00E620CE"/>
    <w:rsid w:val="00E629F8"/>
    <w:rsid w:val="00E63DFE"/>
    <w:rsid w:val="00E64331"/>
    <w:rsid w:val="00E645CA"/>
    <w:rsid w:val="00E64B4D"/>
    <w:rsid w:val="00E66F8D"/>
    <w:rsid w:val="00E67314"/>
    <w:rsid w:val="00E67FDB"/>
    <w:rsid w:val="00E70152"/>
    <w:rsid w:val="00E706BE"/>
    <w:rsid w:val="00E71E34"/>
    <w:rsid w:val="00E7299F"/>
    <w:rsid w:val="00E72D2D"/>
    <w:rsid w:val="00E73168"/>
    <w:rsid w:val="00E736C3"/>
    <w:rsid w:val="00E74641"/>
    <w:rsid w:val="00E747E0"/>
    <w:rsid w:val="00E74F37"/>
    <w:rsid w:val="00E770FC"/>
    <w:rsid w:val="00E775B5"/>
    <w:rsid w:val="00E77958"/>
    <w:rsid w:val="00E77C06"/>
    <w:rsid w:val="00E810C0"/>
    <w:rsid w:val="00E81703"/>
    <w:rsid w:val="00E8178E"/>
    <w:rsid w:val="00E817DC"/>
    <w:rsid w:val="00E81E2A"/>
    <w:rsid w:val="00E824E8"/>
    <w:rsid w:val="00E83545"/>
    <w:rsid w:val="00E83618"/>
    <w:rsid w:val="00E8535A"/>
    <w:rsid w:val="00E8547B"/>
    <w:rsid w:val="00E855F5"/>
    <w:rsid w:val="00E85810"/>
    <w:rsid w:val="00E85814"/>
    <w:rsid w:val="00E8654F"/>
    <w:rsid w:val="00E86C43"/>
    <w:rsid w:val="00E872C5"/>
    <w:rsid w:val="00E87F66"/>
    <w:rsid w:val="00E9114D"/>
    <w:rsid w:val="00E91183"/>
    <w:rsid w:val="00E9127F"/>
    <w:rsid w:val="00E9168F"/>
    <w:rsid w:val="00E92C43"/>
    <w:rsid w:val="00E94166"/>
    <w:rsid w:val="00E94AA8"/>
    <w:rsid w:val="00E957F4"/>
    <w:rsid w:val="00E9598A"/>
    <w:rsid w:val="00E968EB"/>
    <w:rsid w:val="00EA02D2"/>
    <w:rsid w:val="00EA2879"/>
    <w:rsid w:val="00EA340D"/>
    <w:rsid w:val="00EA3A83"/>
    <w:rsid w:val="00EA3EF7"/>
    <w:rsid w:val="00EA4193"/>
    <w:rsid w:val="00EA4426"/>
    <w:rsid w:val="00EA4703"/>
    <w:rsid w:val="00EA4C10"/>
    <w:rsid w:val="00EA4CAC"/>
    <w:rsid w:val="00EA526C"/>
    <w:rsid w:val="00EA5999"/>
    <w:rsid w:val="00EA59E4"/>
    <w:rsid w:val="00EA63B3"/>
    <w:rsid w:val="00EA65F2"/>
    <w:rsid w:val="00EA6877"/>
    <w:rsid w:val="00EA6A80"/>
    <w:rsid w:val="00EA6EE3"/>
    <w:rsid w:val="00EA7666"/>
    <w:rsid w:val="00EB0793"/>
    <w:rsid w:val="00EB0BD3"/>
    <w:rsid w:val="00EB0E92"/>
    <w:rsid w:val="00EB0F3C"/>
    <w:rsid w:val="00EB12AA"/>
    <w:rsid w:val="00EB14C7"/>
    <w:rsid w:val="00EB15A3"/>
    <w:rsid w:val="00EB1EBB"/>
    <w:rsid w:val="00EB1EFB"/>
    <w:rsid w:val="00EB2891"/>
    <w:rsid w:val="00EB2FBE"/>
    <w:rsid w:val="00EB2FDB"/>
    <w:rsid w:val="00EB4C8C"/>
    <w:rsid w:val="00EB4CA2"/>
    <w:rsid w:val="00EB4EF6"/>
    <w:rsid w:val="00EB5E63"/>
    <w:rsid w:val="00EB61CF"/>
    <w:rsid w:val="00EB63AB"/>
    <w:rsid w:val="00EB6BF8"/>
    <w:rsid w:val="00EB6E2B"/>
    <w:rsid w:val="00EB7B49"/>
    <w:rsid w:val="00EC1806"/>
    <w:rsid w:val="00EC1F45"/>
    <w:rsid w:val="00EC2DBA"/>
    <w:rsid w:val="00EC302F"/>
    <w:rsid w:val="00EC3620"/>
    <w:rsid w:val="00EC385F"/>
    <w:rsid w:val="00EC444E"/>
    <w:rsid w:val="00EC5369"/>
    <w:rsid w:val="00EC7253"/>
    <w:rsid w:val="00EC76E1"/>
    <w:rsid w:val="00ED183A"/>
    <w:rsid w:val="00ED3230"/>
    <w:rsid w:val="00ED37FE"/>
    <w:rsid w:val="00ED4016"/>
    <w:rsid w:val="00ED437D"/>
    <w:rsid w:val="00ED452A"/>
    <w:rsid w:val="00ED46BE"/>
    <w:rsid w:val="00ED4996"/>
    <w:rsid w:val="00ED4BF6"/>
    <w:rsid w:val="00ED55E0"/>
    <w:rsid w:val="00ED64C2"/>
    <w:rsid w:val="00ED69FE"/>
    <w:rsid w:val="00ED7D95"/>
    <w:rsid w:val="00ED7ED7"/>
    <w:rsid w:val="00EE08EA"/>
    <w:rsid w:val="00EE09E7"/>
    <w:rsid w:val="00EE11EA"/>
    <w:rsid w:val="00EE250C"/>
    <w:rsid w:val="00EE2C74"/>
    <w:rsid w:val="00EE2EB8"/>
    <w:rsid w:val="00EE3118"/>
    <w:rsid w:val="00EE410F"/>
    <w:rsid w:val="00EE52C1"/>
    <w:rsid w:val="00EE5643"/>
    <w:rsid w:val="00EE5DAF"/>
    <w:rsid w:val="00EE6A96"/>
    <w:rsid w:val="00EE7D0D"/>
    <w:rsid w:val="00EE7EED"/>
    <w:rsid w:val="00EF0CE7"/>
    <w:rsid w:val="00EF136D"/>
    <w:rsid w:val="00EF18C0"/>
    <w:rsid w:val="00EF1AA7"/>
    <w:rsid w:val="00EF2B31"/>
    <w:rsid w:val="00EF382B"/>
    <w:rsid w:val="00EF3B2F"/>
    <w:rsid w:val="00EF3E0E"/>
    <w:rsid w:val="00EF4505"/>
    <w:rsid w:val="00EF48E9"/>
    <w:rsid w:val="00EF4C08"/>
    <w:rsid w:val="00EF544E"/>
    <w:rsid w:val="00EF58A2"/>
    <w:rsid w:val="00EF6A1C"/>
    <w:rsid w:val="00EF6F7F"/>
    <w:rsid w:val="00EF7589"/>
    <w:rsid w:val="00EF79A7"/>
    <w:rsid w:val="00F007D0"/>
    <w:rsid w:val="00F00DAB"/>
    <w:rsid w:val="00F00EDE"/>
    <w:rsid w:val="00F01400"/>
    <w:rsid w:val="00F01671"/>
    <w:rsid w:val="00F0189E"/>
    <w:rsid w:val="00F01FD0"/>
    <w:rsid w:val="00F02C6E"/>
    <w:rsid w:val="00F04B43"/>
    <w:rsid w:val="00F04D56"/>
    <w:rsid w:val="00F04E7D"/>
    <w:rsid w:val="00F058AC"/>
    <w:rsid w:val="00F05A63"/>
    <w:rsid w:val="00F05C46"/>
    <w:rsid w:val="00F05C5E"/>
    <w:rsid w:val="00F062A8"/>
    <w:rsid w:val="00F06FCA"/>
    <w:rsid w:val="00F074F7"/>
    <w:rsid w:val="00F075D7"/>
    <w:rsid w:val="00F076EB"/>
    <w:rsid w:val="00F07D23"/>
    <w:rsid w:val="00F07E9A"/>
    <w:rsid w:val="00F10544"/>
    <w:rsid w:val="00F10B94"/>
    <w:rsid w:val="00F116C2"/>
    <w:rsid w:val="00F1194E"/>
    <w:rsid w:val="00F11F9B"/>
    <w:rsid w:val="00F12C74"/>
    <w:rsid w:val="00F13832"/>
    <w:rsid w:val="00F13A24"/>
    <w:rsid w:val="00F14394"/>
    <w:rsid w:val="00F1459C"/>
    <w:rsid w:val="00F151A7"/>
    <w:rsid w:val="00F1544D"/>
    <w:rsid w:val="00F15CA1"/>
    <w:rsid w:val="00F16B71"/>
    <w:rsid w:val="00F175C6"/>
    <w:rsid w:val="00F21100"/>
    <w:rsid w:val="00F2145D"/>
    <w:rsid w:val="00F21666"/>
    <w:rsid w:val="00F245D1"/>
    <w:rsid w:val="00F257F1"/>
    <w:rsid w:val="00F25802"/>
    <w:rsid w:val="00F25A42"/>
    <w:rsid w:val="00F261CA"/>
    <w:rsid w:val="00F276DD"/>
    <w:rsid w:val="00F30E37"/>
    <w:rsid w:val="00F31DD6"/>
    <w:rsid w:val="00F32D9D"/>
    <w:rsid w:val="00F332D8"/>
    <w:rsid w:val="00F336A0"/>
    <w:rsid w:val="00F33740"/>
    <w:rsid w:val="00F3615A"/>
    <w:rsid w:val="00F363C3"/>
    <w:rsid w:val="00F36820"/>
    <w:rsid w:val="00F37817"/>
    <w:rsid w:val="00F37E6A"/>
    <w:rsid w:val="00F40062"/>
    <w:rsid w:val="00F405B4"/>
    <w:rsid w:val="00F405D9"/>
    <w:rsid w:val="00F40676"/>
    <w:rsid w:val="00F409AF"/>
    <w:rsid w:val="00F40D47"/>
    <w:rsid w:val="00F40DEF"/>
    <w:rsid w:val="00F429D0"/>
    <w:rsid w:val="00F42EC2"/>
    <w:rsid w:val="00F42F5A"/>
    <w:rsid w:val="00F4316A"/>
    <w:rsid w:val="00F437D3"/>
    <w:rsid w:val="00F43FB4"/>
    <w:rsid w:val="00F44E7E"/>
    <w:rsid w:val="00F45146"/>
    <w:rsid w:val="00F45E48"/>
    <w:rsid w:val="00F45FF7"/>
    <w:rsid w:val="00F4641D"/>
    <w:rsid w:val="00F4697F"/>
    <w:rsid w:val="00F47655"/>
    <w:rsid w:val="00F47670"/>
    <w:rsid w:val="00F47CAA"/>
    <w:rsid w:val="00F50035"/>
    <w:rsid w:val="00F507A9"/>
    <w:rsid w:val="00F50856"/>
    <w:rsid w:val="00F511EB"/>
    <w:rsid w:val="00F51634"/>
    <w:rsid w:val="00F51759"/>
    <w:rsid w:val="00F51BAE"/>
    <w:rsid w:val="00F52257"/>
    <w:rsid w:val="00F52667"/>
    <w:rsid w:val="00F53F45"/>
    <w:rsid w:val="00F53FF2"/>
    <w:rsid w:val="00F55B22"/>
    <w:rsid w:val="00F576B6"/>
    <w:rsid w:val="00F60173"/>
    <w:rsid w:val="00F6151C"/>
    <w:rsid w:val="00F62117"/>
    <w:rsid w:val="00F629BD"/>
    <w:rsid w:val="00F6356E"/>
    <w:rsid w:val="00F63807"/>
    <w:rsid w:val="00F638F0"/>
    <w:rsid w:val="00F63B76"/>
    <w:rsid w:val="00F63DBA"/>
    <w:rsid w:val="00F63FD8"/>
    <w:rsid w:val="00F649F2"/>
    <w:rsid w:val="00F65466"/>
    <w:rsid w:val="00F6564F"/>
    <w:rsid w:val="00F65761"/>
    <w:rsid w:val="00F65D71"/>
    <w:rsid w:val="00F6636E"/>
    <w:rsid w:val="00F672CE"/>
    <w:rsid w:val="00F67825"/>
    <w:rsid w:val="00F679F4"/>
    <w:rsid w:val="00F7024B"/>
    <w:rsid w:val="00F70CAE"/>
    <w:rsid w:val="00F70E71"/>
    <w:rsid w:val="00F70E76"/>
    <w:rsid w:val="00F71247"/>
    <w:rsid w:val="00F719FB"/>
    <w:rsid w:val="00F71FFF"/>
    <w:rsid w:val="00F72D89"/>
    <w:rsid w:val="00F73AE2"/>
    <w:rsid w:val="00F74EF3"/>
    <w:rsid w:val="00F75D98"/>
    <w:rsid w:val="00F7620D"/>
    <w:rsid w:val="00F7687B"/>
    <w:rsid w:val="00F76EE3"/>
    <w:rsid w:val="00F776C2"/>
    <w:rsid w:val="00F77A9B"/>
    <w:rsid w:val="00F80042"/>
    <w:rsid w:val="00F80DE2"/>
    <w:rsid w:val="00F81CB4"/>
    <w:rsid w:val="00F82907"/>
    <w:rsid w:val="00F82C76"/>
    <w:rsid w:val="00F830A0"/>
    <w:rsid w:val="00F83539"/>
    <w:rsid w:val="00F83BB4"/>
    <w:rsid w:val="00F844E1"/>
    <w:rsid w:val="00F8491B"/>
    <w:rsid w:val="00F8653B"/>
    <w:rsid w:val="00F8727D"/>
    <w:rsid w:val="00F906CC"/>
    <w:rsid w:val="00F90EE3"/>
    <w:rsid w:val="00F91330"/>
    <w:rsid w:val="00F91B34"/>
    <w:rsid w:val="00F92259"/>
    <w:rsid w:val="00F9231B"/>
    <w:rsid w:val="00F92326"/>
    <w:rsid w:val="00F926A0"/>
    <w:rsid w:val="00F926BF"/>
    <w:rsid w:val="00F93E3F"/>
    <w:rsid w:val="00F94A4A"/>
    <w:rsid w:val="00F94AAD"/>
    <w:rsid w:val="00F9582D"/>
    <w:rsid w:val="00F95B1A"/>
    <w:rsid w:val="00F95BC8"/>
    <w:rsid w:val="00F960E3"/>
    <w:rsid w:val="00F96864"/>
    <w:rsid w:val="00F97511"/>
    <w:rsid w:val="00F9768E"/>
    <w:rsid w:val="00FA166D"/>
    <w:rsid w:val="00FA1D37"/>
    <w:rsid w:val="00FA1F26"/>
    <w:rsid w:val="00FA28B6"/>
    <w:rsid w:val="00FA314C"/>
    <w:rsid w:val="00FA3C1D"/>
    <w:rsid w:val="00FA4412"/>
    <w:rsid w:val="00FA5388"/>
    <w:rsid w:val="00FA6420"/>
    <w:rsid w:val="00FA74BF"/>
    <w:rsid w:val="00FA75D1"/>
    <w:rsid w:val="00FA76DD"/>
    <w:rsid w:val="00FA78C8"/>
    <w:rsid w:val="00FB02F2"/>
    <w:rsid w:val="00FB2169"/>
    <w:rsid w:val="00FB29D9"/>
    <w:rsid w:val="00FB2C1F"/>
    <w:rsid w:val="00FB335A"/>
    <w:rsid w:val="00FB3E2A"/>
    <w:rsid w:val="00FB4183"/>
    <w:rsid w:val="00FB5BBE"/>
    <w:rsid w:val="00FB6100"/>
    <w:rsid w:val="00FC00B1"/>
    <w:rsid w:val="00FC05A3"/>
    <w:rsid w:val="00FC0E29"/>
    <w:rsid w:val="00FC0E42"/>
    <w:rsid w:val="00FC2C49"/>
    <w:rsid w:val="00FC3A62"/>
    <w:rsid w:val="00FC3B40"/>
    <w:rsid w:val="00FC3F05"/>
    <w:rsid w:val="00FC3FA9"/>
    <w:rsid w:val="00FC5652"/>
    <w:rsid w:val="00FC6E46"/>
    <w:rsid w:val="00FC704D"/>
    <w:rsid w:val="00FC71F0"/>
    <w:rsid w:val="00FD0265"/>
    <w:rsid w:val="00FD1120"/>
    <w:rsid w:val="00FD177F"/>
    <w:rsid w:val="00FD1976"/>
    <w:rsid w:val="00FD237C"/>
    <w:rsid w:val="00FD251D"/>
    <w:rsid w:val="00FD3056"/>
    <w:rsid w:val="00FD30D2"/>
    <w:rsid w:val="00FD3369"/>
    <w:rsid w:val="00FD3D91"/>
    <w:rsid w:val="00FD3F33"/>
    <w:rsid w:val="00FD4A18"/>
    <w:rsid w:val="00FD540F"/>
    <w:rsid w:val="00FD5638"/>
    <w:rsid w:val="00FD7551"/>
    <w:rsid w:val="00FD7C34"/>
    <w:rsid w:val="00FD7CD6"/>
    <w:rsid w:val="00FD7E2A"/>
    <w:rsid w:val="00FE00B7"/>
    <w:rsid w:val="00FE0287"/>
    <w:rsid w:val="00FE076D"/>
    <w:rsid w:val="00FE1247"/>
    <w:rsid w:val="00FE2A63"/>
    <w:rsid w:val="00FE2BF2"/>
    <w:rsid w:val="00FE3370"/>
    <w:rsid w:val="00FE3892"/>
    <w:rsid w:val="00FE39FC"/>
    <w:rsid w:val="00FE3AB2"/>
    <w:rsid w:val="00FE4176"/>
    <w:rsid w:val="00FE4474"/>
    <w:rsid w:val="00FE45F7"/>
    <w:rsid w:val="00FE5586"/>
    <w:rsid w:val="00FE5721"/>
    <w:rsid w:val="00FE66CC"/>
    <w:rsid w:val="00FE6D8B"/>
    <w:rsid w:val="00FE6DB3"/>
    <w:rsid w:val="00FE72EE"/>
    <w:rsid w:val="00FE76C8"/>
    <w:rsid w:val="00FE77CC"/>
    <w:rsid w:val="00FE79D7"/>
    <w:rsid w:val="00FF0683"/>
    <w:rsid w:val="00FF1DFD"/>
    <w:rsid w:val="00FF3EE4"/>
    <w:rsid w:val="00FF4058"/>
    <w:rsid w:val="00FF4534"/>
    <w:rsid w:val="00FF4886"/>
    <w:rsid w:val="00FF4CD8"/>
    <w:rsid w:val="00FF53A9"/>
    <w:rsid w:val="00FF5521"/>
    <w:rsid w:val="00FF66E1"/>
    <w:rsid w:val="00FF6BCA"/>
    <w:rsid w:val="00FF78A4"/>
    <w:rsid w:val="00FF7B05"/>
    <w:rsid w:val="0110682D"/>
    <w:rsid w:val="011D5B0B"/>
    <w:rsid w:val="013B5E8F"/>
    <w:rsid w:val="015713C6"/>
    <w:rsid w:val="01574962"/>
    <w:rsid w:val="01730A44"/>
    <w:rsid w:val="019A4593"/>
    <w:rsid w:val="01BD17FD"/>
    <w:rsid w:val="01E3445C"/>
    <w:rsid w:val="01F3365A"/>
    <w:rsid w:val="01FB0577"/>
    <w:rsid w:val="01FD57CA"/>
    <w:rsid w:val="020236B3"/>
    <w:rsid w:val="021603BA"/>
    <w:rsid w:val="023870D5"/>
    <w:rsid w:val="027A76EE"/>
    <w:rsid w:val="027E79A5"/>
    <w:rsid w:val="02932388"/>
    <w:rsid w:val="02C4653C"/>
    <w:rsid w:val="02E91610"/>
    <w:rsid w:val="02EB239A"/>
    <w:rsid w:val="02F20C76"/>
    <w:rsid w:val="03007DA3"/>
    <w:rsid w:val="031A2931"/>
    <w:rsid w:val="03231B33"/>
    <w:rsid w:val="032E6420"/>
    <w:rsid w:val="03364348"/>
    <w:rsid w:val="036F2FCB"/>
    <w:rsid w:val="03921B3D"/>
    <w:rsid w:val="03B057AD"/>
    <w:rsid w:val="03BC344D"/>
    <w:rsid w:val="03FF3E8D"/>
    <w:rsid w:val="04302795"/>
    <w:rsid w:val="04455BB0"/>
    <w:rsid w:val="0478099A"/>
    <w:rsid w:val="047A0BEB"/>
    <w:rsid w:val="047D3224"/>
    <w:rsid w:val="047E2E70"/>
    <w:rsid w:val="04D327C2"/>
    <w:rsid w:val="04F3381E"/>
    <w:rsid w:val="050B0AD1"/>
    <w:rsid w:val="051B73A4"/>
    <w:rsid w:val="05336FFF"/>
    <w:rsid w:val="053C5231"/>
    <w:rsid w:val="05551D4C"/>
    <w:rsid w:val="0593685B"/>
    <w:rsid w:val="05AF5900"/>
    <w:rsid w:val="05B55C2C"/>
    <w:rsid w:val="05E7451C"/>
    <w:rsid w:val="064D1371"/>
    <w:rsid w:val="06682372"/>
    <w:rsid w:val="06767EE0"/>
    <w:rsid w:val="06AE7966"/>
    <w:rsid w:val="06F246FF"/>
    <w:rsid w:val="0708176C"/>
    <w:rsid w:val="07142A68"/>
    <w:rsid w:val="07B06327"/>
    <w:rsid w:val="07DC0503"/>
    <w:rsid w:val="08042C23"/>
    <w:rsid w:val="08152DEA"/>
    <w:rsid w:val="08400A92"/>
    <w:rsid w:val="085E0C19"/>
    <w:rsid w:val="086D633F"/>
    <w:rsid w:val="08821CFD"/>
    <w:rsid w:val="08876507"/>
    <w:rsid w:val="08C711B3"/>
    <w:rsid w:val="08EF7504"/>
    <w:rsid w:val="096E5C43"/>
    <w:rsid w:val="09A34265"/>
    <w:rsid w:val="09C51A84"/>
    <w:rsid w:val="09CD27F9"/>
    <w:rsid w:val="09CF6DEE"/>
    <w:rsid w:val="0A176105"/>
    <w:rsid w:val="0A4703B1"/>
    <w:rsid w:val="0ADE6740"/>
    <w:rsid w:val="0AF10769"/>
    <w:rsid w:val="0AFF2E86"/>
    <w:rsid w:val="0B4B1C27"/>
    <w:rsid w:val="0B525990"/>
    <w:rsid w:val="0B536FB3"/>
    <w:rsid w:val="0B643C31"/>
    <w:rsid w:val="0B7800ED"/>
    <w:rsid w:val="0BDA30C8"/>
    <w:rsid w:val="0C1D56AA"/>
    <w:rsid w:val="0C262DC0"/>
    <w:rsid w:val="0C2F1549"/>
    <w:rsid w:val="0C3E12C4"/>
    <w:rsid w:val="0C465D81"/>
    <w:rsid w:val="0C5C292D"/>
    <w:rsid w:val="0C620B8A"/>
    <w:rsid w:val="0C8312A6"/>
    <w:rsid w:val="0CB711FC"/>
    <w:rsid w:val="0D0D3412"/>
    <w:rsid w:val="0D270407"/>
    <w:rsid w:val="0D330646"/>
    <w:rsid w:val="0D3A01A5"/>
    <w:rsid w:val="0D4436BB"/>
    <w:rsid w:val="0D5A6456"/>
    <w:rsid w:val="0D921D8F"/>
    <w:rsid w:val="0D995034"/>
    <w:rsid w:val="0E367CF9"/>
    <w:rsid w:val="0E793D6B"/>
    <w:rsid w:val="0EE13979"/>
    <w:rsid w:val="0EFF43BA"/>
    <w:rsid w:val="0F073C1A"/>
    <w:rsid w:val="0F1144EF"/>
    <w:rsid w:val="0F17457D"/>
    <w:rsid w:val="0F374C93"/>
    <w:rsid w:val="0F5337A0"/>
    <w:rsid w:val="0F5512C6"/>
    <w:rsid w:val="0F6C6610"/>
    <w:rsid w:val="10305890"/>
    <w:rsid w:val="104355C3"/>
    <w:rsid w:val="105668F7"/>
    <w:rsid w:val="1098143A"/>
    <w:rsid w:val="10B71B0D"/>
    <w:rsid w:val="10E62602"/>
    <w:rsid w:val="110412C8"/>
    <w:rsid w:val="111E6800"/>
    <w:rsid w:val="11302D3E"/>
    <w:rsid w:val="11535080"/>
    <w:rsid w:val="11665A0D"/>
    <w:rsid w:val="116A4DD1"/>
    <w:rsid w:val="117C590D"/>
    <w:rsid w:val="11BB0768"/>
    <w:rsid w:val="11D50142"/>
    <w:rsid w:val="12072620"/>
    <w:rsid w:val="120E0865"/>
    <w:rsid w:val="120F5F48"/>
    <w:rsid w:val="1210249A"/>
    <w:rsid w:val="1224325E"/>
    <w:rsid w:val="124900A0"/>
    <w:rsid w:val="129D5317"/>
    <w:rsid w:val="12A06CFD"/>
    <w:rsid w:val="12BA166A"/>
    <w:rsid w:val="12BD7EC0"/>
    <w:rsid w:val="12CC07B6"/>
    <w:rsid w:val="131A4DD8"/>
    <w:rsid w:val="13781858"/>
    <w:rsid w:val="13824654"/>
    <w:rsid w:val="13AA475F"/>
    <w:rsid w:val="13C77E03"/>
    <w:rsid w:val="13C956A6"/>
    <w:rsid w:val="14815E72"/>
    <w:rsid w:val="149363ED"/>
    <w:rsid w:val="14977C8B"/>
    <w:rsid w:val="14AE03A7"/>
    <w:rsid w:val="14B1672A"/>
    <w:rsid w:val="151F53CF"/>
    <w:rsid w:val="15346F35"/>
    <w:rsid w:val="155C2C83"/>
    <w:rsid w:val="15924B9F"/>
    <w:rsid w:val="1598015F"/>
    <w:rsid w:val="15E2762C"/>
    <w:rsid w:val="15F629F5"/>
    <w:rsid w:val="16314917"/>
    <w:rsid w:val="164E4CC1"/>
    <w:rsid w:val="16543395"/>
    <w:rsid w:val="165D6CB3"/>
    <w:rsid w:val="16AC3CD5"/>
    <w:rsid w:val="17095ECB"/>
    <w:rsid w:val="172F064F"/>
    <w:rsid w:val="1739327C"/>
    <w:rsid w:val="173F00CD"/>
    <w:rsid w:val="17563E2E"/>
    <w:rsid w:val="1763754F"/>
    <w:rsid w:val="17946704"/>
    <w:rsid w:val="17A0275C"/>
    <w:rsid w:val="17B042F1"/>
    <w:rsid w:val="181635BD"/>
    <w:rsid w:val="182B350C"/>
    <w:rsid w:val="1834431D"/>
    <w:rsid w:val="18604028"/>
    <w:rsid w:val="187271F8"/>
    <w:rsid w:val="187F1162"/>
    <w:rsid w:val="18B35450"/>
    <w:rsid w:val="18D34B81"/>
    <w:rsid w:val="190A7D26"/>
    <w:rsid w:val="19106403"/>
    <w:rsid w:val="191F6C13"/>
    <w:rsid w:val="1947067E"/>
    <w:rsid w:val="196608D3"/>
    <w:rsid w:val="19D7655B"/>
    <w:rsid w:val="1A085187"/>
    <w:rsid w:val="1A1E4647"/>
    <w:rsid w:val="1A635DE4"/>
    <w:rsid w:val="1A997188"/>
    <w:rsid w:val="1ABD2416"/>
    <w:rsid w:val="1ADD03C2"/>
    <w:rsid w:val="1AE4114C"/>
    <w:rsid w:val="1AED052F"/>
    <w:rsid w:val="1B157B5C"/>
    <w:rsid w:val="1B1A295C"/>
    <w:rsid w:val="1B244243"/>
    <w:rsid w:val="1B7965A1"/>
    <w:rsid w:val="1B866CAC"/>
    <w:rsid w:val="1BA95474"/>
    <w:rsid w:val="1BB76484"/>
    <w:rsid w:val="1BE35EAC"/>
    <w:rsid w:val="1C055E22"/>
    <w:rsid w:val="1C2F4C4D"/>
    <w:rsid w:val="1C4050AC"/>
    <w:rsid w:val="1C890801"/>
    <w:rsid w:val="1CA613B3"/>
    <w:rsid w:val="1CC4027F"/>
    <w:rsid w:val="1CC90EC3"/>
    <w:rsid w:val="1CFE1CD3"/>
    <w:rsid w:val="1D187DD7"/>
    <w:rsid w:val="1D24677C"/>
    <w:rsid w:val="1D4B1F5B"/>
    <w:rsid w:val="1D6A30B7"/>
    <w:rsid w:val="1D864D41"/>
    <w:rsid w:val="1DA344B8"/>
    <w:rsid w:val="1DB870B1"/>
    <w:rsid w:val="1DCF4116"/>
    <w:rsid w:val="1DF714E8"/>
    <w:rsid w:val="1DFC27A3"/>
    <w:rsid w:val="1E307F52"/>
    <w:rsid w:val="1E384097"/>
    <w:rsid w:val="1E5066BA"/>
    <w:rsid w:val="1E854FF8"/>
    <w:rsid w:val="1E9049CE"/>
    <w:rsid w:val="1EC57AEB"/>
    <w:rsid w:val="1EC73863"/>
    <w:rsid w:val="1ED3759B"/>
    <w:rsid w:val="1EF81C6E"/>
    <w:rsid w:val="1EFC175F"/>
    <w:rsid w:val="1F635CD3"/>
    <w:rsid w:val="1FA478ED"/>
    <w:rsid w:val="1FAE25D2"/>
    <w:rsid w:val="200611DF"/>
    <w:rsid w:val="20BD4F1E"/>
    <w:rsid w:val="20BD77E2"/>
    <w:rsid w:val="20C82596"/>
    <w:rsid w:val="20EF2578"/>
    <w:rsid w:val="212740EF"/>
    <w:rsid w:val="212A6A4C"/>
    <w:rsid w:val="219B6E79"/>
    <w:rsid w:val="21A535C2"/>
    <w:rsid w:val="21B52F70"/>
    <w:rsid w:val="22356C88"/>
    <w:rsid w:val="223F6BD2"/>
    <w:rsid w:val="22573718"/>
    <w:rsid w:val="227F4BB4"/>
    <w:rsid w:val="2288155B"/>
    <w:rsid w:val="22B9510D"/>
    <w:rsid w:val="22C877B4"/>
    <w:rsid w:val="230010F2"/>
    <w:rsid w:val="23671171"/>
    <w:rsid w:val="237C4C1C"/>
    <w:rsid w:val="23917D56"/>
    <w:rsid w:val="23AB5501"/>
    <w:rsid w:val="23DE793C"/>
    <w:rsid w:val="23E21811"/>
    <w:rsid w:val="24125580"/>
    <w:rsid w:val="242A65FD"/>
    <w:rsid w:val="24340889"/>
    <w:rsid w:val="243B2D68"/>
    <w:rsid w:val="244153BC"/>
    <w:rsid w:val="244F2331"/>
    <w:rsid w:val="247933FD"/>
    <w:rsid w:val="24CF1181"/>
    <w:rsid w:val="24CF6FCD"/>
    <w:rsid w:val="24F75B0E"/>
    <w:rsid w:val="253432D4"/>
    <w:rsid w:val="255676EF"/>
    <w:rsid w:val="25671385"/>
    <w:rsid w:val="25901978"/>
    <w:rsid w:val="25C96113"/>
    <w:rsid w:val="25EA625C"/>
    <w:rsid w:val="261135FD"/>
    <w:rsid w:val="269347C3"/>
    <w:rsid w:val="26A5448A"/>
    <w:rsid w:val="26B3151D"/>
    <w:rsid w:val="27421CD9"/>
    <w:rsid w:val="276B56D3"/>
    <w:rsid w:val="27786297"/>
    <w:rsid w:val="27912C60"/>
    <w:rsid w:val="279F2553"/>
    <w:rsid w:val="27CC5A46"/>
    <w:rsid w:val="27CE17BE"/>
    <w:rsid w:val="27D66B0F"/>
    <w:rsid w:val="27E71368"/>
    <w:rsid w:val="280B7F29"/>
    <w:rsid w:val="282B536B"/>
    <w:rsid w:val="2886498C"/>
    <w:rsid w:val="28930E44"/>
    <w:rsid w:val="289355D4"/>
    <w:rsid w:val="28C521BA"/>
    <w:rsid w:val="293B7D70"/>
    <w:rsid w:val="29453CC8"/>
    <w:rsid w:val="29467B12"/>
    <w:rsid w:val="2959155B"/>
    <w:rsid w:val="29695C42"/>
    <w:rsid w:val="2996455E"/>
    <w:rsid w:val="299710B2"/>
    <w:rsid w:val="299F7F14"/>
    <w:rsid w:val="29EB07BD"/>
    <w:rsid w:val="29EC3336"/>
    <w:rsid w:val="2A505BBC"/>
    <w:rsid w:val="2A665123"/>
    <w:rsid w:val="2AC05D36"/>
    <w:rsid w:val="2AE16E96"/>
    <w:rsid w:val="2B01169F"/>
    <w:rsid w:val="2B083FB6"/>
    <w:rsid w:val="2B1D1263"/>
    <w:rsid w:val="2B46582D"/>
    <w:rsid w:val="2B9D1CC1"/>
    <w:rsid w:val="2BD81BC4"/>
    <w:rsid w:val="2C0F23A5"/>
    <w:rsid w:val="2C2E0A7D"/>
    <w:rsid w:val="2C300C99"/>
    <w:rsid w:val="2C331F7B"/>
    <w:rsid w:val="2C936DAF"/>
    <w:rsid w:val="2C9F7BCD"/>
    <w:rsid w:val="2CB25B52"/>
    <w:rsid w:val="2CC6515A"/>
    <w:rsid w:val="2CF56F07"/>
    <w:rsid w:val="2D084C8A"/>
    <w:rsid w:val="2D1C121E"/>
    <w:rsid w:val="2D4E65FB"/>
    <w:rsid w:val="2D820DFF"/>
    <w:rsid w:val="2DB71C8D"/>
    <w:rsid w:val="2E070A94"/>
    <w:rsid w:val="2E3E788B"/>
    <w:rsid w:val="2E4769EB"/>
    <w:rsid w:val="2E513E10"/>
    <w:rsid w:val="2E571BB2"/>
    <w:rsid w:val="2E7A6874"/>
    <w:rsid w:val="2E8964C8"/>
    <w:rsid w:val="2E8E35A8"/>
    <w:rsid w:val="2EF41BF8"/>
    <w:rsid w:val="2F2F1519"/>
    <w:rsid w:val="2F3E36CD"/>
    <w:rsid w:val="2F566359"/>
    <w:rsid w:val="2F6E386E"/>
    <w:rsid w:val="2F73653C"/>
    <w:rsid w:val="2F786096"/>
    <w:rsid w:val="2F890813"/>
    <w:rsid w:val="2FA00426"/>
    <w:rsid w:val="2FAD795C"/>
    <w:rsid w:val="2FC35981"/>
    <w:rsid w:val="2FC47A5C"/>
    <w:rsid w:val="2FC932A5"/>
    <w:rsid w:val="2FCA31B3"/>
    <w:rsid w:val="302B7C66"/>
    <w:rsid w:val="303045DB"/>
    <w:rsid w:val="30367754"/>
    <w:rsid w:val="303E3CB6"/>
    <w:rsid w:val="303F179A"/>
    <w:rsid w:val="30417FE3"/>
    <w:rsid w:val="307373A7"/>
    <w:rsid w:val="309535F4"/>
    <w:rsid w:val="309B5FD7"/>
    <w:rsid w:val="30AC4955"/>
    <w:rsid w:val="30BD0622"/>
    <w:rsid w:val="30EF1041"/>
    <w:rsid w:val="30F21034"/>
    <w:rsid w:val="311A11AA"/>
    <w:rsid w:val="313A36E5"/>
    <w:rsid w:val="3144195A"/>
    <w:rsid w:val="31576CC8"/>
    <w:rsid w:val="318D2F41"/>
    <w:rsid w:val="31B25CAD"/>
    <w:rsid w:val="320D376A"/>
    <w:rsid w:val="32180206"/>
    <w:rsid w:val="321B2412"/>
    <w:rsid w:val="32715878"/>
    <w:rsid w:val="32734C74"/>
    <w:rsid w:val="32757CBE"/>
    <w:rsid w:val="327F6BB9"/>
    <w:rsid w:val="32802563"/>
    <w:rsid w:val="32910F8A"/>
    <w:rsid w:val="32D95C59"/>
    <w:rsid w:val="32E8188E"/>
    <w:rsid w:val="32F83B93"/>
    <w:rsid w:val="330B38C7"/>
    <w:rsid w:val="334A5D34"/>
    <w:rsid w:val="335A484E"/>
    <w:rsid w:val="335E3471"/>
    <w:rsid w:val="33670B3B"/>
    <w:rsid w:val="337208FD"/>
    <w:rsid w:val="33962A97"/>
    <w:rsid w:val="33B757FC"/>
    <w:rsid w:val="33BF3369"/>
    <w:rsid w:val="33C770DC"/>
    <w:rsid w:val="33F47ECB"/>
    <w:rsid w:val="34270BD4"/>
    <w:rsid w:val="342C58A4"/>
    <w:rsid w:val="343D21A6"/>
    <w:rsid w:val="348C4EDB"/>
    <w:rsid w:val="34FE1A58"/>
    <w:rsid w:val="350A1125"/>
    <w:rsid w:val="351C630A"/>
    <w:rsid w:val="35243721"/>
    <w:rsid w:val="35920B41"/>
    <w:rsid w:val="36044383"/>
    <w:rsid w:val="36873BAC"/>
    <w:rsid w:val="368D0EDC"/>
    <w:rsid w:val="368E2312"/>
    <w:rsid w:val="36A93BA4"/>
    <w:rsid w:val="36BD312A"/>
    <w:rsid w:val="36EC7EB3"/>
    <w:rsid w:val="37145187"/>
    <w:rsid w:val="37277A20"/>
    <w:rsid w:val="372F1B4E"/>
    <w:rsid w:val="373936EB"/>
    <w:rsid w:val="374529EC"/>
    <w:rsid w:val="37607F59"/>
    <w:rsid w:val="376E6B1A"/>
    <w:rsid w:val="379D074A"/>
    <w:rsid w:val="37AA4173"/>
    <w:rsid w:val="37E62B54"/>
    <w:rsid w:val="37EF1A09"/>
    <w:rsid w:val="380D00E1"/>
    <w:rsid w:val="3838591C"/>
    <w:rsid w:val="38455ACD"/>
    <w:rsid w:val="3854495D"/>
    <w:rsid w:val="38B36D05"/>
    <w:rsid w:val="38E86458"/>
    <w:rsid w:val="391D3E4B"/>
    <w:rsid w:val="393022D9"/>
    <w:rsid w:val="397F500E"/>
    <w:rsid w:val="39932868"/>
    <w:rsid w:val="39950F74"/>
    <w:rsid w:val="39A01211"/>
    <w:rsid w:val="39B62157"/>
    <w:rsid w:val="3A0177D1"/>
    <w:rsid w:val="3A313DDF"/>
    <w:rsid w:val="3A3A5DC4"/>
    <w:rsid w:val="3A541FF7"/>
    <w:rsid w:val="3A9B0889"/>
    <w:rsid w:val="3AC23204"/>
    <w:rsid w:val="3B31262C"/>
    <w:rsid w:val="3B4A184C"/>
    <w:rsid w:val="3B9A7EDD"/>
    <w:rsid w:val="3BD31D36"/>
    <w:rsid w:val="3C186ADD"/>
    <w:rsid w:val="3C452FAA"/>
    <w:rsid w:val="3C88659C"/>
    <w:rsid w:val="3CAF5C0A"/>
    <w:rsid w:val="3CC17618"/>
    <w:rsid w:val="3CD80BD7"/>
    <w:rsid w:val="3D3377A0"/>
    <w:rsid w:val="3D337994"/>
    <w:rsid w:val="3D565BA3"/>
    <w:rsid w:val="3D6F2940"/>
    <w:rsid w:val="3D974FB8"/>
    <w:rsid w:val="3DBA1FEE"/>
    <w:rsid w:val="3E1B14D0"/>
    <w:rsid w:val="3E3E0636"/>
    <w:rsid w:val="3E3F6B1A"/>
    <w:rsid w:val="3E49293D"/>
    <w:rsid w:val="3E93012D"/>
    <w:rsid w:val="3EBE277C"/>
    <w:rsid w:val="3ECF4A76"/>
    <w:rsid w:val="3ED214CB"/>
    <w:rsid w:val="3EED4015"/>
    <w:rsid w:val="3EF45B64"/>
    <w:rsid w:val="3EFC0AC5"/>
    <w:rsid w:val="3F21368E"/>
    <w:rsid w:val="3F626F64"/>
    <w:rsid w:val="3F6A15F1"/>
    <w:rsid w:val="3F9B24F2"/>
    <w:rsid w:val="3FD848B3"/>
    <w:rsid w:val="3FDE44E0"/>
    <w:rsid w:val="3FFD4626"/>
    <w:rsid w:val="404E573A"/>
    <w:rsid w:val="40534AFF"/>
    <w:rsid w:val="406D5B3B"/>
    <w:rsid w:val="40727482"/>
    <w:rsid w:val="407B60F0"/>
    <w:rsid w:val="4088784E"/>
    <w:rsid w:val="40980BF5"/>
    <w:rsid w:val="40C81049"/>
    <w:rsid w:val="4102165B"/>
    <w:rsid w:val="41745D19"/>
    <w:rsid w:val="41815F9D"/>
    <w:rsid w:val="41911D83"/>
    <w:rsid w:val="41AE6491"/>
    <w:rsid w:val="41E87DF7"/>
    <w:rsid w:val="41F2325A"/>
    <w:rsid w:val="41F93484"/>
    <w:rsid w:val="41FE06F6"/>
    <w:rsid w:val="423A5F76"/>
    <w:rsid w:val="424A253E"/>
    <w:rsid w:val="42611755"/>
    <w:rsid w:val="42877C53"/>
    <w:rsid w:val="4289012F"/>
    <w:rsid w:val="42A17DA3"/>
    <w:rsid w:val="42B17231"/>
    <w:rsid w:val="42BD2013"/>
    <w:rsid w:val="432B4907"/>
    <w:rsid w:val="433F1E8C"/>
    <w:rsid w:val="434729F6"/>
    <w:rsid w:val="435968D0"/>
    <w:rsid w:val="43803CDB"/>
    <w:rsid w:val="439E2535"/>
    <w:rsid w:val="43B228DE"/>
    <w:rsid w:val="43BD5855"/>
    <w:rsid w:val="444A06A6"/>
    <w:rsid w:val="4489195E"/>
    <w:rsid w:val="4577303D"/>
    <w:rsid w:val="45B67F11"/>
    <w:rsid w:val="45C04D0F"/>
    <w:rsid w:val="45D9381D"/>
    <w:rsid w:val="460A5E8F"/>
    <w:rsid w:val="469B54A8"/>
    <w:rsid w:val="46B5206F"/>
    <w:rsid w:val="46B863B2"/>
    <w:rsid w:val="46E841F3"/>
    <w:rsid w:val="47017063"/>
    <w:rsid w:val="47066CD8"/>
    <w:rsid w:val="471F0C84"/>
    <w:rsid w:val="474451A1"/>
    <w:rsid w:val="47C85DD2"/>
    <w:rsid w:val="47CD68E0"/>
    <w:rsid w:val="48831CF9"/>
    <w:rsid w:val="4893018E"/>
    <w:rsid w:val="48BC3770"/>
    <w:rsid w:val="48C22822"/>
    <w:rsid w:val="48F21359"/>
    <w:rsid w:val="49330055"/>
    <w:rsid w:val="49474179"/>
    <w:rsid w:val="49535B70"/>
    <w:rsid w:val="495F4514"/>
    <w:rsid w:val="496A7603"/>
    <w:rsid w:val="49A2498B"/>
    <w:rsid w:val="49ED624D"/>
    <w:rsid w:val="49ED6F18"/>
    <w:rsid w:val="49EF7646"/>
    <w:rsid w:val="4A073E3C"/>
    <w:rsid w:val="4A0A1027"/>
    <w:rsid w:val="4A383145"/>
    <w:rsid w:val="4A5A450B"/>
    <w:rsid w:val="4A677FE9"/>
    <w:rsid w:val="4A6F69D9"/>
    <w:rsid w:val="4A924726"/>
    <w:rsid w:val="4ADF4022"/>
    <w:rsid w:val="4AF51C48"/>
    <w:rsid w:val="4B06086B"/>
    <w:rsid w:val="4B116D90"/>
    <w:rsid w:val="4B181965"/>
    <w:rsid w:val="4B242B20"/>
    <w:rsid w:val="4B644823"/>
    <w:rsid w:val="4B7C190E"/>
    <w:rsid w:val="4BD034A7"/>
    <w:rsid w:val="4BF70A34"/>
    <w:rsid w:val="4C1867E8"/>
    <w:rsid w:val="4C3752D5"/>
    <w:rsid w:val="4C4317B4"/>
    <w:rsid w:val="4C435948"/>
    <w:rsid w:val="4C4B0D80"/>
    <w:rsid w:val="4C5973D7"/>
    <w:rsid w:val="4C627CDE"/>
    <w:rsid w:val="4C6A56AA"/>
    <w:rsid w:val="4C7121C6"/>
    <w:rsid w:val="4C746529"/>
    <w:rsid w:val="4C785F1B"/>
    <w:rsid w:val="4C9A25E8"/>
    <w:rsid w:val="4C9E6FD7"/>
    <w:rsid w:val="4CB25DEA"/>
    <w:rsid w:val="4D3D691B"/>
    <w:rsid w:val="4D782049"/>
    <w:rsid w:val="4E255E4C"/>
    <w:rsid w:val="4E2F6BAB"/>
    <w:rsid w:val="4E447D35"/>
    <w:rsid w:val="4E4D2D2D"/>
    <w:rsid w:val="4EA13A5C"/>
    <w:rsid w:val="4ED11208"/>
    <w:rsid w:val="4EEA0919"/>
    <w:rsid w:val="4F2955FF"/>
    <w:rsid w:val="4F5057E1"/>
    <w:rsid w:val="4F5166AD"/>
    <w:rsid w:val="4F594BD8"/>
    <w:rsid w:val="4F7702AD"/>
    <w:rsid w:val="4F7D53B8"/>
    <w:rsid w:val="4F7E0512"/>
    <w:rsid w:val="4FA62E9D"/>
    <w:rsid w:val="4FB503DB"/>
    <w:rsid w:val="4FD25A40"/>
    <w:rsid w:val="50352A1E"/>
    <w:rsid w:val="503D3A8F"/>
    <w:rsid w:val="50B82942"/>
    <w:rsid w:val="50B87AF1"/>
    <w:rsid w:val="50F80BA4"/>
    <w:rsid w:val="5108493A"/>
    <w:rsid w:val="5152445F"/>
    <w:rsid w:val="515B4225"/>
    <w:rsid w:val="51E602FA"/>
    <w:rsid w:val="51E657D3"/>
    <w:rsid w:val="52491C87"/>
    <w:rsid w:val="52676617"/>
    <w:rsid w:val="528818DA"/>
    <w:rsid w:val="52B7342E"/>
    <w:rsid w:val="52BB0686"/>
    <w:rsid w:val="52BB6CD7"/>
    <w:rsid w:val="52C0754D"/>
    <w:rsid w:val="530602B8"/>
    <w:rsid w:val="53176E12"/>
    <w:rsid w:val="532F3457"/>
    <w:rsid w:val="53554FC2"/>
    <w:rsid w:val="5362532D"/>
    <w:rsid w:val="53744075"/>
    <w:rsid w:val="53A57FA5"/>
    <w:rsid w:val="53AB7AD4"/>
    <w:rsid w:val="53F02939"/>
    <w:rsid w:val="540E1011"/>
    <w:rsid w:val="54224ABC"/>
    <w:rsid w:val="54430CDC"/>
    <w:rsid w:val="54810649"/>
    <w:rsid w:val="548B5A69"/>
    <w:rsid w:val="54A12C0A"/>
    <w:rsid w:val="554F368F"/>
    <w:rsid w:val="55805699"/>
    <w:rsid w:val="558C4F69"/>
    <w:rsid w:val="558E2347"/>
    <w:rsid w:val="55A47105"/>
    <w:rsid w:val="55D9793E"/>
    <w:rsid w:val="55E026A2"/>
    <w:rsid w:val="55E276DA"/>
    <w:rsid w:val="560A3DB7"/>
    <w:rsid w:val="561227A5"/>
    <w:rsid w:val="56747E5C"/>
    <w:rsid w:val="56766650"/>
    <w:rsid w:val="568F467F"/>
    <w:rsid w:val="56A45213"/>
    <w:rsid w:val="56B97667"/>
    <w:rsid w:val="5708799A"/>
    <w:rsid w:val="57617841"/>
    <w:rsid w:val="576C3E45"/>
    <w:rsid w:val="57CC4FA3"/>
    <w:rsid w:val="57E10458"/>
    <w:rsid w:val="58592FA1"/>
    <w:rsid w:val="585C3C2E"/>
    <w:rsid w:val="58A12453"/>
    <w:rsid w:val="58C93A68"/>
    <w:rsid w:val="590E7F53"/>
    <w:rsid w:val="59253085"/>
    <w:rsid w:val="594352B9"/>
    <w:rsid w:val="594C104E"/>
    <w:rsid w:val="594F43C0"/>
    <w:rsid w:val="595030DD"/>
    <w:rsid w:val="59CD7B31"/>
    <w:rsid w:val="5A04713E"/>
    <w:rsid w:val="5A403EEE"/>
    <w:rsid w:val="5A413125"/>
    <w:rsid w:val="5A4C5139"/>
    <w:rsid w:val="5AD07020"/>
    <w:rsid w:val="5AEE5423"/>
    <w:rsid w:val="5B1C2E57"/>
    <w:rsid w:val="5B2D16C7"/>
    <w:rsid w:val="5B4D4778"/>
    <w:rsid w:val="5B667984"/>
    <w:rsid w:val="5BA279E2"/>
    <w:rsid w:val="5BAE68A6"/>
    <w:rsid w:val="5BEB0156"/>
    <w:rsid w:val="5C34503D"/>
    <w:rsid w:val="5C645C72"/>
    <w:rsid w:val="5C9A78E6"/>
    <w:rsid w:val="5CB00EB7"/>
    <w:rsid w:val="5CE55301"/>
    <w:rsid w:val="5CFE1BA3"/>
    <w:rsid w:val="5CFF619C"/>
    <w:rsid w:val="5D0F4874"/>
    <w:rsid w:val="5D281E8C"/>
    <w:rsid w:val="5D296EBB"/>
    <w:rsid w:val="5D2B6790"/>
    <w:rsid w:val="5D324D98"/>
    <w:rsid w:val="5D72616D"/>
    <w:rsid w:val="5D7C6FEB"/>
    <w:rsid w:val="5DD931C1"/>
    <w:rsid w:val="5DFC0FC1"/>
    <w:rsid w:val="5E47584B"/>
    <w:rsid w:val="5E5D0BCB"/>
    <w:rsid w:val="5EA110E0"/>
    <w:rsid w:val="5EC11B31"/>
    <w:rsid w:val="5ED725C3"/>
    <w:rsid w:val="5EF0415E"/>
    <w:rsid w:val="5EFF7ED4"/>
    <w:rsid w:val="5F1E7D96"/>
    <w:rsid w:val="5F87304F"/>
    <w:rsid w:val="5FA171DD"/>
    <w:rsid w:val="5FCC56BC"/>
    <w:rsid w:val="5FDA5AA2"/>
    <w:rsid w:val="60082DB8"/>
    <w:rsid w:val="60215E60"/>
    <w:rsid w:val="614F1B17"/>
    <w:rsid w:val="616044A2"/>
    <w:rsid w:val="618D5C6B"/>
    <w:rsid w:val="61C8265E"/>
    <w:rsid w:val="61D04001"/>
    <w:rsid w:val="61EC024E"/>
    <w:rsid w:val="62286FA5"/>
    <w:rsid w:val="62652587"/>
    <w:rsid w:val="62652744"/>
    <w:rsid w:val="62EA0E9B"/>
    <w:rsid w:val="62EB414C"/>
    <w:rsid w:val="63091321"/>
    <w:rsid w:val="630E5994"/>
    <w:rsid w:val="63267B8A"/>
    <w:rsid w:val="632950E8"/>
    <w:rsid w:val="634C0410"/>
    <w:rsid w:val="63770981"/>
    <w:rsid w:val="63910BEC"/>
    <w:rsid w:val="639654CB"/>
    <w:rsid w:val="63F25DF1"/>
    <w:rsid w:val="63FE3A6A"/>
    <w:rsid w:val="64012174"/>
    <w:rsid w:val="64191A38"/>
    <w:rsid w:val="644A511E"/>
    <w:rsid w:val="64550596"/>
    <w:rsid w:val="64711BB5"/>
    <w:rsid w:val="64715C24"/>
    <w:rsid w:val="64B3521B"/>
    <w:rsid w:val="64C153AE"/>
    <w:rsid w:val="64E94F4F"/>
    <w:rsid w:val="652266CA"/>
    <w:rsid w:val="6527620B"/>
    <w:rsid w:val="652A608B"/>
    <w:rsid w:val="653B5B5C"/>
    <w:rsid w:val="654C1062"/>
    <w:rsid w:val="6569367B"/>
    <w:rsid w:val="658E1A22"/>
    <w:rsid w:val="65DA71AD"/>
    <w:rsid w:val="66195168"/>
    <w:rsid w:val="66576847"/>
    <w:rsid w:val="66676269"/>
    <w:rsid w:val="666F7620"/>
    <w:rsid w:val="667C1E0A"/>
    <w:rsid w:val="6693422C"/>
    <w:rsid w:val="66934BCC"/>
    <w:rsid w:val="66A1310A"/>
    <w:rsid w:val="66AB26EF"/>
    <w:rsid w:val="673F0005"/>
    <w:rsid w:val="678A77B5"/>
    <w:rsid w:val="67AB6E4B"/>
    <w:rsid w:val="67AC7271"/>
    <w:rsid w:val="67E23563"/>
    <w:rsid w:val="67F0485E"/>
    <w:rsid w:val="68531926"/>
    <w:rsid w:val="687078B0"/>
    <w:rsid w:val="68715F0B"/>
    <w:rsid w:val="68E372C8"/>
    <w:rsid w:val="691622F6"/>
    <w:rsid w:val="6980106E"/>
    <w:rsid w:val="69817DBD"/>
    <w:rsid w:val="69D27DBE"/>
    <w:rsid w:val="6A1D56B2"/>
    <w:rsid w:val="6A29758A"/>
    <w:rsid w:val="6A317405"/>
    <w:rsid w:val="6A3B4237"/>
    <w:rsid w:val="6A4A51B2"/>
    <w:rsid w:val="6A7618A7"/>
    <w:rsid w:val="6A771185"/>
    <w:rsid w:val="6AB204F0"/>
    <w:rsid w:val="6AD2401F"/>
    <w:rsid w:val="6AD36287"/>
    <w:rsid w:val="6ADF18A4"/>
    <w:rsid w:val="6ADF5B82"/>
    <w:rsid w:val="6B08141A"/>
    <w:rsid w:val="6B1E5B86"/>
    <w:rsid w:val="6B280A88"/>
    <w:rsid w:val="6B443C1E"/>
    <w:rsid w:val="6B480E55"/>
    <w:rsid w:val="6B5C337A"/>
    <w:rsid w:val="6B71426E"/>
    <w:rsid w:val="6BAD388A"/>
    <w:rsid w:val="6BF66135"/>
    <w:rsid w:val="6C1331CB"/>
    <w:rsid w:val="6C3E0BDF"/>
    <w:rsid w:val="6C640B82"/>
    <w:rsid w:val="6C6A090B"/>
    <w:rsid w:val="6C726305"/>
    <w:rsid w:val="6C884E83"/>
    <w:rsid w:val="6C8B0FF9"/>
    <w:rsid w:val="6CAE0071"/>
    <w:rsid w:val="6CF7C9D9"/>
    <w:rsid w:val="6D24654F"/>
    <w:rsid w:val="6D3011F6"/>
    <w:rsid w:val="6D524368"/>
    <w:rsid w:val="6D605470"/>
    <w:rsid w:val="6DD8453C"/>
    <w:rsid w:val="6E6D6BF9"/>
    <w:rsid w:val="6E7F693B"/>
    <w:rsid w:val="6EA81F3E"/>
    <w:rsid w:val="6EFE3D04"/>
    <w:rsid w:val="6F2319BD"/>
    <w:rsid w:val="6F6F567F"/>
    <w:rsid w:val="6F793E34"/>
    <w:rsid w:val="6F926779"/>
    <w:rsid w:val="6F937D76"/>
    <w:rsid w:val="6FBE2549"/>
    <w:rsid w:val="6FCC795E"/>
    <w:rsid w:val="6FDB225A"/>
    <w:rsid w:val="6FE17402"/>
    <w:rsid w:val="70082960"/>
    <w:rsid w:val="700F3BC5"/>
    <w:rsid w:val="701C7B88"/>
    <w:rsid w:val="70293003"/>
    <w:rsid w:val="70324291"/>
    <w:rsid w:val="7075351C"/>
    <w:rsid w:val="708B5A25"/>
    <w:rsid w:val="70AE6645"/>
    <w:rsid w:val="70B40E69"/>
    <w:rsid w:val="70D365F6"/>
    <w:rsid w:val="70F3716D"/>
    <w:rsid w:val="711B1D67"/>
    <w:rsid w:val="717128D0"/>
    <w:rsid w:val="719F3C88"/>
    <w:rsid w:val="71A861A9"/>
    <w:rsid w:val="722D28F1"/>
    <w:rsid w:val="72357A4A"/>
    <w:rsid w:val="723E4F1D"/>
    <w:rsid w:val="72516841"/>
    <w:rsid w:val="72904076"/>
    <w:rsid w:val="729606F7"/>
    <w:rsid w:val="72B45759"/>
    <w:rsid w:val="72BA3919"/>
    <w:rsid w:val="72BF7C4E"/>
    <w:rsid w:val="733B34E6"/>
    <w:rsid w:val="733C304D"/>
    <w:rsid w:val="735C01E9"/>
    <w:rsid w:val="737E421E"/>
    <w:rsid w:val="738F3759"/>
    <w:rsid w:val="73AE54E6"/>
    <w:rsid w:val="73C66DBA"/>
    <w:rsid w:val="73F25E01"/>
    <w:rsid w:val="73F6144E"/>
    <w:rsid w:val="73FC5591"/>
    <w:rsid w:val="73FE4A33"/>
    <w:rsid w:val="74116287"/>
    <w:rsid w:val="74742967"/>
    <w:rsid w:val="74AF42D7"/>
    <w:rsid w:val="74C67651"/>
    <w:rsid w:val="74D3178F"/>
    <w:rsid w:val="74DD408E"/>
    <w:rsid w:val="750F4CFD"/>
    <w:rsid w:val="7538447B"/>
    <w:rsid w:val="756C3F8D"/>
    <w:rsid w:val="75766BDE"/>
    <w:rsid w:val="75BA294F"/>
    <w:rsid w:val="75C630A2"/>
    <w:rsid w:val="75D84535"/>
    <w:rsid w:val="75E772CA"/>
    <w:rsid w:val="75FB53BC"/>
    <w:rsid w:val="7620086F"/>
    <w:rsid w:val="76210E85"/>
    <w:rsid w:val="762C5DCF"/>
    <w:rsid w:val="76386A94"/>
    <w:rsid w:val="76CA0970"/>
    <w:rsid w:val="76D17F50"/>
    <w:rsid w:val="772C460D"/>
    <w:rsid w:val="7738674E"/>
    <w:rsid w:val="77445EF3"/>
    <w:rsid w:val="774D3A7A"/>
    <w:rsid w:val="775672CA"/>
    <w:rsid w:val="776B5CAF"/>
    <w:rsid w:val="776C7274"/>
    <w:rsid w:val="77716BAC"/>
    <w:rsid w:val="77846D70"/>
    <w:rsid w:val="77905715"/>
    <w:rsid w:val="77A81F4B"/>
    <w:rsid w:val="77B9518B"/>
    <w:rsid w:val="77F333DF"/>
    <w:rsid w:val="78096238"/>
    <w:rsid w:val="781727E9"/>
    <w:rsid w:val="78454752"/>
    <w:rsid w:val="787B0EF3"/>
    <w:rsid w:val="78B32E0F"/>
    <w:rsid w:val="78CA4C57"/>
    <w:rsid w:val="78D2000E"/>
    <w:rsid w:val="78E275A1"/>
    <w:rsid w:val="78E71F2D"/>
    <w:rsid w:val="7931117A"/>
    <w:rsid w:val="79537A42"/>
    <w:rsid w:val="79543791"/>
    <w:rsid w:val="79607C42"/>
    <w:rsid w:val="79AC25AE"/>
    <w:rsid w:val="79B25CA9"/>
    <w:rsid w:val="79B45BE2"/>
    <w:rsid w:val="79BF2EB6"/>
    <w:rsid w:val="79F65ECE"/>
    <w:rsid w:val="7A034FA5"/>
    <w:rsid w:val="7A301431"/>
    <w:rsid w:val="7A3D6696"/>
    <w:rsid w:val="7A6A3DEE"/>
    <w:rsid w:val="7A6E7E99"/>
    <w:rsid w:val="7AAD67F4"/>
    <w:rsid w:val="7AAE2C70"/>
    <w:rsid w:val="7B0C533F"/>
    <w:rsid w:val="7B2A7187"/>
    <w:rsid w:val="7B494559"/>
    <w:rsid w:val="7BB27382"/>
    <w:rsid w:val="7BB80E37"/>
    <w:rsid w:val="7BC92B34"/>
    <w:rsid w:val="7C2F300F"/>
    <w:rsid w:val="7C4F3DF1"/>
    <w:rsid w:val="7C5C3C9A"/>
    <w:rsid w:val="7C704660"/>
    <w:rsid w:val="7C77695E"/>
    <w:rsid w:val="7CBC0456"/>
    <w:rsid w:val="7CE776A3"/>
    <w:rsid w:val="7D0A657F"/>
    <w:rsid w:val="7D3C6B5C"/>
    <w:rsid w:val="7D4C6A28"/>
    <w:rsid w:val="7D7521C8"/>
    <w:rsid w:val="7D912F29"/>
    <w:rsid w:val="7DA4016C"/>
    <w:rsid w:val="7DA55C93"/>
    <w:rsid w:val="7DEE3196"/>
    <w:rsid w:val="7E0E6C5F"/>
    <w:rsid w:val="7E2E3EDA"/>
    <w:rsid w:val="7E90519C"/>
    <w:rsid w:val="7E991353"/>
    <w:rsid w:val="7EDD4152"/>
    <w:rsid w:val="7EDD741B"/>
    <w:rsid w:val="7EFC7B34"/>
    <w:rsid w:val="7EFF5F38"/>
    <w:rsid w:val="7F3D4789"/>
    <w:rsid w:val="7F703639"/>
    <w:rsid w:val="7FAA7590"/>
    <w:rsid w:val="7FF6152A"/>
    <w:rsid w:val="BA7D0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1"/>
    <w:pPr>
      <w:keepNext/>
      <w:keepLines/>
      <w:spacing w:before="340" w:after="330" w:line="578" w:lineRule="auto"/>
      <w:outlineLvl w:val="0"/>
    </w:pPr>
    <w:rPr>
      <w:b/>
      <w:bCs/>
      <w:kern w:val="44"/>
      <w:sz w:val="44"/>
      <w:szCs w:val="44"/>
    </w:rPr>
  </w:style>
  <w:style w:type="paragraph" w:styleId="4">
    <w:name w:val="heading 2"/>
    <w:basedOn w:val="1"/>
    <w:next w:val="1"/>
    <w:link w:val="81"/>
    <w:qFormat/>
    <w:uiPriority w:val="0"/>
    <w:pPr>
      <w:keepNext/>
      <w:keepLines/>
      <w:spacing w:before="260" w:after="260" w:line="412" w:lineRule="auto"/>
      <w:outlineLvl w:val="1"/>
    </w:pPr>
    <w:rPr>
      <w:rFonts w:ascii="Arial" w:hAnsi="Arial" w:eastAsia="??"/>
      <w:b/>
      <w:sz w:val="32"/>
      <w:szCs w:val="28"/>
    </w:rPr>
  </w:style>
  <w:style w:type="paragraph" w:styleId="5">
    <w:name w:val="heading 3"/>
    <w:basedOn w:val="1"/>
    <w:next w:val="1"/>
    <w:link w:val="86"/>
    <w:qFormat/>
    <w:uiPriority w:val="9"/>
    <w:pPr>
      <w:keepNext/>
      <w:keepLines/>
      <w:spacing w:before="260" w:after="260" w:line="416" w:lineRule="auto"/>
      <w:outlineLvl w:val="2"/>
    </w:pPr>
    <w:rPr>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70"/>
    <w:qFormat/>
    <w:uiPriority w:val="0"/>
    <w:pPr>
      <w:keepNext/>
      <w:keepLines/>
      <w:spacing w:before="240" w:after="64" w:line="320" w:lineRule="auto"/>
      <w:outlineLvl w:val="5"/>
    </w:pPr>
    <w:rPr>
      <w:rFonts w:ascii="Cambria" w:hAnsi="Cambria"/>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7"/>
    <w:qFormat/>
    <w:uiPriority w:val="0"/>
    <w:pPr>
      <w:spacing w:line="300" w:lineRule="auto"/>
      <w:ind w:firstLine="420"/>
    </w:pPr>
  </w:style>
  <w:style w:type="paragraph" w:styleId="9">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10">
    <w:name w:val="annotation text"/>
    <w:basedOn w:val="1"/>
    <w:link w:val="53"/>
    <w:qFormat/>
    <w:uiPriority w:val="0"/>
    <w:pPr>
      <w:jc w:val="left"/>
    </w:pPr>
    <w:rPr>
      <w:szCs w:val="24"/>
    </w:rPr>
  </w:style>
  <w:style w:type="paragraph" w:styleId="11">
    <w:name w:val="Body Text"/>
    <w:basedOn w:val="1"/>
    <w:next w:val="12"/>
    <w:link w:val="54"/>
    <w:qFormat/>
    <w:uiPriority w:val="1"/>
    <w:pPr>
      <w:spacing w:after="120"/>
    </w:pPr>
    <w:rPr>
      <w:rFonts w:eastAsia="??"/>
      <w:sz w:val="28"/>
      <w:szCs w:val="28"/>
    </w:rPr>
  </w:style>
  <w:style w:type="paragraph" w:styleId="12">
    <w:name w:val="Body Text First Indent"/>
    <w:basedOn w:val="11"/>
    <w:link w:val="140"/>
    <w:qFormat/>
    <w:uiPriority w:val="0"/>
    <w:pPr>
      <w:ind w:firstLine="420" w:firstLineChars="100"/>
    </w:pPr>
    <w:rPr>
      <w:rFonts w:eastAsia="宋体"/>
      <w:sz w:val="21"/>
      <w:szCs w:val="20"/>
    </w:rPr>
  </w:style>
  <w:style w:type="paragraph" w:styleId="13">
    <w:name w:val="Body Text Indent"/>
    <w:basedOn w:val="1"/>
    <w:link w:val="52"/>
    <w:qFormat/>
    <w:uiPriority w:val="0"/>
    <w:pPr>
      <w:spacing w:after="120"/>
      <w:ind w:left="420" w:leftChars="200"/>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
    <w:link w:val="65"/>
    <w:qFormat/>
    <w:uiPriority w:val="0"/>
    <w:rPr>
      <w:rFonts w:ascii="宋体" w:hAnsi="Courier New" w:eastAsia="仿宋_GB2312"/>
      <w:sz w:val="30"/>
    </w:rPr>
  </w:style>
  <w:style w:type="paragraph" w:styleId="16">
    <w:name w:val="List Number 4"/>
    <w:basedOn w:val="1"/>
    <w:qFormat/>
    <w:uiPriority w:val="0"/>
    <w:pPr>
      <w:numPr>
        <w:ilvl w:val="0"/>
        <w:numId w:val="1"/>
      </w:numPr>
      <w:contextualSpacing/>
    </w:pPr>
  </w:style>
  <w:style w:type="paragraph" w:styleId="17">
    <w:name w:val="Date"/>
    <w:basedOn w:val="1"/>
    <w:next w:val="1"/>
    <w:link w:val="79"/>
    <w:qFormat/>
    <w:uiPriority w:val="0"/>
    <w:pPr>
      <w:ind w:left="2500" w:leftChars="2500" w:firstLine="720" w:firstLineChars="200"/>
    </w:pPr>
    <w:rPr>
      <w:rFonts w:eastAsia="楷体_GB2312"/>
      <w:sz w:val="32"/>
    </w:rPr>
  </w:style>
  <w:style w:type="paragraph" w:styleId="18">
    <w:name w:val="Body Text Indent 2"/>
    <w:basedOn w:val="1"/>
    <w:link w:val="59"/>
    <w:qFormat/>
    <w:uiPriority w:val="0"/>
    <w:pPr>
      <w:spacing w:line="500" w:lineRule="exact"/>
      <w:ind w:left="105" w:firstLine="465" w:firstLineChars="166"/>
    </w:pPr>
    <w:rPr>
      <w:sz w:val="28"/>
    </w:rPr>
  </w:style>
  <w:style w:type="paragraph" w:styleId="19">
    <w:name w:val="Balloon Text"/>
    <w:basedOn w:val="1"/>
    <w:link w:val="41"/>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toc 6"/>
    <w:basedOn w:val="1"/>
    <w:next w:val="1"/>
    <w:unhideWhenUsed/>
    <w:qFormat/>
    <w:uiPriority w:val="39"/>
    <w:pPr>
      <w:ind w:left="2100" w:leftChars="1000"/>
    </w:pPr>
  </w:style>
  <w:style w:type="paragraph" w:styleId="24">
    <w:name w:val="Body Text Indent 3"/>
    <w:basedOn w:val="1"/>
    <w:link w:val="73"/>
    <w:qFormat/>
    <w:uiPriority w:val="0"/>
    <w:pPr>
      <w:spacing w:after="120"/>
      <w:ind w:left="420" w:leftChars="200"/>
    </w:pPr>
    <w:rPr>
      <w:sz w:val="16"/>
      <w:szCs w:val="16"/>
    </w:rPr>
  </w:style>
  <w:style w:type="paragraph" w:styleId="25">
    <w:name w:val="toc 2"/>
    <w:basedOn w:val="1"/>
    <w:next w:val="1"/>
    <w:qFormat/>
    <w:uiPriority w:val="1"/>
    <w:pPr>
      <w:spacing w:before="133"/>
      <w:ind w:left="118"/>
      <w:jc w:val="left"/>
    </w:pPr>
    <w:rPr>
      <w:rFonts w:ascii="宋体" w:hAnsi="宋体"/>
      <w:kern w:val="0"/>
      <w:sz w:val="24"/>
      <w:szCs w:val="24"/>
      <w:lang w:eastAsia="en-US"/>
    </w:rPr>
  </w:style>
  <w:style w:type="paragraph" w:styleId="26">
    <w:name w:val="Normal (Web)"/>
    <w:basedOn w:val="1"/>
    <w:link w:val="149"/>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76"/>
    <w:qFormat/>
    <w:uiPriority w:val="0"/>
    <w:pPr>
      <w:jc w:val="center"/>
    </w:pPr>
    <w:rPr>
      <w:rFonts w:ascii="Calibri" w:hAnsi="Calibri"/>
      <w:sz w:val="30"/>
      <w:szCs w:val="30"/>
    </w:rPr>
  </w:style>
  <w:style w:type="paragraph" w:styleId="28">
    <w:name w:val="annotation subject"/>
    <w:basedOn w:val="10"/>
    <w:next w:val="10"/>
    <w:link w:val="50"/>
    <w:qFormat/>
    <w:uiPriority w:val="0"/>
    <w:rPr>
      <w:b/>
      <w:bCs/>
    </w:rPr>
  </w:style>
  <w:style w:type="paragraph" w:styleId="29">
    <w:name w:val="Body Text First Indent 2"/>
    <w:basedOn w:val="13"/>
    <w:next w:val="30"/>
    <w:link w:val="141"/>
    <w:qFormat/>
    <w:uiPriority w:val="0"/>
    <w:pPr>
      <w:ind w:firstLine="420" w:firstLineChars="200"/>
    </w:pPr>
  </w:style>
  <w:style w:type="paragraph" w:customStyle="1" w:styleId="30">
    <w:name w:val="文章正文"/>
    <w:basedOn w:val="1"/>
    <w:next w:val="1"/>
    <w:qFormat/>
    <w:uiPriority w:val="0"/>
    <w:pPr>
      <w:spacing w:line="360" w:lineRule="auto"/>
      <w:ind w:firstLine="200" w:firstLineChars="200"/>
    </w:pPr>
    <w:rPr>
      <w:kern w:val="0"/>
      <w:sz w:val="24"/>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qFormat/>
    <w:uiPriority w:val="0"/>
    <w:rPr>
      <w:color w:val="000000"/>
      <w:sz w:val="18"/>
      <w:szCs w:val="18"/>
      <w:u w:val="none"/>
    </w:rPr>
  </w:style>
  <w:style w:type="character" w:styleId="38">
    <w:name w:val="annotation reference"/>
    <w:qFormat/>
    <w:uiPriority w:val="0"/>
    <w:rPr>
      <w:sz w:val="21"/>
      <w:szCs w:val="21"/>
    </w:rPr>
  </w:style>
  <w:style w:type="paragraph" w:customStyle="1" w:styleId="39">
    <w:name w:val="表格文字"/>
    <w:basedOn w:val="15"/>
    <w:next w:val="11"/>
    <w:qFormat/>
    <w:uiPriority w:val="0"/>
    <w:pPr>
      <w:widowControl/>
      <w:spacing w:before="25" w:after="25" w:line="300" w:lineRule="auto"/>
      <w:jc w:val="left"/>
    </w:pPr>
    <w:rPr>
      <w:rFonts w:ascii="Times" w:hAnsi="Times"/>
      <w:spacing w:val="10"/>
      <w:kern w:val="0"/>
      <w:sz w:val="24"/>
    </w:rPr>
  </w:style>
  <w:style w:type="paragraph" w:customStyle="1" w:styleId="40">
    <w:name w:val="_Style 3"/>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41">
    <w:name w:val="批注框文本 Char"/>
    <w:link w:val="19"/>
    <w:qFormat/>
    <w:uiPriority w:val="99"/>
    <w:rPr>
      <w:kern w:val="2"/>
      <w:sz w:val="18"/>
      <w:szCs w:val="18"/>
    </w:rPr>
  </w:style>
  <w:style w:type="character" w:customStyle="1" w:styleId="42">
    <w:name w:val="页脚 Char"/>
    <w:link w:val="20"/>
    <w:qFormat/>
    <w:uiPriority w:val="99"/>
    <w:rPr>
      <w:kern w:val="2"/>
      <w:sz w:val="18"/>
      <w:szCs w:val="18"/>
    </w:rPr>
  </w:style>
  <w:style w:type="character" w:customStyle="1" w:styleId="43">
    <w:name w:val="纯文本 字符"/>
    <w:unhideWhenUsed/>
    <w:qFormat/>
    <w:uiPriority w:val="0"/>
    <w:rPr>
      <w:rFonts w:hint="eastAsia" w:ascii="宋体" w:hAnsi="Courier New" w:eastAsia="仿宋_GB2312"/>
      <w:kern w:val="2"/>
      <w:sz w:val="30"/>
      <w:lang w:val="en-US" w:eastAsia="zh-CN"/>
    </w:rPr>
  </w:style>
  <w:style w:type="character" w:customStyle="1" w:styleId="44">
    <w:name w:val="页眉 Char"/>
    <w:link w:val="21"/>
    <w:qFormat/>
    <w:uiPriority w:val="99"/>
    <w:rPr>
      <w:kern w:val="2"/>
      <w:sz w:val="18"/>
      <w:szCs w:val="18"/>
    </w:rPr>
  </w:style>
  <w:style w:type="character" w:customStyle="1" w:styleId="45">
    <w:name w:val="标题 4 字符1"/>
    <w:qFormat/>
    <w:uiPriority w:val="0"/>
    <w:rPr>
      <w:rFonts w:ascii="Arial" w:hAnsi="Arial"/>
      <w:b/>
      <w:bCs/>
      <w:kern w:val="2"/>
      <w:sz w:val="24"/>
      <w:szCs w:val="28"/>
    </w:rPr>
  </w:style>
  <w:style w:type="character" w:customStyle="1" w:styleId="46">
    <w:name w:val="访问过的超链接1"/>
    <w:qFormat/>
    <w:uiPriority w:val="0"/>
    <w:rPr>
      <w:color w:val="000000"/>
      <w:sz w:val="18"/>
      <w:szCs w:val="18"/>
      <w:u w:val="none"/>
    </w:rPr>
  </w:style>
  <w:style w:type="character" w:customStyle="1" w:styleId="47">
    <w:name w:val="列表段落 字符"/>
    <w:link w:val="48"/>
    <w:qFormat/>
    <w:locked/>
    <w:uiPriority w:val="34"/>
    <w:rPr>
      <w:rFonts w:eastAsia="??"/>
      <w:sz w:val="24"/>
      <w:szCs w:val="24"/>
    </w:rPr>
  </w:style>
  <w:style w:type="paragraph" w:customStyle="1" w:styleId="48">
    <w:name w:val="列表段落1"/>
    <w:basedOn w:val="1"/>
    <w:link w:val="47"/>
    <w:qFormat/>
    <w:uiPriority w:val="34"/>
    <w:pPr>
      <w:autoSpaceDE w:val="0"/>
      <w:autoSpaceDN w:val="0"/>
      <w:adjustRightInd w:val="0"/>
      <w:ind w:firstLine="200" w:firstLineChars="200"/>
      <w:jc w:val="left"/>
    </w:pPr>
    <w:rPr>
      <w:rFonts w:eastAsia="??"/>
      <w:kern w:val="0"/>
      <w:sz w:val="24"/>
      <w:szCs w:val="24"/>
    </w:rPr>
  </w:style>
  <w:style w:type="character" w:customStyle="1" w:styleId="49">
    <w:name w:val="标题 1 Char Char"/>
    <w:qFormat/>
    <w:uiPriority w:val="0"/>
    <w:rPr>
      <w:rFonts w:eastAsia="宋体"/>
      <w:b/>
      <w:spacing w:val="-2"/>
      <w:sz w:val="24"/>
      <w:lang w:val="en-US" w:eastAsia="zh-CN"/>
    </w:rPr>
  </w:style>
  <w:style w:type="character" w:customStyle="1" w:styleId="50">
    <w:name w:val="批注主题 Char"/>
    <w:link w:val="28"/>
    <w:qFormat/>
    <w:uiPriority w:val="0"/>
    <w:rPr>
      <w:b/>
      <w:bCs/>
      <w:kern w:val="2"/>
      <w:sz w:val="21"/>
      <w:szCs w:val="24"/>
    </w:rPr>
  </w:style>
  <w:style w:type="character" w:customStyle="1" w:styleId="51">
    <w:name w:val="标题 5 Char"/>
    <w:link w:val="7"/>
    <w:semiHidden/>
    <w:qFormat/>
    <w:uiPriority w:val="0"/>
    <w:rPr>
      <w:b/>
      <w:bCs/>
      <w:kern w:val="2"/>
      <w:sz w:val="28"/>
      <w:szCs w:val="28"/>
    </w:rPr>
  </w:style>
  <w:style w:type="character" w:customStyle="1" w:styleId="52">
    <w:name w:val="正文文本缩进 Char"/>
    <w:link w:val="13"/>
    <w:qFormat/>
    <w:uiPriority w:val="0"/>
    <w:rPr>
      <w:kern w:val="2"/>
      <w:sz w:val="21"/>
    </w:rPr>
  </w:style>
  <w:style w:type="character" w:customStyle="1" w:styleId="53">
    <w:name w:val="批注文字 Char"/>
    <w:link w:val="10"/>
    <w:qFormat/>
    <w:uiPriority w:val="0"/>
    <w:rPr>
      <w:kern w:val="2"/>
      <w:sz w:val="21"/>
      <w:szCs w:val="24"/>
    </w:rPr>
  </w:style>
  <w:style w:type="character" w:customStyle="1" w:styleId="54">
    <w:name w:val="正文文本 Char"/>
    <w:link w:val="11"/>
    <w:qFormat/>
    <w:uiPriority w:val="1"/>
    <w:rPr>
      <w:rFonts w:eastAsia="??"/>
      <w:kern w:val="2"/>
      <w:sz w:val="28"/>
      <w:szCs w:val="28"/>
      <w:lang w:val="en-US" w:eastAsia="zh-CN" w:bidi="ar-SA"/>
    </w:rPr>
  </w:style>
  <w:style w:type="character" w:customStyle="1" w:styleId="55">
    <w:name w:val="newyxline1"/>
    <w:qFormat/>
    <w:uiPriority w:val="0"/>
    <w:rPr>
      <w:rFonts w:hint="default"/>
      <w:color w:val="000000"/>
      <w:sz w:val="18"/>
      <w:szCs w:val="18"/>
      <w:u w:val="none"/>
    </w:rPr>
  </w:style>
  <w:style w:type="character" w:customStyle="1" w:styleId="56">
    <w:name w:val="font21"/>
    <w:qFormat/>
    <w:uiPriority w:val="0"/>
    <w:rPr>
      <w:rFonts w:hint="eastAsia" w:ascii="宋体" w:hAnsi="宋体" w:eastAsia="宋体" w:cs="宋体"/>
      <w:color w:val="000000"/>
      <w:sz w:val="18"/>
      <w:szCs w:val="18"/>
      <w:u w:val="none"/>
    </w:rPr>
  </w:style>
  <w:style w:type="character" w:customStyle="1" w:styleId="57">
    <w:name w:val="正文缩进 Char1"/>
    <w:link w:val="2"/>
    <w:qFormat/>
    <w:uiPriority w:val="0"/>
    <w:rPr>
      <w:kern w:val="2"/>
      <w:sz w:val="21"/>
    </w:rPr>
  </w:style>
  <w:style w:type="character" w:customStyle="1" w:styleId="58">
    <w:name w:val="标题 1 Char"/>
    <w:link w:val="3"/>
    <w:qFormat/>
    <w:uiPriority w:val="1"/>
    <w:rPr>
      <w:b/>
      <w:bCs/>
      <w:kern w:val="44"/>
      <w:sz w:val="44"/>
      <w:szCs w:val="44"/>
    </w:rPr>
  </w:style>
  <w:style w:type="character" w:customStyle="1" w:styleId="59">
    <w:name w:val="正文文本缩进 2 Char"/>
    <w:link w:val="18"/>
    <w:qFormat/>
    <w:uiPriority w:val="0"/>
    <w:rPr>
      <w:kern w:val="2"/>
      <w:sz w:val="28"/>
    </w:rPr>
  </w:style>
  <w:style w:type="character" w:customStyle="1" w:styleId="60">
    <w:name w:val="apple-style-span"/>
    <w:qFormat/>
    <w:uiPriority w:val="0"/>
    <w:rPr>
      <w:rFonts w:ascii="Tahoma" w:hAnsi="Tahoma"/>
      <w:sz w:val="24"/>
      <w:szCs w:val="20"/>
    </w:rPr>
  </w:style>
  <w:style w:type="character" w:customStyle="1" w:styleId="61">
    <w:name w:val="正文文本首行缩进 2 字符"/>
    <w:basedOn w:val="52"/>
    <w:link w:val="62"/>
    <w:qFormat/>
    <w:uiPriority w:val="0"/>
    <w:rPr>
      <w:kern w:val="2"/>
      <w:sz w:val="21"/>
    </w:rPr>
  </w:style>
  <w:style w:type="paragraph" w:customStyle="1" w:styleId="62">
    <w:name w:val="正文文本首行缩进 21"/>
    <w:basedOn w:val="13"/>
    <w:link w:val="61"/>
    <w:qFormat/>
    <w:uiPriority w:val="0"/>
    <w:pPr>
      <w:ind w:firstLine="420" w:firstLineChars="200"/>
    </w:pPr>
  </w:style>
  <w:style w:type="character" w:customStyle="1" w:styleId="63">
    <w:name w:val="正文缩进 Char"/>
    <w:link w:val="64"/>
    <w:qFormat/>
    <w:uiPriority w:val="0"/>
    <w:rPr>
      <w:rFonts w:ascii="Calibri" w:hAnsi="Calibri"/>
      <w:kern w:val="2"/>
      <w:sz w:val="21"/>
      <w:szCs w:val="22"/>
    </w:rPr>
  </w:style>
  <w:style w:type="paragraph" w:customStyle="1" w:styleId="64">
    <w:name w:val="正文缩进1"/>
    <w:basedOn w:val="1"/>
    <w:link w:val="63"/>
    <w:qFormat/>
    <w:uiPriority w:val="0"/>
    <w:pPr>
      <w:ind w:firstLine="420" w:firstLineChars="200"/>
    </w:pPr>
    <w:rPr>
      <w:rFonts w:ascii="Calibri" w:hAnsi="Calibri"/>
      <w:szCs w:val="22"/>
    </w:rPr>
  </w:style>
  <w:style w:type="character" w:customStyle="1" w:styleId="65">
    <w:name w:val="纯文本 Char"/>
    <w:link w:val="15"/>
    <w:qFormat/>
    <w:uiPriority w:val="0"/>
    <w:rPr>
      <w:rFonts w:ascii="宋体" w:hAnsi="Courier New" w:eastAsia="仿宋_GB2312"/>
      <w:kern w:val="2"/>
      <w:sz w:val="30"/>
      <w:lang w:val="en-US" w:eastAsia="zh-CN" w:bidi="ar-SA"/>
    </w:rPr>
  </w:style>
  <w:style w:type="character" w:customStyle="1" w:styleId="66">
    <w:name w:val="font11"/>
    <w:qFormat/>
    <w:uiPriority w:val="0"/>
    <w:rPr>
      <w:rFonts w:hint="default" w:ascii="Times New Roman" w:hAnsi="Times New Roman" w:cs="Times New Roman"/>
      <w:color w:val="000000"/>
      <w:sz w:val="18"/>
      <w:szCs w:val="18"/>
      <w:u w:val="none"/>
    </w:rPr>
  </w:style>
  <w:style w:type="character" w:customStyle="1" w:styleId="67">
    <w:name w:val="font31"/>
    <w:qFormat/>
    <w:uiPriority w:val="0"/>
    <w:rPr>
      <w:rFonts w:hint="default" w:ascii="仿宋" w:hAnsi="仿宋" w:eastAsia="仿宋" w:cs="仿宋"/>
      <w:color w:val="000000"/>
      <w:sz w:val="18"/>
      <w:szCs w:val="18"/>
      <w:u w:val="none"/>
      <w:vertAlign w:val="superscript"/>
    </w:rPr>
  </w:style>
  <w:style w:type="character" w:customStyle="1" w:styleId="68">
    <w:name w:val="font41"/>
    <w:qFormat/>
    <w:uiPriority w:val="0"/>
    <w:rPr>
      <w:rFonts w:hint="eastAsia" w:ascii="宋体" w:hAnsi="宋体" w:eastAsia="宋体" w:cs="宋体"/>
      <w:b/>
      <w:color w:val="000000"/>
      <w:sz w:val="18"/>
      <w:szCs w:val="18"/>
      <w:u w:val="none"/>
    </w:rPr>
  </w:style>
  <w:style w:type="character" w:customStyle="1" w:styleId="69">
    <w:name w:val="标题 4 Char"/>
    <w:link w:val="6"/>
    <w:semiHidden/>
    <w:qFormat/>
    <w:uiPriority w:val="0"/>
    <w:rPr>
      <w:rFonts w:ascii="Cambria" w:hAnsi="Cambria" w:eastAsia="宋体" w:cs="Times New Roman"/>
      <w:b/>
      <w:bCs/>
      <w:kern w:val="2"/>
      <w:sz w:val="28"/>
      <w:szCs w:val="28"/>
    </w:rPr>
  </w:style>
  <w:style w:type="character" w:customStyle="1" w:styleId="70">
    <w:name w:val="标题 6 Char"/>
    <w:link w:val="8"/>
    <w:semiHidden/>
    <w:qFormat/>
    <w:uiPriority w:val="0"/>
    <w:rPr>
      <w:rFonts w:ascii="Cambria" w:hAnsi="Cambria" w:eastAsia="宋体" w:cs="Times New Roman"/>
      <w:b/>
      <w:bCs/>
      <w:kern w:val="2"/>
      <w:sz w:val="24"/>
      <w:szCs w:val="24"/>
    </w:rPr>
  </w:style>
  <w:style w:type="character" w:customStyle="1" w:styleId="71">
    <w:name w:val="证 Char"/>
    <w:link w:val="72"/>
    <w:qFormat/>
    <w:uiPriority w:val="0"/>
    <w:rPr>
      <w:rFonts w:ascii="宋体" w:hAnsi="宋体"/>
      <w:kern w:val="2"/>
      <w:sz w:val="24"/>
      <w:szCs w:val="24"/>
    </w:rPr>
  </w:style>
  <w:style w:type="paragraph" w:customStyle="1" w:styleId="72">
    <w:name w:val="证"/>
    <w:basedOn w:val="1"/>
    <w:link w:val="71"/>
    <w:qFormat/>
    <w:uiPriority w:val="0"/>
    <w:pPr>
      <w:spacing w:line="360" w:lineRule="auto"/>
      <w:ind w:firstLine="480" w:firstLineChars="200"/>
    </w:pPr>
    <w:rPr>
      <w:rFonts w:ascii="宋体" w:hAnsi="宋体"/>
      <w:sz w:val="24"/>
      <w:szCs w:val="24"/>
    </w:rPr>
  </w:style>
  <w:style w:type="character" w:customStyle="1" w:styleId="73">
    <w:name w:val="正文文本缩进 3 Char"/>
    <w:link w:val="24"/>
    <w:qFormat/>
    <w:uiPriority w:val="0"/>
    <w:rPr>
      <w:kern w:val="2"/>
      <w:sz w:val="16"/>
      <w:szCs w:val="16"/>
    </w:rPr>
  </w:style>
  <w:style w:type="character" w:customStyle="1" w:styleId="74">
    <w:name w:val="样式 +标题3 + 仿宋_GB2312 Char Char"/>
    <w:link w:val="75"/>
    <w:qFormat/>
    <w:locked/>
    <w:uiPriority w:val="0"/>
    <w:rPr>
      <w:rFonts w:ascii="仿宋_GB2312" w:hAnsi="仿宋_GB2312" w:eastAsia="仿宋_GB2312"/>
      <w:b/>
      <w:bCs/>
      <w:kern w:val="2"/>
      <w:sz w:val="24"/>
      <w:szCs w:val="24"/>
    </w:rPr>
  </w:style>
  <w:style w:type="paragraph" w:customStyle="1" w:styleId="75">
    <w:name w:val="样式 +标题3 + 仿宋_GB2312 Char"/>
    <w:basedOn w:val="1"/>
    <w:link w:val="74"/>
    <w:qFormat/>
    <w:uiPriority w:val="0"/>
    <w:pPr>
      <w:keepNext/>
      <w:keepLines/>
      <w:tabs>
        <w:tab w:val="left" w:pos="923"/>
        <w:tab w:val="left" w:pos="1798"/>
      </w:tabs>
      <w:spacing w:before="120" w:after="120" w:line="360" w:lineRule="auto"/>
      <w:jc w:val="left"/>
      <w:outlineLvl w:val="2"/>
    </w:pPr>
    <w:rPr>
      <w:rFonts w:ascii="仿宋_GB2312" w:hAnsi="仿宋_GB2312" w:eastAsia="仿宋_GB2312"/>
      <w:b/>
      <w:bCs/>
      <w:sz w:val="24"/>
      <w:szCs w:val="24"/>
    </w:rPr>
  </w:style>
  <w:style w:type="character" w:customStyle="1" w:styleId="76">
    <w:name w:val="标题 Char"/>
    <w:link w:val="27"/>
    <w:qFormat/>
    <w:uiPriority w:val="0"/>
    <w:rPr>
      <w:rFonts w:ascii="Calibri" w:hAnsi="Calibri"/>
      <w:kern w:val="2"/>
      <w:sz w:val="30"/>
      <w:szCs w:val="30"/>
    </w:rPr>
  </w:style>
  <w:style w:type="character" w:customStyle="1" w:styleId="77">
    <w:name w:val="表内 Char"/>
    <w:link w:val="78"/>
    <w:qFormat/>
    <w:uiPriority w:val="0"/>
    <w:rPr>
      <w:rFonts w:ascii="宋体" w:hAnsi="宋体"/>
      <w:kern w:val="2"/>
      <w:sz w:val="18"/>
      <w:szCs w:val="18"/>
    </w:rPr>
  </w:style>
  <w:style w:type="paragraph" w:customStyle="1" w:styleId="78">
    <w:name w:val="表内"/>
    <w:basedOn w:val="1"/>
    <w:link w:val="77"/>
    <w:qFormat/>
    <w:uiPriority w:val="0"/>
    <w:rPr>
      <w:rFonts w:ascii="宋体" w:hAnsi="宋体"/>
      <w:sz w:val="18"/>
      <w:szCs w:val="18"/>
    </w:rPr>
  </w:style>
  <w:style w:type="character" w:customStyle="1" w:styleId="79">
    <w:name w:val="日期 Char"/>
    <w:link w:val="17"/>
    <w:qFormat/>
    <w:uiPriority w:val="0"/>
    <w:rPr>
      <w:rFonts w:eastAsia="楷体_GB2312"/>
      <w:kern w:val="2"/>
      <w:sz w:val="32"/>
    </w:rPr>
  </w:style>
  <w:style w:type="character" w:customStyle="1" w:styleId="80">
    <w:name w:val="Char Char7"/>
    <w:qFormat/>
    <w:uiPriority w:val="0"/>
    <w:rPr>
      <w:rFonts w:ascii="??" w:hAnsi="??" w:eastAsia="??" w:cs="宋体"/>
      <w:kern w:val="2"/>
      <w:sz w:val="24"/>
      <w:szCs w:val="28"/>
    </w:rPr>
  </w:style>
  <w:style w:type="character" w:customStyle="1" w:styleId="81">
    <w:name w:val="标题 2 Char"/>
    <w:link w:val="4"/>
    <w:qFormat/>
    <w:uiPriority w:val="0"/>
    <w:rPr>
      <w:rFonts w:ascii="Arial" w:hAnsi="Arial" w:eastAsia="??"/>
      <w:b/>
      <w:kern w:val="2"/>
      <w:sz w:val="32"/>
      <w:szCs w:val="28"/>
      <w:lang w:val="en-US" w:eastAsia="zh-CN" w:bidi="ar-SA"/>
    </w:rPr>
  </w:style>
  <w:style w:type="character" w:customStyle="1" w:styleId="82">
    <w:name w:val="无间隔 Char"/>
    <w:link w:val="83"/>
    <w:qFormat/>
    <w:uiPriority w:val="0"/>
    <w:rPr>
      <w:rFonts w:ascii="Calibri" w:hAnsi="Calibri"/>
    </w:rPr>
  </w:style>
  <w:style w:type="paragraph" w:styleId="83">
    <w:name w:val="No Spacing"/>
    <w:basedOn w:val="1"/>
    <w:link w:val="82"/>
    <w:qFormat/>
    <w:uiPriority w:val="0"/>
    <w:pPr>
      <w:widowControl/>
      <w:jc w:val="left"/>
    </w:pPr>
    <w:rPr>
      <w:rFonts w:ascii="Calibri" w:hAnsi="Calibri"/>
      <w:kern w:val="0"/>
      <w:sz w:val="20"/>
    </w:rPr>
  </w:style>
  <w:style w:type="character" w:customStyle="1" w:styleId="84">
    <w:name w:val="标题 2 Char_0_0"/>
    <w:link w:val="85"/>
    <w:qFormat/>
    <w:uiPriority w:val="0"/>
    <w:rPr>
      <w:rFonts w:ascii="Cambria" w:hAnsi="Cambria"/>
      <w:b/>
      <w:bCs/>
      <w:sz w:val="32"/>
      <w:szCs w:val="32"/>
    </w:rPr>
  </w:style>
  <w:style w:type="paragraph" w:customStyle="1" w:styleId="85">
    <w:name w:val="标题 2_0_0"/>
    <w:basedOn w:val="1"/>
    <w:next w:val="1"/>
    <w:link w:val="84"/>
    <w:unhideWhenUsed/>
    <w:qFormat/>
    <w:uiPriority w:val="0"/>
    <w:pPr>
      <w:keepNext/>
      <w:keepLines/>
      <w:spacing w:before="260" w:after="260" w:line="415" w:lineRule="auto"/>
      <w:outlineLvl w:val="1"/>
    </w:pPr>
    <w:rPr>
      <w:rFonts w:ascii="Cambria" w:hAnsi="Cambria"/>
      <w:b/>
      <w:bCs/>
      <w:kern w:val="0"/>
      <w:sz w:val="32"/>
      <w:szCs w:val="32"/>
    </w:rPr>
  </w:style>
  <w:style w:type="character" w:customStyle="1" w:styleId="86">
    <w:name w:val="标题 3 Char"/>
    <w:link w:val="5"/>
    <w:semiHidden/>
    <w:qFormat/>
    <w:uiPriority w:val="9"/>
    <w:rPr>
      <w:b/>
      <w:bCs/>
      <w:kern w:val="2"/>
      <w:sz w:val="32"/>
      <w:szCs w:val="32"/>
    </w:rPr>
  </w:style>
  <w:style w:type="character" w:customStyle="1" w:styleId="87">
    <w:name w:val="表格非标题文字 Char"/>
    <w:link w:val="88"/>
    <w:qFormat/>
    <w:locked/>
    <w:uiPriority w:val="0"/>
    <w:rPr>
      <w:rFonts w:ascii="Futura Bk" w:hAnsi="Futura Bk"/>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89">
    <w:name w:val="目录 31"/>
    <w:basedOn w:val="1"/>
    <w:qFormat/>
    <w:uiPriority w:val="1"/>
    <w:pPr>
      <w:spacing w:before="135"/>
      <w:ind w:left="538"/>
      <w:jc w:val="left"/>
    </w:pPr>
    <w:rPr>
      <w:rFonts w:ascii="宋体" w:hAnsi="宋体"/>
      <w:kern w:val="0"/>
      <w:sz w:val="24"/>
      <w:szCs w:val="24"/>
      <w:lang w:eastAsia="en-US"/>
    </w:rPr>
  </w:style>
  <w:style w:type="paragraph" w:customStyle="1" w:styleId="90">
    <w:name w:val="目录 51"/>
    <w:basedOn w:val="1"/>
    <w:qFormat/>
    <w:uiPriority w:val="1"/>
    <w:pPr>
      <w:spacing w:before="133"/>
      <w:ind w:left="1378"/>
      <w:jc w:val="left"/>
    </w:pPr>
    <w:rPr>
      <w:rFonts w:ascii="宋体" w:hAnsi="宋体"/>
      <w:kern w:val="0"/>
      <w:sz w:val="24"/>
      <w:szCs w:val="24"/>
      <w:lang w:eastAsia="en-US"/>
    </w:rPr>
  </w:style>
  <w:style w:type="paragraph" w:customStyle="1" w:styleId="91">
    <w:name w:val="目录 41"/>
    <w:basedOn w:val="1"/>
    <w:qFormat/>
    <w:uiPriority w:val="1"/>
    <w:pPr>
      <w:spacing w:before="133"/>
      <w:ind w:left="958"/>
      <w:jc w:val="left"/>
    </w:pPr>
    <w:rPr>
      <w:rFonts w:ascii="宋体" w:hAnsi="宋体"/>
      <w:kern w:val="0"/>
      <w:sz w:val="24"/>
      <w:szCs w:val="24"/>
      <w:lang w:eastAsia="en-US"/>
    </w:rPr>
  </w:style>
  <w:style w:type="paragraph" w:customStyle="1" w:styleId="92">
    <w:name w:val="目录 11"/>
    <w:basedOn w:val="1"/>
    <w:qFormat/>
    <w:uiPriority w:val="1"/>
    <w:pPr>
      <w:spacing w:before="134"/>
      <w:jc w:val="left"/>
    </w:pPr>
    <w:rPr>
      <w:rFonts w:ascii="宋体" w:hAnsi="宋体"/>
      <w:kern w:val="0"/>
      <w:sz w:val="24"/>
      <w:szCs w:val="24"/>
      <w:lang w:eastAsia="en-US"/>
    </w:rPr>
  </w:style>
  <w:style w:type="paragraph" w:customStyle="1" w:styleId="93">
    <w:name w:val="目录 21"/>
    <w:basedOn w:val="1"/>
    <w:qFormat/>
    <w:uiPriority w:val="1"/>
    <w:pPr>
      <w:spacing w:before="133"/>
      <w:ind w:left="118"/>
      <w:jc w:val="left"/>
    </w:pPr>
    <w:rPr>
      <w:rFonts w:ascii="宋体" w:hAnsi="宋体"/>
      <w:kern w:val="0"/>
      <w:sz w:val="24"/>
      <w:szCs w:val="24"/>
      <w:lang w:eastAsia="en-US"/>
    </w:rPr>
  </w:style>
  <w:style w:type="paragraph" w:customStyle="1" w:styleId="94">
    <w:name w:val="列出段落1"/>
    <w:basedOn w:val="1"/>
    <w:qFormat/>
    <w:uiPriority w:val="0"/>
    <w:pPr>
      <w:spacing w:line="360" w:lineRule="auto"/>
      <w:ind w:firstLine="420" w:firstLineChars="200"/>
    </w:pPr>
    <w:rPr>
      <w:szCs w:val="21"/>
    </w:rPr>
  </w:style>
  <w:style w:type="paragraph" w:customStyle="1" w:styleId="95">
    <w:name w:val="列出段落11"/>
    <w:basedOn w:val="1"/>
    <w:qFormat/>
    <w:uiPriority w:val="0"/>
    <w:pPr>
      <w:ind w:firstLine="420" w:firstLineChars="200"/>
    </w:pPr>
    <w:rPr>
      <w:rFonts w:ascii="Calibri" w:hAnsi="Calibri"/>
      <w:szCs w:val="22"/>
    </w:rPr>
  </w:style>
  <w:style w:type="paragraph" w:customStyle="1" w:styleId="96">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98">
    <w:name w:val="p0"/>
    <w:basedOn w:val="1"/>
    <w:qFormat/>
    <w:uiPriority w:val="99"/>
    <w:pPr>
      <w:widowControl/>
    </w:pPr>
    <w:rPr>
      <w:kern w:val="0"/>
      <w:szCs w:val="21"/>
    </w:rPr>
  </w:style>
  <w:style w:type="paragraph" w:customStyle="1" w:styleId="9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2"/>
    <w:basedOn w:val="1"/>
    <w:qFormat/>
    <w:uiPriority w:val="34"/>
    <w:pPr>
      <w:spacing w:line="360" w:lineRule="auto"/>
      <w:ind w:firstLine="420" w:firstLineChars="200"/>
    </w:pPr>
    <w:rPr>
      <w:szCs w:val="21"/>
    </w:rPr>
  </w:style>
  <w:style w:type="paragraph" w:customStyle="1" w:styleId="101">
    <w:name w:val="文档正文"/>
    <w:basedOn w:val="1"/>
    <w:qFormat/>
    <w:uiPriority w:val="0"/>
    <w:rPr>
      <w:rFonts w:ascii="宋体" w:hAnsi="宋体" w:cs="Arial"/>
      <w:bCs/>
      <w:szCs w:val="21"/>
    </w:rPr>
  </w:style>
  <w:style w:type="paragraph" w:customStyle="1" w:styleId="10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Table Paragraph"/>
    <w:basedOn w:val="1"/>
    <w:qFormat/>
    <w:uiPriority w:val="1"/>
    <w:pPr>
      <w:jc w:val="left"/>
    </w:pPr>
    <w:rPr>
      <w:rFonts w:ascii="Calibri" w:hAnsi="Calibri"/>
      <w:kern w:val="0"/>
      <w:sz w:val="22"/>
      <w:szCs w:val="22"/>
      <w:lang w:eastAsia="en-US"/>
    </w:rPr>
  </w:style>
  <w:style w:type="paragraph" w:customStyle="1" w:styleId="104">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qFormat/>
    <w:uiPriority w:val="0"/>
    <w:rPr>
      <w:szCs w:val="24"/>
    </w:rPr>
  </w:style>
  <w:style w:type="paragraph" w:customStyle="1" w:styleId="10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默认段落字体 Para Char Char Char Char Char Char Char Char Char1 Char Char Char Char"/>
    <w:basedOn w:val="1"/>
    <w:qFormat/>
    <w:uiPriority w:val="0"/>
    <w:rPr>
      <w:rFonts w:ascii="Tahoma" w:hAnsi="Tahoma"/>
      <w:sz w:val="24"/>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13">
    <w:name w:val="p16"/>
    <w:basedOn w:val="1"/>
    <w:qFormat/>
    <w:uiPriority w:val="0"/>
    <w:pPr>
      <w:widowControl/>
    </w:pPr>
    <w:rPr>
      <w:rFonts w:ascii="宋体" w:hAnsi="宋体" w:cs="宋体"/>
      <w:kern w:val="0"/>
      <w:sz w:val="30"/>
      <w:szCs w:val="30"/>
    </w:rPr>
  </w:style>
  <w:style w:type="paragraph" w:customStyle="1" w:styleId="114">
    <w:name w:val="纯文本21"/>
    <w:basedOn w:val="1"/>
    <w:qFormat/>
    <w:uiPriority w:val="0"/>
    <w:pPr>
      <w:spacing w:beforeLines="50" w:afterLines="50" w:line="400" w:lineRule="exact"/>
    </w:pPr>
    <w:rPr>
      <w:rFonts w:ascii="宋体" w:hAnsi="Courier New"/>
      <w:szCs w:val="21"/>
    </w:rPr>
  </w:style>
  <w:style w:type="paragraph" w:customStyle="1" w:styleId="115">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16">
    <w:name w:val="p15"/>
    <w:basedOn w:val="1"/>
    <w:qFormat/>
    <w:uiPriority w:val="0"/>
    <w:pPr>
      <w:widowControl/>
      <w:spacing w:before="75" w:after="75"/>
      <w:jc w:val="left"/>
    </w:pPr>
    <w:rPr>
      <w:rFonts w:ascii="宋体" w:hAnsi="宋体" w:cs="宋体"/>
      <w:kern w:val="0"/>
      <w:sz w:val="24"/>
      <w:szCs w:val="24"/>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18">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0">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21">
    <w:name w:val="Default"/>
    <w:next w:val="1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3">
    <w:name w:val="正文文本缩进11"/>
    <w:basedOn w:val="1"/>
    <w:qFormat/>
    <w:uiPriority w:val="0"/>
    <w:pPr>
      <w:spacing w:line="200" w:lineRule="exact"/>
      <w:ind w:firstLine="301"/>
    </w:pPr>
    <w:rPr>
      <w:rFonts w:ascii="Calibri" w:hAnsi="Calibri"/>
    </w:rPr>
  </w:style>
  <w:style w:type="paragraph" w:customStyle="1" w:styleId="124">
    <w:name w:val="无间隔1"/>
    <w:qFormat/>
    <w:uiPriority w:val="0"/>
    <w:rPr>
      <w:rFonts w:ascii="Times New Roman" w:hAnsi="Times New Roman" w:eastAsia="宋体" w:cs="Times New Roman"/>
      <w:sz w:val="22"/>
      <w:szCs w:val="22"/>
      <w:lang w:val="en-US" w:eastAsia="zh-CN" w:bidi="ar-SA"/>
    </w:rPr>
  </w:style>
  <w:style w:type="paragraph" w:customStyle="1" w:styleId="125">
    <w:name w:val="纯文本1"/>
    <w:basedOn w:val="1"/>
    <w:qFormat/>
    <w:uiPriority w:val="0"/>
    <w:pPr>
      <w:spacing w:beforeLines="50" w:afterLines="50" w:line="400" w:lineRule="exact"/>
    </w:pPr>
    <w:rPr>
      <w:rFonts w:ascii="宋体" w:hAnsi="Courier New" w:eastAsia="仿宋_GB2312"/>
      <w:sz w:val="30"/>
      <w:szCs w:val="24"/>
    </w:rPr>
  </w:style>
  <w:style w:type="paragraph" w:customStyle="1" w:styleId="126">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27">
    <w:name w:val="正文样式"/>
    <w:basedOn w:val="1"/>
    <w:qFormat/>
    <w:uiPriority w:val="0"/>
    <w:pPr>
      <w:spacing w:beforeLines="50" w:line="312" w:lineRule="auto"/>
      <w:ind w:firstLine="200" w:firstLineChars="200"/>
    </w:pPr>
    <w:rPr>
      <w:rFonts w:ascii="Calibri" w:hAnsi="Calibri"/>
      <w:sz w:val="24"/>
      <w:szCs w:val="24"/>
    </w:rPr>
  </w:style>
  <w:style w:type="table" w:customStyle="1" w:styleId="128">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1">
    <w:name w:val="正文首行缩进 Char1"/>
    <w:qFormat/>
    <w:uiPriority w:val="0"/>
    <w:rPr>
      <w:rFonts w:eastAsia="仿宋_GB2312"/>
      <w:kern w:val="2"/>
      <w:sz w:val="28"/>
      <w:szCs w:val="24"/>
    </w:rPr>
  </w:style>
  <w:style w:type="character" w:customStyle="1" w:styleId="132">
    <w:name w:val="纯文本 字符1"/>
    <w:qFormat/>
    <w:uiPriority w:val="0"/>
    <w:rPr>
      <w:rFonts w:ascii="宋体" w:hAnsi="Courier New" w:eastAsia="仿宋_GB2312"/>
      <w:kern w:val="2"/>
      <w:sz w:val="30"/>
      <w:lang w:val="en-US" w:eastAsia="zh-CN" w:bidi="ar-SA"/>
    </w:rPr>
  </w:style>
  <w:style w:type="character" w:customStyle="1" w:styleId="133">
    <w:name w:val="纯文本 Char1"/>
    <w:basedOn w:val="33"/>
    <w:qFormat/>
    <w:locked/>
    <w:uiPriority w:val="0"/>
    <w:rPr>
      <w:rFonts w:ascii="宋体" w:hAnsi="Courier New" w:eastAsia="仿宋_GB2312" w:cs="Times New Roman"/>
      <w:sz w:val="30"/>
      <w:szCs w:val="24"/>
    </w:rPr>
  </w:style>
  <w:style w:type="paragraph" w:styleId="134">
    <w:name w:val="List Paragraph"/>
    <w:basedOn w:val="1"/>
    <w:unhideWhenUsed/>
    <w:qFormat/>
    <w:uiPriority w:val="99"/>
    <w:pPr>
      <w:ind w:firstLine="420" w:firstLineChars="200"/>
    </w:pPr>
  </w:style>
  <w:style w:type="character" w:customStyle="1" w:styleId="135">
    <w:name w:val="无"/>
    <w:qFormat/>
    <w:uiPriority w:val="99"/>
  </w:style>
  <w:style w:type="character" w:customStyle="1" w:styleId="136">
    <w:name w:val="正文文本 字符"/>
    <w:qFormat/>
    <w:uiPriority w:val="0"/>
    <w:rPr>
      <w:rFonts w:eastAsia="??"/>
      <w:kern w:val="2"/>
      <w:sz w:val="28"/>
      <w:szCs w:val="28"/>
      <w:lang w:val="en-US" w:eastAsia="zh-CN" w:bidi="ar-SA"/>
    </w:rPr>
  </w:style>
  <w:style w:type="character" w:customStyle="1" w:styleId="137">
    <w:name w:val="批注文字 Char1"/>
    <w:qFormat/>
    <w:uiPriority w:val="0"/>
    <w:rPr>
      <w:rFonts w:ascii="Times New Roman" w:hAnsi="Times New Roman" w:eastAsia="宋体" w:cs="Times New Roman"/>
      <w:szCs w:val="24"/>
    </w:rPr>
  </w:style>
  <w:style w:type="character" w:customStyle="1" w:styleId="138">
    <w:name w:val="表格文本 Char"/>
    <w:link w:val="139"/>
    <w:qFormat/>
    <w:locked/>
    <w:uiPriority w:val="0"/>
    <w:rPr>
      <w:color w:val="000000"/>
      <w:sz w:val="24"/>
      <w:szCs w:val="21"/>
    </w:rPr>
  </w:style>
  <w:style w:type="paragraph" w:customStyle="1" w:styleId="139">
    <w:name w:val="表格文本"/>
    <w:basedOn w:val="1"/>
    <w:next w:val="1"/>
    <w:link w:val="138"/>
    <w:qFormat/>
    <w:uiPriority w:val="0"/>
    <w:pPr>
      <w:adjustRightInd w:val="0"/>
      <w:snapToGrid w:val="0"/>
      <w:jc w:val="center"/>
    </w:pPr>
    <w:rPr>
      <w:color w:val="000000"/>
      <w:kern w:val="0"/>
      <w:sz w:val="24"/>
      <w:szCs w:val="21"/>
    </w:rPr>
  </w:style>
  <w:style w:type="character" w:customStyle="1" w:styleId="140">
    <w:name w:val="正文首行缩进 Char"/>
    <w:basedOn w:val="54"/>
    <w:link w:val="12"/>
    <w:qFormat/>
    <w:uiPriority w:val="0"/>
    <w:rPr>
      <w:rFonts w:eastAsia="??"/>
      <w:kern w:val="2"/>
      <w:sz w:val="21"/>
      <w:szCs w:val="28"/>
      <w:lang w:val="en-US" w:eastAsia="zh-CN" w:bidi="ar-SA"/>
    </w:rPr>
  </w:style>
  <w:style w:type="character" w:customStyle="1" w:styleId="141">
    <w:name w:val="正文首行缩进 2 Char"/>
    <w:basedOn w:val="52"/>
    <w:link w:val="29"/>
    <w:qFormat/>
    <w:uiPriority w:val="0"/>
    <w:rPr>
      <w:kern w:val="2"/>
      <w:sz w:val="21"/>
    </w:rPr>
  </w:style>
  <w:style w:type="paragraph" w:customStyle="1" w:styleId="142">
    <w:name w:val="正文段"/>
    <w:basedOn w:val="1"/>
    <w:qFormat/>
    <w:uiPriority w:val="0"/>
    <w:pPr>
      <w:widowControl/>
      <w:snapToGrid w:val="0"/>
      <w:spacing w:afterLines="50"/>
      <w:ind w:firstLine="200" w:firstLineChars="200"/>
    </w:pPr>
    <w:rPr>
      <w:kern w:val="0"/>
      <w:sz w:val="24"/>
    </w:rPr>
  </w:style>
  <w:style w:type="character" w:customStyle="1" w:styleId="143">
    <w:name w:val="正文首行缩进2字符 Char Char"/>
    <w:link w:val="144"/>
    <w:qFormat/>
    <w:uiPriority w:val="0"/>
    <w:rPr>
      <w:sz w:val="24"/>
    </w:rPr>
  </w:style>
  <w:style w:type="paragraph" w:customStyle="1" w:styleId="144">
    <w:name w:val="正文首行缩进2字符"/>
    <w:basedOn w:val="1"/>
    <w:link w:val="143"/>
    <w:qFormat/>
    <w:uiPriority w:val="0"/>
    <w:pPr>
      <w:spacing w:line="360" w:lineRule="auto"/>
      <w:ind w:firstLine="200" w:firstLineChars="200"/>
    </w:pPr>
    <w:rPr>
      <w:kern w:val="0"/>
      <w:sz w:val="24"/>
    </w:rPr>
  </w:style>
  <w:style w:type="paragraph" w:customStyle="1" w:styleId="145">
    <w:name w:val="列表段落11"/>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46">
    <w:name w:val="正文文本首行缩进 211"/>
    <w:basedOn w:val="13"/>
    <w:qFormat/>
    <w:uiPriority w:val="0"/>
    <w:pPr>
      <w:ind w:firstLine="420" w:firstLineChars="200"/>
    </w:pPr>
  </w:style>
  <w:style w:type="paragraph" w:customStyle="1" w:styleId="147">
    <w:name w:val="正文2"/>
    <w:basedOn w:val="1"/>
    <w:qFormat/>
    <w:uiPriority w:val="0"/>
    <w:pPr>
      <w:ind w:firstLine="200" w:firstLineChars="200"/>
    </w:pPr>
    <w:rPr>
      <w:rFonts w:ascii="Calibri" w:hAnsi="Calibri" w:eastAsia="华文仿宋"/>
      <w:kern w:val="0"/>
      <w:sz w:val="28"/>
    </w:rPr>
  </w:style>
  <w:style w:type="character" w:customStyle="1" w:styleId="148">
    <w:name w:val="标题 Char1"/>
    <w:qFormat/>
    <w:uiPriority w:val="0"/>
    <w:rPr>
      <w:rFonts w:ascii="Calibri" w:hAnsi="Calibri"/>
      <w:kern w:val="2"/>
      <w:sz w:val="30"/>
      <w:szCs w:val="30"/>
    </w:rPr>
  </w:style>
  <w:style w:type="character" w:customStyle="1" w:styleId="149">
    <w:name w:val="普通(网站) Char"/>
    <w:link w:val="26"/>
    <w:qFormat/>
    <w:locked/>
    <w:uiPriority w:val="0"/>
    <w:rPr>
      <w:rFonts w:ascii="宋体" w:hAnsi="宋体" w:cs="宋体"/>
      <w:sz w:val="24"/>
      <w:szCs w:val="24"/>
    </w:rPr>
  </w:style>
  <w:style w:type="character" w:customStyle="1" w:styleId="150">
    <w:name w:val="纯文本 Char2"/>
    <w:qFormat/>
    <w:uiPriority w:val="99"/>
    <w:rPr>
      <w:rFonts w:ascii="宋体" w:hAnsi="Courier New" w:eastAsia="仿宋_GB2312"/>
      <w:kern w:val="2"/>
      <w:sz w:val="30"/>
      <w:lang w:val="en-US" w:eastAsia="zh-CN" w:bidi="ar-SA"/>
    </w:rPr>
  </w:style>
  <w:style w:type="paragraph" w:customStyle="1" w:styleId="151">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53">
    <w:name w:val="招标-标题1"/>
    <w:basedOn w:val="1"/>
    <w:qFormat/>
    <w:uiPriority w:val="0"/>
    <w:pPr>
      <w:spacing w:line="300" w:lineRule="auto"/>
      <w:ind w:left="560"/>
    </w:pPr>
    <w:rPr>
      <w:b/>
      <w:bCs/>
    </w:rPr>
  </w:style>
  <w:style w:type="paragraph" w:customStyle="1" w:styleId="15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55">
    <w:name w:val="正文首行缩进 21"/>
    <w:basedOn w:val="15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line="200" w:lineRule="exact"/>
      <w:ind w:firstLine="301"/>
    </w:pPr>
    <w:rPr>
      <w:rFonts w:ascii="宋体" w:hAnsi="Courier New"/>
      <w:spacing w:val="-4"/>
      <w:kern w:val="0"/>
      <w:sz w:val="18"/>
    </w:rPr>
  </w:style>
  <w:style w:type="paragraph" w:customStyle="1" w:styleId="157">
    <w:name w:val="Body Text Indent1"/>
    <w:basedOn w:val="1"/>
    <w:qFormat/>
    <w:uiPriority w:val="99"/>
    <w:pPr>
      <w:spacing w:line="200" w:lineRule="exact"/>
      <w:ind w:firstLine="301"/>
    </w:pPr>
    <w:rPr>
      <w:rFonts w:ascii="宋体" w:hAnsi="Courier New"/>
      <w:spacing w:val="-4"/>
      <w:kern w:val="0"/>
      <w:sz w:val="18"/>
    </w:rPr>
  </w:style>
  <w:style w:type="paragraph" w:customStyle="1" w:styleId="158">
    <w:name w:val="列表 21"/>
    <w:basedOn w:val="1"/>
    <w:qFormat/>
    <w:uiPriority w:val="0"/>
    <w:pPr>
      <w:ind w:left="200" w:leftChars="200" w:hanging="200" w:hangingChars="200"/>
    </w:pPr>
    <w:rPr>
      <w:sz w:val="28"/>
      <w:szCs w:val="20"/>
    </w:rPr>
  </w:style>
  <w:style w:type="paragraph" w:customStyle="1" w:styleId="159">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160">
    <w:name w:val="正文文本缩进2"/>
    <w:basedOn w:val="1"/>
    <w:qFormat/>
    <w:uiPriority w:val="0"/>
    <w:pPr>
      <w:spacing w:line="200" w:lineRule="exact"/>
      <w:ind w:firstLine="301"/>
    </w:pPr>
    <w:rPr>
      <w:rFonts w:ascii="宋体" w:hAnsi="Courier New"/>
      <w:spacing w:val="-4"/>
      <w:kern w:val="0"/>
      <w:sz w:val="18"/>
    </w:rPr>
  </w:style>
  <w:style w:type="paragraph" w:customStyle="1" w:styleId="161">
    <w:name w:val="纯文本5"/>
    <w:basedOn w:val="1"/>
    <w:qFormat/>
    <w:uiPriority w:val="0"/>
    <w:rPr>
      <w:rFonts w:ascii="宋体" w:hAnsi="Courier New" w:eastAsia="仿宋_GB2312"/>
      <w:sz w:val="30"/>
    </w:rPr>
  </w:style>
  <w:style w:type="paragraph" w:customStyle="1" w:styleId="162">
    <w:name w:val="批注框文本1"/>
    <w:basedOn w:val="1"/>
    <w:qFormat/>
    <w:uiPriority w:val="0"/>
    <w:rPr>
      <w:rFonts w:ascii="Calibri" w:hAnsi="Calibri"/>
      <w:sz w:val="18"/>
      <w:szCs w:val="18"/>
    </w:rPr>
  </w:style>
  <w:style w:type="paragraph" w:customStyle="1" w:styleId="163">
    <w:name w:val="纯文本3"/>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30556</Words>
  <Characters>31866</Characters>
  <Lines>147</Lines>
  <Paragraphs>624</Paragraphs>
  <TotalTime>9</TotalTime>
  <ScaleCrop>false</ScaleCrop>
  <LinksUpToDate>false</LinksUpToDate>
  <CharactersWithSpaces>33661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2023-11-27T09:45:00Z</dcterms:created>
  <dc:creator>Administrator</dc:creator>
  <cp:lastModifiedBy>柠檬头小迪</cp:lastModifiedBy>
  <cp:lastPrinted>2025-02-19T10:28:00Z</cp:lastPrinted>
  <dcterms:modified xsi:type="dcterms:W3CDTF">2025-06-12T10:40:12Z</dcterms:modified>
  <dc:title>面上水利项目质量抽查2019年项目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F210866A09264444AA0B5A8DA2420527_13</vt:lpwstr>
  </property>
  <property fmtid="{D5CDD505-2E9C-101B-9397-08002B2CF9AE}" pid="4" name="KSOTemplateDocerSaveRecord">
    <vt:lpwstr>eyJoZGlkIjoiYzhiYjZjYjRlM2RkNTBkMTU2ZDU2OWIzMTFkNGM4N2EiLCJ1c2VySWQiOiI3ODEwNDU5NTcifQ==</vt:lpwstr>
  </property>
</Properties>
</file>