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45CAF">
      <w:pPr>
        <w:numPr>
          <w:numId w:val="0"/>
        </w:numPr>
        <w:snapToGrid w:val="0"/>
        <w:spacing w:line="360" w:lineRule="auto"/>
        <w:jc w:val="center"/>
        <w:rPr>
          <w:rFonts w:hint="eastAsia" w:ascii="宋体" w:hAnsi="宋体" w:cs="宋体"/>
          <w:b/>
          <w:sz w:val="30"/>
        </w:rPr>
      </w:pPr>
      <w:bookmarkStart w:id="0" w:name="_Hlk56610403"/>
      <w:bookmarkStart w:id="1" w:name="_Hlk56759931"/>
      <w:bookmarkStart w:id="2" w:name="_Hlk57127289"/>
      <w:r>
        <w:rPr>
          <w:rFonts w:hint="eastAsia" w:ascii="宋体" w:hAnsi="宋体" w:cs="宋体"/>
          <w:b/>
          <w:sz w:val="30"/>
        </w:rPr>
        <w:t>采购需求</w:t>
      </w:r>
    </w:p>
    <w:bookmarkEnd w:id="0"/>
    <w:bookmarkEnd w:id="1"/>
    <w:bookmarkEnd w:id="2"/>
    <w:p w14:paraId="5CE3683D">
      <w:pPr>
        <w:numPr>
          <w:ilvl w:val="0"/>
          <w:numId w:val="1"/>
        </w:numPr>
        <w:snapToGrid w:val="0"/>
        <w:spacing w:before="120" w:beforeLines="50" w:after="120" w:afterLines="50" w:line="312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项目背景</w:t>
      </w:r>
    </w:p>
    <w:p w14:paraId="6897A69F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根据我县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服务的实际需求，为促进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供养残疾人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</w:rPr>
        <w:t>事业发展，鼓励和引导社会力量参与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残疾人供养</w:t>
      </w:r>
      <w:r>
        <w:rPr>
          <w:rFonts w:hint="eastAsia" w:ascii="宋体" w:hAnsi="宋体" w:eastAsia="宋体" w:cs="宋体"/>
          <w:sz w:val="24"/>
          <w:szCs w:val="24"/>
        </w:rPr>
        <w:t>服务业，进一步加强对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残疾人供养</w:t>
      </w:r>
      <w:r>
        <w:rPr>
          <w:rFonts w:hint="eastAsia" w:ascii="宋体" w:hAnsi="宋体" w:eastAsia="宋体" w:cs="宋体"/>
          <w:sz w:val="24"/>
          <w:szCs w:val="24"/>
        </w:rPr>
        <w:t>事业的关心，促进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残疾人供养</w:t>
      </w:r>
      <w:r>
        <w:rPr>
          <w:rFonts w:hint="eastAsia" w:ascii="宋体" w:hAnsi="宋体" w:eastAsia="宋体" w:cs="宋体"/>
          <w:sz w:val="24"/>
          <w:szCs w:val="24"/>
        </w:rPr>
        <w:t>事业有序、稳定向社会化发展，提高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</w:t>
      </w:r>
      <w:r>
        <w:rPr>
          <w:rFonts w:hint="eastAsia" w:ascii="宋体" w:hAnsi="宋体" w:eastAsia="宋体" w:cs="宋体"/>
          <w:sz w:val="24"/>
          <w:szCs w:val="24"/>
        </w:rPr>
        <w:t>人的生活品质和身体健康水平，经县党委政府研究决定，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嵊泗县残疾人托养中心招运营管理机构项目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进行招标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8B38C0E">
      <w:pPr>
        <w:numPr>
          <w:ilvl w:val="0"/>
          <w:numId w:val="1"/>
        </w:numPr>
        <w:snapToGrid w:val="0"/>
        <w:spacing w:before="120" w:beforeLines="50" w:after="120" w:afterLines="50" w:line="312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项目经营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的宗旨。</w:t>
      </w:r>
    </w:p>
    <w:p w14:paraId="75782019">
      <w:pPr>
        <w:numPr>
          <w:ilvl w:val="0"/>
          <w:numId w:val="0"/>
        </w:num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该项目由嵊泗县残疾人联合会投资建设，为嵊泗县持证残疾人提供集中托养和日间照料服务。运营方需要承担残疾人托养服务，保管好相应资产，自主经营，自负盈亏，承担委托经营期间经营活动的全部成本，含运营成本、日常维修、水电、日用消耗等各项税费。</w:t>
      </w:r>
    </w:p>
    <w:p w14:paraId="2EDBCC57">
      <w:pPr>
        <w:numPr>
          <w:ilvl w:val="0"/>
          <w:numId w:val="1"/>
        </w:numPr>
        <w:snapToGrid w:val="0"/>
        <w:spacing w:before="120" w:beforeLines="50" w:after="120" w:afterLines="50" w:line="312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营运管理。</w:t>
      </w:r>
    </w:p>
    <w:p w14:paraId="04B05A74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在合同期内从事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残疾人供养</w:t>
      </w:r>
      <w:r>
        <w:rPr>
          <w:rFonts w:hint="eastAsia" w:ascii="宋体" w:hAnsi="宋体" w:eastAsia="宋体" w:cs="宋体"/>
          <w:sz w:val="24"/>
          <w:szCs w:val="24"/>
        </w:rPr>
        <w:t>服务经营活动，必须符合《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机构许可办法》《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机构管理办法》《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残疾人托养服务</w:t>
      </w:r>
      <w:r>
        <w:rPr>
          <w:rFonts w:hint="eastAsia" w:ascii="宋体" w:hAnsi="宋体" w:eastAsia="宋体" w:cs="宋体"/>
          <w:sz w:val="24"/>
          <w:szCs w:val="24"/>
        </w:rPr>
        <w:t>基本规范》及其他机关法律法规的规定条件和要求。</w:t>
      </w:r>
    </w:p>
    <w:p w14:paraId="543C0228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（一）资产管理。项目工程竣工验收通过，并达到运营条件后，由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sz w:val="24"/>
          <w:szCs w:val="24"/>
        </w:rPr>
        <w:t>对全部资产进行造册登记。运营方在合同期内负责日常耗损性设施、设备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的维护和修缮（工程质量保修期内的由招标人承担），不得擅自出租、出借、处置国有资产，不得以国有资产进行抵押、融资、贷款等。</w:t>
      </w:r>
    </w:p>
    <w:p w14:paraId="6A97EFBB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（二）机构管理。运营方应当及时向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报告重大情况。每年3月31日前向实施行政许可机构主管部门提交上一年度的工作报告。年度工作报告内容包括服务范围、服务质量、运营管理、财务管理等情况。</w:t>
      </w:r>
    </w:p>
    <w:p w14:paraId="076D24C5">
      <w:pPr>
        <w:snapToGrid w:val="0"/>
        <w:spacing w:before="120" w:beforeLines="50" w:after="120" w:afterLines="50" w:line="312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（三）定期考核。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每年对机构的管理、服务质量、公众评议等内容开展定期考核。</w:t>
      </w:r>
    </w:p>
    <w:p w14:paraId="6E8073D3">
      <w:pPr>
        <w:numPr>
          <w:ilvl w:val="0"/>
          <w:numId w:val="1"/>
        </w:numPr>
        <w:snapToGrid w:val="0"/>
        <w:spacing w:before="120" w:beforeLines="50" w:after="120" w:afterLines="50" w:line="312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退出机制</w:t>
      </w:r>
    </w:p>
    <w:p w14:paraId="149C7519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1.项目运营过程中，如遇到不可抗拒或违约事件导致项目提前终止时，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应制定切实可行的接管方案，保障机构正常运营或入住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妥善安置。</w:t>
      </w:r>
    </w:p>
    <w:p w14:paraId="084627DC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2.合同期未满，运营方需退出时，须提前3个月向委托方提出申请，并由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组织有关部门对其资产、财务等进行审计。符合有关要求的，办理解除合同等相关手续。</w:t>
      </w:r>
    </w:p>
    <w:p w14:paraId="5CF258D0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3.运营方在运营管理过程中具有下列情形之一的，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应责令其限期整改；情节严重的，提前解除合同，并依法移交有关部门追究其相应法律责任。</w:t>
      </w:r>
    </w:p>
    <w:p w14:paraId="0AD941A8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（1）未经委托方同意，擅自变更法人代表或运营方的；</w:t>
      </w:r>
    </w:p>
    <w:p w14:paraId="7003D917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（2）擅自改变经营范围，擅自出租、出借、处置国有资产，擅自将国有资产进行抵押、融资、贷款的；</w:t>
      </w:r>
    </w:p>
    <w:p w14:paraId="49AD5ADB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（3）损毁设施或改变设施用途的，无法保障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设施、设备正常运转的；</w:t>
      </w:r>
    </w:p>
    <w:p w14:paraId="0B452CDC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（4）违反有关规定，乱收费的；</w:t>
      </w:r>
    </w:p>
    <w:p w14:paraId="7660D542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（5）发布虚假广告骗取钱财的；</w:t>
      </w:r>
    </w:p>
    <w:p w14:paraId="59FF9809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（6）挪用或未按标准落实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供养经费的；</w:t>
      </w:r>
    </w:p>
    <w:p w14:paraId="411E2A69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（7）管理松懈，造成重大安全事故的；</w:t>
      </w:r>
    </w:p>
    <w:p w14:paraId="2E97AACC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（8）歧视、侮辱、虐待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</w:t>
      </w:r>
      <w:r>
        <w:rPr>
          <w:rFonts w:hint="eastAsia" w:ascii="宋体" w:hAnsi="宋体" w:eastAsia="宋体" w:cs="宋体"/>
          <w:sz w:val="24"/>
          <w:szCs w:val="24"/>
        </w:rPr>
        <w:t>人的；</w:t>
      </w:r>
    </w:p>
    <w:p w14:paraId="48D7D4D9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（9）满意度测评低于80%的；</w:t>
      </w:r>
    </w:p>
    <w:p w14:paraId="46ED19DF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（10）违反合同约定的解约条款；</w:t>
      </w:r>
    </w:p>
    <w:p w14:paraId="0A8EB283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（11）违反国家法律法规的其他情形。</w:t>
      </w:r>
    </w:p>
    <w:p w14:paraId="371CC205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3.合同期满，要按照合同约定的移交时间、移交内容和要求，并由政府组织有关部门对其资产、财务等进行审计，妥善做好项目移交工作。</w:t>
      </w:r>
    </w:p>
    <w:p w14:paraId="313BF3A0">
      <w:pPr>
        <w:numPr>
          <w:ilvl w:val="0"/>
          <w:numId w:val="1"/>
        </w:numPr>
        <w:snapToGrid w:val="0"/>
        <w:spacing w:before="120" w:beforeLines="50" w:after="120" w:afterLines="50" w:line="312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合同基本内容</w:t>
      </w:r>
    </w:p>
    <w:p w14:paraId="6DE92889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确定运营主体后签订项目合同，明确各方权利和义务，机构定位，明晰国有资产、社会资本的归属和管理，明确运营主体应承担的职责和合约期限内应达到的目标，明确服务监管主体、方式和要求以及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退出机制等。合同应当载明以下内容：</w:t>
      </w:r>
    </w:p>
    <w:p w14:paraId="219719E9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1.委托方、运营方、监管方的名称及权利义务。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作为委托方及监管方，要切实履行监管职责，配合做好机构招标、合同审查、运营监督等工作，确保国有资产不流失。运营方独立承担运营过程</w:t>
      </w:r>
      <w:r>
        <w:rPr>
          <w:rFonts w:hint="eastAsia" w:ascii="宋体" w:hAnsi="宋体" w:eastAsia="宋体" w:cs="宋体"/>
          <w:sz w:val="24"/>
          <w:szCs w:val="24"/>
        </w:rPr>
        <w:t>中的服务和管理责任，债权债务和经济、安全、法律责任；</w:t>
      </w:r>
    </w:p>
    <w:p w14:paraId="56980559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2.产权性质、经营范围、服务内容。服务范围不变，原政府投入的土地、房产及配置的设备等固定资产所有权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嵊泗县残疾人联合会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有，经营范围为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残疾人托养</w:t>
      </w:r>
      <w:r>
        <w:rPr>
          <w:rFonts w:hint="eastAsia" w:ascii="宋体" w:hAnsi="宋体" w:eastAsia="宋体" w:cs="宋体"/>
          <w:sz w:val="24"/>
          <w:szCs w:val="24"/>
        </w:rPr>
        <w:t>服务，服务内容为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提供生活照料、精神慰藉、文化娱乐等服务。</w:t>
      </w:r>
    </w:p>
    <w:p w14:paraId="10FA2540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3.收费标准实行分类管理。机构应将财政拨付的供（托）养经费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按照相关规定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全部用于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残疾人群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的生活和服务开支，不得向供养对象收取任何费用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。对接收入住的其他对象，社会床位运营单位具有自主定价权，可按照价格管理权限制定收费标准，并报嵊泗县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残疾人联合会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备案。</w:t>
      </w:r>
    </w:p>
    <w:p w14:paraId="01E4C0A8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4.合约时限、运营条件、保证金、支付方式。</w:t>
      </w:r>
    </w:p>
    <w:p w14:paraId="4FE4A7EF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（1）合约时限为10年，从运营主体正式承接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嵊泗县残疾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对象供养任务后起算。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注：前5年运营主体单位免费经营，后5年采购单位根据运营主体单位经营视利润情况收取10%管理费，具体比例由采购单位和运营主体单位另行协商）</w:t>
      </w:r>
    </w:p>
    <w:p w14:paraId="7040CE0C">
      <w:pPr>
        <w:numPr>
          <w:ilvl w:val="0"/>
          <w:numId w:val="2"/>
        </w:num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签署运营合同后，项目各项验收通过，达到运营条件后，中标人即可开展项目运营。</w:t>
      </w:r>
    </w:p>
    <w:p w14:paraId="708F740D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5.明确风险责任分担机制、评价机制、监督机制、争端解决机制。</w:t>
      </w:r>
    </w:p>
    <w:p w14:paraId="7AEBC962">
      <w:pPr>
        <w:snapToGrid w:val="0"/>
        <w:spacing w:before="120" w:beforeLines="50" w:after="120" w:afterLines="50"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6.服务人员、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服务人员配备：护理人员配备按自理是1比10，不能自理的1比4的配备，初级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残疾人</w:t>
      </w:r>
      <w:r>
        <w:rPr>
          <w:rFonts w:hint="eastAsia" w:ascii="宋体" w:hAnsi="宋体" w:eastAsia="宋体" w:cs="宋体"/>
          <w:sz w:val="24"/>
          <w:szCs w:val="24"/>
        </w:rPr>
        <w:t>护理员资格证书不少于3人。</w:t>
      </w:r>
    </w:p>
    <w:p w14:paraId="357DEBBD">
      <w:pPr>
        <w:pStyle w:val="3"/>
        <w:spacing w:before="0" w:after="0"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、商务要求</w:t>
      </w:r>
    </w:p>
    <w:p w14:paraId="0285278E">
      <w:pPr>
        <w:snapToGrid w:val="0"/>
        <w:spacing w:before="120" w:beforeLines="50" w:after="120" w:afterLines="50" w:line="312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F0EA741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2、项目实施地点：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嵊泗县菜园镇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1282A52">
      <w:pPr>
        <w:snapToGrid w:val="0"/>
        <w:spacing w:before="120" w:beforeLines="50" w:after="120" w:afterLines="50" w:line="312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3、合约期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年。从运营主体正式承接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嵊泗县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残疾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象供养任务后起算。</w:t>
      </w:r>
    </w:p>
    <w:p w14:paraId="3E7C2B20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4、履约保证金：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/。</w:t>
      </w:r>
    </w:p>
    <w:p w14:paraId="27FC8BDC">
      <w:pPr>
        <w:snapToGrid w:val="0"/>
        <w:spacing w:before="120" w:beforeLines="50" w:after="120" w:afterLines="50" w:line="312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七、其他</w:t>
      </w:r>
    </w:p>
    <w:p w14:paraId="7649FE95">
      <w:pPr>
        <w:snapToGrid w:val="0"/>
        <w:spacing w:before="120" w:beforeLines="50" w:after="120" w:afterLines="50" w:line="312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允许中标后的运营方在残疾人托养中心增设护理院功能。</w:t>
      </w:r>
    </w:p>
    <w:p w14:paraId="7BF13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E2ABC"/>
    <w:multiLevelType w:val="singleLevel"/>
    <w:tmpl w:val="87FE2AB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1D3F036"/>
    <w:multiLevelType w:val="singleLevel"/>
    <w:tmpl w:val="61D3F03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2025-07-03T08:05:04Z</dcterms:created>
  <dc:creator>Administrator</dc:creator>
  <cp:lastModifiedBy>金牛座的姑娘</cp:lastModifiedBy>
  <dcterms:modified xsi:type="dcterms:W3CDTF">2025-07-03T08:05:31Z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eyJoZGlkIjoiODZiMWE1MWQwOTVjYjEyYzIwNWY3MTgxZjBiNGY3YTUiLCJ1c2VySWQiOiI2MzY4MTkyMjEifQ==</vt:lpwstr>
  </property>
  <property fmtid="{D5CDD505-2E9C-101B-9397-08002B2CF9AE}" pid="4" name="ICV">
    <vt:lpwstr>9E8E7105DBAC4DE099EB7AF0D14ECC12_12</vt:lpwstr>
  </property>
</Properties>
</file>