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2AA2A8">
      <w:pPr>
        <w:pStyle w:val="28"/>
        <w:jc w:val="both"/>
        <w:rPr>
          <w:rFonts w:ascii="宋体" w:hAnsi="宋体"/>
          <w:color w:val="auto"/>
          <w:sz w:val="52"/>
        </w:rPr>
      </w:pPr>
    </w:p>
    <w:p w14:paraId="4A34965A">
      <w:pPr>
        <w:pStyle w:val="28"/>
        <w:spacing w:line="600" w:lineRule="exact"/>
        <w:rPr>
          <w:rFonts w:hint="eastAsia" w:asciiTheme="majorEastAsia" w:hAnsiTheme="majorEastAsia" w:eastAsiaTheme="majorEastAsia" w:cstheme="majorEastAsia"/>
          <w:b/>
          <w:bCs w:val="0"/>
          <w:i w:val="0"/>
          <w:caps w:val="0"/>
          <w:color w:val="000000"/>
          <w:spacing w:val="0"/>
          <w:sz w:val="44"/>
          <w:szCs w:val="44"/>
          <w:lang w:eastAsia="zh-CN"/>
        </w:rPr>
      </w:pPr>
      <w:r>
        <w:rPr>
          <w:rFonts w:hint="eastAsia" w:asciiTheme="majorEastAsia" w:hAnsiTheme="majorEastAsia" w:eastAsiaTheme="majorEastAsia" w:cstheme="majorEastAsia"/>
          <w:b/>
          <w:bCs w:val="0"/>
          <w:i w:val="0"/>
          <w:caps w:val="0"/>
          <w:color w:val="000000"/>
          <w:spacing w:val="0"/>
          <w:sz w:val="44"/>
          <w:szCs w:val="44"/>
          <w:lang w:eastAsia="zh-CN"/>
        </w:rPr>
        <w:t>嵊泗县洋山镇综合管理服务采购项目</w:t>
      </w:r>
    </w:p>
    <w:p w14:paraId="2F6FFD11">
      <w:pPr>
        <w:pStyle w:val="28"/>
        <w:spacing w:line="600" w:lineRule="exact"/>
        <w:rPr>
          <w:rFonts w:hint="eastAsia" w:asciiTheme="majorEastAsia" w:hAnsiTheme="majorEastAsia" w:eastAsiaTheme="majorEastAsia" w:cstheme="majorEastAsia"/>
          <w:b/>
          <w:bCs w:val="0"/>
          <w:i w:val="0"/>
          <w:caps w:val="0"/>
          <w:color w:val="000000"/>
          <w:spacing w:val="0"/>
          <w:sz w:val="44"/>
          <w:szCs w:val="44"/>
          <w:lang w:eastAsia="zh-CN"/>
        </w:rPr>
      </w:pPr>
    </w:p>
    <w:p w14:paraId="22884055">
      <w:pPr>
        <w:pStyle w:val="28"/>
        <w:spacing w:line="600" w:lineRule="exact"/>
        <w:rPr>
          <w:rFonts w:hint="eastAsia" w:ascii="宋体" w:hAnsi="宋体"/>
          <w:color w:val="auto"/>
          <w:sz w:val="44"/>
          <w:szCs w:val="44"/>
          <w:highlight w:val="yellow"/>
          <w:lang w:eastAsia="zh-CN"/>
        </w:rPr>
      </w:pPr>
    </w:p>
    <w:p w14:paraId="4BB327E4">
      <w:pPr>
        <w:pStyle w:val="28"/>
        <w:spacing w:line="600" w:lineRule="exact"/>
        <w:rPr>
          <w:rFonts w:ascii="宋体" w:hAnsi="宋体"/>
          <w:sz w:val="36"/>
          <w:szCs w:val="36"/>
        </w:rPr>
      </w:pPr>
      <w:r>
        <w:rPr>
          <w:rFonts w:hint="eastAsia" w:ascii="宋体" w:hAnsi="宋体"/>
          <w:sz w:val="36"/>
          <w:szCs w:val="36"/>
          <w:lang w:eastAsia="zh-CN"/>
        </w:rPr>
        <w:t>（</w:t>
      </w:r>
      <w:r>
        <w:rPr>
          <w:rFonts w:hint="eastAsia" w:ascii="宋体" w:hAnsi="宋体"/>
          <w:sz w:val="36"/>
          <w:szCs w:val="36"/>
        </w:rPr>
        <w:t>竞争性磋商</w:t>
      </w:r>
      <w:r>
        <w:rPr>
          <w:rFonts w:hint="eastAsia" w:ascii="宋体" w:hAnsi="宋体"/>
          <w:sz w:val="36"/>
          <w:szCs w:val="36"/>
          <w:lang w:eastAsia="zh-CN"/>
        </w:rPr>
        <w:t>）</w:t>
      </w:r>
      <w:r>
        <w:rPr>
          <w:rFonts w:hint="eastAsia" w:ascii="宋体" w:hAnsi="宋体"/>
          <w:sz w:val="36"/>
          <w:szCs w:val="36"/>
        </w:rPr>
        <w:t>文件</w:t>
      </w:r>
    </w:p>
    <w:p w14:paraId="60FAB722">
      <w:pPr>
        <w:pStyle w:val="28"/>
        <w:rPr>
          <w:rFonts w:ascii="宋体" w:hAnsi="宋体"/>
          <w:color w:val="auto"/>
          <w:sz w:val="52"/>
        </w:rPr>
      </w:pPr>
    </w:p>
    <w:p w14:paraId="34C583AC">
      <w:pPr>
        <w:pStyle w:val="28"/>
        <w:rPr>
          <w:rFonts w:ascii="宋体" w:hAnsi="宋体"/>
          <w:color w:val="auto"/>
          <w:sz w:val="52"/>
        </w:rPr>
      </w:pPr>
    </w:p>
    <w:p w14:paraId="25703173">
      <w:pPr>
        <w:tabs>
          <w:tab w:val="left" w:pos="7063"/>
        </w:tabs>
        <w:rPr>
          <w:rFonts w:ascii="宋体" w:hAnsi="宋体" w:cs="宋体"/>
          <w:b/>
          <w:color w:val="auto"/>
          <w:sz w:val="36"/>
        </w:rPr>
      </w:pPr>
    </w:p>
    <w:p w14:paraId="1EAFA0EE">
      <w:pPr>
        <w:spacing w:line="600" w:lineRule="auto"/>
        <w:ind w:firstLine="1285" w:firstLineChars="400"/>
        <w:rPr>
          <w:rFonts w:hint="eastAsia" w:ascii="宋体" w:hAnsi="宋体" w:cs="宋体"/>
          <w:b/>
          <w:color w:val="auto"/>
          <w:sz w:val="32"/>
          <w:szCs w:val="32"/>
        </w:rPr>
      </w:pPr>
    </w:p>
    <w:p w14:paraId="25ED9272">
      <w:pPr>
        <w:spacing w:line="600" w:lineRule="auto"/>
        <w:ind w:firstLine="1285" w:firstLineChars="400"/>
        <w:rPr>
          <w:rFonts w:hint="eastAsia" w:ascii="宋体" w:hAnsi="宋体" w:cs="宋体"/>
          <w:b/>
          <w:color w:val="auto"/>
          <w:sz w:val="32"/>
          <w:szCs w:val="32"/>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ZSJS-2025-016</w:t>
      </w:r>
    </w:p>
    <w:p w14:paraId="194D475C">
      <w:pPr>
        <w:tabs>
          <w:tab w:val="left" w:pos="6692"/>
        </w:tabs>
        <w:spacing w:line="600" w:lineRule="auto"/>
        <w:ind w:firstLine="1285" w:firstLineChars="400"/>
        <w:rPr>
          <w:rFonts w:hint="default" w:ascii="宋体" w:hAnsi="宋体" w:cs="宋体"/>
          <w:b/>
          <w:color w:val="auto"/>
          <w:sz w:val="32"/>
          <w:szCs w:val="32"/>
          <w:lang w:val="en-US" w:eastAsia="zh-CN"/>
        </w:rPr>
      </w:pPr>
      <w:r>
        <w:rPr>
          <w:rFonts w:hint="eastAsia" w:ascii="宋体" w:hAnsi="宋体" w:cs="宋体"/>
          <w:b/>
          <w:color w:val="auto"/>
          <w:sz w:val="32"/>
          <w:szCs w:val="32"/>
        </w:rPr>
        <w:t>采购单位：</w:t>
      </w:r>
      <w:r>
        <w:rPr>
          <w:rFonts w:hint="eastAsia" w:ascii="宋体" w:hAnsi="宋体" w:cs="宋体"/>
          <w:b/>
          <w:color w:val="auto"/>
          <w:sz w:val="32"/>
          <w:szCs w:val="32"/>
          <w:lang w:val="en-US" w:eastAsia="zh-CN"/>
        </w:rPr>
        <w:t>嵊泗县洋山镇人民政府</w:t>
      </w:r>
      <w:r>
        <w:rPr>
          <w:rFonts w:hint="eastAsia" w:ascii="宋体" w:hAnsi="宋体" w:cs="宋体"/>
          <w:b/>
          <w:color w:val="auto"/>
          <w:sz w:val="32"/>
          <w:szCs w:val="32"/>
          <w:lang w:val="en-US" w:eastAsia="zh-CN"/>
        </w:rPr>
        <w:tab/>
      </w:r>
    </w:p>
    <w:p w14:paraId="4EB37434">
      <w:pPr>
        <w:spacing w:line="600" w:lineRule="auto"/>
        <w:ind w:firstLine="1285" w:firstLineChars="400"/>
        <w:rPr>
          <w:rFonts w:ascii="宋体" w:hAnsi="宋体" w:cs="宋体"/>
          <w:b/>
          <w:color w:val="auto"/>
          <w:sz w:val="32"/>
          <w:szCs w:val="32"/>
        </w:rPr>
      </w:pPr>
      <w:r>
        <w:rPr>
          <w:rFonts w:hint="eastAsia" w:ascii="宋体" w:hAnsi="宋体" w:cs="宋体"/>
          <w:b/>
          <w:color w:val="auto"/>
          <w:sz w:val="32"/>
          <w:szCs w:val="32"/>
        </w:rPr>
        <w:t>代理单位：</w:t>
      </w:r>
      <w:r>
        <w:rPr>
          <w:rFonts w:hint="eastAsia" w:ascii="宋体" w:hAnsi="宋体"/>
          <w:b/>
          <w:snapToGrid w:val="0"/>
          <w:color w:val="auto"/>
          <w:sz w:val="30"/>
          <w:szCs w:val="30"/>
        </w:rPr>
        <w:t>舟山市嘉嵊咨询管理有限公司</w:t>
      </w:r>
    </w:p>
    <w:p w14:paraId="54AF0528">
      <w:pPr>
        <w:spacing w:line="600" w:lineRule="auto"/>
        <w:jc w:val="center"/>
        <w:rPr>
          <w:rFonts w:hint="eastAsia" w:ascii="宋体" w:hAnsi="宋体" w:eastAsia="宋体" w:cs="宋体"/>
          <w:b/>
          <w:color w:val="auto"/>
          <w:sz w:val="32"/>
          <w:szCs w:val="32"/>
          <w:lang w:eastAsia="zh-CN"/>
        </w:rPr>
        <w:sectPr>
          <w:headerReference r:id="rId3" w:type="default"/>
          <w:footerReference r:id="rId4"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lang w:eastAsia="zh-CN"/>
        </w:rPr>
        <w:t xml:space="preserve">2025 年 </w:t>
      </w:r>
      <w:r>
        <w:rPr>
          <w:rFonts w:hint="eastAsia" w:ascii="宋体" w:hAnsi="宋体" w:cs="宋体"/>
          <w:b/>
          <w:color w:val="auto"/>
          <w:sz w:val="32"/>
          <w:szCs w:val="32"/>
          <w:lang w:val="en-US" w:eastAsia="zh-CN"/>
        </w:rPr>
        <w:t>5</w:t>
      </w:r>
      <w:r>
        <w:rPr>
          <w:rFonts w:hint="eastAsia" w:ascii="宋体" w:hAnsi="宋体" w:cs="宋体"/>
          <w:b/>
          <w:color w:val="auto"/>
          <w:sz w:val="32"/>
          <w:szCs w:val="32"/>
          <w:lang w:eastAsia="zh-CN"/>
        </w:rPr>
        <w:t>月</w:t>
      </w:r>
    </w:p>
    <w:p w14:paraId="64DB1CF5">
      <w:pPr>
        <w:pStyle w:val="28"/>
        <w:jc w:val="both"/>
        <w:rPr>
          <w:rFonts w:ascii="宋体" w:hAnsi="宋体"/>
          <w:color w:val="auto"/>
          <w:sz w:val="52"/>
        </w:rPr>
      </w:pPr>
      <w:r>
        <w:rPr>
          <w:rFonts w:hint="eastAsia" w:ascii="宋体" w:hAnsi="宋体"/>
          <w:color w:val="auto"/>
          <w:sz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olor w:val="auto"/>
          <w:sz w:val="52"/>
        </w:rPr>
        <w:instrText xml:space="preserve">ADDIN CNKISM.UserStyle</w:instrText>
      </w:r>
      <w:r>
        <w:rPr>
          <w:rFonts w:ascii="宋体" w:hAnsi="宋体"/>
          <w:color w:val="auto"/>
          <w:sz w:val="52"/>
        </w:rPr>
        <w:fldChar w:fldCharType="separate"/>
      </w:r>
      <w:r>
        <w:rPr>
          <w:rFonts w:hint="eastAsia" w:ascii="宋体" w:hAnsi="宋体"/>
          <w:color w:val="auto"/>
          <w:sz w:val="52"/>
        </w:rPr>
        <w:fldChar w:fldCharType="end"/>
      </w:r>
    </w:p>
    <w:p w14:paraId="38296028">
      <w:pPr>
        <w:rPr>
          <w:rFonts w:ascii="宋体" w:hAnsi="宋体" w:cs="宋体"/>
          <w:b/>
          <w:color w:val="auto"/>
          <w:sz w:val="32"/>
          <w:szCs w:val="32"/>
        </w:rPr>
      </w:pPr>
    </w:p>
    <w:p w14:paraId="26D105D7">
      <w:pPr>
        <w:pStyle w:val="5"/>
        <w:rPr>
          <w:rFonts w:ascii="宋体" w:hAnsi="宋体" w:cs="宋体"/>
          <w:b/>
          <w:color w:val="auto"/>
          <w:sz w:val="32"/>
          <w:szCs w:val="32"/>
        </w:rPr>
      </w:pPr>
    </w:p>
    <w:p w14:paraId="59B115DE">
      <w:pPr>
        <w:rPr>
          <w:rFonts w:ascii="宋体" w:hAnsi="宋体" w:cs="宋体"/>
          <w:b/>
          <w:color w:val="auto"/>
          <w:sz w:val="32"/>
          <w:szCs w:val="32"/>
        </w:rPr>
      </w:pPr>
    </w:p>
    <w:p w14:paraId="56DB7A79">
      <w:pPr>
        <w:pStyle w:val="5"/>
        <w:rPr>
          <w:rFonts w:ascii="宋体" w:hAnsi="宋体" w:cs="宋体"/>
          <w:b/>
          <w:color w:val="auto"/>
          <w:sz w:val="32"/>
          <w:szCs w:val="32"/>
        </w:rPr>
      </w:pPr>
    </w:p>
    <w:p w14:paraId="195058D1"/>
    <w:p w14:paraId="253DCC22">
      <w:pPr>
        <w:pStyle w:val="15"/>
        <w:spacing w:before="120" w:after="120" w:line="360" w:lineRule="auto"/>
        <w:jc w:val="center"/>
        <w:rPr>
          <w:rFonts w:hAnsi="宋体"/>
          <w:b/>
          <w:bCs/>
          <w:color w:val="auto"/>
          <w:sz w:val="44"/>
          <w:szCs w:val="44"/>
        </w:rPr>
      </w:pPr>
      <w:r>
        <w:rPr>
          <w:rFonts w:hint="eastAsia" w:hAnsi="宋体"/>
          <w:b/>
          <w:bCs/>
          <w:color w:val="auto"/>
          <w:sz w:val="44"/>
          <w:szCs w:val="44"/>
        </w:rPr>
        <w:t>目  录</w:t>
      </w:r>
    </w:p>
    <w:p w14:paraId="42D70166">
      <w:pPr>
        <w:pStyle w:val="15"/>
        <w:spacing w:before="120" w:after="120" w:line="360" w:lineRule="auto"/>
        <w:jc w:val="center"/>
        <w:rPr>
          <w:rFonts w:hAnsi="宋体"/>
          <w:color w:val="auto"/>
          <w:sz w:val="44"/>
          <w:szCs w:val="44"/>
        </w:rPr>
      </w:pPr>
    </w:p>
    <w:p w14:paraId="49D336DB">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竞争性磋商公告</w:t>
      </w:r>
    </w:p>
    <w:p w14:paraId="316469DD">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采购需求</w:t>
      </w:r>
    </w:p>
    <w:p w14:paraId="75DD92FD">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供应商须知</w:t>
      </w:r>
    </w:p>
    <w:p w14:paraId="7BE6A02B">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评标办法及评分标准</w:t>
      </w:r>
    </w:p>
    <w:p w14:paraId="1CB65DDE">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政府采购合同主要条款</w:t>
      </w:r>
    </w:p>
    <w:p w14:paraId="1810D0D7">
      <w:pPr>
        <w:numPr>
          <w:ilvl w:val="0"/>
          <w:numId w:val="5"/>
        </w:numPr>
        <w:tabs>
          <w:tab w:val="left" w:pos="2520"/>
        </w:tabs>
        <w:spacing w:before="156" w:beforeLines="50" w:line="480" w:lineRule="exact"/>
        <w:ind w:hanging="195"/>
        <w:rPr>
          <w:rFonts w:ascii="宋体" w:hAnsi="宋体" w:cs="宋体"/>
          <w:color w:val="auto"/>
          <w:sz w:val="32"/>
          <w:szCs w:val="32"/>
        </w:rPr>
      </w:pPr>
      <w:r>
        <w:rPr>
          <w:rFonts w:hint="eastAsia" w:ascii="宋体" w:hAnsi="宋体" w:cs="宋体"/>
          <w:color w:val="auto"/>
          <w:sz w:val="32"/>
          <w:szCs w:val="32"/>
        </w:rPr>
        <w:t>投标文件格式</w:t>
      </w:r>
    </w:p>
    <w:p w14:paraId="33D673BB">
      <w:pPr>
        <w:spacing w:before="31" w:beforeLines="10" w:after="31" w:afterLines="10" w:line="480" w:lineRule="exact"/>
        <w:jc w:val="center"/>
        <w:rPr>
          <w:rFonts w:hint="eastAsia" w:ascii="宋体" w:hAnsi="宋体"/>
          <w:b/>
          <w:sz w:val="32"/>
          <w:szCs w:val="32"/>
          <w:highlight w:val="none"/>
          <w:lang w:val="zh-CN"/>
        </w:rPr>
      </w:pPr>
      <w:r>
        <w:rPr>
          <w:rFonts w:hint="eastAsia" w:ascii="宋体" w:hAnsi="宋体" w:cs="宋体"/>
          <w:color w:val="auto"/>
          <w:sz w:val="30"/>
          <w:szCs w:val="30"/>
        </w:rPr>
        <w:br w:type="page"/>
      </w:r>
    </w:p>
    <w:p w14:paraId="26C347F9">
      <w:pPr>
        <w:autoSpaceDE w:val="0"/>
        <w:autoSpaceDN w:val="0"/>
        <w:adjustRightInd w:val="0"/>
        <w:spacing w:line="480" w:lineRule="auto"/>
        <w:ind w:firstLine="2891" w:firstLineChars="900"/>
        <w:jc w:val="both"/>
        <w:rPr>
          <w:rFonts w:hint="eastAsia" w:ascii="宋体" w:hAnsi="宋体"/>
          <w:b/>
          <w:sz w:val="32"/>
          <w:szCs w:val="32"/>
          <w:highlight w:val="none"/>
          <w:lang w:val="zh-CN"/>
        </w:rPr>
      </w:pPr>
      <w:r>
        <w:rPr>
          <w:rFonts w:hint="eastAsia" w:ascii="宋体" w:hAnsi="宋体"/>
          <w:b/>
          <w:sz w:val="32"/>
          <w:szCs w:val="32"/>
          <w:highlight w:val="none"/>
          <w:lang w:val="zh-CN"/>
        </w:rPr>
        <w:t>第一章  竞争性磋商公告</w:t>
      </w:r>
    </w:p>
    <w:p w14:paraId="3A0E0D96">
      <w:pPr>
        <w:snapToGrid w:val="0"/>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根据《中华人民共和国政府采购法》的有关法律规定</w:t>
      </w:r>
      <w:r>
        <w:rPr>
          <w:rFonts w:hint="eastAsia" w:ascii="宋体" w:hAnsi="宋体" w:eastAsia="宋体" w:cs="宋体"/>
          <w:color w:val="auto"/>
          <w:szCs w:val="24"/>
          <w:highlight w:val="none"/>
          <w:lang w:eastAsia="zh-CN"/>
        </w:rPr>
        <w:t>，</w:t>
      </w:r>
      <w:r>
        <w:rPr>
          <w:rFonts w:hint="eastAsia" w:ascii="宋体" w:hAnsi="宋体"/>
          <w:b w:val="0"/>
          <w:bCs w:val="0"/>
          <w:color w:val="auto"/>
          <w:sz w:val="21"/>
          <w:szCs w:val="21"/>
          <w:highlight w:val="none"/>
          <w:u w:val="single"/>
          <w:lang w:val="zh-CN"/>
        </w:rPr>
        <w:t>舟山市嘉嵊咨询管理有限公司</w:t>
      </w:r>
      <w:r>
        <w:rPr>
          <w:rFonts w:hint="eastAsia" w:ascii="宋体" w:hAnsi="宋体"/>
          <w:b w:val="0"/>
          <w:bCs w:val="0"/>
          <w:color w:val="auto"/>
          <w:sz w:val="21"/>
          <w:szCs w:val="21"/>
          <w:highlight w:val="none"/>
          <w:u w:val="none"/>
          <w:lang w:val="zh-CN"/>
        </w:rPr>
        <w:t>受</w:t>
      </w:r>
      <w:r>
        <w:rPr>
          <w:rFonts w:hint="eastAsia" w:ascii="宋体" w:hAnsi="宋体"/>
          <w:b w:val="0"/>
          <w:bCs w:val="0"/>
          <w:color w:val="auto"/>
          <w:sz w:val="21"/>
          <w:szCs w:val="21"/>
          <w:highlight w:val="none"/>
          <w:u w:val="single"/>
          <w:lang w:val="zh-CN"/>
        </w:rPr>
        <w:t>嵊泗县洋山镇人民政府</w:t>
      </w:r>
      <w:r>
        <w:rPr>
          <w:rFonts w:hint="eastAsia" w:ascii="宋体" w:hAnsi="宋体" w:cs="宋体"/>
          <w:color w:val="auto"/>
          <w:szCs w:val="21"/>
          <w:highlight w:val="none"/>
        </w:rPr>
        <w:t>委托，并经</w:t>
      </w:r>
      <w:r>
        <w:rPr>
          <w:rFonts w:hint="eastAsia" w:ascii="宋体" w:hAnsi="宋体" w:cs="宋体"/>
          <w:color w:val="auto"/>
          <w:szCs w:val="21"/>
          <w:highlight w:val="none"/>
          <w:u w:val="single"/>
          <w:lang w:val="en-US" w:eastAsia="zh-CN"/>
        </w:rPr>
        <w:t>嵊财采确临</w:t>
      </w:r>
      <w:r>
        <w:rPr>
          <w:rFonts w:hint="eastAsia" w:ascii="宋体" w:hAnsi="宋体"/>
          <w:color w:val="auto"/>
          <w:szCs w:val="21"/>
          <w:highlight w:val="none"/>
          <w:u w:val="single"/>
          <w:lang w:eastAsia="zh-CN"/>
        </w:rPr>
        <w:t>[2025]564号</w:t>
      </w:r>
      <w:r>
        <w:rPr>
          <w:rFonts w:hint="eastAsia" w:ascii="宋体" w:hAnsi="宋体"/>
          <w:color w:val="auto"/>
          <w:szCs w:val="21"/>
          <w:highlight w:val="none"/>
        </w:rPr>
        <w:t>采购计划确认批准</w:t>
      </w:r>
      <w:r>
        <w:rPr>
          <w:rFonts w:hint="eastAsia" w:ascii="宋体" w:hAnsi="宋体" w:cs="宋体"/>
          <w:color w:val="auto"/>
          <w:szCs w:val="21"/>
          <w:highlight w:val="none"/>
        </w:rPr>
        <w:t>，</w:t>
      </w:r>
      <w:r>
        <w:rPr>
          <w:rFonts w:hint="eastAsia" w:ascii="宋体" w:hAnsi="宋体" w:cs="宋体"/>
          <w:color w:val="auto"/>
          <w:szCs w:val="21"/>
          <w:highlight w:val="none"/>
          <w:lang w:val="zh-CN"/>
        </w:rPr>
        <w:t>现就</w:t>
      </w:r>
      <w:r>
        <w:rPr>
          <w:rFonts w:hint="eastAsia" w:ascii="宋体" w:hAnsi="宋体" w:cs="宋体"/>
          <w:b/>
          <w:bCs/>
          <w:color w:val="auto"/>
          <w:szCs w:val="21"/>
          <w:highlight w:val="none"/>
          <w:u w:val="single"/>
          <w:lang w:val="zh-CN"/>
        </w:rPr>
        <w:t>嵊泗县洋山镇综合管理服务采购项目</w:t>
      </w:r>
      <w:r>
        <w:rPr>
          <w:rFonts w:hint="eastAsia" w:ascii="宋体" w:hAnsi="宋体" w:cs="宋体"/>
          <w:color w:val="auto"/>
          <w:szCs w:val="21"/>
          <w:highlight w:val="none"/>
          <w:u w:val="single"/>
        </w:rPr>
        <w:t>进行</w:t>
      </w:r>
      <w:r>
        <w:rPr>
          <w:rFonts w:hint="eastAsia" w:ascii="宋体" w:hAnsi="宋体" w:cs="宋体"/>
          <w:b/>
          <w:bCs/>
          <w:color w:val="auto"/>
          <w:szCs w:val="21"/>
          <w:highlight w:val="none"/>
          <w:u w:val="single"/>
        </w:rPr>
        <w:t>竞争性磋商</w:t>
      </w:r>
      <w:r>
        <w:rPr>
          <w:rFonts w:hint="eastAsia" w:ascii="宋体" w:hAnsi="宋体" w:cs="宋体"/>
          <w:color w:val="auto"/>
          <w:szCs w:val="21"/>
          <w:highlight w:val="none"/>
        </w:rPr>
        <w:t>，欢迎国内合格的投标人前来投标，现将有关事项公告如下</w:t>
      </w:r>
      <w:r>
        <w:rPr>
          <w:rFonts w:hint="eastAsia" w:ascii="宋体" w:hAnsi="宋体" w:cs="宋体"/>
          <w:color w:val="auto"/>
          <w:szCs w:val="21"/>
          <w:highlight w:val="none"/>
          <w:lang w:eastAsia="zh-CN"/>
        </w:rPr>
        <w:t>：</w:t>
      </w:r>
    </w:p>
    <w:p w14:paraId="48F091ED">
      <w:pPr>
        <w:snapToGrid w:val="0"/>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一、</w:t>
      </w:r>
      <w:r>
        <w:rPr>
          <w:rFonts w:hint="eastAsia" w:ascii="宋体" w:hAnsi="宋体" w:cs="宋体"/>
          <w:b/>
          <w:bCs/>
          <w:color w:val="auto"/>
          <w:szCs w:val="21"/>
          <w:highlight w:val="none"/>
        </w:rPr>
        <w:t>项目编号：</w:t>
      </w:r>
      <w:r>
        <w:rPr>
          <w:rFonts w:hint="eastAsia" w:ascii="宋体" w:hAnsi="宋体" w:cs="宋体"/>
          <w:color w:val="auto"/>
          <w:szCs w:val="21"/>
          <w:highlight w:val="none"/>
          <w:lang w:eastAsia="zh-CN"/>
        </w:rPr>
        <w:t>ZSJS-2025-016</w:t>
      </w:r>
    </w:p>
    <w:p w14:paraId="02859D65">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采购组织类型：</w:t>
      </w:r>
      <w:r>
        <w:rPr>
          <w:rFonts w:hint="eastAsia" w:ascii="宋体" w:hAnsi="宋体" w:cs="宋体"/>
          <w:color w:val="auto"/>
          <w:szCs w:val="21"/>
          <w:highlight w:val="none"/>
        </w:rPr>
        <w:t>分散采购委托中介</w:t>
      </w:r>
    </w:p>
    <w:p w14:paraId="250CF147">
      <w:pPr>
        <w:snapToGrid w:val="0"/>
        <w:spacing w:line="480" w:lineRule="exact"/>
        <w:ind w:firstLine="422" w:firstLineChars="200"/>
        <w:rPr>
          <w:rFonts w:ascii="宋体" w:hAnsi="宋体" w:cs="宋体"/>
          <w:color w:val="auto"/>
          <w:szCs w:val="21"/>
        </w:rPr>
      </w:pPr>
      <w:r>
        <w:rPr>
          <w:rFonts w:hint="eastAsia" w:ascii="宋体" w:hAnsi="宋体" w:cs="宋体"/>
          <w:b/>
          <w:color w:val="auto"/>
          <w:szCs w:val="21"/>
        </w:rPr>
        <w:t>三、采购方式：</w:t>
      </w:r>
      <w:r>
        <w:rPr>
          <w:rFonts w:hint="eastAsia" w:ascii="宋体" w:hAnsi="宋体" w:cs="宋体"/>
          <w:color w:val="auto"/>
          <w:szCs w:val="21"/>
        </w:rPr>
        <w:t>竞争性磋商</w:t>
      </w:r>
    </w:p>
    <w:p w14:paraId="004BECE8">
      <w:pPr>
        <w:snapToGrid w:val="0"/>
        <w:spacing w:line="480" w:lineRule="exact"/>
        <w:ind w:firstLine="422" w:firstLineChars="200"/>
        <w:rPr>
          <w:rFonts w:ascii="宋体" w:hAnsi="宋体" w:cs="宋体"/>
          <w:b/>
          <w:bCs/>
          <w:color w:val="auto"/>
          <w:szCs w:val="21"/>
          <w:highlight w:val="yellow"/>
        </w:rPr>
      </w:pPr>
      <w:r>
        <w:rPr>
          <w:rFonts w:hint="eastAsia" w:ascii="宋体" w:hAnsi="宋体" w:cs="宋体"/>
          <w:b/>
          <w:color w:val="auto"/>
          <w:szCs w:val="21"/>
        </w:rPr>
        <w:t>四、</w:t>
      </w:r>
      <w:r>
        <w:rPr>
          <w:rFonts w:hint="eastAsia" w:ascii="宋体" w:hAnsi="宋体" w:cs="宋体"/>
          <w:b/>
          <w:bCs/>
          <w:color w:val="auto"/>
          <w:szCs w:val="21"/>
        </w:rPr>
        <w:t>采购内容及预算</w:t>
      </w:r>
      <w:r>
        <w:rPr>
          <w:rFonts w:hint="eastAsia" w:ascii="宋体" w:hAnsi="宋体" w:cs="宋体"/>
          <w:b/>
          <w:color w:val="auto"/>
          <w:szCs w:val="21"/>
        </w:rPr>
        <w:t>：</w:t>
      </w:r>
      <w:r>
        <w:rPr>
          <w:rFonts w:hint="eastAsia" w:ascii="宋体" w:hAnsi="宋体"/>
          <w:b/>
          <w:bCs/>
          <w:color w:val="auto"/>
          <w:sz w:val="21"/>
          <w:szCs w:val="21"/>
          <w:highlight w:val="none"/>
          <w:u w:val="none"/>
          <w:lang w:val="zh-CN"/>
        </w:rPr>
        <w:t>嵊泗县洋山镇综合管理服务采购项目</w:t>
      </w:r>
      <w:r>
        <w:rPr>
          <w:rFonts w:hint="eastAsia" w:ascii="宋体" w:hAnsi="宋体" w:cs="宋体"/>
          <w:color w:val="auto"/>
          <w:szCs w:val="21"/>
          <w:highlight w:val="none"/>
        </w:rPr>
        <w:t>。</w:t>
      </w:r>
      <w:r>
        <w:rPr>
          <w:rFonts w:hint="eastAsia" w:ascii="宋体" w:hAnsi="宋体" w:cs="宋体"/>
          <w:b w:val="0"/>
          <w:bCs w:val="0"/>
          <w:color w:val="auto"/>
          <w:szCs w:val="21"/>
          <w:highlight w:val="none"/>
        </w:rPr>
        <w:t>预算金额：人民币</w:t>
      </w:r>
      <w:r>
        <w:rPr>
          <w:rFonts w:hint="eastAsia" w:ascii="宋体" w:hAnsi="宋体" w:cs="宋体"/>
          <w:b w:val="0"/>
          <w:bCs w:val="0"/>
          <w:color w:val="auto"/>
          <w:szCs w:val="21"/>
          <w:highlight w:val="none"/>
          <w:lang w:val="en-US" w:eastAsia="zh-CN"/>
        </w:rPr>
        <w:t>73.3万元整</w:t>
      </w:r>
      <w:r>
        <w:rPr>
          <w:rFonts w:hint="eastAsia" w:ascii="宋体" w:hAnsi="宋体" w:cs="宋体"/>
          <w:b/>
          <w:bCs/>
          <w:color w:val="auto"/>
          <w:szCs w:val="21"/>
          <w:highlight w:val="none"/>
          <w:lang w:val="en-US" w:eastAsia="zh-CN"/>
        </w:rPr>
        <w:t>（大写：柒拾叁万叁仟元整）</w:t>
      </w:r>
    </w:p>
    <w:p w14:paraId="7C62B2B4">
      <w:pPr>
        <w:snapToGrid w:val="0"/>
        <w:spacing w:line="480" w:lineRule="exact"/>
        <w:ind w:firstLine="422" w:firstLineChars="200"/>
        <w:rPr>
          <w:rFonts w:ascii="宋体" w:hAnsi="宋体" w:cs="宋体"/>
          <w:b/>
          <w:bCs/>
          <w:color w:val="auto"/>
          <w:szCs w:val="21"/>
        </w:rPr>
      </w:pPr>
      <w:r>
        <w:rPr>
          <w:rFonts w:hint="eastAsia" w:ascii="宋体" w:hAnsi="宋体" w:cs="宋体"/>
          <w:b/>
          <w:color w:val="auto"/>
          <w:szCs w:val="21"/>
        </w:rPr>
        <w:t>五、合格投标人的资格要求：</w:t>
      </w:r>
    </w:p>
    <w:p w14:paraId="0B99F840">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符合《中华人民共和国政府采购法》第二十二条的规定。</w:t>
      </w:r>
    </w:p>
    <w:p w14:paraId="3A8F82AD">
      <w:pPr>
        <w:spacing w:line="48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未被“信用中国”（www.creditchina.gov.cn）、中国政府采购网（www.ccgp.gov.cn）列入失信被执行人、重大税收违法案件当事人名单、政府采购严重违法失信行为记录名单。</w:t>
      </w:r>
    </w:p>
    <w:p w14:paraId="5AF599C8">
      <w:pPr>
        <w:pStyle w:val="13"/>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本项目谢绝联合体投标。</w:t>
      </w:r>
    </w:p>
    <w:p w14:paraId="3227874B">
      <w:pPr>
        <w:spacing w:line="480" w:lineRule="exact"/>
        <w:ind w:firstLine="411" w:firstLineChars="196"/>
        <w:rPr>
          <w:rFonts w:ascii="宋体" w:hAnsi="宋体" w:cs="宋体"/>
          <w:color w:val="auto"/>
          <w:szCs w:val="21"/>
        </w:rPr>
      </w:pPr>
      <w:r>
        <w:rPr>
          <w:rFonts w:hint="eastAsia" w:ascii="宋体" w:hAnsi="宋体" w:cs="宋体"/>
          <w:color w:val="auto"/>
          <w:szCs w:val="21"/>
        </w:rPr>
        <w:t>注：本采购项目，中标单位与采购单位签订的政府采购合同适用于舟山市政府采购贷款政策，简称“政采贷”。</w:t>
      </w:r>
    </w:p>
    <w:p w14:paraId="49135770">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六、采购文件的获取：</w:t>
      </w:r>
    </w:p>
    <w:p w14:paraId="15FBEC71">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本项目采购文件实行“政府采购云平台”在线获取，不提供采购文件纸质版。供应商获取采购文件前应先完成“政府采购云平台”的账号注册；</w:t>
      </w:r>
    </w:p>
    <w:p w14:paraId="5E3513B2">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地点：政采云平台（https://www.zcygov.cn/）；</w:t>
      </w:r>
    </w:p>
    <w:p w14:paraId="1F722E01">
      <w:pPr>
        <w:spacing w:line="48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13DA52A">
      <w:pPr>
        <w:spacing w:line="48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5AC82F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rPr>
        <w:t>注：请供应商按上述要求获取采购文件，如未在“政采云”系统内完成相关流程，引起的投标无效责任自负。</w:t>
      </w:r>
    </w:p>
    <w:p w14:paraId="6E81B437">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w:t>
      </w:r>
      <w:r>
        <w:rPr>
          <w:rFonts w:hint="eastAsia" w:ascii="宋体" w:hAnsi="宋体" w:cs="宋体"/>
          <w:b/>
          <w:bCs/>
          <w:color w:val="auto"/>
          <w:szCs w:val="21"/>
          <w:highlight w:val="none"/>
          <w:lang w:val="en-US" w:eastAsia="zh-CN"/>
        </w:rPr>
        <w:t>报名</w:t>
      </w:r>
      <w:r>
        <w:rPr>
          <w:rFonts w:hint="eastAsia" w:ascii="宋体" w:hAnsi="宋体" w:cs="宋体"/>
          <w:b/>
          <w:bCs/>
          <w:color w:val="auto"/>
          <w:szCs w:val="21"/>
          <w:highlight w:val="none"/>
        </w:rPr>
        <w:t>截止时间：</w:t>
      </w:r>
      <w:r>
        <w:rPr>
          <w:rFonts w:hint="eastAsia" w:ascii="宋体" w:hAnsi="宋体" w:cs="宋体"/>
          <w:b w:val="0"/>
          <w:bCs w:val="0"/>
          <w:color w:val="auto"/>
          <w:szCs w:val="21"/>
          <w:highlight w:val="yellow"/>
          <w:lang w:eastAsia="zh-CN"/>
        </w:rPr>
        <w:t>2025年6月3日上午09时00分</w:t>
      </w:r>
    </w:p>
    <w:p w14:paraId="3D3321BB">
      <w:pPr>
        <w:spacing w:line="48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八、投标地点：</w:t>
      </w:r>
      <w:r>
        <w:rPr>
          <w:rFonts w:hint="eastAsia" w:ascii="宋体" w:hAnsi="宋体" w:cs="宋体"/>
          <w:b w:val="0"/>
          <w:bCs w:val="0"/>
          <w:color w:val="auto"/>
          <w:szCs w:val="21"/>
          <w:highlight w:val="none"/>
        </w:rPr>
        <w:t>政采云平台线上投标。</w:t>
      </w:r>
    </w:p>
    <w:p w14:paraId="00757193">
      <w:pPr>
        <w:spacing w:line="480" w:lineRule="exact"/>
        <w:ind w:firstLine="422" w:firstLineChars="200"/>
        <w:rPr>
          <w:rFonts w:ascii="宋体" w:hAnsi="宋体" w:cs="宋体"/>
          <w:b/>
          <w:bCs/>
          <w:color w:val="auto"/>
          <w:szCs w:val="21"/>
          <w:highlight w:val="yellow"/>
        </w:rPr>
      </w:pPr>
      <w:r>
        <w:rPr>
          <w:rFonts w:hint="eastAsia" w:ascii="宋体" w:hAnsi="宋体" w:eastAsia="宋体" w:cs="宋体"/>
          <w:b/>
          <w:bCs/>
          <w:color w:val="auto"/>
          <w:szCs w:val="21"/>
          <w:highlight w:val="none"/>
        </w:rPr>
        <w:t>九、</w:t>
      </w:r>
      <w:r>
        <w:rPr>
          <w:rFonts w:hint="eastAsia" w:ascii="宋体" w:hAnsi="宋体" w:cs="宋体"/>
          <w:b/>
          <w:bCs/>
          <w:color w:val="auto"/>
          <w:szCs w:val="21"/>
          <w:highlight w:val="none"/>
        </w:rPr>
        <w:t>开标时间：</w:t>
      </w:r>
      <w:r>
        <w:rPr>
          <w:rFonts w:hint="eastAsia" w:ascii="宋体" w:hAnsi="宋体" w:cs="宋体"/>
          <w:b w:val="0"/>
          <w:bCs w:val="0"/>
          <w:color w:val="auto"/>
          <w:szCs w:val="21"/>
          <w:highlight w:val="yellow"/>
          <w:lang w:eastAsia="zh-CN"/>
        </w:rPr>
        <w:t>2025年6月3日上午09时00分</w:t>
      </w:r>
    </w:p>
    <w:p w14:paraId="4E044267">
      <w:pPr>
        <w:spacing w:line="480" w:lineRule="exact"/>
        <w:ind w:firstLine="422" w:firstLineChars="200"/>
        <w:rPr>
          <w:rFonts w:ascii="宋体" w:hAnsi="宋体" w:cs="宋体"/>
          <w:color w:val="auto"/>
          <w:szCs w:val="21"/>
          <w:highlight w:val="none"/>
        </w:rPr>
      </w:pPr>
      <w:r>
        <w:rPr>
          <w:rFonts w:hint="eastAsia" w:ascii="宋体" w:hAnsi="宋体" w:eastAsia="宋体" w:cs="宋体"/>
          <w:b/>
          <w:bCs/>
          <w:color w:val="auto"/>
          <w:szCs w:val="21"/>
          <w:highlight w:val="none"/>
        </w:rPr>
        <w:t>十、</w:t>
      </w:r>
      <w:r>
        <w:rPr>
          <w:rFonts w:hint="eastAsia" w:ascii="宋体" w:hAnsi="宋体" w:cs="宋体"/>
          <w:b/>
          <w:bCs/>
          <w:color w:val="auto"/>
          <w:szCs w:val="21"/>
          <w:highlight w:val="none"/>
        </w:rPr>
        <w:t>开标地点：</w:t>
      </w:r>
      <w:r>
        <w:rPr>
          <w:rFonts w:hint="eastAsia" w:ascii="宋体" w:hAnsi="宋体" w:cs="宋体"/>
          <w:b w:val="0"/>
          <w:bCs w:val="0"/>
          <w:color w:val="auto"/>
          <w:szCs w:val="21"/>
          <w:highlight w:val="none"/>
        </w:rPr>
        <w:t>政采云平台线上开标。</w:t>
      </w:r>
    </w:p>
    <w:p w14:paraId="62548179">
      <w:pPr>
        <w:spacing w:line="480" w:lineRule="exact"/>
        <w:ind w:firstLine="422" w:firstLineChars="200"/>
        <w:rPr>
          <w:rFonts w:ascii="宋体" w:hAnsi="宋体" w:cs="宋体"/>
          <w:color w:val="auto"/>
          <w:szCs w:val="21"/>
          <w:highlight w:val="none"/>
        </w:rPr>
      </w:pPr>
      <w:r>
        <w:rPr>
          <w:rFonts w:hint="eastAsia" w:ascii="宋体" w:hAnsi="宋体" w:eastAsia="宋体" w:cs="宋体"/>
          <w:b/>
          <w:bCs/>
          <w:color w:val="auto"/>
          <w:szCs w:val="21"/>
          <w:highlight w:val="none"/>
        </w:rPr>
        <w:t>十一、</w:t>
      </w:r>
      <w:r>
        <w:rPr>
          <w:rFonts w:hint="eastAsia" w:ascii="宋体" w:hAnsi="宋体" w:cs="宋体"/>
          <w:b/>
          <w:bCs/>
          <w:color w:val="auto"/>
          <w:szCs w:val="21"/>
          <w:highlight w:val="none"/>
        </w:rPr>
        <w:t>投标保证金：</w:t>
      </w:r>
      <w:r>
        <w:rPr>
          <w:rFonts w:hint="eastAsia" w:ascii="宋体" w:hAnsi="宋体" w:cs="宋体"/>
          <w:color w:val="auto"/>
          <w:szCs w:val="21"/>
          <w:highlight w:val="none"/>
        </w:rPr>
        <w:t>无</w:t>
      </w:r>
    </w:p>
    <w:p w14:paraId="2FF66F60">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十二、在线投标响应（电子投标）说明</w:t>
      </w:r>
    </w:p>
    <w:p w14:paraId="0281E9A8">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3F6D47A4">
      <w:pPr>
        <w:spacing w:line="480" w:lineRule="exact"/>
        <w:ind w:firstLine="420" w:firstLineChars="200"/>
        <w:rPr>
          <w:rFonts w:ascii="宋体" w:hAnsi="宋体" w:cs="宋体"/>
          <w:color w:val="auto"/>
          <w:szCs w:val="21"/>
        </w:rPr>
      </w:pPr>
      <w:r>
        <w:rPr>
          <w:rFonts w:hint="eastAsia" w:ascii="宋体" w:hAnsi="宋体" w:cs="宋体"/>
          <w:color w:val="auto"/>
          <w:szCs w:val="21"/>
        </w:rPr>
        <w:t>“政采云电子交易客户端”请自行前往“浙江政府采购网-下载专区-电子交易客户端”进行下载。</w:t>
      </w:r>
    </w:p>
    <w:p w14:paraId="488FDB0F">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供应商须申领CA，并在政采云平台完成绑定方可进行投标文件的编制，CA相关操作可参考“浙江政府采购网-下载专区-电子交易客户端-CA驱动和申领流程”。</w:t>
      </w:r>
    </w:p>
    <w:p w14:paraId="07E13C1F">
      <w:pPr>
        <w:spacing w:line="480" w:lineRule="exact"/>
        <w:ind w:firstLine="420" w:firstLineChars="200"/>
        <w:rPr>
          <w:rFonts w:ascii="宋体" w:hAnsi="宋体" w:cs="宋体"/>
          <w:color w:val="auto"/>
          <w:szCs w:val="21"/>
        </w:rPr>
      </w:pPr>
      <w:r>
        <w:rPr>
          <w:rFonts w:hint="eastAsia" w:ascii="宋体" w:hAnsi="宋体" w:cs="宋体"/>
          <w:color w:val="auto"/>
          <w:szCs w:val="21"/>
        </w:rPr>
        <w:t>注：供应商在进行上述操作时，如遇技术问题可致电400-881-7190进行咨询或查阅《供应商项目采购-电子招投标操作指南》。操作指南在政府采购电子卖场-服务中心-帮助文档-供应商登录后，查看最新版指南。</w:t>
      </w:r>
    </w:p>
    <w:p w14:paraId="1D4D2B29">
      <w:pPr>
        <w:spacing w:line="48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投标供应商应当在投标截止时间前，将生成的“电子加密投标文件”上传递交至“政府采购云平台”。</w:t>
      </w:r>
      <w:r>
        <w:rPr>
          <w:rFonts w:hint="eastAsia" w:ascii="宋体" w:hAnsi="宋体" w:cs="宋体"/>
          <w:b/>
          <w:bCs/>
          <w:color w:val="auto"/>
          <w:szCs w:val="21"/>
        </w:rPr>
        <w:t>投标截止时间以后上传递交的投标文件将被“政府采购云平台”拒收。</w:t>
      </w:r>
    </w:p>
    <w:p w14:paraId="449B0815">
      <w:pPr>
        <w:spacing w:line="48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1193428D">
      <w:pPr>
        <w:spacing w:line="480" w:lineRule="exact"/>
        <w:ind w:firstLine="422" w:firstLineChars="200"/>
        <w:rPr>
          <w:rFonts w:ascii="宋体" w:hAnsi="宋体" w:cs="宋体"/>
          <w:color w:val="auto"/>
          <w:szCs w:val="21"/>
        </w:rPr>
      </w:pPr>
      <w:r>
        <w:rPr>
          <w:rFonts w:hint="eastAsia" w:ascii="宋体" w:hAnsi="宋体" w:cs="宋体"/>
          <w:b/>
          <w:bCs/>
          <w:color w:val="auto"/>
          <w:szCs w:val="21"/>
        </w:rPr>
        <w:t>5</w:t>
      </w:r>
      <w:r>
        <w:rPr>
          <w:rFonts w:hint="eastAsia" w:ascii="宋体" w:hAnsi="宋体" w:cs="宋体"/>
          <w:b/>
          <w:bCs/>
          <w:color w:val="auto"/>
          <w:szCs w:val="21"/>
          <w:lang w:val="en-US" w:eastAsia="zh-CN"/>
        </w:rPr>
        <w:t>.</w:t>
      </w:r>
      <w:r>
        <w:rPr>
          <w:rFonts w:hint="eastAsia" w:ascii="宋体" w:hAnsi="宋体" w:cs="宋体"/>
          <w:b/>
          <w:bCs/>
          <w:color w:val="auto"/>
          <w:szCs w:val="21"/>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0885B80">
      <w:pPr>
        <w:snapToGrid w:val="0"/>
        <w:spacing w:line="480" w:lineRule="exact"/>
        <w:ind w:firstLine="422" w:firstLineChars="200"/>
        <w:rPr>
          <w:rFonts w:ascii="宋体" w:hAnsi="宋体" w:cs="宋体"/>
          <w:b/>
          <w:color w:val="auto"/>
          <w:szCs w:val="21"/>
        </w:rPr>
      </w:pPr>
      <w:r>
        <w:rPr>
          <w:rFonts w:hint="eastAsia" w:ascii="宋体" w:hAnsi="宋体" w:cs="宋体"/>
          <w:b/>
          <w:color w:val="auto"/>
          <w:szCs w:val="21"/>
        </w:rPr>
        <w:t>十三、其他事项：</w:t>
      </w:r>
    </w:p>
    <w:p w14:paraId="390EDEC2">
      <w:pPr>
        <w:spacing w:line="4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本项目公告期限：</w:t>
      </w:r>
      <w:r>
        <w:rPr>
          <w:rFonts w:hint="eastAsia" w:ascii="宋体" w:hAnsi="宋体" w:cs="宋体"/>
          <w:color w:val="auto"/>
          <w:szCs w:val="21"/>
          <w:lang w:val="en-US" w:eastAsia="zh-CN"/>
        </w:rPr>
        <w:t>5</w:t>
      </w:r>
      <w:r>
        <w:rPr>
          <w:rFonts w:hint="eastAsia" w:ascii="宋体" w:hAnsi="宋体" w:cs="宋体"/>
          <w:color w:val="auto"/>
          <w:szCs w:val="21"/>
        </w:rPr>
        <w:t>个工作日（公告期截止后，允许投标单位参加本项目投标活动）</w:t>
      </w:r>
    </w:p>
    <w:p w14:paraId="7CF0171A">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认为采购文件使自己的权益受到损害的，可以自获取采购文件之日（公告期截止日之后收到采购文件的，以公告期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0DB5F89">
      <w:pPr>
        <w:snapToGrid w:val="0"/>
        <w:spacing w:line="360" w:lineRule="auto"/>
        <w:ind w:firstLine="422" w:firstLineChars="200"/>
        <w:rPr>
          <w:rFonts w:hint="eastAsia" w:ascii="宋体" w:hAnsi="宋体" w:cs="宋体"/>
          <w:b/>
          <w:color w:val="auto"/>
          <w:szCs w:val="21"/>
        </w:rPr>
      </w:pPr>
    </w:p>
    <w:p w14:paraId="0EC9F97C">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十四、业务咨询：</w:t>
      </w:r>
    </w:p>
    <w:p w14:paraId="231E5A2A">
      <w:pPr>
        <w:keepNext w:val="0"/>
        <w:keepLines w:val="0"/>
        <w:pageBreakBefore w:val="0"/>
        <w:widowControl w:val="0"/>
        <w:kinsoku/>
        <w:wordWrap/>
        <w:overflowPunct/>
        <w:topLinePunct w:val="0"/>
        <w:autoSpaceDE/>
        <w:autoSpaceDN/>
        <w:bidi w:val="0"/>
        <w:spacing w:line="420" w:lineRule="exact"/>
        <w:ind w:firstLine="472" w:firstLineChars="225"/>
        <w:rPr>
          <w:rFonts w:ascii="宋体" w:hAnsi="宋体"/>
          <w:color w:val="auto"/>
          <w:kern w:val="0"/>
          <w:highlight w:val="none"/>
        </w:rPr>
      </w:pPr>
      <w:bookmarkStart w:id="0" w:name="OLE_LINK34"/>
      <w:r>
        <w:rPr>
          <w:rFonts w:hint="eastAsia" w:ascii="宋体" w:hAnsi="宋体"/>
          <w:color w:val="auto"/>
          <w:kern w:val="0"/>
          <w:highlight w:val="none"/>
        </w:rPr>
        <w:t>采购人名称：</w:t>
      </w:r>
      <w:r>
        <w:rPr>
          <w:rFonts w:hint="eastAsia" w:ascii="宋体" w:hAnsi="宋体"/>
          <w:color w:val="auto"/>
          <w:kern w:val="0"/>
          <w:highlight w:val="none"/>
          <w:lang w:val="en-US" w:eastAsia="zh-CN"/>
        </w:rPr>
        <w:t>嵊泗县洋山镇人民政府</w:t>
      </w:r>
    </w:p>
    <w:p w14:paraId="4EAC215D">
      <w:pPr>
        <w:keepNext w:val="0"/>
        <w:keepLines w:val="0"/>
        <w:pageBreakBefore w:val="0"/>
        <w:widowControl w:val="0"/>
        <w:kinsoku/>
        <w:wordWrap/>
        <w:overflowPunct/>
        <w:topLinePunct w:val="0"/>
        <w:autoSpaceDE/>
        <w:autoSpaceDN/>
        <w:bidi w:val="0"/>
        <w:spacing w:line="420" w:lineRule="exact"/>
        <w:ind w:firstLine="472" w:firstLineChars="225"/>
        <w:rPr>
          <w:rFonts w:hint="eastAsia" w:ascii="宋体" w:hAnsi="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联系人：龚豪彦               联系电话：</w:t>
      </w:r>
      <w:r>
        <w:rPr>
          <w:rFonts w:hint="eastAsia" w:ascii="宋体" w:hAnsi="宋体" w:cs="Times New Roman"/>
          <w:color w:val="auto"/>
          <w:kern w:val="0"/>
          <w:highlight w:val="none"/>
          <w:lang w:val="en-US" w:eastAsia="zh-CN"/>
        </w:rPr>
        <w:t>18268724925</w:t>
      </w:r>
    </w:p>
    <w:p w14:paraId="1182C201">
      <w:pPr>
        <w:keepNext w:val="0"/>
        <w:keepLines w:val="0"/>
        <w:pageBreakBefore w:val="0"/>
        <w:widowControl w:val="0"/>
        <w:kinsoku/>
        <w:wordWrap/>
        <w:overflowPunct/>
        <w:topLinePunct w:val="0"/>
        <w:autoSpaceDE/>
        <w:autoSpaceDN/>
        <w:bidi w:val="0"/>
        <w:spacing w:line="420" w:lineRule="exact"/>
        <w:ind w:firstLine="472" w:firstLineChars="225"/>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质疑联系人：</w:t>
      </w:r>
      <w:r>
        <w:rPr>
          <w:rFonts w:hint="eastAsia" w:ascii="宋体" w:hAnsi="宋体" w:cs="Times New Roman"/>
          <w:color w:val="auto"/>
          <w:kern w:val="0"/>
          <w:highlight w:val="none"/>
          <w:lang w:val="en-US" w:eastAsia="zh-CN"/>
        </w:rPr>
        <w:t>张航</w:t>
      </w:r>
      <w:r>
        <w:rPr>
          <w:rFonts w:hint="eastAsia" w:ascii="宋体" w:hAnsi="宋体" w:eastAsia="宋体" w:cs="Times New Roman"/>
          <w:color w:val="auto"/>
          <w:kern w:val="0"/>
          <w:highlight w:val="none"/>
          <w:lang w:val="en-US" w:eastAsia="zh-CN"/>
        </w:rPr>
        <w:t xml:space="preserve">             质疑联系方式：</w:t>
      </w:r>
      <w:r>
        <w:rPr>
          <w:rFonts w:hint="eastAsia" w:ascii="宋体" w:hAnsi="宋体" w:cs="Times New Roman"/>
          <w:color w:val="auto"/>
          <w:kern w:val="0"/>
          <w:highlight w:val="none"/>
          <w:lang w:val="en-US" w:eastAsia="zh-CN"/>
        </w:rPr>
        <w:t>13758023128</w:t>
      </w:r>
    </w:p>
    <w:p w14:paraId="7EE1B75C">
      <w:pPr>
        <w:keepNext w:val="0"/>
        <w:keepLines w:val="0"/>
        <w:pageBreakBefore w:val="0"/>
        <w:widowControl w:val="0"/>
        <w:kinsoku/>
        <w:wordWrap/>
        <w:overflowPunct/>
        <w:topLinePunct w:val="0"/>
        <w:autoSpaceDE/>
        <w:autoSpaceDN/>
        <w:bidi w:val="0"/>
        <w:spacing w:line="420" w:lineRule="exact"/>
        <w:ind w:firstLine="472" w:firstLineChars="225"/>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地址：嵊泗县</w:t>
      </w:r>
      <w:r>
        <w:rPr>
          <w:rFonts w:hint="eastAsia" w:ascii="宋体" w:hAnsi="宋体" w:cs="Times New Roman"/>
          <w:color w:val="auto"/>
          <w:kern w:val="0"/>
          <w:highlight w:val="none"/>
          <w:lang w:val="en-US" w:eastAsia="zh-CN"/>
        </w:rPr>
        <w:t>洋山镇圣大</w:t>
      </w:r>
      <w:r>
        <w:rPr>
          <w:rFonts w:hint="eastAsia" w:ascii="宋体" w:hAnsi="宋体" w:eastAsia="宋体" w:cs="Times New Roman"/>
          <w:color w:val="auto"/>
          <w:kern w:val="0"/>
          <w:highlight w:val="none"/>
          <w:lang w:val="en-US" w:eastAsia="zh-CN"/>
        </w:rPr>
        <w:t>路1</w:t>
      </w:r>
      <w:r>
        <w:rPr>
          <w:rFonts w:hint="eastAsia" w:ascii="宋体" w:hAnsi="宋体" w:cs="Times New Roman"/>
          <w:color w:val="auto"/>
          <w:kern w:val="0"/>
          <w:highlight w:val="none"/>
          <w:lang w:val="en-US" w:eastAsia="zh-CN"/>
        </w:rPr>
        <w:t>32</w:t>
      </w:r>
      <w:r>
        <w:rPr>
          <w:rFonts w:hint="eastAsia" w:ascii="宋体" w:hAnsi="宋体" w:eastAsia="宋体" w:cs="Times New Roman"/>
          <w:color w:val="auto"/>
          <w:kern w:val="0"/>
          <w:highlight w:val="none"/>
          <w:lang w:val="en-US" w:eastAsia="zh-CN"/>
        </w:rPr>
        <w:t>号</w:t>
      </w:r>
    </w:p>
    <w:p w14:paraId="39331113">
      <w:pPr>
        <w:spacing w:line="360" w:lineRule="auto"/>
        <w:ind w:firstLine="472" w:firstLineChars="225"/>
        <w:rPr>
          <w:rFonts w:ascii="宋体" w:hAnsi="宋体"/>
          <w:color w:val="auto"/>
          <w:kern w:val="0"/>
        </w:rPr>
      </w:pPr>
    </w:p>
    <w:bookmarkEnd w:id="0"/>
    <w:p w14:paraId="425F07DA">
      <w:pPr>
        <w:pStyle w:val="34"/>
        <w:spacing w:line="360" w:lineRule="auto"/>
        <w:rPr>
          <w:rFonts w:ascii="宋体" w:hAnsi="宋体"/>
          <w:color w:val="auto"/>
          <w:sz w:val="21"/>
          <w:szCs w:val="21"/>
        </w:rPr>
      </w:pPr>
      <w:r>
        <w:rPr>
          <w:rFonts w:hint="eastAsia" w:ascii="宋体" w:hAnsi="宋体"/>
          <w:color w:val="auto"/>
          <w:sz w:val="21"/>
          <w:szCs w:val="21"/>
        </w:rPr>
        <w:t>代理单位：舟山市嘉嵊咨询管理有限公司</w:t>
      </w:r>
    </w:p>
    <w:p w14:paraId="55D29291">
      <w:pPr>
        <w:spacing w:line="360" w:lineRule="auto"/>
        <w:ind w:firstLine="420" w:firstLineChars="200"/>
        <w:rPr>
          <w:rFonts w:ascii="宋体" w:hAnsi="宋体"/>
          <w:color w:val="auto"/>
          <w:szCs w:val="21"/>
        </w:rPr>
      </w:pPr>
      <w:r>
        <w:rPr>
          <w:rFonts w:hint="eastAsia" w:ascii="宋体" w:hAnsi="宋体"/>
          <w:color w:val="auto"/>
          <w:szCs w:val="21"/>
        </w:rPr>
        <w:t>联系人：黄健               联系电话：  0580-5085222</w:t>
      </w:r>
    </w:p>
    <w:p w14:paraId="74FBCB01">
      <w:pPr>
        <w:spacing w:line="360" w:lineRule="auto"/>
        <w:ind w:firstLine="420" w:firstLineChars="200"/>
        <w:rPr>
          <w:rFonts w:ascii="宋体" w:hAnsi="宋体"/>
          <w:color w:val="auto"/>
          <w:szCs w:val="21"/>
        </w:rPr>
      </w:pPr>
      <w:r>
        <w:rPr>
          <w:rFonts w:hint="eastAsia" w:ascii="宋体" w:hAnsi="宋体"/>
          <w:color w:val="auto"/>
          <w:szCs w:val="21"/>
        </w:rPr>
        <w:t xml:space="preserve">质疑联系人： </w:t>
      </w:r>
      <w:r>
        <w:rPr>
          <w:rFonts w:hint="eastAsia" w:ascii="宋体" w:hAnsi="宋体"/>
          <w:color w:val="auto"/>
          <w:szCs w:val="21"/>
          <w:lang w:val="en-US" w:eastAsia="zh-CN"/>
        </w:rPr>
        <w:t>向女士</w:t>
      </w:r>
      <w:r>
        <w:rPr>
          <w:rFonts w:hint="eastAsia" w:ascii="宋体" w:hAnsi="宋体"/>
          <w:color w:val="auto"/>
          <w:szCs w:val="21"/>
        </w:rPr>
        <w:t xml:space="preserve">       联系电话：  0580-5085222</w:t>
      </w:r>
    </w:p>
    <w:p w14:paraId="53E13A8A">
      <w:pPr>
        <w:pStyle w:val="48"/>
        <w:spacing w:line="360" w:lineRule="auto"/>
        <w:ind w:firstLine="420" w:firstLineChars="200"/>
        <w:rPr>
          <w:rFonts w:hint="default" w:eastAsia="宋体"/>
          <w:color w:val="auto"/>
          <w:lang w:val="en-US" w:eastAsia="zh-CN"/>
        </w:rPr>
      </w:pPr>
      <w:r>
        <w:rPr>
          <w:rFonts w:hint="eastAsia" w:ascii="宋体" w:hAnsi="宋体"/>
          <w:color w:val="auto"/>
        </w:rPr>
        <w:t>地址：浙江省舟山市嵊泗菜园镇沙河路263号4楼</w:t>
      </w:r>
      <w:r>
        <w:rPr>
          <w:rFonts w:hint="eastAsia" w:ascii="宋体" w:hAnsi="宋体"/>
          <w:color w:val="auto"/>
          <w:lang w:val="en-US" w:eastAsia="zh-CN"/>
        </w:rPr>
        <w:t xml:space="preserve">  </w:t>
      </w:r>
    </w:p>
    <w:p w14:paraId="1CB0A9A2">
      <w:pPr>
        <w:spacing w:line="360" w:lineRule="auto"/>
        <w:ind w:firstLine="420" w:firstLineChars="200"/>
        <w:rPr>
          <w:rFonts w:ascii="宋体" w:hAnsi="宋体"/>
          <w:color w:val="auto"/>
          <w:szCs w:val="21"/>
        </w:rPr>
      </w:pPr>
    </w:p>
    <w:p w14:paraId="6E529711">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同级政府采购监督管理部门名称：嵊泗县财政局政府采购监管科 </w:t>
      </w:r>
    </w:p>
    <w:p w14:paraId="725D437B">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联系人：张伟</w:t>
      </w:r>
    </w:p>
    <w:p w14:paraId="4A0B540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监督投诉电话：0580-5087363 </w:t>
      </w:r>
    </w:p>
    <w:p w14:paraId="4FB17358">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传真：0580-5084056</w:t>
      </w:r>
    </w:p>
    <w:p w14:paraId="6D9A2EC5">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地址：嵊泗县菜园镇海滨中路136号</w:t>
      </w:r>
    </w:p>
    <w:p w14:paraId="59E8763C">
      <w:pPr>
        <w:pStyle w:val="48"/>
        <w:spacing w:line="360" w:lineRule="auto"/>
        <w:rPr>
          <w:rFonts w:ascii="宋体" w:hAnsi="宋体"/>
          <w:color w:val="auto"/>
          <w:szCs w:val="21"/>
          <w:highlight w:val="none"/>
        </w:rPr>
      </w:pPr>
    </w:p>
    <w:p w14:paraId="7B798268">
      <w:pPr>
        <w:pStyle w:val="48"/>
        <w:spacing w:line="360" w:lineRule="auto"/>
        <w:rPr>
          <w:rFonts w:ascii="宋体" w:hAnsi="宋体"/>
          <w:color w:val="auto"/>
          <w:szCs w:val="21"/>
        </w:rPr>
      </w:pPr>
    </w:p>
    <w:p w14:paraId="4C3537C0">
      <w:pPr>
        <w:spacing w:line="400" w:lineRule="exact"/>
        <w:jc w:val="both"/>
        <w:rPr>
          <w:rFonts w:hint="eastAsia" w:ascii="宋体" w:hAnsi="宋体" w:cs="宋体"/>
          <w:b/>
          <w:color w:val="auto"/>
          <w:sz w:val="32"/>
          <w:szCs w:val="32"/>
        </w:rPr>
        <w:sectPr>
          <w:headerReference r:id="rId5" w:type="default"/>
          <w:footerReference r:id="rId6" w:type="default"/>
          <w:pgSz w:w="11906" w:h="16838"/>
          <w:pgMar w:top="1134" w:right="1361" w:bottom="1134" w:left="1361" w:header="851" w:footer="992" w:gutter="0"/>
          <w:cols w:space="720" w:num="1"/>
          <w:docGrid w:type="lines" w:linePitch="312" w:charSpace="0"/>
        </w:sectPr>
      </w:pPr>
    </w:p>
    <w:p w14:paraId="13410A6B">
      <w:pPr>
        <w:numPr>
          <w:ilvl w:val="0"/>
          <w:numId w:val="0"/>
        </w:numPr>
        <w:autoSpaceDE w:val="0"/>
        <w:autoSpaceDN w:val="0"/>
        <w:adjustRightInd w:val="0"/>
        <w:spacing w:line="360" w:lineRule="auto"/>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第二章 采购需求</w:t>
      </w:r>
    </w:p>
    <w:p w14:paraId="0FBBBD9F">
      <w:pPr>
        <w:numPr>
          <w:ilvl w:val="0"/>
          <w:numId w:val="0"/>
        </w:numPr>
        <w:autoSpaceDE w:val="0"/>
        <w:autoSpaceDN w:val="0"/>
        <w:adjustRightInd w:val="0"/>
        <w:spacing w:line="36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rPr>
        <w:t>一、项目</w:t>
      </w:r>
      <w:r>
        <w:rPr>
          <w:rFonts w:hint="eastAsia" w:ascii="宋体" w:hAnsi="宋体" w:eastAsia="宋体" w:cs="宋体"/>
          <w:b/>
          <w:sz w:val="21"/>
          <w:szCs w:val="21"/>
          <w:lang w:val="en-US" w:eastAsia="zh-CN"/>
        </w:rPr>
        <w:t>名称</w:t>
      </w:r>
    </w:p>
    <w:p w14:paraId="0FA916B8">
      <w:pPr>
        <w:autoSpaceDE w:val="0"/>
        <w:autoSpaceDN w:val="0"/>
        <w:adjustRightInd w:val="0"/>
        <w:spacing w:line="360" w:lineRule="auto"/>
        <w:ind w:firstLine="630" w:firstLineChars="300"/>
        <w:rPr>
          <w:rFonts w:hint="eastAsia" w:ascii="宋体" w:hAnsi="宋体" w:eastAsia="宋体" w:cs="宋体"/>
          <w:sz w:val="21"/>
          <w:szCs w:val="21"/>
          <w:highlight w:val="none"/>
        </w:rPr>
      </w:pPr>
      <w:r>
        <w:rPr>
          <w:rFonts w:hint="eastAsia" w:ascii="宋体" w:hAnsi="宋体" w:cs="宋体"/>
          <w:sz w:val="21"/>
          <w:szCs w:val="21"/>
          <w:lang w:val="zh-CN"/>
        </w:rPr>
        <w:t>嵊泗县洋山镇综合管理服务采购项目</w:t>
      </w:r>
      <w:r>
        <w:rPr>
          <w:rFonts w:hint="eastAsia" w:ascii="宋体" w:hAnsi="宋体" w:eastAsia="宋体" w:cs="宋体"/>
          <w:sz w:val="21"/>
          <w:szCs w:val="21"/>
          <w:highlight w:val="none"/>
        </w:rPr>
        <w:t xml:space="preserve"> </w:t>
      </w:r>
    </w:p>
    <w:p w14:paraId="06ABB569">
      <w:pPr>
        <w:pStyle w:val="55"/>
        <w:keepNext w:val="0"/>
        <w:keepLines w:val="0"/>
        <w:pageBreakBefore w:val="0"/>
        <w:widowControl w:val="0"/>
        <w:numPr>
          <w:ilvl w:val="0"/>
          <w:numId w:val="0"/>
        </w:numPr>
        <w:kinsoku/>
        <w:wordWrap/>
        <w:overflowPunct/>
        <w:topLinePunct w:val="0"/>
        <w:autoSpaceDE/>
        <w:autoSpaceDN/>
        <w:bidi w:val="0"/>
        <w:snapToGrid/>
        <w:spacing w:line="360" w:lineRule="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
        </w:rPr>
        <w:t>二、委托管理区域、时间、人数</w:t>
      </w:r>
    </w:p>
    <w:p w14:paraId="2111B348">
      <w:pPr>
        <w:spacing w:line="360" w:lineRule="auto"/>
        <w:ind w:firstLine="597" w:firstLineChars="243"/>
        <w:jc w:val="both"/>
        <w:rPr>
          <w:rFonts w:hint="eastAsia" w:ascii="宋体" w:hAnsi="宋体" w:eastAsia="宋体" w:cs="宋体"/>
          <w:b w:val="0"/>
          <w:bCs w:val="0"/>
          <w:sz w:val="21"/>
          <w:szCs w:val="21"/>
          <w:lang w:eastAsia="zh-CN"/>
        </w:rPr>
      </w:pPr>
      <w:r>
        <w:rPr>
          <w:rFonts w:hint="eastAsia" w:ascii="宋体" w:hAnsi="宋体" w:eastAsia="宋体" w:cs="宋体"/>
          <w:b w:val="0"/>
          <w:bCs w:val="0"/>
          <w:spacing w:val="18"/>
          <w:sz w:val="21"/>
          <w:szCs w:val="21"/>
        </w:rPr>
        <w:t>区域：</w:t>
      </w:r>
      <w:r>
        <w:rPr>
          <w:rFonts w:hint="eastAsia" w:ascii="宋体" w:hAnsi="宋体" w:eastAsia="宋体" w:cs="宋体"/>
          <w:b w:val="0"/>
          <w:bCs w:val="0"/>
          <w:sz w:val="21"/>
          <w:szCs w:val="21"/>
        </w:rPr>
        <w:t>共建路、圣大路及其它镇政府指定的区域</w:t>
      </w:r>
      <w:r>
        <w:rPr>
          <w:rFonts w:hint="eastAsia" w:ascii="宋体" w:hAnsi="宋体" w:cs="宋体"/>
          <w:b w:val="0"/>
          <w:bCs w:val="0"/>
          <w:sz w:val="21"/>
          <w:szCs w:val="21"/>
          <w:lang w:eastAsia="zh-CN"/>
        </w:rPr>
        <w:t>。</w:t>
      </w:r>
    </w:p>
    <w:p w14:paraId="402890A5">
      <w:pPr>
        <w:spacing w:line="360" w:lineRule="auto"/>
        <w:ind w:firstLine="597" w:firstLineChars="243"/>
        <w:jc w:val="both"/>
        <w:rPr>
          <w:rFonts w:hint="eastAsia" w:ascii="宋体" w:hAnsi="宋体" w:eastAsia="宋体" w:cs="宋体"/>
          <w:b w:val="0"/>
          <w:bCs w:val="0"/>
          <w:color w:val="auto"/>
          <w:spacing w:val="18"/>
          <w:sz w:val="21"/>
          <w:szCs w:val="21"/>
        </w:rPr>
      </w:pPr>
      <w:r>
        <w:rPr>
          <w:rFonts w:hint="eastAsia" w:ascii="宋体" w:hAnsi="宋体" w:eastAsia="宋体" w:cs="宋体"/>
          <w:b w:val="0"/>
          <w:bCs w:val="0"/>
          <w:color w:val="auto"/>
          <w:spacing w:val="18"/>
          <w:sz w:val="21"/>
          <w:szCs w:val="21"/>
        </w:rPr>
        <w:t>时间：</w:t>
      </w:r>
      <w:r>
        <w:rPr>
          <w:rFonts w:hint="eastAsia" w:ascii="宋体" w:hAnsi="宋体" w:eastAsia="宋体" w:cs="宋体"/>
          <w:b w:val="0"/>
          <w:bCs w:val="0"/>
          <w:color w:val="auto"/>
          <w:sz w:val="21"/>
          <w:szCs w:val="21"/>
        </w:rPr>
        <w:t>每天6:30—18:30(根据季节变化，时间可</w:t>
      </w:r>
      <w:r>
        <w:rPr>
          <w:rFonts w:hint="eastAsia" w:ascii="宋体" w:hAnsi="宋体"/>
          <w:color w:val="auto"/>
          <w:szCs w:val="21"/>
        </w:rPr>
        <w:t>略有</w:t>
      </w:r>
      <w:r>
        <w:rPr>
          <w:rFonts w:hint="eastAsia" w:ascii="宋体" w:hAnsi="宋体" w:eastAsia="宋体" w:cs="宋体"/>
          <w:b w:val="0"/>
          <w:bCs w:val="0"/>
          <w:color w:val="auto"/>
          <w:sz w:val="21"/>
          <w:szCs w:val="21"/>
        </w:rPr>
        <w:t>调整)。</w:t>
      </w:r>
    </w:p>
    <w:p w14:paraId="2A625D03">
      <w:pPr>
        <w:spacing w:line="360" w:lineRule="auto"/>
        <w:ind w:firstLine="597" w:firstLineChars="243"/>
        <w:jc w:val="both"/>
        <w:rPr>
          <w:rFonts w:hint="eastAsia" w:ascii="宋体" w:hAnsi="宋体" w:eastAsia="宋体" w:cs="宋体"/>
          <w:b w:val="0"/>
          <w:bCs w:val="0"/>
          <w:spacing w:val="18"/>
          <w:sz w:val="21"/>
          <w:szCs w:val="21"/>
          <w:lang w:val="en-US" w:eastAsia="zh-CN"/>
        </w:rPr>
      </w:pPr>
      <w:r>
        <w:rPr>
          <w:rFonts w:hint="eastAsia" w:ascii="宋体" w:hAnsi="宋体" w:eastAsia="宋体" w:cs="宋体"/>
          <w:b w:val="0"/>
          <w:bCs w:val="0"/>
          <w:spacing w:val="18"/>
          <w:sz w:val="21"/>
          <w:szCs w:val="21"/>
        </w:rPr>
        <w:t>人数：做一休一，每天在岗</w:t>
      </w:r>
      <w:r>
        <w:rPr>
          <w:rFonts w:hint="eastAsia" w:ascii="宋体" w:hAnsi="宋体" w:eastAsia="宋体" w:cs="宋体"/>
          <w:b w:val="0"/>
          <w:bCs w:val="0"/>
          <w:spacing w:val="18"/>
          <w:sz w:val="21"/>
          <w:szCs w:val="21"/>
          <w:lang w:val="en-US" w:eastAsia="zh-CN"/>
        </w:rPr>
        <w:t>9</w:t>
      </w:r>
      <w:r>
        <w:rPr>
          <w:rFonts w:hint="eastAsia" w:ascii="宋体" w:hAnsi="宋体" w:eastAsia="宋体" w:cs="宋体"/>
          <w:b w:val="0"/>
          <w:bCs w:val="0"/>
          <w:spacing w:val="18"/>
          <w:sz w:val="21"/>
          <w:szCs w:val="21"/>
        </w:rPr>
        <w:t>人</w:t>
      </w:r>
      <w:r>
        <w:rPr>
          <w:rFonts w:hint="eastAsia" w:ascii="宋体" w:hAnsi="宋体" w:eastAsia="宋体" w:cs="宋体"/>
          <w:b w:val="0"/>
          <w:bCs w:val="0"/>
          <w:spacing w:val="18"/>
          <w:sz w:val="21"/>
          <w:szCs w:val="21"/>
          <w:lang w:eastAsia="zh-CN"/>
        </w:rPr>
        <w:t>，</w:t>
      </w:r>
      <w:r>
        <w:rPr>
          <w:rFonts w:hint="eastAsia" w:ascii="宋体" w:hAnsi="宋体" w:eastAsia="宋体" w:cs="宋体"/>
          <w:b w:val="0"/>
          <w:bCs w:val="0"/>
          <w:spacing w:val="18"/>
          <w:sz w:val="21"/>
          <w:szCs w:val="21"/>
          <w:lang w:val="en-US" w:eastAsia="zh-CN"/>
        </w:rPr>
        <w:t>设负责人1名。</w:t>
      </w:r>
    </w:p>
    <w:p w14:paraId="703EB686">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、委托管理期限</w:t>
      </w:r>
    </w:p>
    <w:p w14:paraId="46869CA1">
      <w:pPr>
        <w:spacing w:line="360" w:lineRule="auto"/>
        <w:ind w:firstLine="510" w:firstLineChars="243"/>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月至202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eastAsia="zh-CN"/>
        </w:rPr>
        <w:t>。</w:t>
      </w:r>
    </w:p>
    <w:p w14:paraId="6D5C1245">
      <w:pPr>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委托管理内容</w:t>
      </w:r>
    </w:p>
    <w:p w14:paraId="756CBB67">
      <w:pPr>
        <w:autoSpaceDE w:val="0"/>
        <w:autoSpaceDN w:val="0"/>
        <w:adjustRightInd w:val="0"/>
        <w:spacing w:line="50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（一）环境卫生责任区（门前三包）整治</w:t>
      </w:r>
    </w:p>
    <w:p w14:paraId="344E96FB">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深入推进共建路、圣大路沿街店铺环境卫生责任区（门前三包）、跨门和占道经营等违规整治行动，通过严查严管、检查考评、“红黑榜”上墙公布等措施，督促经营单位及相关责任主体自觉履行环境卫生责任区责任、义务，推进精细化管理，建立完善常态化长效管理机制。</w:t>
      </w:r>
    </w:p>
    <w:p w14:paraId="3C033D94">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（二）主次干道及背街小巷整治</w:t>
      </w:r>
    </w:p>
    <w:p w14:paraId="654C3F22">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重点围绕城区主干道及道路两侧居民房固定水泥墩、洗衣板、空调外机、水缸等杂乱现象，针对街巷空间杂乱、非法搭建、乱拉乱牵等现象，并落实常态化长效化管理措施，以达到整洁美观的目的。</w:t>
      </w:r>
    </w:p>
    <w:p w14:paraId="3C7E491F">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（三）修售业规范整治</w:t>
      </w:r>
    </w:p>
    <w:p w14:paraId="5D2F3423">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对全镇范围内修售船只用品经营门店和非机动车经营门店辆进行集中整治，规范经营标准，责令限期整改。加大巡查执法力度，依法查处占道堆物、跨门经营、卫生脏乱等突出问题，落实常态化管理措施。</w:t>
      </w:r>
    </w:p>
    <w:p w14:paraId="6FDA55B8">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（四）流动摊、小广告、流浪犬“清零”整治</w:t>
      </w:r>
    </w:p>
    <w:p w14:paraId="48880964">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加强常态化执法巡查，盯住问题出现的主要区域和时段，保持高压态势，对流动摊、小广告、流浪犬严管严查严控，露着就打，零容忍、零存在。</w:t>
      </w:r>
    </w:p>
    <w:p w14:paraId="07AA5A86">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（五）主次街道渔具堆放整治</w:t>
      </w:r>
    </w:p>
    <w:p w14:paraId="392FD6A3">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点整治洋山镇区域渔具乱堆放、渔网乱修补的乱象。确保渔具堆放和渔网修补全部纳入限定场地并实施规范化管理，构建社区属地负责、管理规范、监管闭环、整齐有序的综合治理机制，促进城乡环境品质全面提升。</w:t>
      </w:r>
    </w:p>
    <w:p w14:paraId="7A3AB591">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（六）社区属地环境卫生整治</w:t>
      </w:r>
    </w:p>
    <w:p w14:paraId="43557552">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清理区域内道路、田地、山脚周边的乱推乱放、私搭乱建、垃圾倾倒、农田抛荒等问题。全面消除环境脏乱差现象，提高城乡环境洁化、绿化、美化水平，使我镇环境面貌和整体形象显著提升。</w:t>
      </w:r>
    </w:p>
    <w:p w14:paraId="0B466826">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（七）滩面、沿岸环境卫生整治</w:t>
      </w:r>
    </w:p>
    <w:p w14:paraId="577CFE09">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围绕“干净、有序、美观”的工作目标，进一步加强辖区范围内水域责任区和沿岸、滩面市容环境卫生管理工作，开展专项巡查、清理滩面、海岸垃圾，全面提升水域市容环境卫生面貌。</w:t>
      </w:r>
    </w:p>
    <w:p w14:paraId="7C621290">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（八）主次街道车辆违停整治</w:t>
      </w:r>
    </w:p>
    <w:p w14:paraId="4ECC0B9F">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规范物流、快递及农用三卡等车辆违停现象，开展主要道路及人行道路车辆秩序整治，做好交通秩序宣传、车辆清理和扣押工作。</w:t>
      </w:r>
    </w:p>
    <w:p w14:paraId="214009D8">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rPr>
        <w:t>（九）信访人员管控</w:t>
      </w:r>
    </w:p>
    <w:p w14:paraId="4D39CB0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rPr>
        <w:t>协助对镇域范围内重点信访人员落实稳控措施，掌握重点信访人员活动情况。一旦发现重点人员漏管失控，立即组织人员进行劝返，强化应急处置能力。</w:t>
      </w:r>
    </w:p>
    <w:p w14:paraId="70F2D0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sz w:val="21"/>
          <w:szCs w:val="21"/>
          <w:highlight w:val="none"/>
          <w:lang w:val="en-US" w:eastAsia="zh-CN"/>
        </w:rPr>
        <w:t>（十）大岙渔港码头管理和维稳</w:t>
      </w:r>
    </w:p>
    <w:p w14:paraId="7D59F93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维护码头周边的交通秩序，疏导车辆和行人，避免交通拥堵，保障码头与外界的交通联系顺畅，确保物资运输和人员通行的安全。并加强与相关部门的沟通协调，如渔业管理部门、海事部门、公安部门等，建立良好的合作关系，形成工作合力。在遇到重大安全事故、突发事件或违法行为时，及时向相关部门报告，并配合其开展调查和处理工作。</w:t>
      </w:r>
    </w:p>
    <w:p w14:paraId="3AA34F00">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（十一）安全生产工作协助管理</w:t>
      </w:r>
    </w:p>
    <w:p w14:paraId="479F587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highlight w:val="none"/>
          <w:lang w:val="en-US" w:eastAsia="zh-CN"/>
        </w:rPr>
        <w:t>配合镇相关部门开展安全生产工作，积极配合应消站、渔办、综合执法等部门做好安全巡查巡检等工作。协助推进开展海上安全大起底大排查大整治行动，安全生产攻坚行动，深化涉海涉渔、工贸、消防等重点领域专项整治等系列行动。按要求协助完成安全生产工作的临时性任务。</w:t>
      </w:r>
      <w:r>
        <w:rPr>
          <w:rFonts w:hint="eastAsia" w:ascii="宋体" w:hAnsi="宋体" w:eastAsia="宋体" w:cs="Times New Roman"/>
          <w:kern w:val="2"/>
          <w:sz w:val="21"/>
          <w:szCs w:val="21"/>
          <w:lang w:val="en-US" w:eastAsia="zh-CN" w:bidi="ar-SA"/>
        </w:rPr>
        <w:tab/>
      </w:r>
    </w:p>
    <w:p w14:paraId="23CCC467">
      <w:pPr>
        <w:spacing w:line="360" w:lineRule="auto"/>
        <w:ind w:firstLine="211" w:firstLineChars="1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
        </w:rPr>
        <w:t>五、</w:t>
      </w:r>
      <w:r>
        <w:rPr>
          <w:rFonts w:hint="eastAsia" w:ascii="宋体" w:hAnsi="宋体" w:eastAsia="宋体" w:cs="宋体"/>
          <w:b/>
          <w:color w:val="auto"/>
          <w:sz w:val="21"/>
          <w:szCs w:val="21"/>
          <w:highlight w:val="none"/>
          <w:shd w:val="clear" w:color="auto" w:fill="auto"/>
        </w:rPr>
        <w:t>考核管理办法</w:t>
      </w:r>
    </w:p>
    <w:p w14:paraId="29B1A641">
      <w:pPr>
        <w:pStyle w:val="15"/>
        <w:snapToGrid w:val="0"/>
        <w:spacing w:line="360" w:lineRule="auto"/>
        <w:ind w:firstLine="420" w:firstLineChars="200"/>
        <w:jc w:val="left"/>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为进一步巩固我镇环境卫生整治成果，同时加大安全生产工作协助管理及信访维稳处突工作。结合本项目实际情况，制定本管理考核办法并组织实施。考核内容如下：</w:t>
      </w:r>
    </w:p>
    <w:p w14:paraId="6157E54A">
      <w:pPr>
        <w:pStyle w:val="15"/>
        <w:numPr>
          <w:ilvl w:val="0"/>
          <w:numId w:val="6"/>
        </w:numPr>
        <w:snapToGrid w:val="0"/>
        <w:spacing w:line="360" w:lineRule="auto"/>
        <w:ind w:firstLine="420" w:firstLineChars="200"/>
        <w:jc w:val="left"/>
        <w:outlineLvl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采购人将组织相关人员按月对中标人进行综合考核，综合考核不足85分（不含85分）的，按每分200元从每月的合同款中扣除；</w:t>
      </w:r>
    </w:p>
    <w:p w14:paraId="184C5DC1">
      <w:pPr>
        <w:pStyle w:val="15"/>
        <w:numPr>
          <w:ilvl w:val="0"/>
          <w:numId w:val="0"/>
        </w:numPr>
        <w:snapToGrid w:val="0"/>
        <w:spacing w:line="360" w:lineRule="auto"/>
        <w:ind w:firstLine="420" w:firstLineChars="200"/>
        <w:jc w:val="left"/>
        <w:outlineLvl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2、当月考核分数低于70分的为不及格，中标人应当及时整改，连续三个月考核不及格的，按照中标人违约处理，采购人有权解除合同；</w:t>
      </w:r>
    </w:p>
    <w:p w14:paraId="1A8EB2C2">
      <w:pPr>
        <w:pStyle w:val="15"/>
        <w:snapToGrid w:val="0"/>
        <w:spacing w:line="360" w:lineRule="auto"/>
        <w:ind w:firstLine="420" w:firstLineChars="200"/>
        <w:jc w:val="left"/>
        <w:outlineLvl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3、除月度综合考核外，招标人将组织相关人员按季度对中标人进行综合考核，季度综合考核不足60分（不含60分）的，该季度合同费用扣除5万元；</w:t>
      </w:r>
    </w:p>
    <w:p w14:paraId="67DB9A4B">
      <w:pPr>
        <w:pStyle w:val="15"/>
        <w:snapToGrid w:val="0"/>
        <w:spacing w:line="360" w:lineRule="auto"/>
        <w:ind w:firstLine="420" w:firstLineChars="200"/>
        <w:jc w:val="left"/>
        <w:outlineLvl w:val="0"/>
        <w:rPr>
          <w:rFonts w:hint="eastAsia" w:hAnsi="宋体" w:cs="宋体"/>
          <w:b/>
          <w:bCs/>
          <w:sz w:val="32"/>
          <w:szCs w:val="32"/>
        </w:rPr>
      </w:pPr>
      <w:r>
        <w:rPr>
          <w:rFonts w:hint="eastAsia" w:ascii="宋体" w:hAnsi="宋体" w:eastAsia="宋体" w:cs="宋体"/>
          <w:kern w:val="2"/>
          <w:sz w:val="21"/>
          <w:szCs w:val="21"/>
          <w:lang w:val="en-US" w:eastAsia="zh-CN" w:bidi="ar-SA"/>
        </w:rPr>
        <w:t>4、综合考核内容详见附件：</w:t>
      </w:r>
    </w:p>
    <w:p w14:paraId="40902D6C">
      <w:pPr>
        <w:pStyle w:val="15"/>
        <w:snapToGrid w:val="0"/>
        <w:spacing w:line="360" w:lineRule="auto"/>
        <w:ind w:firstLine="562" w:firstLineChars="200"/>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洋山镇市容环境管理服务项目综合考核评分表</w:t>
      </w:r>
    </w:p>
    <w:tbl>
      <w:tblPr>
        <w:tblStyle w:val="35"/>
        <w:tblW w:w="8231" w:type="dxa"/>
        <w:jc w:val="center"/>
        <w:tblLayout w:type="fixed"/>
        <w:tblCellMar>
          <w:top w:w="0" w:type="dxa"/>
          <w:left w:w="108" w:type="dxa"/>
          <w:bottom w:w="0" w:type="dxa"/>
          <w:right w:w="108" w:type="dxa"/>
        </w:tblCellMar>
      </w:tblPr>
      <w:tblGrid>
        <w:gridCol w:w="1001"/>
        <w:gridCol w:w="4381"/>
        <w:gridCol w:w="709"/>
        <w:gridCol w:w="1206"/>
        <w:gridCol w:w="934"/>
      </w:tblGrid>
      <w:tr w14:paraId="52F45C0B">
        <w:tblPrEx>
          <w:tblCellMar>
            <w:top w:w="0" w:type="dxa"/>
            <w:left w:w="108" w:type="dxa"/>
            <w:bottom w:w="0" w:type="dxa"/>
            <w:right w:w="108" w:type="dxa"/>
          </w:tblCellMar>
        </w:tblPrEx>
        <w:trPr>
          <w:trHeight w:val="696" w:hRule="atLeast"/>
          <w:jc w:val="center"/>
        </w:trPr>
        <w:tc>
          <w:tcPr>
            <w:tcW w:w="1001" w:type="dxa"/>
            <w:tcBorders>
              <w:top w:val="single" w:color="auto" w:sz="4" w:space="0"/>
              <w:left w:val="single" w:color="auto" w:sz="4" w:space="0"/>
              <w:bottom w:val="single" w:color="auto" w:sz="4" w:space="0"/>
              <w:right w:val="single" w:color="auto" w:sz="4" w:space="0"/>
            </w:tcBorders>
            <w:noWrap/>
            <w:vAlign w:val="center"/>
          </w:tcPr>
          <w:p w14:paraId="379A6CCF">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考核项目</w:t>
            </w:r>
          </w:p>
        </w:tc>
        <w:tc>
          <w:tcPr>
            <w:tcW w:w="4381" w:type="dxa"/>
            <w:tcBorders>
              <w:top w:val="single" w:color="auto" w:sz="4" w:space="0"/>
              <w:left w:val="single" w:color="auto" w:sz="4" w:space="0"/>
              <w:bottom w:val="single" w:color="auto" w:sz="4" w:space="0"/>
              <w:right w:val="single" w:color="auto" w:sz="4" w:space="0"/>
            </w:tcBorders>
            <w:noWrap/>
            <w:vAlign w:val="center"/>
          </w:tcPr>
          <w:p w14:paraId="0DD24E20">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考核内容</w:t>
            </w:r>
          </w:p>
        </w:tc>
        <w:tc>
          <w:tcPr>
            <w:tcW w:w="709" w:type="dxa"/>
            <w:tcBorders>
              <w:top w:val="single" w:color="auto" w:sz="4" w:space="0"/>
              <w:left w:val="single" w:color="auto" w:sz="4" w:space="0"/>
              <w:bottom w:val="single" w:color="auto" w:sz="4" w:space="0"/>
              <w:right w:val="single" w:color="auto" w:sz="4" w:space="0"/>
            </w:tcBorders>
            <w:noWrap/>
            <w:vAlign w:val="center"/>
          </w:tcPr>
          <w:p w14:paraId="16097F36">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c>
          <w:tcPr>
            <w:tcW w:w="1206" w:type="dxa"/>
            <w:tcBorders>
              <w:top w:val="single" w:color="auto" w:sz="4" w:space="0"/>
              <w:left w:val="single" w:color="auto" w:sz="4" w:space="0"/>
              <w:bottom w:val="single" w:color="auto" w:sz="4" w:space="0"/>
              <w:right w:val="single" w:color="auto" w:sz="4" w:space="0"/>
            </w:tcBorders>
            <w:noWrap/>
            <w:vAlign w:val="center"/>
          </w:tcPr>
          <w:p w14:paraId="770B9EB5">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扣分情况</w:t>
            </w:r>
          </w:p>
        </w:tc>
        <w:tc>
          <w:tcPr>
            <w:tcW w:w="934" w:type="dxa"/>
            <w:tcBorders>
              <w:top w:val="single" w:color="auto" w:sz="4" w:space="0"/>
              <w:left w:val="single" w:color="auto" w:sz="4" w:space="0"/>
              <w:bottom w:val="single" w:color="auto" w:sz="4" w:space="0"/>
              <w:right w:val="single" w:color="auto" w:sz="4" w:space="0"/>
            </w:tcBorders>
            <w:noWrap/>
            <w:vAlign w:val="center"/>
          </w:tcPr>
          <w:p w14:paraId="37E0D0BF">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13C5E528">
        <w:tblPrEx>
          <w:tblCellMar>
            <w:top w:w="0" w:type="dxa"/>
            <w:left w:w="108" w:type="dxa"/>
            <w:bottom w:w="0" w:type="dxa"/>
            <w:right w:w="108" w:type="dxa"/>
          </w:tblCellMar>
        </w:tblPrEx>
        <w:trPr>
          <w:trHeight w:val="472" w:hRule="atLeast"/>
          <w:jc w:val="center"/>
        </w:trPr>
        <w:tc>
          <w:tcPr>
            <w:tcW w:w="1001" w:type="dxa"/>
            <w:tcBorders>
              <w:top w:val="single" w:color="auto" w:sz="4" w:space="0"/>
              <w:left w:val="single" w:color="auto" w:sz="4" w:space="0"/>
              <w:bottom w:val="single" w:color="auto" w:sz="4" w:space="0"/>
              <w:right w:val="single" w:color="auto" w:sz="4" w:space="0"/>
            </w:tcBorders>
            <w:noWrap/>
            <w:vAlign w:val="center"/>
          </w:tcPr>
          <w:p w14:paraId="0101F68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考勤情况</w:t>
            </w:r>
          </w:p>
        </w:tc>
        <w:tc>
          <w:tcPr>
            <w:tcW w:w="4381" w:type="dxa"/>
            <w:tcBorders>
              <w:top w:val="single" w:color="auto" w:sz="4" w:space="0"/>
              <w:left w:val="single" w:color="auto" w:sz="4" w:space="0"/>
              <w:bottom w:val="single" w:color="auto" w:sz="4" w:space="0"/>
              <w:right w:val="single" w:color="auto" w:sz="4" w:space="0"/>
            </w:tcBorders>
            <w:noWrap/>
            <w:vAlign w:val="center"/>
          </w:tcPr>
          <w:p w14:paraId="3A4E886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按规定人数按时到岗，不迟到早退。</w:t>
            </w:r>
          </w:p>
        </w:tc>
        <w:tc>
          <w:tcPr>
            <w:tcW w:w="709" w:type="dxa"/>
            <w:tcBorders>
              <w:top w:val="single" w:color="auto" w:sz="4" w:space="0"/>
              <w:left w:val="single" w:color="auto" w:sz="4" w:space="0"/>
              <w:bottom w:val="single" w:color="auto" w:sz="4" w:space="0"/>
              <w:right w:val="single" w:color="auto" w:sz="4" w:space="0"/>
            </w:tcBorders>
            <w:noWrap/>
            <w:vAlign w:val="center"/>
          </w:tcPr>
          <w:p w14:paraId="7532B63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06" w:type="dxa"/>
            <w:tcBorders>
              <w:top w:val="single" w:color="auto" w:sz="4" w:space="0"/>
              <w:left w:val="single" w:color="auto" w:sz="4" w:space="0"/>
              <w:bottom w:val="single" w:color="auto" w:sz="4" w:space="0"/>
              <w:right w:val="single" w:color="auto" w:sz="4" w:space="0"/>
            </w:tcBorders>
            <w:noWrap/>
            <w:vAlign w:val="center"/>
          </w:tcPr>
          <w:p w14:paraId="5F26899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78CED83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6F65A00">
        <w:tblPrEx>
          <w:tblCellMar>
            <w:top w:w="0" w:type="dxa"/>
            <w:left w:w="108" w:type="dxa"/>
            <w:bottom w:w="0" w:type="dxa"/>
            <w:right w:w="108" w:type="dxa"/>
          </w:tblCellMar>
        </w:tblPrEx>
        <w:trPr>
          <w:trHeight w:val="381"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ign w:val="center"/>
          </w:tcPr>
          <w:p w14:paraId="37A9AD0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仪容仪表</w:t>
            </w:r>
          </w:p>
        </w:tc>
        <w:tc>
          <w:tcPr>
            <w:tcW w:w="4381" w:type="dxa"/>
            <w:tcBorders>
              <w:top w:val="single" w:color="auto" w:sz="4" w:space="0"/>
              <w:left w:val="single" w:color="auto" w:sz="4" w:space="0"/>
              <w:bottom w:val="single" w:color="auto" w:sz="4" w:space="0"/>
              <w:right w:val="single" w:color="auto" w:sz="4" w:space="0"/>
            </w:tcBorders>
            <w:noWrap/>
            <w:vAlign w:val="center"/>
          </w:tcPr>
          <w:p w14:paraId="5430A48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持证挂牌上岗</w:t>
            </w:r>
          </w:p>
        </w:tc>
        <w:tc>
          <w:tcPr>
            <w:tcW w:w="709" w:type="dxa"/>
            <w:tcBorders>
              <w:top w:val="single" w:color="auto" w:sz="4" w:space="0"/>
              <w:left w:val="single" w:color="auto" w:sz="4" w:space="0"/>
              <w:bottom w:val="single" w:color="auto" w:sz="4" w:space="0"/>
              <w:right w:val="single" w:color="auto" w:sz="4" w:space="0"/>
            </w:tcBorders>
            <w:noWrap/>
            <w:vAlign w:val="center"/>
          </w:tcPr>
          <w:p w14:paraId="0B64E5F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2F816F6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5894419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E5F759E">
        <w:tblPrEx>
          <w:tblCellMar>
            <w:top w:w="0" w:type="dxa"/>
            <w:left w:w="108" w:type="dxa"/>
            <w:bottom w:w="0" w:type="dxa"/>
            <w:right w:w="108" w:type="dxa"/>
          </w:tblCellMar>
        </w:tblPrEx>
        <w:trPr>
          <w:trHeight w:val="539"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569539CD">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3D0B423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上岗时保持精神振作，不做有损管理形象的动作</w:t>
            </w:r>
          </w:p>
        </w:tc>
        <w:tc>
          <w:tcPr>
            <w:tcW w:w="709" w:type="dxa"/>
            <w:tcBorders>
              <w:top w:val="single" w:color="auto" w:sz="4" w:space="0"/>
              <w:left w:val="single" w:color="auto" w:sz="4" w:space="0"/>
              <w:bottom w:val="single" w:color="auto" w:sz="4" w:space="0"/>
              <w:right w:val="single" w:color="auto" w:sz="4" w:space="0"/>
            </w:tcBorders>
            <w:noWrap/>
            <w:vAlign w:val="center"/>
          </w:tcPr>
          <w:p w14:paraId="58B21E9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1F6B44B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0982FF6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BBF098C">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5680D023">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E38DB1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着装得体，不得挽袖、卷裤腿、披衣、敞怀</w:t>
            </w:r>
          </w:p>
        </w:tc>
        <w:tc>
          <w:tcPr>
            <w:tcW w:w="709" w:type="dxa"/>
            <w:tcBorders>
              <w:top w:val="single" w:color="auto" w:sz="4" w:space="0"/>
              <w:left w:val="single" w:color="auto" w:sz="4" w:space="0"/>
              <w:bottom w:val="single" w:color="auto" w:sz="4" w:space="0"/>
              <w:right w:val="single" w:color="auto" w:sz="4" w:space="0"/>
            </w:tcBorders>
            <w:noWrap/>
            <w:vAlign w:val="center"/>
          </w:tcPr>
          <w:p w14:paraId="6486915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06" w:type="dxa"/>
            <w:tcBorders>
              <w:top w:val="single" w:color="auto" w:sz="4" w:space="0"/>
              <w:left w:val="single" w:color="auto" w:sz="4" w:space="0"/>
              <w:bottom w:val="single" w:color="auto" w:sz="4" w:space="0"/>
              <w:right w:val="single" w:color="auto" w:sz="4" w:space="0"/>
            </w:tcBorders>
            <w:noWrap/>
            <w:vAlign w:val="center"/>
          </w:tcPr>
          <w:p w14:paraId="76C3116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6B060F5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7A365BB6">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3CC5CFE3">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59CC88A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不准戴项链挂件、戒指等饰品</w:t>
            </w:r>
          </w:p>
        </w:tc>
        <w:tc>
          <w:tcPr>
            <w:tcW w:w="709" w:type="dxa"/>
            <w:tcBorders>
              <w:top w:val="single" w:color="auto" w:sz="4" w:space="0"/>
              <w:left w:val="single" w:color="auto" w:sz="4" w:space="0"/>
              <w:bottom w:val="single" w:color="auto" w:sz="4" w:space="0"/>
              <w:right w:val="single" w:color="auto" w:sz="4" w:space="0"/>
            </w:tcBorders>
            <w:noWrap/>
            <w:vAlign w:val="center"/>
          </w:tcPr>
          <w:p w14:paraId="045B226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06" w:type="dxa"/>
            <w:tcBorders>
              <w:top w:val="single" w:color="auto" w:sz="4" w:space="0"/>
              <w:left w:val="single" w:color="auto" w:sz="4" w:space="0"/>
              <w:bottom w:val="single" w:color="auto" w:sz="4" w:space="0"/>
              <w:right w:val="single" w:color="auto" w:sz="4" w:space="0"/>
            </w:tcBorders>
            <w:noWrap/>
            <w:vAlign w:val="center"/>
          </w:tcPr>
          <w:p w14:paraId="392741D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4D67018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03FCE123">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3326BC22">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075DB39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蓄发不得过长、不留胡须、不剃光头</w:t>
            </w:r>
          </w:p>
        </w:tc>
        <w:tc>
          <w:tcPr>
            <w:tcW w:w="709" w:type="dxa"/>
            <w:tcBorders>
              <w:top w:val="single" w:color="auto" w:sz="4" w:space="0"/>
              <w:left w:val="single" w:color="auto" w:sz="4" w:space="0"/>
              <w:bottom w:val="single" w:color="auto" w:sz="4" w:space="0"/>
              <w:right w:val="single" w:color="auto" w:sz="4" w:space="0"/>
            </w:tcBorders>
            <w:noWrap/>
            <w:vAlign w:val="center"/>
          </w:tcPr>
          <w:p w14:paraId="086A09E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06" w:type="dxa"/>
            <w:tcBorders>
              <w:top w:val="single" w:color="auto" w:sz="4" w:space="0"/>
              <w:left w:val="single" w:color="auto" w:sz="4" w:space="0"/>
              <w:bottom w:val="single" w:color="auto" w:sz="4" w:space="0"/>
              <w:right w:val="single" w:color="auto" w:sz="4" w:space="0"/>
            </w:tcBorders>
            <w:noWrap/>
            <w:vAlign w:val="center"/>
          </w:tcPr>
          <w:p w14:paraId="7F6C489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2B09D95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2CC91DC">
        <w:tblPrEx>
          <w:tblCellMar>
            <w:top w:w="0" w:type="dxa"/>
            <w:left w:w="108" w:type="dxa"/>
            <w:bottom w:w="0" w:type="dxa"/>
            <w:right w:w="108" w:type="dxa"/>
          </w:tblCellMar>
        </w:tblPrEx>
        <w:trPr>
          <w:trHeight w:val="381"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ign w:val="center"/>
          </w:tcPr>
          <w:p w14:paraId="6DA26481">
            <w:pPr>
              <w:widowControl/>
              <w:jc w:val="center"/>
              <w:rPr>
                <w:rFonts w:hint="eastAsia" w:ascii="宋体" w:hAnsi="宋体" w:eastAsia="宋体" w:cs="宋体"/>
                <w:kern w:val="0"/>
                <w:sz w:val="21"/>
                <w:szCs w:val="21"/>
                <w:highlight w:val="none"/>
              </w:rPr>
            </w:pPr>
          </w:p>
          <w:p w14:paraId="5320454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实效管理</w:t>
            </w:r>
          </w:p>
        </w:tc>
        <w:tc>
          <w:tcPr>
            <w:tcW w:w="4381" w:type="dxa"/>
            <w:tcBorders>
              <w:top w:val="single" w:color="auto" w:sz="4" w:space="0"/>
              <w:left w:val="single" w:color="auto" w:sz="4" w:space="0"/>
              <w:bottom w:val="single" w:color="auto" w:sz="4" w:space="0"/>
              <w:right w:val="single" w:color="auto" w:sz="4" w:space="0"/>
            </w:tcBorders>
            <w:noWrap/>
            <w:vAlign w:val="center"/>
          </w:tcPr>
          <w:p w14:paraId="4B7F345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督促经营单位“门前三包”落实不到位的</w:t>
            </w:r>
          </w:p>
        </w:tc>
        <w:tc>
          <w:tcPr>
            <w:tcW w:w="709" w:type="dxa"/>
            <w:tcBorders>
              <w:top w:val="single" w:color="auto" w:sz="4" w:space="0"/>
              <w:left w:val="single" w:color="auto" w:sz="4" w:space="0"/>
              <w:bottom w:val="single" w:color="auto" w:sz="4" w:space="0"/>
              <w:right w:val="single" w:color="auto" w:sz="4" w:space="0"/>
            </w:tcBorders>
            <w:noWrap/>
            <w:vAlign w:val="center"/>
          </w:tcPr>
          <w:p w14:paraId="57BB49A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10B8672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74D86FA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161F5A17">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353D02BC">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36E4015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主次干道及背街小巷整治不彻底的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2BFF89E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191867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5427615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EA41CC1">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38DF0169">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552E4AFE">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修售业规范整治不彻底的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576DEAD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56F7506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6D4FE43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98A300C">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5C35990C">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05A3B6D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流动摊、小广告、流浪犬“清零”整治不彻底的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11F9BD0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573CCA4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04BBFB6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6115FB04">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408E99F9">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45F81CB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主次街道渔具堆放整治不彻底的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58C46E5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3EE6603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6EA945B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8C890E7">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5CA200BA">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368C250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社区属地环境卫生整治不彻底的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536714E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745876B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75E3069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0F5F0C08">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1F69A41E">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DC1E650">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滩面、沿岸环境卫生整治不彻底的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3023080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12E0357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0AC8371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776D8E86">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03E8099E">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02D2BEB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主次街道车辆违停整治不彻底的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476C09C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262E45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0A724A6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0D616318">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ign w:val="center"/>
          </w:tcPr>
          <w:p w14:paraId="00936EF8">
            <w:pPr>
              <w:widowControl/>
              <w:jc w:val="center"/>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7442392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政府交办的其他任务完成不彻底的</w:t>
            </w:r>
          </w:p>
        </w:tc>
        <w:tc>
          <w:tcPr>
            <w:tcW w:w="709" w:type="dxa"/>
            <w:tcBorders>
              <w:top w:val="single" w:color="auto" w:sz="4" w:space="0"/>
              <w:left w:val="single" w:color="auto" w:sz="4" w:space="0"/>
              <w:bottom w:val="single" w:color="auto" w:sz="4" w:space="0"/>
              <w:right w:val="single" w:color="auto" w:sz="4" w:space="0"/>
            </w:tcBorders>
            <w:noWrap/>
            <w:vAlign w:val="center"/>
          </w:tcPr>
          <w:p w14:paraId="0B47B47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tcPr>
          <w:p w14:paraId="6730346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tcPr>
          <w:p w14:paraId="22418F5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477D2601">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00CFC7E4">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27EA22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记录不彻底不到位的</w:t>
            </w:r>
          </w:p>
        </w:tc>
        <w:tc>
          <w:tcPr>
            <w:tcW w:w="709" w:type="dxa"/>
            <w:tcBorders>
              <w:top w:val="single" w:color="auto" w:sz="4" w:space="0"/>
              <w:left w:val="single" w:color="auto" w:sz="4" w:space="0"/>
              <w:bottom w:val="single" w:color="auto" w:sz="4" w:space="0"/>
              <w:right w:val="single" w:color="auto" w:sz="4" w:space="0"/>
            </w:tcBorders>
            <w:noWrap/>
            <w:vAlign w:val="center"/>
          </w:tcPr>
          <w:p w14:paraId="243F5AA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7760C30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4FAE6AB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015FB19E">
        <w:tblPrEx>
          <w:tblCellMar>
            <w:top w:w="0" w:type="dxa"/>
            <w:left w:w="108" w:type="dxa"/>
            <w:bottom w:w="0" w:type="dxa"/>
            <w:right w:w="108" w:type="dxa"/>
          </w:tblCellMar>
        </w:tblPrEx>
        <w:trPr>
          <w:trHeight w:val="381"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ign w:val="center"/>
          </w:tcPr>
          <w:p w14:paraId="3AAC2C4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服务态度</w:t>
            </w:r>
          </w:p>
        </w:tc>
        <w:tc>
          <w:tcPr>
            <w:tcW w:w="4381" w:type="dxa"/>
            <w:tcBorders>
              <w:top w:val="single" w:color="auto" w:sz="4" w:space="0"/>
              <w:left w:val="single" w:color="auto" w:sz="4" w:space="0"/>
              <w:bottom w:val="single" w:color="auto" w:sz="4" w:space="0"/>
              <w:right w:val="single" w:color="auto" w:sz="4" w:space="0"/>
            </w:tcBorders>
            <w:noWrap/>
            <w:vAlign w:val="center"/>
          </w:tcPr>
          <w:p w14:paraId="488C4FB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在工作用语不文明的</w:t>
            </w:r>
          </w:p>
        </w:tc>
        <w:tc>
          <w:tcPr>
            <w:tcW w:w="709" w:type="dxa"/>
            <w:tcBorders>
              <w:top w:val="single" w:color="auto" w:sz="4" w:space="0"/>
              <w:left w:val="single" w:color="auto" w:sz="4" w:space="0"/>
              <w:bottom w:val="single" w:color="auto" w:sz="4" w:space="0"/>
              <w:right w:val="single" w:color="auto" w:sz="4" w:space="0"/>
            </w:tcBorders>
            <w:noWrap/>
            <w:vAlign w:val="center"/>
          </w:tcPr>
          <w:p w14:paraId="64AD593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06" w:type="dxa"/>
            <w:tcBorders>
              <w:top w:val="single" w:color="auto" w:sz="4" w:space="0"/>
              <w:left w:val="single" w:color="auto" w:sz="4" w:space="0"/>
              <w:bottom w:val="single" w:color="auto" w:sz="4" w:space="0"/>
              <w:right w:val="single" w:color="auto" w:sz="4" w:space="0"/>
            </w:tcBorders>
            <w:noWrap/>
            <w:vAlign w:val="center"/>
          </w:tcPr>
          <w:p w14:paraId="5C2990B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398ECC9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BA3BB6B">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03E64B24">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08C3CB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在工作中不与他人发生言语、肢体冲突</w:t>
            </w:r>
          </w:p>
        </w:tc>
        <w:tc>
          <w:tcPr>
            <w:tcW w:w="709" w:type="dxa"/>
            <w:tcBorders>
              <w:top w:val="single" w:color="auto" w:sz="4" w:space="0"/>
              <w:left w:val="single" w:color="auto" w:sz="4" w:space="0"/>
              <w:bottom w:val="single" w:color="auto" w:sz="4" w:space="0"/>
              <w:right w:val="single" w:color="auto" w:sz="4" w:space="0"/>
            </w:tcBorders>
            <w:noWrap/>
            <w:vAlign w:val="center"/>
          </w:tcPr>
          <w:p w14:paraId="7F5F8B8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206" w:type="dxa"/>
            <w:tcBorders>
              <w:top w:val="single" w:color="auto" w:sz="4" w:space="0"/>
              <w:left w:val="single" w:color="auto" w:sz="4" w:space="0"/>
              <w:bottom w:val="single" w:color="auto" w:sz="4" w:space="0"/>
              <w:right w:val="single" w:color="auto" w:sz="4" w:space="0"/>
            </w:tcBorders>
            <w:noWrap/>
            <w:vAlign w:val="center"/>
          </w:tcPr>
          <w:p w14:paraId="6E3C0DA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3A83D8A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F94E2FC">
        <w:tblPrEx>
          <w:tblCellMar>
            <w:top w:w="0" w:type="dxa"/>
            <w:left w:w="108" w:type="dxa"/>
            <w:bottom w:w="0" w:type="dxa"/>
            <w:right w:w="108" w:type="dxa"/>
          </w:tblCellMar>
        </w:tblPrEx>
        <w:trPr>
          <w:trHeight w:val="381"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ign w:val="center"/>
          </w:tcPr>
          <w:p w14:paraId="257E341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执行纪律</w:t>
            </w:r>
          </w:p>
        </w:tc>
        <w:tc>
          <w:tcPr>
            <w:tcW w:w="4381" w:type="dxa"/>
            <w:tcBorders>
              <w:top w:val="single" w:color="auto" w:sz="4" w:space="0"/>
              <w:left w:val="single" w:color="auto" w:sz="4" w:space="0"/>
              <w:bottom w:val="single" w:color="auto" w:sz="4" w:space="0"/>
              <w:right w:val="single" w:color="auto" w:sz="4" w:space="0"/>
            </w:tcBorders>
            <w:noWrap/>
            <w:vAlign w:val="center"/>
          </w:tcPr>
          <w:p w14:paraId="1793A6C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弄虚作假，欺上瞒下的</w:t>
            </w:r>
          </w:p>
        </w:tc>
        <w:tc>
          <w:tcPr>
            <w:tcW w:w="709" w:type="dxa"/>
            <w:tcBorders>
              <w:top w:val="single" w:color="auto" w:sz="4" w:space="0"/>
              <w:left w:val="single" w:color="auto" w:sz="4" w:space="0"/>
              <w:bottom w:val="single" w:color="auto" w:sz="4" w:space="0"/>
              <w:right w:val="single" w:color="auto" w:sz="4" w:space="0"/>
            </w:tcBorders>
            <w:noWrap/>
            <w:vAlign w:val="center"/>
          </w:tcPr>
          <w:p w14:paraId="3A43A8A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206" w:type="dxa"/>
            <w:tcBorders>
              <w:top w:val="single" w:color="auto" w:sz="4" w:space="0"/>
              <w:left w:val="single" w:color="auto" w:sz="4" w:space="0"/>
              <w:bottom w:val="single" w:color="auto" w:sz="4" w:space="0"/>
              <w:right w:val="single" w:color="auto" w:sz="4" w:space="0"/>
            </w:tcBorders>
            <w:noWrap/>
            <w:vAlign w:val="center"/>
          </w:tcPr>
          <w:p w14:paraId="297D93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67E3F65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6A7AFC46">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488D9716">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3BF7662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工作时间饮酒，酒后上岗的。</w:t>
            </w:r>
          </w:p>
        </w:tc>
        <w:tc>
          <w:tcPr>
            <w:tcW w:w="709" w:type="dxa"/>
            <w:tcBorders>
              <w:top w:val="single" w:color="auto" w:sz="4" w:space="0"/>
              <w:left w:val="single" w:color="auto" w:sz="4" w:space="0"/>
              <w:bottom w:val="single" w:color="auto" w:sz="4" w:space="0"/>
              <w:right w:val="single" w:color="auto" w:sz="4" w:space="0"/>
            </w:tcBorders>
            <w:noWrap/>
            <w:vAlign w:val="center"/>
          </w:tcPr>
          <w:p w14:paraId="0F67967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2138484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6B49924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11338CB">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1C01D605">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2612A46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提前向检查对象泄露检查消息的</w:t>
            </w:r>
          </w:p>
        </w:tc>
        <w:tc>
          <w:tcPr>
            <w:tcW w:w="709" w:type="dxa"/>
            <w:tcBorders>
              <w:top w:val="single" w:color="auto" w:sz="4" w:space="0"/>
              <w:left w:val="single" w:color="auto" w:sz="4" w:space="0"/>
              <w:bottom w:val="single" w:color="auto" w:sz="4" w:space="0"/>
              <w:right w:val="single" w:color="auto" w:sz="4" w:space="0"/>
            </w:tcBorders>
            <w:noWrap/>
            <w:vAlign w:val="center"/>
          </w:tcPr>
          <w:p w14:paraId="106F3A4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1F78EE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54FC945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6442878E">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39BD32D6">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64375FB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不公平、公正，实事求是的</w:t>
            </w:r>
          </w:p>
        </w:tc>
        <w:tc>
          <w:tcPr>
            <w:tcW w:w="709" w:type="dxa"/>
            <w:tcBorders>
              <w:top w:val="single" w:color="auto" w:sz="4" w:space="0"/>
              <w:left w:val="single" w:color="auto" w:sz="4" w:space="0"/>
              <w:bottom w:val="single" w:color="auto" w:sz="4" w:space="0"/>
              <w:right w:val="single" w:color="auto" w:sz="4" w:space="0"/>
            </w:tcBorders>
            <w:noWrap/>
            <w:vAlign w:val="center"/>
          </w:tcPr>
          <w:p w14:paraId="17C229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574F1E3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0D3BC73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048A8A68">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7512407D">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5091793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利用工作之便，搞权钱交易或收受物品的</w:t>
            </w:r>
          </w:p>
        </w:tc>
        <w:tc>
          <w:tcPr>
            <w:tcW w:w="709" w:type="dxa"/>
            <w:tcBorders>
              <w:top w:val="single" w:color="auto" w:sz="4" w:space="0"/>
              <w:left w:val="single" w:color="auto" w:sz="4" w:space="0"/>
              <w:bottom w:val="single" w:color="auto" w:sz="4" w:space="0"/>
              <w:right w:val="single" w:color="auto" w:sz="4" w:space="0"/>
            </w:tcBorders>
            <w:noWrap/>
            <w:vAlign w:val="center"/>
          </w:tcPr>
          <w:p w14:paraId="76E58F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06" w:type="dxa"/>
            <w:tcBorders>
              <w:top w:val="single" w:color="auto" w:sz="4" w:space="0"/>
              <w:left w:val="single" w:color="auto" w:sz="4" w:space="0"/>
              <w:bottom w:val="single" w:color="auto" w:sz="4" w:space="0"/>
              <w:right w:val="single" w:color="auto" w:sz="4" w:space="0"/>
            </w:tcBorders>
            <w:noWrap/>
            <w:vAlign w:val="center"/>
          </w:tcPr>
          <w:p w14:paraId="046B002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4B87713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6C20FFE">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45CC0912">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07D5623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利用工作之便，为亲属、朋友谋取利益的</w:t>
            </w:r>
          </w:p>
        </w:tc>
        <w:tc>
          <w:tcPr>
            <w:tcW w:w="709" w:type="dxa"/>
            <w:tcBorders>
              <w:top w:val="single" w:color="auto" w:sz="4" w:space="0"/>
              <w:left w:val="single" w:color="auto" w:sz="4" w:space="0"/>
              <w:bottom w:val="single" w:color="auto" w:sz="4" w:space="0"/>
              <w:right w:val="single" w:color="auto" w:sz="4" w:space="0"/>
            </w:tcBorders>
            <w:noWrap/>
            <w:vAlign w:val="center"/>
          </w:tcPr>
          <w:p w14:paraId="3D83D98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75EB57D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4E581FC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696A417B">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546BC2FF">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F45B5A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上岗时玩手机、聊天等与工作无关的事情</w:t>
            </w:r>
          </w:p>
        </w:tc>
        <w:tc>
          <w:tcPr>
            <w:tcW w:w="709" w:type="dxa"/>
            <w:tcBorders>
              <w:top w:val="single" w:color="auto" w:sz="4" w:space="0"/>
              <w:left w:val="single" w:color="auto" w:sz="4" w:space="0"/>
              <w:bottom w:val="single" w:color="auto" w:sz="4" w:space="0"/>
              <w:right w:val="single" w:color="auto" w:sz="4" w:space="0"/>
            </w:tcBorders>
            <w:noWrap/>
            <w:vAlign w:val="center"/>
          </w:tcPr>
          <w:p w14:paraId="74866B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06" w:type="dxa"/>
            <w:tcBorders>
              <w:top w:val="single" w:color="auto" w:sz="4" w:space="0"/>
              <w:left w:val="single" w:color="auto" w:sz="4" w:space="0"/>
              <w:bottom w:val="single" w:color="auto" w:sz="4" w:space="0"/>
              <w:right w:val="single" w:color="auto" w:sz="4" w:space="0"/>
            </w:tcBorders>
            <w:noWrap/>
            <w:vAlign w:val="center"/>
          </w:tcPr>
          <w:p w14:paraId="59B5830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63EFC64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847A599">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1AA05B5C">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1901481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得到投诉，并经甲方认定确属我方责任的</w:t>
            </w:r>
          </w:p>
        </w:tc>
        <w:tc>
          <w:tcPr>
            <w:tcW w:w="709" w:type="dxa"/>
            <w:tcBorders>
              <w:top w:val="single" w:color="auto" w:sz="4" w:space="0"/>
              <w:left w:val="single" w:color="auto" w:sz="4" w:space="0"/>
              <w:bottom w:val="single" w:color="auto" w:sz="4" w:space="0"/>
              <w:right w:val="single" w:color="auto" w:sz="4" w:space="0"/>
            </w:tcBorders>
            <w:noWrap/>
            <w:vAlign w:val="center"/>
          </w:tcPr>
          <w:p w14:paraId="461C22A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06" w:type="dxa"/>
            <w:tcBorders>
              <w:top w:val="single" w:color="auto" w:sz="4" w:space="0"/>
              <w:left w:val="single" w:color="auto" w:sz="4" w:space="0"/>
              <w:bottom w:val="single" w:color="auto" w:sz="4" w:space="0"/>
              <w:right w:val="single" w:color="auto" w:sz="4" w:space="0"/>
            </w:tcBorders>
            <w:noWrap/>
            <w:vAlign w:val="center"/>
          </w:tcPr>
          <w:p w14:paraId="68E60AD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06140CF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6E0F3883">
        <w:tblPrEx>
          <w:tblCellMar>
            <w:top w:w="0" w:type="dxa"/>
            <w:left w:w="108" w:type="dxa"/>
            <w:bottom w:w="0" w:type="dxa"/>
            <w:right w:w="108" w:type="dxa"/>
          </w:tblCellMar>
        </w:tblPrEx>
        <w:trPr>
          <w:trHeight w:val="381"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3A6F3F59">
            <w:pPr>
              <w:widowControl/>
              <w:jc w:val="left"/>
              <w:rPr>
                <w:rFonts w:hint="eastAsia" w:ascii="宋体" w:hAnsi="宋体" w:eastAsia="宋体" w:cs="宋体"/>
                <w:kern w:val="0"/>
                <w:sz w:val="21"/>
                <w:szCs w:val="21"/>
                <w:highlight w:val="none"/>
              </w:rPr>
            </w:pPr>
          </w:p>
        </w:tc>
        <w:tc>
          <w:tcPr>
            <w:tcW w:w="4381" w:type="dxa"/>
            <w:tcBorders>
              <w:top w:val="single" w:color="auto" w:sz="4" w:space="0"/>
              <w:left w:val="single" w:color="auto" w:sz="4" w:space="0"/>
              <w:bottom w:val="single" w:color="auto" w:sz="4" w:space="0"/>
              <w:right w:val="single" w:color="auto" w:sz="4" w:space="0"/>
            </w:tcBorders>
            <w:noWrap/>
            <w:vAlign w:val="center"/>
          </w:tcPr>
          <w:p w14:paraId="70B8C8C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发生因管理不当造成媒体曝光等情况</w:t>
            </w:r>
          </w:p>
        </w:tc>
        <w:tc>
          <w:tcPr>
            <w:tcW w:w="709" w:type="dxa"/>
            <w:tcBorders>
              <w:top w:val="single" w:color="auto" w:sz="4" w:space="0"/>
              <w:left w:val="single" w:color="auto" w:sz="4" w:space="0"/>
              <w:bottom w:val="single" w:color="auto" w:sz="4" w:space="0"/>
              <w:right w:val="single" w:color="auto" w:sz="4" w:space="0"/>
            </w:tcBorders>
            <w:noWrap/>
            <w:vAlign w:val="center"/>
          </w:tcPr>
          <w:p w14:paraId="18157A9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06" w:type="dxa"/>
            <w:tcBorders>
              <w:top w:val="single" w:color="auto" w:sz="4" w:space="0"/>
              <w:left w:val="single" w:color="auto" w:sz="4" w:space="0"/>
              <w:bottom w:val="single" w:color="auto" w:sz="4" w:space="0"/>
              <w:right w:val="single" w:color="auto" w:sz="4" w:space="0"/>
            </w:tcBorders>
            <w:noWrap/>
            <w:vAlign w:val="center"/>
          </w:tcPr>
          <w:p w14:paraId="49ED257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35FC795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C150904">
        <w:tblPrEx>
          <w:tblCellMar>
            <w:top w:w="0" w:type="dxa"/>
            <w:left w:w="108" w:type="dxa"/>
            <w:bottom w:w="0" w:type="dxa"/>
            <w:right w:w="108" w:type="dxa"/>
          </w:tblCellMar>
        </w:tblPrEx>
        <w:trPr>
          <w:trHeight w:val="558" w:hRule="atLeast"/>
          <w:jc w:val="center"/>
        </w:trPr>
        <w:tc>
          <w:tcPr>
            <w:tcW w:w="1001" w:type="dxa"/>
            <w:tcBorders>
              <w:top w:val="single" w:color="auto" w:sz="4" w:space="0"/>
              <w:left w:val="single" w:color="auto" w:sz="4" w:space="0"/>
              <w:bottom w:val="single" w:color="auto" w:sz="4" w:space="0"/>
              <w:right w:val="single" w:color="auto" w:sz="4" w:space="0"/>
            </w:tcBorders>
            <w:noWrap/>
            <w:vAlign w:val="center"/>
          </w:tcPr>
          <w:p w14:paraId="6EE5E9D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总分</w:t>
            </w:r>
          </w:p>
        </w:tc>
        <w:tc>
          <w:tcPr>
            <w:tcW w:w="4381" w:type="dxa"/>
            <w:tcBorders>
              <w:top w:val="single" w:color="auto" w:sz="4" w:space="0"/>
              <w:left w:val="single" w:color="auto" w:sz="4" w:space="0"/>
              <w:bottom w:val="single" w:color="auto" w:sz="4" w:space="0"/>
              <w:right w:val="single" w:color="auto" w:sz="4" w:space="0"/>
            </w:tcBorders>
            <w:noWrap/>
            <w:vAlign w:val="center"/>
          </w:tcPr>
          <w:p w14:paraId="6B5F7A1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709" w:type="dxa"/>
            <w:tcBorders>
              <w:top w:val="single" w:color="auto" w:sz="4" w:space="0"/>
              <w:left w:val="single" w:color="auto" w:sz="4" w:space="0"/>
              <w:bottom w:val="single" w:color="auto" w:sz="4" w:space="0"/>
              <w:right w:val="single" w:color="auto" w:sz="4" w:space="0"/>
            </w:tcBorders>
            <w:noWrap/>
            <w:vAlign w:val="center"/>
          </w:tcPr>
          <w:p w14:paraId="2FAD683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c>
          <w:tcPr>
            <w:tcW w:w="1206" w:type="dxa"/>
            <w:tcBorders>
              <w:top w:val="single" w:color="auto" w:sz="4" w:space="0"/>
              <w:left w:val="single" w:color="auto" w:sz="4" w:space="0"/>
              <w:bottom w:val="single" w:color="auto" w:sz="4" w:space="0"/>
              <w:right w:val="single" w:color="auto" w:sz="4" w:space="0"/>
            </w:tcBorders>
            <w:noWrap/>
            <w:vAlign w:val="center"/>
          </w:tcPr>
          <w:p w14:paraId="46788E8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34" w:type="dxa"/>
            <w:tcBorders>
              <w:top w:val="single" w:color="auto" w:sz="4" w:space="0"/>
              <w:left w:val="single" w:color="auto" w:sz="4" w:space="0"/>
              <w:bottom w:val="single" w:color="auto" w:sz="4" w:space="0"/>
              <w:right w:val="single" w:color="auto" w:sz="4" w:space="0"/>
            </w:tcBorders>
            <w:noWrap/>
            <w:vAlign w:val="center"/>
          </w:tcPr>
          <w:p w14:paraId="3B63603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14:paraId="51A7D9B2">
      <w:pPr>
        <w:spacing w:before="192" w:line="219" w:lineRule="auto"/>
        <w:rPr>
          <w:rFonts w:hint="eastAsia" w:ascii="宋体" w:hAnsi="宋体" w:cs="宋体"/>
          <w:b/>
          <w:bCs/>
          <w:color w:val="auto"/>
          <w:spacing w:val="-12"/>
          <w:sz w:val="24"/>
          <w:szCs w:val="24"/>
          <w:highlight w:val="none"/>
          <w:shd w:val="clear" w:color="auto" w:fill="auto"/>
          <w:lang w:val="en-US" w:eastAsia="zh-CN"/>
        </w:rPr>
      </w:pPr>
    </w:p>
    <w:p w14:paraId="544F257C">
      <w:pPr>
        <w:spacing w:before="192" w:line="219" w:lineRule="auto"/>
        <w:ind w:firstLine="187" w:firstLineChars="1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pacing w:val="-12"/>
          <w:sz w:val="21"/>
          <w:szCs w:val="21"/>
          <w:highlight w:val="none"/>
          <w:shd w:val="clear" w:color="auto" w:fill="auto"/>
        </w:rPr>
        <w:t>考核形式</w:t>
      </w:r>
      <w:r>
        <w:rPr>
          <w:rFonts w:hint="eastAsia" w:ascii="宋体" w:hAnsi="宋体" w:eastAsia="宋体" w:cs="宋体"/>
          <w:b/>
          <w:bCs/>
          <w:color w:val="auto"/>
          <w:spacing w:val="-12"/>
          <w:sz w:val="21"/>
          <w:szCs w:val="21"/>
          <w:highlight w:val="none"/>
          <w:shd w:val="clear" w:color="auto" w:fill="auto"/>
          <w:lang w:eastAsia="zh-CN"/>
        </w:rPr>
        <w:t>：</w:t>
      </w:r>
    </w:p>
    <w:p w14:paraId="7211FE60">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120" w:beforeLines="50" w:after="120" w:afterLines="50" w:line="360" w:lineRule="auto"/>
        <w:ind w:firstLine="420" w:firstLineChars="20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按月进行考核，每发现一处问题由甲方出具《整改》通知，并相应扣款。</w:t>
      </w:r>
    </w:p>
    <w:p w14:paraId="26B479C0">
      <w:pPr>
        <w:numPr>
          <w:ilvl w:val="0"/>
          <w:numId w:val="0"/>
        </w:numPr>
        <w:spacing w:before="192" w:line="219" w:lineRule="auto"/>
        <w:ind w:firstLine="187" w:firstLineChars="100"/>
        <w:rPr>
          <w:rFonts w:hint="eastAsia" w:ascii="宋体" w:hAnsi="宋体" w:eastAsia="宋体" w:cs="宋体"/>
          <w:b/>
          <w:bCs/>
          <w:color w:val="auto"/>
          <w:spacing w:val="-12"/>
          <w:sz w:val="21"/>
          <w:szCs w:val="21"/>
          <w:highlight w:val="none"/>
          <w:shd w:val="clear" w:color="auto" w:fill="auto"/>
          <w:lang w:eastAsia="zh-CN"/>
        </w:rPr>
      </w:pPr>
      <w:r>
        <w:rPr>
          <w:rFonts w:hint="eastAsia" w:ascii="宋体" w:hAnsi="宋体" w:eastAsia="宋体" w:cs="宋体"/>
          <w:b/>
          <w:bCs/>
          <w:color w:val="auto"/>
          <w:spacing w:val="-12"/>
          <w:sz w:val="21"/>
          <w:szCs w:val="21"/>
          <w:highlight w:val="none"/>
          <w:shd w:val="clear" w:color="auto" w:fill="auto"/>
        </w:rPr>
        <w:t>扣款标准</w:t>
      </w:r>
      <w:r>
        <w:rPr>
          <w:rFonts w:hint="eastAsia" w:ascii="宋体" w:hAnsi="宋体" w:eastAsia="宋体" w:cs="宋体"/>
          <w:b/>
          <w:bCs/>
          <w:color w:val="auto"/>
          <w:spacing w:val="-12"/>
          <w:sz w:val="21"/>
          <w:szCs w:val="21"/>
          <w:highlight w:val="none"/>
          <w:shd w:val="clear" w:color="auto" w:fill="auto"/>
          <w:lang w:eastAsia="zh-CN"/>
        </w:rPr>
        <w:t>：</w:t>
      </w:r>
    </w:p>
    <w:p w14:paraId="0DC62D73">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120" w:beforeLines="50" w:after="120" w:afterLines="50" w:line="360" w:lineRule="auto"/>
        <w:ind w:firstLine="420" w:firstLineChars="20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1、根据考核项目及内容，第一次发现辖区内存在考核项目未处置或未上报的情况，做警告处理；同一区域警告后30分钟内未及时整改的，每发生一起扣500元；</w:t>
      </w:r>
    </w:p>
    <w:p w14:paraId="66142C4D">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120" w:beforeLines="50" w:after="120" w:afterLines="50" w:line="360" w:lineRule="auto"/>
        <w:ind w:firstLine="420" w:firstLineChars="20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 辖区内失控情况被上级媒体曝光或被上级相关部门点名批评的，市级曝光扣5000元，县级曝光扣3000元；镇级批评扣1000元；</w:t>
      </w:r>
    </w:p>
    <w:p w14:paraId="73964A7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val="0"/>
        <w:spacing w:before="120" w:beforeLines="50" w:after="120" w:afterLines="50" w:line="360" w:lineRule="auto"/>
        <w:ind w:firstLine="420" w:firstLineChars="20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3、巡查中所上报的内容乙方应及时进行即时即改，并上报给甲方。若需限期整改的，</w:t>
      </w:r>
      <w:r>
        <w:rPr>
          <w:rFonts w:hint="eastAsia" w:ascii="宋体" w:hAnsi="宋体" w:eastAsia="宋体" w:cs="宋体"/>
          <w:color w:val="auto"/>
          <w:sz w:val="21"/>
          <w:szCs w:val="21"/>
          <w:highlight w:val="none"/>
          <w:shd w:val="clear" w:color="auto" w:fill="auto"/>
          <w:lang w:val="en-US" w:eastAsia="zh-CN"/>
        </w:rPr>
        <w:t>由乙方管理和监督，直至修改完成，并有甲方验收确认。考虑到第三方没有相应的</w:t>
      </w:r>
      <w:r>
        <w:rPr>
          <w:rFonts w:hint="eastAsia" w:ascii="宋体" w:hAnsi="宋体" w:eastAsia="宋体" w:cs="宋体"/>
          <w:color w:val="auto"/>
          <w:kern w:val="2"/>
          <w:sz w:val="21"/>
          <w:szCs w:val="21"/>
          <w:highlight w:val="none"/>
          <w:shd w:val="clear" w:color="auto" w:fill="auto"/>
          <w:lang w:val="en-US" w:eastAsia="zh-CN" w:bidi="ar-SA"/>
        </w:rPr>
        <w:t>执法权，当屡次发现问题拒不整改时，应交由洋山镇行政综合执法队进行行政处罚，对相关当事人阻碍执法人员执行公务的行为交由洋山派出所依法作出处理，确保工作顺利进行。如在限期内整改完成的不予扣款，在限期内未整改完成的，将扣款500元。</w:t>
      </w:r>
    </w:p>
    <w:p w14:paraId="4B8ED580">
      <w:pPr>
        <w:pStyle w:val="55"/>
        <w:keepNext w:val="0"/>
        <w:keepLines w:val="0"/>
        <w:pageBreakBefore w:val="0"/>
        <w:widowControl w:val="0"/>
        <w:numPr>
          <w:ilvl w:val="0"/>
          <w:numId w:val="0"/>
        </w:numPr>
        <w:kinsoku/>
        <w:wordWrap/>
        <w:overflowPunct/>
        <w:topLinePunct w:val="0"/>
        <w:autoSpaceDE/>
        <w:autoSpaceDN/>
        <w:bidi w:val="0"/>
        <w:snapToGrid/>
        <w:spacing w:line="380" w:lineRule="exact"/>
        <w:ind w:leftChars="0"/>
        <w:outlineLvl w:val="1"/>
        <w:rPr>
          <w:rFonts w:hint="eastAsia" w:ascii="宋体" w:hAnsi="宋体" w:eastAsia="宋体" w:cs="宋体"/>
          <w:b/>
          <w:bCs/>
          <w:color w:val="auto"/>
          <w:kern w:val="0"/>
          <w:sz w:val="21"/>
          <w:szCs w:val="21"/>
          <w:highlight w:val="none"/>
          <w:shd w:val="clear" w:color="auto" w:fill="auto"/>
          <w:lang w:val="en-US" w:eastAsia="zh-CN" w:bidi="ar"/>
        </w:rPr>
      </w:pPr>
      <w:r>
        <w:rPr>
          <w:rFonts w:hint="eastAsia" w:ascii="宋体" w:hAnsi="宋体" w:eastAsia="宋体" w:cs="宋体"/>
          <w:b/>
          <w:bCs/>
          <w:color w:val="auto"/>
          <w:kern w:val="0"/>
          <w:sz w:val="21"/>
          <w:szCs w:val="21"/>
          <w:highlight w:val="none"/>
          <w:shd w:val="clear" w:color="auto" w:fill="auto"/>
          <w:lang w:val="en-US" w:eastAsia="zh-CN" w:bidi="ar"/>
        </w:rPr>
        <w:t>六、付款方式</w:t>
      </w:r>
    </w:p>
    <w:p w14:paraId="5BCB47D5">
      <w:pPr>
        <w:autoSpaceDE w:val="0"/>
        <w:autoSpaceDN w:val="0"/>
        <w:adjustRightInd w:val="0"/>
        <w:spacing w:line="540" w:lineRule="exact"/>
        <w:ind w:firstLine="42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zh-CN" w:eastAsia="zh-CN" w:bidi="ar-SA"/>
        </w:rPr>
        <w:t>、</w:t>
      </w:r>
      <w:r>
        <w:rPr>
          <w:rFonts w:hint="eastAsia" w:ascii="宋体" w:hAnsi="宋体" w:eastAsia="宋体" w:cs="宋体"/>
          <w:color w:val="auto"/>
          <w:kern w:val="2"/>
          <w:sz w:val="21"/>
          <w:szCs w:val="21"/>
          <w:highlight w:val="none"/>
          <w:shd w:val="clear" w:color="auto" w:fill="auto"/>
          <w:lang w:val="en-US" w:eastAsia="zh-CN" w:bidi="ar-SA"/>
        </w:rPr>
        <w:t>本项目经费确保专款专用。</w:t>
      </w:r>
    </w:p>
    <w:p w14:paraId="262F38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2、支付方式：合同签订后7个工作日内采购人支付中标人总合同金额</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lang w:val="en-US" w:eastAsia="zh-CN"/>
        </w:rPr>
        <w:t>%的预付款；，合同期满考核完成</w:t>
      </w:r>
      <w:r>
        <w:rPr>
          <w:rFonts w:hint="eastAsia" w:ascii="宋体" w:hAnsi="宋体" w:cs="宋体"/>
          <w:sz w:val="21"/>
          <w:szCs w:val="21"/>
          <w:highlight w:val="none"/>
          <w:lang w:val="en-US" w:eastAsia="zh-CN"/>
        </w:rPr>
        <w:t>7个工作日内</w:t>
      </w:r>
      <w:r>
        <w:rPr>
          <w:rFonts w:hint="eastAsia" w:ascii="宋体" w:hAnsi="宋体" w:eastAsia="宋体" w:cs="宋体"/>
          <w:sz w:val="21"/>
          <w:szCs w:val="21"/>
          <w:highlight w:val="none"/>
          <w:lang w:val="en-US" w:eastAsia="zh-CN"/>
        </w:rPr>
        <w:t>支付总合同的剩余款项。</w:t>
      </w:r>
    </w:p>
    <w:p w14:paraId="62A2BD6C">
      <w:pPr>
        <w:numPr>
          <w:ilvl w:val="0"/>
          <w:numId w:val="0"/>
        </w:numPr>
        <w:spacing w:line="440" w:lineRule="exact"/>
        <w:ind w:left="0" w:leftChars="0" w:firstLine="420" w:firstLineChars="200"/>
        <w:rPr>
          <w:rFonts w:hint="eastAsia"/>
          <w:highlight w:val="none"/>
        </w:rPr>
      </w:pPr>
      <w:r>
        <w:rPr>
          <w:rFonts w:hint="eastAsia" w:asciiTheme="majorEastAsia" w:hAnsiTheme="majorEastAsia" w:eastAsiaTheme="majorEastAsia" w:cstheme="majorEastAsia"/>
          <w:kern w:val="2"/>
          <w:sz w:val="21"/>
          <w:szCs w:val="24"/>
          <w:highlight w:val="none"/>
          <w:lang w:val="en-US" w:eastAsia="zh-CN" w:bidi="ar-SA"/>
        </w:rPr>
        <w:t>3</w:t>
      </w:r>
      <w:r>
        <w:rPr>
          <w:rFonts w:hint="eastAsia" w:ascii="Calibri" w:hAnsi="Calibri" w:eastAsia="宋体" w:cs="Times New Roman"/>
          <w:kern w:val="2"/>
          <w:sz w:val="21"/>
          <w:szCs w:val="24"/>
          <w:highlight w:val="none"/>
          <w:lang w:val="en-US" w:eastAsia="zh-CN" w:bidi="ar-SA"/>
        </w:rPr>
        <w:t>、</w:t>
      </w:r>
      <w:r>
        <w:rPr>
          <w:rFonts w:hint="eastAsia" w:ascii="宋体" w:hAnsi="宋体"/>
          <w:szCs w:val="21"/>
          <w:highlight w:val="none"/>
          <w:lang w:val="en-US" w:eastAsia="zh-CN"/>
        </w:rPr>
        <w:t xml:space="preserve"> </w:t>
      </w:r>
      <w:r>
        <w:rPr>
          <w:rFonts w:hint="eastAsia" w:ascii="宋体" w:hAnsi="宋体"/>
          <w:szCs w:val="21"/>
          <w:highlight w:val="none"/>
        </w:rPr>
        <w:t>支付条件：中标人向</w:t>
      </w:r>
      <w:r>
        <w:rPr>
          <w:rFonts w:hint="eastAsia" w:ascii="宋体" w:hAnsi="宋体"/>
          <w:szCs w:val="21"/>
          <w:highlight w:val="none"/>
          <w:lang w:val="en-US" w:eastAsia="zh-CN"/>
        </w:rPr>
        <w:t>采购</w:t>
      </w:r>
      <w:r>
        <w:rPr>
          <w:rFonts w:hint="eastAsia" w:ascii="宋体" w:hAnsi="宋体"/>
          <w:szCs w:val="21"/>
          <w:highlight w:val="none"/>
        </w:rPr>
        <w:t>人提供了等额合法有效的增值税发票经招标人确认无误后</w:t>
      </w:r>
      <w:r>
        <w:rPr>
          <w:rFonts w:hint="eastAsia" w:ascii="宋体" w:hAnsi="宋体"/>
          <w:szCs w:val="21"/>
          <w:highlight w:val="none"/>
          <w:lang w:eastAsia="zh-CN"/>
        </w:rPr>
        <w:t>，</w:t>
      </w:r>
      <w:r>
        <w:rPr>
          <w:rFonts w:hint="eastAsia" w:ascii="宋体" w:hAnsi="宋体"/>
          <w:szCs w:val="21"/>
          <w:highlight w:val="none"/>
          <w:lang w:val="en-US" w:eastAsia="zh-CN"/>
        </w:rPr>
        <w:t>采购</w:t>
      </w:r>
      <w:r>
        <w:rPr>
          <w:rFonts w:hint="eastAsia" w:ascii="宋体" w:hAnsi="宋体"/>
          <w:szCs w:val="21"/>
          <w:highlight w:val="none"/>
        </w:rPr>
        <w:t>人按约定的时间节点向中标人付款。</w:t>
      </w:r>
    </w:p>
    <w:p w14:paraId="0201B029">
      <w:pPr>
        <w:widowControl/>
        <w:shd w:val="clear" w:color="auto" w:fill="FFFFFF"/>
        <w:spacing w:line="360" w:lineRule="auto"/>
        <w:ind w:right="-53" w:rightChars="-25"/>
        <w:textAlignment w:val="bottom"/>
        <w:rPr>
          <w:rFonts w:hint="eastAsia" w:ascii="宋体" w:hAnsi="宋体" w:eastAsia="宋体" w:cs="宋体"/>
          <w:b/>
          <w:spacing w:val="-4"/>
          <w:kern w:val="2"/>
          <w:sz w:val="21"/>
          <w:szCs w:val="21"/>
          <w:lang w:val="en-US" w:eastAsia="zh-CN" w:bidi="ar-SA"/>
        </w:rPr>
      </w:pPr>
      <w:r>
        <w:rPr>
          <w:rFonts w:hint="eastAsia" w:ascii="宋体" w:hAnsi="宋体" w:eastAsia="宋体" w:cs="宋体"/>
          <w:b/>
          <w:spacing w:val="-4"/>
          <w:kern w:val="2"/>
          <w:sz w:val="21"/>
          <w:szCs w:val="21"/>
          <w:lang w:val="en-US" w:eastAsia="zh-CN" w:bidi="ar-SA"/>
        </w:rPr>
        <w:t>七、其他</w:t>
      </w:r>
    </w:p>
    <w:p w14:paraId="41284D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1、投标人应对招标、实施、操作等过程中采取保密措施，因投标人造成的不良影响和损失，</w:t>
      </w:r>
    </w:p>
    <w:p w14:paraId="006CE2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投标人应承担相应责任。</w:t>
      </w:r>
    </w:p>
    <w:p w14:paraId="5D3F1BC4">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2、采购人认为投标人提供的产品和服务不能满足需求，可否决、终止本次采购。</w:t>
      </w:r>
    </w:p>
    <w:p w14:paraId="1F78B06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3、投标人投标所使用的资格、信誉、荣誉、业绩与企业认证必须为本法人所拥有。投标人投标所使用的采购项目实施人员必须为本法人员工（或必须为本法人或控股公司正式员工）。</w:t>
      </w:r>
    </w:p>
    <w:p w14:paraId="5F4B805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人应仔细阅读招标文件的所有内容，按照招标文件的要求提交投标文件，并对所提供的全部资料的真实性承担法律责任。如提供任何虚假材料，其投标无效，并报监管部门查处；中标后发现的，中标人须依照《中华人民共和国消费权益保护法》第49条之规定双倍赔偿采购人，且民事赔偿并不免除违法投标人的行政与刑事责任。</w:t>
      </w:r>
    </w:p>
    <w:p w14:paraId="2E241E4A">
      <w:pPr>
        <w:rPr>
          <w:rFonts w:hint="eastAsia"/>
        </w:rPr>
      </w:pPr>
    </w:p>
    <w:p w14:paraId="611C4BE4">
      <w:pPr>
        <w:rPr>
          <w:rFonts w:hint="eastAsia"/>
        </w:rPr>
      </w:pPr>
    </w:p>
    <w:p w14:paraId="47F5FBFC">
      <w:pPr>
        <w:pStyle w:val="13"/>
        <w:rPr>
          <w:rFonts w:hint="eastAsia"/>
        </w:rPr>
      </w:pPr>
    </w:p>
    <w:p w14:paraId="5FB2DC2F">
      <w:pPr>
        <w:pStyle w:val="13"/>
        <w:rPr>
          <w:rFonts w:hint="eastAsia"/>
        </w:rPr>
      </w:pPr>
    </w:p>
    <w:p w14:paraId="3468BB95">
      <w:pPr>
        <w:pStyle w:val="62"/>
        <w:numPr>
          <w:ilvl w:val="1"/>
          <w:numId w:val="0"/>
        </w:numPr>
        <w:spacing w:line="360" w:lineRule="auto"/>
        <w:jc w:val="center"/>
        <w:rPr>
          <w:rFonts w:cs="宋体"/>
          <w:b w:val="0"/>
          <w:i w:val="0"/>
          <w:iCs w:val="0"/>
          <w:color w:val="auto"/>
          <w:sz w:val="30"/>
          <w:szCs w:val="30"/>
        </w:rPr>
      </w:pPr>
      <w:r>
        <w:rPr>
          <w:rFonts w:hint="eastAsia" w:cs="宋体"/>
          <w:bCs/>
          <w:i w:val="0"/>
          <w:iCs w:val="0"/>
          <w:color w:val="auto"/>
          <w:sz w:val="32"/>
          <w:szCs w:val="32"/>
        </w:rPr>
        <w:t>第三章  供应商须知</w:t>
      </w:r>
    </w:p>
    <w:p w14:paraId="139CE728">
      <w:pPr>
        <w:snapToGrid w:val="0"/>
        <w:spacing w:line="360" w:lineRule="auto"/>
        <w:ind w:left="238"/>
        <w:jc w:val="center"/>
        <w:outlineLvl w:val="1"/>
        <w:rPr>
          <w:rFonts w:ascii="宋体" w:hAnsi="宋体" w:cs="宋体"/>
          <w:b/>
          <w:color w:val="auto"/>
          <w:szCs w:val="21"/>
        </w:rPr>
      </w:pPr>
      <w:bookmarkStart w:id="1" w:name="_Toc33535345"/>
      <w:r>
        <w:rPr>
          <w:rFonts w:hint="eastAsia" w:ascii="宋体" w:hAnsi="宋体" w:cs="宋体"/>
          <w:b/>
          <w:color w:val="auto"/>
          <w:szCs w:val="21"/>
        </w:rPr>
        <w:t>前附表</w:t>
      </w:r>
      <w:bookmarkEnd w:id="1"/>
    </w:p>
    <w:tbl>
      <w:tblPr>
        <w:tblStyle w:val="35"/>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14:paraId="35008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vAlign w:val="center"/>
          </w:tcPr>
          <w:p w14:paraId="4C8266B2">
            <w:pPr>
              <w:snapToGrid w:val="0"/>
              <w:spacing w:line="440" w:lineRule="exact"/>
              <w:rPr>
                <w:rFonts w:ascii="宋体" w:hAnsi="宋体" w:cs="宋体"/>
                <w:color w:val="auto"/>
                <w:szCs w:val="21"/>
              </w:rPr>
            </w:pPr>
            <w:r>
              <w:rPr>
                <w:rFonts w:hint="eastAsia" w:ascii="宋体" w:hAnsi="宋体" w:cs="宋体"/>
                <w:color w:val="auto"/>
                <w:szCs w:val="21"/>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1AB5F1AA">
            <w:pPr>
              <w:snapToGrid w:val="0"/>
              <w:spacing w:line="440" w:lineRule="exact"/>
              <w:jc w:val="center"/>
              <w:rPr>
                <w:rFonts w:ascii="宋体" w:hAnsi="宋体" w:cs="宋体"/>
                <w:color w:val="auto"/>
                <w:szCs w:val="21"/>
              </w:rPr>
            </w:pPr>
            <w:r>
              <w:rPr>
                <w:rFonts w:hint="eastAsia" w:ascii="宋体" w:hAnsi="宋体" w:cs="宋体"/>
                <w:color w:val="auto"/>
                <w:szCs w:val="21"/>
              </w:rPr>
              <w:t>内容、要求</w:t>
            </w:r>
          </w:p>
        </w:tc>
      </w:tr>
      <w:tr w14:paraId="142B7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vAlign w:val="center"/>
          </w:tcPr>
          <w:p w14:paraId="3D614581">
            <w:pP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8652" w:type="dxa"/>
            <w:tcBorders>
              <w:top w:val="single" w:color="auto" w:sz="4" w:space="0"/>
              <w:left w:val="single" w:color="auto" w:sz="4" w:space="0"/>
              <w:bottom w:val="single" w:color="auto" w:sz="4" w:space="0"/>
              <w:right w:val="single" w:color="auto" w:sz="4" w:space="0"/>
            </w:tcBorders>
            <w:vAlign w:val="center"/>
          </w:tcPr>
          <w:p w14:paraId="0BD6A61B">
            <w:pPr>
              <w:snapToGrid w:val="0"/>
              <w:spacing w:line="440" w:lineRule="exact"/>
              <w:ind w:left="1050" w:hanging="1050" w:hangingChars="5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嵊泗县洋山镇综合管理服务采购项目</w:t>
            </w:r>
          </w:p>
        </w:tc>
      </w:tr>
      <w:tr w14:paraId="6046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14:paraId="2DB09B9E">
            <w:pP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8652" w:type="dxa"/>
            <w:tcBorders>
              <w:top w:val="single" w:color="auto" w:sz="4" w:space="0"/>
              <w:left w:val="single" w:color="auto" w:sz="4" w:space="0"/>
              <w:bottom w:val="single" w:color="auto" w:sz="4" w:space="0"/>
              <w:right w:val="single" w:color="auto" w:sz="4" w:space="0"/>
            </w:tcBorders>
            <w:vAlign w:val="center"/>
          </w:tcPr>
          <w:p w14:paraId="4B5DECD5">
            <w:pPr>
              <w:snapToGrid w:val="0"/>
              <w:spacing w:line="4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ZSJS-2025-016</w:t>
            </w:r>
          </w:p>
        </w:tc>
      </w:tr>
      <w:tr w14:paraId="75F4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vAlign w:val="center"/>
          </w:tcPr>
          <w:p w14:paraId="75C5B080">
            <w:pP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8652" w:type="dxa"/>
            <w:tcBorders>
              <w:top w:val="single" w:color="auto" w:sz="4" w:space="0"/>
              <w:left w:val="single" w:color="auto" w:sz="4" w:space="0"/>
              <w:bottom w:val="single" w:color="auto" w:sz="4" w:space="0"/>
              <w:right w:val="single" w:color="auto" w:sz="4" w:space="0"/>
            </w:tcBorders>
            <w:vAlign w:val="center"/>
          </w:tcPr>
          <w:p w14:paraId="167AD7CD">
            <w:pPr>
              <w:snapToGrid w:val="0"/>
              <w:spacing w:line="440" w:lineRule="exact"/>
              <w:rPr>
                <w:rFonts w:ascii="宋体" w:hAnsi="宋体" w:cs="宋体"/>
                <w:color w:val="auto"/>
                <w:szCs w:val="21"/>
              </w:rPr>
            </w:pPr>
            <w:r>
              <w:rPr>
                <w:rFonts w:hint="eastAsia" w:ascii="宋体" w:hAnsi="宋体" w:cs="宋体"/>
                <w:color w:val="auto"/>
                <w:szCs w:val="21"/>
              </w:rPr>
              <w:t>投标报价及费用：1</w:t>
            </w:r>
            <w:r>
              <w:rPr>
                <w:rFonts w:hint="eastAsia" w:ascii="宋体" w:hAnsi="宋体" w:cs="宋体"/>
                <w:color w:val="auto"/>
                <w:szCs w:val="21"/>
                <w:lang w:val="en-US" w:eastAsia="zh-CN"/>
              </w:rPr>
              <w:t>.</w:t>
            </w:r>
            <w:r>
              <w:rPr>
                <w:rFonts w:hint="eastAsia" w:ascii="宋体" w:hAnsi="宋体" w:cs="宋体"/>
                <w:color w:val="auto"/>
                <w:szCs w:val="21"/>
              </w:rPr>
              <w:t>本项目投标应以人民币报价；2</w:t>
            </w:r>
            <w:r>
              <w:rPr>
                <w:rFonts w:hint="eastAsia" w:ascii="宋体" w:hAnsi="宋体" w:cs="宋体"/>
                <w:color w:val="auto"/>
                <w:szCs w:val="21"/>
                <w:lang w:val="en-US" w:eastAsia="zh-CN"/>
              </w:rPr>
              <w:t>.</w:t>
            </w:r>
            <w:r>
              <w:rPr>
                <w:rFonts w:hint="eastAsia" w:ascii="宋体" w:hAnsi="宋体" w:cs="宋体"/>
                <w:color w:val="auto"/>
                <w:szCs w:val="21"/>
              </w:rPr>
              <w:t>不论投标结果如何，投标人均应自行承担所有与投标有关的全部费用。</w:t>
            </w:r>
            <w:r>
              <w:rPr>
                <w:rFonts w:hint="eastAsia" w:ascii="宋体" w:hAnsi="宋体" w:cs="宋体"/>
                <w:color w:val="auto"/>
                <w:szCs w:val="21"/>
                <w:highlight w:val="none"/>
                <w:lang w:eastAsia="zh-CN"/>
              </w:rPr>
              <w:t>（</w:t>
            </w:r>
            <w:r>
              <w:rPr>
                <w:rFonts w:hint="eastAsia" w:ascii="宋体" w:hAnsi="宋体" w:cs="宋体"/>
                <w:color w:val="auto"/>
                <w:szCs w:val="21"/>
                <w:highlight w:val="none"/>
              </w:rPr>
              <w:t>该费用包括完成该项目所需的劳务费调研差旅费、资料费设备费、管理费、利润、税金等各种费用以及项目征求意见、评审期间所需的专家差旅和咨询费)</w:t>
            </w:r>
          </w:p>
        </w:tc>
      </w:tr>
      <w:tr w14:paraId="3F705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vAlign w:val="center"/>
          </w:tcPr>
          <w:p w14:paraId="1F434A33">
            <w:pPr>
              <w:snapToGrid w:val="0"/>
              <w:spacing w:line="440" w:lineRule="exact"/>
              <w:jc w:val="center"/>
              <w:rPr>
                <w:rFonts w:ascii="宋体" w:hAnsi="宋体" w:cs="宋体"/>
                <w:color w:val="auto"/>
                <w:szCs w:val="21"/>
              </w:rPr>
            </w:pPr>
            <w:r>
              <w:rPr>
                <w:rFonts w:hint="eastAsia" w:ascii="宋体" w:hAnsi="宋体" w:cs="宋体"/>
                <w:color w:val="auto"/>
                <w:szCs w:val="21"/>
              </w:rPr>
              <w:t>4</w:t>
            </w:r>
          </w:p>
        </w:tc>
        <w:tc>
          <w:tcPr>
            <w:tcW w:w="8652" w:type="dxa"/>
            <w:tcBorders>
              <w:top w:val="single" w:color="auto" w:sz="4" w:space="0"/>
              <w:left w:val="single" w:color="auto" w:sz="4" w:space="0"/>
              <w:bottom w:val="single" w:color="auto" w:sz="4" w:space="0"/>
              <w:right w:val="single" w:color="auto" w:sz="4" w:space="0"/>
            </w:tcBorders>
            <w:vAlign w:val="center"/>
          </w:tcPr>
          <w:p w14:paraId="5DEB0857">
            <w:pPr>
              <w:snapToGrid w:val="0"/>
              <w:spacing w:line="440" w:lineRule="exact"/>
              <w:rPr>
                <w:rFonts w:ascii="宋体" w:hAnsi="宋体" w:cs="宋体"/>
                <w:color w:val="auto"/>
                <w:szCs w:val="21"/>
              </w:rPr>
            </w:pPr>
            <w:r>
              <w:rPr>
                <w:rFonts w:hint="eastAsia" w:ascii="宋体" w:hAnsi="宋体" w:cs="宋体"/>
                <w:color w:val="auto"/>
                <w:szCs w:val="21"/>
                <w:lang w:eastAsia="zh-CN"/>
              </w:rPr>
              <w:t>投标</w:t>
            </w:r>
            <w:r>
              <w:rPr>
                <w:rFonts w:hint="eastAsia" w:ascii="宋体" w:hAnsi="宋体" w:cs="宋体"/>
                <w:color w:val="auto"/>
                <w:szCs w:val="21"/>
              </w:rPr>
              <w:t>保证金：无</w:t>
            </w:r>
          </w:p>
        </w:tc>
      </w:tr>
      <w:tr w14:paraId="5C163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14:paraId="2C5EDA1F">
            <w:pP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8652" w:type="dxa"/>
            <w:tcBorders>
              <w:top w:val="single" w:color="auto" w:sz="4" w:space="0"/>
              <w:left w:val="single" w:color="auto" w:sz="4" w:space="0"/>
              <w:bottom w:val="single" w:color="auto" w:sz="4" w:space="0"/>
              <w:right w:val="single" w:color="auto" w:sz="4" w:space="0"/>
            </w:tcBorders>
            <w:vAlign w:val="center"/>
          </w:tcPr>
          <w:p w14:paraId="3CB08D8C">
            <w:pPr>
              <w:snapToGrid w:val="0"/>
              <w:spacing w:line="440" w:lineRule="exact"/>
              <w:rPr>
                <w:rFonts w:hint="default" w:ascii="宋体" w:hAnsi="宋体" w:eastAsia="宋体" w:cs="宋体"/>
                <w:color w:val="auto"/>
                <w:szCs w:val="21"/>
                <w:lang w:val="en-US" w:eastAsia="zh-CN"/>
              </w:rPr>
            </w:pPr>
            <w:r>
              <w:rPr>
                <w:rFonts w:hint="eastAsia" w:ascii="宋体" w:hAnsi="宋体" w:cs="宋体"/>
                <w:color w:val="auto"/>
                <w:szCs w:val="21"/>
              </w:rPr>
              <w:t>现场踏勘：自行踏勘（费用自理）</w:t>
            </w:r>
          </w:p>
        </w:tc>
      </w:tr>
      <w:tr w14:paraId="6325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14:paraId="03997F98">
            <w:pPr>
              <w:snapToGrid w:val="0"/>
              <w:spacing w:line="440" w:lineRule="exact"/>
              <w:jc w:val="center"/>
              <w:rPr>
                <w:rFonts w:hint="eastAsia" w:ascii="宋体" w:hAnsi="宋体" w:cs="宋体"/>
                <w:color w:val="auto"/>
                <w:szCs w:val="21"/>
              </w:rPr>
            </w:pPr>
            <w:r>
              <w:rPr>
                <w:rFonts w:hint="eastAsia" w:ascii="宋体" w:hAnsi="宋体" w:cs="宋体"/>
                <w:color w:val="auto"/>
                <w:szCs w:val="21"/>
              </w:rPr>
              <w:t>6</w:t>
            </w:r>
          </w:p>
        </w:tc>
        <w:tc>
          <w:tcPr>
            <w:tcW w:w="8652" w:type="dxa"/>
            <w:tcBorders>
              <w:top w:val="single" w:color="auto" w:sz="4" w:space="0"/>
              <w:left w:val="single" w:color="auto" w:sz="4" w:space="0"/>
              <w:bottom w:val="single" w:color="auto" w:sz="4" w:space="0"/>
              <w:right w:val="single" w:color="auto" w:sz="4" w:space="0"/>
            </w:tcBorders>
            <w:vAlign w:val="center"/>
          </w:tcPr>
          <w:p w14:paraId="18763FF1">
            <w:pPr>
              <w:snapToGrid w:val="0"/>
              <w:spacing w:line="440" w:lineRule="exact"/>
              <w:rPr>
                <w:rFonts w:hint="eastAsia" w:ascii="宋体" w:hAnsi="宋体" w:cs="宋体"/>
                <w:color w:val="auto"/>
                <w:szCs w:val="21"/>
              </w:rPr>
            </w:pPr>
            <w:r>
              <w:rPr>
                <w:rFonts w:hint="eastAsia"/>
                <w:sz w:val="21"/>
                <w:szCs w:val="21"/>
                <w:lang w:val="en-US" w:eastAsia="zh-CN"/>
              </w:rPr>
              <w:t>开标时间和</w:t>
            </w:r>
            <w:r>
              <w:rPr>
                <w:rFonts w:hint="eastAsia"/>
                <w:sz w:val="21"/>
                <w:szCs w:val="21"/>
                <w:lang w:eastAsia="zh-CN"/>
              </w:rPr>
              <w:t>地点</w:t>
            </w:r>
            <w:r>
              <w:rPr>
                <w:rFonts w:hint="eastAsia"/>
                <w:sz w:val="21"/>
                <w:szCs w:val="21"/>
                <w:highlight w:val="none"/>
                <w:lang w:eastAsia="zh-CN"/>
              </w:rPr>
              <w:t>：</w:t>
            </w:r>
            <w:r>
              <w:rPr>
                <w:rFonts w:hint="eastAsia"/>
                <w:sz w:val="21"/>
                <w:szCs w:val="21"/>
                <w:highlight w:val="yellow"/>
                <w:lang w:eastAsia="zh-CN"/>
              </w:rPr>
              <w:t>2025年6月3日上午09时00分</w:t>
            </w:r>
            <w:r>
              <w:rPr>
                <w:rFonts w:hint="eastAsia"/>
                <w:sz w:val="21"/>
                <w:szCs w:val="21"/>
                <w:highlight w:val="none"/>
              </w:rPr>
              <w:t>舟</w:t>
            </w:r>
            <w:r>
              <w:rPr>
                <w:rFonts w:hint="eastAsia"/>
                <w:sz w:val="21"/>
                <w:szCs w:val="21"/>
              </w:rPr>
              <w:t>山市公共资源交易中心嵊泗分中心（嵊泗县菜园镇东市街22号5楼）</w:t>
            </w:r>
          </w:p>
        </w:tc>
      </w:tr>
      <w:tr w14:paraId="3980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vAlign w:val="center"/>
          </w:tcPr>
          <w:p w14:paraId="11B7A3BA">
            <w:pP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8652" w:type="dxa"/>
            <w:tcBorders>
              <w:top w:val="single" w:color="auto" w:sz="4" w:space="0"/>
              <w:left w:val="single" w:color="auto" w:sz="4" w:space="0"/>
              <w:bottom w:val="single" w:color="auto" w:sz="4" w:space="0"/>
              <w:right w:val="single" w:color="auto" w:sz="4" w:space="0"/>
            </w:tcBorders>
            <w:vAlign w:val="center"/>
          </w:tcPr>
          <w:p w14:paraId="5C8B944C">
            <w:pPr>
              <w:snapToGrid w:val="0"/>
              <w:spacing w:line="440" w:lineRule="exact"/>
              <w:rPr>
                <w:rFonts w:ascii="宋体" w:hAnsi="宋体" w:cs="宋体"/>
                <w:color w:val="auto"/>
                <w:szCs w:val="21"/>
              </w:rPr>
            </w:pPr>
            <w:r>
              <w:rPr>
                <w:rFonts w:hint="eastAsia" w:ascii="宋体" w:hAnsi="宋体" w:cs="宋体"/>
                <w:color w:val="auto"/>
                <w:szCs w:val="21"/>
              </w:rPr>
              <w:t>答疑与澄清：无</w:t>
            </w:r>
          </w:p>
        </w:tc>
      </w:tr>
      <w:tr w14:paraId="40E70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vAlign w:val="center"/>
          </w:tcPr>
          <w:p w14:paraId="03C8BF51">
            <w:pPr>
              <w:snapToGrid w:val="0"/>
              <w:spacing w:line="440" w:lineRule="exact"/>
              <w:jc w:val="center"/>
              <w:rPr>
                <w:rFonts w:ascii="宋体" w:hAnsi="宋体" w:cs="宋体"/>
                <w:color w:val="auto"/>
                <w:szCs w:val="21"/>
              </w:rPr>
            </w:pPr>
            <w:r>
              <w:rPr>
                <w:rFonts w:hint="eastAsia" w:ascii="宋体" w:hAnsi="宋体" w:cs="宋体"/>
                <w:color w:val="auto"/>
                <w:szCs w:val="21"/>
              </w:rPr>
              <w:t>8</w:t>
            </w:r>
          </w:p>
        </w:tc>
        <w:tc>
          <w:tcPr>
            <w:tcW w:w="8652" w:type="dxa"/>
            <w:tcBorders>
              <w:top w:val="single" w:color="auto" w:sz="4" w:space="0"/>
              <w:left w:val="single" w:color="auto" w:sz="4" w:space="0"/>
              <w:bottom w:val="single" w:color="auto" w:sz="4" w:space="0"/>
              <w:right w:val="single" w:color="auto" w:sz="4" w:space="0"/>
            </w:tcBorders>
            <w:vAlign w:val="center"/>
          </w:tcPr>
          <w:p w14:paraId="04DCFC03">
            <w:pPr>
              <w:autoSpaceDE w:val="0"/>
              <w:autoSpaceDN w:val="0"/>
              <w:snapToGrid w:val="0"/>
              <w:spacing w:line="440" w:lineRule="exact"/>
              <w:textAlignment w:val="bottom"/>
              <w:rPr>
                <w:rFonts w:ascii="宋体" w:hAnsi="宋体" w:cs="宋体"/>
                <w:color w:val="auto"/>
                <w:szCs w:val="21"/>
              </w:rPr>
            </w:pPr>
            <w:r>
              <w:rPr>
                <w:rFonts w:hint="eastAsia" w:ascii="宋体" w:hAnsi="宋体" w:cs="宋体"/>
                <w:color w:val="auto"/>
                <w:szCs w:val="21"/>
              </w:rPr>
              <w:t>投标文件组成：</w:t>
            </w:r>
            <w:r>
              <w:rPr>
                <w:rFonts w:hint="eastAsia" w:ascii="宋体" w:hAnsi="宋体" w:cs="宋体"/>
                <w:bCs/>
                <w:color w:val="auto"/>
                <w:szCs w:val="21"/>
              </w:rPr>
              <w:t>完整的《投标文件》由</w:t>
            </w:r>
            <w:r>
              <w:rPr>
                <w:rFonts w:hint="eastAsia" w:ascii="宋体" w:hAnsi="宋体" w:cs="宋体"/>
                <w:b/>
                <w:color w:val="auto"/>
                <w:szCs w:val="21"/>
              </w:rPr>
              <w:t>资格文件、商务技术文件及报价文件三部份组成</w:t>
            </w:r>
            <w:r>
              <w:rPr>
                <w:rFonts w:hint="eastAsia" w:ascii="宋体" w:hAnsi="宋体" w:cs="宋体"/>
                <w:bCs/>
                <w:color w:val="auto"/>
                <w:szCs w:val="21"/>
              </w:rPr>
              <w:t>。</w:t>
            </w:r>
          </w:p>
        </w:tc>
      </w:tr>
      <w:tr w14:paraId="70E30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vAlign w:val="center"/>
          </w:tcPr>
          <w:p w14:paraId="46534751">
            <w:pPr>
              <w:snapToGrid w:val="0"/>
              <w:spacing w:line="440" w:lineRule="exact"/>
              <w:jc w:val="center"/>
              <w:rPr>
                <w:rFonts w:ascii="宋体" w:hAnsi="宋体" w:cs="宋体"/>
                <w:color w:val="auto"/>
                <w:szCs w:val="21"/>
              </w:rPr>
            </w:pPr>
            <w:r>
              <w:rPr>
                <w:rFonts w:hint="eastAsia" w:ascii="宋体" w:hAnsi="宋体" w:cs="宋体"/>
                <w:color w:val="auto"/>
                <w:szCs w:val="21"/>
              </w:rPr>
              <w:t>9</w:t>
            </w:r>
          </w:p>
        </w:tc>
        <w:tc>
          <w:tcPr>
            <w:tcW w:w="8652" w:type="dxa"/>
            <w:tcBorders>
              <w:top w:val="single" w:color="auto" w:sz="4" w:space="0"/>
              <w:left w:val="single" w:color="auto" w:sz="4" w:space="0"/>
              <w:bottom w:val="single" w:color="auto" w:sz="4" w:space="0"/>
              <w:right w:val="single" w:color="auto" w:sz="4" w:space="0"/>
            </w:tcBorders>
            <w:vAlign w:val="center"/>
          </w:tcPr>
          <w:p w14:paraId="7946D0A7">
            <w:pPr>
              <w:spacing w:line="440" w:lineRule="exact"/>
              <w:jc w:val="left"/>
              <w:rPr>
                <w:rFonts w:ascii="宋体" w:hAnsi="宋体" w:cs="宋体"/>
                <w:color w:val="auto"/>
                <w:szCs w:val="21"/>
              </w:rPr>
            </w:pPr>
            <w:r>
              <w:rPr>
                <w:rFonts w:hint="eastAsia" w:ascii="宋体" w:hAnsi="宋体" w:cs="宋体"/>
                <w:color w:val="auto"/>
                <w:szCs w:val="21"/>
              </w:rPr>
              <w:t>投标文件的编制：供应商应先安装“政采云电子交易客户端”，并按照本采购文件和“政府采购云平台”的要求，通过“政采云电子交易客户端”编制并加密投标文件。</w:t>
            </w:r>
          </w:p>
        </w:tc>
      </w:tr>
      <w:tr w14:paraId="2B6F2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0CFE3AA8">
            <w:pPr>
              <w:spacing w:line="440" w:lineRule="exact"/>
              <w:jc w:val="center"/>
              <w:rPr>
                <w:rFonts w:ascii="宋体" w:hAnsi="宋体" w:cs="宋体"/>
                <w:color w:val="auto"/>
                <w:szCs w:val="21"/>
              </w:rPr>
            </w:pPr>
            <w:r>
              <w:rPr>
                <w:rFonts w:hint="eastAsia" w:ascii="宋体" w:hAnsi="宋体" w:cs="宋体"/>
                <w:color w:val="auto"/>
                <w:szCs w:val="21"/>
              </w:rPr>
              <w:t>10</w:t>
            </w:r>
          </w:p>
        </w:tc>
        <w:tc>
          <w:tcPr>
            <w:tcW w:w="8652" w:type="dxa"/>
            <w:tcBorders>
              <w:top w:val="single" w:color="auto" w:sz="4" w:space="0"/>
              <w:left w:val="single" w:color="auto" w:sz="4" w:space="0"/>
              <w:bottom w:val="single" w:color="auto" w:sz="4" w:space="0"/>
              <w:right w:val="single" w:color="auto" w:sz="4" w:space="0"/>
            </w:tcBorders>
            <w:vAlign w:val="center"/>
          </w:tcPr>
          <w:p w14:paraId="531E5699">
            <w:pPr>
              <w:spacing w:line="440" w:lineRule="exact"/>
              <w:jc w:val="left"/>
              <w:rPr>
                <w:rFonts w:ascii="宋体" w:hAnsi="宋体" w:cs="宋体"/>
                <w:bCs/>
                <w:color w:val="auto"/>
                <w:szCs w:val="21"/>
              </w:rPr>
            </w:pPr>
            <w:r>
              <w:rPr>
                <w:rFonts w:hint="eastAsia" w:ascii="宋体" w:hAnsi="宋体" w:cs="宋体"/>
                <w:color w:val="auto"/>
                <w:szCs w:val="21"/>
              </w:rPr>
              <w:t>投标文件的形式：</w:t>
            </w:r>
            <w:r>
              <w:rPr>
                <w:rFonts w:hint="eastAsia" w:ascii="宋体" w:hAnsi="宋体" w:cs="宋体"/>
                <w:bCs/>
                <w:color w:val="auto"/>
                <w:szCs w:val="21"/>
              </w:rPr>
              <w:t>☑电子投标文件（包括“电子加密投标文件”和“备份投标文件”，在投标文件编制完成后同时生成）；</w:t>
            </w:r>
          </w:p>
          <w:p w14:paraId="70F7D5B6">
            <w:pPr>
              <w:spacing w:line="440" w:lineRule="exact"/>
              <w:jc w:val="left"/>
              <w:rPr>
                <w:rFonts w:ascii="宋体" w:hAnsi="宋体" w:cs="宋体"/>
                <w:bCs/>
                <w:color w:val="auto"/>
                <w:szCs w:val="21"/>
              </w:rPr>
            </w:pPr>
            <w:r>
              <w:rPr>
                <w:rFonts w:hint="eastAsia" w:ascii="宋体" w:hAnsi="宋体" w:cs="宋体"/>
                <w:bCs/>
                <w:color w:val="auto"/>
                <w:szCs w:val="21"/>
              </w:rPr>
              <w:t>（1）“电子加密投标文件”是指通过“政采云电子交易客户端”完成投标文件编制后生成并加密的数据电文形式的投标文件。</w:t>
            </w:r>
          </w:p>
          <w:p w14:paraId="5570843C">
            <w:pPr>
              <w:spacing w:line="440" w:lineRule="exact"/>
              <w:jc w:val="left"/>
              <w:rPr>
                <w:rFonts w:ascii="宋体" w:hAnsi="宋体" w:cs="宋体"/>
                <w:color w:val="auto"/>
                <w:szCs w:val="21"/>
              </w:rPr>
            </w:pPr>
            <w:r>
              <w:rPr>
                <w:rFonts w:hint="eastAsia" w:ascii="宋体" w:hAnsi="宋体" w:cs="宋体"/>
                <w:bCs/>
                <w:color w:val="auto"/>
                <w:szCs w:val="21"/>
              </w:rPr>
              <w:t>（2）“备份投标文件”是指与“电子加密投标文件”同时生成的数据电文形式的电子文件（备份标书），其他方式编制的备份投标文件视为无效备份投标文件。</w:t>
            </w:r>
          </w:p>
        </w:tc>
      </w:tr>
      <w:tr w14:paraId="51818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1BB957E5">
            <w:pPr>
              <w:spacing w:line="440" w:lineRule="exact"/>
              <w:jc w:val="center"/>
              <w:rPr>
                <w:rFonts w:ascii="宋体" w:hAnsi="宋体" w:cs="宋体"/>
                <w:color w:val="auto"/>
                <w:szCs w:val="21"/>
              </w:rPr>
            </w:pPr>
            <w:r>
              <w:rPr>
                <w:rFonts w:hint="eastAsia" w:ascii="宋体" w:hAnsi="宋体" w:cs="宋体"/>
                <w:color w:val="auto"/>
                <w:szCs w:val="21"/>
              </w:rPr>
              <w:t>11</w:t>
            </w:r>
          </w:p>
        </w:tc>
        <w:tc>
          <w:tcPr>
            <w:tcW w:w="8652" w:type="dxa"/>
            <w:tcBorders>
              <w:top w:val="single" w:color="auto" w:sz="4" w:space="0"/>
              <w:left w:val="single" w:color="auto" w:sz="4" w:space="0"/>
              <w:bottom w:val="single" w:color="auto" w:sz="4" w:space="0"/>
              <w:right w:val="single" w:color="auto" w:sz="4" w:space="0"/>
            </w:tcBorders>
            <w:vAlign w:val="center"/>
          </w:tcPr>
          <w:p w14:paraId="3ABE6F78">
            <w:pPr>
              <w:spacing w:line="440" w:lineRule="exact"/>
              <w:jc w:val="left"/>
              <w:rPr>
                <w:rFonts w:ascii="宋体" w:hAnsi="宋体" w:cs="宋体"/>
                <w:color w:val="auto"/>
                <w:szCs w:val="21"/>
              </w:rPr>
            </w:pPr>
            <w:r>
              <w:rPr>
                <w:rFonts w:hint="eastAsia" w:ascii="宋体" w:hAnsi="宋体" w:cs="宋体"/>
                <w:color w:val="auto"/>
                <w:szCs w:val="21"/>
              </w:rPr>
              <w:t>投标文件份数：</w:t>
            </w:r>
            <w:r>
              <w:rPr>
                <w:rFonts w:hint="eastAsia" w:ascii="宋体" w:hAnsi="宋体" w:cs="宋体"/>
                <w:bCs/>
                <w:color w:val="auto"/>
                <w:szCs w:val="21"/>
              </w:rPr>
              <w:t>（1）“电子加密投标文件”：在线上传递交一份。（2）“备份投标文件”：密封包装后（邮寄形式）投标截止时间前递交一份（</w:t>
            </w:r>
            <w:r>
              <w:rPr>
                <w:rFonts w:hint="eastAsia" w:ascii="宋体" w:hAnsi="宋体" w:cs="宋体"/>
                <w:b/>
                <w:color w:val="auto"/>
                <w:szCs w:val="21"/>
              </w:rPr>
              <w:t>邮寄地址：浙江省舟山市嵊泗菜园镇沙河路263号4楼舟山市嘉嵊咨询管理有限公司（黄健   电话：13575602808）</w:t>
            </w:r>
            <w:r>
              <w:rPr>
                <w:rFonts w:hint="eastAsia" w:ascii="宋体" w:hAnsi="宋体" w:cs="宋体"/>
                <w:bCs/>
                <w:color w:val="auto"/>
                <w:szCs w:val="21"/>
              </w:rPr>
              <w:t>。</w:t>
            </w:r>
          </w:p>
        </w:tc>
      </w:tr>
      <w:tr w14:paraId="528AE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01AE722D">
            <w:pPr>
              <w:spacing w:line="440" w:lineRule="exact"/>
              <w:jc w:val="center"/>
              <w:rPr>
                <w:rFonts w:ascii="宋体" w:hAnsi="宋体" w:cs="宋体"/>
                <w:color w:val="auto"/>
                <w:szCs w:val="21"/>
              </w:rPr>
            </w:pPr>
            <w:r>
              <w:rPr>
                <w:rFonts w:hint="eastAsia" w:ascii="宋体" w:hAnsi="宋体" w:cs="宋体"/>
                <w:color w:val="auto"/>
                <w:szCs w:val="21"/>
              </w:rPr>
              <w:t>12</w:t>
            </w:r>
          </w:p>
        </w:tc>
        <w:tc>
          <w:tcPr>
            <w:tcW w:w="8652" w:type="dxa"/>
            <w:tcBorders>
              <w:top w:val="single" w:color="auto" w:sz="4" w:space="0"/>
              <w:left w:val="single" w:color="auto" w:sz="4" w:space="0"/>
              <w:bottom w:val="single" w:color="auto" w:sz="4" w:space="0"/>
              <w:right w:val="single" w:color="auto" w:sz="4" w:space="0"/>
            </w:tcBorders>
            <w:vAlign w:val="center"/>
          </w:tcPr>
          <w:p w14:paraId="52267D94">
            <w:pPr>
              <w:spacing w:line="440" w:lineRule="exact"/>
              <w:jc w:val="left"/>
              <w:rPr>
                <w:rFonts w:ascii="宋体" w:hAnsi="宋体" w:cs="宋体"/>
                <w:color w:val="auto"/>
                <w:szCs w:val="21"/>
              </w:rPr>
            </w:pPr>
            <w:r>
              <w:rPr>
                <w:rFonts w:hint="eastAsia" w:ascii="宋体" w:hAnsi="宋体" w:cs="宋体"/>
                <w:color w:val="auto"/>
                <w:szCs w:val="21"/>
              </w:rPr>
              <w:t>投标文件的上传和递交：</w:t>
            </w:r>
          </w:p>
          <w:p w14:paraId="2346E328">
            <w:pPr>
              <w:spacing w:line="440" w:lineRule="exact"/>
              <w:jc w:val="left"/>
              <w:rPr>
                <w:rFonts w:ascii="宋体" w:hAnsi="宋体" w:cs="宋体"/>
                <w:bCs/>
                <w:color w:val="auto"/>
                <w:szCs w:val="21"/>
              </w:rPr>
            </w:pPr>
            <w:r>
              <w:rPr>
                <w:rFonts w:hint="eastAsia" w:ascii="宋体" w:hAnsi="宋体" w:cs="宋体"/>
                <w:bCs/>
                <w:color w:val="auto"/>
                <w:szCs w:val="21"/>
              </w:rPr>
              <w:t>（1）“电子加密投标文件”的上传、递交：</w:t>
            </w:r>
          </w:p>
          <w:p w14:paraId="1A118E1E">
            <w:pPr>
              <w:spacing w:line="440" w:lineRule="exact"/>
              <w:jc w:val="left"/>
              <w:rPr>
                <w:rFonts w:ascii="宋体" w:hAnsi="宋体" w:cs="宋体"/>
                <w:bCs/>
                <w:color w:val="auto"/>
                <w:szCs w:val="21"/>
              </w:rPr>
            </w:pPr>
            <w:r>
              <w:rPr>
                <w:rFonts w:hint="eastAsia" w:ascii="宋体" w:hAnsi="宋体" w:cs="宋体"/>
                <w:bCs/>
                <w:color w:val="auto"/>
                <w:szCs w:val="21"/>
              </w:rPr>
              <w:t>a.投标供应商应在投标截止时间前将“电子加密投标文件”成功上传递交至“政府采购云平台”，否则投标无效。</w:t>
            </w:r>
          </w:p>
          <w:p w14:paraId="345F95F9">
            <w:pPr>
              <w:spacing w:line="440" w:lineRule="exact"/>
              <w:jc w:val="left"/>
              <w:rPr>
                <w:rFonts w:ascii="宋体" w:hAnsi="宋体" w:cs="宋体"/>
                <w:bCs/>
                <w:color w:val="auto"/>
                <w:szCs w:val="21"/>
              </w:rPr>
            </w:pPr>
            <w:r>
              <w:rPr>
                <w:rFonts w:hint="eastAsia" w:ascii="宋体" w:hAnsi="宋体" w:cs="宋体"/>
                <w:bCs/>
                <w:color w:val="auto"/>
                <w:szCs w:val="21"/>
              </w:rPr>
              <w:t>b.“电子加密投标文件”成功上传递交后，供应商可自行打印投标文件接收回执。</w:t>
            </w:r>
          </w:p>
          <w:p w14:paraId="6CDD389A">
            <w:pPr>
              <w:spacing w:line="440" w:lineRule="exact"/>
              <w:jc w:val="left"/>
              <w:rPr>
                <w:rFonts w:ascii="宋体" w:hAnsi="宋体" w:cs="宋体"/>
                <w:bCs/>
                <w:color w:val="auto"/>
                <w:szCs w:val="21"/>
              </w:rPr>
            </w:pPr>
            <w:r>
              <w:rPr>
                <w:rFonts w:hint="eastAsia" w:ascii="宋体" w:hAnsi="宋体" w:cs="宋体"/>
                <w:bCs/>
                <w:color w:val="auto"/>
                <w:szCs w:val="21"/>
              </w:rPr>
              <w:t>（2）“备份投标文件”的密封包装、递交：</w:t>
            </w:r>
          </w:p>
          <w:p w14:paraId="6468400D">
            <w:pPr>
              <w:spacing w:line="440" w:lineRule="exact"/>
              <w:jc w:val="left"/>
              <w:rPr>
                <w:rFonts w:ascii="宋体" w:hAnsi="宋体" w:cs="宋体"/>
                <w:bCs/>
                <w:color w:val="auto"/>
                <w:szCs w:val="21"/>
              </w:rPr>
            </w:pPr>
            <w:r>
              <w:rPr>
                <w:rFonts w:hint="eastAsia" w:ascii="宋体" w:hAnsi="宋体" w:cs="宋体"/>
                <w:bCs/>
                <w:color w:val="auto"/>
                <w:szCs w:val="21"/>
              </w:rPr>
              <w:t>a.投标供应商在“政府采购云平台”完成“电子加密投标文件”的上传递交后，还可以（邮寄形式）在投标截止时间前递交以介质（U盘）存储的“备份投标文件”（一份）；</w:t>
            </w:r>
          </w:p>
          <w:p w14:paraId="6F276A38">
            <w:pPr>
              <w:spacing w:line="440" w:lineRule="exact"/>
              <w:jc w:val="left"/>
              <w:rPr>
                <w:rFonts w:ascii="宋体" w:hAnsi="宋体" w:cs="宋体"/>
                <w:bCs/>
                <w:color w:val="auto"/>
                <w:szCs w:val="21"/>
              </w:rPr>
            </w:pPr>
            <w:r>
              <w:rPr>
                <w:rFonts w:hint="eastAsia" w:ascii="宋体" w:hAnsi="宋体" w:cs="宋体"/>
                <w:bCs/>
                <w:color w:val="auto"/>
                <w:szCs w:val="21"/>
              </w:rPr>
              <w:t>b.“备份投标文件”应当密封包装，并在包装上标注投标项目名称、投标单位名称并加盖公章。没有密封包装或者逾期邮寄送达至上述邮寄地点的“备份投标文件”将不予接收；</w:t>
            </w:r>
          </w:p>
          <w:p w14:paraId="26576624">
            <w:pPr>
              <w:spacing w:line="440" w:lineRule="exact"/>
              <w:jc w:val="left"/>
              <w:rPr>
                <w:rFonts w:ascii="宋体" w:hAnsi="宋体" w:cs="宋体"/>
                <w:color w:val="auto"/>
                <w:szCs w:val="21"/>
              </w:rPr>
            </w:pPr>
            <w:r>
              <w:rPr>
                <w:rFonts w:hint="eastAsia" w:ascii="宋体" w:hAnsi="宋体" w:cs="宋体"/>
                <w:bCs/>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5872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14:paraId="6BEA8900">
            <w:pPr>
              <w:spacing w:line="440" w:lineRule="exact"/>
              <w:jc w:val="center"/>
              <w:rPr>
                <w:rFonts w:ascii="宋体" w:hAnsi="宋体" w:cs="宋体"/>
                <w:color w:val="auto"/>
                <w:szCs w:val="21"/>
              </w:rPr>
            </w:pPr>
            <w:r>
              <w:rPr>
                <w:rFonts w:hint="eastAsia" w:ascii="宋体" w:hAnsi="宋体" w:cs="宋体"/>
                <w:color w:val="auto"/>
                <w:szCs w:val="21"/>
              </w:rPr>
              <w:t>13</w:t>
            </w:r>
          </w:p>
        </w:tc>
        <w:tc>
          <w:tcPr>
            <w:tcW w:w="8652" w:type="dxa"/>
            <w:tcBorders>
              <w:top w:val="single" w:color="auto" w:sz="4" w:space="0"/>
              <w:left w:val="single" w:color="auto" w:sz="4" w:space="0"/>
              <w:bottom w:val="single" w:color="auto" w:sz="4" w:space="0"/>
              <w:right w:val="single" w:color="auto" w:sz="4" w:space="0"/>
            </w:tcBorders>
            <w:vAlign w:val="center"/>
          </w:tcPr>
          <w:p w14:paraId="48C5BFA8">
            <w:pPr>
              <w:spacing w:line="440" w:lineRule="exact"/>
              <w:jc w:val="left"/>
              <w:rPr>
                <w:rFonts w:ascii="宋体" w:hAnsi="宋体" w:cs="宋体"/>
                <w:color w:val="auto"/>
                <w:szCs w:val="21"/>
              </w:rPr>
            </w:pPr>
            <w:r>
              <w:rPr>
                <w:rFonts w:hint="eastAsia" w:ascii="宋体" w:hAnsi="宋体" w:cs="宋体"/>
                <w:color w:val="auto"/>
                <w:szCs w:val="21"/>
              </w:rPr>
              <w:t>电子加密投标文件的解密和异常情况处理：</w:t>
            </w:r>
          </w:p>
          <w:p w14:paraId="09B3FD3A">
            <w:pPr>
              <w:spacing w:line="440" w:lineRule="exact"/>
              <w:jc w:val="left"/>
              <w:rPr>
                <w:rFonts w:ascii="宋体" w:hAnsi="宋体" w:cs="宋体"/>
                <w:color w:val="auto"/>
                <w:szCs w:val="21"/>
              </w:rPr>
            </w:pPr>
            <w:r>
              <w:rPr>
                <w:rFonts w:hint="eastAsia" w:ascii="宋体" w:hAnsi="宋体" w:cs="宋体"/>
                <w:color w:val="auto"/>
                <w:szCs w:val="21"/>
              </w:rPr>
              <w:t>（1）开标后，采购组织机构将向各投标供应商发出“电子加密投标文件”的解密通知，各投标供应商代表应当在接到解密通知后30分钟内自行完成“电子加密投标文件”的在线解密。</w:t>
            </w:r>
          </w:p>
          <w:p w14:paraId="727188E3">
            <w:pPr>
              <w:spacing w:line="440" w:lineRule="exact"/>
              <w:jc w:val="left"/>
              <w:rPr>
                <w:rFonts w:ascii="宋体" w:hAnsi="宋体" w:cs="宋体"/>
                <w:color w:val="auto"/>
                <w:szCs w:val="21"/>
              </w:rPr>
            </w:pPr>
            <w:r>
              <w:rPr>
                <w:rFonts w:hint="eastAsia" w:ascii="宋体" w:hAnsi="宋体" w:cs="宋体"/>
                <w:color w:val="auto"/>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6C073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14:paraId="70436F1E">
            <w:pPr>
              <w:spacing w:line="440" w:lineRule="exact"/>
              <w:jc w:val="center"/>
              <w:rPr>
                <w:rFonts w:ascii="宋体" w:hAnsi="宋体" w:cs="宋体"/>
                <w:color w:val="auto"/>
                <w:szCs w:val="21"/>
              </w:rPr>
            </w:pPr>
            <w:r>
              <w:rPr>
                <w:rFonts w:hint="eastAsia" w:ascii="宋体" w:hAnsi="宋体" w:cs="宋体"/>
                <w:color w:val="auto"/>
                <w:szCs w:val="21"/>
              </w:rPr>
              <w:t>14</w:t>
            </w:r>
          </w:p>
        </w:tc>
        <w:tc>
          <w:tcPr>
            <w:tcW w:w="8652" w:type="dxa"/>
            <w:tcBorders>
              <w:top w:val="single" w:color="auto" w:sz="4" w:space="0"/>
              <w:left w:val="single" w:color="auto" w:sz="4" w:space="0"/>
              <w:bottom w:val="single" w:color="auto" w:sz="4" w:space="0"/>
              <w:right w:val="single" w:color="auto" w:sz="4" w:space="0"/>
            </w:tcBorders>
            <w:vAlign w:val="center"/>
          </w:tcPr>
          <w:p w14:paraId="5BE16BB9">
            <w:pPr>
              <w:snapToGrid w:val="0"/>
              <w:spacing w:line="440" w:lineRule="exact"/>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yellow"/>
                <w:lang w:eastAsia="zh-CN"/>
              </w:rPr>
              <w:t>2025年6月3日上午09时00分</w:t>
            </w:r>
          </w:p>
          <w:p w14:paraId="60116328">
            <w:pPr>
              <w:snapToGrid w:val="0"/>
              <w:spacing w:line="44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政采云平台线上投标</w:t>
            </w:r>
          </w:p>
        </w:tc>
      </w:tr>
      <w:tr w14:paraId="4989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vAlign w:val="center"/>
          </w:tcPr>
          <w:p w14:paraId="756B87D1">
            <w:pPr>
              <w:spacing w:line="440" w:lineRule="exact"/>
              <w:jc w:val="center"/>
              <w:rPr>
                <w:rFonts w:ascii="宋体" w:hAnsi="宋体" w:cs="宋体"/>
                <w:color w:val="auto"/>
                <w:szCs w:val="21"/>
              </w:rPr>
            </w:pPr>
            <w:r>
              <w:rPr>
                <w:rFonts w:hint="eastAsia" w:ascii="宋体" w:hAnsi="宋体" w:cs="宋体"/>
                <w:color w:val="auto"/>
                <w:szCs w:val="21"/>
              </w:rPr>
              <w:t>15</w:t>
            </w:r>
          </w:p>
        </w:tc>
        <w:tc>
          <w:tcPr>
            <w:tcW w:w="8652" w:type="dxa"/>
            <w:tcBorders>
              <w:top w:val="single" w:color="auto" w:sz="4" w:space="0"/>
              <w:left w:val="single" w:color="auto" w:sz="4" w:space="0"/>
              <w:bottom w:val="single" w:color="auto" w:sz="4" w:space="0"/>
              <w:right w:val="single" w:color="auto" w:sz="4" w:space="0"/>
            </w:tcBorders>
            <w:vAlign w:val="center"/>
          </w:tcPr>
          <w:p w14:paraId="348F3DD0">
            <w:pPr>
              <w:snapToGrid w:val="0"/>
              <w:spacing w:line="440" w:lineRule="exact"/>
              <w:rPr>
                <w:rFonts w:hint="eastAsia" w:ascii="宋体" w:hAnsi="宋体" w:cs="宋体"/>
                <w:b/>
                <w:bCs/>
                <w:color w:val="auto"/>
                <w:szCs w:val="21"/>
                <w:highlight w:val="none"/>
                <w:lang w:eastAsia="zh-CN"/>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lang w:eastAsia="zh-CN"/>
              </w:rPr>
              <w:t>2025年6月3日上午09时00分</w:t>
            </w:r>
          </w:p>
          <w:p w14:paraId="30C4CBC1">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政采云平台线上开标</w:t>
            </w:r>
          </w:p>
        </w:tc>
      </w:tr>
      <w:tr w14:paraId="44A1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vAlign w:val="center"/>
          </w:tcPr>
          <w:p w14:paraId="2C30CE47">
            <w:pPr>
              <w:snapToGrid w:val="0"/>
              <w:spacing w:line="440" w:lineRule="exact"/>
              <w:jc w:val="center"/>
              <w:rPr>
                <w:rFonts w:ascii="宋体" w:hAnsi="宋体" w:cs="宋体"/>
                <w:color w:val="auto"/>
                <w:szCs w:val="21"/>
              </w:rPr>
            </w:pPr>
            <w:r>
              <w:rPr>
                <w:rFonts w:hint="eastAsia" w:ascii="宋体" w:hAnsi="宋体" w:cs="宋体"/>
                <w:color w:val="auto"/>
                <w:szCs w:val="21"/>
              </w:rPr>
              <w:t>16</w:t>
            </w:r>
          </w:p>
        </w:tc>
        <w:tc>
          <w:tcPr>
            <w:tcW w:w="8652" w:type="dxa"/>
            <w:tcBorders>
              <w:top w:val="single" w:color="auto" w:sz="4" w:space="0"/>
              <w:left w:val="single" w:color="auto" w:sz="4" w:space="0"/>
              <w:bottom w:val="single" w:color="auto" w:sz="4" w:space="0"/>
              <w:right w:val="single" w:color="auto" w:sz="4" w:space="0"/>
            </w:tcBorders>
            <w:vAlign w:val="center"/>
          </w:tcPr>
          <w:p w14:paraId="7C42A722">
            <w:pPr>
              <w:autoSpaceDE w:val="0"/>
              <w:autoSpaceDN w:val="0"/>
              <w:snapToGrid w:val="0"/>
              <w:spacing w:line="440" w:lineRule="exact"/>
              <w:textAlignment w:val="bottom"/>
              <w:rPr>
                <w:rFonts w:ascii="宋体" w:hAnsi="宋体" w:cs="宋体"/>
                <w:color w:val="auto"/>
                <w:szCs w:val="21"/>
              </w:rPr>
            </w:pPr>
            <w:r>
              <w:rPr>
                <w:rFonts w:hint="eastAsia" w:ascii="宋体" w:hAnsi="宋体" w:cs="宋体"/>
                <w:color w:val="auto"/>
                <w:szCs w:val="21"/>
              </w:rPr>
              <w:t>签订合同时间：中标通知书发出后30日内。</w:t>
            </w:r>
          </w:p>
        </w:tc>
      </w:tr>
      <w:tr w14:paraId="3DE01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vAlign w:val="center"/>
          </w:tcPr>
          <w:p w14:paraId="46F87EB1">
            <w:pPr>
              <w:snapToGrid w:val="0"/>
              <w:spacing w:line="440" w:lineRule="exact"/>
              <w:jc w:val="center"/>
              <w:rPr>
                <w:rFonts w:ascii="宋体" w:hAnsi="宋体" w:cs="宋体"/>
                <w:color w:val="auto"/>
                <w:szCs w:val="21"/>
              </w:rPr>
            </w:pPr>
            <w:r>
              <w:rPr>
                <w:rFonts w:hint="eastAsia" w:ascii="宋体" w:hAnsi="宋体" w:cs="宋体"/>
                <w:color w:val="auto"/>
                <w:szCs w:val="21"/>
              </w:rPr>
              <w:t>17</w:t>
            </w:r>
          </w:p>
        </w:tc>
        <w:tc>
          <w:tcPr>
            <w:tcW w:w="8652" w:type="dxa"/>
            <w:tcBorders>
              <w:top w:val="single" w:color="auto" w:sz="4" w:space="0"/>
              <w:left w:val="single" w:color="auto" w:sz="4" w:space="0"/>
              <w:bottom w:val="single" w:color="auto" w:sz="4" w:space="0"/>
              <w:right w:val="single" w:color="auto" w:sz="4" w:space="0"/>
            </w:tcBorders>
            <w:vAlign w:val="center"/>
          </w:tcPr>
          <w:p w14:paraId="1B839BF5">
            <w:pPr>
              <w:autoSpaceDE w:val="0"/>
              <w:autoSpaceDN w:val="0"/>
              <w:snapToGrid w:val="0"/>
              <w:spacing w:line="440" w:lineRule="exact"/>
              <w:textAlignment w:val="bottom"/>
              <w:rPr>
                <w:rFonts w:ascii="宋体" w:hAnsi="宋体" w:cs="宋体"/>
                <w:color w:val="auto"/>
                <w:szCs w:val="21"/>
              </w:rPr>
            </w:pPr>
            <w:r>
              <w:rPr>
                <w:rFonts w:hint="eastAsia" w:ascii="宋体" w:hAnsi="宋体" w:cs="宋体"/>
                <w:b/>
                <w:bCs/>
                <w:color w:val="auto"/>
                <w:szCs w:val="21"/>
              </w:rPr>
              <w:t>最高限价：人民币</w:t>
            </w:r>
            <w:r>
              <w:rPr>
                <w:rFonts w:hint="eastAsia" w:ascii="宋体" w:hAnsi="宋体" w:cs="宋体"/>
                <w:b/>
                <w:bCs/>
                <w:color w:val="auto"/>
                <w:szCs w:val="21"/>
                <w:lang w:val="en-US" w:eastAsia="zh-CN"/>
              </w:rPr>
              <w:t>73.3万元</w:t>
            </w:r>
            <w:r>
              <w:rPr>
                <w:rFonts w:hint="eastAsia" w:ascii="宋体" w:hAnsi="宋体" w:cs="宋体"/>
                <w:b/>
                <w:bCs/>
                <w:color w:val="auto"/>
                <w:szCs w:val="21"/>
              </w:rPr>
              <w:t>，超过最高限价的投标报价按无效标处理。</w:t>
            </w:r>
          </w:p>
        </w:tc>
      </w:tr>
      <w:tr w14:paraId="7A80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vAlign w:val="center"/>
          </w:tcPr>
          <w:p w14:paraId="1179A1CD">
            <w:pPr>
              <w:snapToGrid w:val="0"/>
              <w:spacing w:line="440" w:lineRule="exact"/>
              <w:jc w:val="center"/>
              <w:rPr>
                <w:rFonts w:ascii="宋体" w:hAnsi="宋体" w:cs="宋体"/>
                <w:color w:val="auto"/>
                <w:szCs w:val="21"/>
              </w:rPr>
            </w:pPr>
            <w:r>
              <w:rPr>
                <w:rFonts w:hint="eastAsia" w:ascii="宋体" w:hAnsi="宋体" w:cs="宋体"/>
                <w:color w:val="auto"/>
                <w:szCs w:val="21"/>
              </w:rPr>
              <w:t>18</w:t>
            </w:r>
          </w:p>
        </w:tc>
        <w:tc>
          <w:tcPr>
            <w:tcW w:w="8652" w:type="dxa"/>
            <w:tcBorders>
              <w:top w:val="single" w:color="auto" w:sz="4" w:space="0"/>
              <w:left w:val="single" w:color="auto" w:sz="4" w:space="0"/>
              <w:bottom w:val="single" w:color="auto" w:sz="4" w:space="0"/>
              <w:right w:val="single" w:color="auto" w:sz="4" w:space="0"/>
            </w:tcBorders>
            <w:vAlign w:val="center"/>
          </w:tcPr>
          <w:p w14:paraId="58A5381E">
            <w:pPr>
              <w:autoSpaceDE w:val="0"/>
              <w:autoSpaceDN w:val="0"/>
              <w:snapToGrid w:val="0"/>
              <w:spacing w:line="440" w:lineRule="exact"/>
              <w:textAlignment w:val="bottom"/>
              <w:rPr>
                <w:rFonts w:hint="eastAsia" w:ascii="宋体" w:hAnsi="宋体" w:eastAsia="宋体" w:cs="宋体"/>
                <w:color w:val="auto"/>
                <w:szCs w:val="21"/>
                <w:lang w:eastAsia="zh-CN"/>
              </w:rPr>
            </w:pPr>
            <w:r>
              <w:rPr>
                <w:rFonts w:hint="eastAsia" w:ascii="宋体" w:hAnsi="宋体" w:cs="宋体"/>
                <w:b/>
                <w:bCs/>
                <w:color w:val="auto"/>
                <w:szCs w:val="21"/>
                <w:highlight w:val="none"/>
              </w:rPr>
              <w:t>履约保证金：</w:t>
            </w:r>
            <w:r>
              <w:rPr>
                <w:rFonts w:hint="eastAsia" w:ascii="宋体" w:hAnsi="宋体" w:cs="宋体"/>
                <w:b/>
                <w:color w:val="auto"/>
                <w:szCs w:val="21"/>
                <w:highlight w:val="none"/>
                <w:lang w:eastAsia="zh-CN"/>
              </w:rPr>
              <w:t>无</w:t>
            </w:r>
          </w:p>
        </w:tc>
      </w:tr>
      <w:tr w14:paraId="620E5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14:paraId="279C7A62">
            <w:pPr>
              <w:snapToGrid w:val="0"/>
              <w:spacing w:line="440" w:lineRule="exact"/>
              <w:jc w:val="center"/>
              <w:rPr>
                <w:rFonts w:ascii="宋体" w:hAnsi="宋体" w:cs="宋体"/>
                <w:color w:val="auto"/>
                <w:szCs w:val="21"/>
              </w:rPr>
            </w:pPr>
            <w:r>
              <w:rPr>
                <w:rFonts w:hint="eastAsia" w:ascii="宋体" w:hAnsi="宋体" w:cs="宋体"/>
                <w:color w:val="auto"/>
                <w:szCs w:val="21"/>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F367A87">
            <w:pPr>
              <w:snapToGrid w:val="0"/>
              <w:spacing w:line="440" w:lineRule="exact"/>
              <w:rPr>
                <w:rFonts w:ascii="宋体" w:hAnsi="宋体" w:cs="宋体"/>
                <w:color w:val="auto"/>
                <w:szCs w:val="21"/>
              </w:rPr>
            </w:pPr>
            <w:r>
              <w:rPr>
                <w:rFonts w:hint="eastAsia" w:ascii="宋体" w:hAnsi="宋体" w:cs="宋体"/>
                <w:color w:val="auto"/>
                <w:szCs w:val="21"/>
              </w:rPr>
              <w:t>投标文件有效期：</w:t>
            </w:r>
            <w:r>
              <w:rPr>
                <w:rFonts w:hint="eastAsia" w:ascii="宋体" w:hAnsi="宋体" w:cs="宋体"/>
                <w:color w:val="auto"/>
                <w:szCs w:val="21"/>
                <w:u w:val="single"/>
              </w:rPr>
              <w:t>60</w:t>
            </w:r>
            <w:r>
              <w:rPr>
                <w:rFonts w:hint="eastAsia" w:ascii="宋体" w:hAnsi="宋体" w:cs="宋体"/>
                <w:color w:val="auto"/>
                <w:szCs w:val="21"/>
              </w:rPr>
              <w:t>天</w:t>
            </w:r>
          </w:p>
        </w:tc>
      </w:tr>
      <w:tr w14:paraId="52C5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14:paraId="35F0DD83">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A274645">
            <w:pPr>
              <w:snapToGrid w:val="0"/>
              <w:spacing w:line="440" w:lineRule="exact"/>
              <w:rPr>
                <w:rFonts w:hint="eastAsia" w:ascii="宋体" w:hAnsi="宋体" w:cs="宋体"/>
                <w:color w:val="auto"/>
                <w:szCs w:val="21"/>
              </w:rPr>
            </w:pPr>
            <w:r>
              <w:rPr>
                <w:rFonts w:hint="eastAsia" w:ascii="宋体" w:hAnsi="宋体" w:cs="宋体"/>
                <w:szCs w:val="21"/>
              </w:rPr>
              <w:t>在不影响公平竞争的前提下，采购文件中参与同一标段（包）的供应商存在以下情形的，其投标文件相应无效：MAC地址相同、计算机硬盘序列号相同、采购文件细节错误一致且无合理解释的等情形。</w:t>
            </w:r>
          </w:p>
        </w:tc>
      </w:tr>
      <w:tr w14:paraId="3C64D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14:paraId="7E856FAC">
            <w:pPr>
              <w:snapToGrid w:val="0"/>
              <w:spacing w:line="44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8652" w:type="dxa"/>
            <w:tcBorders>
              <w:top w:val="single" w:color="auto" w:sz="4" w:space="0"/>
              <w:left w:val="single" w:color="auto" w:sz="4" w:space="0"/>
              <w:bottom w:val="single" w:color="auto" w:sz="4" w:space="0"/>
              <w:right w:val="single" w:color="auto" w:sz="4" w:space="0"/>
            </w:tcBorders>
            <w:vAlign w:val="center"/>
          </w:tcPr>
          <w:p w14:paraId="26E35F0E">
            <w:pPr>
              <w:spacing w:line="440" w:lineRule="exact"/>
              <w:rPr>
                <w:rFonts w:ascii="宋体" w:hAnsi="宋体" w:cs="宋体"/>
                <w:color w:val="auto"/>
                <w:szCs w:val="21"/>
              </w:rPr>
            </w:pPr>
            <w:r>
              <w:rPr>
                <w:rFonts w:hint="eastAsia" w:ascii="宋体" w:hAnsi="宋体" w:cs="宋体"/>
                <w:color w:val="auto"/>
                <w:kern w:val="0"/>
                <w:szCs w:val="21"/>
              </w:rPr>
              <w:t>网上注册：本项目</w:t>
            </w:r>
            <w:r>
              <w:rPr>
                <w:rFonts w:hint="eastAsia" w:ascii="宋体" w:hAnsi="宋体" w:cs="宋体"/>
                <w:color w:val="auto"/>
                <w:szCs w:val="21"/>
              </w:rPr>
              <w:t>不提供采购文件纸质版</w:t>
            </w:r>
            <w:r>
              <w:rPr>
                <w:rFonts w:hint="eastAsia" w:ascii="宋体" w:hAnsi="宋体" w:cs="宋体"/>
                <w:color w:val="auto"/>
                <w:kern w:val="0"/>
                <w:szCs w:val="21"/>
              </w:rPr>
              <w:t>，</w:t>
            </w:r>
            <w:r>
              <w:rPr>
                <w:rFonts w:hint="eastAsia" w:ascii="宋体" w:hAnsi="宋体" w:cs="宋体"/>
                <w:color w:val="auto"/>
                <w:szCs w:val="21"/>
              </w:rPr>
              <w:t>实行“政府采购云平台”在线获取</w:t>
            </w:r>
            <w:r>
              <w:rPr>
                <w:rFonts w:hint="eastAsia" w:ascii="宋体" w:hAnsi="宋体" w:cs="宋体"/>
                <w:color w:val="auto"/>
                <w:kern w:val="0"/>
                <w:szCs w:val="21"/>
              </w:rPr>
              <w:t>。须在浙江政府采购网进行供应商注册。（详情请见第一章公告及采购文件的获取）</w:t>
            </w:r>
          </w:p>
        </w:tc>
      </w:tr>
      <w:tr w14:paraId="343AA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636" w:type="dxa"/>
            <w:tcBorders>
              <w:top w:val="single" w:color="auto" w:sz="4" w:space="0"/>
              <w:left w:val="single" w:color="auto" w:sz="4" w:space="0"/>
              <w:bottom w:val="single" w:color="auto" w:sz="4" w:space="0"/>
              <w:right w:val="single" w:color="auto" w:sz="4" w:space="0"/>
            </w:tcBorders>
            <w:vAlign w:val="center"/>
          </w:tcPr>
          <w:p w14:paraId="11546B08">
            <w:pPr>
              <w:snapToGrid w:val="0"/>
              <w:spacing w:line="440" w:lineRule="exact"/>
              <w:jc w:val="center"/>
              <w:rPr>
                <w:rFonts w:ascii="宋体" w:hAnsi="宋体" w:cs="宋体"/>
                <w:color w:val="auto"/>
                <w:szCs w:val="21"/>
              </w:rPr>
            </w:pPr>
            <w:r>
              <w:rPr>
                <w:rFonts w:hint="eastAsia" w:ascii="宋体" w:hAnsi="宋体" w:cs="宋体"/>
                <w:color w:val="auto"/>
                <w:szCs w:val="21"/>
              </w:rPr>
              <w:t>22</w:t>
            </w:r>
          </w:p>
        </w:tc>
        <w:tc>
          <w:tcPr>
            <w:tcW w:w="8652" w:type="dxa"/>
            <w:tcBorders>
              <w:top w:val="single" w:color="auto" w:sz="4" w:space="0"/>
              <w:left w:val="single" w:color="auto" w:sz="4" w:space="0"/>
              <w:bottom w:val="single" w:color="auto" w:sz="4" w:space="0"/>
              <w:right w:val="single" w:color="auto" w:sz="4" w:space="0"/>
            </w:tcBorders>
            <w:vAlign w:val="center"/>
          </w:tcPr>
          <w:p w14:paraId="37B6536F">
            <w:pPr>
              <w:adjustRightInd w:val="0"/>
              <w:snapToGrid w:val="0"/>
              <w:spacing w:line="360" w:lineRule="auto"/>
              <w:rPr>
                <w:rFonts w:ascii="宋体" w:hAnsi="宋体" w:cs="宋体"/>
                <w:b/>
                <w:bCs/>
                <w:color w:val="auto"/>
                <w:szCs w:val="21"/>
              </w:rPr>
            </w:pPr>
            <w:r>
              <w:rPr>
                <w:rFonts w:hint="eastAsia" w:ascii="宋体" w:hAnsi="宋体" w:cs="宋体"/>
                <w:b/>
                <w:bCs/>
                <w:color w:val="auto"/>
                <w:szCs w:val="21"/>
              </w:rPr>
              <w:t>一、说明</w:t>
            </w:r>
          </w:p>
          <w:p w14:paraId="292E8205">
            <w:pPr>
              <w:adjustRightInd w:val="0"/>
              <w:snapToGrid w:val="0"/>
              <w:spacing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中</w:t>
            </w:r>
            <w:r>
              <w:rPr>
                <w:rFonts w:hint="eastAsia" w:ascii="宋体" w:hAnsi="宋体" w:cs="宋体"/>
                <w:b/>
                <w:bCs/>
                <w:color w:val="auto"/>
                <w:szCs w:val="21"/>
                <w:lang w:eastAsia="zh-CN"/>
              </w:rPr>
              <w:t>小企业</w:t>
            </w:r>
          </w:p>
          <w:p w14:paraId="0010919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中</w:t>
            </w:r>
            <w:r>
              <w:rPr>
                <w:rFonts w:hint="eastAsia" w:ascii="宋体" w:hAnsi="宋体" w:cs="宋体"/>
                <w:color w:val="auto"/>
                <w:szCs w:val="21"/>
                <w:lang w:eastAsia="zh-CN"/>
              </w:rPr>
              <w:t>小企业</w:t>
            </w:r>
            <w:r>
              <w:rPr>
                <w:rFonts w:hint="eastAsia" w:ascii="宋体" w:hAnsi="宋体" w:cs="宋体"/>
                <w:color w:val="auto"/>
                <w:szCs w:val="21"/>
              </w:rPr>
              <w:t>是指在中华人民共和国境内依法设立，依据国务院批准的</w:t>
            </w:r>
            <w:r>
              <w:rPr>
                <w:rFonts w:hint="eastAsia" w:ascii="宋体" w:hAnsi="宋体" w:cs="宋体"/>
                <w:color w:val="auto"/>
                <w:szCs w:val="21"/>
                <w:lang w:val="en-US" w:eastAsia="zh-CN"/>
              </w:rPr>
              <w:t>中</w:t>
            </w:r>
            <w:r>
              <w:rPr>
                <w:rFonts w:hint="eastAsia" w:ascii="宋体" w:hAnsi="宋体" w:cs="宋体"/>
                <w:color w:val="auto"/>
                <w:szCs w:val="21"/>
                <w:lang w:eastAsia="zh-CN"/>
              </w:rPr>
              <w:t>小企业</w:t>
            </w:r>
            <w:r>
              <w:rPr>
                <w:rFonts w:hint="eastAsia" w:ascii="宋体" w:hAnsi="宋体" w:cs="宋体"/>
                <w:color w:val="auto"/>
                <w:szCs w:val="21"/>
              </w:rPr>
              <w:t>划分标准确定的中型企业、小型企业和微型企业，但与大企业的负责人为同一人，或者与大企业存在直接控股、管理关系的除外。</w:t>
            </w:r>
          </w:p>
          <w:p w14:paraId="0E0A6CDD">
            <w:pPr>
              <w:adjustRightInd w:val="0"/>
              <w:snapToGrid w:val="0"/>
              <w:spacing w:line="360" w:lineRule="auto"/>
              <w:ind w:firstLine="420" w:firstLineChars="200"/>
              <w:rPr>
                <w:rFonts w:ascii="宋体" w:hAnsi="宋体" w:cs="宋体"/>
                <w:bCs/>
                <w:color w:val="auto"/>
                <w:szCs w:val="21"/>
              </w:rPr>
            </w:pPr>
            <w:r>
              <w:rPr>
                <w:rFonts w:hint="eastAsia" w:ascii="宋体" w:hAnsi="宋体" w:cs="宋体"/>
                <w:color w:val="auto"/>
                <w:szCs w:val="21"/>
              </w:rPr>
              <w:t>符合</w:t>
            </w:r>
            <w:r>
              <w:rPr>
                <w:rFonts w:hint="eastAsia" w:ascii="宋体" w:hAnsi="宋体" w:cs="宋体"/>
                <w:color w:val="auto"/>
                <w:szCs w:val="21"/>
                <w:lang w:val="en-US" w:eastAsia="zh-CN"/>
              </w:rPr>
              <w:t>中</w:t>
            </w:r>
            <w:r>
              <w:rPr>
                <w:rFonts w:hint="eastAsia" w:ascii="宋体" w:hAnsi="宋体" w:cs="宋体"/>
                <w:color w:val="auto"/>
                <w:szCs w:val="21"/>
                <w:lang w:eastAsia="zh-CN"/>
              </w:rPr>
              <w:t>小企业</w:t>
            </w:r>
            <w:r>
              <w:rPr>
                <w:rFonts w:hint="eastAsia" w:ascii="宋体" w:hAnsi="宋体" w:cs="宋体"/>
                <w:color w:val="auto"/>
                <w:szCs w:val="21"/>
              </w:rPr>
              <w:t>划分标准的个体工商户，在政府采购活动中视同</w:t>
            </w:r>
            <w:r>
              <w:rPr>
                <w:rFonts w:hint="eastAsia" w:ascii="宋体" w:hAnsi="宋体" w:cs="宋体"/>
                <w:color w:val="auto"/>
                <w:szCs w:val="21"/>
                <w:lang w:val="en-US" w:eastAsia="zh-CN"/>
              </w:rPr>
              <w:t>中小</w:t>
            </w:r>
            <w:r>
              <w:rPr>
                <w:rFonts w:hint="eastAsia" w:ascii="宋体" w:hAnsi="宋体" w:cs="宋体"/>
                <w:color w:val="auto"/>
                <w:szCs w:val="21"/>
                <w:lang w:eastAsia="zh-CN"/>
              </w:rPr>
              <w:t>企业</w:t>
            </w:r>
            <w:r>
              <w:rPr>
                <w:rFonts w:hint="eastAsia" w:ascii="宋体" w:hAnsi="宋体" w:cs="宋体"/>
                <w:color w:val="auto"/>
                <w:szCs w:val="21"/>
              </w:rPr>
              <w:t>。</w:t>
            </w:r>
          </w:p>
          <w:p w14:paraId="5AF14AB3">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残疾人福利性单位</w:t>
            </w:r>
          </w:p>
          <w:p w14:paraId="72B97EE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符合《关于促进残疾人就业政府采购政策的通知》（财库〔2017〕141号）规定的条件并提供提供《残疾人福利性单位声明函》的残疾人福利性单位视同小型、微型企业，享受预留份额、评审中价格扣除等政府采购促进</w:t>
            </w:r>
            <w:r>
              <w:rPr>
                <w:rFonts w:hint="eastAsia" w:ascii="宋体" w:hAnsi="宋体" w:cs="宋体"/>
                <w:color w:val="auto"/>
                <w:szCs w:val="21"/>
                <w:lang w:val="en-US" w:eastAsia="zh-CN"/>
              </w:rPr>
              <w:t>中</w:t>
            </w:r>
            <w:r>
              <w:rPr>
                <w:rFonts w:hint="eastAsia" w:ascii="宋体" w:hAnsi="宋体" w:cs="宋体"/>
                <w:color w:val="auto"/>
                <w:szCs w:val="21"/>
                <w:lang w:eastAsia="zh-CN"/>
              </w:rPr>
              <w:t>小企业</w:t>
            </w:r>
            <w:r>
              <w:rPr>
                <w:rFonts w:hint="eastAsia" w:ascii="宋体" w:hAnsi="宋体" w:cs="宋体"/>
                <w:color w:val="auto"/>
                <w:szCs w:val="21"/>
              </w:rPr>
              <w:t>发展的政府采购政策。</w:t>
            </w:r>
          </w:p>
          <w:p w14:paraId="19FE8CC3">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监狱企业</w:t>
            </w:r>
          </w:p>
          <w:p w14:paraId="0B3141C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w:t>
            </w:r>
            <w:r>
              <w:rPr>
                <w:rFonts w:hint="eastAsia" w:ascii="宋体" w:hAnsi="宋体" w:cs="宋体"/>
                <w:color w:val="auto"/>
                <w:szCs w:val="21"/>
                <w:lang w:val="en-US" w:eastAsia="zh-CN"/>
              </w:rPr>
              <w:t>中</w:t>
            </w:r>
            <w:r>
              <w:rPr>
                <w:rFonts w:hint="eastAsia" w:ascii="宋体" w:hAnsi="宋体" w:cs="宋体"/>
                <w:color w:val="auto"/>
                <w:szCs w:val="21"/>
                <w:lang w:eastAsia="zh-CN"/>
              </w:rPr>
              <w:t>小企业</w:t>
            </w:r>
            <w:r>
              <w:rPr>
                <w:rFonts w:hint="eastAsia" w:ascii="宋体" w:hAnsi="宋体" w:cs="宋体"/>
                <w:color w:val="auto"/>
                <w:szCs w:val="21"/>
              </w:rPr>
              <w:t>发展的政府采购政策。</w:t>
            </w:r>
          </w:p>
          <w:p w14:paraId="77744C1E">
            <w:pPr>
              <w:adjustRightInd w:val="0"/>
              <w:snapToGrid w:val="0"/>
              <w:spacing w:line="360" w:lineRule="auto"/>
              <w:rPr>
                <w:rFonts w:ascii="宋体" w:hAnsi="宋体" w:cs="宋体"/>
                <w:b/>
                <w:bCs/>
                <w:color w:val="auto"/>
                <w:szCs w:val="21"/>
                <w14:textFill>
                  <w14:gradFill>
                    <w14:gsLst>
                      <w14:gs w14:pos="0">
                        <w14:srgbClr w14:val="E30000"/>
                      </w14:gs>
                      <w14:gs w14:pos="100000">
                        <w14:srgbClr w14:val="760303"/>
                      </w14:gs>
                    </w14:gsLst>
                    <w14:lin w14:scaled="0"/>
                  </w14:gradFill>
                </w14:textFill>
              </w:rPr>
            </w:pPr>
            <w:r>
              <w:rPr>
                <w:rFonts w:hint="eastAsia" w:ascii="宋体" w:hAnsi="宋体" w:cs="宋体"/>
                <w:b/>
                <w:bCs/>
                <w:color w:val="auto"/>
                <w:szCs w:val="21"/>
              </w:rPr>
              <w:t>二、针对本项目的相关规定</w:t>
            </w:r>
          </w:p>
          <w:p w14:paraId="1729E728">
            <w:pPr>
              <w:adjustRightInd w:val="0"/>
              <w:snapToGrid w:val="0"/>
              <w:spacing w:line="360" w:lineRule="auto"/>
              <w:ind w:firstLine="422" w:firstLineChars="200"/>
              <w:rPr>
                <w:rFonts w:hint="eastAsia" w:ascii="宋体" w:hAnsi="宋体" w:eastAsia="宋体" w:cs="宋体"/>
                <w:b/>
                <w:bCs/>
                <w:color w:val="auto"/>
                <w:szCs w:val="21"/>
                <w:lang w:eastAsia="zh-CN"/>
                <w14:textFill>
                  <w14:gradFill>
                    <w14:gsLst>
                      <w14:gs w14:pos="0">
                        <w14:srgbClr w14:val="E30000"/>
                      </w14:gs>
                      <w14:gs w14:pos="100000">
                        <w14:srgbClr w14:val="760303"/>
                      </w14:gs>
                    </w14:gsLst>
                    <w14:lin w14:scaled="0"/>
                  </w14:gradFill>
                </w14:textFill>
              </w:rPr>
            </w:pPr>
            <w:r>
              <w:rPr>
                <w:rFonts w:hint="eastAsia" w:ascii="宋体" w:hAnsi="宋体" w:cs="宋体"/>
                <w:b/>
                <w:bCs/>
                <w:color w:val="auto"/>
                <w:szCs w:val="21"/>
              </w:rPr>
              <w:t>1.</w:t>
            </w:r>
            <w:r>
              <w:rPr>
                <w:rFonts w:hint="eastAsia" w:ascii="宋体" w:hAnsi="宋体" w:eastAsia="宋体" w:cs="宋体"/>
                <w:b/>
                <w:bCs/>
                <w:color w:val="auto"/>
                <w:sz w:val="21"/>
                <w:szCs w:val="21"/>
                <w:highlight w:val="none"/>
              </w:rPr>
              <w:t>本项目专门面向中小企业采购的项目。注：提供中小企业声明函</w:t>
            </w:r>
            <w:r>
              <w:rPr>
                <w:rFonts w:hint="eastAsia" w:ascii="宋体" w:hAnsi="宋体" w:cs="宋体"/>
                <w:b/>
                <w:bCs/>
                <w:color w:val="auto"/>
                <w:sz w:val="21"/>
                <w:szCs w:val="21"/>
                <w:highlight w:val="none"/>
                <w:lang w:eastAsia="zh-CN"/>
              </w:rPr>
              <w:t>。</w:t>
            </w:r>
          </w:p>
          <w:p w14:paraId="1935133F">
            <w:pPr>
              <w:adjustRightInd w:val="0"/>
              <w:snapToGrid w:val="0"/>
              <w:spacing w:line="360" w:lineRule="auto"/>
              <w:ind w:firstLine="422" w:firstLineChars="200"/>
              <w:rPr>
                <w:rFonts w:hint="default" w:ascii="宋体" w:hAnsi="宋体" w:cs="宋体"/>
                <w:color w:val="auto"/>
                <w:kern w:val="0"/>
                <w:szCs w:val="21"/>
                <w:lang w:val="en-US"/>
              </w:rPr>
            </w:pPr>
            <w:r>
              <w:rPr>
                <w:rFonts w:hint="eastAsia" w:ascii="宋体" w:hAnsi="宋体" w:cs="宋体"/>
                <w:b/>
                <w:bCs/>
                <w:color w:val="auto"/>
                <w:szCs w:val="21"/>
              </w:rPr>
              <w:t>2.</w:t>
            </w:r>
            <w:r>
              <w:rPr>
                <w:rFonts w:hint="eastAsia" w:ascii="宋体" w:hAnsi="宋体" w:cs="宋体"/>
                <w:szCs w:val="21"/>
              </w:rPr>
              <w:t>本项目采购标的对应的中小企业计划分标准所属行业为</w:t>
            </w:r>
            <w:r>
              <w:rPr>
                <w:rFonts w:hint="eastAsia" w:ascii="宋体" w:hAnsi="宋体" w:cs="宋体"/>
                <w:b w:val="0"/>
                <w:bCs w:val="0"/>
                <w:color w:val="auto"/>
                <w:szCs w:val="21"/>
              </w:rPr>
              <w:t>：</w:t>
            </w:r>
            <w:r>
              <w:rPr>
                <w:rFonts w:hint="eastAsia"/>
                <w:b/>
                <w:bCs/>
                <w:color w:val="auto"/>
                <w:highlight w:val="none"/>
                <w:u w:val="single"/>
                <w:lang w:val="en-US" w:eastAsia="zh-CN"/>
              </w:rPr>
              <w:t>服务</w:t>
            </w:r>
            <w:r>
              <w:rPr>
                <w:rFonts w:hint="eastAsia"/>
                <w:b/>
                <w:bCs/>
                <w:color w:val="auto"/>
                <w:highlight w:val="none"/>
                <w:lang w:val="en-US" w:eastAsia="zh-CN"/>
              </w:rPr>
              <w:t>。</w:t>
            </w:r>
          </w:p>
        </w:tc>
      </w:tr>
      <w:tr w14:paraId="3DB89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14:paraId="34CA796E">
            <w:pPr>
              <w:snapToGrid w:val="0"/>
              <w:spacing w:line="440" w:lineRule="exact"/>
              <w:jc w:val="center"/>
              <w:rPr>
                <w:rFonts w:ascii="宋体" w:hAnsi="宋体" w:cs="宋体"/>
                <w:color w:val="auto"/>
                <w:szCs w:val="21"/>
              </w:rPr>
            </w:pPr>
            <w:r>
              <w:rPr>
                <w:rFonts w:hint="eastAsia" w:ascii="宋体" w:hAnsi="宋体" w:cs="宋体"/>
                <w:color w:val="auto"/>
                <w:szCs w:val="21"/>
              </w:rPr>
              <w:t>23</w:t>
            </w:r>
          </w:p>
        </w:tc>
        <w:tc>
          <w:tcPr>
            <w:tcW w:w="8652" w:type="dxa"/>
            <w:tcBorders>
              <w:top w:val="single" w:color="auto" w:sz="4" w:space="0"/>
              <w:left w:val="single" w:color="auto" w:sz="4" w:space="0"/>
              <w:bottom w:val="single" w:color="auto" w:sz="4" w:space="0"/>
              <w:right w:val="single" w:color="auto" w:sz="4" w:space="0"/>
            </w:tcBorders>
            <w:vAlign w:val="center"/>
          </w:tcPr>
          <w:p w14:paraId="0DCC3707">
            <w:pPr>
              <w:snapToGrid w:val="0"/>
              <w:spacing w:line="440" w:lineRule="exact"/>
              <w:rPr>
                <w:rFonts w:ascii="宋体" w:hAnsi="宋体" w:cs="宋体"/>
                <w:color w:val="auto"/>
                <w:szCs w:val="21"/>
              </w:rPr>
            </w:pPr>
            <w:r>
              <w:rPr>
                <w:rFonts w:hint="eastAsia" w:ascii="宋体" w:hAnsi="宋体" w:cs="宋体"/>
                <w:color w:val="auto"/>
                <w:szCs w:val="21"/>
              </w:rPr>
              <w:t>解释：本采购文件的解释权属于采购单位。</w:t>
            </w:r>
          </w:p>
        </w:tc>
      </w:tr>
    </w:tbl>
    <w:p w14:paraId="2939BE78">
      <w:pPr>
        <w:pStyle w:val="15"/>
        <w:snapToGrid w:val="0"/>
        <w:spacing w:line="360" w:lineRule="auto"/>
        <w:jc w:val="center"/>
        <w:rPr>
          <w:rFonts w:hint="eastAsia" w:hAnsi="宋体"/>
          <w:color w:val="auto"/>
          <w:szCs w:val="21"/>
        </w:rPr>
      </w:pPr>
      <w:r>
        <w:rPr>
          <w:rFonts w:hint="eastAsia" w:hAnsi="宋体"/>
          <w:color w:val="auto"/>
          <w:szCs w:val="21"/>
        </w:rPr>
        <w:br w:type="page"/>
      </w:r>
    </w:p>
    <w:p w14:paraId="62269A18">
      <w:pPr>
        <w:pStyle w:val="15"/>
        <w:snapToGrid w:val="0"/>
        <w:spacing w:line="360" w:lineRule="auto"/>
        <w:jc w:val="center"/>
        <w:rPr>
          <w:rFonts w:hint="eastAsia" w:hAnsi="宋体"/>
          <w:color w:val="auto"/>
          <w:szCs w:val="21"/>
        </w:rPr>
      </w:pPr>
    </w:p>
    <w:p w14:paraId="45229C86">
      <w:pPr>
        <w:pStyle w:val="15"/>
        <w:snapToGrid w:val="0"/>
        <w:spacing w:line="360" w:lineRule="auto"/>
        <w:jc w:val="center"/>
        <w:rPr>
          <w:rFonts w:hAnsi="宋体"/>
          <w:b/>
          <w:color w:val="auto"/>
          <w:sz w:val="28"/>
          <w:szCs w:val="28"/>
        </w:rPr>
      </w:pPr>
      <w:r>
        <w:rPr>
          <w:rFonts w:hint="eastAsia" w:hAnsi="宋体"/>
          <w:b/>
          <w:color w:val="auto"/>
          <w:sz w:val="28"/>
          <w:szCs w:val="28"/>
        </w:rPr>
        <w:t>一、总  则</w:t>
      </w:r>
    </w:p>
    <w:p w14:paraId="51055431">
      <w:pPr>
        <w:snapToGrid w:val="0"/>
        <w:spacing w:line="420" w:lineRule="exact"/>
        <w:ind w:firstLine="422" w:firstLineChars="200"/>
        <w:jc w:val="left"/>
        <w:outlineLvl w:val="1"/>
        <w:rPr>
          <w:rFonts w:ascii="宋体" w:hAnsi="宋体" w:cs="宋体"/>
          <w:b/>
          <w:color w:val="auto"/>
          <w:szCs w:val="21"/>
        </w:rPr>
      </w:pPr>
      <w:bookmarkStart w:id="2" w:name="_Toc33535346"/>
      <w:r>
        <w:rPr>
          <w:rFonts w:hint="eastAsia" w:ascii="宋体" w:hAnsi="宋体" w:cs="宋体"/>
          <w:b/>
          <w:color w:val="auto"/>
          <w:szCs w:val="21"/>
        </w:rPr>
        <w:t>（一）适用范围</w:t>
      </w:r>
      <w:bookmarkEnd w:id="2"/>
    </w:p>
    <w:p w14:paraId="51BD8592">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本采购文件适用于本项目的采购、投标、评标、定标、验收、合同履约、付款等行为（法律、法规另有规定的，从其规定）。</w:t>
      </w:r>
    </w:p>
    <w:p w14:paraId="561823EF">
      <w:pPr>
        <w:snapToGrid w:val="0"/>
        <w:spacing w:line="420" w:lineRule="exact"/>
        <w:ind w:firstLine="422" w:firstLineChars="200"/>
        <w:jc w:val="left"/>
        <w:outlineLvl w:val="1"/>
        <w:rPr>
          <w:rFonts w:ascii="宋体" w:hAnsi="宋体" w:cs="宋体"/>
          <w:b/>
          <w:color w:val="auto"/>
          <w:szCs w:val="21"/>
        </w:rPr>
      </w:pPr>
      <w:bookmarkStart w:id="3" w:name="_Toc33535347"/>
      <w:r>
        <w:rPr>
          <w:rFonts w:hint="eastAsia" w:ascii="宋体" w:hAnsi="宋体" w:cs="宋体"/>
          <w:b/>
          <w:color w:val="auto"/>
          <w:szCs w:val="21"/>
        </w:rPr>
        <w:t>（二）定义</w:t>
      </w:r>
      <w:bookmarkEnd w:id="3"/>
    </w:p>
    <w:p w14:paraId="03964101">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招标采购人：系指组织本次采购的代理机构或采购人。</w:t>
      </w:r>
    </w:p>
    <w:p w14:paraId="418C0260">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“供应商”系指向采购方提交投标文件的单位或个人。</w:t>
      </w:r>
    </w:p>
    <w:p w14:paraId="4B3EA955">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“产品”系指供方按采购文件规定，须向采购人提供的一切设备、保险、税金、备品备件、工具、手册及其它有关技术资料和材料。</w:t>
      </w:r>
    </w:p>
    <w:p w14:paraId="77EF4918">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服务”系指采购文件规定供应商须承担的安装、调试、技术协助、校准、培训、技术指导以及其他类似的义务。</w:t>
      </w:r>
    </w:p>
    <w:p w14:paraId="57AF7EB8">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“项目”系指供应商按采购文件规定向采购人提供的产品和服务。</w:t>
      </w:r>
    </w:p>
    <w:p w14:paraId="6C97C414">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书面形式”包括信函、传真、电报等。</w:t>
      </w:r>
    </w:p>
    <w:p w14:paraId="2E47305A">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“▲”系指实质性要求条款，不满足实质性要求条款的投标文件无效。“</w:t>
      </w:r>
      <w:r>
        <w:rPr>
          <w:rFonts w:hint="eastAsia" w:ascii="宋体" w:hAnsi="宋体" w:cs="宋体"/>
          <w:color w:val="auto"/>
          <w:szCs w:val="21"/>
          <w:lang w:eastAsia="zh-CN"/>
        </w:rPr>
        <w:t>★</w:t>
      </w:r>
      <w:r>
        <w:rPr>
          <w:rFonts w:hint="eastAsia" w:ascii="宋体" w:hAnsi="宋体" w:cs="宋体"/>
          <w:color w:val="auto"/>
          <w:szCs w:val="21"/>
        </w:rPr>
        <w:t>”系重要条款。</w:t>
      </w:r>
    </w:p>
    <w:p w14:paraId="7FD5FA38">
      <w:pPr>
        <w:snapToGrid w:val="0"/>
        <w:spacing w:line="420" w:lineRule="exact"/>
        <w:ind w:firstLine="422" w:firstLineChars="200"/>
        <w:jc w:val="left"/>
        <w:outlineLvl w:val="1"/>
        <w:rPr>
          <w:rFonts w:ascii="宋体" w:hAnsi="宋体" w:cs="宋体"/>
          <w:b/>
          <w:color w:val="auto"/>
          <w:szCs w:val="21"/>
        </w:rPr>
      </w:pPr>
      <w:bookmarkStart w:id="4" w:name="_Toc33535348"/>
      <w:r>
        <w:rPr>
          <w:rFonts w:hint="eastAsia" w:ascii="宋体" w:hAnsi="宋体" w:cs="宋体"/>
          <w:b/>
          <w:color w:val="auto"/>
          <w:szCs w:val="21"/>
        </w:rPr>
        <w:t>（三）采购方式</w:t>
      </w:r>
      <w:bookmarkEnd w:id="4"/>
    </w:p>
    <w:p w14:paraId="7126CB9B">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本次采用</w:t>
      </w:r>
      <w:r>
        <w:rPr>
          <w:rFonts w:hint="eastAsia" w:ascii="宋体" w:hAnsi="宋体" w:cs="宋体"/>
          <w:b/>
          <w:bCs/>
          <w:color w:val="auto"/>
          <w:szCs w:val="21"/>
          <w:u w:val="single"/>
        </w:rPr>
        <w:t>竞争性磋商</w:t>
      </w:r>
      <w:r>
        <w:rPr>
          <w:rFonts w:hint="eastAsia" w:ascii="宋体" w:hAnsi="宋体" w:cs="宋体"/>
          <w:color w:val="auto"/>
          <w:szCs w:val="21"/>
        </w:rPr>
        <w:t>方式进行。</w:t>
      </w:r>
    </w:p>
    <w:p w14:paraId="472926C9">
      <w:pPr>
        <w:snapToGrid w:val="0"/>
        <w:spacing w:line="420" w:lineRule="exact"/>
        <w:ind w:firstLine="422" w:firstLineChars="200"/>
        <w:jc w:val="left"/>
        <w:outlineLvl w:val="1"/>
        <w:rPr>
          <w:rFonts w:ascii="宋体" w:hAnsi="宋体" w:cs="宋体"/>
          <w:b/>
          <w:color w:val="auto"/>
          <w:szCs w:val="21"/>
        </w:rPr>
      </w:pPr>
      <w:bookmarkStart w:id="5" w:name="_Toc33535350"/>
      <w:r>
        <w:rPr>
          <w:rFonts w:hint="eastAsia" w:ascii="宋体" w:hAnsi="宋体" w:cs="宋体"/>
          <w:b/>
          <w:color w:val="auto"/>
          <w:szCs w:val="21"/>
        </w:rPr>
        <w:t>（四）投标费用</w:t>
      </w:r>
      <w:bookmarkEnd w:id="5"/>
    </w:p>
    <w:p w14:paraId="26CB979C">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不论投标结果如何</w:t>
      </w:r>
      <w:r>
        <w:rPr>
          <w:rFonts w:hint="eastAsia" w:ascii="宋体" w:hAnsi="宋体" w:cs="宋体"/>
          <w:color w:val="auto"/>
          <w:szCs w:val="21"/>
          <w:highlight w:val="none"/>
        </w:rPr>
        <w:t>，供应商均应自行承担所有与投标有关的全部费用。</w:t>
      </w:r>
      <w:r>
        <w:rPr>
          <w:rFonts w:hint="eastAsia" w:ascii="宋体" w:hAnsi="宋体" w:cs="宋体"/>
          <w:color w:val="auto"/>
          <w:szCs w:val="21"/>
        </w:rPr>
        <w:t>（采购文件有相反规定除外）</w:t>
      </w:r>
    </w:p>
    <w:p w14:paraId="585AB349">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（五）联合体投标</w:t>
      </w:r>
    </w:p>
    <w:p w14:paraId="13073AEB">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highlight w:val="none"/>
        </w:rPr>
        <w:t>本项目不接受联合体投标</w:t>
      </w:r>
      <w:r>
        <w:rPr>
          <w:rFonts w:hint="eastAsia" w:ascii="宋体" w:hAnsi="宋体" w:cs="宋体"/>
          <w:color w:val="auto"/>
          <w:szCs w:val="21"/>
        </w:rPr>
        <w:t>。</w:t>
      </w:r>
    </w:p>
    <w:p w14:paraId="169BA5B6">
      <w:pPr>
        <w:snapToGrid w:val="0"/>
        <w:spacing w:line="420" w:lineRule="exact"/>
        <w:ind w:firstLine="422" w:firstLineChars="200"/>
        <w:rPr>
          <w:rFonts w:ascii="宋体" w:hAnsi="宋体" w:cs="宋体"/>
          <w:b/>
          <w:color w:val="auto"/>
          <w:kern w:val="0"/>
          <w:szCs w:val="21"/>
        </w:rPr>
      </w:pPr>
      <w:r>
        <w:rPr>
          <w:rFonts w:hint="eastAsia" w:ascii="宋体" w:hAnsi="宋体" w:cs="宋体"/>
          <w:b/>
          <w:color w:val="auto"/>
          <w:szCs w:val="21"/>
        </w:rPr>
        <w:t>（六）</w:t>
      </w:r>
      <w:r>
        <w:rPr>
          <w:rFonts w:hint="eastAsia" w:ascii="宋体" w:hAnsi="宋体" w:cs="宋体"/>
          <w:b/>
          <w:color w:val="auto"/>
          <w:kern w:val="0"/>
          <w:szCs w:val="21"/>
        </w:rPr>
        <w:t>转包与分包</w:t>
      </w:r>
    </w:p>
    <w:p w14:paraId="69DAD429">
      <w:pPr>
        <w:snapToGrid w:val="0"/>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1.本项目不允许转包。</w:t>
      </w:r>
    </w:p>
    <w:p w14:paraId="196C0754">
      <w:pPr>
        <w:snapToGrid w:val="0"/>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2.本项目不可以分包。</w:t>
      </w:r>
    </w:p>
    <w:p w14:paraId="588BC1D6">
      <w:pPr>
        <w:snapToGrid w:val="0"/>
        <w:spacing w:line="420" w:lineRule="exact"/>
        <w:ind w:firstLine="422" w:firstLineChars="200"/>
        <w:rPr>
          <w:rFonts w:ascii="宋体" w:hAnsi="宋体" w:cs="宋体"/>
          <w:b/>
          <w:color w:val="auto"/>
          <w:szCs w:val="21"/>
          <w:highlight w:val="none"/>
        </w:rPr>
      </w:pPr>
      <w:bookmarkStart w:id="6" w:name="_Toc33535352"/>
      <w:r>
        <w:rPr>
          <w:rFonts w:hint="eastAsia" w:ascii="宋体" w:hAnsi="宋体" w:cs="宋体"/>
          <w:b/>
          <w:color w:val="auto"/>
          <w:szCs w:val="21"/>
          <w:highlight w:val="none"/>
        </w:rPr>
        <w:t>（七）是否允许采购进口产品</w:t>
      </w:r>
    </w:p>
    <w:p w14:paraId="45AFB71A">
      <w:pPr>
        <w:snapToGrid w:val="0"/>
        <w:spacing w:line="420" w:lineRule="exact"/>
        <w:ind w:firstLine="420" w:firstLineChars="200"/>
        <w:jc w:val="left"/>
        <w:outlineLvl w:val="1"/>
        <w:rPr>
          <w:rFonts w:ascii="宋体" w:hAnsi="宋体" w:cs="宋体"/>
          <w:color w:val="auto"/>
          <w:kern w:val="0"/>
          <w:szCs w:val="21"/>
          <w:highlight w:val="none"/>
        </w:rPr>
      </w:pPr>
      <w:bookmarkStart w:id="7" w:name="_Toc33535351"/>
      <w:r>
        <w:rPr>
          <w:rFonts w:hint="eastAsia" w:ascii="宋体" w:hAnsi="宋体" w:cs="宋体"/>
          <w:color w:val="auto"/>
          <w:kern w:val="0"/>
          <w:szCs w:val="21"/>
          <w:highlight w:val="none"/>
        </w:rPr>
        <w:t>不允许采购进口产品。</w:t>
      </w:r>
      <w:bookmarkEnd w:id="7"/>
    </w:p>
    <w:p w14:paraId="6922C03C">
      <w:pPr>
        <w:snapToGrid w:val="0"/>
        <w:spacing w:line="420" w:lineRule="exact"/>
        <w:ind w:firstLine="422" w:firstLineChars="200"/>
        <w:jc w:val="left"/>
        <w:outlineLvl w:val="1"/>
        <w:rPr>
          <w:rFonts w:ascii="宋体" w:hAnsi="宋体" w:cs="宋体"/>
          <w:b/>
          <w:color w:val="auto"/>
          <w:szCs w:val="21"/>
        </w:rPr>
      </w:pPr>
      <w:r>
        <w:rPr>
          <w:rFonts w:hint="eastAsia" w:ascii="宋体" w:hAnsi="宋体" w:cs="宋体"/>
          <w:b/>
          <w:color w:val="auto"/>
          <w:szCs w:val="21"/>
        </w:rPr>
        <w:t>（八）特别说明：</w:t>
      </w:r>
      <w:bookmarkEnd w:id="6"/>
    </w:p>
    <w:p w14:paraId="72D75675">
      <w:pPr>
        <w:pStyle w:val="30"/>
        <w:shd w:val="clear" w:color="auto" w:fill="FFFFFF"/>
        <w:spacing w:before="0" w:beforeAutospacing="0" w:after="0" w:afterAutospacing="0" w:line="420" w:lineRule="exact"/>
        <w:ind w:firstLine="420"/>
        <w:rPr>
          <w:color w:val="auto"/>
          <w:kern w:val="2"/>
          <w:sz w:val="21"/>
          <w:szCs w:val="21"/>
        </w:rPr>
      </w:pPr>
      <w:r>
        <w:rPr>
          <w:rFonts w:hint="eastAsia"/>
          <w:color w:val="auto"/>
          <w:kern w:val="2"/>
          <w:sz w:val="21"/>
          <w:szCs w:val="21"/>
        </w:rPr>
        <w:t>1</w:t>
      </w:r>
      <w:r>
        <w:rPr>
          <w:rFonts w:hint="eastAsia"/>
          <w:color w:val="auto"/>
          <w:kern w:val="2"/>
          <w:sz w:val="21"/>
          <w:szCs w:val="21"/>
          <w:lang w:val="en-US" w:eastAsia="zh-CN"/>
        </w:rPr>
        <w:t>.</w:t>
      </w:r>
      <w:r>
        <w:rPr>
          <w:rFonts w:hint="eastAsia"/>
          <w:color w:val="auto"/>
          <w:kern w:val="2"/>
          <w:sz w:val="21"/>
          <w:szCs w:val="21"/>
        </w:rPr>
        <w:t>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采购人代表随机抽取方式确定。其他同品牌投标人不作为中标候选人。</w:t>
      </w:r>
    </w:p>
    <w:p w14:paraId="3B73086A">
      <w:pPr>
        <w:spacing w:line="440" w:lineRule="exact"/>
        <w:ind w:firstLine="420" w:firstLineChars="200"/>
        <w:rPr>
          <w:rFonts w:ascii="宋体" w:hAnsi="宋体" w:cs="宋体"/>
          <w:color w:val="auto"/>
          <w:szCs w:val="21"/>
        </w:rPr>
      </w:pPr>
      <w:r>
        <w:rPr>
          <w:rFonts w:hint="eastAsia" w:ascii="宋体" w:hAnsi="宋体" w:cs="宋体"/>
          <w:color w:val="auto"/>
          <w:szCs w:val="21"/>
        </w:rPr>
        <w:t>非单一产品采购项目，以带“</w:t>
      </w:r>
      <w:r>
        <w:rPr>
          <w:rFonts w:hint="eastAsia" w:ascii="宋体" w:hAnsi="宋体" w:cs="宋体"/>
          <w:color w:val="auto"/>
          <w:szCs w:val="21"/>
          <w:lang w:eastAsia="zh-CN"/>
        </w:rPr>
        <w:t>◆</w:t>
      </w:r>
      <w:r>
        <w:rPr>
          <w:rFonts w:hint="eastAsia" w:ascii="宋体" w:hAnsi="宋体" w:cs="宋体"/>
          <w:color w:val="auto"/>
          <w:szCs w:val="21"/>
        </w:rPr>
        <w:t>”作为核心产品。多家投标人提供的核心产品品牌相同的，按前款规定处理。</w:t>
      </w:r>
    </w:p>
    <w:p w14:paraId="19E8FC5A">
      <w:pPr>
        <w:pStyle w:val="15"/>
        <w:snapToGrid w:val="0"/>
        <w:spacing w:line="440" w:lineRule="exact"/>
        <w:ind w:left="2" w:leftChars="1"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供应商投标所使用的资格、信誉、荣誉、业绩与企业认证必须为本法人所拥有。供应商投标所使用的采购项目实施人员必须为本法人员工（或必须为本法人或控股公司正式员工）。</w:t>
      </w:r>
    </w:p>
    <w:p w14:paraId="6C633071">
      <w:pPr>
        <w:pStyle w:val="15"/>
        <w:snapToGrid w:val="0"/>
        <w:spacing w:line="440" w:lineRule="exact"/>
        <w:ind w:left="2" w:leftChars="1"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供应商应仔细阅读采购文件的所有内容，按照采购文件的要求提交投标文件，并对所提供的全部资料的真实性承担法律责任。</w:t>
      </w:r>
    </w:p>
    <w:p w14:paraId="2455A2E3">
      <w:pPr>
        <w:pStyle w:val="15"/>
        <w:snapToGrid w:val="0"/>
        <w:spacing w:line="420" w:lineRule="exact"/>
        <w:ind w:left="2" w:leftChars="1" w:firstLine="420" w:firstLineChars="200"/>
        <w:rPr>
          <w:rFonts w:hAnsi="宋体"/>
          <w:color w:val="auto"/>
          <w:szCs w:val="21"/>
        </w:rPr>
      </w:pPr>
      <w:r>
        <w:rPr>
          <w:rFonts w:hint="eastAsia" w:hAnsi="宋体"/>
          <w:color w:val="auto"/>
          <w:szCs w:val="21"/>
        </w:rPr>
        <w:t>4</w:t>
      </w:r>
      <w:r>
        <w:rPr>
          <w:rFonts w:hint="eastAsia" w:hAnsi="宋体"/>
          <w:color w:val="auto"/>
          <w:szCs w:val="21"/>
          <w:lang w:val="en-US" w:eastAsia="zh-CN"/>
        </w:rPr>
        <w:t>.</w:t>
      </w:r>
      <w:r>
        <w:rPr>
          <w:rFonts w:hint="eastAsia" w:hAnsi="宋体"/>
          <w:color w:val="auto"/>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52F15746">
      <w:pPr>
        <w:pStyle w:val="15"/>
        <w:snapToGrid w:val="0"/>
        <w:spacing w:line="420" w:lineRule="exact"/>
        <w:ind w:firstLine="422" w:firstLineChars="200"/>
        <w:outlineLvl w:val="1"/>
        <w:rPr>
          <w:rFonts w:hAnsi="宋体"/>
          <w:b/>
          <w:bCs/>
          <w:color w:val="auto"/>
          <w:szCs w:val="21"/>
        </w:rPr>
      </w:pPr>
      <w:bookmarkStart w:id="8" w:name="_Toc33535353"/>
      <w:r>
        <w:rPr>
          <w:rFonts w:hint="eastAsia" w:hAnsi="宋体"/>
          <w:b/>
          <w:bCs/>
          <w:color w:val="auto"/>
          <w:szCs w:val="21"/>
        </w:rPr>
        <w:t>（</w:t>
      </w:r>
      <w:r>
        <w:rPr>
          <w:rFonts w:hint="eastAsia" w:hAnsi="宋体"/>
          <w:b/>
          <w:bCs/>
          <w:color w:val="auto"/>
          <w:szCs w:val="21"/>
          <w:lang w:val="en-US" w:eastAsia="zh-CN"/>
        </w:rPr>
        <w:t>九</w:t>
      </w:r>
      <w:r>
        <w:rPr>
          <w:rFonts w:hint="eastAsia" w:hAnsi="宋体"/>
          <w:b/>
          <w:bCs/>
          <w:color w:val="auto"/>
          <w:szCs w:val="21"/>
        </w:rPr>
        <w:t>）质疑和投诉</w:t>
      </w:r>
      <w:bookmarkEnd w:id="8"/>
    </w:p>
    <w:p w14:paraId="04B4D356">
      <w:pPr>
        <w:pStyle w:val="15"/>
        <w:snapToGrid w:val="0"/>
        <w:spacing w:line="42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w:t>
      </w:r>
      <w:r>
        <w:rPr>
          <w:rFonts w:hint="eastAsia" w:hAnsi="宋体"/>
          <w:bCs/>
          <w:color w:val="auto"/>
          <w:szCs w:val="21"/>
          <w:highlight w:val="none"/>
        </w:rPr>
        <w:t>15</w:t>
      </w:r>
      <w:r>
        <w:rPr>
          <w:rFonts w:hint="eastAsia" w:hAnsi="宋体"/>
          <w:bCs/>
          <w:color w:val="auto"/>
          <w:szCs w:val="21"/>
        </w:rPr>
        <w:t>个工作日内向规定的财政部门提起投诉。</w:t>
      </w:r>
    </w:p>
    <w:p w14:paraId="1643AC0F">
      <w:pPr>
        <w:pStyle w:val="15"/>
        <w:snapToGrid w:val="0"/>
        <w:spacing w:line="42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供应商须在法定质疑期内一次性提出针对同一采购程序环节的质疑.</w:t>
      </w:r>
    </w:p>
    <w:p w14:paraId="4C35A6A9">
      <w:pPr>
        <w:pStyle w:val="15"/>
        <w:snapToGrid w:val="0"/>
        <w:spacing w:line="420" w:lineRule="exact"/>
        <w:ind w:firstLine="420" w:firstLineChars="200"/>
        <w:rPr>
          <w:rFonts w:hAnsi="宋体"/>
          <w:bCs/>
          <w:color w:val="auto"/>
          <w:szCs w:val="21"/>
        </w:rPr>
      </w:pPr>
      <w:r>
        <w:rPr>
          <w:rFonts w:hint="eastAsia" w:hAnsi="宋体"/>
          <w:bCs/>
          <w:color w:val="auto"/>
          <w:szCs w:val="21"/>
        </w:rPr>
        <w:t>3</w:t>
      </w:r>
      <w:r>
        <w:rPr>
          <w:rFonts w:hint="eastAsia" w:hAnsi="宋体"/>
          <w:bCs/>
          <w:color w:val="auto"/>
          <w:szCs w:val="21"/>
          <w:lang w:val="en-US" w:eastAsia="zh-CN"/>
        </w:rPr>
        <w:t>.</w:t>
      </w:r>
      <w:r>
        <w:rPr>
          <w:rFonts w:hint="eastAsia" w:hAnsi="宋体"/>
          <w:bCs/>
          <w:color w:val="auto"/>
          <w:szCs w:val="21"/>
        </w:rPr>
        <w:t>供应商认为采购代理机构在质疑答复程序中启用的调查和复评等程序，在该程序操作过程未明显违反法律禁止性规定时，不得提出疑义。</w:t>
      </w:r>
    </w:p>
    <w:p w14:paraId="18E35866">
      <w:pPr>
        <w:pStyle w:val="15"/>
        <w:snapToGrid w:val="0"/>
        <w:spacing w:line="420" w:lineRule="exact"/>
        <w:ind w:firstLine="420" w:firstLineChars="200"/>
        <w:rPr>
          <w:rFonts w:hAnsi="宋体"/>
          <w:bCs/>
          <w:color w:val="auto"/>
          <w:szCs w:val="21"/>
        </w:rPr>
      </w:pPr>
      <w:r>
        <w:rPr>
          <w:rFonts w:hint="eastAsia" w:hAnsi="宋体"/>
          <w:bCs/>
          <w:color w:val="auto"/>
          <w:szCs w:val="21"/>
        </w:rPr>
        <w:t>4</w:t>
      </w:r>
      <w:r>
        <w:rPr>
          <w:rFonts w:hint="eastAsia" w:hAnsi="宋体"/>
          <w:bCs/>
          <w:color w:val="auto"/>
          <w:szCs w:val="21"/>
          <w:lang w:val="en-US" w:eastAsia="zh-CN"/>
        </w:rPr>
        <w:t>.</w:t>
      </w:r>
      <w:r>
        <w:rPr>
          <w:rFonts w:hint="eastAsia" w:hAnsi="宋体"/>
          <w:bCs/>
          <w:color w:val="auto"/>
          <w:szCs w:val="21"/>
        </w:rPr>
        <w:t>质疑和投诉应当满足《政府采购质疑和投诉办法》（中华人民共和国财政部令第94号）要求。</w:t>
      </w:r>
    </w:p>
    <w:p w14:paraId="4CFF7AAF">
      <w:pPr>
        <w:pStyle w:val="15"/>
        <w:snapToGrid w:val="0"/>
        <w:spacing w:line="420" w:lineRule="exact"/>
        <w:ind w:firstLine="413" w:firstLineChars="196"/>
        <w:jc w:val="center"/>
        <w:outlineLvl w:val="0"/>
        <w:rPr>
          <w:rFonts w:hAnsi="宋体"/>
          <w:b/>
          <w:color w:val="auto"/>
          <w:szCs w:val="21"/>
        </w:rPr>
      </w:pPr>
      <w:bookmarkStart w:id="9" w:name="_Toc406402943"/>
      <w:bookmarkStart w:id="10" w:name="_Toc33535354"/>
      <w:bookmarkStart w:id="11" w:name="_Toc406402987"/>
    </w:p>
    <w:p w14:paraId="71A860D3">
      <w:pPr>
        <w:pStyle w:val="15"/>
        <w:snapToGrid w:val="0"/>
        <w:spacing w:line="420" w:lineRule="exact"/>
        <w:ind w:firstLine="3362" w:firstLineChars="1196"/>
        <w:jc w:val="both"/>
        <w:outlineLvl w:val="0"/>
        <w:rPr>
          <w:rFonts w:hAnsi="宋体"/>
          <w:b/>
          <w:color w:val="auto"/>
          <w:sz w:val="28"/>
          <w:szCs w:val="28"/>
        </w:rPr>
      </w:pPr>
      <w:r>
        <w:rPr>
          <w:rFonts w:hint="eastAsia" w:hAnsi="宋体"/>
          <w:b/>
          <w:color w:val="auto"/>
          <w:sz w:val="28"/>
          <w:szCs w:val="28"/>
        </w:rPr>
        <w:t>二、采购文件</w:t>
      </w:r>
      <w:bookmarkEnd w:id="9"/>
      <w:bookmarkEnd w:id="10"/>
      <w:bookmarkEnd w:id="11"/>
    </w:p>
    <w:p w14:paraId="1A62C42F">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（一）采购文件的构成。本采购文件由以下部份组成：</w:t>
      </w:r>
    </w:p>
    <w:p w14:paraId="696C0924">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采购公告</w:t>
      </w:r>
    </w:p>
    <w:p w14:paraId="6E0FDED5">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采购需求</w:t>
      </w:r>
    </w:p>
    <w:p w14:paraId="24547B1F">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供应商须知</w:t>
      </w:r>
    </w:p>
    <w:p w14:paraId="1A504656">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评标办法及标准</w:t>
      </w:r>
    </w:p>
    <w:p w14:paraId="18F501BA">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合同主要条款</w:t>
      </w:r>
    </w:p>
    <w:p w14:paraId="770F2DA1">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投标文件格式</w:t>
      </w:r>
    </w:p>
    <w:p w14:paraId="40B77422">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本项目采购文件的澄清、答复、修改、补充的内容</w:t>
      </w:r>
    </w:p>
    <w:p w14:paraId="626ADE44">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（二）供应商的风险</w:t>
      </w:r>
    </w:p>
    <w:p w14:paraId="122BACCA">
      <w:pPr>
        <w:pStyle w:val="15"/>
        <w:snapToGrid w:val="0"/>
        <w:spacing w:line="420" w:lineRule="exact"/>
        <w:ind w:firstLine="420" w:firstLineChars="200"/>
        <w:rPr>
          <w:rFonts w:hAnsi="宋体"/>
          <w:color w:val="auto"/>
          <w:szCs w:val="21"/>
        </w:rPr>
      </w:pPr>
      <w:r>
        <w:rPr>
          <w:rFonts w:hint="eastAsia" w:hAnsi="宋体"/>
          <w:color w:val="auto"/>
          <w:szCs w:val="21"/>
        </w:rPr>
        <w:t>供应商没有按照采购文件要求提供全部资料，或者供应商没有对采购文件在各方面作出实质性响应是供应商的风险，并可能导致其投标为无效标。</w:t>
      </w:r>
    </w:p>
    <w:p w14:paraId="706D8886">
      <w:pPr>
        <w:pStyle w:val="8"/>
        <w:numPr>
          <w:ilvl w:val="0"/>
          <w:numId w:val="0"/>
        </w:numPr>
        <w:tabs>
          <w:tab w:val="left" w:pos="720"/>
        </w:tabs>
        <w:snapToGrid w:val="0"/>
        <w:spacing w:line="420" w:lineRule="exact"/>
        <w:ind w:firstLine="422" w:firstLineChars="200"/>
        <w:rPr>
          <w:rFonts w:ascii="宋体" w:hAnsi="宋体"/>
          <w:b/>
          <w:color w:val="auto"/>
          <w:szCs w:val="21"/>
        </w:rPr>
      </w:pPr>
      <w:r>
        <w:rPr>
          <w:rFonts w:hint="eastAsia" w:ascii="宋体" w:hAnsi="宋体"/>
          <w:b/>
          <w:color w:val="auto"/>
          <w:szCs w:val="21"/>
        </w:rPr>
        <w:t xml:space="preserve">（三）采购文件的澄清与修改 </w:t>
      </w:r>
    </w:p>
    <w:p w14:paraId="588C78BC">
      <w:pPr>
        <w:pStyle w:val="15"/>
        <w:snapToGrid w:val="0"/>
        <w:spacing w:line="420" w:lineRule="exact"/>
        <w:ind w:firstLine="420" w:firstLineChars="200"/>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bCs/>
          <w:color w:val="auto"/>
          <w:szCs w:val="21"/>
        </w:rPr>
        <w:t>供应商应认真阅读本采购文件，发现其中有误或有不合理要求的，可要求采购人澄清</w:t>
      </w:r>
      <w:r>
        <w:rPr>
          <w:rFonts w:hint="eastAsia" w:hAnsi="宋体"/>
          <w:color w:val="auto"/>
          <w:szCs w:val="21"/>
        </w:rPr>
        <w:t>。采购人对已发出的采购文件进行必要澄清或者修改的，应当在采购文件要求提交投标文件截止五日前，在财政部门指定的政府采购信息发布媒体上发布更正公告，并以书面形式通知所有采购文件获取人。</w:t>
      </w:r>
    </w:p>
    <w:p w14:paraId="5656E7FD">
      <w:pPr>
        <w:pStyle w:val="15"/>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采购文件澄清或者修改的内容为采购文件的组成部分。当采购文件与澄清或者修改就同一内容的表述不一致时，以最后发出的书面文件为准。</w:t>
      </w:r>
    </w:p>
    <w:p w14:paraId="55C50328">
      <w:pPr>
        <w:pStyle w:val="15"/>
        <w:snapToGrid w:val="0"/>
        <w:spacing w:line="420" w:lineRule="exact"/>
        <w:ind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对采购文件的澄清、答复、修改或补充都应该通过采购代理机构以法定形式发布，采购人非通过本机构，不得擅自澄清、答复、修改或补充采购文件。</w:t>
      </w:r>
    </w:p>
    <w:p w14:paraId="21A7CA44">
      <w:pPr>
        <w:pStyle w:val="15"/>
        <w:snapToGrid w:val="0"/>
        <w:spacing w:line="420" w:lineRule="exact"/>
        <w:ind w:firstLine="420" w:firstLineChars="200"/>
        <w:rPr>
          <w:rFonts w:hAnsi="宋体"/>
          <w:color w:val="auto"/>
          <w:szCs w:val="21"/>
        </w:rPr>
      </w:pPr>
    </w:p>
    <w:p w14:paraId="449E99A5">
      <w:pPr>
        <w:pStyle w:val="15"/>
        <w:snapToGrid w:val="0"/>
        <w:spacing w:line="420" w:lineRule="exact"/>
        <w:ind w:firstLine="551" w:firstLineChars="196"/>
        <w:jc w:val="center"/>
        <w:outlineLvl w:val="0"/>
        <w:rPr>
          <w:rFonts w:hAnsi="宋体"/>
          <w:b/>
          <w:color w:val="auto"/>
          <w:sz w:val="28"/>
          <w:szCs w:val="28"/>
        </w:rPr>
      </w:pPr>
      <w:bookmarkStart w:id="12" w:name="_Toc33535355"/>
      <w:r>
        <w:rPr>
          <w:rFonts w:hint="eastAsia" w:hAnsi="宋体"/>
          <w:b/>
          <w:color w:val="auto"/>
          <w:sz w:val="28"/>
          <w:szCs w:val="28"/>
        </w:rPr>
        <w:t>三、投标文件的编制</w:t>
      </w:r>
      <w:bookmarkEnd w:id="12"/>
    </w:p>
    <w:p w14:paraId="30AC5481">
      <w:pPr>
        <w:pStyle w:val="15"/>
        <w:snapToGrid w:val="0"/>
        <w:spacing w:line="420" w:lineRule="exact"/>
        <w:ind w:firstLine="422" w:firstLineChars="200"/>
        <w:outlineLvl w:val="1"/>
        <w:rPr>
          <w:rFonts w:hAnsi="宋体"/>
          <w:b/>
          <w:color w:val="auto"/>
          <w:szCs w:val="21"/>
        </w:rPr>
      </w:pPr>
      <w:bookmarkStart w:id="13" w:name="_Toc33535356"/>
      <w:r>
        <w:rPr>
          <w:rFonts w:hint="eastAsia" w:hAnsi="宋体"/>
          <w:b/>
          <w:color w:val="auto"/>
          <w:szCs w:val="21"/>
        </w:rPr>
        <w:t>本项目所涉投标文件格式请详见第六章，未给出的格式请自拟。</w:t>
      </w:r>
      <w:bookmarkEnd w:id="13"/>
    </w:p>
    <w:p w14:paraId="64476783">
      <w:pPr>
        <w:pStyle w:val="15"/>
        <w:snapToGrid w:val="0"/>
        <w:spacing w:line="420" w:lineRule="exact"/>
        <w:ind w:firstLine="422" w:firstLineChars="200"/>
        <w:outlineLvl w:val="1"/>
        <w:rPr>
          <w:rFonts w:hAnsi="宋体"/>
          <w:b/>
          <w:color w:val="auto"/>
          <w:szCs w:val="21"/>
        </w:rPr>
      </w:pPr>
      <w:bookmarkStart w:id="14" w:name="_Toc33535357"/>
      <w:r>
        <w:rPr>
          <w:rFonts w:hint="eastAsia" w:hAnsi="宋体"/>
          <w:b/>
          <w:color w:val="auto"/>
          <w:szCs w:val="21"/>
        </w:rPr>
        <w:t>（一）总体要求：</w:t>
      </w:r>
      <w:bookmarkEnd w:id="14"/>
    </w:p>
    <w:p w14:paraId="64A1438A">
      <w:pPr>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供应商应仔细阅读采购文件的所有内容，按本文件的要求提供投标文件，并保证所提供的全部资料的真实性，以使其投标文件对采购文件作出实质性响应，否则，投标文件可能视为无效投标文件。</w:t>
      </w:r>
    </w:p>
    <w:p w14:paraId="02E015C6">
      <w:pPr>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投标文件及供应商与采购有关的来往通知，函件和文件均应使用中文。</w:t>
      </w:r>
    </w:p>
    <w:p w14:paraId="2545163A">
      <w:pPr>
        <w:spacing w:line="42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供应商应按本文件中提供的文件格式、内容和要求制作投标文件。</w:t>
      </w:r>
    </w:p>
    <w:p w14:paraId="6033DDFE">
      <w:pPr>
        <w:spacing w:line="420" w:lineRule="exact"/>
        <w:ind w:firstLine="422" w:firstLineChars="200"/>
        <w:jc w:val="left"/>
        <w:rPr>
          <w:rFonts w:ascii="宋体" w:hAnsi="宋体" w:cs="宋体"/>
          <w:bCs/>
          <w:color w:val="auto"/>
          <w:szCs w:val="21"/>
        </w:rPr>
      </w:pPr>
      <w:r>
        <w:rPr>
          <w:rFonts w:hint="eastAsia" w:ascii="宋体" w:hAnsi="宋体" w:cs="宋体"/>
          <w:b/>
          <w:color w:val="auto"/>
          <w:szCs w:val="21"/>
        </w:rPr>
        <w:t>4</w:t>
      </w:r>
      <w:r>
        <w:rPr>
          <w:rFonts w:hint="eastAsia" w:ascii="宋体" w:hAnsi="宋体" w:cs="宋体"/>
          <w:b/>
          <w:color w:val="auto"/>
          <w:szCs w:val="21"/>
          <w:lang w:val="en-US" w:eastAsia="zh-CN"/>
        </w:rPr>
        <w:t>.</w:t>
      </w:r>
      <w:r>
        <w:rPr>
          <w:rFonts w:hint="eastAsia" w:ascii="宋体" w:hAnsi="宋体" w:cs="宋体"/>
          <w:b/>
          <w:color w:val="auto"/>
          <w:szCs w:val="21"/>
        </w:rPr>
        <w:t>投标文件的效力：投标文件的启用，按先后顺位分别为电子投标文件、电子备份投标文件。</w:t>
      </w:r>
      <w:r>
        <w:rPr>
          <w:rFonts w:hint="eastAsia" w:ascii="宋体" w:hAnsi="宋体" w:cs="宋体"/>
          <w:bCs/>
          <w:color w:val="auto"/>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68A7379">
      <w:pPr>
        <w:snapToGrid w:val="0"/>
        <w:spacing w:line="420" w:lineRule="exact"/>
        <w:ind w:firstLine="422" w:firstLineChars="200"/>
        <w:jc w:val="left"/>
        <w:outlineLvl w:val="0"/>
        <w:rPr>
          <w:rFonts w:ascii="宋体" w:hAnsi="宋体" w:cs="宋体"/>
          <w:b/>
          <w:color w:val="auto"/>
          <w:szCs w:val="21"/>
        </w:rPr>
      </w:pPr>
      <w:bookmarkStart w:id="15" w:name="_Toc33535358"/>
      <w:bookmarkStart w:id="16" w:name="_Toc406402944"/>
      <w:bookmarkStart w:id="17" w:name="_Toc406402988"/>
      <w:r>
        <w:rPr>
          <w:rFonts w:hint="eastAsia" w:ascii="宋体" w:hAnsi="宋体" w:cs="宋体"/>
          <w:b/>
          <w:color w:val="auto"/>
          <w:szCs w:val="21"/>
        </w:rPr>
        <w:t>（二）投标文件的组成</w:t>
      </w:r>
      <w:bookmarkEnd w:id="15"/>
      <w:bookmarkEnd w:id="16"/>
      <w:bookmarkEnd w:id="17"/>
    </w:p>
    <w:p w14:paraId="0AEA17D8">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包括电子投标文件和电子备份投标文件（选送），均由资格文件、商务技术文件及报价文件三部份组成。</w:t>
      </w:r>
    </w:p>
    <w:p w14:paraId="385C4859">
      <w:pPr>
        <w:snapToGrid w:val="0"/>
        <w:spacing w:line="420" w:lineRule="exact"/>
        <w:ind w:firstLine="422" w:firstLineChars="200"/>
        <w:jc w:val="left"/>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资格文件：</w:t>
      </w:r>
    </w:p>
    <w:p w14:paraId="224121D4">
      <w:pPr>
        <w:pStyle w:val="16"/>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（1）投标声明书(格式见附件)；</w:t>
      </w:r>
    </w:p>
    <w:p w14:paraId="539FC285">
      <w:pPr>
        <w:pStyle w:val="16"/>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（2）法定代表人</w:t>
      </w:r>
      <w:r>
        <w:rPr>
          <w:rFonts w:hint="eastAsia" w:ascii="宋体" w:hAnsi="宋体" w:eastAsia="宋体"/>
          <w:color w:val="auto"/>
          <w:sz w:val="21"/>
          <w:szCs w:val="21"/>
          <w:lang w:val="en-US" w:eastAsia="zh-CN"/>
        </w:rPr>
        <w:t>或</w:t>
      </w:r>
      <w:r>
        <w:rPr>
          <w:rFonts w:hint="eastAsia" w:ascii="宋体" w:hAnsi="宋体" w:eastAsia="宋体"/>
          <w:color w:val="auto"/>
          <w:sz w:val="21"/>
          <w:szCs w:val="21"/>
        </w:rPr>
        <w:t>授权委托书(格式见附件)；</w:t>
      </w:r>
    </w:p>
    <w:p w14:paraId="0F19D1E2">
      <w:pPr>
        <w:pStyle w:val="16"/>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（3）供应商市场行为信誉（信用）情况承诺书(格式见附件)；</w:t>
      </w:r>
    </w:p>
    <w:p w14:paraId="34827886">
      <w:pPr>
        <w:pStyle w:val="16"/>
        <w:snapToGrid w:val="0"/>
        <w:spacing w:line="412" w:lineRule="exact"/>
        <w:ind w:left="-178" w:leftChars="-85" w:firstLine="575" w:firstLineChars="274"/>
        <w:rPr>
          <w:rFonts w:ascii="宋体" w:hAnsi="宋体" w:eastAsia="宋体"/>
          <w:color w:val="auto"/>
          <w:sz w:val="21"/>
          <w:szCs w:val="21"/>
        </w:rPr>
      </w:pPr>
      <w:r>
        <w:rPr>
          <w:rFonts w:hint="eastAsia" w:ascii="宋体" w:hAnsi="宋体" w:eastAsia="宋体"/>
          <w:color w:val="auto"/>
          <w:sz w:val="21"/>
          <w:szCs w:val="21"/>
        </w:rPr>
        <w:t>（4）承诺函(格式见附件)；</w:t>
      </w:r>
    </w:p>
    <w:p w14:paraId="34600A8D">
      <w:pPr>
        <w:pStyle w:val="16"/>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）营业执照等资格证明资料。</w:t>
      </w:r>
    </w:p>
    <w:p w14:paraId="40EADFEC">
      <w:pPr>
        <w:pStyle w:val="16"/>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中小企业声明函</w:t>
      </w:r>
      <w:r>
        <w:rPr>
          <w:rFonts w:hint="eastAsia" w:ascii="宋体" w:hAnsi="宋体" w:eastAsia="宋体" w:cs="宋体"/>
          <w:color w:val="auto"/>
          <w:sz w:val="21"/>
          <w:szCs w:val="21"/>
        </w:rPr>
        <w:t>（格式见附件）；</w:t>
      </w:r>
    </w:p>
    <w:p w14:paraId="07640570">
      <w:pPr>
        <w:pStyle w:val="16"/>
        <w:snapToGrid w:val="0"/>
        <w:spacing w:line="412" w:lineRule="exact"/>
        <w:ind w:left="-178" w:leftChars="-85" w:firstLine="575" w:firstLineChars="27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）残疾人福利性单位声明函（格式见附件）；</w:t>
      </w:r>
    </w:p>
    <w:p w14:paraId="0EC502FC">
      <w:pPr>
        <w:pStyle w:val="16"/>
        <w:snapToGrid w:val="0"/>
        <w:spacing w:line="412" w:lineRule="exact"/>
        <w:ind w:left="-178" w:leftChars="-85" w:firstLine="575" w:firstLineChars="27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）监狱企业声明函（格式见附件）</w:t>
      </w:r>
    </w:p>
    <w:p w14:paraId="0C125854">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商务技术文件：</w:t>
      </w:r>
    </w:p>
    <w:p w14:paraId="7E0AC676">
      <w:pPr>
        <w:pStyle w:val="16"/>
        <w:snapToGrid w:val="0"/>
        <w:spacing w:line="412" w:lineRule="exact"/>
        <w:ind w:left="-178" w:leftChars="-85" w:firstLine="575" w:firstLineChars="274"/>
        <w:rPr>
          <w:rFonts w:hint="eastAsia" w:ascii="宋体" w:hAnsi="宋体" w:eastAsia="宋体"/>
          <w:color w:val="auto"/>
          <w:sz w:val="21"/>
          <w:szCs w:val="21"/>
        </w:rPr>
      </w:pPr>
      <w:bookmarkStart w:id="18" w:name="_Toc406402946"/>
      <w:bookmarkStart w:id="19" w:name="_Toc402963084"/>
      <w:bookmarkStart w:id="20" w:name="_Toc385854100"/>
      <w:bookmarkStart w:id="21" w:name="_Toc402963117"/>
      <w:bookmarkStart w:id="22" w:name="_Toc385854146"/>
      <w:bookmarkStart w:id="23" w:name="_Toc33535360"/>
      <w:bookmarkStart w:id="24" w:name="_Toc406402990"/>
      <w:r>
        <w:rPr>
          <w:rFonts w:hint="eastAsia" w:ascii="宋体" w:hAnsi="宋体" w:eastAsia="宋体"/>
          <w:color w:val="auto"/>
          <w:sz w:val="21"/>
          <w:szCs w:val="21"/>
        </w:rPr>
        <w:t>（1）投标人情况介绍；</w:t>
      </w:r>
    </w:p>
    <w:p w14:paraId="2CF38B45">
      <w:pPr>
        <w:pStyle w:val="16"/>
        <w:snapToGrid w:val="0"/>
        <w:spacing w:line="412" w:lineRule="exact"/>
        <w:ind w:left="-178" w:leftChars="-85" w:firstLine="575" w:firstLineChars="274"/>
        <w:rPr>
          <w:rFonts w:hint="eastAsia" w:ascii="宋体" w:hAnsi="宋体" w:eastAsia="宋体"/>
          <w:color w:val="auto"/>
          <w:sz w:val="21"/>
          <w:szCs w:val="21"/>
          <w:highlight w:val="none"/>
        </w:rPr>
      </w:pPr>
      <w:bookmarkStart w:id="25" w:name="_Hlk8682768"/>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成功</w:t>
      </w:r>
      <w:r>
        <w:rPr>
          <w:rFonts w:hint="eastAsia" w:ascii="宋体" w:hAnsi="宋体" w:eastAsia="宋体"/>
          <w:color w:val="auto"/>
          <w:sz w:val="21"/>
          <w:szCs w:val="21"/>
          <w:highlight w:val="none"/>
        </w:rPr>
        <w:t>案例及业绩；</w:t>
      </w:r>
      <w:bookmarkEnd w:id="25"/>
    </w:p>
    <w:p w14:paraId="11A21C4B">
      <w:pPr>
        <w:pStyle w:val="16"/>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）项目实施具体方案；</w:t>
      </w:r>
    </w:p>
    <w:p w14:paraId="788FDD1C">
      <w:pPr>
        <w:pStyle w:val="16"/>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）对本项目总体要求的叙述；</w:t>
      </w:r>
    </w:p>
    <w:p w14:paraId="6EDC056F">
      <w:pPr>
        <w:pStyle w:val="16"/>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）项目实施人员一览表；</w:t>
      </w:r>
    </w:p>
    <w:p w14:paraId="629231CE">
      <w:pPr>
        <w:pStyle w:val="16"/>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）服务承诺等；</w:t>
      </w:r>
    </w:p>
    <w:p w14:paraId="5839E7C3">
      <w:pPr>
        <w:pStyle w:val="16"/>
        <w:snapToGrid w:val="0"/>
        <w:spacing w:line="412" w:lineRule="exact"/>
        <w:ind w:left="-178" w:leftChars="-85" w:firstLine="578" w:firstLineChars="274"/>
        <w:rPr>
          <w:rFonts w:ascii="宋体" w:hAnsi="宋体" w:eastAsia="宋体"/>
          <w:b/>
          <w:bCs/>
          <w:color w:val="auto"/>
          <w:sz w:val="21"/>
          <w:szCs w:val="21"/>
        </w:rPr>
      </w:pPr>
      <w:r>
        <w:rPr>
          <w:rFonts w:hint="eastAsia" w:ascii="宋体" w:hAnsi="宋体" w:eastAsia="宋体"/>
          <w:b/>
          <w:bCs/>
          <w:color w:val="auto"/>
          <w:sz w:val="21"/>
          <w:szCs w:val="21"/>
        </w:rPr>
        <w:t>（</w:t>
      </w:r>
      <w:r>
        <w:rPr>
          <w:rFonts w:hint="eastAsia" w:ascii="宋体" w:hAnsi="宋体" w:eastAsia="宋体"/>
          <w:b/>
          <w:bCs/>
          <w:color w:val="auto"/>
          <w:sz w:val="21"/>
          <w:szCs w:val="21"/>
          <w:lang w:val="en-US" w:eastAsia="zh-CN"/>
        </w:rPr>
        <w:t>7</w:t>
      </w:r>
      <w:r>
        <w:rPr>
          <w:rFonts w:hint="eastAsia" w:ascii="宋体" w:hAnsi="宋体" w:eastAsia="宋体"/>
          <w:b/>
          <w:bCs/>
          <w:color w:val="auto"/>
          <w:sz w:val="21"/>
          <w:szCs w:val="21"/>
        </w:rPr>
        <w:t>）投标人需要说明的其他内容（未尽事宜可按评分细则部分制作）。</w:t>
      </w:r>
    </w:p>
    <w:p w14:paraId="0504490D">
      <w:pPr>
        <w:spacing w:line="440" w:lineRule="exact"/>
        <w:ind w:firstLine="422" w:firstLineChars="200"/>
        <w:rPr>
          <w:rFonts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en-US" w:eastAsia="zh-CN"/>
        </w:rPr>
        <w:t>.</w:t>
      </w:r>
      <w:r>
        <w:rPr>
          <w:rFonts w:hint="eastAsia" w:ascii="宋体" w:hAnsi="宋体" w:cs="宋体"/>
          <w:b/>
          <w:color w:val="auto"/>
          <w:szCs w:val="21"/>
        </w:rPr>
        <w:t>投标报价文件：</w:t>
      </w:r>
    </w:p>
    <w:p w14:paraId="089B7EFD">
      <w:pPr>
        <w:tabs>
          <w:tab w:val="left" w:pos="3870"/>
          <w:tab w:val="left" w:pos="4085"/>
        </w:tabs>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（1）投标函（格式见附件）；</w:t>
      </w:r>
    </w:p>
    <w:p w14:paraId="0BC46826">
      <w:pPr>
        <w:pStyle w:val="16"/>
        <w:snapToGrid w:val="0"/>
        <w:spacing w:line="410" w:lineRule="exact"/>
        <w:ind w:left="-178" w:leftChars="-85" w:firstLine="575" w:firstLineChars="2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（2）开标一览表（格式见附件）；</w:t>
      </w:r>
    </w:p>
    <w:p w14:paraId="026EDB71">
      <w:pPr>
        <w:pStyle w:val="16"/>
        <w:snapToGrid w:val="0"/>
        <w:spacing w:line="410" w:lineRule="exact"/>
        <w:ind w:left="-178" w:leftChars="-85" w:firstLine="575" w:firstLineChars="27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（3）报价明细表（格式可自拟）。</w:t>
      </w:r>
    </w:p>
    <w:p w14:paraId="497A56B2">
      <w:pPr>
        <w:snapToGrid w:val="0"/>
        <w:spacing w:line="420" w:lineRule="exact"/>
        <w:ind w:firstLine="422" w:firstLineChars="200"/>
        <w:jc w:val="left"/>
        <w:outlineLvl w:val="0"/>
        <w:rPr>
          <w:rFonts w:ascii="宋体" w:hAnsi="宋体" w:cs="宋体"/>
          <w:b/>
          <w:color w:val="auto"/>
          <w:szCs w:val="21"/>
        </w:rPr>
      </w:pPr>
      <w:r>
        <w:rPr>
          <w:rFonts w:hint="eastAsia" w:ascii="宋体" w:hAnsi="宋体" w:cs="宋体"/>
          <w:b/>
          <w:color w:val="auto"/>
          <w:szCs w:val="21"/>
        </w:rPr>
        <w:t>（三）投标文件的语言及计量</w:t>
      </w:r>
      <w:bookmarkEnd w:id="18"/>
      <w:bookmarkEnd w:id="19"/>
      <w:bookmarkEnd w:id="20"/>
      <w:bookmarkEnd w:id="21"/>
      <w:bookmarkEnd w:id="22"/>
      <w:bookmarkEnd w:id="23"/>
      <w:bookmarkEnd w:id="24"/>
    </w:p>
    <w:p w14:paraId="2BF88B9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投标文件以及投标方与采购方就有关投标事宜的所有来往函电，均应以中文汉语书写。除签名、盖章、专用名称等特殊情形外，以中文汉语以外的文字表述的投标文件视同未提供。</w:t>
      </w:r>
    </w:p>
    <w:p w14:paraId="215D4F22">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投标计量单位，采购文件已有明确规定的，使用采购文件规定的计量单位；采购文件没有规定的，应采用中华人民共和国法定计量单位（货币单位：人民币元），否则视同未响应。</w:t>
      </w:r>
    </w:p>
    <w:p w14:paraId="512CA697">
      <w:pPr>
        <w:snapToGrid w:val="0"/>
        <w:spacing w:line="420" w:lineRule="exact"/>
        <w:ind w:firstLine="422" w:firstLineChars="200"/>
        <w:jc w:val="left"/>
        <w:outlineLvl w:val="0"/>
        <w:rPr>
          <w:rFonts w:ascii="宋体" w:hAnsi="宋体" w:cs="宋体"/>
          <w:b/>
          <w:color w:val="auto"/>
          <w:szCs w:val="21"/>
        </w:rPr>
      </w:pPr>
      <w:bookmarkStart w:id="26" w:name="_Toc402963085"/>
      <w:bookmarkStart w:id="27" w:name="_Toc33535361"/>
      <w:bookmarkStart w:id="28" w:name="_Toc402963118"/>
      <w:bookmarkStart w:id="29" w:name="_Toc385854147"/>
      <w:bookmarkStart w:id="30" w:name="_Toc385854101"/>
      <w:bookmarkStart w:id="31" w:name="_Toc406402947"/>
      <w:bookmarkStart w:id="32" w:name="_Toc406402991"/>
      <w:r>
        <w:rPr>
          <w:rFonts w:hint="eastAsia" w:ascii="宋体" w:hAnsi="宋体" w:cs="宋体"/>
          <w:b/>
          <w:color w:val="auto"/>
          <w:szCs w:val="21"/>
        </w:rPr>
        <w:t>（四）投标报价</w:t>
      </w:r>
      <w:bookmarkEnd w:id="26"/>
      <w:bookmarkEnd w:id="27"/>
      <w:bookmarkEnd w:id="28"/>
      <w:bookmarkEnd w:id="29"/>
      <w:bookmarkEnd w:id="30"/>
      <w:bookmarkEnd w:id="31"/>
      <w:bookmarkEnd w:id="32"/>
    </w:p>
    <w:p w14:paraId="3417B758">
      <w:pPr>
        <w:pStyle w:val="15"/>
        <w:snapToGrid w:val="0"/>
        <w:spacing w:line="420" w:lineRule="exact"/>
        <w:ind w:firstLine="420" w:firstLineChars="200"/>
        <w:jc w:val="left"/>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color w:val="auto"/>
          <w:szCs w:val="21"/>
        </w:rPr>
        <w:t>投标报价应按采购文件中相关附表格式填写。</w:t>
      </w:r>
    </w:p>
    <w:p w14:paraId="74F84DC1">
      <w:pPr>
        <w:pStyle w:val="15"/>
        <w:snapToGrid w:val="0"/>
        <w:spacing w:line="420" w:lineRule="exact"/>
        <w:ind w:firstLine="420" w:firstLineChars="200"/>
        <w:jc w:val="left"/>
        <w:rPr>
          <w:rFonts w:hint="eastAsia"/>
          <w:b/>
          <w:bCs/>
          <w:color w:val="auto"/>
        </w:rPr>
      </w:pPr>
      <w:r>
        <w:rPr>
          <w:rFonts w:hint="eastAsia" w:hAnsi="宋体"/>
          <w:color w:val="auto"/>
          <w:szCs w:val="21"/>
        </w:rPr>
        <w:t>2</w:t>
      </w:r>
      <w:r>
        <w:rPr>
          <w:rFonts w:hint="eastAsia" w:hAnsi="宋体"/>
          <w:color w:val="auto"/>
          <w:szCs w:val="21"/>
          <w:lang w:val="en-US" w:eastAsia="zh-CN"/>
        </w:rPr>
        <w:t>.</w:t>
      </w:r>
      <w:r>
        <w:rPr>
          <w:rFonts w:hint="eastAsia"/>
          <w:color w:val="auto"/>
        </w:rPr>
        <w:t>投标报价</w:t>
      </w:r>
      <w:r>
        <w:rPr>
          <w:rFonts w:hint="eastAsia"/>
          <w:b/>
          <w:bCs/>
          <w:color w:val="auto"/>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50F79A31">
      <w:pPr>
        <w:pStyle w:val="15"/>
        <w:snapToGrid w:val="0"/>
        <w:spacing w:line="4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3、投标文件只允许有一个报价，有选择的或有条件的报价将不予接受。</w:t>
      </w:r>
    </w:p>
    <w:p w14:paraId="28242BC4">
      <w:pPr>
        <w:pStyle w:val="15"/>
        <w:snapToGrid w:val="0"/>
        <w:spacing w:line="420" w:lineRule="exact"/>
        <w:ind w:firstLine="420" w:firstLineChars="200"/>
        <w:jc w:val="left"/>
        <w:rPr>
          <w:rFonts w:hAnsi="宋体"/>
          <w:color w:val="auto"/>
          <w:szCs w:val="21"/>
        </w:rPr>
      </w:pPr>
      <w:r>
        <w:rPr>
          <w:rFonts w:hint="eastAsia" w:hAnsi="宋体" w:cs="宋体"/>
          <w:color w:val="auto"/>
          <w:szCs w:val="21"/>
          <w:highlight w:val="none"/>
          <w:lang w:val="en-US" w:eastAsia="zh-CN"/>
        </w:rPr>
        <w:t>4.具体磋商程序(响应文件开启、磋商、二次报价均在电子交易平台线上完成)。</w:t>
      </w:r>
    </w:p>
    <w:p w14:paraId="283187AE">
      <w:pPr>
        <w:snapToGrid w:val="0"/>
        <w:spacing w:line="420" w:lineRule="exact"/>
        <w:ind w:firstLine="422" w:firstLineChars="200"/>
        <w:jc w:val="left"/>
        <w:outlineLvl w:val="0"/>
        <w:rPr>
          <w:rFonts w:ascii="宋体" w:hAnsi="宋体" w:cs="宋体"/>
          <w:b/>
          <w:color w:val="auto"/>
          <w:szCs w:val="21"/>
        </w:rPr>
      </w:pPr>
      <w:r>
        <w:rPr>
          <w:rFonts w:hint="eastAsia" w:ascii="宋体" w:hAnsi="宋体" w:cs="宋体"/>
          <w:b/>
          <w:color w:val="auto"/>
          <w:szCs w:val="21"/>
        </w:rPr>
        <w:t>（五）投标文件的有效期</w:t>
      </w:r>
    </w:p>
    <w:p w14:paraId="05677FEC">
      <w:pPr>
        <w:snapToGrid w:val="0"/>
        <w:spacing w:line="420" w:lineRule="exact"/>
        <w:ind w:firstLine="420" w:firstLineChars="200"/>
        <w:jc w:val="left"/>
        <w:outlineLvl w:val="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自投标截止日起60天投标文件应保持有效。有效期不足的投标文件将被拒绝。</w:t>
      </w:r>
    </w:p>
    <w:p w14:paraId="31B337C6">
      <w:pPr>
        <w:snapToGrid w:val="0"/>
        <w:spacing w:line="420" w:lineRule="exact"/>
        <w:ind w:firstLine="420" w:firstLineChars="200"/>
        <w:jc w:val="left"/>
        <w:outlineLvl w:val="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在特殊情况下，采购人可与供应商协商延长投标书的有效期，这种要求和答复均以书面形式进行。</w:t>
      </w:r>
    </w:p>
    <w:p w14:paraId="7BE3624D">
      <w:pPr>
        <w:snapToGrid w:val="0"/>
        <w:spacing w:line="420" w:lineRule="exact"/>
        <w:ind w:firstLine="420" w:firstLineChars="200"/>
        <w:jc w:val="left"/>
        <w:outlineLvl w:val="0"/>
        <w:rPr>
          <w:rFonts w:ascii="宋体" w:hAnsi="宋体" w:cs="宋体"/>
          <w:b/>
          <w:color w:val="auto"/>
          <w:szCs w:val="21"/>
        </w:rPr>
      </w:pPr>
      <w:bookmarkStart w:id="33" w:name="_Toc385854148"/>
      <w:bookmarkStart w:id="34" w:name="_Toc406402992"/>
      <w:bookmarkStart w:id="35" w:name="_Toc33535362"/>
      <w:bookmarkStart w:id="36" w:name="_Toc385854102"/>
      <w:bookmarkStart w:id="37" w:name="_Toc406402948"/>
      <w:bookmarkStart w:id="38" w:name="_Toc402963086"/>
      <w:bookmarkStart w:id="39" w:name="_Toc402963119"/>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供应商可拒绝接受延期要求。同意延长有效期的供应商不能修改投标文件。</w:t>
      </w:r>
      <w:bookmarkEnd w:id="33"/>
      <w:bookmarkEnd w:id="34"/>
      <w:bookmarkEnd w:id="35"/>
      <w:bookmarkEnd w:id="36"/>
      <w:bookmarkEnd w:id="37"/>
      <w:bookmarkEnd w:id="38"/>
      <w:bookmarkEnd w:id="39"/>
    </w:p>
    <w:p w14:paraId="7FCC4EE0">
      <w:pPr>
        <w:snapToGrid w:val="0"/>
        <w:spacing w:line="420" w:lineRule="exact"/>
        <w:ind w:firstLine="420" w:firstLineChars="200"/>
        <w:jc w:val="left"/>
        <w:outlineLvl w:val="0"/>
        <w:rPr>
          <w:rFonts w:ascii="宋体" w:hAnsi="宋体" w:cs="宋体"/>
          <w:b/>
          <w:color w:val="auto"/>
          <w:szCs w:val="21"/>
        </w:rPr>
      </w:pPr>
      <w:bookmarkStart w:id="40" w:name="_Toc402963120"/>
      <w:bookmarkStart w:id="41" w:name="_Toc385854149"/>
      <w:bookmarkStart w:id="42" w:name="_Toc33535363"/>
      <w:bookmarkStart w:id="43" w:name="_Toc385854103"/>
      <w:bookmarkStart w:id="44" w:name="_Toc402963087"/>
      <w:bookmarkStart w:id="45" w:name="_Toc406402949"/>
      <w:bookmarkStart w:id="46" w:name="_Toc406402993"/>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中标人的投标文件自开标之日起至合同履行完毕止均应保持有效。</w:t>
      </w:r>
      <w:bookmarkEnd w:id="40"/>
      <w:bookmarkEnd w:id="41"/>
      <w:bookmarkEnd w:id="42"/>
      <w:bookmarkEnd w:id="43"/>
      <w:bookmarkEnd w:id="44"/>
      <w:bookmarkEnd w:id="45"/>
      <w:bookmarkEnd w:id="46"/>
    </w:p>
    <w:p w14:paraId="1457F9DF">
      <w:pPr>
        <w:snapToGrid w:val="0"/>
        <w:spacing w:line="420" w:lineRule="exact"/>
        <w:ind w:firstLine="422" w:firstLineChars="200"/>
        <w:jc w:val="left"/>
        <w:outlineLvl w:val="0"/>
        <w:rPr>
          <w:rFonts w:ascii="宋体" w:hAnsi="宋体" w:cs="宋体"/>
          <w:b/>
          <w:color w:val="auto"/>
          <w:szCs w:val="21"/>
        </w:rPr>
      </w:pPr>
      <w:bookmarkStart w:id="47" w:name="_Toc402963122"/>
      <w:bookmarkStart w:id="48" w:name="_Toc385854105"/>
      <w:bookmarkStart w:id="49" w:name="_Toc402963089"/>
      <w:bookmarkStart w:id="50" w:name="_Toc33535364"/>
      <w:bookmarkStart w:id="51" w:name="_Toc385854151"/>
      <w:bookmarkStart w:id="52" w:name="_Toc406402951"/>
      <w:bookmarkStart w:id="53" w:name="_Toc406402995"/>
      <w:r>
        <w:rPr>
          <w:rFonts w:hint="eastAsia" w:ascii="宋体" w:hAnsi="宋体" w:cs="宋体"/>
          <w:b/>
          <w:color w:val="auto"/>
          <w:szCs w:val="21"/>
        </w:rPr>
        <w:t>（六）投标文件的签署和份数</w:t>
      </w:r>
      <w:bookmarkEnd w:id="47"/>
      <w:bookmarkEnd w:id="48"/>
      <w:bookmarkEnd w:id="49"/>
      <w:bookmarkEnd w:id="50"/>
      <w:bookmarkEnd w:id="51"/>
      <w:bookmarkEnd w:id="52"/>
      <w:bookmarkEnd w:id="53"/>
    </w:p>
    <w:p w14:paraId="3BD56DB3">
      <w:pPr>
        <w:snapToGrid w:val="0"/>
        <w:spacing w:line="420" w:lineRule="exact"/>
        <w:ind w:firstLine="420" w:firstLineChars="200"/>
        <w:jc w:val="left"/>
        <w:outlineLvl w:val="0"/>
        <w:rPr>
          <w:rFonts w:ascii="宋体" w:hAnsi="宋体" w:cs="宋体"/>
          <w:b/>
          <w:bCs/>
          <w:color w:val="auto"/>
          <w:szCs w:val="21"/>
        </w:rPr>
      </w:pPr>
      <w:r>
        <w:rPr>
          <w:rFonts w:hint="eastAsia" w:ascii="宋体" w:hAnsi="宋体" w:cs="宋体"/>
          <w:color w:val="auto"/>
          <w:szCs w:val="21"/>
        </w:rPr>
        <w:t>投标文件的形式：</w:t>
      </w:r>
      <w:r>
        <w:rPr>
          <w:rFonts w:hint="eastAsia" w:ascii="宋体" w:hAnsi="宋体" w:cs="宋体"/>
          <w:b/>
          <w:bCs/>
          <w:color w:val="auto"/>
          <w:szCs w:val="21"/>
        </w:rPr>
        <w:t>☑电子投标文件（包括“电子加密投标文件”和“备份投标文件”，在投标文件编制完成后同时生成）；</w:t>
      </w:r>
    </w:p>
    <w:p w14:paraId="55BF244B">
      <w:pPr>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“电子加密投标文件”是指通过“政采云电子交易客户端”完成投标文件编制后生成并加密的数据电文形式的投标文件。</w:t>
      </w:r>
    </w:p>
    <w:p w14:paraId="1B942D94">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“备份投标文件”是指与“电子加密投标文件”同时生成的数据电文形式的电子文件（备份标书），其他方式编制的备份投标文件视为无效备份投标文件。</w:t>
      </w:r>
    </w:p>
    <w:p w14:paraId="1ABCB2F9">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（七）</w:t>
      </w:r>
      <w:bookmarkStart w:id="54" w:name="_Toc33535368"/>
      <w:r>
        <w:rPr>
          <w:rFonts w:hint="eastAsia" w:ascii="宋体" w:hAnsi="宋体" w:cs="宋体"/>
          <w:b/>
          <w:bCs/>
          <w:color w:val="auto"/>
          <w:szCs w:val="21"/>
        </w:rPr>
        <w:t>投标文件的上传和递交：</w:t>
      </w:r>
    </w:p>
    <w:p w14:paraId="697EF79F">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“电子加密投标文件”的上传、递交：</w:t>
      </w:r>
    </w:p>
    <w:p w14:paraId="257AA550">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a.投标供应商应在投标截止时间前将“电子加密投标文件”成功上传递交至“政府采购云平台”，否则投标无效。</w:t>
      </w:r>
    </w:p>
    <w:p w14:paraId="346CB6B5">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“备份投标文件”的密封包装、递交：</w:t>
      </w:r>
    </w:p>
    <w:p w14:paraId="5E428AA9">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a.投标供应商在“政府采购云平台”完成“电子加密投标文件”的上传递交后，还可以（邮寄形式）在投标截止时间前递交以介质（U盘）存储的“备份投标文件”（一份）；</w:t>
      </w:r>
    </w:p>
    <w:p w14:paraId="3154E275">
      <w:pPr>
        <w:snapToGrid w:val="0"/>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b.“备份投标文件”应当密封包装，并在包装上标注投标项目名称、投标单位名称并加盖公章。没有密封包装或者逾期邮寄送达至邮寄接收地点的“备份投标文件”将不予接收；</w:t>
      </w:r>
    </w:p>
    <w:p w14:paraId="55BE3B01">
      <w:pPr>
        <w:snapToGrid w:val="0"/>
        <w:spacing w:line="420" w:lineRule="exact"/>
        <w:ind w:firstLine="422" w:firstLineChars="200"/>
        <w:outlineLvl w:val="2"/>
        <w:rPr>
          <w:rFonts w:ascii="宋体" w:hAnsi="宋体" w:cs="宋体"/>
          <w:b/>
          <w:bCs/>
          <w:color w:val="auto"/>
          <w:szCs w:val="21"/>
        </w:rPr>
      </w:pPr>
      <w:r>
        <w:rPr>
          <w:rFonts w:hint="eastAsia" w:ascii="宋体" w:hAnsi="宋体" w:cs="宋体"/>
          <w:b/>
          <w:bCs/>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D0BDB65">
      <w:pPr>
        <w:snapToGrid w:val="0"/>
        <w:spacing w:line="420" w:lineRule="exact"/>
        <w:ind w:firstLine="422" w:firstLineChars="200"/>
        <w:outlineLvl w:val="2"/>
        <w:rPr>
          <w:rFonts w:ascii="宋体" w:hAnsi="宋体" w:cs="宋体"/>
          <w:b/>
          <w:color w:val="auto"/>
          <w:szCs w:val="21"/>
        </w:rPr>
      </w:pPr>
      <w:r>
        <w:rPr>
          <w:rFonts w:hint="eastAsia" w:ascii="宋体" w:hAnsi="宋体" w:cs="宋体"/>
          <w:b/>
          <w:color w:val="auto"/>
          <w:szCs w:val="21"/>
        </w:rPr>
        <w:t>（八）投标无效的情形</w:t>
      </w:r>
      <w:bookmarkEnd w:id="54"/>
    </w:p>
    <w:p w14:paraId="69D2FDBF">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根据《政府采购货物和服务招标投标管理办法》有下列情形之一的，视为供应商串通投标，其投标无效：</w:t>
      </w:r>
    </w:p>
    <w:p w14:paraId="40C5F0B3">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不同供应商的投标文件由同一单位或者个人编制。</w:t>
      </w:r>
    </w:p>
    <w:p w14:paraId="48FB05E9">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不同供应商委托同一单位或者个人办理投标事宜。</w:t>
      </w:r>
    </w:p>
    <w:p w14:paraId="12383C78">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不同供应商的投标文件载明的项目管理成员或者联系人员为同一人。</w:t>
      </w:r>
    </w:p>
    <w:p w14:paraId="6B380C4D">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不同供应商的投标文件异常一致或者投标报价呈规律性差异。</w:t>
      </w:r>
    </w:p>
    <w:p w14:paraId="2921F51B">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不同供应商的投标文件相互混装。</w:t>
      </w:r>
    </w:p>
    <w:p w14:paraId="2B708969">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实质上没有响应采购文件要求的投标将被视为无效投标：</w:t>
      </w:r>
    </w:p>
    <w:p w14:paraId="68FA3DBF">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电子投标文件解密失败的，且未在规定时间内提交备份投标文件的。</w:t>
      </w:r>
    </w:p>
    <w:p w14:paraId="27EA3F8A">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没有通过资格审查的，投标文件将被视为无效。</w:t>
      </w:r>
    </w:p>
    <w:p w14:paraId="1756FE1C">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lang w:val="en-US" w:eastAsia="zh-CN"/>
        </w:rPr>
        <w:t>.</w:t>
      </w:r>
      <w:r>
        <w:rPr>
          <w:rFonts w:hint="eastAsia" w:ascii="宋体" w:hAnsi="宋体" w:cs="宋体"/>
          <w:b/>
          <w:bCs/>
          <w:color w:val="auto"/>
          <w:szCs w:val="21"/>
        </w:rPr>
        <w:t>在符合性审查和商务评审时，如发现下列情形之一的，投标文件将被视为无效：</w:t>
      </w:r>
    </w:p>
    <w:p w14:paraId="44C3B8E8">
      <w:pPr>
        <w:snapToGrid w:val="0"/>
        <w:spacing w:line="42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未按采购文件规定签字、盖章的；</w:t>
      </w:r>
    </w:p>
    <w:p w14:paraId="3E688E24">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（2）单位负责人为同一人或者存在直接控股、管理关系的不同供应商参加同一合同项下的政府采购活动；</w:t>
      </w:r>
    </w:p>
    <w:p w14:paraId="38BD48EA">
      <w:pPr>
        <w:pStyle w:val="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3）</w:t>
      </w:r>
      <w:r>
        <w:rPr>
          <w:rFonts w:hint="eastAsia" w:ascii="宋体" w:hAnsi="宋体"/>
          <w:color w:val="auto"/>
          <w:sz w:val="21"/>
          <w:szCs w:val="21"/>
        </w:rPr>
        <w:t>投标文件内容虚假的；</w:t>
      </w:r>
    </w:p>
    <w:p w14:paraId="6B2C3067">
      <w:pPr>
        <w:pStyle w:val="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（4）投标文件的实质性内容未使用中文表述、意思表述不明确、前后矛盾或者使用计量单位不符合采购文件要求的（经评标委员会认定并允许其当场更正的笔误除外）；</w:t>
      </w:r>
    </w:p>
    <w:p w14:paraId="2FE340FC">
      <w:pPr>
        <w:pStyle w:val="2"/>
        <w:snapToGrid w:val="0"/>
        <w:spacing w:line="420" w:lineRule="exact"/>
        <w:ind w:firstLine="420"/>
        <w:rPr>
          <w:rFonts w:ascii="宋体" w:hAnsi="宋体"/>
          <w:snapToGrid w:val="0"/>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5）</w:t>
      </w:r>
      <w:r>
        <w:rPr>
          <w:rFonts w:hint="eastAsia" w:ascii="宋体" w:hAnsi="宋体"/>
          <w:color w:val="auto"/>
          <w:sz w:val="21"/>
          <w:szCs w:val="21"/>
        </w:rPr>
        <w:t>未实质性响应采购文件要求或者投标文件有采购方不能接受的附加条件的</w:t>
      </w:r>
      <w:r>
        <w:rPr>
          <w:rFonts w:hint="eastAsia" w:ascii="宋体" w:hAnsi="宋体"/>
          <w:snapToGrid w:val="0"/>
          <w:color w:val="auto"/>
          <w:sz w:val="21"/>
          <w:szCs w:val="21"/>
        </w:rPr>
        <w:t>；</w:t>
      </w:r>
    </w:p>
    <w:p w14:paraId="0D6912EF">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（6）</w:t>
      </w:r>
      <w:bookmarkStart w:id="55" w:name="_Toc33535369"/>
      <w:r>
        <w:rPr>
          <w:rFonts w:hint="eastAsia" w:ascii="宋体" w:hAnsi="宋体"/>
          <w:color w:val="auto"/>
          <w:sz w:val="21"/>
          <w:szCs w:val="21"/>
        </w:rPr>
        <w:t>不符合法律法规的相关规定。</w:t>
      </w:r>
    </w:p>
    <w:p w14:paraId="7C086B41">
      <w:pPr>
        <w:pStyle w:val="2"/>
        <w:snapToGrid w:val="0"/>
        <w:spacing w:line="420" w:lineRule="exact"/>
        <w:ind w:firstLine="422"/>
        <w:rPr>
          <w:rFonts w:ascii="宋体" w:hAnsi="宋体"/>
          <w:b/>
          <w:bCs/>
          <w:color w:val="auto"/>
          <w:sz w:val="21"/>
          <w:szCs w:val="21"/>
        </w:rPr>
      </w:pPr>
      <w:r>
        <w:rPr>
          <w:rFonts w:hint="eastAsia" w:ascii="宋体" w:hAnsi="宋体"/>
          <w:b/>
          <w:bCs/>
          <w:color w:val="auto"/>
          <w:sz w:val="21"/>
          <w:szCs w:val="21"/>
        </w:rPr>
        <w:t>4</w:t>
      </w:r>
      <w:r>
        <w:rPr>
          <w:rFonts w:hint="eastAsia" w:ascii="宋体" w:hAnsi="宋体"/>
          <w:b/>
          <w:bCs/>
          <w:color w:val="auto"/>
          <w:sz w:val="21"/>
          <w:szCs w:val="21"/>
          <w:lang w:val="en-US" w:eastAsia="zh-CN"/>
        </w:rPr>
        <w:t>.</w:t>
      </w:r>
      <w:r>
        <w:rPr>
          <w:rFonts w:hint="eastAsia" w:ascii="宋体" w:hAnsi="宋体"/>
          <w:b/>
          <w:bCs/>
          <w:color w:val="auto"/>
          <w:sz w:val="21"/>
          <w:szCs w:val="21"/>
        </w:rPr>
        <w:t>在技术评审时，如发现下列情形之一的，投标文件将被视为无效：</w:t>
      </w:r>
    </w:p>
    <w:p w14:paraId="49B29797">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（1）未提供或未如实提供投标货物的技术参数，或者投标文件标明的响应或偏离与事实不符或虚假投标的；</w:t>
      </w:r>
    </w:p>
    <w:p w14:paraId="7E884444">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（2）</w:t>
      </w:r>
      <w:r>
        <w:rPr>
          <w:rFonts w:hint="eastAsia" w:ascii="宋体" w:hAnsi="宋体"/>
          <w:snapToGrid w:val="0"/>
          <w:color w:val="auto"/>
          <w:sz w:val="21"/>
          <w:szCs w:val="21"/>
        </w:rPr>
        <w:t>明显不符合采购文件要求的规格型号、质量标准，或者与</w:t>
      </w:r>
      <w:r>
        <w:rPr>
          <w:rFonts w:hint="eastAsia" w:ascii="宋体" w:hAnsi="宋体"/>
          <w:color w:val="auto"/>
          <w:sz w:val="21"/>
          <w:szCs w:val="21"/>
        </w:rPr>
        <w:t>采购文件中标“</w:t>
      </w:r>
      <w:r>
        <w:rPr>
          <w:rFonts w:hint="eastAsia" w:ascii="宋体" w:hAnsi="宋体" w:cs="宋体"/>
          <w:color w:val="auto"/>
          <w:kern w:val="0"/>
          <w:szCs w:val="21"/>
          <w:lang w:bidi="ar"/>
        </w:rPr>
        <w:t>★</w:t>
      </w:r>
      <w:r>
        <w:rPr>
          <w:rFonts w:hint="eastAsia" w:ascii="宋体" w:hAnsi="宋体"/>
          <w:color w:val="auto"/>
          <w:sz w:val="21"/>
          <w:szCs w:val="21"/>
        </w:rPr>
        <w:t>”的技术指标、主要功能项目发生实质性偏离的；</w:t>
      </w:r>
    </w:p>
    <w:p w14:paraId="0A8972E7">
      <w:pPr>
        <w:pStyle w:val="2"/>
        <w:snapToGrid w:val="0"/>
        <w:spacing w:line="420" w:lineRule="exact"/>
        <w:ind w:firstLine="420"/>
        <w:rPr>
          <w:rFonts w:ascii="宋体" w:hAnsi="宋体"/>
          <w:color w:val="auto"/>
          <w:sz w:val="21"/>
          <w:szCs w:val="21"/>
        </w:rPr>
      </w:pPr>
      <w:r>
        <w:rPr>
          <w:rFonts w:hint="eastAsia" w:ascii="宋体" w:hAnsi="宋体"/>
          <w:snapToGrid w:val="0"/>
          <w:color w:val="auto"/>
          <w:sz w:val="21"/>
          <w:szCs w:val="21"/>
        </w:rPr>
        <w:t>（3）</w:t>
      </w:r>
      <w:r>
        <w:rPr>
          <w:rFonts w:hint="eastAsia" w:ascii="宋体" w:hAnsi="宋体"/>
          <w:color w:val="auto"/>
          <w:sz w:val="21"/>
          <w:szCs w:val="21"/>
        </w:rPr>
        <w:t>投标技术方案不明确，存在一个或一个以上备选（替代）投标方案的；</w:t>
      </w:r>
    </w:p>
    <w:p w14:paraId="20382D6C">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4）</w:t>
      </w:r>
      <w:r>
        <w:rPr>
          <w:rFonts w:hint="eastAsia" w:ascii="宋体" w:hAnsi="宋体"/>
          <w:color w:val="auto"/>
          <w:sz w:val="21"/>
          <w:szCs w:val="21"/>
        </w:rPr>
        <w:t>未实质性响应采购文件要求或者投标文件有采购方不能接受的附加条件的。</w:t>
      </w:r>
    </w:p>
    <w:p w14:paraId="6C9A7579">
      <w:pPr>
        <w:pStyle w:val="2"/>
        <w:snapToGrid w:val="0"/>
        <w:spacing w:line="420" w:lineRule="exact"/>
        <w:ind w:firstLine="422"/>
        <w:rPr>
          <w:rFonts w:ascii="宋体" w:hAnsi="宋体"/>
          <w:b/>
          <w:bCs/>
          <w:color w:val="auto"/>
          <w:sz w:val="21"/>
          <w:szCs w:val="21"/>
        </w:rPr>
      </w:pPr>
      <w:r>
        <w:rPr>
          <w:rFonts w:hint="eastAsia" w:ascii="宋体" w:hAnsi="宋体"/>
          <w:b/>
          <w:bCs/>
          <w:color w:val="auto"/>
          <w:sz w:val="21"/>
          <w:szCs w:val="21"/>
        </w:rPr>
        <w:t>5</w:t>
      </w:r>
      <w:r>
        <w:rPr>
          <w:rFonts w:hint="eastAsia" w:ascii="宋体" w:hAnsi="宋体"/>
          <w:b/>
          <w:bCs/>
          <w:color w:val="auto"/>
          <w:sz w:val="21"/>
          <w:szCs w:val="21"/>
          <w:lang w:val="en-US" w:eastAsia="zh-CN"/>
        </w:rPr>
        <w:t>.</w:t>
      </w:r>
      <w:r>
        <w:rPr>
          <w:rFonts w:hint="eastAsia" w:ascii="宋体" w:hAnsi="宋体"/>
          <w:b/>
          <w:bCs/>
          <w:color w:val="auto"/>
          <w:sz w:val="21"/>
          <w:szCs w:val="21"/>
        </w:rPr>
        <w:t>在报价评审时，如发现下列情形之一的，投标文件将被视为无效：</w:t>
      </w:r>
    </w:p>
    <w:p w14:paraId="4D57CDFF">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（1）未采用人民币报价或者未按照采购文件标明的币种报价的；</w:t>
      </w:r>
    </w:p>
    <w:p w14:paraId="3504327F">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（2）报价超出最高限价的；</w:t>
      </w:r>
    </w:p>
    <w:p w14:paraId="137CE05A">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（3）投标报价具有选择性，或者开标价格与投标文件承诺的优惠（折扣）价格不一致的；</w:t>
      </w:r>
    </w:p>
    <w:p w14:paraId="6939FCA3">
      <w:pPr>
        <w:pStyle w:val="2"/>
        <w:snapToGrid w:val="0"/>
        <w:spacing w:line="420" w:lineRule="exact"/>
        <w:ind w:firstLine="420"/>
        <w:rPr>
          <w:rFonts w:ascii="宋体" w:hAnsi="宋体"/>
          <w:color w:val="auto"/>
          <w:sz w:val="21"/>
          <w:szCs w:val="21"/>
        </w:rPr>
      </w:pPr>
      <w:r>
        <w:rPr>
          <w:rFonts w:hint="eastAsia" w:ascii="宋体" w:hAnsi="宋体"/>
          <w:color w:val="auto"/>
          <w:sz w:val="21"/>
          <w:szCs w:val="21"/>
        </w:rPr>
        <w:t>（</w:t>
      </w:r>
      <w:r>
        <w:rPr>
          <w:rFonts w:hint="eastAsia" w:ascii="宋体" w:hAnsi="宋体"/>
          <w:snapToGrid w:val="0"/>
          <w:color w:val="auto"/>
          <w:sz w:val="21"/>
          <w:szCs w:val="21"/>
        </w:rPr>
        <w:t>4）</w:t>
      </w:r>
      <w:r>
        <w:rPr>
          <w:rFonts w:hint="eastAsia" w:ascii="宋体" w:hAnsi="宋体"/>
          <w:color w:val="auto"/>
          <w:sz w:val="21"/>
          <w:szCs w:val="21"/>
        </w:rPr>
        <w:t>未实质性响应采购文件要求或者投标文件有采购方不能接受的附加条件的。</w:t>
      </w:r>
    </w:p>
    <w:p w14:paraId="3B6B6907">
      <w:pPr>
        <w:pStyle w:val="2"/>
        <w:snapToGrid w:val="0"/>
        <w:spacing w:line="420" w:lineRule="exact"/>
        <w:ind w:firstLine="422"/>
        <w:rPr>
          <w:rFonts w:ascii="宋体" w:hAnsi="宋体"/>
          <w:b/>
          <w:snapToGrid w:val="0"/>
          <w:color w:val="auto"/>
          <w:sz w:val="21"/>
          <w:szCs w:val="21"/>
        </w:rPr>
      </w:pPr>
      <w:r>
        <w:rPr>
          <w:rFonts w:hint="eastAsia" w:ascii="宋体" w:hAnsi="宋体"/>
          <w:b/>
          <w:color w:val="auto"/>
          <w:sz w:val="21"/>
          <w:szCs w:val="21"/>
        </w:rPr>
        <w:t>6</w:t>
      </w:r>
      <w:r>
        <w:rPr>
          <w:rFonts w:hint="eastAsia" w:ascii="宋体" w:hAnsi="宋体"/>
          <w:b/>
          <w:color w:val="auto"/>
          <w:sz w:val="21"/>
          <w:szCs w:val="21"/>
          <w:lang w:val="en-US" w:eastAsia="zh-CN"/>
        </w:rPr>
        <w:t>.</w:t>
      </w:r>
      <w:r>
        <w:rPr>
          <w:rFonts w:hint="eastAsia" w:ascii="宋体" w:hAnsi="宋体"/>
          <w:b/>
          <w:color w:val="auto"/>
          <w:sz w:val="21"/>
          <w:szCs w:val="21"/>
        </w:rPr>
        <w:t>被拒绝的投标文件为无效。</w:t>
      </w:r>
    </w:p>
    <w:p w14:paraId="49819C00">
      <w:pPr>
        <w:pStyle w:val="2"/>
        <w:snapToGrid w:val="0"/>
        <w:spacing w:line="420" w:lineRule="exact"/>
        <w:ind w:firstLine="413" w:firstLineChars="196"/>
        <w:jc w:val="center"/>
        <w:outlineLvl w:val="1"/>
        <w:rPr>
          <w:rFonts w:ascii="宋体" w:hAnsi="宋体"/>
          <w:b/>
          <w:color w:val="auto"/>
          <w:sz w:val="21"/>
          <w:szCs w:val="21"/>
        </w:rPr>
      </w:pPr>
    </w:p>
    <w:p w14:paraId="70DA345A">
      <w:pPr>
        <w:pStyle w:val="2"/>
        <w:snapToGrid w:val="0"/>
        <w:spacing w:line="420" w:lineRule="exact"/>
        <w:ind w:firstLine="551" w:firstLineChars="196"/>
        <w:jc w:val="center"/>
        <w:outlineLvl w:val="1"/>
        <w:rPr>
          <w:rFonts w:ascii="宋体" w:hAnsi="宋体"/>
          <w:b/>
          <w:snapToGrid w:val="0"/>
          <w:color w:val="auto"/>
          <w:szCs w:val="28"/>
        </w:rPr>
      </w:pPr>
      <w:r>
        <w:rPr>
          <w:rFonts w:hint="eastAsia" w:ascii="宋体" w:hAnsi="宋体"/>
          <w:b/>
          <w:color w:val="auto"/>
          <w:szCs w:val="28"/>
        </w:rPr>
        <w:t>四、开标</w:t>
      </w:r>
      <w:bookmarkEnd w:id="55"/>
    </w:p>
    <w:p w14:paraId="2607F37C">
      <w:pPr>
        <w:pStyle w:val="15"/>
        <w:snapToGrid w:val="0"/>
        <w:spacing w:line="440" w:lineRule="exact"/>
        <w:ind w:firstLine="422" w:firstLineChars="200"/>
        <w:rPr>
          <w:rFonts w:hAnsi="宋体"/>
          <w:b/>
          <w:bCs/>
          <w:color w:val="auto"/>
          <w:szCs w:val="21"/>
        </w:rPr>
      </w:pPr>
      <w:r>
        <w:rPr>
          <w:rFonts w:hint="eastAsia" w:hAnsi="宋体"/>
          <w:b/>
          <w:bCs/>
          <w:color w:val="auto"/>
          <w:szCs w:val="21"/>
        </w:rPr>
        <w:t>（一）开标准备</w:t>
      </w:r>
    </w:p>
    <w:p w14:paraId="6C6F2F75">
      <w:pPr>
        <w:pStyle w:val="15"/>
        <w:snapToGrid w:val="0"/>
        <w:spacing w:line="44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开标的准备工作由采购组织机构负责落实。</w:t>
      </w:r>
    </w:p>
    <w:p w14:paraId="60FC595C">
      <w:pPr>
        <w:pStyle w:val="15"/>
        <w:snapToGrid w:val="0"/>
        <w:spacing w:line="44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采购组织机构将按照采购文件规定的时间通过“政府采购云平台”组织开标、开启投标文件，所有供应商均</w:t>
      </w:r>
      <w:r>
        <w:rPr>
          <w:rFonts w:hint="eastAsia" w:hAnsi="宋体"/>
          <w:b/>
          <w:color w:val="auto"/>
          <w:szCs w:val="21"/>
        </w:rPr>
        <w:t>应当准时在线参加</w:t>
      </w:r>
      <w:r>
        <w:rPr>
          <w:rFonts w:hint="eastAsia" w:hAnsi="宋体"/>
          <w:bCs/>
          <w:color w:val="auto"/>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03E3CF5">
      <w:pPr>
        <w:pStyle w:val="15"/>
        <w:snapToGrid w:val="0"/>
        <w:spacing w:line="440" w:lineRule="exact"/>
        <w:ind w:firstLine="422" w:firstLineChars="200"/>
        <w:rPr>
          <w:rFonts w:hAnsi="宋体"/>
          <w:b/>
          <w:color w:val="auto"/>
          <w:szCs w:val="21"/>
        </w:rPr>
      </w:pPr>
      <w:r>
        <w:rPr>
          <w:rFonts w:hint="eastAsia" w:hAnsi="宋体"/>
          <w:b/>
          <w:bCs/>
          <w:color w:val="auto"/>
          <w:szCs w:val="21"/>
        </w:rPr>
        <w:t>（二）</w:t>
      </w:r>
      <w:r>
        <w:rPr>
          <w:rFonts w:hint="eastAsia" w:hAnsi="宋体"/>
          <w:b/>
          <w:color w:val="auto"/>
          <w:szCs w:val="21"/>
        </w:rPr>
        <w:t>采购人或者采购代理机构职责</w:t>
      </w:r>
    </w:p>
    <w:p w14:paraId="313093B3">
      <w:pPr>
        <w:pStyle w:val="15"/>
        <w:snapToGrid w:val="0"/>
        <w:spacing w:line="440" w:lineRule="exact"/>
        <w:ind w:firstLine="420" w:firstLineChars="200"/>
        <w:rPr>
          <w:rFonts w:hAnsi="宋体"/>
          <w:bCs/>
          <w:color w:val="auto"/>
          <w:szCs w:val="21"/>
        </w:rPr>
      </w:pPr>
      <w:r>
        <w:rPr>
          <w:rFonts w:hint="eastAsia" w:hAnsi="宋体"/>
          <w:bCs/>
          <w:color w:val="auto"/>
          <w:szCs w:val="21"/>
        </w:rPr>
        <w:t>采购人或者采购代理机构负责组织评标工作，并履行下列职责：</w:t>
      </w:r>
    </w:p>
    <w:p w14:paraId="6D8C8205">
      <w:pPr>
        <w:pStyle w:val="15"/>
        <w:snapToGrid w:val="0"/>
        <w:spacing w:line="440" w:lineRule="exact"/>
        <w:ind w:firstLine="420" w:firstLineChars="200"/>
        <w:rPr>
          <w:rFonts w:hAnsi="宋体"/>
          <w:bCs/>
          <w:color w:val="auto"/>
          <w:szCs w:val="21"/>
        </w:rPr>
      </w:pPr>
      <w:r>
        <w:rPr>
          <w:rFonts w:hint="eastAsia" w:hAnsi="宋体"/>
          <w:bCs/>
          <w:color w:val="auto"/>
          <w:szCs w:val="21"/>
        </w:rPr>
        <w:t>1</w:t>
      </w:r>
      <w:r>
        <w:rPr>
          <w:rFonts w:hint="eastAsia" w:hAnsi="宋体"/>
          <w:bCs/>
          <w:color w:val="auto"/>
          <w:szCs w:val="21"/>
          <w:lang w:val="en-US" w:eastAsia="zh-CN"/>
        </w:rPr>
        <w:t>.</w:t>
      </w:r>
      <w:r>
        <w:rPr>
          <w:rFonts w:hint="eastAsia" w:hAnsi="宋体"/>
          <w:bCs/>
          <w:color w:val="auto"/>
          <w:szCs w:val="21"/>
        </w:rPr>
        <w:t>核对评审专家身份和采购人代表授权函，对评审专家在政府采购活动中的职责履行情况予以记录，并及时将有关违法违规行为向财政部门报告；</w:t>
      </w:r>
    </w:p>
    <w:p w14:paraId="3B13E395">
      <w:pPr>
        <w:pStyle w:val="15"/>
        <w:snapToGrid w:val="0"/>
        <w:spacing w:line="440" w:lineRule="exact"/>
        <w:ind w:firstLine="420" w:firstLineChars="200"/>
        <w:rPr>
          <w:rFonts w:hAnsi="宋体"/>
          <w:bCs/>
          <w:color w:val="auto"/>
          <w:szCs w:val="21"/>
        </w:rPr>
      </w:pPr>
      <w:r>
        <w:rPr>
          <w:rFonts w:hint="eastAsia" w:hAnsi="宋体"/>
          <w:bCs/>
          <w:color w:val="auto"/>
          <w:szCs w:val="21"/>
        </w:rPr>
        <w:t>2</w:t>
      </w:r>
      <w:r>
        <w:rPr>
          <w:rFonts w:hint="eastAsia" w:hAnsi="宋体"/>
          <w:bCs/>
          <w:color w:val="auto"/>
          <w:szCs w:val="21"/>
          <w:lang w:val="en-US" w:eastAsia="zh-CN"/>
        </w:rPr>
        <w:t>.</w:t>
      </w:r>
      <w:r>
        <w:rPr>
          <w:rFonts w:hint="eastAsia" w:hAnsi="宋体"/>
          <w:bCs/>
          <w:color w:val="auto"/>
          <w:szCs w:val="21"/>
        </w:rPr>
        <w:t>宣布评标纪律；</w:t>
      </w:r>
    </w:p>
    <w:p w14:paraId="1B8B8A14">
      <w:pPr>
        <w:pStyle w:val="15"/>
        <w:snapToGrid w:val="0"/>
        <w:spacing w:line="440" w:lineRule="exact"/>
        <w:ind w:firstLine="420" w:firstLineChars="200"/>
        <w:rPr>
          <w:rFonts w:hAnsi="宋体"/>
          <w:bCs/>
          <w:color w:val="auto"/>
          <w:szCs w:val="21"/>
        </w:rPr>
      </w:pPr>
      <w:r>
        <w:rPr>
          <w:rFonts w:hint="eastAsia" w:hAnsi="宋体"/>
          <w:bCs/>
          <w:color w:val="auto"/>
          <w:szCs w:val="21"/>
        </w:rPr>
        <w:t>3</w:t>
      </w:r>
      <w:r>
        <w:rPr>
          <w:rFonts w:hint="eastAsia" w:hAnsi="宋体"/>
          <w:bCs/>
          <w:color w:val="auto"/>
          <w:szCs w:val="21"/>
          <w:lang w:val="en-US" w:eastAsia="zh-CN"/>
        </w:rPr>
        <w:t>.</w:t>
      </w:r>
      <w:r>
        <w:rPr>
          <w:rFonts w:hint="eastAsia" w:hAnsi="宋体"/>
          <w:bCs/>
          <w:color w:val="auto"/>
          <w:szCs w:val="21"/>
        </w:rPr>
        <w:t>公布供应商名单，告知评审专家应当回避的情形；</w:t>
      </w:r>
    </w:p>
    <w:p w14:paraId="233CB033">
      <w:pPr>
        <w:pStyle w:val="15"/>
        <w:snapToGrid w:val="0"/>
        <w:spacing w:line="440" w:lineRule="exact"/>
        <w:ind w:firstLine="420" w:firstLineChars="200"/>
        <w:rPr>
          <w:rFonts w:hAnsi="宋体"/>
          <w:bCs/>
          <w:color w:val="auto"/>
          <w:szCs w:val="21"/>
        </w:rPr>
      </w:pPr>
      <w:r>
        <w:rPr>
          <w:rFonts w:hint="eastAsia" w:hAnsi="宋体"/>
          <w:bCs/>
          <w:color w:val="auto"/>
          <w:szCs w:val="21"/>
        </w:rPr>
        <w:t>4</w:t>
      </w:r>
      <w:r>
        <w:rPr>
          <w:rFonts w:hint="eastAsia" w:hAnsi="宋体"/>
          <w:bCs/>
          <w:color w:val="auto"/>
          <w:szCs w:val="21"/>
          <w:lang w:val="en-US" w:eastAsia="zh-CN"/>
        </w:rPr>
        <w:t>.</w:t>
      </w:r>
      <w:r>
        <w:rPr>
          <w:rFonts w:hint="eastAsia" w:hAnsi="宋体"/>
          <w:bCs/>
          <w:color w:val="auto"/>
          <w:szCs w:val="21"/>
        </w:rPr>
        <w:t>组织评标委员会推选评标组长，采购人代表不得担任组长；</w:t>
      </w:r>
    </w:p>
    <w:p w14:paraId="50118389">
      <w:pPr>
        <w:pStyle w:val="15"/>
        <w:snapToGrid w:val="0"/>
        <w:spacing w:line="440" w:lineRule="exact"/>
        <w:ind w:firstLine="420" w:firstLineChars="200"/>
        <w:rPr>
          <w:rFonts w:hAnsi="宋体"/>
          <w:bCs/>
          <w:color w:val="auto"/>
          <w:szCs w:val="21"/>
        </w:rPr>
      </w:pPr>
      <w:r>
        <w:rPr>
          <w:rFonts w:hint="eastAsia" w:hAnsi="宋体"/>
          <w:bCs/>
          <w:color w:val="auto"/>
          <w:szCs w:val="21"/>
        </w:rPr>
        <w:t>5</w:t>
      </w:r>
      <w:r>
        <w:rPr>
          <w:rFonts w:hint="eastAsia" w:hAnsi="宋体"/>
          <w:bCs/>
          <w:color w:val="auto"/>
          <w:szCs w:val="21"/>
          <w:lang w:val="en-US" w:eastAsia="zh-CN"/>
        </w:rPr>
        <w:t>.</w:t>
      </w:r>
      <w:r>
        <w:rPr>
          <w:rFonts w:hint="eastAsia" w:hAnsi="宋体"/>
          <w:bCs/>
          <w:color w:val="auto"/>
          <w:szCs w:val="21"/>
        </w:rPr>
        <w:t>在评标期间采取必要的通讯管理措施，保证评标活动不受外界干扰；</w:t>
      </w:r>
    </w:p>
    <w:p w14:paraId="19B1CA3C">
      <w:pPr>
        <w:pStyle w:val="15"/>
        <w:snapToGrid w:val="0"/>
        <w:spacing w:line="440" w:lineRule="exact"/>
        <w:ind w:firstLine="420" w:firstLineChars="200"/>
        <w:rPr>
          <w:rFonts w:hAnsi="宋体"/>
          <w:bCs/>
          <w:color w:val="auto"/>
          <w:szCs w:val="21"/>
        </w:rPr>
      </w:pPr>
      <w:r>
        <w:rPr>
          <w:rFonts w:hint="eastAsia" w:hAnsi="宋体"/>
          <w:bCs/>
          <w:color w:val="auto"/>
          <w:szCs w:val="21"/>
        </w:rPr>
        <w:t>6</w:t>
      </w:r>
      <w:r>
        <w:rPr>
          <w:rFonts w:hint="eastAsia" w:hAnsi="宋体"/>
          <w:bCs/>
          <w:color w:val="auto"/>
          <w:szCs w:val="21"/>
          <w:lang w:val="en-US" w:eastAsia="zh-CN"/>
        </w:rPr>
        <w:t>.</w:t>
      </w:r>
      <w:r>
        <w:rPr>
          <w:rFonts w:hint="eastAsia" w:hAnsi="宋体"/>
          <w:bCs/>
          <w:color w:val="auto"/>
          <w:szCs w:val="21"/>
        </w:rPr>
        <w:t>根据评标委员会的要求介绍政府采购相关政策法规、采购文件；</w:t>
      </w:r>
    </w:p>
    <w:p w14:paraId="7FA16BD5">
      <w:pPr>
        <w:pStyle w:val="15"/>
        <w:snapToGrid w:val="0"/>
        <w:spacing w:line="440" w:lineRule="exact"/>
        <w:ind w:firstLine="420" w:firstLineChars="200"/>
        <w:rPr>
          <w:rFonts w:hAnsi="宋体"/>
          <w:bCs/>
          <w:color w:val="auto"/>
          <w:szCs w:val="21"/>
        </w:rPr>
      </w:pPr>
      <w:r>
        <w:rPr>
          <w:rFonts w:hint="eastAsia" w:hAnsi="宋体"/>
          <w:bCs/>
          <w:color w:val="auto"/>
          <w:szCs w:val="21"/>
        </w:rPr>
        <w:t>7</w:t>
      </w:r>
      <w:r>
        <w:rPr>
          <w:rFonts w:hint="eastAsia" w:hAnsi="宋体"/>
          <w:bCs/>
          <w:color w:val="auto"/>
          <w:szCs w:val="21"/>
          <w:lang w:val="en-US" w:eastAsia="zh-CN"/>
        </w:rPr>
        <w:t>.</w:t>
      </w:r>
      <w:r>
        <w:rPr>
          <w:rFonts w:hint="eastAsia" w:hAnsi="宋体"/>
          <w:bCs/>
          <w:color w:val="auto"/>
          <w:szCs w:val="21"/>
        </w:rPr>
        <w:t>维护评标秩序，监督评标委员会依照采购文件规定的评标程序、方法和标准进行独立评审，及时制止和纠正采购人代表、评审专家的倾向性言论或者违法违规行为；</w:t>
      </w:r>
    </w:p>
    <w:p w14:paraId="51DFD957">
      <w:pPr>
        <w:pStyle w:val="15"/>
        <w:snapToGrid w:val="0"/>
        <w:spacing w:line="440" w:lineRule="exact"/>
        <w:ind w:firstLine="420" w:firstLineChars="200"/>
        <w:rPr>
          <w:rFonts w:hAnsi="宋体"/>
          <w:bCs/>
          <w:color w:val="auto"/>
          <w:szCs w:val="21"/>
        </w:rPr>
      </w:pPr>
      <w:r>
        <w:rPr>
          <w:rFonts w:hint="eastAsia" w:hAnsi="宋体"/>
          <w:bCs/>
          <w:color w:val="auto"/>
          <w:szCs w:val="21"/>
        </w:rPr>
        <w:t>8</w:t>
      </w:r>
      <w:r>
        <w:rPr>
          <w:rFonts w:hint="eastAsia" w:hAnsi="宋体"/>
          <w:bCs/>
          <w:color w:val="auto"/>
          <w:szCs w:val="21"/>
          <w:lang w:val="en-US" w:eastAsia="zh-CN"/>
        </w:rPr>
        <w:t>.</w:t>
      </w:r>
      <w:r>
        <w:rPr>
          <w:rFonts w:hint="eastAsia" w:hAnsi="宋体"/>
          <w:bCs/>
          <w:color w:val="auto"/>
          <w:szCs w:val="21"/>
        </w:rPr>
        <w:t>核对评标结果，根据《政府采购货物和服务招标投标管理办法》，如有第六十四条规定情形的，要求评标委员会复核或者书面说明理由，评标委员会拒绝的，应予记录并向本级财政部门报告；</w:t>
      </w:r>
    </w:p>
    <w:p w14:paraId="02EF8159">
      <w:pPr>
        <w:pStyle w:val="15"/>
        <w:snapToGrid w:val="0"/>
        <w:spacing w:line="440" w:lineRule="exact"/>
        <w:ind w:firstLine="420" w:firstLineChars="200"/>
        <w:rPr>
          <w:rFonts w:hAnsi="宋体"/>
          <w:bCs/>
          <w:color w:val="auto"/>
          <w:szCs w:val="21"/>
        </w:rPr>
      </w:pPr>
      <w:r>
        <w:rPr>
          <w:rFonts w:hint="eastAsia" w:hAnsi="宋体"/>
          <w:bCs/>
          <w:color w:val="auto"/>
          <w:szCs w:val="21"/>
        </w:rPr>
        <w:t>9</w:t>
      </w:r>
      <w:r>
        <w:rPr>
          <w:rFonts w:hint="eastAsia" w:hAnsi="宋体"/>
          <w:bCs/>
          <w:color w:val="auto"/>
          <w:szCs w:val="21"/>
          <w:lang w:val="en-US" w:eastAsia="zh-CN"/>
        </w:rPr>
        <w:t>.</w:t>
      </w:r>
      <w:r>
        <w:rPr>
          <w:rFonts w:hint="eastAsia" w:hAnsi="宋体"/>
          <w:bCs/>
          <w:color w:val="auto"/>
          <w:szCs w:val="21"/>
        </w:rPr>
        <w:t>评审工作完成后，按照规定向评审专家支付劳务报酬和异地评审差旅费；</w:t>
      </w:r>
    </w:p>
    <w:p w14:paraId="469D5E68">
      <w:pPr>
        <w:pStyle w:val="15"/>
        <w:snapToGrid w:val="0"/>
        <w:spacing w:line="440" w:lineRule="exact"/>
        <w:ind w:firstLine="420" w:firstLineChars="200"/>
        <w:rPr>
          <w:rFonts w:hAnsi="宋体"/>
          <w:bCs/>
          <w:color w:val="auto"/>
          <w:szCs w:val="21"/>
        </w:rPr>
      </w:pPr>
      <w:r>
        <w:rPr>
          <w:rFonts w:hint="eastAsia" w:hAnsi="宋体"/>
          <w:bCs/>
          <w:color w:val="auto"/>
          <w:szCs w:val="21"/>
        </w:rPr>
        <w:t>10</w:t>
      </w:r>
      <w:r>
        <w:rPr>
          <w:rFonts w:hint="eastAsia" w:hAnsi="宋体"/>
          <w:bCs/>
          <w:color w:val="auto"/>
          <w:szCs w:val="21"/>
          <w:lang w:val="en-US" w:eastAsia="zh-CN"/>
        </w:rPr>
        <w:t>.</w:t>
      </w:r>
      <w:r>
        <w:rPr>
          <w:rFonts w:hint="eastAsia" w:hAnsi="宋体"/>
          <w:bCs/>
          <w:color w:val="auto"/>
          <w:szCs w:val="21"/>
        </w:rPr>
        <w:t>处理与评标有关的其他事项。</w:t>
      </w:r>
    </w:p>
    <w:p w14:paraId="66F372E9">
      <w:pPr>
        <w:pStyle w:val="15"/>
        <w:snapToGrid w:val="0"/>
        <w:spacing w:line="440" w:lineRule="exact"/>
        <w:ind w:firstLine="422" w:firstLineChars="200"/>
        <w:rPr>
          <w:rFonts w:hAnsi="宋体"/>
          <w:b/>
          <w:bCs/>
          <w:color w:val="auto"/>
          <w:szCs w:val="21"/>
        </w:rPr>
      </w:pPr>
      <w:r>
        <w:rPr>
          <w:rFonts w:hint="eastAsia" w:hAnsi="宋体"/>
          <w:b/>
          <w:bCs/>
          <w:color w:val="auto"/>
          <w:szCs w:val="21"/>
        </w:rPr>
        <w:t>（三）开标流程（两阶段）</w:t>
      </w:r>
    </w:p>
    <w:p w14:paraId="5AECDA36">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1</w:t>
      </w:r>
      <w:r>
        <w:rPr>
          <w:rFonts w:hint="eastAsia" w:ascii="宋体" w:hAnsi="宋体" w:cs="宋体"/>
          <w:b/>
          <w:color w:val="auto"/>
          <w:kern w:val="0"/>
          <w:szCs w:val="21"/>
          <w:lang w:val="en-US" w:eastAsia="zh-CN"/>
        </w:rPr>
        <w:t>.</w:t>
      </w:r>
      <w:r>
        <w:rPr>
          <w:rFonts w:hint="eastAsia" w:ascii="宋体" w:hAnsi="宋体" w:cs="宋体"/>
          <w:b/>
          <w:color w:val="auto"/>
          <w:kern w:val="0"/>
          <w:szCs w:val="21"/>
        </w:rPr>
        <w:t>开标第一阶段</w:t>
      </w:r>
    </w:p>
    <w:p w14:paraId="64435385">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1765110">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（2）开启投标文件，进入资格审查；</w:t>
      </w:r>
    </w:p>
    <w:p w14:paraId="4545FDEA">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（3）开启资格审查通过的投标供应商的商务技术文件进入符合性审查、商务技术评审。</w:t>
      </w:r>
    </w:p>
    <w:p w14:paraId="72C3F539">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（4）第一阶段开标结束。</w:t>
      </w:r>
    </w:p>
    <w:p w14:paraId="79F14089">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备注：首先依法对投标供应商的资格进行审查，资格审查结束后进入符合性审查和商务技术的评审工作，具体见本章节“投标供应商资格审查”相关规定。</w:t>
      </w:r>
    </w:p>
    <w:p w14:paraId="34AB2878">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2</w:t>
      </w:r>
      <w:r>
        <w:rPr>
          <w:rFonts w:hint="eastAsia" w:ascii="宋体" w:hAnsi="宋体" w:cs="宋体"/>
          <w:b/>
          <w:color w:val="auto"/>
          <w:kern w:val="0"/>
          <w:szCs w:val="21"/>
          <w:lang w:val="en-US" w:eastAsia="zh-CN"/>
        </w:rPr>
        <w:t>.</w:t>
      </w:r>
      <w:r>
        <w:rPr>
          <w:rFonts w:hint="eastAsia" w:ascii="宋体" w:hAnsi="宋体" w:cs="宋体"/>
          <w:b/>
          <w:color w:val="auto"/>
          <w:kern w:val="0"/>
          <w:szCs w:val="21"/>
        </w:rPr>
        <w:t>开标大会第二阶段</w:t>
      </w:r>
    </w:p>
    <w:p w14:paraId="4D5676F5">
      <w:pPr>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（1）符合性审查、商务技术评审结束后，举行开标大会第二阶段会议。</w:t>
      </w:r>
    </w:p>
    <w:p w14:paraId="71B9B678">
      <w:pPr>
        <w:pStyle w:val="15"/>
        <w:spacing w:line="440" w:lineRule="exact"/>
        <w:ind w:firstLine="415" w:firstLineChars="198"/>
        <w:rPr>
          <w:rFonts w:hAnsi="宋体"/>
          <w:color w:val="auto"/>
          <w:szCs w:val="21"/>
        </w:rPr>
      </w:pPr>
      <w:r>
        <w:rPr>
          <w:rFonts w:hint="eastAsia" w:hAnsi="宋体"/>
          <w:color w:val="auto"/>
          <w:kern w:val="0"/>
          <w:szCs w:val="21"/>
        </w:rPr>
        <w:t>（2）</w:t>
      </w:r>
      <w:r>
        <w:rPr>
          <w:rFonts w:hint="eastAsia" w:hAnsi="宋体"/>
          <w:color w:val="auto"/>
          <w:szCs w:val="21"/>
        </w:rPr>
        <w:t>磋商小组通过</w:t>
      </w:r>
      <w:r>
        <w:rPr>
          <w:rFonts w:hint="eastAsia" w:hAnsi="宋体"/>
          <w:b/>
          <w:bCs/>
          <w:color w:val="auto"/>
          <w:szCs w:val="21"/>
        </w:rPr>
        <w:t>远程视频或政采云系统发起磋商</w:t>
      </w:r>
      <w:r>
        <w:rPr>
          <w:rFonts w:hint="eastAsia" w:hAnsi="宋体"/>
          <w:color w:val="auto"/>
          <w:szCs w:val="21"/>
        </w:rPr>
        <w:t>，按标项与各磋商响应方就公司情况、项目需求、项目方案、价格构成、付款方式等要素分别进行逐家磋商。</w:t>
      </w:r>
    </w:p>
    <w:p w14:paraId="1B635B87">
      <w:pPr>
        <w:pStyle w:val="15"/>
        <w:spacing w:line="440" w:lineRule="exact"/>
        <w:ind w:firstLine="415" w:firstLineChars="198"/>
        <w:rPr>
          <w:rFonts w:hint="default" w:hAnsi="宋体" w:eastAsia="宋体"/>
          <w:color w:val="auto"/>
          <w:szCs w:val="21"/>
          <w:lang w:val="en-US" w:eastAsia="zh-CN"/>
        </w:rPr>
      </w:pPr>
      <w:r>
        <w:rPr>
          <w:rFonts w:hint="eastAsia" w:hAnsi="宋体"/>
          <w:color w:val="auto"/>
          <w:kern w:val="0"/>
          <w:szCs w:val="21"/>
        </w:rPr>
        <w:t>（3）</w:t>
      </w:r>
      <w:r>
        <w:rPr>
          <w:rFonts w:hint="eastAsia" w:hAnsi="宋体"/>
          <w:color w:val="auto"/>
          <w:szCs w:val="21"/>
        </w:rPr>
        <w:t>在磋商过程中，采购人和磋商对象可就合同内容进行磋商，技术服务需求如双方都认为有必要的情况可作相应微调，但评分标准不作调整。</w:t>
      </w:r>
      <w:r>
        <w:rPr>
          <w:rFonts w:hint="eastAsia" w:hAnsi="宋体"/>
          <w:color w:val="auto"/>
          <w:szCs w:val="21"/>
          <w:lang w:val="en-US" w:eastAsia="zh-CN"/>
        </w:rPr>
        <w:t xml:space="preserve">          </w:t>
      </w:r>
    </w:p>
    <w:p w14:paraId="0B6505D6">
      <w:pPr>
        <w:pStyle w:val="15"/>
        <w:spacing w:line="440" w:lineRule="exact"/>
        <w:ind w:firstLine="415" w:firstLineChars="198"/>
        <w:rPr>
          <w:rFonts w:hAnsi="宋体"/>
          <w:color w:val="auto"/>
          <w:szCs w:val="21"/>
        </w:rPr>
      </w:pPr>
      <w:r>
        <w:rPr>
          <w:rFonts w:hint="eastAsia" w:hAnsi="宋体"/>
          <w:color w:val="auto"/>
          <w:kern w:val="0"/>
          <w:szCs w:val="21"/>
        </w:rPr>
        <w:t>（4）</w:t>
      </w:r>
      <w:r>
        <w:rPr>
          <w:rFonts w:hint="eastAsia" w:hAnsi="宋体"/>
          <w:color w:val="auto"/>
          <w:szCs w:val="21"/>
        </w:rPr>
        <w:t>如磋商过程中有调整的内容，在最后一轮报价前，代理机构和采购人将根据磋商内容将调整的部分发给符合参与最后一轮报价的供应商，以便其在最后一轮报价中调整报价。</w:t>
      </w:r>
    </w:p>
    <w:p w14:paraId="2D375AF8">
      <w:pPr>
        <w:pStyle w:val="15"/>
        <w:spacing w:line="440" w:lineRule="exact"/>
        <w:ind w:firstLine="415" w:firstLineChars="198"/>
        <w:rPr>
          <w:rFonts w:hAnsi="宋体"/>
          <w:color w:val="auto"/>
          <w:szCs w:val="21"/>
        </w:rPr>
      </w:pPr>
      <w:r>
        <w:rPr>
          <w:rFonts w:hint="eastAsia" w:hAnsi="宋体"/>
          <w:color w:val="auto"/>
          <w:kern w:val="0"/>
          <w:szCs w:val="21"/>
        </w:rPr>
        <w:t>（5）</w:t>
      </w:r>
      <w:r>
        <w:rPr>
          <w:rFonts w:hint="eastAsia" w:hAnsi="宋体"/>
          <w:color w:val="auto"/>
          <w:szCs w:val="21"/>
        </w:rPr>
        <w:t>标项磋商结束后，磋商小组根据本磋商文件的评审方法对各供应商的商务资信技术服务情况进行评审打分，然后对各供应商的初次报价进行审核。</w:t>
      </w:r>
    </w:p>
    <w:p w14:paraId="679E7483">
      <w:pPr>
        <w:pStyle w:val="15"/>
        <w:spacing w:line="440" w:lineRule="exact"/>
        <w:ind w:firstLine="415" w:firstLineChars="198"/>
        <w:rPr>
          <w:rFonts w:hAnsi="宋体"/>
          <w:color w:val="auto"/>
          <w:szCs w:val="21"/>
        </w:rPr>
      </w:pPr>
      <w:r>
        <w:rPr>
          <w:rFonts w:hint="eastAsia" w:hAnsi="宋体"/>
          <w:color w:val="auto"/>
          <w:kern w:val="0"/>
          <w:szCs w:val="21"/>
        </w:rPr>
        <w:t>（6）报价评审后</w:t>
      </w:r>
      <w:r>
        <w:rPr>
          <w:rFonts w:hint="eastAsia" w:hAnsi="宋体"/>
          <w:color w:val="auto"/>
          <w:szCs w:val="21"/>
        </w:rPr>
        <w:t>，代理机构在政采云系统开启最终报价（最终报价的最高限价默认为采购文件规定的最高限价），要求各供应商在规定时间（默认30分钟）内在政采云系统里进行最终报价。</w:t>
      </w:r>
      <w:r>
        <w:rPr>
          <w:rFonts w:hint="eastAsia" w:hAnsi="宋体"/>
          <w:b/>
          <w:bCs/>
          <w:color w:val="auto"/>
          <w:szCs w:val="21"/>
        </w:rPr>
        <w:t>在规定时间内没有提交最终报价的供应商，视为退出磋商。</w:t>
      </w:r>
    </w:p>
    <w:p w14:paraId="3F046FA4">
      <w:pPr>
        <w:pStyle w:val="15"/>
        <w:spacing w:line="440" w:lineRule="exact"/>
        <w:ind w:firstLine="415" w:firstLineChars="198"/>
        <w:rPr>
          <w:rFonts w:hAnsi="宋体"/>
          <w:color w:val="auto"/>
          <w:szCs w:val="21"/>
        </w:rPr>
      </w:pPr>
      <w:r>
        <w:rPr>
          <w:rFonts w:hint="eastAsia" w:hAnsi="宋体"/>
          <w:color w:val="auto"/>
          <w:kern w:val="0"/>
          <w:szCs w:val="21"/>
        </w:rPr>
        <w:t>（7）</w:t>
      </w:r>
      <w:r>
        <w:rPr>
          <w:rFonts w:hint="eastAsia" w:hAnsi="宋体"/>
          <w:color w:val="auto"/>
          <w:szCs w:val="21"/>
        </w:rPr>
        <w:t>在规定时间内供应商全部提交最终报价后，磋商小组对最终报价的合理性进行审核，决定是否结束磋商。若报价合理，磋商小组则根据第四章评标方法推荐中标</w:t>
      </w:r>
      <w:r>
        <w:rPr>
          <w:rFonts w:hint="eastAsia" w:hAnsi="宋体"/>
          <w:color w:val="auto"/>
          <w:kern w:val="0"/>
          <w:szCs w:val="21"/>
        </w:rPr>
        <w:t>（成交）</w:t>
      </w:r>
      <w:r>
        <w:rPr>
          <w:rFonts w:hint="eastAsia" w:hAnsi="宋体"/>
          <w:color w:val="auto"/>
          <w:szCs w:val="21"/>
        </w:rPr>
        <w:t>候选供应商。</w:t>
      </w:r>
    </w:p>
    <w:p w14:paraId="1E76FB0E">
      <w:pPr>
        <w:spacing w:line="440" w:lineRule="exact"/>
        <w:ind w:firstLine="420" w:firstLineChars="200"/>
        <w:jc w:val="left"/>
        <w:rPr>
          <w:rFonts w:ascii="宋体" w:hAnsi="宋体" w:cs="宋体"/>
          <w:color w:val="auto"/>
          <w:kern w:val="0"/>
          <w:szCs w:val="21"/>
        </w:rPr>
      </w:pPr>
      <w:r>
        <w:rPr>
          <w:rFonts w:hint="eastAsia" w:ascii="宋体" w:hAnsi="宋体" w:cs="宋体"/>
          <w:color w:val="auto"/>
          <w:szCs w:val="21"/>
        </w:rPr>
        <w:t>（8）最后</w:t>
      </w:r>
      <w:r>
        <w:rPr>
          <w:rFonts w:hint="eastAsia" w:ascii="宋体" w:hAnsi="宋体" w:cs="宋体"/>
          <w:color w:val="auto"/>
          <w:kern w:val="0"/>
          <w:szCs w:val="21"/>
        </w:rPr>
        <w:t>代理机构在政采云系统进行结果公布。</w:t>
      </w:r>
    </w:p>
    <w:p w14:paraId="7D7F9D66">
      <w:pPr>
        <w:spacing w:line="44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特别说明：如遇“政府采购云平台”电子化开标或评审程序调整的，按调整后程序执行。</w:t>
      </w:r>
    </w:p>
    <w:p w14:paraId="037B7F5A">
      <w:pPr>
        <w:pStyle w:val="15"/>
        <w:snapToGrid w:val="0"/>
        <w:spacing w:line="440" w:lineRule="exact"/>
        <w:ind w:firstLine="422" w:firstLineChars="200"/>
        <w:rPr>
          <w:rFonts w:hAnsi="宋体"/>
          <w:b/>
          <w:bCs/>
          <w:color w:val="auto"/>
          <w:szCs w:val="21"/>
        </w:rPr>
      </w:pPr>
      <w:bookmarkStart w:id="56" w:name="_Toc33194393"/>
      <w:bookmarkStart w:id="57" w:name="_Toc24550037"/>
      <w:r>
        <w:rPr>
          <w:rFonts w:hint="eastAsia" w:hAnsi="宋体"/>
          <w:b/>
          <w:bCs/>
          <w:color w:val="auto"/>
          <w:szCs w:val="21"/>
        </w:rPr>
        <w:t>（四）投标供应商资格审查</w:t>
      </w:r>
      <w:bookmarkEnd w:id="56"/>
      <w:bookmarkEnd w:id="57"/>
    </w:p>
    <w:p w14:paraId="7F3C9DCE">
      <w:pPr>
        <w:spacing w:line="440" w:lineRule="exact"/>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开标大会第一阶段结束后，首先依法对各投标供应商的资格进行审查，审查各投标供应商的资格是否满足采购文件的要求。</w:t>
      </w:r>
      <w:r>
        <w:rPr>
          <w:rFonts w:hint="eastAsia" w:ascii="宋体" w:hAnsi="宋体" w:cs="宋体"/>
          <w:color w:val="auto"/>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BDC9ACC">
      <w:pPr>
        <w:spacing w:line="440" w:lineRule="exact"/>
        <w:ind w:firstLine="422" w:firstLineChars="200"/>
        <w:rPr>
          <w:rFonts w:ascii="宋体" w:hAnsi="宋体" w:cs="宋体"/>
          <w:b/>
          <w:color w:val="auto"/>
          <w:kern w:val="0"/>
          <w:szCs w:val="21"/>
        </w:rPr>
      </w:pPr>
      <w:r>
        <w:rPr>
          <w:rFonts w:hint="eastAsia" w:ascii="宋体" w:hAnsi="宋体" w:cs="宋体"/>
          <w:b/>
          <w:color w:val="auto"/>
          <w:szCs w:val="21"/>
        </w:rPr>
        <w:t>2</w:t>
      </w:r>
      <w:r>
        <w:rPr>
          <w:rFonts w:hint="eastAsia" w:ascii="宋体" w:hAnsi="宋体" w:cs="宋体"/>
          <w:b/>
          <w:color w:val="auto"/>
          <w:szCs w:val="21"/>
          <w:lang w:val="en-US" w:eastAsia="zh-CN"/>
        </w:rPr>
        <w:t>.</w:t>
      </w:r>
      <w:r>
        <w:rPr>
          <w:rFonts w:hint="eastAsia" w:ascii="宋体" w:hAnsi="宋体" w:cs="宋体"/>
          <w:b/>
          <w:color w:val="auto"/>
          <w:szCs w:val="21"/>
        </w:rPr>
        <w:t>投标供应商提交的资格证明材料无法证明其符合采购文件规定的“投标供应商资格要求”的，采购人或采购代理机构</w:t>
      </w:r>
      <w:r>
        <w:rPr>
          <w:rFonts w:hint="eastAsia" w:ascii="宋体" w:hAnsi="宋体" w:cs="宋体"/>
          <w:b/>
          <w:color w:val="auto"/>
          <w:kern w:val="0"/>
          <w:szCs w:val="21"/>
        </w:rPr>
        <w:t>将对其作资格审查不通过处理（无效投标），并不再将其投标提交评标委员会进行后续评审。</w:t>
      </w:r>
    </w:p>
    <w:p w14:paraId="1FB0CF7D">
      <w:pPr>
        <w:pStyle w:val="15"/>
        <w:snapToGrid w:val="0"/>
        <w:spacing w:line="420" w:lineRule="exact"/>
        <w:rPr>
          <w:rFonts w:hAnsi="宋体"/>
          <w:color w:val="auto"/>
          <w:szCs w:val="21"/>
        </w:rPr>
      </w:pPr>
    </w:p>
    <w:p w14:paraId="60DD5635">
      <w:pPr>
        <w:pStyle w:val="15"/>
        <w:snapToGrid w:val="0"/>
        <w:spacing w:line="420" w:lineRule="exact"/>
        <w:ind w:left="842" w:leftChars="267" w:hanging="281" w:hangingChars="100"/>
        <w:jc w:val="center"/>
        <w:outlineLvl w:val="1"/>
        <w:rPr>
          <w:rFonts w:hAnsi="宋体"/>
          <w:b/>
          <w:color w:val="auto"/>
          <w:sz w:val="28"/>
          <w:szCs w:val="28"/>
        </w:rPr>
      </w:pPr>
      <w:bookmarkStart w:id="58" w:name="_Toc33535370"/>
      <w:r>
        <w:rPr>
          <w:rFonts w:hint="eastAsia" w:hAnsi="宋体"/>
          <w:b/>
          <w:color w:val="auto"/>
          <w:sz w:val="28"/>
          <w:szCs w:val="28"/>
        </w:rPr>
        <w:t>五、评标</w:t>
      </w:r>
      <w:bookmarkEnd w:id="58"/>
    </w:p>
    <w:p w14:paraId="71D621FA">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（一）组建评标委员会</w:t>
      </w:r>
    </w:p>
    <w:p w14:paraId="12798214">
      <w:pPr>
        <w:pStyle w:val="15"/>
        <w:snapToGrid w:val="0"/>
        <w:spacing w:line="420" w:lineRule="exact"/>
        <w:ind w:firstLine="420" w:firstLineChars="200"/>
        <w:rPr>
          <w:rFonts w:hAnsi="宋体"/>
          <w:color w:val="auto"/>
          <w:szCs w:val="21"/>
        </w:rPr>
      </w:pPr>
      <w:r>
        <w:rPr>
          <w:rFonts w:hint="eastAsia" w:hAnsi="宋体"/>
          <w:color w:val="auto"/>
          <w:kern w:val="0"/>
          <w:szCs w:val="21"/>
        </w:rPr>
        <w:t>评标委员会由</w:t>
      </w:r>
      <w:r>
        <w:rPr>
          <w:rFonts w:hint="eastAsia" w:hAnsi="宋体"/>
          <w:color w:val="auto"/>
          <w:szCs w:val="21"/>
        </w:rPr>
        <w:t>政府采购评审</w:t>
      </w:r>
      <w:r>
        <w:rPr>
          <w:rFonts w:hint="eastAsia" w:hAnsi="宋体"/>
          <w:color w:val="auto"/>
          <w:szCs w:val="21"/>
          <w:highlight w:val="none"/>
        </w:rPr>
        <w:t>专家共</w:t>
      </w:r>
      <w:r>
        <w:rPr>
          <w:rFonts w:hint="eastAsia" w:hAnsi="宋体"/>
          <w:color w:val="auto"/>
          <w:szCs w:val="21"/>
          <w:highlight w:val="none"/>
          <w:u w:val="single"/>
        </w:rPr>
        <w:t>3</w:t>
      </w:r>
      <w:r>
        <w:rPr>
          <w:rFonts w:hint="eastAsia" w:hAnsi="宋体"/>
          <w:color w:val="auto"/>
          <w:szCs w:val="21"/>
          <w:highlight w:val="none"/>
        </w:rPr>
        <w:t>人</w:t>
      </w:r>
      <w:r>
        <w:rPr>
          <w:rFonts w:hint="eastAsia" w:hAnsi="宋体"/>
          <w:color w:val="auto"/>
          <w:szCs w:val="21"/>
        </w:rPr>
        <w:t>组成。</w:t>
      </w:r>
    </w:p>
    <w:p w14:paraId="242CC924">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评标委员会负责具体评标事务，并独立履行下列职责：</w:t>
      </w:r>
    </w:p>
    <w:p w14:paraId="22439FF3">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w:t>
      </w:r>
      <w:r>
        <w:rPr>
          <w:rFonts w:hint="eastAsia" w:ascii="宋体" w:hAnsi="宋体" w:cs="宋体"/>
          <w:color w:val="auto"/>
          <w:kern w:val="0"/>
          <w:szCs w:val="21"/>
        </w:rPr>
        <w:t>审查、评价投标文件是否符合采购文件的商务技术等实质性要求；</w:t>
      </w:r>
    </w:p>
    <w:p w14:paraId="7D72334A">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w:t>
      </w:r>
      <w:r>
        <w:rPr>
          <w:rFonts w:hint="eastAsia" w:ascii="宋体" w:hAnsi="宋体" w:cs="宋体"/>
          <w:color w:val="auto"/>
          <w:kern w:val="0"/>
          <w:szCs w:val="21"/>
        </w:rPr>
        <w:t>要求供应商对投标文件有关事项作出澄清或者说明；</w:t>
      </w:r>
    </w:p>
    <w:p w14:paraId="5C2DE7A8">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w:t>
      </w:r>
      <w:r>
        <w:rPr>
          <w:rFonts w:hint="eastAsia" w:ascii="宋体" w:hAnsi="宋体" w:cs="宋体"/>
          <w:color w:val="auto"/>
          <w:kern w:val="0"/>
          <w:szCs w:val="21"/>
        </w:rPr>
        <w:t>对投标文件进行比较和评价；</w:t>
      </w:r>
    </w:p>
    <w:p w14:paraId="4C3092B3">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w:t>
      </w:r>
      <w:r>
        <w:rPr>
          <w:rFonts w:hint="eastAsia" w:ascii="宋体" w:hAnsi="宋体" w:cs="宋体"/>
          <w:color w:val="auto"/>
          <w:kern w:val="0"/>
          <w:szCs w:val="21"/>
        </w:rPr>
        <w:t>确定中标候选人名单，以及根据采购人委托直接确定中标人；</w:t>
      </w:r>
    </w:p>
    <w:p w14:paraId="0BE70912">
      <w:pPr>
        <w:widowControl/>
        <w:shd w:val="clear" w:color="auto" w:fill="FFFFFF"/>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val="en-US" w:eastAsia="zh-CN"/>
        </w:rPr>
        <w:t>.</w:t>
      </w:r>
      <w:r>
        <w:rPr>
          <w:rFonts w:hint="eastAsia" w:ascii="宋体" w:hAnsi="宋体" w:cs="宋体"/>
          <w:color w:val="auto"/>
          <w:kern w:val="0"/>
          <w:szCs w:val="21"/>
        </w:rPr>
        <w:t>向采购人、采购代理机构或者有关部门报告评标中发现的违法行为。</w:t>
      </w:r>
    </w:p>
    <w:p w14:paraId="5B8FD5CC">
      <w:pPr>
        <w:widowControl/>
        <w:shd w:val="clear" w:color="auto" w:fill="FFFFFF"/>
        <w:spacing w:line="42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除采购人代表、评标现场组织人员外，采购人的其他工作人员以及与评标工作无关的人员不得进入评标现场。</w:t>
      </w:r>
    </w:p>
    <w:p w14:paraId="27AFA16E">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（二）评标的方式</w:t>
      </w:r>
    </w:p>
    <w:p w14:paraId="292FC595">
      <w:pPr>
        <w:pStyle w:val="15"/>
        <w:snapToGrid w:val="0"/>
        <w:spacing w:line="420" w:lineRule="exact"/>
        <w:ind w:firstLine="420" w:firstLineChars="200"/>
        <w:rPr>
          <w:rFonts w:hAnsi="宋体"/>
          <w:bCs/>
          <w:color w:val="auto"/>
          <w:szCs w:val="21"/>
        </w:rPr>
      </w:pPr>
      <w:r>
        <w:rPr>
          <w:rFonts w:hint="eastAsia" w:hAnsi="宋体"/>
          <w:bCs/>
          <w:color w:val="auto"/>
          <w:szCs w:val="21"/>
        </w:rPr>
        <w:t>本项目采用不公开方式评标，评标的依据为采购文件和投标文件。</w:t>
      </w:r>
    </w:p>
    <w:p w14:paraId="48E48E4A">
      <w:pPr>
        <w:snapToGrid w:val="0"/>
        <w:spacing w:line="420" w:lineRule="exact"/>
        <w:ind w:firstLine="422" w:firstLineChars="200"/>
        <w:rPr>
          <w:rFonts w:hint="eastAsia" w:ascii="宋体" w:hAnsi="宋体" w:eastAsia="宋体" w:cs="宋体"/>
          <w:b/>
          <w:color w:val="auto"/>
          <w:szCs w:val="21"/>
          <w:lang w:val="en-US" w:eastAsia="zh-CN"/>
        </w:rPr>
      </w:pPr>
      <w:r>
        <w:rPr>
          <w:rFonts w:hint="eastAsia" w:ascii="宋体" w:hAnsi="宋体" w:cs="宋体"/>
          <w:b/>
          <w:color w:val="auto"/>
          <w:szCs w:val="21"/>
        </w:rPr>
        <w:t>（三）评标程序</w:t>
      </w:r>
      <w:r>
        <w:rPr>
          <w:rFonts w:hint="eastAsia" w:ascii="宋体" w:hAnsi="宋体" w:cs="宋体"/>
          <w:b/>
          <w:color w:val="auto"/>
          <w:szCs w:val="21"/>
          <w:lang w:val="en-US" w:eastAsia="zh-CN"/>
        </w:rPr>
        <w:t xml:space="preserve"> </w:t>
      </w:r>
    </w:p>
    <w:p w14:paraId="55B70EDF">
      <w:pPr>
        <w:pStyle w:val="15"/>
        <w:snapToGrid w:val="0"/>
        <w:spacing w:line="420" w:lineRule="exact"/>
        <w:ind w:firstLine="420" w:firstLineChars="200"/>
        <w:rPr>
          <w:rFonts w:hAnsi="宋体"/>
          <w:bCs/>
          <w:color w:val="auto"/>
          <w:szCs w:val="21"/>
        </w:rPr>
      </w:pPr>
      <w:r>
        <w:rPr>
          <w:rFonts w:hint="eastAsia" w:hAnsi="宋体"/>
          <w:bCs/>
          <w:color w:val="auto"/>
          <w:szCs w:val="21"/>
        </w:rPr>
        <w:t>采购人可以在评标前说明项目背景和采购需求，说明内容不得含有歧视性、倾向性意见，不得超出采购文件所述范围。说明应当提交书面材料，并随采购文件一并存档。</w:t>
      </w:r>
    </w:p>
    <w:p w14:paraId="0E36D86D">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形式审查</w:t>
      </w:r>
    </w:p>
    <w:p w14:paraId="4B97045A">
      <w:pPr>
        <w:snapToGrid w:val="0"/>
        <w:spacing w:line="420" w:lineRule="exact"/>
        <w:ind w:firstLine="420" w:firstLineChars="200"/>
        <w:rPr>
          <w:rFonts w:ascii="宋体" w:hAnsi="宋体" w:cs="宋体"/>
          <w:bCs/>
          <w:color w:val="auto"/>
          <w:szCs w:val="21"/>
        </w:rPr>
      </w:pPr>
      <w:r>
        <w:rPr>
          <w:rFonts w:hint="eastAsia" w:ascii="宋体" w:hAnsi="宋体" w:cs="宋体"/>
          <w:bCs/>
          <w:color w:val="auto"/>
          <w:szCs w:val="21"/>
        </w:rPr>
        <w:t>形式审查包括资格审查和符合性审查，即对供应商的资格和投标文件的完整性、合法性等进行审查。投标文件形式审查未通过的供应商，其投标文件将不再评审。</w:t>
      </w:r>
    </w:p>
    <w:p w14:paraId="5F61EC9A">
      <w:pPr>
        <w:snapToGrid w:val="0"/>
        <w:spacing w:line="420" w:lineRule="exact"/>
        <w:ind w:firstLine="422" w:firstLineChars="20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实质审查与比较</w:t>
      </w:r>
    </w:p>
    <w:p w14:paraId="42D10793">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（1）评标委员会审查投标文件的实质性内容是否符合采购文件的实质性要求。</w:t>
      </w:r>
    </w:p>
    <w:p w14:paraId="44758398">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（2）评标委员会将根据供应商的投标文件进行审查、核对，如有疑问，将对供应商进行询标，供应商要向评标委员会澄清有关问题，并最终以书面形式进行答复。</w:t>
      </w:r>
    </w:p>
    <w:p w14:paraId="457688C4">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询标时，供应商代表未在线或者拒绝澄清或者澄清的内容改变了投标文件的实质性内容的，评标委员会有权对该投标文件作出不利于供应商的评判。</w:t>
      </w:r>
    </w:p>
    <w:p w14:paraId="243F6A9C">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（3）各供应商的商务资信技术分按照评标委员会成员的独立评分结果汇总后的算术平均分计算。</w:t>
      </w:r>
    </w:p>
    <w:p w14:paraId="7E55A8FF">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（4）采购代理机构工作人员协助评标委员会根据本项目的评分标准操作政府采购业务系统，由系统计算各供应商的报价得分。</w:t>
      </w:r>
    </w:p>
    <w:p w14:paraId="777ABA13">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（5）评标委员会完成评标后，评委对各部分得分汇总，计算出本项目最终得分、性价比、评标价等。评标委员会按评标原则推荐中标候选人同时起草评标报告。</w:t>
      </w:r>
    </w:p>
    <w:p w14:paraId="435E07BC">
      <w:pPr>
        <w:snapToGrid w:val="0"/>
        <w:spacing w:line="420" w:lineRule="exact"/>
        <w:ind w:firstLine="422" w:firstLineChars="200"/>
        <w:rPr>
          <w:rFonts w:ascii="宋体" w:hAnsi="宋体" w:cs="宋体"/>
          <w:b/>
          <w:color w:val="auto"/>
          <w:szCs w:val="21"/>
        </w:rPr>
      </w:pPr>
      <w:r>
        <w:rPr>
          <w:rFonts w:hint="eastAsia" w:ascii="宋体" w:hAnsi="宋体" w:cs="宋体"/>
          <w:b/>
          <w:color w:val="auto"/>
          <w:szCs w:val="21"/>
        </w:rPr>
        <w:t>（四）澄清问题的形式</w:t>
      </w:r>
    </w:p>
    <w:p w14:paraId="072F8E42">
      <w:pPr>
        <w:snapToGrid w:val="0"/>
        <w:spacing w:line="420" w:lineRule="exact"/>
        <w:ind w:firstLine="420" w:firstLineChars="200"/>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6E4BA48">
      <w:pPr>
        <w:spacing w:line="420" w:lineRule="exact"/>
        <w:ind w:firstLine="420" w:firstLineChars="200"/>
        <w:rPr>
          <w:rFonts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F8EBA23">
      <w:pPr>
        <w:pStyle w:val="15"/>
        <w:tabs>
          <w:tab w:val="left" w:pos="630"/>
        </w:tabs>
        <w:snapToGrid w:val="0"/>
        <w:spacing w:line="420" w:lineRule="exact"/>
        <w:ind w:firstLine="422" w:firstLineChars="200"/>
        <w:rPr>
          <w:rFonts w:hAnsi="宋体"/>
          <w:b/>
          <w:color w:val="auto"/>
          <w:szCs w:val="21"/>
        </w:rPr>
      </w:pPr>
      <w:r>
        <w:rPr>
          <w:rFonts w:hint="eastAsia" w:hAnsi="宋体"/>
          <w:b/>
          <w:color w:val="auto"/>
          <w:szCs w:val="21"/>
        </w:rPr>
        <w:t>（五）错误修正</w:t>
      </w:r>
    </w:p>
    <w:p w14:paraId="44B9F223">
      <w:pPr>
        <w:pStyle w:val="15"/>
        <w:snapToGrid w:val="0"/>
        <w:spacing w:line="420" w:lineRule="exact"/>
        <w:ind w:firstLine="420" w:firstLineChars="200"/>
        <w:rPr>
          <w:rFonts w:hAnsi="宋体"/>
          <w:color w:val="auto"/>
          <w:szCs w:val="21"/>
        </w:rPr>
      </w:pPr>
      <w:r>
        <w:rPr>
          <w:rFonts w:hint="eastAsia" w:hAnsi="宋体"/>
          <w:color w:val="auto"/>
          <w:szCs w:val="21"/>
        </w:rPr>
        <w:t>投标文件如果出现计算或表达上的错误，修正错误的原则如下：</w:t>
      </w:r>
    </w:p>
    <w:p w14:paraId="0481077D">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开标一览表总价与投标报价明细表汇总数不一致的，</w:t>
      </w:r>
      <w:r>
        <w:rPr>
          <w:rFonts w:hint="eastAsia" w:ascii="宋体" w:hAnsi="宋体" w:cs="宋体"/>
          <w:color w:val="auto"/>
          <w:kern w:val="0"/>
          <w:szCs w:val="21"/>
        </w:rPr>
        <w:t>以开标一览表为准；</w:t>
      </w:r>
    </w:p>
    <w:p w14:paraId="4058B4C8">
      <w:pPr>
        <w:pStyle w:val="15"/>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投标文件的大写金额和小写金额不一致的，以大写金额为准；</w:t>
      </w:r>
    </w:p>
    <w:p w14:paraId="47875DDD">
      <w:pPr>
        <w:pStyle w:val="15"/>
        <w:snapToGrid w:val="0"/>
        <w:spacing w:line="420" w:lineRule="exact"/>
        <w:ind w:firstLine="420" w:firstLineChars="200"/>
        <w:rPr>
          <w:rFonts w:hAnsi="宋体"/>
          <w:color w:val="auto"/>
          <w:szCs w:val="21"/>
        </w:rPr>
      </w:pPr>
      <w:r>
        <w:rPr>
          <w:rFonts w:hint="eastAsia" w:hAnsi="宋体"/>
          <w:color w:val="auto"/>
          <w:szCs w:val="21"/>
        </w:rPr>
        <w:t>3</w:t>
      </w:r>
      <w:r>
        <w:rPr>
          <w:rFonts w:hint="eastAsia" w:hAnsi="宋体"/>
          <w:color w:val="auto"/>
          <w:szCs w:val="21"/>
          <w:lang w:val="en-US" w:eastAsia="zh-CN"/>
        </w:rPr>
        <w:t>.</w:t>
      </w:r>
      <w:r>
        <w:rPr>
          <w:rFonts w:hint="eastAsia" w:hAnsi="宋体"/>
          <w:color w:val="auto"/>
          <w:szCs w:val="21"/>
        </w:rPr>
        <w:t>总价金额与按单价汇总金额不一致的，以单价金额计算结果为准；</w:t>
      </w:r>
    </w:p>
    <w:p w14:paraId="7C01E6A6">
      <w:pPr>
        <w:pStyle w:val="15"/>
        <w:snapToGrid w:val="0"/>
        <w:spacing w:line="420" w:lineRule="exact"/>
        <w:ind w:firstLine="420" w:firstLineChars="200"/>
        <w:rPr>
          <w:rFonts w:hAnsi="宋体"/>
          <w:color w:val="auto"/>
          <w:szCs w:val="21"/>
        </w:rPr>
      </w:pPr>
      <w:r>
        <w:rPr>
          <w:rFonts w:hint="eastAsia" w:hAnsi="宋体"/>
          <w:color w:val="auto"/>
          <w:szCs w:val="21"/>
        </w:rPr>
        <w:t>4</w:t>
      </w:r>
      <w:r>
        <w:rPr>
          <w:rFonts w:hint="eastAsia" w:hAnsi="宋体"/>
          <w:color w:val="auto"/>
          <w:szCs w:val="21"/>
          <w:lang w:val="en-US" w:eastAsia="zh-CN"/>
        </w:rPr>
        <w:t>.</w:t>
      </w:r>
      <w:r>
        <w:rPr>
          <w:rFonts w:hint="eastAsia" w:hAnsi="宋体"/>
          <w:color w:val="auto"/>
          <w:szCs w:val="21"/>
        </w:rPr>
        <w:t>对不同文字文本投标文件的解释发生异议的，以中文文本为准；</w:t>
      </w:r>
    </w:p>
    <w:p w14:paraId="52F1EC1A">
      <w:pPr>
        <w:pStyle w:val="15"/>
        <w:snapToGrid w:val="0"/>
        <w:spacing w:line="420" w:lineRule="exact"/>
        <w:ind w:firstLine="420" w:firstLineChars="200"/>
        <w:rPr>
          <w:rFonts w:hAnsi="宋体"/>
          <w:color w:val="auto"/>
          <w:szCs w:val="21"/>
        </w:rPr>
      </w:pPr>
      <w:r>
        <w:rPr>
          <w:rFonts w:hint="eastAsia" w:hAnsi="宋体"/>
          <w:color w:val="auto"/>
          <w:szCs w:val="21"/>
        </w:rPr>
        <w:t>5</w:t>
      </w:r>
      <w:r>
        <w:rPr>
          <w:rFonts w:hint="eastAsia" w:hAnsi="宋体"/>
          <w:color w:val="auto"/>
          <w:szCs w:val="21"/>
          <w:lang w:val="en-US" w:eastAsia="zh-CN"/>
        </w:rPr>
        <w:t>.</w:t>
      </w:r>
      <w:r>
        <w:rPr>
          <w:rFonts w:hint="eastAsia" w:hAnsi="宋体"/>
          <w:color w:val="auto"/>
        </w:rPr>
        <w:t>政采云平台填报的开标一览表中的价格与上传的报价文件中开标一览表的报价不一致的，以上传的报价文件为准</w:t>
      </w:r>
      <w:r>
        <w:rPr>
          <w:rFonts w:hint="eastAsia" w:hAnsi="宋体"/>
          <w:color w:val="auto"/>
          <w:szCs w:val="21"/>
        </w:rPr>
        <w:t>。</w:t>
      </w:r>
    </w:p>
    <w:p w14:paraId="4AFB6BC0">
      <w:pPr>
        <w:pStyle w:val="15"/>
        <w:snapToGrid w:val="0"/>
        <w:spacing w:line="420" w:lineRule="exact"/>
        <w:ind w:firstLine="422" w:firstLineChars="200"/>
        <w:rPr>
          <w:rFonts w:hAnsi="宋体"/>
          <w:b/>
          <w:bCs/>
          <w:color w:val="auto"/>
          <w:szCs w:val="21"/>
        </w:rPr>
      </w:pPr>
      <w:r>
        <w:rPr>
          <w:rFonts w:hint="eastAsia" w:hAnsi="宋体"/>
          <w:b/>
          <w:bCs/>
          <w:color w:val="auto"/>
          <w:szCs w:val="21"/>
        </w:rPr>
        <w:t>修正后的报价经投标人确认后产生约束力，投标人不确认的，其投标无效。</w:t>
      </w:r>
    </w:p>
    <w:p w14:paraId="74ADE6ED">
      <w:pPr>
        <w:pStyle w:val="15"/>
        <w:tabs>
          <w:tab w:val="left" w:pos="630"/>
        </w:tabs>
        <w:snapToGrid w:val="0"/>
        <w:spacing w:line="420" w:lineRule="exact"/>
        <w:ind w:firstLine="422" w:firstLineChars="200"/>
        <w:rPr>
          <w:rFonts w:hAnsi="宋体"/>
          <w:b/>
          <w:color w:val="auto"/>
          <w:szCs w:val="21"/>
        </w:rPr>
      </w:pPr>
      <w:r>
        <w:rPr>
          <w:rFonts w:hint="eastAsia" w:hAnsi="宋体"/>
          <w:b/>
          <w:color w:val="auto"/>
          <w:szCs w:val="21"/>
        </w:rPr>
        <w:t>（六）评标原则和评标办法</w:t>
      </w:r>
    </w:p>
    <w:p w14:paraId="336ABE98">
      <w:pPr>
        <w:pStyle w:val="15"/>
        <w:snapToGrid w:val="0"/>
        <w:spacing w:line="420" w:lineRule="exact"/>
        <w:ind w:firstLine="420" w:firstLineChars="200"/>
        <w:rPr>
          <w:rFonts w:hAnsi="宋体"/>
          <w:color w:val="auto"/>
          <w:szCs w:val="21"/>
        </w:rPr>
      </w:pPr>
      <w:r>
        <w:rPr>
          <w:rFonts w:hint="eastAsia" w:hAnsi="宋体"/>
          <w:color w:val="auto"/>
          <w:szCs w:val="21"/>
        </w:rPr>
        <w:t>1</w:t>
      </w:r>
      <w:r>
        <w:rPr>
          <w:rFonts w:hint="eastAsia" w:hAnsi="宋体"/>
          <w:color w:val="auto"/>
          <w:szCs w:val="21"/>
          <w:lang w:val="en-US" w:eastAsia="zh-CN"/>
        </w:rPr>
        <w:t>.</w:t>
      </w:r>
      <w:r>
        <w:rPr>
          <w:rFonts w:hint="eastAsia" w:hAnsi="宋体"/>
          <w:color w:val="auto"/>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7DDA138">
      <w:pPr>
        <w:pStyle w:val="15"/>
        <w:snapToGrid w:val="0"/>
        <w:spacing w:line="420" w:lineRule="exact"/>
        <w:ind w:firstLine="420" w:firstLineChars="200"/>
        <w:rPr>
          <w:rFonts w:hAnsi="宋体"/>
          <w:color w:val="auto"/>
          <w:szCs w:val="21"/>
        </w:rPr>
      </w:pPr>
      <w:r>
        <w:rPr>
          <w:rFonts w:hint="eastAsia" w:hAnsi="宋体"/>
          <w:color w:val="auto"/>
          <w:szCs w:val="21"/>
        </w:rPr>
        <w:t>2</w:t>
      </w:r>
      <w:r>
        <w:rPr>
          <w:rFonts w:hint="eastAsia" w:hAnsi="宋体"/>
          <w:color w:val="auto"/>
          <w:szCs w:val="21"/>
          <w:lang w:val="en-US" w:eastAsia="zh-CN"/>
        </w:rPr>
        <w:t>.</w:t>
      </w:r>
      <w:r>
        <w:rPr>
          <w:rFonts w:hint="eastAsia" w:hAnsi="宋体"/>
          <w:color w:val="auto"/>
          <w:szCs w:val="21"/>
        </w:rPr>
        <w:t>评标办法。本项目评标办法是 综合评分法 ，具体评标内容及评分标准等详见《第四章：评标办法及评分标准》。</w:t>
      </w:r>
    </w:p>
    <w:p w14:paraId="631D7EDA">
      <w:pPr>
        <w:pStyle w:val="15"/>
        <w:snapToGrid w:val="0"/>
        <w:spacing w:line="420" w:lineRule="exact"/>
        <w:ind w:firstLine="422" w:firstLineChars="200"/>
        <w:rPr>
          <w:rFonts w:hAnsi="宋体"/>
          <w:b/>
          <w:color w:val="auto"/>
          <w:szCs w:val="21"/>
        </w:rPr>
      </w:pPr>
      <w:r>
        <w:rPr>
          <w:rFonts w:hint="eastAsia" w:hAnsi="宋体"/>
          <w:b/>
          <w:color w:val="auto"/>
          <w:szCs w:val="21"/>
        </w:rPr>
        <w:t>（七）评标过程的监控</w:t>
      </w:r>
    </w:p>
    <w:p w14:paraId="05D0E710">
      <w:pPr>
        <w:pStyle w:val="15"/>
        <w:snapToGrid w:val="0"/>
        <w:spacing w:line="420" w:lineRule="exact"/>
        <w:ind w:firstLine="420" w:firstLineChars="200"/>
        <w:rPr>
          <w:rFonts w:hAnsi="宋体"/>
          <w:color w:val="auto"/>
          <w:szCs w:val="21"/>
        </w:rPr>
      </w:pPr>
      <w:r>
        <w:rPr>
          <w:rFonts w:hint="eastAsia" w:hAnsi="宋体"/>
          <w:color w:val="auto"/>
          <w:szCs w:val="21"/>
        </w:rPr>
        <w:t>本项目评标过程实行全程录音、录像监控。供应商在评标过程中所进行的试图影响评标结果的不公正活动，可能导致其投标被拒绝。</w:t>
      </w:r>
    </w:p>
    <w:p w14:paraId="452C170B">
      <w:pPr>
        <w:pStyle w:val="15"/>
        <w:snapToGrid w:val="0"/>
        <w:spacing w:line="420" w:lineRule="exact"/>
        <w:ind w:firstLine="413" w:firstLineChars="196"/>
        <w:jc w:val="center"/>
        <w:outlineLvl w:val="1"/>
        <w:rPr>
          <w:rFonts w:hAnsi="宋体"/>
          <w:b/>
          <w:color w:val="auto"/>
          <w:szCs w:val="21"/>
        </w:rPr>
      </w:pPr>
      <w:bookmarkStart w:id="59" w:name="_Toc33535371"/>
    </w:p>
    <w:p w14:paraId="4507BA1D">
      <w:pPr>
        <w:pStyle w:val="15"/>
        <w:snapToGrid w:val="0"/>
        <w:spacing w:line="420" w:lineRule="exact"/>
        <w:ind w:firstLine="551" w:firstLineChars="196"/>
        <w:jc w:val="center"/>
        <w:outlineLvl w:val="1"/>
        <w:rPr>
          <w:rFonts w:hAnsi="宋体"/>
          <w:b/>
          <w:color w:val="auto"/>
          <w:sz w:val="28"/>
          <w:szCs w:val="28"/>
        </w:rPr>
      </w:pPr>
      <w:r>
        <w:rPr>
          <w:rFonts w:hint="eastAsia" w:hAnsi="宋体"/>
          <w:b/>
          <w:color w:val="auto"/>
          <w:sz w:val="28"/>
          <w:szCs w:val="28"/>
        </w:rPr>
        <w:t>六、定标</w:t>
      </w:r>
      <w:bookmarkEnd w:id="59"/>
    </w:p>
    <w:p w14:paraId="6C867A6D">
      <w:pPr>
        <w:pStyle w:val="15"/>
        <w:snapToGrid w:val="0"/>
        <w:spacing w:line="420" w:lineRule="exact"/>
        <w:ind w:firstLine="413" w:firstLineChars="196"/>
        <w:rPr>
          <w:rFonts w:hAnsi="宋体"/>
          <w:b/>
          <w:bCs/>
          <w:color w:val="auto"/>
          <w:szCs w:val="21"/>
        </w:rPr>
      </w:pPr>
      <w:r>
        <w:rPr>
          <w:rFonts w:hint="eastAsia" w:hAnsi="宋体"/>
          <w:b/>
          <w:bCs/>
          <w:color w:val="auto"/>
          <w:szCs w:val="21"/>
        </w:rPr>
        <w:t>（一）确定中标人。</w:t>
      </w:r>
    </w:p>
    <w:p w14:paraId="2D5C16A2">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采购代理机构在评标结束后2个工作日内将评标报告交采购人确认，同时在发布采购公告的网站上对评标结果进行公告。</w:t>
      </w:r>
    </w:p>
    <w:p w14:paraId="6C04CF20">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供应商对评标结果无异议的，采购人应在收到评标报告后5个工作日内对评标结果进行确认。如有供应商对评标结果提出质疑的，采购人可在质疑处理完毕后确定中标人。</w:t>
      </w:r>
    </w:p>
    <w:p w14:paraId="1F09054D">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3.在公告中标结果的同时，采购代理机构向中标人发出中标通知书。</w:t>
      </w:r>
    </w:p>
    <w:p w14:paraId="13276368">
      <w:pPr>
        <w:pStyle w:val="15"/>
        <w:snapToGrid w:val="0"/>
        <w:spacing w:line="420" w:lineRule="exact"/>
        <w:jc w:val="both"/>
        <w:outlineLvl w:val="1"/>
        <w:rPr>
          <w:rFonts w:hint="eastAsia" w:hAnsi="宋体"/>
          <w:b/>
          <w:color w:val="auto"/>
          <w:sz w:val="28"/>
          <w:szCs w:val="28"/>
        </w:rPr>
      </w:pPr>
      <w:bookmarkStart w:id="60" w:name="_Toc33535372"/>
    </w:p>
    <w:p w14:paraId="2A6DC274">
      <w:pPr>
        <w:pStyle w:val="15"/>
        <w:snapToGrid w:val="0"/>
        <w:spacing w:line="420" w:lineRule="exact"/>
        <w:jc w:val="both"/>
        <w:outlineLvl w:val="1"/>
        <w:rPr>
          <w:rFonts w:hint="eastAsia" w:hAnsi="宋体"/>
          <w:b/>
          <w:color w:val="auto"/>
          <w:sz w:val="28"/>
          <w:szCs w:val="28"/>
        </w:rPr>
      </w:pPr>
    </w:p>
    <w:p w14:paraId="20A42A00">
      <w:pPr>
        <w:pStyle w:val="15"/>
        <w:snapToGrid w:val="0"/>
        <w:spacing w:line="420" w:lineRule="exact"/>
        <w:ind w:firstLine="3924" w:firstLineChars="1396"/>
        <w:jc w:val="both"/>
        <w:outlineLvl w:val="1"/>
        <w:rPr>
          <w:rFonts w:hint="eastAsia" w:hAnsi="宋体"/>
          <w:b/>
          <w:color w:val="auto"/>
          <w:sz w:val="28"/>
          <w:szCs w:val="28"/>
        </w:rPr>
      </w:pPr>
    </w:p>
    <w:p w14:paraId="2B0D9F34">
      <w:pPr>
        <w:pStyle w:val="15"/>
        <w:snapToGrid w:val="0"/>
        <w:spacing w:line="420" w:lineRule="exact"/>
        <w:ind w:firstLine="3924" w:firstLineChars="1396"/>
        <w:jc w:val="both"/>
        <w:outlineLvl w:val="1"/>
        <w:rPr>
          <w:rFonts w:hAnsi="宋体"/>
          <w:b/>
          <w:color w:val="auto"/>
          <w:sz w:val="28"/>
          <w:szCs w:val="28"/>
        </w:rPr>
      </w:pPr>
      <w:r>
        <w:rPr>
          <w:rFonts w:hint="eastAsia" w:hAnsi="宋体"/>
          <w:b/>
          <w:color w:val="auto"/>
          <w:sz w:val="28"/>
          <w:szCs w:val="28"/>
        </w:rPr>
        <w:t>七、合同授予</w:t>
      </w:r>
      <w:bookmarkEnd w:id="60"/>
    </w:p>
    <w:p w14:paraId="3779A87B">
      <w:pPr>
        <w:snapToGrid w:val="0"/>
        <w:spacing w:line="420" w:lineRule="exact"/>
        <w:ind w:firstLine="413" w:firstLineChars="196"/>
        <w:rPr>
          <w:rFonts w:ascii="宋体" w:hAnsi="宋体" w:cs="宋体"/>
          <w:b/>
          <w:bCs/>
          <w:color w:val="auto"/>
          <w:szCs w:val="21"/>
        </w:rPr>
      </w:pPr>
      <w:r>
        <w:rPr>
          <w:rFonts w:hint="eastAsia" w:ascii="宋体" w:hAnsi="宋体" w:cs="宋体"/>
          <w:b/>
          <w:bCs/>
          <w:color w:val="auto"/>
          <w:szCs w:val="21"/>
        </w:rPr>
        <w:t>（一）签订合同</w:t>
      </w:r>
    </w:p>
    <w:p w14:paraId="0201EB76">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采购人与中标人应当在《中标通知书》发出之日起30日内签订政府采购合同。同时</w:t>
      </w:r>
      <w:r>
        <w:rPr>
          <w:rFonts w:hint="eastAsia" w:ascii="宋体" w:hAnsi="宋体" w:cs="宋体"/>
          <w:color w:val="auto"/>
          <w:szCs w:val="21"/>
          <w:lang w:val="en-US" w:eastAsia="zh-CN"/>
        </w:rPr>
        <w:t>代理</w:t>
      </w:r>
      <w:r>
        <w:rPr>
          <w:rFonts w:hint="eastAsia" w:ascii="宋体" w:hAnsi="宋体" w:cs="宋体"/>
          <w:color w:val="auto"/>
          <w:szCs w:val="21"/>
        </w:rPr>
        <w:t>机构对合同内容进行审查，如发现与采购结果和投标承诺内容不一致的，将予以纠正。</w:t>
      </w:r>
    </w:p>
    <w:p w14:paraId="188274BF">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中标人拖延、拒签合同的，将被取消中标资格，并报监督管理部门。采购人可以按照评审报告推荐的中标或者成交候选人名单排序，确定下一候选人为中标或者成交供应商，也可以重新开展政府采购活动。</w:t>
      </w:r>
    </w:p>
    <w:p w14:paraId="1CD0B494">
      <w:pPr>
        <w:pStyle w:val="15"/>
        <w:snapToGrid w:val="0"/>
        <w:spacing w:line="420" w:lineRule="exact"/>
        <w:ind w:firstLine="551" w:firstLineChars="196"/>
        <w:jc w:val="center"/>
        <w:outlineLvl w:val="1"/>
        <w:rPr>
          <w:rFonts w:hAnsi="宋体"/>
          <w:b/>
          <w:color w:val="auto"/>
          <w:sz w:val="28"/>
          <w:szCs w:val="28"/>
          <w:highlight w:val="none"/>
        </w:rPr>
      </w:pPr>
      <w:r>
        <w:rPr>
          <w:rFonts w:hint="eastAsia" w:ascii="宋体" w:hAnsi="宋体" w:eastAsia="宋体"/>
          <w:b/>
          <w:color w:val="auto"/>
          <w:sz w:val="28"/>
          <w:szCs w:val="28"/>
          <w:highlight w:val="none"/>
        </w:rPr>
        <w:t>八、招标代理费</w:t>
      </w:r>
    </w:p>
    <w:p w14:paraId="60A5850E">
      <w:pPr>
        <w:snapToGrid w:val="0"/>
        <w:spacing w:line="420" w:lineRule="exact"/>
        <w:ind w:firstLine="420" w:firstLineChars="200"/>
        <w:jc w:val="left"/>
        <w:rPr>
          <w:rFonts w:ascii="宋体" w:hAnsi="宋体" w:cs="宋体"/>
          <w:color w:val="auto"/>
          <w:szCs w:val="21"/>
          <w:highlight w:val="yellow"/>
        </w:rPr>
      </w:pPr>
      <w:r>
        <w:rPr>
          <w:rFonts w:ascii="宋体" w:hAnsi="宋体" w:eastAsia="宋体"/>
          <w:color w:val="auto"/>
          <w:sz w:val="21"/>
          <w:szCs w:val="21"/>
          <w:highlight w:val="none"/>
        </w:rPr>
        <w:t>1</w:t>
      </w:r>
      <w:r>
        <w:rPr>
          <w:rFonts w:hint="eastAsia" w:ascii="宋体" w:hAnsi="宋体"/>
          <w:color w:val="auto"/>
          <w:sz w:val="21"/>
          <w:szCs w:val="21"/>
          <w:highlight w:val="none"/>
          <w:lang w:val="en-US" w:eastAsia="zh-CN"/>
        </w:rPr>
        <w:t>.</w:t>
      </w:r>
      <w:r>
        <w:rPr>
          <w:rFonts w:hint="eastAsia" w:ascii="宋体" w:hAnsi="宋体" w:cs="宋体"/>
          <w:color w:val="auto"/>
          <w:szCs w:val="21"/>
          <w:highlight w:val="none"/>
        </w:rPr>
        <w:t>本项目招标代理服务费</w:t>
      </w:r>
      <w:r>
        <w:rPr>
          <w:rFonts w:hint="eastAsia" w:ascii="宋体" w:hAnsi="宋体"/>
          <w:b w:val="0"/>
          <w:bCs w:val="0"/>
          <w:highlight w:val="none"/>
          <w:u w:val="none"/>
        </w:rPr>
        <w:t>按浙价服[2003]77号文件</w:t>
      </w:r>
      <w:r>
        <w:rPr>
          <w:rFonts w:hint="eastAsia" w:ascii="宋体" w:hAnsi="宋体" w:cs="宋体"/>
          <w:color w:val="auto"/>
          <w:szCs w:val="21"/>
          <w:highlight w:val="none"/>
        </w:rPr>
        <w:t>收费标准计取</w:t>
      </w:r>
      <w:r>
        <w:rPr>
          <w:rFonts w:hint="eastAsia" w:ascii="宋体" w:hAnsi="宋体" w:cs="宋体"/>
          <w:color w:val="auto"/>
          <w:szCs w:val="21"/>
          <w:highlight w:val="none"/>
          <w:lang w:val="en-US" w:eastAsia="zh-CN"/>
        </w:rPr>
        <w:t>由中标单位</w:t>
      </w:r>
      <w:r>
        <w:rPr>
          <w:rFonts w:hint="eastAsia" w:ascii="宋体" w:hAnsi="宋体" w:cs="宋体"/>
          <w:color w:val="auto"/>
          <w:szCs w:val="21"/>
          <w:highlight w:val="none"/>
        </w:rPr>
        <w:t>支付。</w:t>
      </w:r>
    </w:p>
    <w:p w14:paraId="195447ED">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2</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服务费的货币为人民币。</w:t>
      </w:r>
    </w:p>
    <w:p w14:paraId="704882DB">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3</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服务费支付方式：一次性以银行划账、电汇、汇票或支票的形式支付。</w:t>
      </w:r>
    </w:p>
    <w:p w14:paraId="2076A88E">
      <w:pPr>
        <w:snapToGrid w:val="0"/>
        <w:spacing w:line="420" w:lineRule="exact"/>
        <w:ind w:firstLine="420" w:firstLineChars="200"/>
        <w:jc w:val="left"/>
        <w:rPr>
          <w:rFonts w:ascii="宋体" w:hAnsi="宋体"/>
          <w:color w:val="auto"/>
          <w:szCs w:val="21"/>
          <w:highlight w:val="none"/>
        </w:rPr>
      </w:pPr>
      <w:r>
        <w:rPr>
          <w:rFonts w:ascii="宋体" w:hAnsi="宋体" w:eastAsia="宋体"/>
          <w:color w:val="auto"/>
          <w:sz w:val="21"/>
          <w:szCs w:val="21"/>
          <w:highlight w:val="none"/>
        </w:rPr>
        <w:t>4</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服务费以银行划账方式按下列要求提交：</w:t>
      </w:r>
    </w:p>
    <w:p w14:paraId="123DCC7B">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户名：舟山市嘉嵊咨询管理有限公司</w:t>
      </w:r>
    </w:p>
    <w:p w14:paraId="60481F5B">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开户银行：中国工商银行股份有限公司嵊泗支行</w:t>
      </w:r>
    </w:p>
    <w:p w14:paraId="307D223D">
      <w:pPr>
        <w:widowControl/>
        <w:tabs>
          <w:tab w:val="left" w:pos="848"/>
        </w:tabs>
        <w:snapToGrid w:val="0"/>
        <w:spacing w:line="420" w:lineRule="exact"/>
        <w:ind w:firstLine="843" w:firstLineChars="400"/>
        <w:jc w:val="left"/>
        <w:rPr>
          <w:rFonts w:ascii="宋体" w:hAnsi="宋体"/>
          <w:b/>
          <w:bCs/>
          <w:color w:val="auto"/>
          <w:szCs w:val="21"/>
          <w:highlight w:val="none"/>
        </w:rPr>
      </w:pPr>
      <w:r>
        <w:rPr>
          <w:rFonts w:hint="eastAsia" w:ascii="宋体" w:hAnsi="宋体" w:eastAsia="宋体"/>
          <w:b/>
          <w:bCs/>
          <w:color w:val="auto"/>
          <w:sz w:val="21"/>
          <w:szCs w:val="21"/>
          <w:highlight w:val="none"/>
        </w:rPr>
        <w:t>账号：</w:t>
      </w:r>
      <w:r>
        <w:rPr>
          <w:rFonts w:ascii="宋体" w:hAnsi="宋体" w:eastAsia="宋体"/>
          <w:b/>
          <w:bCs/>
          <w:color w:val="auto"/>
          <w:sz w:val="21"/>
          <w:szCs w:val="21"/>
          <w:highlight w:val="none"/>
        </w:rPr>
        <w:t>1206013209200147766</w:t>
      </w:r>
    </w:p>
    <w:p w14:paraId="7161AEE2">
      <w:pPr>
        <w:snapToGrid w:val="0"/>
        <w:spacing w:line="420" w:lineRule="exact"/>
        <w:ind w:firstLine="420" w:firstLineChars="200"/>
        <w:jc w:val="left"/>
        <w:rPr>
          <w:rFonts w:ascii="宋体" w:hAnsi="宋体"/>
          <w:b/>
          <w:color w:val="auto"/>
          <w:sz w:val="30"/>
          <w:szCs w:val="30"/>
          <w:highlight w:val="none"/>
        </w:rPr>
      </w:pPr>
      <w:r>
        <w:rPr>
          <w:rFonts w:ascii="宋体" w:hAnsi="宋体" w:eastAsia="宋体"/>
          <w:color w:val="auto"/>
          <w:sz w:val="21"/>
          <w:szCs w:val="21"/>
          <w:highlight w:val="none"/>
        </w:rPr>
        <w:t>5</w:t>
      </w:r>
      <w:r>
        <w:rPr>
          <w:rFonts w:hint="eastAsia" w:ascii="宋体" w:hAnsi="宋体"/>
          <w:color w:val="auto"/>
          <w:sz w:val="21"/>
          <w:szCs w:val="21"/>
          <w:highlight w:val="none"/>
          <w:lang w:val="en-US" w:eastAsia="zh-CN"/>
        </w:rPr>
        <w:t>.</w:t>
      </w:r>
      <w:r>
        <w:rPr>
          <w:rFonts w:ascii="宋体" w:hAnsi="宋体" w:eastAsia="宋体"/>
          <w:color w:val="auto"/>
          <w:sz w:val="21"/>
          <w:szCs w:val="21"/>
          <w:highlight w:val="none"/>
        </w:rPr>
        <w:t>服务费不在投标报价中单列。</w:t>
      </w:r>
    </w:p>
    <w:p w14:paraId="0F3A589B">
      <w:pPr>
        <w:pStyle w:val="15"/>
        <w:spacing w:before="120" w:after="120" w:line="400" w:lineRule="exact"/>
        <w:jc w:val="center"/>
        <w:rPr>
          <w:rFonts w:hint="eastAsia" w:hAnsi="宋体"/>
          <w:b/>
          <w:color w:val="auto"/>
          <w:sz w:val="30"/>
          <w:szCs w:val="30"/>
        </w:rPr>
      </w:pPr>
      <w:r>
        <w:rPr>
          <w:rFonts w:hint="eastAsia" w:hAnsi="宋体"/>
          <w:b/>
          <w:color w:val="auto"/>
          <w:sz w:val="30"/>
          <w:szCs w:val="30"/>
        </w:rPr>
        <w:br w:type="page"/>
      </w:r>
    </w:p>
    <w:p w14:paraId="29A127F0">
      <w:pPr>
        <w:pStyle w:val="15"/>
        <w:spacing w:before="120" w:after="120" w:line="400" w:lineRule="exact"/>
        <w:jc w:val="center"/>
        <w:rPr>
          <w:rFonts w:hint="eastAsia" w:hAnsi="宋体"/>
          <w:b/>
          <w:color w:val="auto"/>
          <w:sz w:val="30"/>
          <w:szCs w:val="30"/>
        </w:rPr>
      </w:pPr>
    </w:p>
    <w:p w14:paraId="1F3F4A63">
      <w:pPr>
        <w:pStyle w:val="15"/>
        <w:spacing w:before="120" w:after="120" w:line="400" w:lineRule="exact"/>
        <w:jc w:val="center"/>
        <w:rPr>
          <w:rFonts w:hAnsi="宋体"/>
          <w:b/>
          <w:color w:val="auto"/>
          <w:sz w:val="30"/>
          <w:szCs w:val="30"/>
        </w:rPr>
      </w:pPr>
      <w:r>
        <w:rPr>
          <w:rFonts w:hint="eastAsia" w:hAnsi="宋体"/>
          <w:b/>
          <w:color w:val="auto"/>
          <w:sz w:val="32"/>
          <w:szCs w:val="32"/>
        </w:rPr>
        <w:t>第四章  评标办法及评分标准</w:t>
      </w:r>
    </w:p>
    <w:p w14:paraId="68E40D15">
      <w:pPr>
        <w:spacing w:line="400" w:lineRule="exact"/>
        <w:ind w:firstLine="420"/>
        <w:rPr>
          <w:rFonts w:ascii="宋体" w:hAnsi="宋体" w:cs="宋体"/>
          <w:color w:val="auto"/>
          <w:szCs w:val="21"/>
        </w:rPr>
      </w:pPr>
      <w:bookmarkStart w:id="61" w:name="_Toc19362"/>
      <w:bookmarkEnd w:id="61"/>
      <w:r>
        <w:rPr>
          <w:rFonts w:hint="eastAsia" w:ascii="宋体" w:hAnsi="宋体" w:cs="宋体"/>
          <w:color w:val="auto"/>
          <w:szCs w:val="21"/>
        </w:rPr>
        <w:t>为公正、公平、科学地选择中标人，根据《中华人民共和国政府采购法》等有关法律法规的规定，并结合本项目的实际，按照公正、公平、科学、择优的原则选择中标单位，制定本办法。</w:t>
      </w:r>
    </w:p>
    <w:p w14:paraId="21747EE0">
      <w:pPr>
        <w:spacing w:line="400" w:lineRule="exact"/>
        <w:rPr>
          <w:rFonts w:ascii="宋体" w:hAnsi="宋体" w:cs="宋体"/>
          <w:b/>
          <w:color w:val="auto"/>
          <w:szCs w:val="21"/>
        </w:rPr>
      </w:pPr>
      <w:bookmarkStart w:id="62" w:name="_Toc170792813"/>
      <w:r>
        <w:rPr>
          <w:rFonts w:hint="eastAsia" w:ascii="宋体" w:hAnsi="宋体" w:cs="宋体"/>
          <w:b/>
          <w:color w:val="auto"/>
          <w:szCs w:val="21"/>
        </w:rPr>
        <w:t>一、总则</w:t>
      </w:r>
    </w:p>
    <w:bookmarkEnd w:id="62"/>
    <w:p w14:paraId="38737F97">
      <w:pPr>
        <w:widowControl/>
        <w:spacing w:line="360" w:lineRule="auto"/>
        <w:ind w:firstLine="480"/>
        <w:rPr>
          <w:rFonts w:hint="eastAsia" w:ascii="宋体" w:hAnsi="宋体" w:eastAsia="宋体" w:cs="宋体"/>
          <w:sz w:val="24"/>
        </w:rPr>
      </w:pPr>
      <w:r>
        <w:rPr>
          <w:rFonts w:hint="eastAsia" w:ascii="宋体" w:hAnsi="宋体" w:eastAsia="宋体" w:cs="宋体"/>
          <w:sz w:val="21"/>
          <w:szCs w:val="21"/>
        </w:rPr>
        <w:t>本次评标采用综合评分法，其中商务资信技术分</w:t>
      </w:r>
      <w:r>
        <w:rPr>
          <w:rFonts w:hint="eastAsia" w:ascii="宋体" w:hAnsi="宋体" w:cs="宋体"/>
          <w:sz w:val="21"/>
          <w:szCs w:val="21"/>
          <w:lang w:val="en-US" w:eastAsia="zh-CN"/>
        </w:rPr>
        <w:t>9</w:t>
      </w:r>
      <w:r>
        <w:rPr>
          <w:rFonts w:hint="eastAsia" w:ascii="宋体" w:hAnsi="宋体" w:eastAsia="宋体" w:cs="宋体"/>
          <w:sz w:val="21"/>
          <w:szCs w:val="21"/>
          <w:highlight w:val="none"/>
          <w:lang w:val="en-US" w:eastAsia="zh-CN"/>
        </w:rPr>
        <w:t>0分</w:t>
      </w:r>
      <w:r>
        <w:rPr>
          <w:rFonts w:hint="eastAsia" w:ascii="宋体" w:hAnsi="宋体" w:eastAsia="宋体" w:cs="宋体"/>
          <w:sz w:val="21"/>
          <w:szCs w:val="21"/>
          <w:highlight w:val="none"/>
        </w:rPr>
        <w:t>，价格分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0分</w:t>
      </w:r>
      <w:r>
        <w:rPr>
          <w:rFonts w:hint="eastAsia" w:ascii="宋体" w:hAnsi="宋体" w:eastAsia="宋体" w:cs="宋体"/>
          <w:sz w:val="21"/>
          <w:szCs w:val="21"/>
          <w:highlight w:val="none"/>
        </w:rPr>
        <w:t>，共计100分。</w:t>
      </w:r>
      <w:r>
        <w:rPr>
          <w:rFonts w:hint="eastAsia" w:ascii="宋体" w:hAnsi="宋体" w:eastAsia="宋体" w:cs="宋体"/>
          <w:sz w:val="21"/>
          <w:szCs w:val="21"/>
        </w:rPr>
        <w:t>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eastAsia="宋体" w:cs="宋体"/>
          <w:b/>
          <w:bCs/>
          <w:sz w:val="21"/>
          <w:szCs w:val="21"/>
        </w:rPr>
        <w:t>总得分第一名的投标人为中标候选人，排名第二的投标人为候补中标候选人，其他投标人中标候选资格依此类推。</w:t>
      </w:r>
    </w:p>
    <w:p w14:paraId="6AA93454">
      <w:pPr>
        <w:spacing w:line="420" w:lineRule="exact"/>
        <w:ind w:firstLine="420"/>
        <w:rPr>
          <w:rFonts w:hint="eastAsia"/>
          <w:lang w:val="en-US" w:eastAsia="zh-CN"/>
        </w:rPr>
      </w:pPr>
      <w:r>
        <w:rPr>
          <w:rFonts w:hint="eastAsia" w:ascii="宋体" w:hAnsi="宋体" w:cs="宋体"/>
          <w:color w:val="auto"/>
          <w:szCs w:val="21"/>
          <w:highlight w:val="none"/>
        </w:rPr>
        <w:t>投标人评标总得分=商务资信技术分+价格分（评分过程中采用四舍五入法，并保留小数2位）</w:t>
      </w:r>
    </w:p>
    <w:p w14:paraId="65FC955C">
      <w:pPr>
        <w:numPr>
          <w:ilvl w:val="0"/>
          <w:numId w:val="0"/>
        </w:numPr>
        <w:spacing w:line="400" w:lineRule="exact"/>
        <w:jc w:val="left"/>
        <w:rPr>
          <w:rFonts w:hint="eastAsia"/>
        </w:rPr>
      </w:pPr>
      <w:r>
        <w:rPr>
          <w:rFonts w:hint="eastAsia" w:ascii="宋体" w:hAnsi="宋体" w:cs="宋体"/>
          <w:b/>
          <w:bCs/>
          <w:sz w:val="21"/>
          <w:szCs w:val="21"/>
          <w:lang w:val="en-US" w:eastAsia="zh-CN"/>
        </w:rPr>
        <w:t>二、</w:t>
      </w:r>
      <w:r>
        <w:rPr>
          <w:rFonts w:hint="eastAsia" w:ascii="宋体" w:hAnsi="宋体" w:eastAsia="宋体" w:cs="宋体"/>
          <w:b/>
          <w:bCs/>
          <w:sz w:val="21"/>
          <w:szCs w:val="21"/>
        </w:rPr>
        <w:t>评标内容和标准</w:t>
      </w:r>
    </w:p>
    <w:tbl>
      <w:tblPr>
        <w:tblStyle w:val="3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76"/>
        <w:gridCol w:w="6641"/>
        <w:gridCol w:w="736"/>
      </w:tblGrid>
      <w:tr w14:paraId="659B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37" w:type="dxa"/>
            <w:vMerge w:val="restart"/>
            <w:tcBorders>
              <w:top w:val="single" w:color="auto" w:sz="4" w:space="0"/>
              <w:left w:val="single" w:color="auto" w:sz="4" w:space="0"/>
              <w:bottom w:val="single" w:color="auto" w:sz="4" w:space="0"/>
              <w:right w:val="single" w:color="auto" w:sz="4" w:space="0"/>
            </w:tcBorders>
            <w:noWrap/>
            <w:vAlign w:val="center"/>
          </w:tcPr>
          <w:p w14:paraId="7260D222">
            <w:pPr>
              <w:keepNext w:val="0"/>
              <w:keepLines w:val="0"/>
              <w:pageBreakBefore w:val="0"/>
              <w:widowControl w:val="0"/>
              <w:kinsoku/>
              <w:wordWrap/>
              <w:overflowPunct/>
              <w:topLinePunct w:val="0"/>
              <w:autoSpaceDE/>
              <w:autoSpaceDN/>
              <w:bidi w:val="0"/>
              <w:spacing w:line="360" w:lineRule="auto"/>
              <w:jc w:val="both"/>
              <w:textAlignment w:val="auto"/>
              <w:rPr>
                <w:rFonts w:ascii="Times New Roman" w:hAnsi="Times New Roman" w:eastAsia="宋体" w:cs="Times New Roman"/>
              </w:rPr>
            </w:pPr>
            <w:r>
              <w:rPr>
                <w:rFonts w:ascii="Times New Roman" w:hAnsi="Times New Roman" w:eastAsia="宋体" w:cs="Times New Roman"/>
              </w:rPr>
              <w:t>评审项目</w:t>
            </w:r>
          </w:p>
        </w:tc>
        <w:tc>
          <w:tcPr>
            <w:tcW w:w="1076" w:type="dxa"/>
            <w:vMerge w:val="restart"/>
            <w:tcBorders>
              <w:top w:val="single" w:color="auto" w:sz="4" w:space="0"/>
              <w:left w:val="single" w:color="auto" w:sz="4" w:space="0"/>
              <w:bottom w:val="single" w:color="auto" w:sz="4" w:space="0"/>
              <w:right w:val="single" w:color="auto" w:sz="4" w:space="0"/>
            </w:tcBorders>
            <w:noWrap/>
            <w:vAlign w:val="center"/>
          </w:tcPr>
          <w:p w14:paraId="57D55445">
            <w:pPr>
              <w:keepNext w:val="0"/>
              <w:keepLines w:val="0"/>
              <w:pageBreakBefore w:val="0"/>
              <w:widowControl w:val="0"/>
              <w:kinsoku/>
              <w:wordWrap/>
              <w:overflowPunct/>
              <w:topLinePunct w:val="0"/>
              <w:autoSpaceDE/>
              <w:autoSpaceDN/>
              <w:bidi w:val="0"/>
              <w:spacing w:line="360" w:lineRule="auto"/>
              <w:ind w:firstLine="210" w:firstLineChars="100"/>
              <w:jc w:val="both"/>
              <w:textAlignment w:val="auto"/>
              <w:rPr>
                <w:rFonts w:ascii="Times New Roman" w:hAnsi="Times New Roman" w:eastAsia="宋体" w:cs="Times New Roman"/>
              </w:rPr>
            </w:pPr>
            <w:r>
              <w:rPr>
                <w:rFonts w:ascii="Times New Roman" w:hAnsi="Times New Roman" w:eastAsia="宋体" w:cs="Times New Roman"/>
              </w:rPr>
              <w:t>评</w:t>
            </w:r>
            <w:r>
              <w:rPr>
                <w:rFonts w:hint="eastAsia" w:cs="Times New Roman"/>
                <w:lang w:val="en-US" w:eastAsia="zh-CN"/>
              </w:rPr>
              <w:t xml:space="preserve"> </w:t>
            </w:r>
            <w:r>
              <w:rPr>
                <w:rFonts w:ascii="Times New Roman" w:hAnsi="Times New Roman" w:eastAsia="宋体" w:cs="Times New Roman"/>
              </w:rPr>
              <w:t>审</w:t>
            </w:r>
          </w:p>
          <w:p w14:paraId="1FC60873">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r>
              <w:rPr>
                <w:rFonts w:ascii="Times New Roman" w:hAnsi="Times New Roman" w:eastAsia="宋体" w:cs="Times New Roman"/>
              </w:rPr>
              <w:t>内</w:t>
            </w:r>
            <w:r>
              <w:rPr>
                <w:rFonts w:hint="eastAsia" w:cs="Times New Roman"/>
                <w:lang w:val="en-US" w:eastAsia="zh-CN"/>
              </w:rPr>
              <w:t xml:space="preserve"> </w:t>
            </w:r>
            <w:r>
              <w:rPr>
                <w:rFonts w:ascii="Times New Roman" w:hAnsi="Times New Roman" w:eastAsia="宋体" w:cs="Times New Roman"/>
              </w:rPr>
              <w:t>容</w:t>
            </w:r>
          </w:p>
        </w:tc>
        <w:tc>
          <w:tcPr>
            <w:tcW w:w="6641" w:type="dxa"/>
            <w:vMerge w:val="restart"/>
            <w:tcBorders>
              <w:top w:val="single" w:color="auto" w:sz="4" w:space="0"/>
              <w:left w:val="single" w:color="auto" w:sz="4" w:space="0"/>
              <w:bottom w:val="single" w:color="auto" w:sz="4" w:space="0"/>
              <w:right w:val="single" w:color="auto" w:sz="4" w:space="0"/>
            </w:tcBorders>
            <w:noWrap/>
            <w:vAlign w:val="center"/>
          </w:tcPr>
          <w:p w14:paraId="72160AF5">
            <w:pPr>
              <w:keepNext w:val="0"/>
              <w:keepLines w:val="0"/>
              <w:pageBreakBefore w:val="0"/>
              <w:widowControl w:val="0"/>
              <w:kinsoku/>
              <w:wordWrap/>
              <w:overflowPunct/>
              <w:topLinePunct w:val="0"/>
              <w:autoSpaceDE/>
              <w:autoSpaceDN/>
              <w:bidi w:val="0"/>
              <w:spacing w:line="360" w:lineRule="auto"/>
              <w:ind w:firstLine="210"/>
              <w:jc w:val="center"/>
              <w:textAlignment w:val="auto"/>
              <w:rPr>
                <w:rFonts w:ascii="Times New Roman" w:hAnsi="Times New Roman" w:eastAsia="宋体" w:cs="Times New Roman"/>
              </w:rPr>
            </w:pPr>
            <w:r>
              <w:rPr>
                <w:rFonts w:ascii="Times New Roman" w:hAnsi="Times New Roman" w:eastAsia="宋体" w:cs="Times New Roman"/>
              </w:rPr>
              <w:t>评分标准</w:t>
            </w:r>
          </w:p>
        </w:tc>
        <w:tc>
          <w:tcPr>
            <w:tcW w:w="736" w:type="dxa"/>
            <w:vMerge w:val="restart"/>
            <w:tcBorders>
              <w:top w:val="single" w:color="auto" w:sz="4" w:space="0"/>
              <w:left w:val="single" w:color="auto" w:sz="4" w:space="0"/>
              <w:bottom w:val="single" w:color="auto" w:sz="4" w:space="0"/>
              <w:right w:val="single" w:color="auto" w:sz="4" w:space="0"/>
            </w:tcBorders>
            <w:noWrap/>
            <w:vAlign w:val="center"/>
          </w:tcPr>
          <w:p w14:paraId="02B96A5A">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r>
              <w:rPr>
                <w:rFonts w:ascii="Times New Roman" w:hAnsi="Times New Roman" w:eastAsia="宋体" w:cs="Times New Roman"/>
              </w:rPr>
              <w:t>得分</w:t>
            </w:r>
          </w:p>
        </w:tc>
      </w:tr>
      <w:tr w14:paraId="0561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77B91872">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vMerge w:val="continue"/>
            <w:tcBorders>
              <w:top w:val="single" w:color="auto" w:sz="4" w:space="0"/>
              <w:left w:val="single" w:color="auto" w:sz="4" w:space="0"/>
              <w:bottom w:val="single" w:color="auto" w:sz="4" w:space="0"/>
              <w:right w:val="single" w:color="auto" w:sz="4" w:space="0"/>
            </w:tcBorders>
            <w:noWrap/>
            <w:vAlign w:val="center"/>
          </w:tcPr>
          <w:p w14:paraId="2BEC3AEB">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6641" w:type="dxa"/>
            <w:vMerge w:val="continue"/>
            <w:tcBorders>
              <w:top w:val="single" w:color="auto" w:sz="4" w:space="0"/>
              <w:left w:val="single" w:color="auto" w:sz="4" w:space="0"/>
              <w:bottom w:val="single" w:color="auto" w:sz="4" w:space="0"/>
              <w:right w:val="single" w:color="auto" w:sz="4" w:space="0"/>
            </w:tcBorders>
            <w:noWrap/>
            <w:vAlign w:val="center"/>
          </w:tcPr>
          <w:p w14:paraId="2B1317F7">
            <w:pPr>
              <w:keepNext w:val="0"/>
              <w:keepLines w:val="0"/>
              <w:pageBreakBefore w:val="0"/>
              <w:widowControl w:val="0"/>
              <w:kinsoku/>
              <w:wordWrap/>
              <w:overflowPunct/>
              <w:topLinePunct w:val="0"/>
              <w:autoSpaceDE/>
              <w:autoSpaceDN/>
              <w:bidi w:val="0"/>
              <w:spacing w:line="360" w:lineRule="auto"/>
              <w:jc w:val="left"/>
              <w:textAlignment w:val="auto"/>
              <w:rPr>
                <w:rFonts w:ascii="Times New Roman" w:hAnsi="Times New Roman" w:eastAsia="宋体" w:cs="Times New Roman"/>
              </w:rPr>
            </w:pPr>
          </w:p>
        </w:tc>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3568BAED">
            <w:pPr>
              <w:keepNext w:val="0"/>
              <w:keepLines w:val="0"/>
              <w:pageBreakBefore w:val="0"/>
              <w:widowControl w:val="0"/>
              <w:kinsoku/>
              <w:wordWrap/>
              <w:overflowPunct/>
              <w:topLinePunct w:val="0"/>
              <w:autoSpaceDE/>
              <w:autoSpaceDN/>
              <w:bidi w:val="0"/>
              <w:spacing w:line="360" w:lineRule="auto"/>
              <w:jc w:val="left"/>
              <w:textAlignment w:val="auto"/>
              <w:rPr>
                <w:rFonts w:ascii="Times New Roman" w:hAnsi="Times New Roman" w:eastAsia="宋体" w:cs="Times New Roman"/>
              </w:rPr>
            </w:pPr>
          </w:p>
        </w:tc>
      </w:tr>
      <w:tr w14:paraId="2914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7" w:type="dxa"/>
            <w:vMerge w:val="restart"/>
            <w:tcBorders>
              <w:top w:val="single" w:color="auto" w:sz="4" w:space="0"/>
              <w:left w:val="single" w:color="auto" w:sz="4" w:space="0"/>
              <w:right w:val="single" w:color="auto" w:sz="4" w:space="0"/>
            </w:tcBorders>
            <w:shd w:val="clear" w:color="auto" w:fill="auto"/>
            <w:noWrap/>
            <w:vAlign w:val="center"/>
          </w:tcPr>
          <w:p w14:paraId="269124A3">
            <w:pPr>
              <w:keepNext w:val="0"/>
              <w:keepLines w:val="0"/>
              <w:pageBreakBefore w:val="0"/>
              <w:widowControl w:val="0"/>
              <w:kinsoku/>
              <w:wordWrap/>
              <w:overflowPunct/>
              <w:topLinePunct w:val="0"/>
              <w:autoSpaceDE/>
              <w:autoSpaceDN/>
              <w:bidi w:val="0"/>
              <w:spacing w:line="360" w:lineRule="auto"/>
              <w:jc w:val="both"/>
              <w:textAlignment w:val="auto"/>
              <w:rPr>
                <w:rFonts w:ascii="Times New Roman" w:hAnsi="Times New Roman" w:eastAsia="宋体" w:cs="Times New Roman"/>
              </w:rPr>
            </w:pPr>
          </w:p>
          <w:p w14:paraId="4DE0EEA0">
            <w:pPr>
              <w:keepNext w:val="0"/>
              <w:keepLines w:val="0"/>
              <w:pageBreakBefore w:val="0"/>
              <w:widowControl w:val="0"/>
              <w:kinsoku/>
              <w:wordWrap/>
              <w:overflowPunct/>
              <w:topLinePunct w:val="0"/>
              <w:autoSpaceDE/>
              <w:autoSpaceDN/>
              <w:bidi w:val="0"/>
              <w:spacing w:line="360" w:lineRule="auto"/>
              <w:jc w:val="both"/>
              <w:textAlignment w:val="auto"/>
              <w:rPr>
                <w:rFonts w:ascii="Times New Roman" w:hAnsi="Times New Roman" w:eastAsia="宋体" w:cs="Times New Roman"/>
              </w:rPr>
            </w:pPr>
          </w:p>
          <w:p w14:paraId="146CAC88">
            <w:pPr>
              <w:keepNext w:val="0"/>
              <w:keepLines w:val="0"/>
              <w:pageBreakBefore w:val="0"/>
              <w:widowControl w:val="0"/>
              <w:kinsoku/>
              <w:wordWrap/>
              <w:overflowPunct/>
              <w:topLinePunct w:val="0"/>
              <w:autoSpaceDE/>
              <w:autoSpaceDN/>
              <w:bidi w:val="0"/>
              <w:spacing w:line="360" w:lineRule="auto"/>
              <w:jc w:val="both"/>
              <w:textAlignment w:val="auto"/>
              <w:rPr>
                <w:rFonts w:ascii="Times New Roman" w:hAnsi="Times New Roman" w:eastAsia="宋体" w:cs="Times New Roman"/>
              </w:rPr>
            </w:pPr>
            <w:r>
              <w:rPr>
                <w:rFonts w:ascii="Times New Roman" w:hAnsi="Times New Roman" w:eastAsia="宋体" w:cs="Times New Roman"/>
              </w:rPr>
              <w:t>商务技术</w:t>
            </w:r>
            <w:r>
              <w:rPr>
                <w:rFonts w:hint="eastAsia" w:cs="Times New Roman"/>
                <w:lang w:val="en-US" w:eastAsia="zh-CN"/>
              </w:rPr>
              <w:t xml:space="preserve"> </w:t>
            </w:r>
            <w:r>
              <w:rPr>
                <w:rFonts w:ascii="Times New Roman" w:hAnsi="Times New Roman" w:eastAsia="宋体" w:cs="Times New Roman"/>
              </w:rPr>
              <w:t>得分</w:t>
            </w:r>
          </w:p>
          <w:p w14:paraId="32920B0B">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0分）</w:t>
            </w:r>
          </w:p>
        </w:tc>
        <w:tc>
          <w:tcPr>
            <w:tcW w:w="1076" w:type="dxa"/>
            <w:tcBorders>
              <w:top w:val="single" w:color="auto" w:sz="4" w:space="0"/>
              <w:left w:val="single" w:color="auto" w:sz="4" w:space="0"/>
              <w:right w:val="single" w:color="auto" w:sz="4" w:space="0"/>
            </w:tcBorders>
            <w:shd w:val="clear" w:color="auto" w:fill="auto"/>
            <w:noWrap/>
            <w:vAlign w:val="center"/>
          </w:tcPr>
          <w:p w14:paraId="1E9BC912">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r>
              <w:rPr>
                <w:rFonts w:hint="eastAsia" w:ascii="Times New Roman" w:hAnsi="Times New Roman" w:eastAsia="宋体" w:cs="Times New Roman"/>
              </w:rPr>
              <w:t>同类案例</w:t>
            </w:r>
          </w:p>
          <w:p w14:paraId="0367ACA0">
            <w:pPr>
              <w:keepNext w:val="0"/>
              <w:keepLines w:val="0"/>
              <w:pageBreakBefore w:val="0"/>
              <w:widowControl w:val="0"/>
              <w:kinsoku/>
              <w:wordWrap/>
              <w:overflowPunct/>
              <w:topLinePunct w:val="0"/>
              <w:autoSpaceDE/>
              <w:autoSpaceDN/>
              <w:bidi w:val="0"/>
              <w:spacing w:after="120" w:line="360" w:lineRule="auto"/>
              <w:jc w:val="center"/>
              <w:textAlignment w:val="auto"/>
              <w:rPr>
                <w:rFonts w:ascii="Times New Roman" w:hAnsi="Calibri" w:eastAsia="宋体" w:cs="Times New Roman"/>
                <w:kern w:val="0"/>
              </w:rPr>
            </w:pPr>
            <w:r>
              <w:rPr>
                <w:rFonts w:hint="eastAsia" w:ascii="Times New Roman" w:hAnsi="Calibri" w:eastAsia="宋体" w:cs="Times New Roman"/>
                <w:kern w:val="0"/>
              </w:rPr>
              <w:t>（1分）</w:t>
            </w:r>
          </w:p>
        </w:tc>
        <w:tc>
          <w:tcPr>
            <w:tcW w:w="6641" w:type="dxa"/>
            <w:tcBorders>
              <w:top w:val="single" w:color="auto" w:sz="4" w:space="0"/>
              <w:left w:val="single" w:color="auto" w:sz="4" w:space="0"/>
              <w:right w:val="single" w:color="auto" w:sz="4" w:space="0"/>
            </w:tcBorders>
            <w:shd w:val="clear" w:color="auto" w:fill="FFFFFF"/>
            <w:noWrap/>
            <w:vAlign w:val="center"/>
          </w:tcPr>
          <w:p w14:paraId="602592A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提供</w:t>
            </w:r>
            <w:r>
              <w:rPr>
                <w:rFonts w:hint="eastAsia" w:ascii="宋体" w:hAnsi="宋体" w:eastAsia="宋体" w:cs="Times New Roman"/>
                <w:szCs w:val="21"/>
              </w:rPr>
              <w:t>202</w:t>
            </w:r>
            <w:r>
              <w:rPr>
                <w:rFonts w:ascii="宋体" w:hAnsi="宋体" w:eastAsia="宋体" w:cs="Times New Roman"/>
                <w:szCs w:val="21"/>
              </w:rPr>
              <w:t>1</w:t>
            </w:r>
            <w:r>
              <w:rPr>
                <w:rFonts w:hint="eastAsia" w:ascii="宋体" w:hAnsi="宋体" w:eastAsia="宋体" w:cs="Times New Roman"/>
                <w:szCs w:val="21"/>
              </w:rPr>
              <w:t>年1月1日以来，具有同类项目成功案例，每提供一个合同得1分，最多得1分。</w:t>
            </w:r>
            <w:r>
              <w:rPr>
                <w:rFonts w:hint="eastAsia" w:ascii="宋体" w:hAnsi="宋体" w:eastAsia="宋体" w:cs="宋体"/>
                <w:b/>
                <w:bCs/>
                <w:color w:val="auto"/>
                <w:sz w:val="21"/>
                <w:szCs w:val="21"/>
                <w:highlight w:val="none"/>
              </w:rPr>
              <w:t>（提供合同复印件加盖公章）</w:t>
            </w:r>
          </w:p>
        </w:tc>
        <w:tc>
          <w:tcPr>
            <w:tcW w:w="736" w:type="dxa"/>
            <w:tcBorders>
              <w:top w:val="single" w:color="auto" w:sz="4" w:space="0"/>
              <w:left w:val="single" w:color="auto" w:sz="4" w:space="0"/>
              <w:right w:val="single" w:color="auto" w:sz="4" w:space="0"/>
            </w:tcBorders>
            <w:noWrap/>
            <w:vAlign w:val="center"/>
          </w:tcPr>
          <w:p w14:paraId="2B64C5D1">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397F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2"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67242DA6">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right w:val="single" w:color="auto" w:sz="4" w:space="0"/>
            </w:tcBorders>
            <w:shd w:val="clear" w:color="auto" w:fill="auto"/>
            <w:noWrap/>
            <w:vAlign w:val="center"/>
          </w:tcPr>
          <w:p w14:paraId="23DB934F">
            <w:pPr>
              <w:keepNext w:val="0"/>
              <w:keepLines w:val="0"/>
              <w:pageBreakBefore w:val="0"/>
              <w:widowControl w:val="0"/>
              <w:kinsoku/>
              <w:wordWrap/>
              <w:overflowPunct/>
              <w:topLinePunct w:val="0"/>
              <w:autoSpaceDE/>
              <w:autoSpaceDN/>
              <w:bidi w:val="0"/>
              <w:spacing w:line="360" w:lineRule="auto"/>
              <w:jc w:val="both"/>
              <w:textAlignment w:val="auto"/>
              <w:rPr>
                <w:rFonts w:ascii="宋体" w:hAnsi="宋体" w:eastAsia="宋体" w:cs="Times New Roman"/>
              </w:rPr>
            </w:pPr>
            <w:r>
              <w:rPr>
                <w:rFonts w:hint="eastAsia" w:ascii="宋体" w:hAnsi="宋体" w:eastAsia="宋体" w:cs="Times New Roman"/>
              </w:rPr>
              <w:t>项目负责人（</w:t>
            </w:r>
            <w:r>
              <w:rPr>
                <w:rFonts w:hint="eastAsia" w:ascii="宋体" w:hAnsi="宋体" w:cs="Times New Roman"/>
                <w:lang w:val="en-US" w:eastAsia="zh-CN"/>
              </w:rPr>
              <w:t>11</w:t>
            </w:r>
            <w:r>
              <w:rPr>
                <w:rFonts w:hint="eastAsia" w:ascii="宋体" w:hAnsi="宋体" w:eastAsia="宋体" w:cs="Times New Roman"/>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2D414FAA">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本项目所安排参与项目从业人员的素质、能力、资格和经验，人员是否具有相关服务资格等。</w:t>
            </w:r>
          </w:p>
          <w:p w14:paraId="16C5E2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1.项目负责人有市容协查证书得1分；</w:t>
            </w:r>
          </w:p>
          <w:p w14:paraId="6291F6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2.保安员二级以上证书得1分；</w:t>
            </w:r>
          </w:p>
          <w:p w14:paraId="565326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3.物业项目经理证书得1分；</w:t>
            </w:r>
          </w:p>
          <w:p w14:paraId="256CAF4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4.高级清洁管理师证书得1分；</w:t>
            </w:r>
          </w:p>
          <w:p w14:paraId="494405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val="zh-CN" w:eastAsia="zh-CN"/>
              </w:rPr>
              <w:t>道路清扫保洁工程师（高级）</w:t>
            </w:r>
            <w:r>
              <w:rPr>
                <w:rFonts w:hint="eastAsia" w:ascii="宋体" w:hAnsi="宋体" w:cs="宋体"/>
                <w:b w:val="0"/>
                <w:bCs w:val="0"/>
                <w:color w:val="auto"/>
                <w:sz w:val="21"/>
                <w:szCs w:val="21"/>
                <w:highlight w:val="none"/>
                <w:lang w:val="en-US" w:eastAsia="zh-CN"/>
              </w:rPr>
              <w:t>证书得1分；</w:t>
            </w:r>
          </w:p>
          <w:p w14:paraId="583DF45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6.园林绿化工程师证书得1分；最高得6分。</w:t>
            </w:r>
          </w:p>
          <w:p w14:paraId="65957DB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项目负责人具有类似项目业绩的得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分，合同若不能体现项目负责人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可提供业主方</w:t>
            </w:r>
            <w:r>
              <w:rPr>
                <w:rFonts w:hint="eastAsia" w:ascii="宋体" w:hAnsi="宋体" w:cs="宋体"/>
                <w:color w:val="auto"/>
                <w:sz w:val="21"/>
                <w:szCs w:val="21"/>
                <w:highlight w:val="none"/>
                <w:lang w:val="en-US" w:eastAsia="zh-CN"/>
              </w:rPr>
              <w:t>盖章的</w:t>
            </w:r>
            <w:r>
              <w:rPr>
                <w:rFonts w:hint="eastAsia" w:ascii="宋体" w:hAnsi="宋体" w:eastAsia="宋体" w:cs="宋体"/>
                <w:color w:val="auto"/>
                <w:sz w:val="21"/>
                <w:szCs w:val="21"/>
                <w:highlight w:val="none"/>
              </w:rPr>
              <w:t>相关证明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并提供</w:t>
            </w:r>
            <w:r>
              <w:rPr>
                <w:rFonts w:hint="eastAsia" w:ascii="宋体" w:hAnsi="宋体" w:eastAsia="宋体" w:cs="宋体"/>
                <w:color w:val="auto"/>
                <w:sz w:val="21"/>
                <w:szCs w:val="21"/>
                <w:highlight w:val="none"/>
              </w:rPr>
              <w:t>项目业绩相关证明</w:t>
            </w:r>
            <w:r>
              <w:rPr>
                <w:rFonts w:hint="eastAsia" w:ascii="宋体" w:hAnsi="宋体" w:cs="宋体"/>
                <w:color w:val="auto"/>
                <w:sz w:val="21"/>
                <w:szCs w:val="21"/>
                <w:highlight w:val="none"/>
                <w:lang w:eastAsia="zh-CN"/>
              </w:rPr>
              <w:t>。</w:t>
            </w:r>
          </w:p>
          <w:p w14:paraId="373118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cs="宋体"/>
                <w:color w:val="auto"/>
                <w:sz w:val="21"/>
                <w:szCs w:val="21"/>
                <w:highlight w:val="none"/>
                <w:lang w:val="en-US" w:eastAsia="zh-CN"/>
              </w:rPr>
              <w:t>项目负责人具有地市级及以上获奖荣誉的得3分。</w:t>
            </w:r>
          </w:p>
          <w:p w14:paraId="1EB9E16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项目负责人最近一个季度</w:t>
            </w:r>
            <w:r>
              <w:rPr>
                <w:rFonts w:hint="eastAsia" w:ascii="宋体" w:hAnsi="宋体" w:eastAsia="宋体" w:cs="宋体"/>
                <w:b/>
                <w:bCs/>
                <w:color w:val="auto"/>
                <w:sz w:val="21"/>
                <w:szCs w:val="21"/>
                <w:highlight w:val="none"/>
              </w:rPr>
              <w:t>的社保</w:t>
            </w:r>
            <w:r>
              <w:rPr>
                <w:rFonts w:hint="eastAsia" w:ascii="宋体" w:hAnsi="宋体" w:cs="宋体"/>
                <w:b/>
                <w:bCs/>
                <w:color w:val="auto"/>
                <w:sz w:val="21"/>
                <w:szCs w:val="21"/>
                <w:highlight w:val="none"/>
                <w:lang w:val="en-US" w:eastAsia="zh-CN"/>
              </w:rPr>
              <w:t>和依法缴纳税收的证明</w:t>
            </w:r>
            <w:r>
              <w:rPr>
                <w:rFonts w:hint="eastAsia" w:ascii="宋体" w:hAnsi="宋体" w:eastAsia="宋体" w:cs="宋体"/>
                <w:b/>
                <w:bCs/>
                <w:color w:val="auto"/>
                <w:sz w:val="21"/>
                <w:szCs w:val="21"/>
                <w:highlight w:val="none"/>
              </w:rPr>
              <w:t>、相关证书及相关证明文件，复印件加盖公章）</w:t>
            </w:r>
            <w:r>
              <w:rPr>
                <w:rFonts w:hint="eastAsia" w:ascii="宋体" w:hAnsi="宋体" w:cs="宋体"/>
                <w:b/>
                <w:bCs/>
                <w:color w:val="auto"/>
                <w:sz w:val="21"/>
                <w:szCs w:val="21"/>
                <w:highlight w:val="none"/>
                <w:lang w:eastAsia="zh-CN"/>
              </w:rPr>
              <w:t>。</w:t>
            </w:r>
          </w:p>
        </w:tc>
        <w:tc>
          <w:tcPr>
            <w:tcW w:w="736" w:type="dxa"/>
            <w:tcBorders>
              <w:top w:val="single" w:color="auto" w:sz="4" w:space="0"/>
              <w:left w:val="single" w:color="auto" w:sz="4" w:space="0"/>
              <w:right w:val="single" w:color="auto" w:sz="4" w:space="0"/>
            </w:tcBorders>
            <w:noWrap/>
            <w:vAlign w:val="center"/>
          </w:tcPr>
          <w:p w14:paraId="02588924">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15F9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5493DCD3">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right w:val="single" w:color="auto" w:sz="4" w:space="0"/>
            </w:tcBorders>
            <w:shd w:val="clear" w:color="auto" w:fill="auto"/>
            <w:noWrap/>
            <w:vAlign w:val="center"/>
          </w:tcPr>
          <w:p w14:paraId="4402DE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体系认证证书</w:t>
            </w:r>
          </w:p>
          <w:p w14:paraId="4767D6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p>
        </w:tc>
        <w:tc>
          <w:tcPr>
            <w:tcW w:w="6641" w:type="dxa"/>
            <w:tcBorders>
              <w:top w:val="single" w:color="auto" w:sz="4" w:space="0"/>
              <w:left w:val="single" w:color="auto" w:sz="4" w:space="0"/>
              <w:right w:val="single" w:color="auto" w:sz="4" w:space="0"/>
            </w:tcBorders>
            <w:shd w:val="clear" w:color="auto" w:fill="FFFFFF"/>
            <w:noWrap/>
            <w:vAlign w:val="center"/>
          </w:tcPr>
          <w:p w14:paraId="49B346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供应商具有有效的质量管理认证体系证书、环境管理认证体系证书、职业健康安全管理体系证书的，每个得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E351CA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投标文件中须提供有效的认证体系证书复印件盖供应商单位公章。</w:t>
            </w:r>
          </w:p>
        </w:tc>
        <w:tc>
          <w:tcPr>
            <w:tcW w:w="736" w:type="dxa"/>
            <w:tcBorders>
              <w:top w:val="single" w:color="auto" w:sz="4" w:space="0"/>
              <w:left w:val="single" w:color="auto" w:sz="4" w:space="0"/>
              <w:right w:val="single" w:color="auto" w:sz="4" w:space="0"/>
            </w:tcBorders>
            <w:noWrap/>
            <w:vAlign w:val="center"/>
          </w:tcPr>
          <w:p w14:paraId="45FA42EC">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1353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1"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15A50FAA">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right w:val="single" w:color="auto" w:sz="4" w:space="0"/>
            </w:tcBorders>
            <w:shd w:val="clear" w:color="auto" w:fill="auto"/>
            <w:noWrap/>
            <w:vAlign w:val="center"/>
          </w:tcPr>
          <w:p w14:paraId="1BBCB6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综合能力（12分）</w:t>
            </w:r>
          </w:p>
        </w:tc>
        <w:tc>
          <w:tcPr>
            <w:tcW w:w="6641" w:type="dxa"/>
            <w:tcBorders>
              <w:top w:val="single" w:color="auto" w:sz="4" w:space="0"/>
              <w:left w:val="single" w:color="auto" w:sz="4" w:space="0"/>
              <w:right w:val="single" w:color="auto" w:sz="4" w:space="0"/>
            </w:tcBorders>
            <w:shd w:val="clear" w:color="auto" w:fill="FFFFFF"/>
            <w:noWrap/>
            <w:vAlign w:val="center"/>
          </w:tcPr>
          <w:p w14:paraId="10E715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售后服务认证证书</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4DDAC6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清洁服务认证证书</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3180ED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物业服务认证证书</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03F572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AAA级重合同守信用单位</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656033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AAA级重质量守信用单位</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4FB2569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AAA级重服务守信用单位</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6858741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AAA级诚信经营示范单位</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333C7C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AAA级企业资信等级</w:t>
            </w:r>
            <w:r>
              <w:rPr>
                <w:rFonts w:hint="eastAsia" w:ascii="宋体" w:hAnsi="宋体" w:cs="宋体"/>
                <w:b w:val="0"/>
                <w:bCs w:val="0"/>
                <w:color w:val="auto"/>
                <w:sz w:val="21"/>
                <w:szCs w:val="21"/>
                <w:highlight w:val="none"/>
                <w:lang w:val="en-US" w:eastAsia="zh-CN"/>
              </w:rPr>
              <w:t>得1.5分</w:t>
            </w:r>
            <w:r>
              <w:rPr>
                <w:rFonts w:hint="eastAsia" w:ascii="宋体" w:hAnsi="宋体" w:eastAsia="宋体" w:cs="宋体"/>
                <w:color w:val="auto"/>
                <w:sz w:val="21"/>
                <w:szCs w:val="21"/>
                <w:highlight w:val="none"/>
              </w:rPr>
              <w:t>。</w:t>
            </w:r>
          </w:p>
          <w:p w14:paraId="3F56F5F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eastAsia="zh-CN"/>
              </w:rPr>
              <w:t>投标文件中须提供有效的认证体系证书复印件盖供应商单位公章</w:t>
            </w:r>
            <w:r>
              <w:rPr>
                <w:rFonts w:hint="eastAsia" w:ascii="宋体" w:hAnsi="宋体" w:cs="宋体"/>
                <w:b/>
                <w:bCs/>
                <w:color w:val="auto"/>
                <w:sz w:val="21"/>
                <w:szCs w:val="21"/>
                <w:highlight w:val="none"/>
                <w:lang w:eastAsia="zh-CN"/>
              </w:rPr>
              <w:t>。</w:t>
            </w:r>
          </w:p>
        </w:tc>
        <w:tc>
          <w:tcPr>
            <w:tcW w:w="736" w:type="dxa"/>
            <w:tcBorders>
              <w:top w:val="single" w:color="auto" w:sz="4" w:space="0"/>
              <w:left w:val="single" w:color="auto" w:sz="4" w:space="0"/>
              <w:right w:val="single" w:color="auto" w:sz="4" w:space="0"/>
            </w:tcBorders>
            <w:noWrap/>
            <w:vAlign w:val="center"/>
          </w:tcPr>
          <w:p w14:paraId="3BFF1A62">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435C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68A73D53">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vMerge w:val="restart"/>
            <w:tcBorders>
              <w:top w:val="single" w:color="auto" w:sz="4" w:space="0"/>
              <w:left w:val="single" w:color="auto" w:sz="4" w:space="0"/>
              <w:right w:val="single" w:color="auto" w:sz="4" w:space="0"/>
            </w:tcBorders>
            <w:shd w:val="clear" w:color="auto" w:fill="auto"/>
            <w:noWrap/>
            <w:vAlign w:val="center"/>
          </w:tcPr>
          <w:p w14:paraId="68B288EC">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szCs w:val="21"/>
              </w:rPr>
            </w:pPr>
            <w:r>
              <w:rPr>
                <w:rFonts w:hint="eastAsia" w:ascii="宋体" w:hAnsi="宋体" w:eastAsia="宋体" w:cs="Times New Roman"/>
                <w:szCs w:val="21"/>
              </w:rPr>
              <w:t>管理计划方案</w:t>
            </w:r>
          </w:p>
          <w:p w14:paraId="246AEFF2">
            <w:pPr>
              <w:pStyle w:val="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pPr>
            <w:r>
              <w:rPr>
                <w:rFonts w:hint="eastAsia"/>
                <w:sz w:val="21"/>
                <w:szCs w:val="21"/>
              </w:rPr>
              <w:t>（</w:t>
            </w:r>
            <w:r>
              <w:rPr>
                <w:rFonts w:hint="eastAsia"/>
                <w:sz w:val="21"/>
                <w:szCs w:val="21"/>
                <w:lang w:val="en-US" w:eastAsia="zh-CN"/>
              </w:rPr>
              <w:t>17</w:t>
            </w:r>
            <w:r>
              <w:rPr>
                <w:rFonts w:hint="eastAsia"/>
                <w:sz w:val="21"/>
                <w:szCs w:val="21"/>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1C23241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cs="Times New Roman"/>
                <w:b/>
                <w:bCs/>
                <w:szCs w:val="21"/>
                <w:lang w:val="en-US" w:eastAsia="zh-CN"/>
              </w:rPr>
              <w:t>一.</w:t>
            </w:r>
            <w:r>
              <w:rPr>
                <w:rFonts w:ascii="宋体" w:hAnsi="宋体" w:eastAsia="宋体" w:cs="Times New Roman"/>
                <w:b/>
                <w:bCs/>
                <w:szCs w:val="21"/>
              </w:rPr>
              <w:t>对本项目的理解和分析（</w:t>
            </w:r>
            <w:r>
              <w:rPr>
                <w:rFonts w:hint="eastAsia" w:ascii="宋体" w:hAnsi="宋体" w:cs="Times New Roman"/>
                <w:b/>
                <w:bCs/>
                <w:szCs w:val="21"/>
                <w:lang w:val="en-US" w:eastAsia="zh-CN"/>
              </w:rPr>
              <w:t>4</w:t>
            </w:r>
            <w:r>
              <w:rPr>
                <w:rFonts w:ascii="宋体" w:hAnsi="宋体" w:eastAsia="宋体" w:cs="Times New Roman"/>
                <w:b/>
                <w:bCs/>
                <w:szCs w:val="21"/>
              </w:rPr>
              <w:t>分）：</w:t>
            </w:r>
          </w:p>
          <w:p w14:paraId="19CAF0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ascii="宋体" w:hAnsi="宋体" w:eastAsia="宋体" w:cs="Times New Roman"/>
                <w:szCs w:val="21"/>
              </w:rPr>
              <w:t>投标人对本项目各区域、各路段管理特点和规律的理解和分析</w:t>
            </w:r>
            <w:r>
              <w:rPr>
                <w:rFonts w:hint="eastAsia" w:ascii="宋体" w:hAnsi="宋体" w:eastAsia="宋体" w:cs="Times New Roman"/>
                <w:szCs w:val="21"/>
              </w:rPr>
              <w:t>，</w:t>
            </w:r>
            <w:r>
              <w:rPr>
                <w:rFonts w:ascii="宋体" w:hAnsi="宋体" w:eastAsia="宋体" w:cs="Times New Roman"/>
                <w:szCs w:val="21"/>
              </w:rPr>
              <w:t>分析</w:t>
            </w:r>
            <w:r>
              <w:rPr>
                <w:rFonts w:hint="eastAsia" w:ascii="宋体" w:hAnsi="宋体" w:cs="Times New Roman"/>
                <w:szCs w:val="21"/>
                <w:lang w:val="en-US" w:eastAsia="zh-CN"/>
              </w:rPr>
              <w:t>非常</w:t>
            </w:r>
            <w:r>
              <w:rPr>
                <w:rFonts w:ascii="宋体" w:hAnsi="宋体" w:eastAsia="宋体" w:cs="Times New Roman"/>
                <w:szCs w:val="21"/>
              </w:rPr>
              <w:t>全面、完整的</w:t>
            </w:r>
            <w:r>
              <w:rPr>
                <w:rFonts w:hint="eastAsia" w:ascii="宋体" w:hAnsi="宋体" w:cs="Times New Roman"/>
                <w:szCs w:val="21"/>
                <w:lang w:val="en-US" w:eastAsia="zh-CN"/>
              </w:rPr>
              <w:t>得4</w:t>
            </w:r>
            <w:r>
              <w:rPr>
                <w:rFonts w:ascii="宋体" w:hAnsi="宋体" w:eastAsia="宋体" w:cs="Times New Roman"/>
                <w:szCs w:val="21"/>
              </w:rPr>
              <w:t>分</w:t>
            </w:r>
            <w:r>
              <w:rPr>
                <w:rFonts w:hint="eastAsia" w:ascii="宋体" w:hAnsi="宋体" w:cs="Times New Roman"/>
                <w:szCs w:val="21"/>
                <w:lang w:eastAsia="zh-CN"/>
              </w:rPr>
              <w:t>；</w:t>
            </w:r>
          </w:p>
          <w:p w14:paraId="0CFD7EA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szCs w:val="21"/>
                <w:lang w:eastAsia="zh-CN"/>
              </w:rPr>
            </w:pPr>
            <w:r>
              <w:rPr>
                <w:rFonts w:hint="eastAsia" w:ascii="宋体" w:hAnsi="宋体" w:cs="Times New Roman"/>
                <w:szCs w:val="21"/>
                <w:lang w:val="en-US" w:eastAsia="zh-CN"/>
              </w:rPr>
              <w:t>2、</w:t>
            </w:r>
            <w:r>
              <w:rPr>
                <w:rFonts w:ascii="宋体" w:hAnsi="宋体" w:eastAsia="宋体" w:cs="Times New Roman"/>
                <w:szCs w:val="21"/>
              </w:rPr>
              <w:t>分析</w:t>
            </w:r>
            <w:r>
              <w:rPr>
                <w:rFonts w:hint="eastAsia" w:ascii="宋体" w:hAnsi="宋体" w:eastAsia="宋体" w:cs="Times New Roman"/>
                <w:szCs w:val="21"/>
                <w:lang w:val="en-US" w:eastAsia="zh-CN"/>
              </w:rPr>
              <w:t>比较</w:t>
            </w:r>
            <w:r>
              <w:rPr>
                <w:rFonts w:ascii="宋体" w:hAnsi="宋体" w:eastAsia="宋体" w:cs="Times New Roman"/>
                <w:szCs w:val="21"/>
              </w:rPr>
              <w:t>全面、</w:t>
            </w:r>
            <w:r>
              <w:rPr>
                <w:rFonts w:hint="eastAsia" w:ascii="宋体" w:hAnsi="宋体" w:cs="Times New Roman"/>
                <w:szCs w:val="21"/>
                <w:lang w:val="en-US" w:eastAsia="zh-CN"/>
              </w:rPr>
              <w:t>较</w:t>
            </w:r>
            <w:r>
              <w:rPr>
                <w:rFonts w:ascii="宋体" w:hAnsi="宋体" w:eastAsia="宋体" w:cs="Times New Roman"/>
                <w:szCs w:val="21"/>
              </w:rPr>
              <w:t>完整的</w:t>
            </w:r>
            <w:r>
              <w:rPr>
                <w:rFonts w:hint="eastAsia" w:ascii="宋体" w:hAnsi="宋体" w:cs="Times New Roman"/>
                <w:szCs w:val="21"/>
                <w:lang w:val="en-US" w:eastAsia="zh-CN"/>
              </w:rPr>
              <w:t>得2</w:t>
            </w:r>
            <w:r>
              <w:rPr>
                <w:rFonts w:ascii="宋体" w:hAnsi="宋体" w:eastAsia="宋体" w:cs="Times New Roman"/>
                <w:szCs w:val="21"/>
              </w:rPr>
              <w:t>分</w:t>
            </w:r>
            <w:r>
              <w:rPr>
                <w:rFonts w:hint="eastAsia" w:ascii="宋体" w:hAnsi="宋体" w:cs="Times New Roman"/>
                <w:szCs w:val="21"/>
                <w:lang w:eastAsia="zh-CN"/>
              </w:rPr>
              <w:t>；</w:t>
            </w:r>
          </w:p>
          <w:p w14:paraId="03AFC7F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szCs w:val="21"/>
                <w:lang w:eastAsia="zh-CN"/>
              </w:rPr>
            </w:pPr>
            <w:r>
              <w:rPr>
                <w:rFonts w:hint="eastAsia" w:ascii="宋体" w:hAnsi="宋体" w:cs="Times New Roman"/>
                <w:szCs w:val="21"/>
                <w:lang w:val="en-US" w:eastAsia="zh-CN"/>
              </w:rPr>
              <w:t>3、</w:t>
            </w:r>
            <w:r>
              <w:rPr>
                <w:rFonts w:ascii="宋体" w:hAnsi="宋体" w:eastAsia="宋体" w:cs="Times New Roman"/>
                <w:szCs w:val="21"/>
              </w:rPr>
              <w:t>分析有所欠缺的</w:t>
            </w:r>
            <w:r>
              <w:rPr>
                <w:rFonts w:hint="eastAsia" w:ascii="宋体" w:hAnsi="宋体" w:cs="Times New Roman"/>
                <w:szCs w:val="21"/>
                <w:lang w:val="en-US" w:eastAsia="zh-CN"/>
              </w:rPr>
              <w:t>得1</w:t>
            </w:r>
            <w:r>
              <w:rPr>
                <w:rFonts w:ascii="宋体" w:hAnsi="宋体" w:eastAsia="宋体" w:cs="Times New Roman"/>
                <w:szCs w:val="21"/>
              </w:rPr>
              <w:t>分</w:t>
            </w:r>
            <w:r>
              <w:rPr>
                <w:rFonts w:hint="eastAsia" w:ascii="宋体" w:hAnsi="宋体" w:cs="Times New Roman"/>
                <w:szCs w:val="21"/>
                <w:lang w:eastAsia="zh-CN"/>
              </w:rPr>
              <w:t>；</w:t>
            </w:r>
          </w:p>
          <w:p w14:paraId="3E34EE1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rPr>
              <w:t>分析完全不合理或未提及不得分</w:t>
            </w:r>
            <w:r>
              <w:rPr>
                <w:rFonts w:ascii="宋体" w:hAnsi="宋体" w:eastAsia="宋体" w:cs="Times New Roman"/>
                <w:szCs w:val="21"/>
              </w:rPr>
              <w:t>。</w:t>
            </w:r>
          </w:p>
        </w:tc>
        <w:tc>
          <w:tcPr>
            <w:tcW w:w="736" w:type="dxa"/>
            <w:tcBorders>
              <w:top w:val="single" w:color="auto" w:sz="4" w:space="0"/>
              <w:left w:val="single" w:color="auto" w:sz="4" w:space="0"/>
              <w:right w:val="single" w:color="auto" w:sz="4" w:space="0"/>
            </w:tcBorders>
            <w:noWrap/>
            <w:vAlign w:val="center"/>
          </w:tcPr>
          <w:p w14:paraId="3B14448F">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5261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1E11C698">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vMerge w:val="continue"/>
            <w:tcBorders>
              <w:left w:val="single" w:color="auto" w:sz="4" w:space="0"/>
              <w:right w:val="single" w:color="auto" w:sz="4" w:space="0"/>
            </w:tcBorders>
            <w:shd w:val="clear" w:color="auto" w:fill="auto"/>
            <w:noWrap/>
            <w:vAlign w:val="center"/>
          </w:tcPr>
          <w:p w14:paraId="2D8555C5">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p>
        </w:tc>
        <w:tc>
          <w:tcPr>
            <w:tcW w:w="6641" w:type="dxa"/>
            <w:tcBorders>
              <w:top w:val="single" w:color="auto" w:sz="4" w:space="0"/>
              <w:left w:val="single" w:color="auto" w:sz="4" w:space="0"/>
              <w:right w:val="single" w:color="auto" w:sz="4" w:space="0"/>
            </w:tcBorders>
            <w:shd w:val="clear" w:color="auto" w:fill="FFFFFF"/>
            <w:noWrap/>
            <w:vAlign w:val="center"/>
          </w:tcPr>
          <w:p w14:paraId="106D1A8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cs="Times New Roman"/>
                <w:b/>
                <w:bCs/>
                <w:szCs w:val="21"/>
                <w:lang w:val="en-US" w:eastAsia="zh-CN"/>
              </w:rPr>
              <w:t>二．</w:t>
            </w:r>
            <w:r>
              <w:rPr>
                <w:rFonts w:ascii="宋体" w:hAnsi="宋体" w:eastAsia="宋体" w:cs="Times New Roman"/>
                <w:b/>
                <w:bCs/>
                <w:szCs w:val="21"/>
              </w:rPr>
              <w:t>日常管理方案（</w:t>
            </w:r>
            <w:r>
              <w:rPr>
                <w:rFonts w:hint="eastAsia" w:ascii="宋体" w:hAnsi="宋体" w:cs="Times New Roman"/>
                <w:b/>
                <w:bCs/>
                <w:szCs w:val="21"/>
                <w:lang w:val="en-US" w:eastAsia="zh-CN"/>
              </w:rPr>
              <w:t>4</w:t>
            </w:r>
            <w:r>
              <w:rPr>
                <w:rFonts w:ascii="宋体" w:hAnsi="宋体" w:eastAsia="宋体" w:cs="Times New Roman"/>
                <w:b/>
                <w:bCs/>
                <w:szCs w:val="21"/>
              </w:rPr>
              <w:t>分）：</w:t>
            </w:r>
          </w:p>
          <w:p w14:paraId="735BEA5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Times New Roman"/>
                <w:szCs w:val="21"/>
                <w:lang w:eastAsia="zh-CN"/>
              </w:rPr>
            </w:pPr>
            <w:r>
              <w:rPr>
                <w:rFonts w:hint="eastAsia" w:ascii="宋体" w:hAnsi="宋体" w:cs="Times New Roman"/>
                <w:szCs w:val="21"/>
                <w:lang w:val="en-US" w:eastAsia="zh-CN"/>
              </w:rPr>
              <w:t>1、</w:t>
            </w:r>
            <w:r>
              <w:rPr>
                <w:rFonts w:ascii="宋体" w:hAnsi="宋体" w:eastAsia="宋体" w:cs="Times New Roman"/>
                <w:szCs w:val="21"/>
              </w:rPr>
              <w:t>日常管理方案完整全面，</w:t>
            </w:r>
            <w:r>
              <w:rPr>
                <w:rFonts w:hint="eastAsia" w:ascii="宋体" w:hAnsi="宋体" w:eastAsia="宋体" w:cs="Times New Roman"/>
                <w:szCs w:val="21"/>
              </w:rPr>
              <w:t>完全满足招标文件的要求</w:t>
            </w:r>
            <w:r>
              <w:rPr>
                <w:rFonts w:hint="eastAsia" w:ascii="宋体" w:hAnsi="宋体" w:cs="Times New Roman"/>
                <w:szCs w:val="21"/>
                <w:lang w:val="en-US" w:eastAsia="zh-CN"/>
              </w:rPr>
              <w:t>的得4</w:t>
            </w:r>
            <w:r>
              <w:rPr>
                <w:rFonts w:ascii="宋体" w:hAnsi="宋体" w:eastAsia="宋体" w:cs="Times New Roman"/>
                <w:szCs w:val="21"/>
              </w:rPr>
              <w:t>分</w:t>
            </w:r>
            <w:r>
              <w:rPr>
                <w:rFonts w:hint="eastAsia" w:ascii="宋体" w:hAnsi="宋体" w:cs="Times New Roman"/>
                <w:szCs w:val="21"/>
                <w:lang w:eastAsia="zh-CN"/>
              </w:rPr>
              <w:t>；</w:t>
            </w:r>
          </w:p>
          <w:p w14:paraId="420C12F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2、日常</w:t>
            </w:r>
            <w:r>
              <w:rPr>
                <w:rFonts w:ascii="宋体" w:hAnsi="宋体" w:eastAsia="宋体" w:cs="Times New Roman"/>
                <w:szCs w:val="21"/>
              </w:rPr>
              <w:t>方案相对完整，</w:t>
            </w:r>
            <w:r>
              <w:rPr>
                <w:rFonts w:hint="eastAsia" w:ascii="宋体" w:hAnsi="宋体" w:cs="Times New Roman"/>
                <w:szCs w:val="21"/>
                <w:lang w:val="en-US" w:eastAsia="zh-CN"/>
              </w:rPr>
              <w:t>比较</w:t>
            </w:r>
            <w:r>
              <w:rPr>
                <w:rFonts w:hint="eastAsia" w:ascii="宋体" w:hAnsi="宋体" w:eastAsia="宋体" w:cs="Times New Roman"/>
                <w:szCs w:val="21"/>
              </w:rPr>
              <w:t>满足招标文件要求</w:t>
            </w:r>
            <w:r>
              <w:rPr>
                <w:rFonts w:hint="eastAsia" w:ascii="宋体" w:hAnsi="宋体" w:cs="Times New Roman"/>
                <w:szCs w:val="21"/>
                <w:lang w:val="en-US" w:eastAsia="zh-CN"/>
              </w:rPr>
              <w:t>的得2分；</w:t>
            </w:r>
          </w:p>
          <w:p w14:paraId="09C23B1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Times New Roman"/>
                <w:szCs w:val="21"/>
                <w:lang w:eastAsia="zh-CN"/>
              </w:rPr>
            </w:pPr>
            <w:r>
              <w:rPr>
                <w:rFonts w:hint="eastAsia" w:ascii="宋体" w:hAnsi="宋体" w:cs="Times New Roman"/>
                <w:szCs w:val="21"/>
                <w:lang w:val="en-US" w:eastAsia="zh-CN"/>
              </w:rPr>
              <w:t>3、日常</w:t>
            </w:r>
            <w:r>
              <w:rPr>
                <w:rFonts w:ascii="宋体" w:hAnsi="宋体" w:eastAsia="宋体" w:cs="Times New Roman"/>
                <w:szCs w:val="21"/>
              </w:rPr>
              <w:t>方案完整性较差，</w:t>
            </w:r>
            <w:r>
              <w:rPr>
                <w:rFonts w:hint="eastAsia" w:ascii="宋体" w:hAnsi="宋体" w:eastAsia="宋体" w:cs="Times New Roman"/>
                <w:szCs w:val="21"/>
              </w:rPr>
              <w:t>内容简单</w:t>
            </w:r>
            <w:r>
              <w:rPr>
                <w:rFonts w:hint="eastAsia" w:ascii="宋体" w:hAnsi="宋体" w:cs="Times New Roman"/>
                <w:szCs w:val="21"/>
                <w:lang w:val="en-US" w:eastAsia="zh-CN"/>
              </w:rPr>
              <w:t>的得1</w:t>
            </w:r>
            <w:r>
              <w:rPr>
                <w:rFonts w:ascii="宋体" w:hAnsi="宋体" w:eastAsia="宋体" w:cs="Times New Roman"/>
                <w:szCs w:val="21"/>
              </w:rPr>
              <w:t>分</w:t>
            </w:r>
            <w:r>
              <w:rPr>
                <w:rFonts w:hint="eastAsia" w:ascii="宋体" w:hAnsi="宋体" w:cs="Times New Roman"/>
                <w:szCs w:val="21"/>
                <w:lang w:eastAsia="zh-CN"/>
              </w:rPr>
              <w:t>；</w:t>
            </w:r>
          </w:p>
          <w:p w14:paraId="66C1642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4、日常</w:t>
            </w:r>
            <w:r>
              <w:rPr>
                <w:rFonts w:ascii="宋体" w:hAnsi="宋体" w:eastAsia="宋体" w:cs="Times New Roman"/>
                <w:szCs w:val="21"/>
              </w:rPr>
              <w:t>方案</w:t>
            </w:r>
            <w:r>
              <w:rPr>
                <w:rFonts w:hint="eastAsia" w:ascii="宋体" w:hAnsi="宋体" w:eastAsia="宋体" w:cs="Times New Roman"/>
                <w:szCs w:val="21"/>
              </w:rPr>
              <w:t>完全不满足招标文件的要求或未提及不得分</w:t>
            </w:r>
            <w:r>
              <w:rPr>
                <w:rFonts w:ascii="宋体" w:hAnsi="宋体" w:eastAsia="宋体" w:cs="Times New Roman"/>
                <w:szCs w:val="21"/>
              </w:rPr>
              <w:t>。</w:t>
            </w:r>
          </w:p>
        </w:tc>
        <w:tc>
          <w:tcPr>
            <w:tcW w:w="736" w:type="dxa"/>
            <w:tcBorders>
              <w:top w:val="single" w:color="auto" w:sz="4" w:space="0"/>
              <w:left w:val="single" w:color="auto" w:sz="4" w:space="0"/>
              <w:right w:val="single" w:color="auto" w:sz="4" w:space="0"/>
            </w:tcBorders>
            <w:noWrap/>
            <w:vAlign w:val="center"/>
          </w:tcPr>
          <w:p w14:paraId="246E5C87">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3BB6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3B3ADB71">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vMerge w:val="continue"/>
            <w:tcBorders>
              <w:left w:val="single" w:color="auto" w:sz="4" w:space="0"/>
              <w:right w:val="single" w:color="auto" w:sz="4" w:space="0"/>
            </w:tcBorders>
            <w:shd w:val="clear" w:color="auto" w:fill="auto"/>
            <w:noWrap/>
            <w:vAlign w:val="center"/>
          </w:tcPr>
          <w:p w14:paraId="63EF4FB0">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p>
        </w:tc>
        <w:tc>
          <w:tcPr>
            <w:tcW w:w="6641" w:type="dxa"/>
            <w:tcBorders>
              <w:top w:val="single" w:color="auto" w:sz="4" w:space="0"/>
              <w:left w:val="single" w:color="auto" w:sz="4" w:space="0"/>
              <w:right w:val="single" w:color="auto" w:sz="4" w:space="0"/>
            </w:tcBorders>
            <w:shd w:val="clear" w:color="auto" w:fill="FFFFFF"/>
            <w:noWrap/>
            <w:vAlign w:val="center"/>
          </w:tcPr>
          <w:p w14:paraId="58F32B0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highlight w:val="none"/>
              </w:rPr>
            </w:pPr>
            <w:r>
              <w:rPr>
                <w:rFonts w:hint="eastAsia" w:ascii="宋体" w:hAnsi="宋体" w:cs="Times New Roman"/>
                <w:b/>
                <w:bCs/>
                <w:szCs w:val="21"/>
                <w:highlight w:val="none"/>
                <w:lang w:val="en-US" w:eastAsia="zh-CN"/>
              </w:rPr>
              <w:t>三.</w:t>
            </w:r>
            <w:r>
              <w:rPr>
                <w:rFonts w:ascii="宋体" w:hAnsi="宋体" w:eastAsia="宋体" w:cs="Times New Roman"/>
                <w:b/>
                <w:bCs/>
                <w:szCs w:val="21"/>
                <w:highlight w:val="none"/>
              </w:rPr>
              <w:t>实施方案（</w:t>
            </w:r>
            <w:r>
              <w:rPr>
                <w:rFonts w:hint="eastAsia" w:ascii="宋体" w:hAnsi="宋体" w:cs="Times New Roman"/>
                <w:b/>
                <w:bCs/>
                <w:szCs w:val="21"/>
                <w:highlight w:val="none"/>
                <w:lang w:val="en-US" w:eastAsia="zh-CN"/>
              </w:rPr>
              <w:t>5</w:t>
            </w:r>
            <w:r>
              <w:rPr>
                <w:rFonts w:ascii="宋体" w:hAnsi="宋体" w:eastAsia="宋体" w:cs="Times New Roman"/>
                <w:b/>
                <w:bCs/>
                <w:szCs w:val="21"/>
                <w:highlight w:val="none"/>
              </w:rPr>
              <w:t>分）：</w:t>
            </w:r>
          </w:p>
          <w:p w14:paraId="27CC3B4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b/>
                <w:bCs/>
                <w:szCs w:val="21"/>
                <w:highlight w:val="none"/>
                <w:lang w:eastAsia="zh-CN"/>
              </w:rPr>
            </w:pPr>
            <w:r>
              <w:rPr>
                <w:rFonts w:ascii="宋体" w:hAnsi="宋体" w:eastAsia="宋体" w:cs="Times New Roman"/>
                <w:b/>
                <w:bCs/>
                <w:szCs w:val="21"/>
                <w:highlight w:val="none"/>
              </w:rPr>
              <w:t>根据每一项作业</w:t>
            </w:r>
            <w:r>
              <w:rPr>
                <w:rFonts w:hint="eastAsia" w:ascii="宋体" w:hAnsi="宋体" w:eastAsia="宋体" w:cs="Times New Roman"/>
                <w:b/>
                <w:bCs/>
                <w:szCs w:val="21"/>
                <w:highlight w:val="none"/>
                <w:lang w:eastAsia="zh-CN"/>
              </w:rPr>
              <w:t>（市容环境管理、街面商铺管理、公共设施管理、治安秩序管理）</w:t>
            </w:r>
          </w:p>
          <w:p w14:paraId="1AB95797">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cs="Times New Roman"/>
                <w:szCs w:val="21"/>
                <w:highlight w:val="none"/>
                <w:lang w:eastAsia="zh-CN"/>
              </w:rPr>
            </w:pPr>
            <w:r>
              <w:rPr>
                <w:rFonts w:hint="eastAsia"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w:t>
            </w:r>
            <w:r>
              <w:rPr>
                <w:rFonts w:hint="eastAsia" w:ascii="宋体" w:hAnsi="宋体" w:eastAsia="宋体" w:cs="Times New Roman"/>
                <w:szCs w:val="21"/>
                <w:highlight w:val="none"/>
                <w:lang w:val="en-US" w:eastAsia="zh-CN"/>
              </w:rPr>
              <w:t>方案</w:t>
            </w:r>
            <w:r>
              <w:rPr>
                <w:rFonts w:ascii="宋体" w:hAnsi="宋体" w:eastAsia="宋体" w:cs="Times New Roman"/>
                <w:szCs w:val="21"/>
                <w:highlight w:val="none"/>
              </w:rPr>
              <w:t>作出</w:t>
            </w:r>
            <w:r>
              <w:rPr>
                <w:rFonts w:hint="eastAsia" w:ascii="宋体" w:hAnsi="宋体" w:cs="Times New Roman"/>
                <w:szCs w:val="21"/>
                <w:highlight w:val="none"/>
                <w:lang w:val="en-US" w:eastAsia="zh-CN"/>
              </w:rPr>
              <w:t>非常</w:t>
            </w:r>
            <w:r>
              <w:rPr>
                <w:rFonts w:ascii="宋体" w:hAnsi="宋体" w:eastAsia="宋体" w:cs="Times New Roman"/>
                <w:szCs w:val="21"/>
                <w:highlight w:val="none"/>
              </w:rPr>
              <w:t>详细的人员配置，网格分布，</w:t>
            </w:r>
            <w:r>
              <w:rPr>
                <w:rFonts w:hint="eastAsia" w:ascii="宋体" w:hAnsi="宋体" w:cs="Times New Roman"/>
                <w:szCs w:val="21"/>
                <w:highlight w:val="none"/>
                <w:lang w:val="en-US" w:eastAsia="zh-CN"/>
              </w:rPr>
              <w:t>非常</w:t>
            </w:r>
            <w:r>
              <w:rPr>
                <w:rFonts w:ascii="宋体" w:hAnsi="宋体" w:eastAsia="宋体" w:cs="Times New Roman"/>
                <w:szCs w:val="21"/>
                <w:highlight w:val="none"/>
              </w:rPr>
              <w:t>完整详细，完全响应采购需求的</w:t>
            </w:r>
            <w:r>
              <w:rPr>
                <w:rFonts w:hint="eastAsia" w:ascii="宋体" w:hAnsi="宋体" w:cs="Times New Roman"/>
                <w:szCs w:val="21"/>
                <w:highlight w:val="none"/>
                <w:lang w:val="en-US" w:eastAsia="zh-CN"/>
              </w:rPr>
              <w:t>得5</w:t>
            </w:r>
            <w:r>
              <w:rPr>
                <w:rFonts w:hint="eastAsia" w:ascii="宋体" w:hAnsi="宋体" w:eastAsia="宋体" w:cs="Times New Roman"/>
                <w:szCs w:val="21"/>
                <w:highlight w:val="none"/>
              </w:rPr>
              <w:t>分</w:t>
            </w:r>
            <w:r>
              <w:rPr>
                <w:rFonts w:hint="eastAsia" w:ascii="宋体" w:hAnsi="宋体" w:cs="Times New Roman"/>
                <w:szCs w:val="21"/>
                <w:highlight w:val="none"/>
                <w:lang w:eastAsia="zh-CN"/>
              </w:rPr>
              <w:t>；</w:t>
            </w:r>
          </w:p>
          <w:p w14:paraId="3A60E1F0">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方案</w:t>
            </w:r>
            <w:r>
              <w:rPr>
                <w:rFonts w:hint="eastAsia" w:ascii="宋体" w:hAnsi="宋体" w:cs="Times New Roman"/>
                <w:szCs w:val="21"/>
                <w:highlight w:val="none"/>
                <w:lang w:val="en-US" w:eastAsia="zh-CN"/>
              </w:rPr>
              <w:t>比</w:t>
            </w:r>
            <w:r>
              <w:rPr>
                <w:rFonts w:hint="eastAsia" w:ascii="宋体" w:hAnsi="宋体" w:eastAsia="宋体" w:cs="Times New Roman"/>
                <w:szCs w:val="21"/>
                <w:highlight w:val="none"/>
              </w:rPr>
              <w:t>较详细完整，基本能响应采购需求的</w:t>
            </w:r>
            <w:r>
              <w:rPr>
                <w:rFonts w:hint="eastAsia" w:ascii="宋体" w:hAnsi="宋体" w:cs="Times New Roman"/>
                <w:szCs w:val="21"/>
                <w:highlight w:val="none"/>
                <w:lang w:val="en-US" w:eastAsia="zh-CN"/>
              </w:rPr>
              <w:t>得2</w:t>
            </w:r>
            <w:r>
              <w:rPr>
                <w:rFonts w:hint="eastAsia" w:ascii="宋体" w:hAnsi="宋体" w:eastAsia="宋体" w:cs="Times New Roman"/>
                <w:szCs w:val="21"/>
                <w:highlight w:val="none"/>
              </w:rPr>
              <w:t>分</w:t>
            </w:r>
            <w:r>
              <w:rPr>
                <w:rFonts w:hint="eastAsia" w:ascii="宋体" w:hAnsi="宋体" w:cs="Times New Roman"/>
                <w:szCs w:val="21"/>
                <w:highlight w:val="none"/>
                <w:lang w:eastAsia="zh-CN"/>
              </w:rPr>
              <w:t>；</w:t>
            </w:r>
          </w:p>
          <w:p w14:paraId="754C460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kern w:val="2"/>
                <w:sz w:val="21"/>
                <w:szCs w:val="21"/>
                <w:lang w:val="en-US" w:eastAsia="zh-CN" w:bidi="ar-SA"/>
              </w:rPr>
              <w:t>3、</w:t>
            </w:r>
            <w:r>
              <w:rPr>
                <w:rFonts w:hint="eastAsia" w:ascii="宋体" w:hAnsi="宋体" w:eastAsia="宋体" w:cs="Times New Roman"/>
                <w:szCs w:val="21"/>
                <w:highlight w:val="none"/>
              </w:rPr>
              <w:t>方案简单的</w:t>
            </w:r>
            <w:r>
              <w:rPr>
                <w:rFonts w:hint="eastAsia" w:ascii="宋体" w:hAnsi="宋体" w:cs="Times New Roman"/>
                <w:szCs w:val="21"/>
                <w:highlight w:val="none"/>
                <w:lang w:val="en-US" w:eastAsia="zh-CN"/>
              </w:rPr>
              <w:t>得1</w:t>
            </w:r>
            <w:r>
              <w:rPr>
                <w:rFonts w:hint="eastAsia" w:ascii="宋体" w:hAnsi="宋体" w:eastAsia="宋体" w:cs="Times New Roman"/>
                <w:szCs w:val="21"/>
                <w:highlight w:val="none"/>
              </w:rPr>
              <w:t>分</w:t>
            </w:r>
            <w:r>
              <w:rPr>
                <w:rFonts w:hint="eastAsia" w:ascii="宋体" w:hAnsi="宋体" w:cs="Times New Roman"/>
                <w:szCs w:val="21"/>
                <w:highlight w:val="none"/>
                <w:lang w:eastAsia="zh-CN"/>
              </w:rPr>
              <w:t>；</w:t>
            </w:r>
          </w:p>
          <w:p w14:paraId="3930ACD6">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kern w:val="2"/>
                <w:sz w:val="21"/>
                <w:szCs w:val="21"/>
                <w:lang w:val="en-US" w:eastAsia="zh-CN" w:bidi="ar-SA"/>
              </w:rPr>
              <w:t>4、</w:t>
            </w:r>
            <w:r>
              <w:rPr>
                <w:rFonts w:hint="eastAsia" w:ascii="宋体" w:hAnsi="宋体" w:eastAsia="宋体" w:cs="Times New Roman"/>
                <w:szCs w:val="21"/>
                <w:highlight w:val="none"/>
              </w:rPr>
              <w:t>未提及或完全不响应的不得分。</w:t>
            </w:r>
          </w:p>
        </w:tc>
        <w:tc>
          <w:tcPr>
            <w:tcW w:w="736" w:type="dxa"/>
            <w:tcBorders>
              <w:top w:val="single" w:color="auto" w:sz="4" w:space="0"/>
              <w:left w:val="single" w:color="auto" w:sz="4" w:space="0"/>
              <w:right w:val="single" w:color="auto" w:sz="4" w:space="0"/>
            </w:tcBorders>
            <w:noWrap/>
            <w:vAlign w:val="center"/>
          </w:tcPr>
          <w:p w14:paraId="231F0964">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6697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2B8641FE">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vMerge w:val="continue"/>
            <w:tcBorders>
              <w:left w:val="single" w:color="auto" w:sz="4" w:space="0"/>
              <w:right w:val="single" w:color="auto" w:sz="4" w:space="0"/>
            </w:tcBorders>
            <w:shd w:val="clear" w:color="auto" w:fill="auto"/>
            <w:noWrap/>
            <w:vAlign w:val="center"/>
          </w:tcPr>
          <w:p w14:paraId="66F4514E">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p>
        </w:tc>
        <w:tc>
          <w:tcPr>
            <w:tcW w:w="6641" w:type="dxa"/>
            <w:tcBorders>
              <w:top w:val="single" w:color="auto" w:sz="4" w:space="0"/>
              <w:left w:val="single" w:color="auto" w:sz="4" w:space="0"/>
              <w:right w:val="single" w:color="auto" w:sz="4" w:space="0"/>
            </w:tcBorders>
            <w:shd w:val="clear" w:color="auto" w:fill="FFFFFF"/>
            <w:noWrap/>
            <w:vAlign w:val="center"/>
          </w:tcPr>
          <w:p w14:paraId="3A2684A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cs="Times New Roman"/>
                <w:b/>
                <w:bCs/>
                <w:szCs w:val="21"/>
                <w:lang w:val="en-US" w:eastAsia="zh-CN"/>
              </w:rPr>
              <w:t>四</w:t>
            </w:r>
            <w:r>
              <w:rPr>
                <w:rFonts w:hint="eastAsia" w:ascii="宋体" w:hAnsi="宋体" w:eastAsia="宋体" w:cs="Times New Roman"/>
                <w:b/>
                <w:bCs/>
                <w:szCs w:val="21"/>
              </w:rPr>
              <w:t>.</w:t>
            </w:r>
            <w:r>
              <w:rPr>
                <w:rFonts w:ascii="宋体" w:hAnsi="宋体" w:eastAsia="宋体" w:cs="Times New Roman"/>
                <w:b/>
                <w:bCs/>
                <w:szCs w:val="21"/>
              </w:rPr>
              <w:t>项目重点难点分析及解决方案（</w:t>
            </w:r>
            <w:r>
              <w:rPr>
                <w:rFonts w:hint="eastAsia" w:ascii="宋体" w:hAnsi="宋体" w:cs="Times New Roman"/>
                <w:b/>
                <w:bCs/>
                <w:szCs w:val="21"/>
                <w:lang w:val="en-US" w:eastAsia="zh-CN"/>
              </w:rPr>
              <w:t>4</w:t>
            </w:r>
            <w:r>
              <w:rPr>
                <w:rFonts w:ascii="宋体" w:hAnsi="宋体" w:eastAsia="宋体" w:cs="Times New Roman"/>
                <w:b/>
                <w:bCs/>
                <w:szCs w:val="21"/>
              </w:rPr>
              <w:t>分）：</w:t>
            </w:r>
          </w:p>
          <w:p w14:paraId="33A9DF2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ascii="宋体" w:hAnsi="宋体" w:eastAsia="宋体" w:cs="Times New Roman"/>
                <w:b/>
                <w:bCs/>
                <w:szCs w:val="21"/>
              </w:rPr>
              <w:t>投标人对本项目现状、存在的问题和难点、要点等问题的分析、调查</w:t>
            </w:r>
            <w:r>
              <w:rPr>
                <w:rFonts w:hint="eastAsia" w:ascii="宋体" w:hAnsi="宋体" w:eastAsia="宋体" w:cs="Times New Roman"/>
                <w:b/>
                <w:bCs/>
                <w:szCs w:val="21"/>
              </w:rPr>
              <w:t>。</w:t>
            </w:r>
            <w:r>
              <w:rPr>
                <w:rFonts w:hint="eastAsia" w:ascii="宋体" w:hAnsi="宋体" w:cs="Times New Roman"/>
                <w:b w:val="0"/>
                <w:bCs w:val="0"/>
                <w:szCs w:val="21"/>
                <w:lang w:val="en-US" w:eastAsia="zh-CN"/>
              </w:rPr>
              <w:t>1、</w:t>
            </w:r>
            <w:r>
              <w:rPr>
                <w:rFonts w:hint="eastAsia" w:ascii="宋体" w:hAnsi="宋体" w:eastAsia="宋体" w:cs="Times New Roman"/>
                <w:szCs w:val="21"/>
              </w:rPr>
              <w:t>分析深刻透彻，有针对性，有清晰</w:t>
            </w:r>
            <w:r>
              <w:rPr>
                <w:rFonts w:hint="eastAsia" w:ascii="宋体" w:hAnsi="宋体" w:cs="Times New Roman"/>
                <w:szCs w:val="21"/>
                <w:lang w:val="en-US" w:eastAsia="zh-CN"/>
              </w:rPr>
              <w:t>详尽的</w:t>
            </w:r>
            <w:r>
              <w:rPr>
                <w:rFonts w:hint="eastAsia" w:ascii="宋体" w:hAnsi="宋体" w:eastAsia="宋体" w:cs="Times New Roman"/>
                <w:szCs w:val="21"/>
              </w:rPr>
              <w:t>处理方法</w:t>
            </w:r>
            <w:r>
              <w:rPr>
                <w:rFonts w:hint="eastAsia" w:ascii="宋体" w:hAnsi="宋体" w:cs="Times New Roman"/>
                <w:szCs w:val="21"/>
                <w:lang w:val="en-US" w:eastAsia="zh-CN"/>
              </w:rPr>
              <w:t>的，得4</w:t>
            </w:r>
            <w:r>
              <w:rPr>
                <w:rFonts w:ascii="宋体" w:hAnsi="宋体" w:eastAsia="宋体" w:cs="Times New Roman"/>
                <w:szCs w:val="21"/>
              </w:rPr>
              <w:t>分；</w:t>
            </w:r>
          </w:p>
          <w:p w14:paraId="2B7BC74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2、</w:t>
            </w:r>
            <w:r>
              <w:rPr>
                <w:rFonts w:hint="eastAsia" w:ascii="宋体" w:hAnsi="宋体" w:eastAsia="宋体" w:cs="Times New Roman"/>
                <w:szCs w:val="21"/>
              </w:rPr>
              <w:t>分析基本合理、内容简单，处理方法阐述</w:t>
            </w:r>
            <w:r>
              <w:rPr>
                <w:rFonts w:hint="eastAsia" w:ascii="宋体" w:hAnsi="宋体" w:cs="Times New Roman"/>
                <w:szCs w:val="21"/>
                <w:lang w:val="en-US" w:eastAsia="zh-CN"/>
              </w:rPr>
              <w:t>比较</w:t>
            </w:r>
            <w:r>
              <w:rPr>
                <w:rFonts w:hint="eastAsia" w:ascii="宋体" w:hAnsi="宋体" w:eastAsia="宋体" w:cs="Times New Roman"/>
                <w:szCs w:val="21"/>
              </w:rPr>
              <w:t>详尽</w:t>
            </w:r>
            <w:r>
              <w:rPr>
                <w:rFonts w:hint="eastAsia" w:ascii="宋体" w:hAnsi="宋体" w:cs="Times New Roman"/>
                <w:szCs w:val="21"/>
                <w:lang w:val="en-US" w:eastAsia="zh-CN"/>
              </w:rPr>
              <w:t>的得2</w:t>
            </w:r>
            <w:r>
              <w:rPr>
                <w:rFonts w:ascii="宋体" w:hAnsi="宋体" w:eastAsia="宋体" w:cs="Times New Roman"/>
                <w:szCs w:val="21"/>
              </w:rPr>
              <w:t>分；</w:t>
            </w:r>
          </w:p>
          <w:p w14:paraId="2F7E0D4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分析片面，处理方法缺乏针对性</w:t>
            </w:r>
            <w:r>
              <w:rPr>
                <w:rFonts w:hint="eastAsia" w:ascii="宋体" w:hAnsi="宋体" w:cs="Times New Roman"/>
                <w:szCs w:val="21"/>
                <w:lang w:val="en-US" w:eastAsia="zh-CN"/>
              </w:rPr>
              <w:t>的得1</w:t>
            </w:r>
            <w:r>
              <w:rPr>
                <w:rFonts w:ascii="宋体" w:hAnsi="宋体" w:eastAsia="宋体" w:cs="Times New Roman"/>
                <w:szCs w:val="21"/>
              </w:rPr>
              <w:t>分；</w:t>
            </w:r>
          </w:p>
          <w:p w14:paraId="63AB32D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4、</w:t>
            </w:r>
            <w:r>
              <w:rPr>
                <w:rFonts w:ascii="宋体" w:hAnsi="宋体" w:eastAsia="宋体" w:cs="Times New Roman"/>
                <w:szCs w:val="21"/>
              </w:rPr>
              <w:t>没有</w:t>
            </w:r>
            <w:r>
              <w:rPr>
                <w:rFonts w:hint="eastAsia" w:ascii="宋体" w:hAnsi="宋体" w:cs="Times New Roman"/>
                <w:szCs w:val="21"/>
                <w:lang w:val="en-US" w:eastAsia="zh-CN"/>
              </w:rPr>
              <w:t>分析的</w:t>
            </w:r>
            <w:r>
              <w:rPr>
                <w:rFonts w:ascii="宋体" w:hAnsi="宋体" w:eastAsia="宋体" w:cs="Times New Roman"/>
                <w:szCs w:val="21"/>
              </w:rPr>
              <w:t>不得分。</w:t>
            </w:r>
          </w:p>
        </w:tc>
        <w:tc>
          <w:tcPr>
            <w:tcW w:w="736" w:type="dxa"/>
            <w:tcBorders>
              <w:top w:val="single" w:color="auto" w:sz="4" w:space="0"/>
              <w:left w:val="single" w:color="auto" w:sz="4" w:space="0"/>
              <w:right w:val="single" w:color="auto" w:sz="4" w:space="0"/>
            </w:tcBorders>
            <w:noWrap/>
            <w:vAlign w:val="center"/>
          </w:tcPr>
          <w:p w14:paraId="3EA9D230">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3554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1C6EDF99">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right w:val="single" w:color="auto" w:sz="4" w:space="0"/>
            </w:tcBorders>
            <w:shd w:val="clear" w:color="auto" w:fill="auto"/>
            <w:noWrap/>
            <w:vAlign w:val="center"/>
          </w:tcPr>
          <w:p w14:paraId="2173D83A">
            <w:pPr>
              <w:keepNext w:val="0"/>
              <w:keepLines w:val="0"/>
              <w:pageBreakBefore w:val="0"/>
              <w:widowControl w:val="0"/>
              <w:kinsoku/>
              <w:wordWrap/>
              <w:overflowPunct/>
              <w:topLinePunct w:val="0"/>
              <w:autoSpaceDE/>
              <w:autoSpaceDN/>
              <w:bidi w:val="0"/>
              <w:spacing w:after="120" w:line="360" w:lineRule="auto"/>
              <w:jc w:val="center"/>
              <w:textAlignment w:val="auto"/>
              <w:rPr>
                <w:rFonts w:ascii="Times New Roman" w:hAnsi="Calibri" w:eastAsia="宋体" w:cs="Times New Roman"/>
                <w:kern w:val="0"/>
              </w:rPr>
            </w:pPr>
            <w:r>
              <w:rPr>
                <w:rFonts w:hint="eastAsia" w:ascii="Times New Roman" w:hAnsi="Calibri" w:eastAsia="宋体" w:cs="Times New Roman"/>
                <w:kern w:val="0"/>
              </w:rPr>
              <w:t>项目管理团队</w:t>
            </w:r>
          </w:p>
          <w:p w14:paraId="7F010212">
            <w:pPr>
              <w:keepNext w:val="0"/>
              <w:keepLines w:val="0"/>
              <w:pageBreakBefore w:val="0"/>
              <w:widowControl w:val="0"/>
              <w:kinsoku/>
              <w:wordWrap/>
              <w:overflowPunct/>
              <w:topLinePunct w:val="0"/>
              <w:autoSpaceDE/>
              <w:autoSpaceDN/>
              <w:bidi w:val="0"/>
              <w:spacing w:after="120" w:line="360" w:lineRule="auto"/>
              <w:jc w:val="center"/>
              <w:textAlignment w:val="auto"/>
              <w:rPr>
                <w:rFonts w:ascii="Times New Roman" w:hAnsi="Calibri" w:eastAsia="宋体" w:cs="Times New Roman"/>
                <w:kern w:val="0"/>
              </w:rPr>
            </w:pPr>
            <w:r>
              <w:rPr>
                <w:rFonts w:hint="eastAsia" w:ascii="Times New Roman" w:hAnsi="Calibri" w:eastAsia="宋体" w:cs="Times New Roman"/>
                <w:kern w:val="0"/>
              </w:rPr>
              <w:t>（4分）</w:t>
            </w:r>
          </w:p>
        </w:tc>
        <w:tc>
          <w:tcPr>
            <w:tcW w:w="6641" w:type="dxa"/>
            <w:tcBorders>
              <w:top w:val="single" w:color="auto" w:sz="4" w:space="0"/>
              <w:left w:val="single" w:color="auto" w:sz="4" w:space="0"/>
              <w:right w:val="single" w:color="auto" w:sz="4" w:space="0"/>
            </w:tcBorders>
            <w:shd w:val="clear" w:color="auto" w:fill="FFFFFF"/>
            <w:noWrap/>
            <w:vAlign w:val="center"/>
          </w:tcPr>
          <w:p w14:paraId="565C9B5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Times New Roman"/>
                <w:b/>
                <w:bCs/>
                <w:szCs w:val="21"/>
                <w:lang w:val="en-US" w:eastAsia="zh-CN"/>
              </w:rPr>
            </w:pPr>
            <w:r>
              <w:rPr>
                <w:rFonts w:hint="eastAsia" w:ascii="宋体" w:hAnsi="宋体" w:cs="Times New Roman"/>
                <w:b/>
                <w:bCs/>
                <w:szCs w:val="21"/>
                <w:lang w:val="en-US" w:eastAsia="zh-CN"/>
              </w:rPr>
              <w:t>投标人的项目主要管理团队配置情况（4分）：</w:t>
            </w:r>
          </w:p>
          <w:p w14:paraId="5F3CB66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Times New Roman"/>
                <w:b w:val="0"/>
                <w:bCs w:val="0"/>
                <w:szCs w:val="21"/>
                <w:lang w:val="en-US" w:eastAsia="zh-CN"/>
              </w:rPr>
            </w:pPr>
            <w:r>
              <w:rPr>
                <w:rFonts w:hint="eastAsia" w:ascii="宋体" w:hAnsi="宋体" w:cs="Times New Roman"/>
                <w:b w:val="0"/>
                <w:bCs w:val="0"/>
                <w:szCs w:val="21"/>
                <w:lang w:val="en-US" w:eastAsia="zh-CN"/>
              </w:rPr>
              <w:t>1、配置完全合理，完全有针对性的得4分；</w:t>
            </w:r>
          </w:p>
          <w:p w14:paraId="0254FCAB">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cs="Times New Roman"/>
                <w:b w:val="0"/>
                <w:bCs w:val="0"/>
                <w:szCs w:val="21"/>
                <w:lang w:val="en-US" w:eastAsia="zh-CN"/>
              </w:rPr>
            </w:pPr>
            <w:r>
              <w:rPr>
                <w:rFonts w:hint="eastAsia" w:ascii="宋体" w:hAnsi="宋体" w:cs="Times New Roman"/>
                <w:b w:val="0"/>
                <w:bCs w:val="0"/>
                <w:szCs w:val="21"/>
                <w:lang w:val="en-US" w:eastAsia="zh-CN"/>
              </w:rPr>
              <w:t>2、配置比较合理，有一定的针对性的得2分；</w:t>
            </w:r>
          </w:p>
          <w:p w14:paraId="6E3661DB">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cs="Times New Roman"/>
                <w:b w:val="0"/>
                <w:bCs w:val="0"/>
                <w:szCs w:val="21"/>
                <w:lang w:val="en-US" w:eastAsia="zh-CN"/>
              </w:rPr>
            </w:pPr>
            <w:r>
              <w:rPr>
                <w:rFonts w:hint="eastAsia" w:ascii="宋体" w:hAnsi="宋体" w:cs="Times New Roman"/>
                <w:b w:val="0"/>
                <w:bCs w:val="0"/>
                <w:szCs w:val="21"/>
                <w:lang w:val="en-US" w:eastAsia="zh-CN"/>
              </w:rPr>
              <w:t>3、配置一般合理，稍有的针对性的得分1分；</w:t>
            </w:r>
          </w:p>
          <w:p w14:paraId="62BA976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Times New Roman"/>
                <w:b w:val="0"/>
                <w:bCs w:val="0"/>
                <w:szCs w:val="21"/>
                <w:lang w:val="en-US" w:eastAsia="zh-CN"/>
              </w:rPr>
            </w:pPr>
            <w:r>
              <w:rPr>
                <w:rFonts w:hint="eastAsia" w:ascii="宋体" w:hAnsi="宋体" w:cs="Times New Roman"/>
                <w:b w:val="0"/>
                <w:bCs w:val="0"/>
                <w:szCs w:val="21"/>
                <w:lang w:val="en-US" w:eastAsia="zh-CN"/>
              </w:rPr>
              <w:t>4、未提及不得分。</w:t>
            </w:r>
          </w:p>
          <w:p w14:paraId="77938C0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kern w:val="0"/>
              </w:rPr>
            </w:pPr>
            <w:r>
              <w:rPr>
                <w:rFonts w:hint="eastAsia" w:ascii="宋体" w:hAnsi="宋体" w:cs="Times New Roman"/>
                <w:b/>
                <w:bCs/>
                <w:szCs w:val="21"/>
                <w:lang w:val="en-US" w:eastAsia="zh-CN"/>
              </w:rPr>
              <w:t>注：提供开标前三个月任意一个月的社保证明、相关证书及相关证明文件，复印件加盖公章</w:t>
            </w:r>
          </w:p>
        </w:tc>
        <w:tc>
          <w:tcPr>
            <w:tcW w:w="736" w:type="dxa"/>
            <w:tcBorders>
              <w:top w:val="single" w:color="auto" w:sz="4" w:space="0"/>
              <w:left w:val="single" w:color="auto" w:sz="4" w:space="0"/>
              <w:right w:val="single" w:color="auto" w:sz="4" w:space="0"/>
            </w:tcBorders>
            <w:noWrap/>
            <w:vAlign w:val="center"/>
          </w:tcPr>
          <w:p w14:paraId="1EBA1F13">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4E85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noWrap/>
            <w:vAlign w:val="center"/>
          </w:tcPr>
          <w:p w14:paraId="06129BA6">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AAB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kern w:val="0"/>
                <w:sz w:val="21"/>
                <w:szCs w:val="21"/>
                <w:lang w:val="en-US" w:eastAsia="zh-CN" w:bidi="ar-SA"/>
              </w:rPr>
            </w:pPr>
            <w:r>
              <w:rPr>
                <w:color w:val="auto"/>
                <w:kern w:val="2"/>
                <w:sz w:val="21"/>
                <w:szCs w:val="21"/>
                <w:highlight w:val="none"/>
              </w:rPr>
              <w:t>秩序维护执勤器材</w:t>
            </w:r>
            <w:r>
              <w:rPr>
                <w:rFonts w:hint="eastAsia" w:ascii="宋体" w:hAnsi="宋体" w:cs="宋体"/>
                <w:color w:val="auto"/>
                <w:kern w:val="0"/>
                <w:sz w:val="21"/>
                <w:szCs w:val="21"/>
                <w:highlight w:val="none"/>
                <w:lang w:val="en-US" w:eastAsia="zh-CN"/>
              </w:rPr>
              <w:t>配置（4分）</w:t>
            </w:r>
          </w:p>
        </w:tc>
        <w:tc>
          <w:tcPr>
            <w:tcW w:w="6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3FFB6">
            <w:pPr>
              <w:pStyle w:val="3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highlight w:val="none"/>
              </w:rPr>
              <w:t>投标人提供</w:t>
            </w:r>
            <w:r>
              <w:rPr>
                <w:b/>
                <w:bCs/>
                <w:color w:val="auto"/>
                <w:kern w:val="2"/>
                <w:sz w:val="21"/>
                <w:szCs w:val="21"/>
                <w:highlight w:val="none"/>
              </w:rPr>
              <w:t>秩序维护执勤器材</w:t>
            </w:r>
            <w:r>
              <w:rPr>
                <w:rFonts w:hint="eastAsia"/>
                <w:b/>
                <w:bCs/>
                <w:color w:val="auto"/>
                <w:kern w:val="2"/>
                <w:sz w:val="21"/>
                <w:szCs w:val="21"/>
                <w:highlight w:val="none"/>
                <w:lang w:val="en-US" w:eastAsia="zh-CN"/>
              </w:rPr>
              <w:t>的</w:t>
            </w:r>
            <w:r>
              <w:rPr>
                <w:rFonts w:hint="eastAsia" w:ascii="宋体" w:hAnsi="宋体" w:eastAsia="宋体" w:cs="宋体"/>
                <w:b/>
                <w:bCs/>
                <w:color w:val="auto"/>
                <w:sz w:val="21"/>
                <w:szCs w:val="21"/>
                <w:highlight w:val="none"/>
              </w:rPr>
              <w:t>合理安排情况</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cs="宋体"/>
                <w:b/>
                <w:bCs/>
                <w:color w:val="auto"/>
                <w:sz w:val="21"/>
                <w:szCs w:val="21"/>
                <w:highlight w:val="none"/>
                <w:lang w:eastAsia="zh-CN"/>
              </w:rPr>
              <w:t>：</w:t>
            </w:r>
          </w:p>
          <w:p w14:paraId="46B4CDDB">
            <w:pPr>
              <w:pStyle w:val="33"/>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配置合理有针对性</w:t>
            </w:r>
            <w:r>
              <w:rPr>
                <w:rFonts w:hint="eastAsia" w:ascii="宋体" w:hAnsi="宋体" w:cs="宋体"/>
                <w:color w:val="auto"/>
                <w:sz w:val="21"/>
                <w:szCs w:val="21"/>
                <w:highlight w:val="none"/>
                <w:lang w:val="en-US" w:eastAsia="zh-CN"/>
              </w:rPr>
              <w:t>的得4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037DA2CE">
            <w:pPr>
              <w:pStyle w:val="33"/>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配置较合理</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rPr>
              <w:t>2分</w:t>
            </w:r>
            <w:r>
              <w:rPr>
                <w:rFonts w:hint="eastAsia" w:ascii="宋体" w:hAnsi="宋体" w:cs="宋体"/>
                <w:color w:val="auto"/>
                <w:sz w:val="21"/>
                <w:szCs w:val="21"/>
                <w:highlight w:val="none"/>
                <w:lang w:eastAsia="zh-CN"/>
              </w:rPr>
              <w:t>；</w:t>
            </w:r>
          </w:p>
          <w:p w14:paraId="0DB87338">
            <w:pPr>
              <w:keepNext w:val="0"/>
              <w:keepLines w:val="0"/>
              <w:pageBreakBefore w:val="0"/>
              <w:widowControl w:val="0"/>
              <w:kinsoku/>
              <w:wordWrap/>
              <w:overflowPunct/>
              <w:topLinePunct w:val="0"/>
              <w:autoSpaceDE/>
              <w:autoSpaceDN/>
              <w:bidi w:val="0"/>
              <w:spacing w:line="360" w:lineRule="auto"/>
              <w:textAlignment w:val="auto"/>
              <w:rPr>
                <w:rFonts w:hint="default"/>
                <w:color w:val="auto"/>
                <w:highlight w:val="none"/>
                <w:lang w:val="en-US"/>
              </w:rPr>
            </w:pPr>
            <w:r>
              <w:rPr>
                <w:rFonts w:hint="eastAsia" w:ascii="宋体" w:hAnsi="宋体" w:cs="宋体"/>
                <w:color w:val="auto"/>
                <w:sz w:val="21"/>
                <w:szCs w:val="21"/>
                <w:highlight w:val="none"/>
                <w:lang w:val="en-US" w:eastAsia="zh-CN"/>
              </w:rPr>
              <w:t>3、基本合理的得1分</w:t>
            </w:r>
          </w:p>
          <w:p w14:paraId="4D65B8CD">
            <w:pPr>
              <w:pStyle w:val="1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Calibri" w:hAnsi="Calibri" w:eastAsia="宋体" w:cs="宋体"/>
                <w:kern w:val="2"/>
                <w:sz w:val="21"/>
                <w:szCs w:val="24"/>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配置完全不合理或未提及不得分。</w:t>
            </w:r>
          </w:p>
        </w:tc>
        <w:tc>
          <w:tcPr>
            <w:tcW w:w="736" w:type="dxa"/>
            <w:tcBorders>
              <w:top w:val="single" w:color="auto" w:sz="4" w:space="0"/>
              <w:left w:val="single" w:color="auto" w:sz="4" w:space="0"/>
              <w:right w:val="single" w:color="auto" w:sz="4" w:space="0"/>
            </w:tcBorders>
            <w:noWrap/>
            <w:vAlign w:val="center"/>
          </w:tcPr>
          <w:p w14:paraId="42211C95">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2CD1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1" w:hRule="atLeast"/>
          <w:jc w:val="center"/>
        </w:trPr>
        <w:tc>
          <w:tcPr>
            <w:tcW w:w="1037" w:type="dxa"/>
            <w:vMerge w:val="continue"/>
            <w:tcBorders>
              <w:top w:val="single" w:color="auto" w:sz="4" w:space="0"/>
              <w:left w:val="single" w:color="auto" w:sz="4" w:space="0"/>
              <w:right w:val="single" w:color="auto" w:sz="4" w:space="0"/>
            </w:tcBorders>
            <w:noWrap/>
            <w:vAlign w:val="center"/>
          </w:tcPr>
          <w:p w14:paraId="24C7E0D1">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noWrap/>
            <w:vAlign w:val="center"/>
          </w:tcPr>
          <w:p w14:paraId="694BEF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kern w:val="0"/>
                <w:sz w:val="21"/>
                <w:szCs w:val="21"/>
                <w:highlight w:val="none"/>
                <w:lang w:val="en-US" w:eastAsia="zh-CN"/>
              </w:rPr>
            </w:pPr>
            <w:r>
              <w:rPr>
                <w:rFonts w:cs="Arial"/>
                <w:snapToGrid w:val="0"/>
                <w:color w:val="auto"/>
                <w:sz w:val="21"/>
                <w:szCs w:val="21"/>
                <w:highlight w:val="none"/>
              </w:rPr>
              <w:t>服务团队人员配备保障措施</w:t>
            </w:r>
          </w:p>
          <w:p w14:paraId="39D820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kern w:val="0"/>
                <w:szCs w:val="21"/>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6641" w:type="dxa"/>
            <w:tcBorders>
              <w:top w:val="single" w:color="auto" w:sz="4" w:space="0"/>
              <w:left w:val="single" w:color="auto" w:sz="4" w:space="0"/>
              <w:bottom w:val="single" w:color="auto" w:sz="4" w:space="0"/>
              <w:right w:val="single" w:color="auto" w:sz="4" w:space="0"/>
            </w:tcBorders>
            <w:noWrap/>
            <w:vAlign w:val="center"/>
          </w:tcPr>
          <w:p w14:paraId="1E106D9B">
            <w:pPr>
              <w:keepNext w:val="0"/>
              <w:keepLines w:val="0"/>
              <w:pageBreakBefore w:val="0"/>
              <w:widowControl w:val="0"/>
              <w:kinsoku/>
              <w:wordWrap/>
              <w:overflowPunct/>
              <w:topLinePunct w:val="0"/>
              <w:autoSpaceDE/>
              <w:autoSpaceDN/>
              <w:bidi w:val="0"/>
              <w:adjustRightInd/>
              <w:snapToGrid/>
              <w:spacing w:line="360" w:lineRule="auto"/>
              <w:ind w:right="105" w:rightChars="50"/>
              <w:textAlignment w:val="auto"/>
              <w:outlineLvl w:val="9"/>
              <w:rPr>
                <w:rFonts w:ascii="宋体" w:hAnsi="宋体" w:cs="宋体"/>
                <w:color w:val="auto"/>
                <w:sz w:val="21"/>
                <w:szCs w:val="21"/>
                <w:highlight w:val="none"/>
              </w:rPr>
            </w:pPr>
            <w:r>
              <w:rPr>
                <w:rFonts w:hint="eastAsia" w:ascii="宋体" w:hAnsi="宋体" w:cs="宋体"/>
                <w:b/>
                <w:bCs/>
                <w:color w:val="auto"/>
                <w:sz w:val="21"/>
                <w:szCs w:val="21"/>
                <w:highlight w:val="none"/>
              </w:rPr>
              <w:t>根据投标人针对本项目的团队人员配备保证措施（包括针对本项目服务人员高流动性的解决措施、人员离职后的迅速补充措施、人员数量保障措施等）进行打分</w:t>
            </w:r>
            <w:r>
              <w:rPr>
                <w:rFonts w:hint="eastAsia" w:ascii="宋体" w:hAnsi="宋体" w:cs="宋体"/>
                <w:color w:val="auto"/>
                <w:sz w:val="21"/>
                <w:szCs w:val="21"/>
                <w:highlight w:val="none"/>
              </w:rPr>
              <w:t>：</w:t>
            </w:r>
          </w:p>
          <w:p w14:paraId="32E380BC">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措施切实可行，满足招标需求的，得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165DFD53">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措施基本可行，基本满足招标需求的，得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2DC96438">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措施一般或略有欠缺的，得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533DBD6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Cs w:val="21"/>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未提供的不得分。</w:t>
            </w:r>
          </w:p>
        </w:tc>
        <w:tc>
          <w:tcPr>
            <w:tcW w:w="736" w:type="dxa"/>
            <w:tcBorders>
              <w:top w:val="single" w:color="auto" w:sz="4" w:space="0"/>
              <w:left w:val="single" w:color="auto" w:sz="4" w:space="0"/>
              <w:right w:val="single" w:color="auto" w:sz="4" w:space="0"/>
            </w:tcBorders>
            <w:noWrap/>
            <w:vAlign w:val="center"/>
          </w:tcPr>
          <w:p w14:paraId="3C140D2A">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7B9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37" w:type="dxa"/>
            <w:vMerge w:val="continue"/>
            <w:tcBorders>
              <w:top w:val="single" w:color="auto" w:sz="4" w:space="0"/>
              <w:left w:val="single" w:color="auto" w:sz="4" w:space="0"/>
              <w:right w:val="single" w:color="auto" w:sz="4" w:space="0"/>
            </w:tcBorders>
            <w:noWrap/>
            <w:vAlign w:val="center"/>
          </w:tcPr>
          <w:p w14:paraId="0DB32B94">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noWrap/>
            <w:vAlign w:val="center"/>
          </w:tcPr>
          <w:p w14:paraId="2FECC88B">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宋体"/>
                <w:szCs w:val="21"/>
              </w:rPr>
            </w:pPr>
            <w:r>
              <w:rPr>
                <w:rFonts w:hint="eastAsia" w:ascii="宋体" w:hAnsi="宋体" w:eastAsia="宋体" w:cs="宋体"/>
                <w:szCs w:val="21"/>
              </w:rPr>
              <w:t>质量承诺与质量保证措施</w:t>
            </w:r>
          </w:p>
          <w:p w14:paraId="58D643D0">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Times New Roman"/>
                <w:kern w:val="0"/>
                <w:szCs w:val="21"/>
              </w:rPr>
            </w:pP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w:t>
            </w:r>
          </w:p>
        </w:tc>
        <w:tc>
          <w:tcPr>
            <w:tcW w:w="6641" w:type="dxa"/>
            <w:tcBorders>
              <w:top w:val="single" w:color="auto" w:sz="4" w:space="0"/>
              <w:left w:val="single" w:color="auto" w:sz="4" w:space="0"/>
              <w:bottom w:val="single" w:color="auto" w:sz="4" w:space="0"/>
              <w:right w:val="single" w:color="auto" w:sz="4" w:space="0"/>
            </w:tcBorders>
            <w:noWrap/>
            <w:vAlign w:val="center"/>
          </w:tcPr>
          <w:p w14:paraId="6A18B4D8">
            <w:pPr>
              <w:keepNext w:val="0"/>
              <w:keepLines w:val="0"/>
              <w:pageBreakBefore w:val="0"/>
              <w:widowControl w:val="0"/>
              <w:kinsoku/>
              <w:wordWrap/>
              <w:overflowPunct/>
              <w:topLinePunct w:val="0"/>
              <w:autoSpaceDE/>
              <w:autoSpaceDN/>
              <w:bidi w:val="0"/>
              <w:spacing w:line="360" w:lineRule="auto"/>
              <w:textAlignment w:val="auto"/>
              <w:rPr>
                <w:rFonts w:hint="eastAsia"/>
                <w:b/>
                <w:bCs/>
              </w:rPr>
            </w:pPr>
            <w:r>
              <w:rPr>
                <w:rFonts w:hint="eastAsia"/>
                <w:b/>
                <w:bCs/>
                <w:lang w:val="en-US" w:eastAsia="zh-CN"/>
              </w:rPr>
              <w:t>根据</w:t>
            </w:r>
            <w:r>
              <w:rPr>
                <w:rFonts w:hint="eastAsia"/>
                <w:b/>
                <w:bCs/>
              </w:rPr>
              <w:t>投标人的质量承诺及质量保证措施</w:t>
            </w:r>
            <w:r>
              <w:rPr>
                <w:b/>
                <w:bCs/>
              </w:rPr>
              <w:t>（</w:t>
            </w:r>
            <w:r>
              <w:rPr>
                <w:rFonts w:hint="eastAsia"/>
                <w:b/>
                <w:bCs/>
                <w:lang w:val="en-US" w:eastAsia="zh-CN"/>
              </w:rPr>
              <w:t>4</w:t>
            </w:r>
            <w:r>
              <w:rPr>
                <w:b/>
                <w:bCs/>
              </w:rPr>
              <w:t>分）</w:t>
            </w:r>
            <w:r>
              <w:rPr>
                <w:rFonts w:hint="eastAsia"/>
                <w:b/>
                <w:bCs/>
              </w:rPr>
              <w:t>：</w:t>
            </w:r>
          </w:p>
          <w:p w14:paraId="472CC3C4">
            <w:pPr>
              <w:pStyle w:val="3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质量保证与服务承诺全面，合理有保障的</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p>
          <w:p w14:paraId="2510A081">
            <w:pPr>
              <w:pStyle w:val="3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质量保证与服务承诺基本合理，部分可行</w:t>
            </w:r>
            <w:r>
              <w:rPr>
                <w:rFonts w:hint="eastAsia" w:ascii="宋体" w:hAnsi="宋体" w:eastAsia="宋体" w:cs="宋体"/>
                <w:color w:val="auto"/>
                <w:sz w:val="21"/>
                <w:szCs w:val="21"/>
                <w:highlight w:val="none"/>
                <w:lang w:val="en-US" w:eastAsia="zh-CN"/>
              </w:rPr>
              <w:t>的得2</w:t>
            </w:r>
            <w:r>
              <w:rPr>
                <w:rFonts w:hint="eastAsia" w:ascii="宋体" w:hAnsi="宋体" w:eastAsia="宋体" w:cs="宋体"/>
                <w:color w:val="auto"/>
                <w:sz w:val="21"/>
                <w:szCs w:val="21"/>
                <w:highlight w:val="none"/>
              </w:rPr>
              <w:t>分；</w:t>
            </w:r>
          </w:p>
          <w:p w14:paraId="64CE56BF">
            <w:pPr>
              <w:pStyle w:val="33"/>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质量保证与服务承诺缺乏有效性和针对性</w:t>
            </w:r>
            <w:r>
              <w:rPr>
                <w:rFonts w:hint="eastAsia" w:ascii="宋体" w:hAnsi="宋体" w:eastAsia="宋体" w:cs="宋体"/>
                <w:color w:val="auto"/>
                <w:sz w:val="21"/>
                <w:szCs w:val="21"/>
                <w:highlight w:val="none"/>
                <w:lang w:val="en-US" w:eastAsia="zh-CN"/>
              </w:rPr>
              <w:t>的得1</w:t>
            </w:r>
            <w:r>
              <w:rPr>
                <w:rFonts w:hint="eastAsia" w:ascii="宋体" w:hAnsi="宋体" w:eastAsia="宋体" w:cs="宋体"/>
                <w:color w:val="auto"/>
                <w:sz w:val="21"/>
                <w:szCs w:val="21"/>
                <w:highlight w:val="none"/>
              </w:rPr>
              <w:t>分；</w:t>
            </w:r>
          </w:p>
          <w:p w14:paraId="2AEFC4F4">
            <w:pPr>
              <w:pStyle w:val="33"/>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Times New Roman"/>
                <w:kern w:val="0"/>
                <w:szCs w:val="21"/>
                <w:lang w:eastAsia="zh-CN"/>
              </w:rPr>
            </w:pPr>
            <w:r>
              <w:rPr>
                <w:rFonts w:hint="eastAsia" w:ascii="宋体" w:hAnsi="宋体" w:eastAsia="宋体" w:cs="宋体"/>
                <w:color w:val="auto"/>
                <w:sz w:val="21"/>
                <w:szCs w:val="21"/>
                <w:highlight w:val="none"/>
              </w:rPr>
              <w:t>质量保证与服务承诺没有</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c>
          <w:tcPr>
            <w:tcW w:w="736" w:type="dxa"/>
            <w:tcBorders>
              <w:top w:val="single" w:color="auto" w:sz="4" w:space="0"/>
              <w:left w:val="single" w:color="auto" w:sz="4" w:space="0"/>
              <w:right w:val="single" w:color="auto" w:sz="4" w:space="0"/>
            </w:tcBorders>
            <w:noWrap/>
            <w:vAlign w:val="center"/>
          </w:tcPr>
          <w:p w14:paraId="58CACF11">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48C7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1"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1BAAA3F5">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FD80">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Times New Roman"/>
                <w:kern w:val="0"/>
                <w:szCs w:val="21"/>
              </w:rPr>
            </w:pPr>
            <w:r>
              <w:rPr>
                <w:rFonts w:hint="eastAsia" w:ascii="宋体" w:hAnsi="宋体" w:cs="宋体"/>
                <w:szCs w:val="21"/>
                <w:lang w:val="en-US" w:eastAsia="zh-CN"/>
              </w:rPr>
              <w:t>日常</w:t>
            </w:r>
            <w:r>
              <w:rPr>
                <w:rFonts w:hint="eastAsia" w:ascii="宋体" w:hAnsi="宋体" w:eastAsia="宋体" w:cs="宋体"/>
                <w:szCs w:val="21"/>
              </w:rPr>
              <w:t>考核标准（4分）</w:t>
            </w:r>
          </w:p>
        </w:tc>
        <w:tc>
          <w:tcPr>
            <w:tcW w:w="6641" w:type="dxa"/>
            <w:tcBorders>
              <w:top w:val="single" w:color="auto" w:sz="4" w:space="0"/>
              <w:left w:val="single" w:color="auto" w:sz="4" w:space="0"/>
              <w:right w:val="single" w:color="auto" w:sz="4" w:space="0"/>
            </w:tcBorders>
            <w:shd w:val="clear" w:color="auto" w:fill="FFFFFF"/>
            <w:noWrap/>
            <w:vAlign w:val="center"/>
          </w:tcPr>
          <w:p w14:paraId="64B03639">
            <w:pPr>
              <w:keepNext w:val="0"/>
              <w:keepLines w:val="0"/>
              <w:pageBreakBefore w:val="0"/>
              <w:widowControl w:val="0"/>
              <w:kinsoku/>
              <w:wordWrap/>
              <w:overflowPunct/>
              <w:topLinePunct w:val="0"/>
              <w:autoSpaceDE/>
              <w:autoSpaceDN/>
              <w:bidi w:val="0"/>
              <w:spacing w:after="120" w:line="360" w:lineRule="auto"/>
              <w:textAlignment w:val="auto"/>
              <w:rPr>
                <w:rFonts w:hint="eastAsia" w:ascii="宋体" w:hAnsi="宋体" w:eastAsia="宋体" w:cs="Times New Roman"/>
                <w:b/>
                <w:bCs/>
                <w:kern w:val="0"/>
              </w:rPr>
            </w:pPr>
            <w:r>
              <w:rPr>
                <w:rFonts w:hint="eastAsia" w:ascii="宋体" w:hAnsi="宋体" w:eastAsia="宋体" w:cs="Times New Roman"/>
                <w:b/>
                <w:bCs/>
                <w:kern w:val="0"/>
              </w:rPr>
              <w:t>投标人针对本项目人员的到位情况，安全情况，项目实施情况等制定的日常考核标准</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eastAsia="宋体" w:cs="Times New Roman"/>
                <w:b/>
                <w:bCs/>
                <w:kern w:val="0"/>
              </w:rPr>
              <w:t>：</w:t>
            </w:r>
          </w:p>
          <w:p w14:paraId="688D4FBF">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ascii="宋体" w:hAnsi="宋体" w:cs="Times New Roman"/>
                <w:kern w:val="0"/>
                <w:lang w:eastAsia="zh-CN"/>
              </w:rPr>
            </w:pPr>
            <w:r>
              <w:rPr>
                <w:rFonts w:hint="eastAsia" w:ascii="宋体" w:hAnsi="宋体" w:cs="Times New Roman"/>
                <w:kern w:val="0"/>
                <w:lang w:val="en-US" w:eastAsia="zh-CN"/>
              </w:rPr>
              <w:t>1、</w:t>
            </w:r>
            <w:r>
              <w:rPr>
                <w:rFonts w:hint="eastAsia" w:ascii="宋体" w:hAnsi="宋体" w:eastAsia="宋体" w:cs="Times New Roman"/>
                <w:kern w:val="0"/>
              </w:rPr>
              <w:t>考核标准明确、全面、完整</w:t>
            </w:r>
            <w:r>
              <w:rPr>
                <w:rFonts w:hint="eastAsia" w:ascii="宋体" w:hAnsi="宋体" w:cs="Times New Roman"/>
                <w:kern w:val="0"/>
                <w:lang w:val="en-US" w:eastAsia="zh-CN"/>
              </w:rPr>
              <w:t>的得</w:t>
            </w:r>
            <w:r>
              <w:rPr>
                <w:rFonts w:ascii="宋体" w:hAnsi="宋体" w:eastAsia="宋体" w:cs="Times New Roman"/>
                <w:kern w:val="0"/>
              </w:rPr>
              <w:t>4</w:t>
            </w:r>
            <w:r>
              <w:rPr>
                <w:rFonts w:hint="eastAsia" w:ascii="宋体" w:hAnsi="宋体" w:eastAsia="宋体" w:cs="Times New Roman"/>
                <w:kern w:val="0"/>
              </w:rPr>
              <w:t>分</w:t>
            </w:r>
            <w:r>
              <w:rPr>
                <w:rFonts w:hint="eastAsia" w:ascii="宋体" w:hAnsi="宋体" w:cs="Times New Roman"/>
                <w:kern w:val="0"/>
                <w:lang w:eastAsia="zh-CN"/>
              </w:rPr>
              <w:t>；</w:t>
            </w:r>
          </w:p>
          <w:p w14:paraId="773466FA">
            <w:pPr>
              <w:keepNext w:val="0"/>
              <w:keepLines w:val="0"/>
              <w:pageBreakBefore w:val="0"/>
              <w:widowControl w:val="0"/>
              <w:numPr>
                <w:ilvl w:val="0"/>
                <w:numId w:val="0"/>
              </w:numPr>
              <w:kinsoku/>
              <w:wordWrap/>
              <w:overflowPunct/>
              <w:topLinePunct w:val="0"/>
              <w:autoSpaceDE/>
              <w:autoSpaceDN/>
              <w:bidi w:val="0"/>
              <w:spacing w:after="120" w:line="360" w:lineRule="auto"/>
              <w:ind w:leftChars="0"/>
              <w:textAlignment w:val="auto"/>
              <w:rPr>
                <w:rFonts w:hint="eastAsia" w:ascii="宋体" w:hAnsi="宋体" w:cs="Times New Roman"/>
                <w:kern w:val="0"/>
                <w:lang w:eastAsia="zh-CN"/>
              </w:rPr>
            </w:pPr>
            <w:r>
              <w:rPr>
                <w:rFonts w:hint="eastAsia" w:ascii="宋体" w:hAnsi="宋体" w:cs="Times New Roman"/>
                <w:kern w:val="0"/>
                <w:lang w:val="en-US" w:eastAsia="zh-CN"/>
              </w:rPr>
              <w:t>2、</w:t>
            </w:r>
            <w:r>
              <w:rPr>
                <w:rFonts w:hint="eastAsia" w:ascii="宋体" w:hAnsi="宋体" w:eastAsia="宋体" w:cs="Times New Roman"/>
                <w:kern w:val="0"/>
              </w:rPr>
              <w:t>考核标准较全</w:t>
            </w:r>
            <w:r>
              <w:rPr>
                <w:rFonts w:hint="eastAsia" w:ascii="宋体" w:hAnsi="宋体" w:cs="Times New Roman"/>
                <w:kern w:val="0"/>
                <w:lang w:val="en-US" w:eastAsia="zh-CN"/>
              </w:rPr>
              <w:t>面</w:t>
            </w:r>
            <w:r>
              <w:rPr>
                <w:rFonts w:hint="eastAsia" w:ascii="宋体" w:hAnsi="宋体" w:eastAsia="宋体" w:cs="Times New Roman"/>
                <w:kern w:val="0"/>
              </w:rPr>
              <w:t>、合理</w:t>
            </w:r>
            <w:r>
              <w:rPr>
                <w:rFonts w:hint="eastAsia" w:ascii="宋体" w:hAnsi="宋体" w:cs="Times New Roman"/>
                <w:kern w:val="0"/>
                <w:lang w:val="en-US" w:eastAsia="zh-CN"/>
              </w:rPr>
              <w:t>的得</w:t>
            </w:r>
            <w:r>
              <w:rPr>
                <w:rFonts w:ascii="宋体" w:hAnsi="宋体" w:eastAsia="宋体" w:cs="Times New Roman"/>
                <w:kern w:val="0"/>
              </w:rPr>
              <w:t>2</w:t>
            </w:r>
            <w:r>
              <w:rPr>
                <w:rFonts w:hint="eastAsia" w:ascii="宋体" w:hAnsi="宋体" w:eastAsia="宋体" w:cs="Times New Roman"/>
                <w:kern w:val="0"/>
              </w:rPr>
              <w:t>分</w:t>
            </w:r>
            <w:r>
              <w:rPr>
                <w:rFonts w:hint="eastAsia" w:ascii="宋体" w:hAnsi="宋体" w:cs="Times New Roman"/>
                <w:kern w:val="0"/>
                <w:lang w:eastAsia="zh-CN"/>
              </w:rPr>
              <w:t>；</w:t>
            </w:r>
          </w:p>
          <w:p w14:paraId="53F79635">
            <w:pPr>
              <w:keepNext w:val="0"/>
              <w:keepLines w:val="0"/>
              <w:pageBreakBefore w:val="0"/>
              <w:widowControl w:val="0"/>
              <w:numPr>
                <w:ilvl w:val="0"/>
                <w:numId w:val="0"/>
              </w:numPr>
              <w:kinsoku/>
              <w:wordWrap/>
              <w:overflowPunct/>
              <w:topLinePunct w:val="0"/>
              <w:autoSpaceDE/>
              <w:autoSpaceDN/>
              <w:bidi w:val="0"/>
              <w:spacing w:after="120" w:line="360" w:lineRule="auto"/>
              <w:ind w:leftChars="0"/>
              <w:textAlignment w:val="auto"/>
              <w:rPr>
                <w:rFonts w:hint="eastAsia" w:ascii="宋体" w:hAnsi="宋体" w:cs="Times New Roman"/>
                <w:kern w:val="0"/>
                <w:lang w:eastAsia="zh-CN"/>
              </w:rPr>
            </w:pPr>
            <w:r>
              <w:rPr>
                <w:rFonts w:hint="eastAsia" w:ascii="宋体" w:hAnsi="宋体" w:cs="Times New Roman"/>
                <w:kern w:val="0"/>
                <w:lang w:val="en-US" w:eastAsia="zh-CN"/>
              </w:rPr>
              <w:t>3、</w:t>
            </w:r>
            <w:r>
              <w:rPr>
                <w:rFonts w:hint="eastAsia" w:ascii="宋体" w:hAnsi="宋体" w:eastAsia="宋体" w:cs="Times New Roman"/>
                <w:kern w:val="0"/>
              </w:rPr>
              <w:t>考核标准</w:t>
            </w:r>
            <w:r>
              <w:rPr>
                <w:rFonts w:hint="eastAsia" w:ascii="宋体" w:hAnsi="宋体" w:cs="Times New Roman"/>
                <w:kern w:val="0"/>
                <w:lang w:val="en-US" w:eastAsia="zh-CN"/>
              </w:rPr>
              <w:t>一般</w:t>
            </w:r>
            <w:r>
              <w:rPr>
                <w:rFonts w:hint="eastAsia" w:ascii="宋体" w:hAnsi="宋体" w:eastAsia="宋体" w:cs="Times New Roman"/>
                <w:kern w:val="0"/>
              </w:rPr>
              <w:t>合理</w:t>
            </w:r>
            <w:r>
              <w:rPr>
                <w:rFonts w:hint="eastAsia" w:ascii="宋体" w:hAnsi="宋体" w:cs="Times New Roman"/>
                <w:kern w:val="0"/>
                <w:lang w:val="en-US" w:eastAsia="zh-CN"/>
              </w:rPr>
              <w:t>的得1</w:t>
            </w:r>
            <w:r>
              <w:rPr>
                <w:rFonts w:hint="eastAsia" w:ascii="宋体" w:hAnsi="宋体" w:eastAsia="宋体" w:cs="Times New Roman"/>
                <w:kern w:val="0"/>
              </w:rPr>
              <w:t>分</w:t>
            </w:r>
            <w:r>
              <w:rPr>
                <w:rFonts w:hint="eastAsia" w:ascii="宋体" w:hAnsi="宋体" w:cs="Times New Roman"/>
                <w:kern w:val="0"/>
                <w:lang w:eastAsia="zh-CN"/>
              </w:rPr>
              <w:t>；</w:t>
            </w:r>
          </w:p>
          <w:p w14:paraId="003360BC">
            <w:pPr>
              <w:keepNext w:val="0"/>
              <w:keepLines w:val="0"/>
              <w:pageBreakBefore w:val="0"/>
              <w:widowControl w:val="0"/>
              <w:numPr>
                <w:ilvl w:val="0"/>
                <w:numId w:val="0"/>
              </w:numPr>
              <w:kinsoku/>
              <w:wordWrap/>
              <w:overflowPunct/>
              <w:topLinePunct w:val="0"/>
              <w:autoSpaceDE/>
              <w:autoSpaceDN/>
              <w:bidi w:val="0"/>
              <w:spacing w:after="120" w:line="360" w:lineRule="auto"/>
              <w:ind w:leftChars="0"/>
              <w:textAlignment w:val="auto"/>
              <w:rPr>
                <w:rFonts w:ascii="宋体" w:hAnsi="宋体" w:eastAsia="宋体" w:cs="Times New Roman"/>
                <w:kern w:val="0"/>
              </w:rPr>
            </w:pPr>
            <w:r>
              <w:rPr>
                <w:rFonts w:hint="eastAsia" w:ascii="宋体" w:hAnsi="宋体" w:cs="Times New Roman"/>
                <w:kern w:val="0"/>
                <w:lang w:val="en-US" w:eastAsia="zh-CN"/>
              </w:rPr>
              <w:t>4、考核标准</w:t>
            </w:r>
            <w:r>
              <w:rPr>
                <w:rFonts w:hint="eastAsia" w:ascii="宋体" w:hAnsi="宋体" w:eastAsia="宋体" w:cs="Times New Roman"/>
                <w:kern w:val="0"/>
              </w:rPr>
              <w:t>没有</w:t>
            </w:r>
            <w:r>
              <w:rPr>
                <w:rFonts w:hint="eastAsia" w:ascii="宋体" w:hAnsi="宋体" w:cs="Times New Roman"/>
                <w:kern w:val="0"/>
                <w:lang w:val="en-US" w:eastAsia="zh-CN"/>
              </w:rPr>
              <w:t>的</w:t>
            </w:r>
            <w:r>
              <w:rPr>
                <w:rFonts w:hint="eastAsia" w:ascii="宋体" w:hAnsi="宋体" w:eastAsia="宋体" w:cs="Times New Roman"/>
                <w:kern w:val="0"/>
              </w:rPr>
              <w:t>不得分。</w:t>
            </w:r>
          </w:p>
        </w:tc>
        <w:tc>
          <w:tcPr>
            <w:tcW w:w="736" w:type="dxa"/>
            <w:tcBorders>
              <w:top w:val="single" w:color="auto" w:sz="4" w:space="0"/>
              <w:left w:val="single" w:color="auto" w:sz="4" w:space="0"/>
              <w:right w:val="single" w:color="auto" w:sz="4" w:space="0"/>
            </w:tcBorders>
            <w:noWrap/>
            <w:vAlign w:val="center"/>
          </w:tcPr>
          <w:p w14:paraId="44199DFE">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3A39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53AB89C9">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E9025">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Times New Roman"/>
                <w:kern w:val="0"/>
              </w:rPr>
            </w:pPr>
            <w:r>
              <w:rPr>
                <w:rFonts w:hint="eastAsia" w:ascii="宋体" w:hAnsi="宋体" w:eastAsia="宋体" w:cs="宋体"/>
              </w:rPr>
              <w:t>安全、文明作业措施（</w:t>
            </w:r>
            <w:r>
              <w:rPr>
                <w:rFonts w:hint="eastAsia" w:ascii="宋体" w:hAnsi="宋体" w:cs="宋体"/>
                <w:lang w:val="en-US" w:eastAsia="zh-CN"/>
              </w:rPr>
              <w:t>4</w:t>
            </w:r>
            <w:r>
              <w:rPr>
                <w:rFonts w:hint="eastAsia" w:ascii="宋体" w:hAnsi="宋体" w:eastAsia="宋体" w:cs="宋体"/>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6C4F8E92">
            <w:pPr>
              <w:keepNext w:val="0"/>
              <w:keepLines w:val="0"/>
              <w:pageBreakBefore w:val="0"/>
              <w:widowControl w:val="0"/>
              <w:kinsoku/>
              <w:wordWrap/>
              <w:overflowPunct/>
              <w:topLinePunct w:val="0"/>
              <w:autoSpaceDE/>
              <w:autoSpaceDN/>
              <w:bidi w:val="0"/>
              <w:spacing w:after="120" w:line="360" w:lineRule="auto"/>
              <w:textAlignment w:val="auto"/>
              <w:rPr>
                <w:rFonts w:ascii="宋体" w:hAnsi="宋体" w:eastAsia="宋体" w:cs="Times New Roman"/>
                <w:b/>
                <w:bCs/>
                <w:kern w:val="0"/>
              </w:rPr>
            </w:pPr>
            <w:r>
              <w:rPr>
                <w:rFonts w:hint="eastAsia" w:ascii="宋体" w:hAnsi="宋体" w:eastAsia="宋体" w:cs="Times New Roman"/>
                <w:b/>
                <w:bCs/>
                <w:kern w:val="0"/>
              </w:rPr>
              <w:t>投标人针对本项目的文明和安全相关的具体措施</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eastAsia="宋体" w:cs="Times New Roman"/>
                <w:b/>
                <w:bCs/>
                <w:kern w:val="0"/>
              </w:rPr>
              <w:t>：</w:t>
            </w:r>
          </w:p>
          <w:p w14:paraId="269ABE04">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1、</w:t>
            </w:r>
            <w:r>
              <w:rPr>
                <w:rFonts w:hint="eastAsia" w:ascii="宋体" w:hAnsi="宋体" w:eastAsia="宋体" w:cs="Times New Roman"/>
                <w:kern w:val="0"/>
              </w:rPr>
              <w:t>措施</w:t>
            </w:r>
            <w:r>
              <w:rPr>
                <w:rFonts w:hint="eastAsia" w:ascii="宋体" w:hAnsi="宋体" w:cs="Times New Roman"/>
                <w:kern w:val="0"/>
                <w:lang w:val="en-US" w:eastAsia="zh-CN"/>
              </w:rPr>
              <w:t>非常</w:t>
            </w:r>
            <w:r>
              <w:rPr>
                <w:rFonts w:hint="eastAsia" w:ascii="宋体" w:hAnsi="宋体" w:eastAsia="宋体" w:cs="Times New Roman"/>
                <w:kern w:val="0"/>
              </w:rPr>
              <w:t>完整全面</w:t>
            </w:r>
            <w:r>
              <w:rPr>
                <w:rFonts w:hint="eastAsia" w:ascii="宋体" w:hAnsi="宋体" w:cs="Times New Roman"/>
                <w:kern w:val="0"/>
                <w:lang w:val="en-US" w:eastAsia="zh-CN"/>
              </w:rPr>
              <w:t>的</w:t>
            </w:r>
            <w:r>
              <w:rPr>
                <w:rFonts w:hint="eastAsia" w:ascii="宋体" w:hAnsi="宋体" w:eastAsia="宋体" w:cs="Times New Roman"/>
                <w:kern w:val="0"/>
              </w:rPr>
              <w:t>，</w:t>
            </w:r>
            <w:r>
              <w:rPr>
                <w:rFonts w:hint="eastAsia" w:ascii="宋体" w:hAnsi="宋体" w:cs="Times New Roman"/>
                <w:kern w:val="0"/>
                <w:lang w:val="en-US" w:eastAsia="zh-CN"/>
              </w:rPr>
              <w:t>非常</w:t>
            </w:r>
            <w:r>
              <w:rPr>
                <w:rFonts w:hint="eastAsia" w:ascii="宋体" w:hAnsi="宋体" w:eastAsia="宋体" w:cs="Times New Roman"/>
                <w:kern w:val="0"/>
              </w:rPr>
              <w:t>有针对性</w:t>
            </w:r>
            <w:r>
              <w:rPr>
                <w:rFonts w:hint="eastAsia" w:ascii="宋体" w:hAnsi="宋体" w:cs="Times New Roman"/>
                <w:kern w:val="0"/>
                <w:lang w:val="en-US" w:eastAsia="zh-CN"/>
              </w:rPr>
              <w:t>的得4</w:t>
            </w:r>
            <w:r>
              <w:rPr>
                <w:rFonts w:ascii="宋体" w:hAnsi="宋体" w:eastAsia="宋体" w:cs="Times New Roman"/>
                <w:kern w:val="0"/>
              </w:rPr>
              <w:t>分</w:t>
            </w:r>
            <w:r>
              <w:rPr>
                <w:rFonts w:hint="eastAsia" w:ascii="宋体" w:hAnsi="宋体" w:cs="Times New Roman"/>
                <w:kern w:val="0"/>
                <w:lang w:eastAsia="zh-CN"/>
              </w:rPr>
              <w:t>；</w:t>
            </w:r>
          </w:p>
          <w:p w14:paraId="48794AF6">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2、</w:t>
            </w:r>
            <w:r>
              <w:rPr>
                <w:rFonts w:ascii="宋体" w:hAnsi="宋体" w:eastAsia="宋体" w:cs="Times New Roman"/>
                <w:kern w:val="0"/>
              </w:rPr>
              <w:t>措施较完整，有一定的针对性：</w:t>
            </w:r>
            <w:r>
              <w:rPr>
                <w:rFonts w:hint="eastAsia" w:ascii="宋体" w:hAnsi="宋体" w:cs="Times New Roman"/>
                <w:kern w:val="0"/>
                <w:lang w:val="en-US" w:eastAsia="zh-CN"/>
              </w:rPr>
              <w:t>2</w:t>
            </w:r>
            <w:r>
              <w:rPr>
                <w:rFonts w:ascii="宋体" w:hAnsi="宋体" w:eastAsia="宋体" w:cs="Times New Roman"/>
                <w:kern w:val="0"/>
              </w:rPr>
              <w:t>分</w:t>
            </w:r>
            <w:r>
              <w:rPr>
                <w:rFonts w:hint="eastAsia" w:ascii="宋体" w:hAnsi="宋体" w:cs="Times New Roman"/>
                <w:kern w:val="0"/>
                <w:lang w:eastAsia="zh-CN"/>
              </w:rPr>
              <w:t>；</w:t>
            </w:r>
          </w:p>
          <w:p w14:paraId="567524BE">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3、</w:t>
            </w:r>
            <w:r>
              <w:rPr>
                <w:rFonts w:ascii="宋体" w:hAnsi="宋体" w:eastAsia="宋体" w:cs="Times New Roman"/>
                <w:kern w:val="0"/>
              </w:rPr>
              <w:t>措施针对性</w:t>
            </w:r>
            <w:r>
              <w:rPr>
                <w:rFonts w:hint="eastAsia" w:ascii="宋体" w:hAnsi="宋体" w:cs="Times New Roman"/>
                <w:kern w:val="0"/>
                <w:lang w:val="en-US" w:eastAsia="zh-CN"/>
              </w:rPr>
              <w:t>一般1</w:t>
            </w:r>
            <w:r>
              <w:rPr>
                <w:rFonts w:ascii="宋体" w:hAnsi="宋体" w:eastAsia="宋体" w:cs="Times New Roman"/>
                <w:kern w:val="0"/>
              </w:rPr>
              <w:t>分</w:t>
            </w:r>
            <w:r>
              <w:rPr>
                <w:rFonts w:hint="eastAsia" w:ascii="宋体" w:hAnsi="宋体" w:cs="Times New Roman"/>
                <w:kern w:val="0"/>
                <w:lang w:eastAsia="zh-CN"/>
              </w:rPr>
              <w:t>；</w:t>
            </w:r>
          </w:p>
          <w:p w14:paraId="04C50B11">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4、措施</w:t>
            </w:r>
            <w:r>
              <w:rPr>
                <w:rFonts w:ascii="宋体" w:hAnsi="宋体" w:eastAsia="宋体" w:cs="Times New Roman"/>
                <w:kern w:val="0"/>
              </w:rPr>
              <w:t>没有</w:t>
            </w:r>
            <w:r>
              <w:rPr>
                <w:rFonts w:hint="eastAsia" w:ascii="宋体" w:hAnsi="宋体" w:cs="Times New Roman"/>
                <w:kern w:val="0"/>
                <w:lang w:val="en-US" w:eastAsia="zh-CN"/>
              </w:rPr>
              <w:t>的</w:t>
            </w:r>
            <w:r>
              <w:rPr>
                <w:rFonts w:ascii="宋体" w:hAnsi="宋体" w:eastAsia="宋体" w:cs="Times New Roman"/>
                <w:kern w:val="0"/>
              </w:rPr>
              <w:t>不得分。</w:t>
            </w:r>
          </w:p>
        </w:tc>
        <w:tc>
          <w:tcPr>
            <w:tcW w:w="736" w:type="dxa"/>
            <w:tcBorders>
              <w:top w:val="single" w:color="auto" w:sz="4" w:space="0"/>
              <w:left w:val="single" w:color="auto" w:sz="4" w:space="0"/>
              <w:right w:val="single" w:color="auto" w:sz="4" w:space="0"/>
            </w:tcBorders>
            <w:noWrap/>
            <w:vAlign w:val="center"/>
          </w:tcPr>
          <w:p w14:paraId="21C7C52F">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6B9F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0E51951D">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1A89D">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Times New Roman"/>
                <w:kern w:val="0"/>
              </w:rPr>
            </w:pPr>
            <w:r>
              <w:rPr>
                <w:rFonts w:hint="eastAsia" w:ascii="宋体" w:hAnsi="宋体" w:eastAsia="宋体" w:cs="宋体"/>
              </w:rPr>
              <w:t>培训方案（4分）</w:t>
            </w:r>
          </w:p>
        </w:tc>
        <w:tc>
          <w:tcPr>
            <w:tcW w:w="6641" w:type="dxa"/>
            <w:tcBorders>
              <w:top w:val="single" w:color="auto" w:sz="4" w:space="0"/>
              <w:left w:val="single" w:color="auto" w:sz="4" w:space="0"/>
              <w:right w:val="single" w:color="auto" w:sz="4" w:space="0"/>
            </w:tcBorders>
            <w:shd w:val="clear" w:color="auto" w:fill="FFFFFF"/>
            <w:noWrap/>
            <w:vAlign w:val="center"/>
          </w:tcPr>
          <w:p w14:paraId="7AEB7738">
            <w:pPr>
              <w:keepNext w:val="0"/>
              <w:keepLines w:val="0"/>
              <w:pageBreakBefore w:val="0"/>
              <w:widowControl w:val="0"/>
              <w:kinsoku/>
              <w:wordWrap/>
              <w:overflowPunct/>
              <w:topLinePunct w:val="0"/>
              <w:autoSpaceDE/>
              <w:autoSpaceDN/>
              <w:bidi w:val="0"/>
              <w:spacing w:after="120" w:line="360" w:lineRule="auto"/>
              <w:textAlignment w:val="auto"/>
              <w:rPr>
                <w:rFonts w:hint="eastAsia" w:ascii="宋体" w:hAnsi="宋体" w:eastAsia="宋体" w:cs="Times New Roman"/>
                <w:b/>
                <w:bCs/>
                <w:kern w:val="0"/>
              </w:rPr>
            </w:pPr>
            <w:r>
              <w:rPr>
                <w:rFonts w:hint="eastAsia" w:ascii="宋体" w:hAnsi="宋体" w:eastAsia="宋体" w:cs="Times New Roman"/>
                <w:b/>
                <w:bCs/>
                <w:kern w:val="0"/>
              </w:rPr>
              <w:t>投标人提供的不同人员的培训管理方案完善情况</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eastAsia="宋体" w:cs="Times New Roman"/>
                <w:b/>
                <w:bCs/>
                <w:kern w:val="0"/>
              </w:rPr>
              <w:t>：</w:t>
            </w:r>
          </w:p>
          <w:p w14:paraId="05FC2C65">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1、</w:t>
            </w:r>
            <w:r>
              <w:rPr>
                <w:rFonts w:hint="eastAsia" w:ascii="宋体" w:hAnsi="宋体" w:eastAsia="宋体" w:cs="Times New Roman"/>
                <w:kern w:val="0"/>
              </w:rPr>
              <w:t>方案完整全面，有针对性</w:t>
            </w:r>
            <w:r>
              <w:rPr>
                <w:rFonts w:hint="eastAsia" w:ascii="宋体" w:hAnsi="宋体" w:cs="Times New Roman"/>
                <w:kern w:val="0"/>
                <w:lang w:val="en-US" w:eastAsia="zh-CN"/>
              </w:rPr>
              <w:t>的得</w:t>
            </w:r>
            <w:r>
              <w:rPr>
                <w:rFonts w:ascii="宋体" w:hAnsi="宋体" w:eastAsia="宋体" w:cs="Times New Roman"/>
                <w:kern w:val="0"/>
              </w:rPr>
              <w:t>4分</w:t>
            </w:r>
            <w:r>
              <w:rPr>
                <w:rFonts w:hint="eastAsia" w:ascii="宋体" w:hAnsi="宋体" w:cs="Times New Roman"/>
                <w:kern w:val="0"/>
                <w:lang w:eastAsia="zh-CN"/>
              </w:rPr>
              <w:t>；</w:t>
            </w:r>
          </w:p>
          <w:p w14:paraId="74A5BD98">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pPr>
            <w:r>
              <w:rPr>
                <w:rFonts w:hint="eastAsia" w:ascii="宋体" w:hAnsi="宋体" w:cs="Times New Roman"/>
                <w:kern w:val="0"/>
                <w:lang w:val="en-US" w:eastAsia="zh-CN"/>
              </w:rPr>
              <w:t>2、</w:t>
            </w:r>
            <w:r>
              <w:rPr>
                <w:rFonts w:ascii="宋体" w:hAnsi="宋体" w:eastAsia="宋体" w:cs="Times New Roman"/>
                <w:kern w:val="0"/>
              </w:rPr>
              <w:t>方案较完整，有一定的针对性</w:t>
            </w:r>
            <w:r>
              <w:rPr>
                <w:rFonts w:hint="eastAsia" w:ascii="宋体" w:hAnsi="宋体" w:cs="Times New Roman"/>
                <w:kern w:val="0"/>
                <w:lang w:val="en-US" w:eastAsia="zh-CN"/>
              </w:rPr>
              <w:t>得得</w:t>
            </w:r>
            <w:r>
              <w:rPr>
                <w:rFonts w:ascii="宋体" w:hAnsi="宋体" w:eastAsia="宋体" w:cs="Times New Roman"/>
                <w:kern w:val="0"/>
              </w:rPr>
              <w:t>2分</w:t>
            </w:r>
            <w:r>
              <w:rPr>
                <w:rFonts w:hint="eastAsia" w:ascii="宋体" w:hAnsi="宋体" w:cs="Times New Roman"/>
                <w:kern w:val="0"/>
                <w:lang w:eastAsia="zh-CN"/>
              </w:rPr>
              <w:t>；</w:t>
            </w:r>
          </w:p>
          <w:p w14:paraId="4B3247E8">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pPr>
            <w:r>
              <w:rPr>
                <w:rFonts w:hint="eastAsia" w:ascii="宋体" w:hAnsi="宋体" w:cs="Times New Roman"/>
                <w:kern w:val="0"/>
                <w:lang w:val="en-US" w:eastAsia="zh-CN"/>
              </w:rPr>
              <w:t>3、</w:t>
            </w:r>
            <w:r>
              <w:rPr>
                <w:rFonts w:ascii="宋体" w:hAnsi="宋体" w:eastAsia="宋体" w:cs="Times New Roman"/>
                <w:kern w:val="0"/>
              </w:rPr>
              <w:t>方案</w:t>
            </w:r>
            <w:r>
              <w:rPr>
                <w:rFonts w:hint="eastAsia" w:ascii="宋体" w:hAnsi="宋体" w:cs="Times New Roman"/>
                <w:kern w:val="0"/>
                <w:lang w:val="en-US" w:eastAsia="zh-CN"/>
              </w:rPr>
              <w:t>一般</w:t>
            </w:r>
            <w:r>
              <w:rPr>
                <w:rFonts w:ascii="宋体" w:hAnsi="宋体" w:eastAsia="宋体" w:cs="Times New Roman"/>
                <w:kern w:val="0"/>
              </w:rPr>
              <w:t>完整</w:t>
            </w:r>
            <w:r>
              <w:rPr>
                <w:rFonts w:hint="eastAsia" w:ascii="宋体" w:hAnsi="宋体" w:cs="Times New Roman"/>
                <w:kern w:val="0"/>
                <w:lang w:val="en-US" w:eastAsia="zh-CN"/>
              </w:rPr>
              <w:t>的得1分；</w:t>
            </w:r>
          </w:p>
          <w:p w14:paraId="4B45AFD9">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kern w:val="0"/>
              </w:rPr>
            </w:pPr>
            <w:r>
              <w:rPr>
                <w:rFonts w:hint="eastAsia" w:ascii="宋体" w:hAnsi="宋体" w:cs="Times New Roman"/>
                <w:kern w:val="0"/>
                <w:lang w:val="en-US" w:eastAsia="zh-CN"/>
              </w:rPr>
              <w:t>4、方案</w:t>
            </w:r>
            <w:r>
              <w:rPr>
                <w:rFonts w:ascii="宋体" w:hAnsi="宋体" w:eastAsia="宋体" w:cs="Times New Roman"/>
                <w:kern w:val="0"/>
              </w:rPr>
              <w:t>没有</w:t>
            </w:r>
            <w:r>
              <w:rPr>
                <w:rFonts w:hint="eastAsia" w:ascii="宋体" w:hAnsi="宋体" w:cs="Times New Roman"/>
                <w:kern w:val="0"/>
                <w:lang w:val="en-US" w:eastAsia="zh-CN"/>
              </w:rPr>
              <w:t>的</w:t>
            </w:r>
            <w:r>
              <w:rPr>
                <w:rFonts w:ascii="宋体" w:hAnsi="宋体" w:eastAsia="宋体" w:cs="Times New Roman"/>
                <w:kern w:val="0"/>
              </w:rPr>
              <w:t>不得分。</w:t>
            </w:r>
          </w:p>
        </w:tc>
        <w:tc>
          <w:tcPr>
            <w:tcW w:w="736" w:type="dxa"/>
            <w:tcBorders>
              <w:top w:val="single" w:color="auto" w:sz="4" w:space="0"/>
              <w:left w:val="single" w:color="auto" w:sz="4" w:space="0"/>
              <w:right w:val="single" w:color="auto" w:sz="4" w:space="0"/>
            </w:tcBorders>
            <w:noWrap/>
            <w:vAlign w:val="center"/>
          </w:tcPr>
          <w:p w14:paraId="736C064E">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328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088D31DC">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5F684">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r>
              <w:rPr>
                <w:rFonts w:hint="eastAsia" w:ascii="宋体" w:hAnsi="宋体" w:eastAsia="宋体"/>
              </w:rPr>
              <w:t>档案管理（</w:t>
            </w:r>
            <w:r>
              <w:rPr>
                <w:rFonts w:hint="eastAsia" w:ascii="宋体" w:hAnsi="宋体"/>
                <w:lang w:val="en-US" w:eastAsia="zh-CN"/>
              </w:rPr>
              <w:t>3</w:t>
            </w:r>
            <w:r>
              <w:rPr>
                <w:rFonts w:hint="eastAsia" w:ascii="宋体" w:hAnsi="宋体" w:eastAsia="宋体"/>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6553296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eastAsia="宋体" w:cs="Times New Roman"/>
                <w:b/>
                <w:bCs/>
                <w:szCs w:val="21"/>
              </w:rPr>
              <w:t>投标人提供的人员、工作档案建立与保存措施</w:t>
            </w:r>
            <w:r>
              <w:rPr>
                <w:rFonts w:ascii="宋体" w:hAnsi="宋体" w:eastAsia="宋体" w:cs="Times New Roman"/>
                <w:b/>
                <w:bCs/>
                <w:szCs w:val="21"/>
              </w:rPr>
              <w:t>（</w:t>
            </w:r>
            <w:r>
              <w:rPr>
                <w:rFonts w:hint="eastAsia" w:ascii="宋体" w:hAnsi="宋体" w:cs="Times New Roman"/>
                <w:b/>
                <w:bCs/>
                <w:szCs w:val="21"/>
                <w:lang w:val="en-US" w:eastAsia="zh-CN"/>
              </w:rPr>
              <w:t>3</w:t>
            </w:r>
            <w:r>
              <w:rPr>
                <w:rFonts w:ascii="宋体" w:hAnsi="宋体" w:eastAsia="宋体" w:cs="Times New Roman"/>
                <w:b/>
                <w:bCs/>
                <w:szCs w:val="21"/>
              </w:rPr>
              <w:t>分）</w:t>
            </w:r>
            <w:r>
              <w:rPr>
                <w:rFonts w:hint="eastAsia" w:ascii="宋体" w:hAnsi="宋体" w:eastAsia="宋体" w:cs="Times New Roman"/>
                <w:b/>
                <w:bCs/>
                <w:szCs w:val="21"/>
              </w:rPr>
              <w:t>：</w:t>
            </w:r>
          </w:p>
          <w:p w14:paraId="10834391">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ascii="宋体" w:hAnsi="宋体" w:eastAsia="宋体" w:cs="Times New Roman"/>
                <w:kern w:val="0"/>
                <w:lang w:eastAsia="zh-CN"/>
              </w:rPr>
            </w:pPr>
            <w:r>
              <w:rPr>
                <w:rFonts w:hint="eastAsia" w:ascii="宋体" w:hAnsi="宋体" w:cs="Times New Roman"/>
                <w:kern w:val="0"/>
                <w:lang w:val="en-US" w:eastAsia="zh-CN"/>
              </w:rPr>
              <w:t>1、</w:t>
            </w:r>
            <w:r>
              <w:rPr>
                <w:rFonts w:hint="eastAsia" w:ascii="宋体" w:hAnsi="宋体" w:eastAsia="宋体" w:cs="Times New Roman"/>
                <w:kern w:val="0"/>
              </w:rPr>
              <w:t>措施</w:t>
            </w:r>
            <w:r>
              <w:rPr>
                <w:rFonts w:hint="eastAsia" w:ascii="宋体" w:hAnsi="宋体" w:eastAsia="宋体" w:cs="Times New Roman"/>
                <w:kern w:val="0"/>
                <w:lang w:val="en-US" w:eastAsia="zh-CN"/>
              </w:rPr>
              <w:t>非常</w:t>
            </w:r>
            <w:r>
              <w:rPr>
                <w:rFonts w:hint="eastAsia" w:ascii="宋体" w:hAnsi="宋体" w:eastAsia="宋体" w:cs="Times New Roman"/>
                <w:kern w:val="0"/>
              </w:rPr>
              <w:t>完整全面</w:t>
            </w:r>
            <w:r>
              <w:rPr>
                <w:rFonts w:hint="eastAsia" w:ascii="宋体" w:hAnsi="宋体" w:eastAsia="宋体" w:cs="Times New Roman"/>
                <w:kern w:val="0"/>
                <w:lang w:val="en-US" w:eastAsia="zh-CN"/>
              </w:rPr>
              <w:t>的得</w:t>
            </w:r>
            <w:r>
              <w:rPr>
                <w:rFonts w:hint="eastAsia" w:ascii="宋体" w:hAnsi="宋体" w:cs="Times New Roman"/>
                <w:kern w:val="0"/>
                <w:lang w:val="en-US" w:eastAsia="zh-CN"/>
              </w:rPr>
              <w:t>3</w:t>
            </w:r>
            <w:r>
              <w:rPr>
                <w:rFonts w:hint="eastAsia" w:ascii="宋体" w:hAnsi="宋体" w:eastAsia="宋体" w:cs="Times New Roman"/>
                <w:kern w:val="0"/>
              </w:rPr>
              <w:t>分</w:t>
            </w:r>
            <w:r>
              <w:rPr>
                <w:rFonts w:hint="eastAsia" w:ascii="宋体" w:hAnsi="宋体" w:eastAsia="宋体" w:cs="Times New Roman"/>
                <w:kern w:val="0"/>
                <w:lang w:eastAsia="zh-CN"/>
              </w:rPr>
              <w:t>；</w:t>
            </w:r>
          </w:p>
          <w:p w14:paraId="6B51F24E">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ascii="宋体" w:hAnsi="宋体" w:eastAsia="宋体" w:cs="Times New Roman"/>
                <w:kern w:val="0"/>
              </w:rPr>
            </w:pPr>
            <w:r>
              <w:rPr>
                <w:rFonts w:hint="eastAsia" w:ascii="宋体" w:hAnsi="宋体" w:eastAsia="宋体" w:cs="Times New Roman"/>
                <w:kern w:val="0"/>
                <w:lang w:val="en-US" w:eastAsia="zh-CN"/>
              </w:rPr>
              <w:t>2</w:t>
            </w:r>
            <w:r>
              <w:rPr>
                <w:rFonts w:hint="eastAsia" w:ascii="宋体" w:hAnsi="宋体" w:cs="Times New Roman"/>
                <w:kern w:val="0"/>
                <w:lang w:val="en-US" w:eastAsia="zh-CN"/>
              </w:rPr>
              <w:t>、</w:t>
            </w:r>
            <w:r>
              <w:rPr>
                <w:rFonts w:hint="eastAsia" w:ascii="宋体" w:hAnsi="宋体" w:eastAsia="宋体" w:cs="Times New Roman"/>
                <w:kern w:val="0"/>
              </w:rPr>
              <w:t>措施</w:t>
            </w:r>
            <w:r>
              <w:rPr>
                <w:rFonts w:hint="eastAsia" w:ascii="宋体" w:hAnsi="宋体" w:eastAsia="宋体" w:cs="Times New Roman"/>
                <w:kern w:val="0"/>
                <w:lang w:val="en-US" w:eastAsia="zh-CN"/>
              </w:rPr>
              <w:t>比</w:t>
            </w:r>
            <w:r>
              <w:rPr>
                <w:rFonts w:hint="eastAsia" w:ascii="宋体" w:hAnsi="宋体" w:eastAsia="宋体" w:cs="Times New Roman"/>
                <w:kern w:val="0"/>
              </w:rPr>
              <w:t>较完整</w:t>
            </w:r>
            <w:r>
              <w:rPr>
                <w:rFonts w:hint="eastAsia" w:ascii="宋体" w:hAnsi="宋体" w:eastAsia="宋体" w:cs="Times New Roman"/>
                <w:kern w:val="0"/>
                <w:lang w:val="en-US" w:eastAsia="zh-CN"/>
              </w:rPr>
              <w:t>的得</w:t>
            </w:r>
            <w:r>
              <w:rPr>
                <w:rFonts w:hint="eastAsia" w:ascii="宋体" w:hAnsi="宋体" w:eastAsia="宋体" w:cs="Times New Roman"/>
                <w:kern w:val="0"/>
              </w:rPr>
              <w:t>2分</w:t>
            </w:r>
            <w:r>
              <w:rPr>
                <w:rFonts w:hint="eastAsia" w:ascii="宋体" w:hAnsi="宋体" w:eastAsia="宋体" w:cs="Times New Roman"/>
                <w:kern w:val="0"/>
                <w:lang w:eastAsia="zh-CN"/>
              </w:rPr>
              <w:t>；</w:t>
            </w:r>
          </w:p>
          <w:p w14:paraId="3FBA94EA">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ascii="宋体" w:hAnsi="宋体" w:eastAsia="宋体" w:cs="Times New Roman"/>
                <w:kern w:val="0"/>
              </w:rPr>
            </w:pPr>
            <w:r>
              <w:rPr>
                <w:rFonts w:hint="eastAsia" w:ascii="宋体" w:hAnsi="宋体" w:cs="Times New Roman"/>
                <w:kern w:val="0"/>
                <w:lang w:val="en-US" w:eastAsia="zh-CN"/>
              </w:rPr>
              <w:t>3、</w:t>
            </w:r>
            <w:r>
              <w:rPr>
                <w:rFonts w:hint="eastAsia" w:ascii="宋体" w:hAnsi="宋体" w:eastAsia="宋体" w:cs="Times New Roman"/>
                <w:kern w:val="0"/>
              </w:rPr>
              <w:t>措施</w:t>
            </w:r>
            <w:r>
              <w:rPr>
                <w:rFonts w:hint="eastAsia" w:ascii="宋体" w:hAnsi="宋体" w:eastAsia="宋体" w:cs="Times New Roman"/>
                <w:kern w:val="0"/>
                <w:lang w:val="en-US" w:eastAsia="zh-CN"/>
              </w:rPr>
              <w:t>一般</w:t>
            </w:r>
            <w:r>
              <w:rPr>
                <w:rFonts w:hint="eastAsia" w:ascii="宋体" w:hAnsi="宋体" w:eastAsia="宋体" w:cs="Times New Roman"/>
                <w:kern w:val="0"/>
              </w:rPr>
              <w:t>完整</w:t>
            </w:r>
            <w:r>
              <w:rPr>
                <w:rFonts w:hint="eastAsia" w:ascii="宋体" w:hAnsi="宋体" w:eastAsia="宋体" w:cs="Times New Roman"/>
                <w:kern w:val="0"/>
                <w:lang w:val="en-US" w:eastAsia="zh-CN"/>
              </w:rPr>
              <w:t>的得1</w:t>
            </w:r>
            <w:r>
              <w:rPr>
                <w:rFonts w:hint="eastAsia" w:ascii="宋体" w:hAnsi="宋体" w:eastAsia="宋体" w:cs="Times New Roman"/>
                <w:kern w:val="0"/>
              </w:rPr>
              <w:t>分</w:t>
            </w:r>
            <w:r>
              <w:rPr>
                <w:rFonts w:hint="eastAsia" w:ascii="宋体" w:hAnsi="宋体" w:eastAsia="宋体" w:cs="Times New Roman"/>
                <w:kern w:val="0"/>
                <w:lang w:eastAsia="zh-CN"/>
              </w:rPr>
              <w:t>；</w:t>
            </w:r>
          </w:p>
          <w:p w14:paraId="29C37B92">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宋体" w:hAnsi="宋体" w:eastAsia="宋体" w:cs="Times New Roman"/>
                <w:szCs w:val="21"/>
              </w:rPr>
            </w:pPr>
            <w:r>
              <w:rPr>
                <w:rFonts w:hint="eastAsia" w:ascii="宋体" w:hAnsi="宋体" w:cs="Times New Roman"/>
                <w:kern w:val="0"/>
                <w:lang w:val="en-US" w:eastAsia="zh-CN"/>
              </w:rPr>
              <w:t>4、</w:t>
            </w:r>
            <w:r>
              <w:rPr>
                <w:rFonts w:hint="eastAsia" w:ascii="宋体" w:hAnsi="宋体" w:eastAsia="宋体" w:cs="Times New Roman"/>
                <w:kern w:val="0"/>
              </w:rPr>
              <w:t>没有</w:t>
            </w:r>
            <w:r>
              <w:rPr>
                <w:rFonts w:hint="eastAsia" w:ascii="宋体" w:hAnsi="宋体" w:eastAsia="宋体" w:cs="Times New Roman"/>
                <w:kern w:val="0"/>
                <w:lang w:val="en-US" w:eastAsia="zh-CN"/>
              </w:rPr>
              <w:t>的</w:t>
            </w:r>
            <w:r>
              <w:rPr>
                <w:rFonts w:hint="eastAsia" w:ascii="宋体" w:hAnsi="宋体" w:eastAsia="宋体" w:cs="Times New Roman"/>
                <w:kern w:val="0"/>
              </w:rPr>
              <w:t>不得分。</w:t>
            </w:r>
          </w:p>
        </w:tc>
        <w:tc>
          <w:tcPr>
            <w:tcW w:w="736" w:type="dxa"/>
            <w:tcBorders>
              <w:top w:val="single" w:color="auto" w:sz="4" w:space="0"/>
              <w:left w:val="single" w:color="auto" w:sz="4" w:space="0"/>
              <w:right w:val="single" w:color="auto" w:sz="4" w:space="0"/>
            </w:tcBorders>
            <w:noWrap/>
            <w:vAlign w:val="center"/>
          </w:tcPr>
          <w:p w14:paraId="3577E7D2">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713E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16A6B068">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8D5DF">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r>
              <w:rPr>
                <w:rFonts w:hint="eastAsia" w:ascii="宋体" w:hAnsi="宋体" w:eastAsia="宋体" w:cs="宋体"/>
              </w:rPr>
              <w:t>服务承诺与维稳交接（</w:t>
            </w:r>
            <w:r>
              <w:rPr>
                <w:rFonts w:hint="eastAsia" w:ascii="宋体" w:hAnsi="宋体" w:cs="宋体"/>
                <w:lang w:val="en-US" w:eastAsia="zh-CN"/>
              </w:rPr>
              <w:t>3</w:t>
            </w:r>
            <w:r>
              <w:rPr>
                <w:rFonts w:hint="eastAsia" w:ascii="宋体" w:hAnsi="宋体" w:eastAsia="宋体" w:cs="宋体"/>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22A5800F">
            <w:pPr>
              <w:keepNext w:val="0"/>
              <w:keepLines w:val="0"/>
              <w:pageBreakBefore w:val="0"/>
              <w:widowControl w:val="0"/>
              <w:kinsoku/>
              <w:wordWrap/>
              <w:overflowPunct/>
              <w:topLinePunct w:val="0"/>
              <w:autoSpaceDE/>
              <w:autoSpaceDN/>
              <w:bidi w:val="0"/>
              <w:spacing w:after="120" w:line="360" w:lineRule="auto"/>
              <w:textAlignment w:val="auto"/>
              <w:rPr>
                <w:rFonts w:hint="eastAsia" w:ascii="Times New Roman" w:hAnsi="Calibri" w:eastAsia="宋体" w:cs="Times New Roman"/>
                <w:b/>
                <w:bCs/>
                <w:kern w:val="0"/>
              </w:rPr>
            </w:pPr>
            <w:r>
              <w:rPr>
                <w:rFonts w:hint="eastAsia" w:ascii="Times New Roman" w:hAnsi="Calibri" w:eastAsia="宋体" w:cs="Times New Roman"/>
                <w:b/>
                <w:bCs/>
                <w:kern w:val="0"/>
              </w:rPr>
              <w:t>投标人提出的为确保项目顺利交接和平稳过渡所采取的各项措施与承诺（包括中标后项目所需人员到位时间的承诺、维稳过度等）</w:t>
            </w:r>
            <w:r>
              <w:rPr>
                <w:rFonts w:ascii="宋体" w:hAnsi="宋体" w:eastAsia="宋体" w:cs="Times New Roman"/>
                <w:b/>
                <w:bCs/>
                <w:szCs w:val="21"/>
              </w:rPr>
              <w:t>（</w:t>
            </w:r>
            <w:r>
              <w:rPr>
                <w:rFonts w:hint="eastAsia" w:ascii="宋体" w:hAnsi="宋体" w:cs="Times New Roman"/>
                <w:b/>
                <w:bCs/>
                <w:szCs w:val="21"/>
                <w:lang w:val="en-US" w:eastAsia="zh-CN"/>
              </w:rPr>
              <w:t>3</w:t>
            </w:r>
            <w:r>
              <w:rPr>
                <w:rFonts w:ascii="宋体" w:hAnsi="宋体" w:eastAsia="宋体" w:cs="Times New Roman"/>
                <w:b/>
                <w:bCs/>
                <w:szCs w:val="21"/>
              </w:rPr>
              <w:t>分）</w:t>
            </w:r>
            <w:r>
              <w:rPr>
                <w:rFonts w:hint="eastAsia" w:ascii="Times New Roman" w:hAnsi="Calibri" w:eastAsia="宋体" w:cs="Times New Roman"/>
                <w:b/>
                <w:bCs/>
                <w:kern w:val="0"/>
              </w:rPr>
              <w:t>：</w:t>
            </w:r>
          </w:p>
          <w:p w14:paraId="27B2F65E">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hAnsi="Calibri" w:cs="Times New Roman"/>
                <w:kern w:val="0"/>
                <w:lang w:eastAsia="zh-CN"/>
              </w:rPr>
            </w:pPr>
            <w:r>
              <w:rPr>
                <w:rFonts w:hint="eastAsia" w:hAnsi="Calibri" w:cs="Times New Roman"/>
                <w:kern w:val="0"/>
                <w:lang w:val="en-US" w:eastAsia="zh-CN"/>
              </w:rPr>
              <w:t>1、</w:t>
            </w:r>
            <w:r>
              <w:rPr>
                <w:rFonts w:hint="eastAsia" w:ascii="Times New Roman" w:hAnsi="Calibri" w:eastAsia="宋体" w:cs="Times New Roman"/>
                <w:kern w:val="0"/>
              </w:rPr>
              <w:t>措施完整全面，有针对性</w:t>
            </w:r>
            <w:r>
              <w:rPr>
                <w:rFonts w:hint="eastAsia" w:hAnsi="Calibri" w:cs="Times New Roman"/>
                <w:kern w:val="0"/>
                <w:lang w:val="en-US" w:eastAsia="zh-CN"/>
              </w:rPr>
              <w:t>的得3</w:t>
            </w:r>
            <w:r>
              <w:rPr>
                <w:rFonts w:ascii="Times New Roman" w:hAnsi="Calibri" w:eastAsia="宋体" w:cs="Times New Roman"/>
                <w:kern w:val="0"/>
              </w:rPr>
              <w:t>分</w:t>
            </w:r>
            <w:r>
              <w:rPr>
                <w:rFonts w:hint="eastAsia" w:hAnsi="Calibri" w:cs="Times New Roman"/>
                <w:kern w:val="0"/>
                <w:lang w:eastAsia="zh-CN"/>
              </w:rPr>
              <w:t>；</w:t>
            </w:r>
          </w:p>
          <w:p w14:paraId="44CE5C37">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hint="eastAsia" w:hAnsi="Calibri" w:cs="Times New Roman"/>
                <w:kern w:val="0"/>
                <w:lang w:eastAsia="zh-CN"/>
              </w:rPr>
            </w:pPr>
            <w:r>
              <w:rPr>
                <w:rFonts w:hint="eastAsia" w:hAnsi="Calibri" w:cs="Times New Roman"/>
                <w:kern w:val="0"/>
                <w:lang w:val="en-US" w:eastAsia="zh-CN"/>
              </w:rPr>
              <w:t>2、</w:t>
            </w:r>
            <w:r>
              <w:rPr>
                <w:rFonts w:hint="eastAsia" w:ascii="Times New Roman" w:hAnsi="Calibri" w:eastAsia="宋体" w:cs="Times New Roman"/>
                <w:kern w:val="0"/>
              </w:rPr>
              <w:t>措施</w:t>
            </w:r>
            <w:r>
              <w:rPr>
                <w:rFonts w:hint="eastAsia" w:hAnsi="Calibri" w:cs="Times New Roman"/>
                <w:kern w:val="0"/>
                <w:lang w:val="en-US" w:eastAsia="zh-CN"/>
              </w:rPr>
              <w:t>比较</w:t>
            </w:r>
            <w:r>
              <w:rPr>
                <w:rFonts w:hint="eastAsia" w:ascii="Times New Roman" w:hAnsi="Calibri" w:eastAsia="宋体" w:cs="Times New Roman"/>
                <w:kern w:val="0"/>
              </w:rPr>
              <w:t>完整全面，</w:t>
            </w:r>
            <w:r>
              <w:rPr>
                <w:rFonts w:hint="eastAsia" w:hAnsi="Calibri" w:cs="Times New Roman"/>
                <w:kern w:val="0"/>
                <w:lang w:val="en-US" w:eastAsia="zh-CN"/>
              </w:rPr>
              <w:t>比较</w:t>
            </w:r>
            <w:r>
              <w:rPr>
                <w:rFonts w:hint="eastAsia" w:ascii="Times New Roman" w:hAnsi="Calibri" w:eastAsia="宋体" w:cs="Times New Roman"/>
                <w:kern w:val="0"/>
              </w:rPr>
              <w:t>有针对性</w:t>
            </w:r>
            <w:r>
              <w:rPr>
                <w:rFonts w:hint="eastAsia" w:hAnsi="Calibri" w:cs="Times New Roman"/>
                <w:kern w:val="0"/>
                <w:lang w:val="en-US" w:eastAsia="zh-CN"/>
              </w:rPr>
              <w:t>的得2</w:t>
            </w:r>
            <w:r>
              <w:rPr>
                <w:rFonts w:ascii="Times New Roman" w:hAnsi="Calibri" w:eastAsia="宋体" w:cs="Times New Roman"/>
                <w:kern w:val="0"/>
              </w:rPr>
              <w:t>分</w:t>
            </w:r>
            <w:r>
              <w:rPr>
                <w:rFonts w:hint="eastAsia" w:hAnsi="Calibri" w:cs="Times New Roman"/>
                <w:kern w:val="0"/>
                <w:lang w:eastAsia="zh-CN"/>
              </w:rPr>
              <w:t>；</w:t>
            </w:r>
          </w:p>
          <w:p w14:paraId="71E250B4">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Times New Roman" w:hAnsi="Calibri" w:eastAsia="宋体" w:cs="Times New Roman"/>
                <w:kern w:val="0"/>
              </w:rPr>
            </w:pPr>
            <w:r>
              <w:rPr>
                <w:rFonts w:hint="eastAsia" w:hAnsi="Calibri" w:cs="Times New Roman"/>
                <w:kern w:val="0"/>
                <w:lang w:val="en-US" w:eastAsia="zh-CN"/>
              </w:rPr>
              <w:t>3、</w:t>
            </w:r>
            <w:r>
              <w:rPr>
                <w:rFonts w:ascii="Times New Roman" w:hAnsi="Calibri" w:eastAsia="宋体" w:cs="Times New Roman"/>
                <w:kern w:val="0"/>
              </w:rPr>
              <w:t>措施</w:t>
            </w:r>
            <w:r>
              <w:rPr>
                <w:rFonts w:hint="eastAsia" w:hAnsi="Calibri" w:cs="Times New Roman"/>
                <w:kern w:val="0"/>
                <w:lang w:val="en-US" w:eastAsia="zh-CN"/>
              </w:rPr>
              <w:t>一般</w:t>
            </w:r>
            <w:r>
              <w:rPr>
                <w:rFonts w:ascii="Times New Roman" w:hAnsi="Calibri" w:eastAsia="宋体" w:cs="Times New Roman"/>
                <w:kern w:val="0"/>
              </w:rPr>
              <w:t>完整，有一定的针对性：</w:t>
            </w:r>
            <w:r>
              <w:rPr>
                <w:rFonts w:hint="eastAsia" w:hAnsi="Calibri" w:cs="Times New Roman"/>
                <w:kern w:val="0"/>
                <w:lang w:val="en-US" w:eastAsia="zh-CN"/>
              </w:rPr>
              <w:t>1</w:t>
            </w:r>
            <w:r>
              <w:rPr>
                <w:rFonts w:ascii="Times New Roman" w:hAnsi="Calibri" w:eastAsia="宋体" w:cs="Times New Roman"/>
                <w:kern w:val="0"/>
              </w:rPr>
              <w:t>分</w:t>
            </w:r>
            <w:r>
              <w:rPr>
                <w:rFonts w:hint="eastAsia" w:hAnsi="Calibri" w:cs="Times New Roman"/>
                <w:kern w:val="0"/>
                <w:lang w:eastAsia="zh-CN"/>
              </w:rPr>
              <w:t>；</w:t>
            </w:r>
          </w:p>
          <w:p w14:paraId="518972EB">
            <w:pPr>
              <w:keepNext w:val="0"/>
              <w:keepLines w:val="0"/>
              <w:pageBreakBefore w:val="0"/>
              <w:widowControl w:val="0"/>
              <w:numPr>
                <w:ilvl w:val="0"/>
                <w:numId w:val="0"/>
              </w:numPr>
              <w:kinsoku/>
              <w:wordWrap/>
              <w:overflowPunct/>
              <w:topLinePunct w:val="0"/>
              <w:autoSpaceDE/>
              <w:autoSpaceDN/>
              <w:bidi w:val="0"/>
              <w:spacing w:after="120" w:line="360" w:lineRule="auto"/>
              <w:textAlignment w:val="auto"/>
              <w:rPr>
                <w:rFonts w:ascii="Times New Roman" w:hAnsi="Calibri" w:eastAsia="宋体" w:cs="Times New Roman"/>
                <w:kern w:val="0"/>
              </w:rPr>
            </w:pPr>
            <w:r>
              <w:rPr>
                <w:rFonts w:hint="eastAsia" w:hAnsi="Calibri" w:cs="Times New Roman"/>
                <w:kern w:val="0"/>
                <w:lang w:val="en-US" w:eastAsia="zh-CN"/>
              </w:rPr>
              <w:t>4、措施</w:t>
            </w:r>
            <w:r>
              <w:rPr>
                <w:rFonts w:ascii="Times New Roman" w:hAnsi="Calibri" w:eastAsia="宋体" w:cs="Times New Roman"/>
                <w:kern w:val="0"/>
              </w:rPr>
              <w:t>没有</w:t>
            </w:r>
            <w:r>
              <w:rPr>
                <w:rFonts w:hint="eastAsia" w:hAnsi="Calibri" w:cs="Times New Roman"/>
                <w:kern w:val="0"/>
                <w:lang w:val="en-US" w:eastAsia="zh-CN"/>
              </w:rPr>
              <w:t>的</w:t>
            </w:r>
            <w:r>
              <w:rPr>
                <w:rFonts w:ascii="Times New Roman" w:hAnsi="Calibri" w:eastAsia="宋体" w:cs="Times New Roman"/>
                <w:kern w:val="0"/>
              </w:rPr>
              <w:t>不得分。</w:t>
            </w:r>
          </w:p>
        </w:tc>
        <w:tc>
          <w:tcPr>
            <w:tcW w:w="736" w:type="dxa"/>
            <w:tcBorders>
              <w:top w:val="single" w:color="auto" w:sz="4" w:space="0"/>
              <w:left w:val="single" w:color="auto" w:sz="4" w:space="0"/>
              <w:right w:val="single" w:color="auto" w:sz="4" w:space="0"/>
            </w:tcBorders>
            <w:noWrap/>
            <w:vAlign w:val="center"/>
          </w:tcPr>
          <w:p w14:paraId="1E2EE603">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5C06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39325FC7">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2A169">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宋体"/>
              </w:rPr>
            </w:pPr>
            <w:r>
              <w:rPr>
                <w:rFonts w:hint="eastAsia" w:ascii="宋体" w:hAnsi="宋体" w:eastAsia="宋体" w:cs="宋体"/>
              </w:rPr>
              <w:t>应急管理方案</w:t>
            </w:r>
          </w:p>
          <w:p w14:paraId="6E00B388">
            <w:pPr>
              <w:keepNext w:val="0"/>
              <w:keepLines w:val="0"/>
              <w:pageBreakBefore w:val="0"/>
              <w:widowControl w:val="0"/>
              <w:kinsoku/>
              <w:wordWrap/>
              <w:overflowPunct/>
              <w:topLinePunct w:val="0"/>
              <w:autoSpaceDE/>
              <w:autoSpaceDN/>
              <w:bidi w:val="0"/>
              <w:spacing w:after="120" w:line="360" w:lineRule="auto"/>
              <w:jc w:val="center"/>
              <w:textAlignment w:val="auto"/>
              <w:rPr>
                <w:rFonts w:ascii="宋体" w:hAnsi="宋体" w:eastAsia="宋体" w:cs="Times New Roman"/>
                <w:kern w:val="0"/>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48BF9B21">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投标人对本项目制定详细的应急工作方案计划，包括但不限于重大节假日，重要社会活动日，卫生及文明城市复查</w:t>
            </w:r>
            <w:r>
              <w:rPr>
                <w:rFonts w:ascii="Times New Roman" w:hAnsi="Times New Roman" w:eastAsia="宋体" w:cs="Times New Roman"/>
                <w:b/>
                <w:bCs/>
                <w:szCs w:val="21"/>
              </w:rPr>
              <w:t>,天气情况，以及对招标人临时安排的任务、突发事件制定处理及响应方案。</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p>
          <w:p w14:paraId="06BFE000">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Cs w:val="21"/>
              </w:rPr>
            </w:pPr>
            <w:r>
              <w:rPr>
                <w:rFonts w:hint="eastAsia" w:ascii="宋体" w:hAnsi="宋体" w:cs="Times New Roman"/>
                <w:szCs w:val="21"/>
                <w:lang w:val="en-US" w:eastAsia="zh-CN"/>
              </w:rPr>
              <w:t>1、</w:t>
            </w:r>
            <w:r>
              <w:rPr>
                <w:rFonts w:hint="eastAsia" w:ascii="宋体" w:hAnsi="宋体" w:eastAsia="宋体" w:cs="Times New Roman"/>
                <w:szCs w:val="21"/>
              </w:rPr>
              <w:t>应急方案完整、科学、合理、有针对性得</w:t>
            </w:r>
            <w:r>
              <w:rPr>
                <w:rFonts w:hint="eastAsia" w:ascii="宋体" w:hAnsi="宋体" w:eastAsia="宋体" w:cs="Times New Roman"/>
                <w:szCs w:val="21"/>
                <w:lang w:val="en-US" w:eastAsia="zh-CN"/>
              </w:rPr>
              <w:t>4</w:t>
            </w:r>
            <w:r>
              <w:rPr>
                <w:rFonts w:hint="eastAsia" w:ascii="宋体" w:hAnsi="宋体" w:eastAsia="宋体" w:cs="Times New Roman"/>
                <w:szCs w:val="21"/>
              </w:rPr>
              <w:t>分；</w:t>
            </w:r>
          </w:p>
          <w:p w14:paraId="3563629E">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Cs w:val="21"/>
              </w:rPr>
            </w:pPr>
            <w:r>
              <w:rPr>
                <w:rFonts w:hint="eastAsia" w:cs="Times New Roman"/>
                <w:szCs w:val="21"/>
                <w:lang w:val="en-US" w:eastAsia="zh-CN"/>
              </w:rPr>
              <w:t>2、</w:t>
            </w:r>
            <w:r>
              <w:rPr>
                <w:rFonts w:hint="eastAsia" w:ascii="Times New Roman" w:hAnsi="Times New Roman" w:eastAsia="宋体" w:cs="Times New Roman"/>
                <w:szCs w:val="21"/>
              </w:rPr>
              <w:t>方案</w:t>
            </w:r>
            <w:r>
              <w:rPr>
                <w:rFonts w:hint="eastAsia" w:eastAsia="宋体" w:cs="Times New Roman"/>
                <w:szCs w:val="21"/>
                <w:lang w:val="en-US" w:eastAsia="zh-CN"/>
              </w:rPr>
              <w:t>比较</w:t>
            </w:r>
            <w:r>
              <w:rPr>
                <w:rFonts w:hint="eastAsia" w:ascii="Times New Roman" w:hAnsi="Times New Roman" w:eastAsia="宋体" w:cs="Times New Roman"/>
                <w:szCs w:val="21"/>
              </w:rPr>
              <w:t>简单</w:t>
            </w:r>
            <w:r>
              <w:rPr>
                <w:rFonts w:hint="eastAsia" w:eastAsia="宋体" w:cs="Times New Roman"/>
                <w:szCs w:val="21"/>
                <w:lang w:eastAsia="zh-CN"/>
              </w:rPr>
              <w:t>，</w:t>
            </w:r>
            <w:r>
              <w:rPr>
                <w:rFonts w:hint="eastAsia" w:ascii="Times New Roman" w:hAnsi="Times New Roman" w:eastAsia="宋体" w:cs="Times New Roman"/>
                <w:szCs w:val="21"/>
              </w:rPr>
              <w:t>基本可行得</w:t>
            </w:r>
            <w:r>
              <w:rPr>
                <w:rFonts w:hint="eastAsia" w:cs="Times New Roman"/>
                <w:szCs w:val="21"/>
                <w:lang w:val="en-US" w:eastAsia="zh-CN"/>
              </w:rPr>
              <w:t>2</w:t>
            </w:r>
            <w:r>
              <w:rPr>
                <w:rFonts w:hint="eastAsia" w:ascii="Times New Roman" w:hAnsi="Times New Roman" w:eastAsia="宋体" w:cs="Times New Roman"/>
                <w:szCs w:val="21"/>
              </w:rPr>
              <w:t>分；</w:t>
            </w:r>
          </w:p>
          <w:p w14:paraId="56A4DB0D">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w:t>
            </w:r>
            <w:r>
              <w:rPr>
                <w:rFonts w:hint="eastAsia" w:ascii="Times New Roman" w:hAnsi="Times New Roman" w:eastAsia="宋体" w:cs="Times New Roman"/>
                <w:szCs w:val="21"/>
              </w:rPr>
              <w:t>方案简单，针对性</w:t>
            </w:r>
            <w:r>
              <w:rPr>
                <w:rFonts w:hint="eastAsia" w:ascii="Times New Roman" w:hAnsi="Times New Roman" w:eastAsia="宋体" w:cs="Times New Roman"/>
                <w:szCs w:val="21"/>
                <w:lang w:val="en-US" w:eastAsia="zh-CN"/>
              </w:rPr>
              <w:t>一般的得</w:t>
            </w:r>
            <w:r>
              <w:rPr>
                <w:rFonts w:hint="eastAsia" w:cs="Times New Roman"/>
                <w:szCs w:val="21"/>
                <w:lang w:val="en-US" w:eastAsia="zh-CN"/>
              </w:rPr>
              <w:t>1</w:t>
            </w:r>
            <w:r>
              <w:rPr>
                <w:rFonts w:hint="eastAsia" w:ascii="Times New Roman" w:hAnsi="Times New Roman" w:eastAsia="宋体" w:cs="Times New Roman"/>
                <w:szCs w:val="21"/>
              </w:rPr>
              <w:t>分</w:t>
            </w:r>
            <w:r>
              <w:rPr>
                <w:rFonts w:hint="eastAsia" w:eastAsia="宋体" w:cs="Times New Roman"/>
                <w:szCs w:val="21"/>
                <w:lang w:eastAsia="zh-CN"/>
              </w:rPr>
              <w:t>；</w:t>
            </w:r>
          </w:p>
          <w:p w14:paraId="76EC8A00">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cs="Times New Roman"/>
                <w:szCs w:val="21"/>
                <w:lang w:val="en-US" w:eastAsia="zh-CN"/>
              </w:rPr>
              <w:t>、</w:t>
            </w:r>
            <w:r>
              <w:rPr>
                <w:rFonts w:hint="eastAsia" w:ascii="Times New Roman" w:hAnsi="Times New Roman" w:eastAsia="宋体" w:cs="Times New Roman"/>
                <w:szCs w:val="21"/>
              </w:rPr>
              <w:t>应急</w:t>
            </w:r>
            <w:r>
              <w:rPr>
                <w:rFonts w:hint="eastAsia" w:eastAsia="宋体" w:cs="Times New Roman"/>
                <w:szCs w:val="21"/>
                <w:lang w:val="en-US" w:eastAsia="zh-CN"/>
              </w:rPr>
              <w:t>方</w:t>
            </w:r>
            <w:r>
              <w:rPr>
                <w:rFonts w:hint="eastAsia" w:ascii="Times New Roman" w:hAnsi="Times New Roman" w:eastAsia="宋体" w:cs="Times New Roman"/>
                <w:szCs w:val="21"/>
              </w:rPr>
              <w:t>案存在缺陷，不能满足采购人需求的不得分</w:t>
            </w:r>
            <w:r>
              <w:rPr>
                <w:rFonts w:hint="eastAsia" w:eastAsia="宋体" w:cs="Times New Roman"/>
                <w:szCs w:val="21"/>
                <w:lang w:eastAsia="zh-CN"/>
              </w:rPr>
              <w:t>。</w:t>
            </w:r>
          </w:p>
        </w:tc>
        <w:tc>
          <w:tcPr>
            <w:tcW w:w="736" w:type="dxa"/>
            <w:tcBorders>
              <w:top w:val="single" w:color="auto" w:sz="4" w:space="0"/>
              <w:left w:val="single" w:color="auto" w:sz="4" w:space="0"/>
              <w:right w:val="single" w:color="auto" w:sz="4" w:space="0"/>
            </w:tcBorders>
            <w:noWrap/>
            <w:vAlign w:val="center"/>
          </w:tcPr>
          <w:p w14:paraId="45A1EBAC">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4CA1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 w:type="dxa"/>
            <w:vMerge w:val="continue"/>
            <w:tcBorders>
              <w:top w:val="single" w:color="auto" w:sz="4" w:space="0"/>
              <w:left w:val="single" w:color="auto" w:sz="4" w:space="0"/>
              <w:right w:val="single" w:color="auto" w:sz="4" w:space="0"/>
            </w:tcBorders>
            <w:shd w:val="clear" w:color="auto" w:fill="auto"/>
            <w:noWrap/>
            <w:vAlign w:val="center"/>
          </w:tcPr>
          <w:p w14:paraId="203681D1">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4F22">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r>
              <w:rPr>
                <w:rFonts w:hint="eastAsia" w:ascii="宋体" w:hAnsi="宋体" w:eastAsia="宋体" w:cs="宋体"/>
              </w:rPr>
              <w:t>合理化建议（</w:t>
            </w:r>
            <w:r>
              <w:rPr>
                <w:rFonts w:hint="eastAsia" w:ascii="宋体" w:hAnsi="宋体" w:cs="宋体"/>
                <w:lang w:val="en-US" w:eastAsia="zh-CN"/>
              </w:rPr>
              <w:t>4</w:t>
            </w:r>
            <w:r>
              <w:rPr>
                <w:rFonts w:hint="eastAsia" w:ascii="宋体" w:hAnsi="宋体" w:eastAsia="宋体" w:cs="宋体"/>
              </w:rPr>
              <w:t>分）</w:t>
            </w:r>
          </w:p>
        </w:tc>
        <w:tc>
          <w:tcPr>
            <w:tcW w:w="6641" w:type="dxa"/>
            <w:tcBorders>
              <w:top w:val="single" w:color="auto" w:sz="4" w:space="0"/>
              <w:left w:val="single" w:color="auto" w:sz="4" w:space="0"/>
              <w:right w:val="single" w:color="auto" w:sz="4" w:space="0"/>
            </w:tcBorders>
            <w:shd w:val="clear" w:color="auto" w:fill="FFFFFF"/>
            <w:noWrap/>
            <w:vAlign w:val="center"/>
          </w:tcPr>
          <w:p w14:paraId="02C0F46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eastAsia="宋体" w:cs="Times New Roman"/>
                <w:b/>
                <w:bCs/>
                <w:szCs w:val="21"/>
              </w:rPr>
              <w:t>投标人提出的针对本项目的合理化建议</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eastAsia="宋体" w:cs="Times New Roman"/>
                <w:b/>
                <w:bCs/>
                <w:szCs w:val="21"/>
              </w:rPr>
              <w:t>：</w:t>
            </w:r>
          </w:p>
          <w:p w14:paraId="07810900">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1、</w:t>
            </w:r>
            <w:r>
              <w:rPr>
                <w:rFonts w:hint="eastAsia" w:ascii="宋体" w:hAnsi="宋体" w:eastAsia="宋体" w:cs="Times New Roman"/>
                <w:szCs w:val="21"/>
              </w:rPr>
              <w:t>建议完整全面、有实质性内容</w:t>
            </w:r>
            <w:r>
              <w:rPr>
                <w:rFonts w:hint="eastAsia" w:ascii="宋体" w:hAnsi="宋体" w:cs="Times New Roman"/>
                <w:szCs w:val="21"/>
                <w:lang w:val="en-US" w:eastAsia="zh-CN"/>
              </w:rPr>
              <w:t>的得4</w:t>
            </w:r>
            <w:r>
              <w:rPr>
                <w:rFonts w:ascii="宋体" w:hAnsi="宋体" w:eastAsia="宋体" w:cs="Times New Roman"/>
                <w:szCs w:val="21"/>
              </w:rPr>
              <w:t>分；</w:t>
            </w:r>
          </w:p>
          <w:p w14:paraId="6F51C745">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2、</w:t>
            </w:r>
            <w:r>
              <w:rPr>
                <w:rFonts w:ascii="宋体" w:hAnsi="宋体" w:eastAsia="宋体" w:cs="Times New Roman"/>
                <w:szCs w:val="21"/>
              </w:rPr>
              <w:t>建议较完整，可执行性较好的得</w:t>
            </w:r>
            <w:r>
              <w:rPr>
                <w:rFonts w:hint="eastAsia" w:ascii="宋体" w:hAnsi="宋体" w:cs="Times New Roman"/>
                <w:szCs w:val="21"/>
                <w:lang w:val="en-US" w:eastAsia="zh-CN"/>
              </w:rPr>
              <w:t>2</w:t>
            </w:r>
            <w:r>
              <w:rPr>
                <w:rFonts w:ascii="宋体" w:hAnsi="宋体" w:eastAsia="宋体" w:cs="Times New Roman"/>
                <w:szCs w:val="21"/>
              </w:rPr>
              <w:t>分；</w:t>
            </w:r>
          </w:p>
          <w:p w14:paraId="71321790">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3、</w:t>
            </w:r>
            <w:r>
              <w:rPr>
                <w:rFonts w:ascii="宋体" w:hAnsi="宋体" w:eastAsia="宋体" w:cs="Times New Roman"/>
                <w:szCs w:val="21"/>
              </w:rPr>
              <w:t>建议不够完整，可执行性</w:t>
            </w:r>
            <w:r>
              <w:rPr>
                <w:rFonts w:hint="eastAsia" w:ascii="宋体" w:hAnsi="宋体" w:cs="Times New Roman"/>
                <w:szCs w:val="21"/>
                <w:lang w:val="en-US" w:eastAsia="zh-CN"/>
              </w:rPr>
              <w:t>一般</w:t>
            </w:r>
            <w:r>
              <w:rPr>
                <w:rFonts w:ascii="宋体" w:hAnsi="宋体" w:eastAsia="宋体" w:cs="Times New Roman"/>
                <w:szCs w:val="21"/>
              </w:rPr>
              <w:t>的</w:t>
            </w:r>
            <w:r>
              <w:rPr>
                <w:rFonts w:hint="eastAsia" w:ascii="宋体" w:hAnsi="宋体" w:cs="Times New Roman"/>
                <w:szCs w:val="21"/>
                <w:lang w:val="en-US" w:eastAsia="zh-CN"/>
              </w:rPr>
              <w:t>得1</w:t>
            </w:r>
            <w:r>
              <w:rPr>
                <w:rFonts w:ascii="宋体" w:hAnsi="宋体" w:eastAsia="宋体" w:cs="Times New Roman"/>
                <w:szCs w:val="21"/>
              </w:rPr>
              <w:t>分；</w:t>
            </w:r>
          </w:p>
          <w:p w14:paraId="212A9A6D">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4、</w:t>
            </w:r>
            <w:r>
              <w:rPr>
                <w:rFonts w:ascii="宋体" w:hAnsi="宋体" w:eastAsia="宋体" w:cs="Times New Roman"/>
                <w:szCs w:val="21"/>
              </w:rPr>
              <w:t>建议没有</w:t>
            </w:r>
            <w:r>
              <w:rPr>
                <w:rFonts w:hint="eastAsia" w:ascii="宋体" w:hAnsi="宋体" w:cs="Times New Roman"/>
                <w:szCs w:val="21"/>
                <w:lang w:val="en-US" w:eastAsia="zh-CN"/>
              </w:rPr>
              <w:t>的</w:t>
            </w:r>
            <w:r>
              <w:rPr>
                <w:rFonts w:ascii="宋体" w:hAnsi="宋体" w:eastAsia="宋体" w:cs="Times New Roman"/>
                <w:szCs w:val="21"/>
              </w:rPr>
              <w:t>不得分。</w:t>
            </w:r>
          </w:p>
        </w:tc>
        <w:tc>
          <w:tcPr>
            <w:tcW w:w="736" w:type="dxa"/>
            <w:tcBorders>
              <w:top w:val="single" w:color="auto" w:sz="4" w:space="0"/>
              <w:left w:val="single" w:color="auto" w:sz="4" w:space="0"/>
              <w:right w:val="single" w:color="auto" w:sz="4" w:space="0"/>
            </w:tcBorders>
            <w:noWrap/>
            <w:vAlign w:val="center"/>
          </w:tcPr>
          <w:p w14:paraId="217D1D65">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1BA9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37" w:type="dxa"/>
            <w:vMerge w:val="continue"/>
            <w:tcBorders>
              <w:left w:val="single" w:color="auto" w:sz="4" w:space="0"/>
              <w:right w:val="single" w:color="auto" w:sz="4" w:space="0"/>
            </w:tcBorders>
            <w:noWrap/>
            <w:vAlign w:val="center"/>
          </w:tcPr>
          <w:p w14:paraId="15A2A81B">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s="Times New Roman"/>
              </w:rPr>
            </w:pPr>
          </w:p>
        </w:tc>
        <w:tc>
          <w:tcPr>
            <w:tcW w:w="1076" w:type="dxa"/>
            <w:tcBorders>
              <w:top w:val="single" w:color="auto" w:sz="4" w:space="0"/>
              <w:left w:val="single" w:color="auto" w:sz="4" w:space="0"/>
              <w:bottom w:val="single" w:color="auto" w:sz="4" w:space="0"/>
              <w:right w:val="single" w:color="auto" w:sz="4" w:space="0"/>
            </w:tcBorders>
            <w:noWrap/>
            <w:vAlign w:val="center"/>
          </w:tcPr>
          <w:p w14:paraId="07C0384E">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宋体" w:cs="Times New Roman"/>
              </w:rPr>
            </w:pPr>
            <w:r>
              <w:rPr>
                <w:rFonts w:hint="eastAsia" w:ascii="宋体" w:hAnsi="宋体" w:eastAsia="宋体" w:cs="宋体"/>
              </w:rPr>
              <w:t>创新措施（4分）</w:t>
            </w:r>
          </w:p>
        </w:tc>
        <w:tc>
          <w:tcPr>
            <w:tcW w:w="6641" w:type="dxa"/>
            <w:tcBorders>
              <w:top w:val="single" w:color="auto" w:sz="4" w:space="0"/>
              <w:left w:val="single" w:color="auto" w:sz="4" w:space="0"/>
              <w:right w:val="single" w:color="auto" w:sz="4" w:space="0"/>
            </w:tcBorders>
            <w:noWrap/>
            <w:vAlign w:val="center"/>
          </w:tcPr>
          <w:p w14:paraId="6705D93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bCs/>
                <w:szCs w:val="21"/>
              </w:rPr>
            </w:pPr>
            <w:r>
              <w:rPr>
                <w:rFonts w:hint="eastAsia" w:ascii="宋体" w:hAnsi="宋体" w:eastAsia="宋体" w:cs="Times New Roman"/>
                <w:b/>
                <w:bCs/>
                <w:szCs w:val="21"/>
              </w:rPr>
              <w:t>投标人提供的有利于提高本项目服务质量的创新措施</w:t>
            </w:r>
            <w:r>
              <w:rPr>
                <w:rFonts w:ascii="宋体" w:hAnsi="宋体" w:eastAsia="宋体" w:cs="Times New Roman"/>
                <w:b/>
                <w:bCs/>
                <w:szCs w:val="21"/>
              </w:rPr>
              <w:t>（</w:t>
            </w:r>
            <w:r>
              <w:rPr>
                <w:rFonts w:hint="eastAsia" w:ascii="宋体" w:hAnsi="宋体" w:cs="Times New Roman"/>
                <w:b/>
                <w:bCs/>
                <w:szCs w:val="21"/>
                <w:lang w:val="en-US" w:eastAsia="zh-CN"/>
              </w:rPr>
              <w:t>4</w:t>
            </w:r>
            <w:r>
              <w:rPr>
                <w:rFonts w:ascii="宋体" w:hAnsi="宋体" w:eastAsia="宋体" w:cs="Times New Roman"/>
                <w:b/>
                <w:bCs/>
                <w:szCs w:val="21"/>
              </w:rPr>
              <w:t>分）</w:t>
            </w:r>
            <w:r>
              <w:rPr>
                <w:rFonts w:hint="eastAsia" w:ascii="宋体" w:hAnsi="宋体" w:eastAsia="宋体" w:cs="Times New Roman"/>
                <w:b/>
                <w:bCs/>
                <w:szCs w:val="21"/>
              </w:rPr>
              <w:t>：</w:t>
            </w:r>
          </w:p>
          <w:p w14:paraId="1E3DFAB0">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cs="Times New Roman"/>
                <w:szCs w:val="21"/>
                <w:lang w:eastAsia="zh-CN"/>
              </w:rPr>
            </w:pPr>
            <w:r>
              <w:rPr>
                <w:rFonts w:hint="eastAsia" w:ascii="宋体" w:hAnsi="宋体" w:cs="Times New Roman"/>
                <w:szCs w:val="21"/>
                <w:lang w:val="en-US" w:eastAsia="zh-CN"/>
              </w:rPr>
              <w:t>1、</w:t>
            </w:r>
            <w:r>
              <w:rPr>
                <w:rFonts w:hint="eastAsia" w:ascii="宋体" w:hAnsi="宋体" w:eastAsia="宋体" w:cs="Times New Roman"/>
                <w:szCs w:val="21"/>
              </w:rPr>
              <w:t>措施全面、合理，具有创新性</w:t>
            </w:r>
            <w:r>
              <w:rPr>
                <w:rFonts w:hint="eastAsia" w:ascii="宋体" w:hAnsi="宋体" w:cs="Times New Roman"/>
                <w:szCs w:val="21"/>
                <w:lang w:val="en-US" w:eastAsia="zh-CN"/>
              </w:rPr>
              <w:t>的得</w:t>
            </w:r>
            <w:r>
              <w:rPr>
                <w:rFonts w:ascii="宋体" w:hAnsi="宋体" w:eastAsia="宋体" w:cs="Times New Roman"/>
                <w:szCs w:val="21"/>
              </w:rPr>
              <w:t>4</w:t>
            </w:r>
            <w:r>
              <w:rPr>
                <w:rFonts w:hint="eastAsia" w:ascii="宋体" w:hAnsi="宋体" w:eastAsia="宋体" w:cs="Times New Roman"/>
                <w:szCs w:val="21"/>
              </w:rPr>
              <w:t>分</w:t>
            </w:r>
            <w:r>
              <w:rPr>
                <w:rFonts w:hint="eastAsia" w:ascii="宋体" w:hAnsi="宋体" w:cs="Times New Roman"/>
                <w:szCs w:val="21"/>
                <w:lang w:eastAsia="zh-CN"/>
              </w:rPr>
              <w:t>；</w:t>
            </w:r>
          </w:p>
          <w:p w14:paraId="0FF38F1C">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2、</w:t>
            </w:r>
            <w:r>
              <w:rPr>
                <w:rFonts w:hint="eastAsia" w:ascii="宋体" w:hAnsi="宋体" w:eastAsia="宋体" w:cs="Times New Roman"/>
                <w:szCs w:val="21"/>
              </w:rPr>
              <w:t>措施有一定的创新性</w:t>
            </w:r>
            <w:r>
              <w:rPr>
                <w:rFonts w:hint="eastAsia" w:ascii="宋体" w:hAnsi="宋体" w:cs="Times New Roman"/>
                <w:szCs w:val="21"/>
                <w:lang w:val="en-US" w:eastAsia="zh-CN"/>
              </w:rPr>
              <w:t>的得</w:t>
            </w:r>
            <w:r>
              <w:rPr>
                <w:rFonts w:ascii="宋体" w:hAnsi="宋体" w:eastAsia="宋体" w:cs="Times New Roman"/>
                <w:szCs w:val="21"/>
              </w:rPr>
              <w:t>2</w:t>
            </w:r>
            <w:r>
              <w:rPr>
                <w:rFonts w:hint="eastAsia" w:ascii="宋体" w:hAnsi="宋体" w:eastAsia="宋体" w:cs="Times New Roman"/>
                <w:szCs w:val="21"/>
              </w:rPr>
              <w:t>分</w:t>
            </w:r>
            <w:r>
              <w:rPr>
                <w:rFonts w:hint="eastAsia" w:ascii="宋体" w:hAnsi="宋体" w:cs="Times New Roman"/>
                <w:szCs w:val="21"/>
                <w:lang w:eastAsia="zh-CN"/>
              </w:rPr>
              <w:t>；</w:t>
            </w:r>
          </w:p>
          <w:p w14:paraId="08B387B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措施有</w:t>
            </w:r>
            <w:r>
              <w:rPr>
                <w:rFonts w:hint="eastAsia" w:ascii="宋体" w:hAnsi="宋体" w:eastAsia="宋体" w:cs="Times New Roman"/>
                <w:szCs w:val="21"/>
                <w:lang w:val="en-US" w:eastAsia="zh-CN"/>
              </w:rPr>
              <w:t>基本</w:t>
            </w:r>
            <w:r>
              <w:rPr>
                <w:rFonts w:hint="eastAsia" w:ascii="宋体" w:hAnsi="宋体" w:eastAsia="宋体" w:cs="Times New Roman"/>
                <w:szCs w:val="21"/>
              </w:rPr>
              <w:t>创新性</w:t>
            </w:r>
            <w:r>
              <w:rPr>
                <w:rFonts w:hint="eastAsia" w:ascii="宋体" w:hAnsi="宋体" w:cs="Times New Roman"/>
                <w:szCs w:val="21"/>
                <w:lang w:val="en-US" w:eastAsia="zh-CN"/>
              </w:rPr>
              <w:t>的得1</w:t>
            </w:r>
            <w:r>
              <w:rPr>
                <w:rFonts w:hint="eastAsia" w:ascii="宋体" w:hAnsi="宋体" w:eastAsia="宋体" w:cs="Times New Roman"/>
                <w:szCs w:val="21"/>
              </w:rPr>
              <w:t>分</w:t>
            </w:r>
            <w:r>
              <w:rPr>
                <w:rFonts w:hint="eastAsia" w:ascii="宋体" w:hAnsi="宋体" w:eastAsia="宋体" w:cs="Times New Roman"/>
                <w:szCs w:val="21"/>
                <w:lang w:eastAsia="zh-CN"/>
              </w:rPr>
              <w:t>；</w:t>
            </w:r>
          </w:p>
          <w:p w14:paraId="6EA9A8C7">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措施</w:t>
            </w:r>
            <w:r>
              <w:rPr>
                <w:rFonts w:hint="eastAsia" w:ascii="宋体" w:hAnsi="宋体" w:eastAsia="宋体" w:cs="Times New Roman"/>
                <w:szCs w:val="21"/>
              </w:rPr>
              <w:t>没有新意或未提及不得分</w:t>
            </w:r>
            <w:r>
              <w:rPr>
                <w:rFonts w:ascii="宋体" w:hAnsi="宋体" w:eastAsia="宋体" w:cs="Times New Roman"/>
                <w:szCs w:val="21"/>
              </w:rPr>
              <w:t>。</w:t>
            </w:r>
          </w:p>
        </w:tc>
        <w:tc>
          <w:tcPr>
            <w:tcW w:w="736" w:type="dxa"/>
            <w:tcBorders>
              <w:top w:val="single" w:color="auto" w:sz="4" w:space="0"/>
              <w:left w:val="single" w:color="auto" w:sz="4" w:space="0"/>
              <w:right w:val="single" w:color="auto" w:sz="4" w:space="0"/>
            </w:tcBorders>
            <w:noWrap/>
            <w:vAlign w:val="center"/>
          </w:tcPr>
          <w:p w14:paraId="0D6689CF">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r w14:paraId="13D6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tcBorders>
              <w:top w:val="single" w:color="auto" w:sz="4" w:space="0"/>
              <w:left w:val="single" w:color="auto" w:sz="4" w:space="0"/>
              <w:bottom w:val="single" w:color="auto" w:sz="4" w:space="0"/>
              <w:right w:val="single" w:color="auto" w:sz="4" w:space="0"/>
            </w:tcBorders>
            <w:noWrap/>
            <w:vAlign w:val="center"/>
          </w:tcPr>
          <w:p w14:paraId="1260A21D">
            <w:pPr>
              <w:keepNext w:val="0"/>
              <w:keepLines w:val="0"/>
              <w:pageBreakBefore w:val="0"/>
              <w:widowControl w:val="0"/>
              <w:kinsoku/>
              <w:wordWrap/>
              <w:overflowPunct/>
              <w:topLinePunct w:val="0"/>
              <w:autoSpaceDE/>
              <w:autoSpaceDN/>
              <w:bidi w:val="0"/>
              <w:spacing w:line="360" w:lineRule="auto"/>
              <w:ind w:right="-341"/>
              <w:textAlignment w:val="auto"/>
              <w:rPr>
                <w:rFonts w:ascii="Times New Roman" w:hAnsi="Times New Roman" w:eastAsia="宋体" w:cs="Times New Roman"/>
              </w:rPr>
            </w:pPr>
            <w:r>
              <w:rPr>
                <w:rFonts w:ascii="Times New Roman" w:hAnsi="Times New Roman" w:eastAsia="宋体" w:cs="Times New Roman"/>
              </w:rPr>
              <w:t>价格得分</w:t>
            </w:r>
          </w:p>
          <w:p w14:paraId="1B5522E8">
            <w:pPr>
              <w:keepNext w:val="0"/>
              <w:keepLines w:val="0"/>
              <w:pageBreakBefore w:val="0"/>
              <w:widowControl w:val="0"/>
              <w:kinsoku/>
              <w:wordWrap/>
              <w:overflowPunct/>
              <w:topLinePunct w:val="0"/>
              <w:autoSpaceDE/>
              <w:autoSpaceDN/>
              <w:bidi w:val="0"/>
              <w:spacing w:line="360" w:lineRule="auto"/>
              <w:ind w:right="-341"/>
              <w:textAlignment w:val="auto"/>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0分）</w:t>
            </w:r>
          </w:p>
        </w:tc>
        <w:tc>
          <w:tcPr>
            <w:tcW w:w="7717" w:type="dxa"/>
            <w:gridSpan w:val="2"/>
            <w:tcBorders>
              <w:top w:val="single" w:color="auto" w:sz="4" w:space="0"/>
              <w:left w:val="single" w:color="auto" w:sz="4" w:space="0"/>
              <w:bottom w:val="single" w:color="auto" w:sz="4" w:space="0"/>
              <w:right w:val="single" w:color="auto" w:sz="4" w:space="0"/>
            </w:tcBorders>
            <w:noWrap/>
            <w:vAlign w:val="center"/>
          </w:tcPr>
          <w:p w14:paraId="489B8DEA">
            <w:pPr>
              <w:keepNext w:val="0"/>
              <w:keepLines w:val="0"/>
              <w:pageBreakBefore w:val="0"/>
              <w:widowControl w:val="0"/>
              <w:kinsoku/>
              <w:wordWrap/>
              <w:overflowPunct/>
              <w:topLinePunct w:val="0"/>
              <w:autoSpaceDE/>
              <w:autoSpaceDN/>
              <w:bidi w:val="0"/>
              <w:spacing w:line="360" w:lineRule="auto"/>
              <w:ind w:right="-341"/>
              <w:textAlignment w:val="auto"/>
              <w:rPr>
                <w:rFonts w:ascii="Times New Roman" w:hAnsi="Times New Roman" w:eastAsia="宋体" w:cs="Times New Roman"/>
              </w:rPr>
            </w:pPr>
            <w:r>
              <w:rPr>
                <w:rFonts w:hint="eastAsia" w:ascii="Times New Roman" w:hAnsi="Times New Roman" w:eastAsia="宋体" w:cs="Times New Roman"/>
              </w:rPr>
              <w:t>满足投标文件要求最低的为评标基准价，其价格分为满分，其他投标人</w:t>
            </w:r>
          </w:p>
          <w:p w14:paraId="62BBF7B1">
            <w:pPr>
              <w:keepNext w:val="0"/>
              <w:keepLines w:val="0"/>
              <w:pageBreakBefore w:val="0"/>
              <w:widowControl w:val="0"/>
              <w:kinsoku/>
              <w:wordWrap/>
              <w:overflowPunct/>
              <w:topLinePunct w:val="0"/>
              <w:autoSpaceDE/>
              <w:autoSpaceDN/>
              <w:bidi w:val="0"/>
              <w:spacing w:line="360" w:lineRule="auto"/>
              <w:ind w:right="-341"/>
              <w:textAlignment w:val="auto"/>
              <w:rPr>
                <w:rFonts w:ascii="Times New Roman" w:hAnsi="Times New Roman" w:eastAsia="宋体" w:cs="Times New Roman"/>
              </w:rPr>
            </w:pPr>
            <w:r>
              <w:rPr>
                <w:rFonts w:hint="eastAsia" w:ascii="Times New Roman" w:hAnsi="Times New Roman" w:eastAsia="宋体" w:cs="Times New Roman"/>
              </w:rPr>
              <w:t>的价格分按下列公式计算：</w:t>
            </w:r>
          </w:p>
          <w:p w14:paraId="6DD544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rPr>
            </w:pPr>
            <w:r>
              <w:rPr>
                <w:rFonts w:hint="eastAsia" w:ascii="Times New Roman" w:hAnsi="Times New Roman" w:eastAsia="宋体" w:cs="Times New Roman"/>
              </w:rPr>
              <w:t>价格分=（评标基准价/投标报价）×</w:t>
            </w:r>
            <w:r>
              <w:rPr>
                <w:rFonts w:hint="eastAsia" w:ascii="Times New Roman" w:hAnsi="Times New Roman" w:eastAsia="宋体" w:cs="Times New Roman"/>
                <w:lang w:val="en-US" w:eastAsia="zh-CN"/>
              </w:rPr>
              <w:t>10</w:t>
            </w:r>
            <w:r>
              <w:rPr>
                <w:rFonts w:hint="eastAsia" w:ascii="Times New Roman" w:hAnsi="Times New Roman" w:eastAsia="宋体" w:cs="Times New Roman"/>
              </w:rPr>
              <w:t>%×100分</w:t>
            </w:r>
          </w:p>
        </w:tc>
        <w:tc>
          <w:tcPr>
            <w:tcW w:w="736" w:type="dxa"/>
            <w:tcBorders>
              <w:top w:val="single" w:color="auto" w:sz="4" w:space="0"/>
              <w:left w:val="single" w:color="auto" w:sz="4" w:space="0"/>
              <w:bottom w:val="single" w:color="auto" w:sz="4" w:space="0"/>
              <w:right w:val="single" w:color="auto" w:sz="4" w:space="0"/>
            </w:tcBorders>
            <w:noWrap/>
            <w:vAlign w:val="top"/>
          </w:tcPr>
          <w:p w14:paraId="476F0E91">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ascii="Times New Roman" w:hAnsi="Times New Roman" w:eastAsia="宋体" w:cs="Times New Roman"/>
              </w:rPr>
            </w:pPr>
          </w:p>
        </w:tc>
      </w:tr>
    </w:tbl>
    <w:p w14:paraId="1D0F0E67">
      <w:pPr>
        <w:pStyle w:val="17"/>
        <w:adjustRightInd w:val="0"/>
        <w:spacing w:line="360" w:lineRule="auto"/>
        <w:ind w:left="0" w:leftChars="0" w:firstLine="422" w:firstLineChars="200"/>
        <w:rPr>
          <w:rFonts w:hint="eastAsia" w:ascii="宋体" w:hAnsi="宋体" w:cs="宋体"/>
          <w:b/>
          <w:color w:val="auto"/>
          <w:szCs w:val="21"/>
          <w:highlight w:val="none"/>
        </w:rPr>
      </w:pPr>
      <w:r>
        <w:rPr>
          <w:rFonts w:hint="eastAsia" w:ascii="宋体" w:hAnsi="宋体" w:eastAsia="宋体" w:cs="宋体"/>
          <w:b/>
          <w:bCs/>
          <w:sz w:val="21"/>
          <w:szCs w:val="21"/>
        </w:rPr>
        <w:t>注：以上评分过程和结果均按“四舍五入”保留到小数点后2位，相关证明、证书复印件需盖公章，原件投标时由授权代表随身携带，必要时供评标备查。</w:t>
      </w:r>
    </w:p>
    <w:p w14:paraId="350014D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（二）价格分（满分</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p w14:paraId="59CA2C9A">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1、投标报价在采购人公布的最高限价以下、在各阶段评审中未被定为无效响应文件或废标，其投标人的投标报价为有效投标报价</w:t>
      </w:r>
    </w:p>
    <w:p w14:paraId="48686122">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政采云平台填报的开标一览表中的价格与上传的报价文件中开标一览表的报价不一致的，以上传的报价文件为准</w:t>
      </w:r>
    </w:p>
    <w:p w14:paraId="607CBBBC">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价格分采用低价优先法计算，即满足招标文件要求且投标报价最低的投标报价为评标基准价</w:t>
      </w:r>
      <w:r>
        <w:rPr>
          <w:rFonts w:hint="eastAsia" w:hAnsi="宋体" w:cs="宋体"/>
          <w:color w:val="auto"/>
          <w:kern w:val="0"/>
          <w:szCs w:val="21"/>
          <w:highlight w:val="none"/>
        </w:rPr>
        <w:t>，其价格分为满分。</w:t>
      </w:r>
      <w:r>
        <w:rPr>
          <w:rFonts w:hint="eastAsia" w:hAnsi="宋体" w:cs="宋体"/>
          <w:color w:val="auto"/>
          <w:szCs w:val="21"/>
          <w:highlight w:val="none"/>
        </w:rPr>
        <w:t>其他投标人的价格分按照下列公式计算：</w:t>
      </w:r>
    </w:p>
    <w:p w14:paraId="6EA5205F">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价格分=（评标基准价/投标报价）×</w:t>
      </w:r>
      <w:r>
        <w:rPr>
          <w:rFonts w:hint="eastAsia" w:hAnsi="宋体" w:cs="宋体"/>
          <w:color w:val="auto"/>
          <w:szCs w:val="21"/>
          <w:highlight w:val="none"/>
          <w:lang w:val="en-US" w:eastAsia="zh-CN"/>
        </w:rPr>
        <w:t>1</w:t>
      </w:r>
      <w:r>
        <w:rPr>
          <w:rFonts w:hint="eastAsia" w:hAnsi="宋体" w:cs="宋体"/>
          <w:b w:val="0"/>
          <w:bCs w:val="0"/>
          <w:color w:val="auto"/>
          <w:szCs w:val="21"/>
          <w:highlight w:val="none"/>
        </w:rPr>
        <w:t>0%</w:t>
      </w:r>
      <w:r>
        <w:rPr>
          <w:rFonts w:hint="eastAsia" w:hAnsi="宋体" w:cs="宋体"/>
          <w:b/>
          <w:color w:val="auto"/>
          <w:szCs w:val="21"/>
          <w:highlight w:val="none"/>
        </w:rPr>
        <w:t>×</w:t>
      </w:r>
      <w:r>
        <w:rPr>
          <w:rFonts w:hint="eastAsia" w:hAnsi="宋体" w:cs="宋体"/>
          <w:color w:val="auto"/>
          <w:szCs w:val="21"/>
          <w:highlight w:val="none"/>
        </w:rPr>
        <w:t>100</w:t>
      </w:r>
    </w:p>
    <w:p w14:paraId="67F0FCAE">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2.中小企业有关政策：根据财库﹝2022﹞8号的相关规定，在评审时对小型和微型企业的投标报价给予20%的扣除，取扣除后的价格作为最终投标报价（此最终投标报价仅作为价格分计算）。属于小型和微型企业的，投标文件中提供《中小企业声明函》（见附件）。</w:t>
      </w:r>
    </w:p>
    <w:p w14:paraId="3B5E99EE">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DEFDF1F">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4.根据财库〔2014〕68号的相关规定，在政府采购活动中，监狱企业视同小型、微型企业，享受评审中价格扣除政策。属于享受政府采购支持政策的监狱企业，应满足财库〔2014〕68号文件第一条的规定，并在投标文件中提供监狱企业声明函（见附件）。</w:t>
      </w:r>
    </w:p>
    <w:p w14:paraId="2600E12A">
      <w:pPr>
        <w:pStyle w:val="15"/>
        <w:tabs>
          <w:tab w:val="left" w:pos="630"/>
        </w:tabs>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5.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E4B89E">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第五章  政府采购合同主要条款</w:t>
      </w:r>
    </w:p>
    <w:p w14:paraId="3C8851F6">
      <w:pPr>
        <w:widowControl/>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1AA38EB0">
      <w:pPr>
        <w:widowControl/>
        <w:spacing w:line="42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lang w:eastAsia="zh-CN"/>
        </w:rPr>
        <w:t>ZSJS-2025-016</w:t>
      </w:r>
    </w:p>
    <w:p w14:paraId="4A6A9406">
      <w:pPr>
        <w:widowControl/>
        <w:spacing w:line="420" w:lineRule="exact"/>
        <w:jc w:val="left"/>
        <w:rPr>
          <w:rFonts w:hint="eastAsia"/>
          <w:lang w:eastAsia="zh-CN"/>
        </w:rPr>
      </w:pPr>
      <w:r>
        <w:rPr>
          <w:rFonts w:hint="eastAsia" w:ascii="宋体" w:hAnsi="宋体" w:cs="宋体"/>
          <w:color w:val="auto"/>
          <w:kern w:val="0"/>
          <w:szCs w:val="21"/>
          <w:highlight w:val="none"/>
        </w:rPr>
        <w:t>合同编号：</w:t>
      </w:r>
    </w:p>
    <w:p w14:paraId="6DCA1F29">
      <w:pPr>
        <w:widowControl/>
        <w:spacing w:line="420" w:lineRule="exact"/>
        <w:jc w:val="left"/>
        <w:rPr>
          <w:rFonts w:hint="default" w:ascii="宋体" w:hAnsi="宋体" w:eastAsia="宋体" w:cs="宋体"/>
          <w:color w:val="auto"/>
          <w:kern w:val="0"/>
          <w:szCs w:val="21"/>
          <w:highlight w:val="none"/>
          <w:shd w:val="clear" w:color="FFFFFF" w:fill="D9D9D9"/>
          <w:lang w:val="en-US" w:eastAsia="zh-CN"/>
        </w:rPr>
      </w:pPr>
      <w:r>
        <w:rPr>
          <w:rFonts w:hint="eastAsia" w:ascii="宋体" w:hAnsi="宋体" w:cs="宋体"/>
          <w:color w:val="auto"/>
          <w:kern w:val="0"/>
          <w:szCs w:val="21"/>
          <w:highlight w:val="none"/>
        </w:rPr>
        <w:t>政府采购计划（预算）确认号：</w:t>
      </w:r>
      <w:r>
        <w:rPr>
          <w:rFonts w:hint="eastAsia" w:ascii="宋体" w:hAnsi="宋体"/>
          <w:color w:val="FF0000"/>
          <w:szCs w:val="21"/>
          <w:highlight w:val="none"/>
          <w:u w:val="single"/>
          <w:shd w:val="clear" w:color="FFFFFF" w:fill="D9D9D9"/>
          <w:lang w:eastAsia="zh-CN"/>
        </w:rPr>
        <w:t>嵊财采确临[2025]564号</w:t>
      </w:r>
    </w:p>
    <w:p w14:paraId="3C31A221">
      <w:pPr>
        <w:widowControl/>
        <w:spacing w:line="420" w:lineRule="exact"/>
        <w:jc w:val="left"/>
        <w:rPr>
          <w:rFonts w:hint="eastAsia" w:ascii="宋体" w:hAnsi="宋体"/>
          <w:color w:val="auto"/>
          <w:kern w:val="0"/>
          <w:highlight w:val="none"/>
          <w:lang w:eastAsia="zh-CN"/>
        </w:rPr>
      </w:pPr>
      <w:r>
        <w:rPr>
          <w:rFonts w:hint="eastAsia" w:ascii="宋体" w:hAnsi="宋体" w:cs="宋体"/>
          <w:color w:val="auto"/>
          <w:kern w:val="0"/>
          <w:szCs w:val="21"/>
          <w:highlight w:val="none"/>
        </w:rPr>
        <w:t>甲方：</w:t>
      </w:r>
      <w:r>
        <w:rPr>
          <w:rFonts w:hint="eastAsia" w:ascii="宋体" w:hAnsi="宋体"/>
          <w:color w:val="auto"/>
          <w:kern w:val="0"/>
          <w:highlight w:val="none"/>
          <w:lang w:eastAsia="zh-CN"/>
        </w:rPr>
        <w:t xml:space="preserve">嵊泗县洋山镇人民政府 </w:t>
      </w:r>
    </w:p>
    <w:p w14:paraId="6C909342">
      <w:pPr>
        <w:widowControl/>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w:t>
      </w:r>
    </w:p>
    <w:p w14:paraId="1DEF8FF7">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采购代理机构：舟山市嘉嵊咨询管理有限公司</w:t>
      </w:r>
    </w:p>
    <w:p w14:paraId="02175DC7">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采购方式：</w:t>
      </w:r>
      <w:r>
        <w:rPr>
          <w:rFonts w:hint="eastAsia" w:ascii="宋体" w:hAnsi="宋体" w:cs="宋体"/>
          <w:color w:val="auto"/>
          <w:szCs w:val="21"/>
          <w:highlight w:val="none"/>
        </w:rPr>
        <w:t>竞争性磋商</w:t>
      </w:r>
    </w:p>
    <w:p w14:paraId="19B89E1B">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根据《中华人民共和国政府采购法》、《中华人民共和国民法典》等法律法规的规定，甲乙双方按照</w:t>
      </w:r>
      <w:r>
        <w:rPr>
          <w:rFonts w:hint="eastAsia" w:ascii="宋体" w:hAnsi="宋体" w:cs="宋体"/>
          <w:b w:val="0"/>
          <w:bCs w:val="0"/>
          <w:color w:val="auto"/>
          <w:szCs w:val="21"/>
          <w:highlight w:val="none"/>
          <w:lang w:val="zh-CN"/>
        </w:rPr>
        <w:t>嵊泗县洋山镇综合管理服务采购项目</w:t>
      </w:r>
      <w:r>
        <w:rPr>
          <w:rFonts w:hint="eastAsia" w:ascii="宋体" w:hAnsi="宋体" w:cs="宋体"/>
          <w:kern w:val="0"/>
          <w:szCs w:val="21"/>
          <w:highlight w:val="none"/>
        </w:rPr>
        <w:t>采购结果签订本合同。</w:t>
      </w:r>
    </w:p>
    <w:p w14:paraId="2E781061">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一、合同文件</w:t>
      </w:r>
    </w:p>
    <w:p w14:paraId="01BF474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下列文件构成本合同的组成部分：</w:t>
      </w:r>
    </w:p>
    <w:p w14:paraId="36AADD93">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（1）招标文件</w:t>
      </w:r>
    </w:p>
    <w:p w14:paraId="07EA6852">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（2）投标文件</w:t>
      </w:r>
    </w:p>
    <w:p w14:paraId="0BB1BB1E">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（3）相关补充文件</w:t>
      </w:r>
    </w:p>
    <w:p w14:paraId="3C2A1A2E">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中标或成交通知书</w:t>
      </w:r>
    </w:p>
    <w:p w14:paraId="307BC9DA">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二、合同范围和条件</w:t>
      </w:r>
    </w:p>
    <w:p w14:paraId="55CB8BBF">
      <w:pPr>
        <w:adjustRightIn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本合同的范围和条件与上述规定的合同文件内容一致。</w:t>
      </w:r>
    </w:p>
    <w:p w14:paraId="5D4A7C1C">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三、合同金额</w:t>
      </w:r>
    </w:p>
    <w:p w14:paraId="3D806C5E">
      <w:pPr>
        <w:pStyle w:val="26"/>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项目中标合同金额：小写：元，大写：。</w:t>
      </w:r>
    </w:p>
    <w:p w14:paraId="6E2709EE">
      <w:pPr>
        <w:pStyle w:val="26"/>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附合同中标相关报价分项清单。</w:t>
      </w:r>
    </w:p>
    <w:p w14:paraId="402C0E4B">
      <w:pPr>
        <w:pStyle w:val="55"/>
        <w:keepNext w:val="0"/>
        <w:keepLines w:val="0"/>
        <w:pageBreakBefore w:val="0"/>
        <w:widowControl w:val="0"/>
        <w:numPr>
          <w:ilvl w:val="0"/>
          <w:numId w:val="0"/>
        </w:numPr>
        <w:kinsoku/>
        <w:wordWrap/>
        <w:overflowPunct/>
        <w:topLinePunct w:val="0"/>
        <w:autoSpaceDE/>
        <w:autoSpaceDN/>
        <w:bidi w:val="0"/>
        <w:snapToGrid/>
        <w:spacing w:line="360" w:lineRule="auto"/>
        <w:ind w:firstLine="422" w:firstLineChars="200"/>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
        </w:rPr>
        <w:t>四、委托管理区域、时间、人数</w:t>
      </w:r>
    </w:p>
    <w:p w14:paraId="3C94007D">
      <w:pPr>
        <w:spacing w:line="360" w:lineRule="auto"/>
        <w:ind w:firstLine="597" w:firstLineChars="243"/>
        <w:jc w:val="both"/>
        <w:rPr>
          <w:rFonts w:hint="eastAsia" w:ascii="宋体" w:hAnsi="宋体" w:eastAsia="宋体" w:cs="宋体"/>
          <w:b w:val="0"/>
          <w:bCs w:val="0"/>
          <w:sz w:val="21"/>
          <w:szCs w:val="21"/>
          <w:lang w:eastAsia="zh-CN"/>
        </w:rPr>
      </w:pPr>
      <w:r>
        <w:rPr>
          <w:rFonts w:hint="eastAsia" w:ascii="宋体" w:hAnsi="宋体" w:eastAsia="宋体" w:cs="宋体"/>
          <w:b w:val="0"/>
          <w:bCs w:val="0"/>
          <w:spacing w:val="18"/>
          <w:sz w:val="21"/>
          <w:szCs w:val="21"/>
        </w:rPr>
        <w:t>区域：</w:t>
      </w:r>
      <w:r>
        <w:rPr>
          <w:rFonts w:hint="eastAsia" w:ascii="宋体" w:hAnsi="宋体" w:eastAsia="宋体" w:cs="宋体"/>
          <w:b w:val="0"/>
          <w:bCs w:val="0"/>
          <w:sz w:val="21"/>
          <w:szCs w:val="21"/>
        </w:rPr>
        <w:t>共建路、圣大路及其它镇政府指定的区域</w:t>
      </w:r>
      <w:r>
        <w:rPr>
          <w:rFonts w:hint="eastAsia" w:ascii="宋体" w:hAnsi="宋体" w:cs="宋体"/>
          <w:b w:val="0"/>
          <w:bCs w:val="0"/>
          <w:sz w:val="21"/>
          <w:szCs w:val="21"/>
          <w:lang w:eastAsia="zh-CN"/>
        </w:rPr>
        <w:t>。</w:t>
      </w:r>
    </w:p>
    <w:p w14:paraId="1171406A">
      <w:pPr>
        <w:spacing w:line="360" w:lineRule="auto"/>
        <w:ind w:firstLine="597" w:firstLineChars="243"/>
        <w:jc w:val="both"/>
        <w:rPr>
          <w:rFonts w:hint="eastAsia" w:ascii="宋体" w:hAnsi="宋体" w:eastAsia="宋体" w:cs="宋体"/>
          <w:b w:val="0"/>
          <w:bCs w:val="0"/>
          <w:color w:val="auto"/>
          <w:spacing w:val="18"/>
          <w:sz w:val="21"/>
          <w:szCs w:val="21"/>
        </w:rPr>
      </w:pPr>
      <w:r>
        <w:rPr>
          <w:rFonts w:hint="eastAsia" w:ascii="宋体" w:hAnsi="宋体" w:eastAsia="宋体" w:cs="宋体"/>
          <w:b w:val="0"/>
          <w:bCs w:val="0"/>
          <w:color w:val="auto"/>
          <w:spacing w:val="18"/>
          <w:sz w:val="21"/>
          <w:szCs w:val="21"/>
        </w:rPr>
        <w:t>时间：</w:t>
      </w:r>
      <w:r>
        <w:rPr>
          <w:rFonts w:hint="eastAsia" w:ascii="宋体" w:hAnsi="宋体" w:eastAsia="宋体" w:cs="宋体"/>
          <w:b w:val="0"/>
          <w:bCs w:val="0"/>
          <w:color w:val="auto"/>
          <w:sz w:val="21"/>
          <w:szCs w:val="21"/>
        </w:rPr>
        <w:t>每天6:30—18:30(根据季节变化，时间可</w:t>
      </w:r>
      <w:r>
        <w:rPr>
          <w:rFonts w:hint="eastAsia" w:ascii="宋体" w:hAnsi="宋体"/>
          <w:color w:val="auto"/>
          <w:szCs w:val="21"/>
        </w:rPr>
        <w:t>略有</w:t>
      </w:r>
      <w:r>
        <w:rPr>
          <w:rFonts w:hint="eastAsia" w:ascii="宋体" w:hAnsi="宋体" w:eastAsia="宋体" w:cs="宋体"/>
          <w:b w:val="0"/>
          <w:bCs w:val="0"/>
          <w:color w:val="auto"/>
          <w:sz w:val="21"/>
          <w:szCs w:val="21"/>
        </w:rPr>
        <w:t>调整)。</w:t>
      </w:r>
    </w:p>
    <w:p w14:paraId="2A7B428B">
      <w:pPr>
        <w:spacing w:line="360" w:lineRule="auto"/>
        <w:ind w:firstLine="597" w:firstLineChars="243"/>
        <w:jc w:val="both"/>
        <w:rPr>
          <w:rFonts w:hint="eastAsia" w:ascii="宋体" w:hAnsi="宋体" w:eastAsia="宋体" w:cs="宋体"/>
          <w:b w:val="0"/>
          <w:bCs w:val="0"/>
          <w:spacing w:val="18"/>
          <w:sz w:val="21"/>
          <w:szCs w:val="21"/>
          <w:lang w:val="en-US" w:eastAsia="zh-CN"/>
        </w:rPr>
      </w:pPr>
      <w:r>
        <w:rPr>
          <w:rFonts w:hint="eastAsia" w:ascii="宋体" w:hAnsi="宋体" w:eastAsia="宋体" w:cs="宋体"/>
          <w:b w:val="0"/>
          <w:bCs w:val="0"/>
          <w:spacing w:val="18"/>
          <w:sz w:val="21"/>
          <w:szCs w:val="21"/>
        </w:rPr>
        <w:t>人数：做一休一，每天在岗</w:t>
      </w:r>
      <w:r>
        <w:rPr>
          <w:rFonts w:hint="eastAsia" w:ascii="宋体" w:hAnsi="宋体" w:eastAsia="宋体" w:cs="宋体"/>
          <w:b w:val="0"/>
          <w:bCs w:val="0"/>
          <w:spacing w:val="18"/>
          <w:sz w:val="21"/>
          <w:szCs w:val="21"/>
          <w:lang w:val="en-US" w:eastAsia="zh-CN"/>
        </w:rPr>
        <w:t>9</w:t>
      </w:r>
      <w:r>
        <w:rPr>
          <w:rFonts w:hint="eastAsia" w:ascii="宋体" w:hAnsi="宋体" w:eastAsia="宋体" w:cs="宋体"/>
          <w:b w:val="0"/>
          <w:bCs w:val="0"/>
          <w:spacing w:val="18"/>
          <w:sz w:val="21"/>
          <w:szCs w:val="21"/>
        </w:rPr>
        <w:t>人</w:t>
      </w:r>
      <w:r>
        <w:rPr>
          <w:rFonts w:hint="eastAsia" w:ascii="宋体" w:hAnsi="宋体" w:eastAsia="宋体" w:cs="宋体"/>
          <w:b w:val="0"/>
          <w:bCs w:val="0"/>
          <w:spacing w:val="18"/>
          <w:sz w:val="21"/>
          <w:szCs w:val="21"/>
          <w:lang w:eastAsia="zh-CN"/>
        </w:rPr>
        <w:t>，</w:t>
      </w:r>
      <w:r>
        <w:rPr>
          <w:rFonts w:hint="eastAsia" w:ascii="宋体" w:hAnsi="宋体" w:eastAsia="宋体" w:cs="宋体"/>
          <w:b w:val="0"/>
          <w:bCs w:val="0"/>
          <w:spacing w:val="18"/>
          <w:sz w:val="21"/>
          <w:szCs w:val="21"/>
          <w:lang w:val="en-US" w:eastAsia="zh-CN"/>
        </w:rPr>
        <w:t>设负责人1名。</w:t>
      </w:r>
    </w:p>
    <w:p w14:paraId="1D89D1AC">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、委托管理期限</w:t>
      </w:r>
    </w:p>
    <w:p w14:paraId="256A8B79">
      <w:pPr>
        <w:spacing w:line="360" w:lineRule="auto"/>
        <w:ind w:firstLine="510" w:firstLineChars="243"/>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月至202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p w14:paraId="61DA2757">
      <w:pPr>
        <w:numPr>
          <w:ilvl w:val="0"/>
          <w:numId w:val="0"/>
        </w:num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六、市容</w:t>
      </w:r>
      <w:r>
        <w:rPr>
          <w:rFonts w:hint="eastAsia" w:ascii="宋体" w:hAnsi="宋体" w:eastAsia="宋体" w:cs="宋体"/>
          <w:b/>
          <w:sz w:val="21"/>
          <w:szCs w:val="21"/>
        </w:rPr>
        <w:t>管理内容</w:t>
      </w:r>
    </w:p>
    <w:p w14:paraId="3F2331E4">
      <w:pPr>
        <w:autoSpaceDE w:val="0"/>
        <w:autoSpaceDN w:val="0"/>
        <w:adjustRightInd w:val="0"/>
        <w:spacing w:line="50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（一）环境卫生责任区（门前三包）整治</w:t>
      </w:r>
    </w:p>
    <w:p w14:paraId="01A37844">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深入推进共建路、圣大路沿街店铺环境卫生责任区（门前三包）、跨门和占道经营等违规整治行动，通过严查严管、检查考评、“红黑榜”上墙公布等措施，督促经营单位及相关责任主体自觉履行环境卫生责任区责任、义务，推进精细化管理，建立完善常态化长效管理机制。</w:t>
      </w:r>
    </w:p>
    <w:p w14:paraId="7A6E872D">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（二）主次干道及背街小巷整治</w:t>
      </w:r>
    </w:p>
    <w:p w14:paraId="637E04AE">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重点围绕城区主干道及道路两侧居民房固定水泥墩、洗衣板、空调外机、水缸等杂乱现象，针对街巷空间杂乱、非法搭建、乱拉乱牵等现象，并落实常态化长效化管理措施，以达到整洁美观的目的。</w:t>
      </w:r>
    </w:p>
    <w:p w14:paraId="5BBD1CF4">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（三）修售业规范整治</w:t>
      </w:r>
    </w:p>
    <w:p w14:paraId="0E6A2925">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对全镇范围内修售船只用品经营门店和非机动车经营门店辆进行集中整治，规范经营标准，责令限期整改。加大巡查执法力度，依法查处占道堆物、跨门经营、卫生脏乱等突出问题，落实常态化管理措施。</w:t>
      </w:r>
    </w:p>
    <w:p w14:paraId="39BA3EA8">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（四）流动摊、小广告、流浪犬“清零”整治</w:t>
      </w:r>
    </w:p>
    <w:p w14:paraId="0F9F25F2">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加强常态化执法巡查，盯住问题出现的主要区域和时段，保持高压态势，对流动摊、小广告、流浪犬严管严查严控，露着就打，零容忍、零存在。</w:t>
      </w:r>
    </w:p>
    <w:p w14:paraId="2C482F73">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（五）主次街道渔具堆放整治</w:t>
      </w:r>
    </w:p>
    <w:p w14:paraId="0CA6E7E5">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点整治洋山镇区域渔具乱堆放、渔网乱修补的乱象。确保渔具堆放和渔网修补全部纳入限定场地并实施规范化管理，构建社区属地负责、管理规范、监管闭环、整齐有序的综合治理机制，促进城乡环境品质全面提升。</w:t>
      </w:r>
    </w:p>
    <w:p w14:paraId="5CDE44A2">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（六）社区属地环境卫生整治</w:t>
      </w:r>
    </w:p>
    <w:p w14:paraId="7630777F">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清理区域内道路、田地、山脚周边的乱推乱放、私搭乱建、垃圾倾倒、农田抛荒等问题。全面消除环境脏乱差现象，提高城乡环境洁化、绿化、美化水平，使我镇环境面貌和整体形象显著提升。</w:t>
      </w:r>
    </w:p>
    <w:p w14:paraId="2F3B5708">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（七）滩面、沿岸环境卫生整治</w:t>
      </w:r>
    </w:p>
    <w:p w14:paraId="44BB9682">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围绕“干净、有序、美观”的工作目标，进一步加强辖区范围内水域责任区和沿岸、滩面市容环境卫生管理工作，开展专项巡查、清理滩面、海岸垃圾，全面提升水域市容环境卫生面貌。</w:t>
      </w:r>
    </w:p>
    <w:p w14:paraId="0EBC5327">
      <w:pPr>
        <w:autoSpaceDE w:val="0"/>
        <w:autoSpaceDN w:val="0"/>
        <w:adjustRightInd w:val="0"/>
        <w:spacing w:line="5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（八）主次街道车辆违停整治</w:t>
      </w:r>
    </w:p>
    <w:p w14:paraId="5901E34A">
      <w:pPr>
        <w:autoSpaceDE w:val="0"/>
        <w:autoSpaceDN w:val="0"/>
        <w:adjustRightInd w:val="0"/>
        <w:spacing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规范物流、快递及农用三卡等车辆违停现象，开展主要道路及人行道路车辆秩序整治，做好交通秩序宣传、车辆清理和扣押工作。</w:t>
      </w:r>
    </w:p>
    <w:p w14:paraId="513330F2">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rPr>
        <w:t>（九）信访人员管控</w:t>
      </w:r>
    </w:p>
    <w:p w14:paraId="3847609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rPr>
        <w:t>协助对镇域范围内重点信访人员落实稳控措施，掌握重点信访人员活动情况。一旦发现重点人员漏管失控，立即组织人员进行劝返，强化应急处置能力。</w:t>
      </w:r>
    </w:p>
    <w:p w14:paraId="5267EF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sz w:val="21"/>
          <w:szCs w:val="21"/>
          <w:highlight w:val="none"/>
          <w:lang w:val="en-US" w:eastAsia="zh-CN"/>
        </w:rPr>
        <w:t>（十）大岙渔港码头管理和维稳</w:t>
      </w:r>
    </w:p>
    <w:p w14:paraId="0288A7D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维护码头周边的交通秩序，疏导车辆和行人，避免交通拥堵，保障码头与外界的交通联系顺畅，确保物资运输和人员通行的安全。并加强与相关部门的沟通协调，如渔业管理部门、海事部门、公安部门等，建立良好的合作关系，形成工作合力。在遇到重大安全事故、突发事件或违法行为时，及时向相关部门报告，并配合其开展调查和处理工作。</w:t>
      </w:r>
    </w:p>
    <w:p w14:paraId="6B04AE0F">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（十一）安全生产工作协助管理</w:t>
      </w:r>
    </w:p>
    <w:p w14:paraId="7F56A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pacing w:val="-12"/>
          <w:sz w:val="24"/>
          <w:szCs w:val="24"/>
          <w:highlight w:val="none"/>
          <w:shd w:val="clear" w:color="auto" w:fill="auto"/>
          <w:lang w:val="en-US" w:eastAsia="zh-CN"/>
        </w:rPr>
      </w:pPr>
      <w:r>
        <w:rPr>
          <w:rFonts w:hint="eastAsia" w:ascii="宋体" w:hAnsi="宋体" w:eastAsia="宋体" w:cs="宋体"/>
          <w:sz w:val="21"/>
          <w:szCs w:val="21"/>
          <w:highlight w:val="none"/>
          <w:lang w:val="en-US" w:eastAsia="zh-CN"/>
        </w:rPr>
        <w:t>配合镇相关部门开展安全生产工作，积极配合应消站、渔办、综合执法等部门做好安全巡查巡检等工作。协助推进开展海上安全大起底大排查大整治行动，安全生产攻坚行动，深化涉海涉渔、工贸、消防等重点领域专项整治等系列行动。按要求协助完成安全生产工作的临时性任务。</w:t>
      </w:r>
      <w:r>
        <w:rPr>
          <w:rFonts w:hint="eastAsia" w:ascii="宋体" w:hAnsi="宋体" w:eastAsia="宋体" w:cs="Times New Roman"/>
          <w:kern w:val="2"/>
          <w:sz w:val="24"/>
          <w:szCs w:val="24"/>
          <w:lang w:val="en-US" w:eastAsia="zh-CN" w:bidi="ar-SA"/>
        </w:rPr>
        <w:tab/>
      </w:r>
    </w:p>
    <w:p w14:paraId="07149A39">
      <w:pPr>
        <w:pStyle w:val="55"/>
        <w:keepNext w:val="0"/>
        <w:keepLines w:val="0"/>
        <w:pageBreakBefore w:val="0"/>
        <w:widowControl w:val="0"/>
        <w:numPr>
          <w:ilvl w:val="0"/>
          <w:numId w:val="0"/>
        </w:numPr>
        <w:kinsoku/>
        <w:wordWrap/>
        <w:overflowPunct/>
        <w:topLinePunct w:val="0"/>
        <w:autoSpaceDE/>
        <w:autoSpaceDN/>
        <w:bidi w:val="0"/>
        <w:snapToGrid/>
        <w:spacing w:line="360" w:lineRule="auto"/>
        <w:ind w:leftChars="0"/>
        <w:outlineLvl w:val="1"/>
        <w:rPr>
          <w:rFonts w:hint="eastAsia" w:ascii="宋体" w:hAnsi="宋体" w:eastAsia="宋体" w:cs="宋体"/>
          <w:b/>
          <w:bCs/>
          <w:color w:val="auto"/>
          <w:kern w:val="0"/>
          <w:sz w:val="21"/>
          <w:szCs w:val="21"/>
          <w:highlight w:val="none"/>
          <w:shd w:val="clear" w:color="auto" w:fill="auto"/>
          <w:lang w:val="en-US" w:eastAsia="zh-CN" w:bidi="ar"/>
        </w:rPr>
      </w:pPr>
      <w:r>
        <w:rPr>
          <w:rFonts w:hint="eastAsia" w:ascii="宋体" w:hAnsi="宋体" w:eastAsia="宋体" w:cs="宋体"/>
          <w:b/>
          <w:bCs/>
          <w:color w:val="auto"/>
          <w:kern w:val="0"/>
          <w:sz w:val="21"/>
          <w:szCs w:val="21"/>
          <w:highlight w:val="none"/>
          <w:shd w:val="clear" w:color="auto" w:fill="auto"/>
          <w:lang w:val="en-US" w:eastAsia="zh-CN" w:bidi="ar"/>
        </w:rPr>
        <w:t>六、付款方式</w:t>
      </w:r>
    </w:p>
    <w:p w14:paraId="7C18E354">
      <w:pPr>
        <w:autoSpaceDE w:val="0"/>
        <w:autoSpaceDN w:val="0"/>
        <w:adjustRightInd w:val="0"/>
        <w:spacing w:line="360" w:lineRule="auto"/>
        <w:ind w:firstLine="420"/>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zh-CN" w:eastAsia="zh-CN" w:bidi="ar-SA"/>
        </w:rPr>
        <w:t>、</w:t>
      </w:r>
      <w:r>
        <w:rPr>
          <w:rFonts w:hint="eastAsia" w:ascii="宋体" w:hAnsi="宋体" w:eastAsia="宋体" w:cs="宋体"/>
          <w:kern w:val="2"/>
          <w:sz w:val="21"/>
          <w:szCs w:val="21"/>
          <w:highlight w:val="none"/>
          <w:lang w:val="en-US" w:eastAsia="zh-CN" w:bidi="ar-SA"/>
        </w:rPr>
        <w:t>总费用为人民币</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元(大写：</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元整)。</w:t>
      </w:r>
    </w:p>
    <w:p w14:paraId="6E886431">
      <w:pPr>
        <w:autoSpaceDE w:val="0"/>
        <w:autoSpaceDN w:val="0"/>
        <w:adjustRightInd w:val="0"/>
        <w:spacing w:line="360" w:lineRule="auto"/>
        <w:ind w:firstLine="420"/>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color w:val="auto"/>
          <w:kern w:val="2"/>
          <w:sz w:val="21"/>
          <w:szCs w:val="21"/>
          <w:highlight w:val="none"/>
          <w:shd w:val="clear" w:color="auto" w:fill="auto"/>
          <w:lang w:val="en-US" w:eastAsia="zh-CN" w:bidi="ar-SA"/>
        </w:rPr>
        <w:t>本项目经费确保专款专用。</w:t>
      </w:r>
      <w:r>
        <w:rPr>
          <w:rFonts w:hint="eastAsia" w:ascii="宋体" w:hAnsi="宋体" w:eastAsia="宋体" w:cs="宋体"/>
          <w:sz w:val="21"/>
          <w:szCs w:val="21"/>
          <w:highlight w:val="none"/>
          <w:lang w:val="en-US" w:eastAsia="zh-CN"/>
        </w:rPr>
        <w:t>支付方式：合同签订后7个工作日内采购人支付中标人总合同金额</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0%的预付款；，合同期满考核完成支付总合同的剩余款项。</w:t>
      </w:r>
    </w:p>
    <w:p w14:paraId="7C9270A2">
      <w:pPr>
        <w:numPr>
          <w:ilvl w:val="0"/>
          <w:numId w:val="0"/>
        </w:numPr>
        <w:spacing w:line="360" w:lineRule="auto"/>
        <w:ind w:left="0" w:leftChars="0" w:firstLine="420" w:firstLineChars="200"/>
        <w:rPr>
          <w:rFonts w:hint="default"/>
          <w:highlight w:val="none"/>
          <w:lang w:val="en-US" w:eastAsia="zh-CN"/>
        </w:rPr>
      </w:pPr>
      <w:r>
        <w:rPr>
          <w:rFonts w:hint="eastAsia" w:asciiTheme="majorEastAsia" w:hAnsiTheme="majorEastAsia" w:eastAsiaTheme="majorEastAsia" w:cstheme="majorEastAsia"/>
          <w:kern w:val="2"/>
          <w:sz w:val="21"/>
          <w:szCs w:val="24"/>
          <w:highlight w:val="none"/>
          <w:lang w:val="en-US" w:eastAsia="zh-CN" w:bidi="ar-SA"/>
        </w:rPr>
        <w:t>3</w:t>
      </w:r>
      <w:r>
        <w:rPr>
          <w:rFonts w:hint="eastAsia" w:ascii="Calibri" w:hAnsi="Calibri" w:eastAsia="宋体" w:cs="Times New Roman"/>
          <w:kern w:val="2"/>
          <w:sz w:val="21"/>
          <w:szCs w:val="24"/>
          <w:highlight w:val="none"/>
          <w:lang w:val="en-US" w:eastAsia="zh-CN" w:bidi="ar-SA"/>
        </w:rPr>
        <w:t>、</w:t>
      </w:r>
      <w:r>
        <w:rPr>
          <w:rFonts w:hint="eastAsia" w:ascii="宋体" w:hAnsi="宋体"/>
          <w:szCs w:val="21"/>
          <w:highlight w:val="none"/>
          <w:lang w:val="en-US" w:eastAsia="zh-CN"/>
        </w:rPr>
        <w:t xml:space="preserve"> </w:t>
      </w:r>
      <w:r>
        <w:rPr>
          <w:rFonts w:hint="eastAsia" w:ascii="宋体" w:hAnsi="宋体"/>
          <w:szCs w:val="21"/>
          <w:highlight w:val="none"/>
        </w:rPr>
        <w:t>支付条件：中标人向招标人提供了等额合法有效的增值税发票经招标人确认无误后</w:t>
      </w:r>
      <w:r>
        <w:rPr>
          <w:rFonts w:hint="eastAsia" w:ascii="宋体" w:hAnsi="宋体"/>
          <w:szCs w:val="21"/>
          <w:highlight w:val="none"/>
          <w:lang w:eastAsia="zh-CN"/>
        </w:rPr>
        <w:t>，</w:t>
      </w:r>
      <w:r>
        <w:rPr>
          <w:rFonts w:hint="eastAsia" w:ascii="宋体" w:hAnsi="宋体"/>
          <w:szCs w:val="21"/>
          <w:highlight w:val="none"/>
        </w:rPr>
        <w:t>招标人按约定的时间节点向中标人付款。</w:t>
      </w:r>
    </w:p>
    <w:p w14:paraId="050A8DA1">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双方的职责和权利</w:t>
      </w:r>
    </w:p>
    <w:p w14:paraId="09097F59">
      <w:pPr>
        <w:spacing w:line="360" w:lineRule="auto"/>
        <w:rPr>
          <w:rFonts w:hint="eastAsia" w:ascii="宋体" w:hAnsi="宋体" w:eastAsia="宋体" w:cs="宋体"/>
          <w:sz w:val="21"/>
          <w:szCs w:val="21"/>
        </w:rPr>
      </w:pPr>
      <w:r>
        <w:rPr>
          <w:rFonts w:hint="eastAsia" w:ascii="宋体" w:hAnsi="宋体" w:eastAsia="宋体" w:cs="宋体"/>
          <w:sz w:val="21"/>
          <w:szCs w:val="21"/>
        </w:rPr>
        <w:t>(一)甲方的权利义务</w:t>
      </w:r>
    </w:p>
    <w:p w14:paraId="10B45AF3">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甲方有权对乙方进行工作考核，并将考核结果及相应的奖惩决定以书面形式通知乙方；</w:t>
      </w:r>
    </w:p>
    <w:p w14:paraId="0AEBBD87">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甲方有权针对乙方在履行本协议的过程中所存在的缺陷、不足之处等问题提出书面指正，并要求其进行纠正或整改；</w:t>
      </w:r>
    </w:p>
    <w:p w14:paraId="5070DEA7">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 甲方应当协助乙方处理在执行委托内容的过程中出现的冲突和“难点”问题；</w:t>
      </w:r>
    </w:p>
    <w:p w14:paraId="2A71F7DB">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 甲方应当定期协调相关职能部门为乙方日常管理工作提供必要的支持与执法保障；</w:t>
      </w:r>
    </w:p>
    <w:p w14:paraId="1B98FEB4">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 甲方应当依照本协议约定按时按量向乙方支付委托管理保障经费。</w:t>
      </w:r>
    </w:p>
    <w:p w14:paraId="50569161">
      <w:pPr>
        <w:spacing w:line="440" w:lineRule="exact"/>
        <w:rPr>
          <w:rFonts w:hint="eastAsia" w:ascii="宋体" w:hAnsi="宋体" w:eastAsia="宋体" w:cs="宋体"/>
          <w:sz w:val="21"/>
          <w:szCs w:val="21"/>
        </w:rPr>
      </w:pPr>
      <w:r>
        <w:rPr>
          <w:rFonts w:hint="eastAsia" w:ascii="宋体" w:hAnsi="宋体" w:eastAsia="宋体" w:cs="宋体"/>
          <w:sz w:val="21"/>
          <w:szCs w:val="21"/>
        </w:rPr>
        <w:t>(二)乙方权利义务</w:t>
      </w:r>
    </w:p>
    <w:p w14:paraId="54465238">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乙方有权依照本协议约定收取委托管理保障经费；</w:t>
      </w:r>
    </w:p>
    <w:p w14:paraId="39B7F1E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乙方应当负责对其员工进行培训、管理，使其能胜任本协议项下委托事项的执行；</w:t>
      </w:r>
    </w:p>
    <w:p w14:paraId="7EF35DEA">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 乙方在执行本协议项下委托事务时，与第三方发生的一切争 执及由此可能产生的后果，包括但不限于乙方及其员工遭受人身和/ 或财产损害、造成他人人身和/或财产损害等均由乙方自行承担，若因乙方的行为造成甲方损失的，甲方有权就该损失向乙方追偿；</w:t>
      </w:r>
    </w:p>
    <w:p w14:paraId="208E0438">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 乙方不得将本协议所约定的委托内容分包或转包给第三方；</w:t>
      </w:r>
    </w:p>
    <w:p w14:paraId="2AA44F35">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 乙方不得擅自解除本委托协议。</w:t>
      </w:r>
    </w:p>
    <w:p w14:paraId="146E5605">
      <w:pPr>
        <w:numPr>
          <w:ilvl w:val="0"/>
          <w:numId w:val="0"/>
        </w:numPr>
        <w:spacing w:line="360" w:lineRule="auto"/>
        <w:rPr>
          <w:rFonts w:hint="eastAsia" w:ascii="宋体" w:hAnsi="宋体" w:eastAsia="宋体" w:cs="宋体"/>
          <w:sz w:val="21"/>
          <w:szCs w:val="21"/>
        </w:rPr>
      </w:pPr>
      <w:r>
        <w:rPr>
          <w:rFonts w:hint="eastAsia" w:ascii="宋体" w:hAnsi="宋体" w:eastAsia="宋体" w:cs="宋体"/>
          <w:b/>
          <w:sz w:val="21"/>
          <w:szCs w:val="21"/>
          <w:lang w:val="en-US" w:eastAsia="zh-CN"/>
        </w:rPr>
        <w:t>八、</w:t>
      </w:r>
      <w:r>
        <w:rPr>
          <w:rFonts w:hint="eastAsia" w:ascii="宋体" w:hAnsi="宋体" w:eastAsia="宋体" w:cs="宋体"/>
          <w:b/>
          <w:sz w:val="21"/>
          <w:szCs w:val="21"/>
        </w:rPr>
        <w:t>违约责任</w:t>
      </w:r>
    </w:p>
    <w:p w14:paraId="4AB2B6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乙方必须重视安全生产工作，确保合同履行期间不出安全事故。合同履约期间，乙方未按照安全作业规范要求进行安全作业的，每发现一次扣500元，如发生安全事故(包括交通事故),由乙方承担一切责任及损失。</w:t>
      </w:r>
    </w:p>
    <w:p w14:paraId="5E344F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合同执行过程中，乙方如有弄虚作假行为，甲方均有权单方 面解除合同，由此引起的损失由乙方承担。</w:t>
      </w:r>
    </w:p>
    <w:p w14:paraId="03826A5A">
      <w:pPr>
        <w:spacing w:line="360" w:lineRule="auto"/>
        <w:rPr>
          <w:rFonts w:hint="eastAsia" w:ascii="宋体" w:hAnsi="宋体" w:eastAsia="宋体" w:cs="宋体"/>
          <w:sz w:val="21"/>
          <w:szCs w:val="21"/>
        </w:rPr>
      </w:pPr>
      <w:r>
        <w:rPr>
          <w:rFonts w:hint="eastAsia" w:ascii="宋体" w:hAnsi="宋体" w:eastAsia="宋体" w:cs="宋体"/>
          <w:b/>
          <w:sz w:val="21"/>
          <w:szCs w:val="21"/>
          <w:lang w:val="en-US" w:eastAsia="zh-CN"/>
        </w:rPr>
        <w:t>九</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其他约定</w:t>
      </w:r>
    </w:p>
    <w:p w14:paraId="302AEC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1、本协议所称“道路”,是指公路、城市道路和虽在单位管辖范围但允许社会机动车通行的地方，包括但不限于广场、公共停车场等用于公众通行的场所；</w:t>
      </w:r>
    </w:p>
    <w:p w14:paraId="593F4B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2、本协议若有修改，经双方协商一致后以书面形式增、删、变更相关内容；</w:t>
      </w:r>
    </w:p>
    <w:p w14:paraId="0EE16CC0">
      <w:pPr>
        <w:spacing w:line="360" w:lineRule="auto"/>
        <w:ind w:firstLine="420" w:firstLineChars="200"/>
        <w:rPr>
          <w:rFonts w:hint="eastAsia" w:ascii="宋体" w:hAnsi="宋体" w:eastAsia="宋体" w:cs="宋体"/>
          <w:b/>
          <w:color w:val="auto"/>
          <w:kern w:val="0"/>
          <w:sz w:val="21"/>
          <w:szCs w:val="21"/>
          <w:lang w:val="en-US" w:eastAsia="zh-CN"/>
        </w:rPr>
      </w:pPr>
      <w:r>
        <w:rPr>
          <w:rFonts w:hint="eastAsia" w:ascii="宋体" w:hAnsi="宋体" w:eastAsia="宋体" w:cs="宋体"/>
          <w:sz w:val="21"/>
          <w:szCs w:val="21"/>
        </w:rPr>
        <w:t>3、甲、乙双方若因本协议的履行产生争议的，双方首先应协商解决，协商不成的，任一方均有权向协议履行地人民法院起诉；</w:t>
      </w:r>
    </w:p>
    <w:p w14:paraId="31523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十、</w:t>
      </w:r>
      <w:r>
        <w:rPr>
          <w:rFonts w:hint="eastAsia" w:ascii="宋体" w:hAnsi="宋体" w:eastAsia="宋体" w:cs="宋体"/>
          <w:b/>
          <w:color w:val="auto"/>
          <w:kern w:val="0"/>
          <w:sz w:val="21"/>
          <w:szCs w:val="21"/>
        </w:rPr>
        <w:t xml:space="preserve"> 合同的变更和终止</w:t>
      </w:r>
    </w:p>
    <w:p w14:paraId="7EB6BC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除《政府采购法》第49条、第50条第二款规定的情形外，本合同一经签订，甲乙双方不得擅自终止合同或对合同实质性条款进行变更。确有特殊情况的，须经同级财政部门备案同意。</w:t>
      </w:r>
    </w:p>
    <w:p w14:paraId="224B1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十一、</w:t>
      </w:r>
      <w:r>
        <w:rPr>
          <w:rFonts w:hint="eastAsia" w:ascii="宋体" w:hAnsi="宋体" w:eastAsia="宋体" w:cs="宋体"/>
          <w:b/>
          <w:color w:val="auto"/>
          <w:kern w:val="0"/>
          <w:sz w:val="21"/>
          <w:szCs w:val="21"/>
        </w:rPr>
        <w:t>合同的转让与分包</w:t>
      </w:r>
    </w:p>
    <w:p w14:paraId="61C8D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宋体"/>
          <w:kern w:val="0"/>
          <w:sz w:val="21"/>
          <w:szCs w:val="21"/>
        </w:rPr>
      </w:pPr>
      <w:r>
        <w:rPr>
          <w:rFonts w:hint="eastAsia" w:ascii="宋体" w:hAnsi="宋体" w:eastAsia="宋体" w:cs="宋体"/>
          <w:color w:val="auto"/>
          <w:kern w:val="0"/>
          <w:sz w:val="21"/>
          <w:szCs w:val="21"/>
        </w:rPr>
        <w:t>乙方不得擅自部分或全部转让其应履行的合同义务，否则甲方有权单方解除本合同，要求乙方退还已收取的费用。</w:t>
      </w:r>
      <w:r>
        <w:rPr>
          <w:rStyle w:val="40"/>
          <w:rFonts w:hint="eastAsia" w:ascii="宋体" w:hAnsi="宋体" w:eastAsia="宋体" w:cs="宋体"/>
          <w:color w:val="FF0000"/>
          <w:sz w:val="21"/>
          <w:szCs w:val="21"/>
          <w:lang w:val="en-US" w:eastAsia="zh-CN"/>
        </w:rPr>
        <w:t xml:space="preserve">  </w:t>
      </w:r>
    </w:p>
    <w:p w14:paraId="015F1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十二、</w:t>
      </w:r>
      <w:r>
        <w:rPr>
          <w:rFonts w:hint="eastAsia" w:ascii="宋体" w:hAnsi="宋体" w:eastAsia="宋体" w:cs="宋体"/>
          <w:b/>
          <w:kern w:val="0"/>
          <w:sz w:val="21"/>
          <w:szCs w:val="21"/>
        </w:rPr>
        <w:t xml:space="preserve"> 争议的解决</w:t>
      </w:r>
    </w:p>
    <w:p w14:paraId="2420F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宋体"/>
          <w:kern w:val="0"/>
          <w:sz w:val="21"/>
          <w:szCs w:val="21"/>
        </w:rPr>
      </w:pPr>
      <w:bookmarkStart w:id="63" w:name="OLE_LINK3"/>
      <w:r>
        <w:rPr>
          <w:rFonts w:hint="eastAsia" w:ascii="宋体" w:hAnsi="宋体" w:eastAsia="宋体" w:cs="宋体"/>
          <w:kern w:val="0"/>
          <w:sz w:val="21"/>
          <w:szCs w:val="21"/>
        </w:rPr>
        <w:t>1.因履行本合同引起的或与本合同有关的争议，甲、乙双方应首先通过友好协商解决，如果协商不能解决争议，则采取以下第</w:t>
      </w:r>
      <w:r>
        <w:rPr>
          <w:rFonts w:hint="eastAsia" w:ascii="宋体" w:hAnsi="宋体" w:eastAsia="宋体" w:cs="宋体"/>
          <w:kern w:val="0"/>
          <w:sz w:val="21"/>
          <w:szCs w:val="21"/>
          <w:u w:val="single"/>
        </w:rPr>
        <w:t xml:space="preserve">  （1）  </w:t>
      </w:r>
      <w:r>
        <w:rPr>
          <w:rFonts w:hint="eastAsia" w:ascii="宋体" w:hAnsi="宋体" w:eastAsia="宋体" w:cs="宋体"/>
          <w:kern w:val="0"/>
          <w:sz w:val="21"/>
          <w:szCs w:val="21"/>
        </w:rPr>
        <w:t>种方式解决争议：</w:t>
      </w:r>
    </w:p>
    <w:p w14:paraId="20CDE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（1）向甲方所在地有管辖权的人民法院提起诉讼；</w:t>
      </w:r>
    </w:p>
    <w:p w14:paraId="5FA121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eastAsia="宋体" w:cs="宋体"/>
          <w:b/>
          <w:kern w:val="0"/>
          <w:sz w:val="21"/>
          <w:szCs w:val="21"/>
          <w:lang w:val="en-US" w:eastAsia="zh-CN"/>
        </w:rPr>
      </w:pPr>
      <w:r>
        <w:rPr>
          <w:rFonts w:hint="eastAsia" w:ascii="宋体" w:hAnsi="宋体" w:eastAsia="宋体" w:cs="宋体"/>
          <w:kern w:val="0"/>
          <w:sz w:val="21"/>
          <w:szCs w:val="21"/>
        </w:rPr>
        <w:t>（2）向</w:t>
      </w:r>
      <w:r>
        <w:rPr>
          <w:rFonts w:hint="eastAsia" w:ascii="宋体" w:hAnsi="宋体" w:eastAsia="宋体" w:cs="宋体"/>
          <w:kern w:val="0"/>
          <w:sz w:val="21"/>
          <w:szCs w:val="21"/>
          <w:u w:val="single"/>
        </w:rPr>
        <w:t xml:space="preserve">  舟山 </w:t>
      </w:r>
      <w:r>
        <w:rPr>
          <w:rFonts w:hint="eastAsia" w:ascii="宋体" w:hAnsi="宋体" w:eastAsia="宋体" w:cs="宋体"/>
          <w:kern w:val="0"/>
          <w:sz w:val="21"/>
          <w:szCs w:val="21"/>
        </w:rPr>
        <w:t>仲裁委员申请仲裁。</w:t>
      </w:r>
      <w:bookmarkEnd w:id="63"/>
    </w:p>
    <w:p w14:paraId="684E5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254EC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2ABCD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155857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42639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685B9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lang w:val="en-US" w:eastAsia="zh-CN"/>
        </w:rPr>
      </w:pPr>
    </w:p>
    <w:p w14:paraId="6D6A5B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十三、</w:t>
      </w:r>
      <w:r>
        <w:rPr>
          <w:rFonts w:hint="eastAsia" w:ascii="宋体" w:hAnsi="宋体" w:eastAsia="宋体" w:cs="宋体"/>
          <w:b/>
          <w:kern w:val="0"/>
          <w:sz w:val="21"/>
          <w:szCs w:val="21"/>
        </w:rPr>
        <w:t xml:space="preserve"> 合同备案及其他</w:t>
      </w:r>
    </w:p>
    <w:p w14:paraId="74FD3DA6">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0"/>
          <w:sz w:val="21"/>
          <w:szCs w:val="21"/>
        </w:rPr>
        <w:t>本合同一式</w:t>
      </w:r>
      <w:r>
        <w:rPr>
          <w:rFonts w:hint="eastAsia" w:ascii="宋体" w:hAnsi="宋体" w:eastAsia="宋体" w:cs="宋体"/>
          <w:kern w:val="0"/>
          <w:sz w:val="21"/>
          <w:szCs w:val="21"/>
          <w:u w:val="single"/>
        </w:rPr>
        <w:t xml:space="preserve"> 伍 </w:t>
      </w:r>
      <w:r>
        <w:rPr>
          <w:rFonts w:hint="eastAsia" w:ascii="宋体" w:hAnsi="宋体" w:eastAsia="宋体" w:cs="宋体"/>
          <w:kern w:val="0"/>
          <w:sz w:val="21"/>
          <w:szCs w:val="21"/>
        </w:rPr>
        <w:t>份，甲乙双方各执</w:t>
      </w:r>
      <w:r>
        <w:rPr>
          <w:rFonts w:hint="eastAsia" w:ascii="宋体" w:hAnsi="宋体" w:eastAsia="宋体" w:cs="宋体"/>
          <w:kern w:val="0"/>
          <w:sz w:val="21"/>
          <w:szCs w:val="21"/>
          <w:u w:val="single"/>
        </w:rPr>
        <w:t xml:space="preserve"> 贰 </w:t>
      </w:r>
      <w:r>
        <w:rPr>
          <w:rFonts w:hint="eastAsia" w:ascii="宋体" w:hAnsi="宋体" w:eastAsia="宋体" w:cs="宋体"/>
          <w:kern w:val="0"/>
          <w:sz w:val="21"/>
          <w:szCs w:val="21"/>
        </w:rPr>
        <w:t>份，</w:t>
      </w:r>
      <w:r>
        <w:rPr>
          <w:rFonts w:hint="eastAsia" w:ascii="宋体" w:hAnsi="宋体" w:eastAsia="宋体" w:cs="宋体"/>
          <w:kern w:val="0"/>
          <w:sz w:val="21"/>
          <w:szCs w:val="21"/>
          <w:u w:val="single"/>
        </w:rPr>
        <w:t xml:space="preserve"> 壹 </w:t>
      </w:r>
      <w:r>
        <w:rPr>
          <w:rFonts w:hint="eastAsia" w:ascii="宋体" w:hAnsi="宋体" w:eastAsia="宋体" w:cs="宋体"/>
          <w:kern w:val="0"/>
          <w:sz w:val="21"/>
          <w:szCs w:val="21"/>
        </w:rPr>
        <w:t>份留采购代理单位存档备查。</w:t>
      </w:r>
      <w:r>
        <w:rPr>
          <w:rFonts w:hint="eastAsia" w:ascii="宋体" w:hAnsi="宋体" w:eastAsia="宋体" w:cs="宋体"/>
          <w:b/>
          <w:bCs/>
          <w:kern w:val="0"/>
          <w:sz w:val="21"/>
          <w:szCs w:val="21"/>
          <w:u w:val="single"/>
        </w:rPr>
        <w:t>（若执行“政采贷”，另加贰份）</w:t>
      </w:r>
      <w:r>
        <w:rPr>
          <w:rFonts w:hint="eastAsia" w:ascii="宋体" w:hAnsi="宋体" w:cs="宋体"/>
          <w:b/>
          <w:bCs/>
          <w:kern w:val="0"/>
          <w:sz w:val="21"/>
          <w:szCs w:val="21"/>
          <w:u w:val="single"/>
          <w:lang w:eastAsia="zh-CN"/>
        </w:rPr>
        <w:t>。</w:t>
      </w:r>
    </w:p>
    <w:p w14:paraId="1F1F2A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61C224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354603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法定代表人或授权签字代表：              法定代表人或授权签字代表：</w:t>
      </w:r>
    </w:p>
    <w:p w14:paraId="34A6DB7A">
      <w:pPr>
        <w:spacing w:line="360" w:lineRule="auto"/>
        <w:ind w:firstLine="420" w:firstLineChars="200"/>
        <w:rPr>
          <w:rFonts w:hAnsi="宋体" w:cs="宋体"/>
          <w:color w:val="auto"/>
          <w:szCs w:val="21"/>
          <w:highlight w:val="none"/>
        </w:rPr>
      </w:pPr>
      <w:r>
        <w:rPr>
          <w:rFonts w:hint="eastAsia" w:ascii="宋体" w:hAnsi="宋体" w:cs="宋体"/>
          <w:color w:val="auto"/>
          <w:szCs w:val="21"/>
          <w:highlight w:val="none"/>
        </w:rPr>
        <w:t>签订日期：   年  月  日                 签订日期：   年  月  日</w:t>
      </w:r>
    </w:p>
    <w:p w14:paraId="3ED207B1">
      <w:pPr>
        <w:pStyle w:val="15"/>
        <w:snapToGrid w:val="0"/>
        <w:spacing w:before="120" w:after="120" w:line="360" w:lineRule="auto"/>
        <w:ind w:firstLine="420" w:firstLineChars="200"/>
        <w:outlineLvl w:val="0"/>
        <w:rPr>
          <w:rFonts w:hAnsi="宋体" w:cs="宋体"/>
          <w:color w:val="auto"/>
          <w:kern w:val="0"/>
          <w:szCs w:val="21"/>
          <w:highlight w:val="none"/>
        </w:rPr>
      </w:pPr>
      <w:r>
        <w:rPr>
          <w:rFonts w:hint="eastAsia" w:hAnsi="宋体" w:cs="宋体"/>
          <w:color w:val="auto"/>
          <w:szCs w:val="21"/>
          <w:highlight w:val="none"/>
        </w:rPr>
        <w:t>鉴证方：（盖章）</w:t>
      </w:r>
    </w:p>
    <w:p w14:paraId="27BCE9B5">
      <w:pPr>
        <w:spacing w:line="360" w:lineRule="auto"/>
        <w:rPr>
          <w:rFonts w:hint="default"/>
          <w:lang w:val="en-US" w:eastAsia="zh-CN"/>
        </w:rPr>
      </w:pPr>
    </w:p>
    <w:p w14:paraId="7FE0291D">
      <w:pPr>
        <w:spacing w:line="360" w:lineRule="auto"/>
        <w:rPr>
          <w:rFonts w:hint="eastAsia" w:ascii="宋体" w:hAnsi="宋体" w:eastAsia="宋体" w:cs="宋体"/>
          <w:sz w:val="21"/>
          <w:szCs w:val="21"/>
        </w:rPr>
      </w:pPr>
    </w:p>
    <w:p w14:paraId="554B3E56">
      <w:pPr>
        <w:spacing w:line="360" w:lineRule="auto"/>
        <w:rPr>
          <w:rFonts w:hint="eastAsia" w:ascii="宋体" w:hAnsi="宋体" w:eastAsia="宋体" w:cs="宋体"/>
          <w:sz w:val="21"/>
          <w:szCs w:val="21"/>
        </w:rPr>
      </w:pPr>
    </w:p>
    <w:p w14:paraId="64DE2DA2">
      <w:pPr>
        <w:spacing w:before="156" w:beforeLines="50" w:after="156" w:afterLines="50" w:line="360" w:lineRule="auto"/>
        <w:jc w:val="both"/>
        <w:rPr>
          <w:rFonts w:hint="eastAsia" w:ascii="宋体" w:hAnsi="宋体" w:cs="宋体"/>
          <w:b/>
          <w:color w:val="auto"/>
          <w:sz w:val="30"/>
          <w:szCs w:val="30"/>
        </w:rPr>
      </w:pPr>
    </w:p>
    <w:p w14:paraId="145C5017">
      <w:pPr>
        <w:spacing w:before="156" w:beforeLines="50" w:after="156" w:afterLines="50" w:line="440" w:lineRule="exact"/>
        <w:jc w:val="both"/>
        <w:rPr>
          <w:rFonts w:hint="eastAsia" w:ascii="宋体" w:hAnsi="宋体" w:cs="宋体"/>
          <w:b/>
          <w:color w:val="auto"/>
          <w:sz w:val="30"/>
          <w:szCs w:val="30"/>
        </w:rPr>
      </w:pPr>
    </w:p>
    <w:p w14:paraId="1A994C5B">
      <w:pPr>
        <w:pStyle w:val="13"/>
        <w:rPr>
          <w:rFonts w:hint="eastAsia" w:ascii="宋体" w:hAnsi="宋体" w:cs="宋体"/>
          <w:b/>
          <w:color w:val="auto"/>
          <w:sz w:val="30"/>
          <w:szCs w:val="30"/>
        </w:rPr>
      </w:pPr>
    </w:p>
    <w:p w14:paraId="34FA0134">
      <w:pPr>
        <w:rPr>
          <w:rFonts w:hint="eastAsia" w:ascii="宋体" w:hAnsi="宋体" w:cs="宋体"/>
          <w:b/>
          <w:color w:val="auto"/>
          <w:sz w:val="30"/>
          <w:szCs w:val="30"/>
        </w:rPr>
      </w:pPr>
    </w:p>
    <w:p w14:paraId="6B14F5BC">
      <w:pPr>
        <w:pStyle w:val="13"/>
        <w:rPr>
          <w:rFonts w:hint="eastAsia" w:ascii="宋体" w:hAnsi="宋体" w:cs="宋体"/>
          <w:b/>
          <w:color w:val="auto"/>
          <w:sz w:val="30"/>
          <w:szCs w:val="30"/>
        </w:rPr>
      </w:pPr>
    </w:p>
    <w:p w14:paraId="6BA90169">
      <w:pPr>
        <w:rPr>
          <w:rFonts w:hint="eastAsia" w:ascii="宋体" w:hAnsi="宋体" w:cs="宋体"/>
          <w:b/>
          <w:color w:val="auto"/>
          <w:sz w:val="30"/>
          <w:szCs w:val="30"/>
        </w:rPr>
      </w:pPr>
    </w:p>
    <w:p w14:paraId="3FCB4CB5">
      <w:pPr>
        <w:pStyle w:val="13"/>
        <w:rPr>
          <w:rFonts w:hint="eastAsia" w:ascii="宋体" w:hAnsi="宋体" w:cs="宋体"/>
          <w:b/>
          <w:color w:val="auto"/>
          <w:sz w:val="30"/>
          <w:szCs w:val="30"/>
        </w:rPr>
      </w:pPr>
    </w:p>
    <w:p w14:paraId="4E4AC31C">
      <w:pPr>
        <w:rPr>
          <w:rFonts w:hint="eastAsia" w:ascii="宋体" w:hAnsi="宋体" w:cs="宋体"/>
          <w:b/>
          <w:color w:val="auto"/>
          <w:sz w:val="30"/>
          <w:szCs w:val="30"/>
        </w:rPr>
      </w:pPr>
    </w:p>
    <w:p w14:paraId="10738619">
      <w:pPr>
        <w:pStyle w:val="13"/>
        <w:rPr>
          <w:rFonts w:hint="eastAsia" w:ascii="宋体" w:hAnsi="宋体" w:cs="宋体"/>
          <w:b/>
          <w:color w:val="auto"/>
          <w:sz w:val="30"/>
          <w:szCs w:val="30"/>
        </w:rPr>
      </w:pPr>
    </w:p>
    <w:p w14:paraId="2A62EAEF">
      <w:pPr>
        <w:pStyle w:val="13"/>
        <w:rPr>
          <w:rFonts w:hint="eastAsia" w:ascii="宋体" w:hAnsi="宋体" w:cs="宋体"/>
          <w:b/>
          <w:color w:val="auto"/>
          <w:sz w:val="30"/>
          <w:szCs w:val="30"/>
        </w:rPr>
      </w:pPr>
    </w:p>
    <w:p w14:paraId="213EAB0D">
      <w:pPr>
        <w:rPr>
          <w:rFonts w:hint="eastAsia" w:ascii="宋体" w:hAnsi="宋体" w:cs="宋体"/>
          <w:b/>
          <w:color w:val="auto"/>
          <w:sz w:val="30"/>
          <w:szCs w:val="30"/>
        </w:rPr>
      </w:pPr>
    </w:p>
    <w:p w14:paraId="6BC21B51">
      <w:pPr>
        <w:pStyle w:val="2"/>
        <w:rPr>
          <w:rFonts w:hint="eastAsia" w:ascii="宋体" w:hAnsi="宋体" w:cs="宋体"/>
          <w:b/>
          <w:color w:val="auto"/>
          <w:sz w:val="30"/>
          <w:szCs w:val="30"/>
        </w:rPr>
      </w:pPr>
    </w:p>
    <w:p w14:paraId="57D1071D">
      <w:pPr>
        <w:rPr>
          <w:rFonts w:hint="eastAsia" w:ascii="宋体" w:hAnsi="宋体" w:cs="宋体"/>
          <w:b/>
          <w:color w:val="auto"/>
          <w:sz w:val="30"/>
          <w:szCs w:val="30"/>
        </w:rPr>
      </w:pPr>
    </w:p>
    <w:p w14:paraId="4D80612E">
      <w:pPr>
        <w:pStyle w:val="2"/>
        <w:rPr>
          <w:rFonts w:hint="eastAsia"/>
        </w:rPr>
      </w:pPr>
    </w:p>
    <w:p w14:paraId="095D3724">
      <w:pPr>
        <w:rPr>
          <w:rFonts w:hint="eastAsia"/>
        </w:rPr>
      </w:pPr>
    </w:p>
    <w:p w14:paraId="6AF641F4">
      <w:pPr>
        <w:spacing w:before="156" w:beforeLines="50" w:after="156" w:afterLines="50" w:line="440" w:lineRule="exact"/>
        <w:jc w:val="center"/>
        <w:rPr>
          <w:rFonts w:ascii="宋体" w:hAnsi="宋体" w:cs="宋体"/>
          <w:b/>
          <w:color w:val="auto"/>
          <w:sz w:val="30"/>
          <w:szCs w:val="30"/>
        </w:rPr>
      </w:pPr>
      <w:r>
        <w:rPr>
          <w:rFonts w:hint="eastAsia" w:ascii="宋体" w:hAnsi="宋体" w:cs="宋体"/>
          <w:b/>
          <w:color w:val="auto"/>
          <w:sz w:val="30"/>
          <w:szCs w:val="30"/>
        </w:rPr>
        <w:t>第六章  投标文件格式</w:t>
      </w:r>
    </w:p>
    <w:p w14:paraId="283BACF9">
      <w:pPr>
        <w:snapToGrid w:val="0"/>
        <w:spacing w:before="156" w:beforeLines="50" w:after="50" w:line="440" w:lineRule="exact"/>
        <w:jc w:val="center"/>
        <w:outlineLvl w:val="1"/>
        <w:rPr>
          <w:rFonts w:ascii="宋体" w:hAnsi="宋体" w:cs="宋体"/>
          <w:color w:val="auto"/>
          <w:sz w:val="24"/>
        </w:rPr>
      </w:pPr>
      <w:r>
        <w:rPr>
          <w:rFonts w:hint="eastAsia" w:ascii="宋体" w:hAnsi="宋体" w:cs="宋体"/>
          <w:b/>
          <w:bCs/>
          <w:color w:val="auto"/>
          <w:sz w:val="24"/>
        </w:rPr>
        <w:t>一、资格文件格式</w:t>
      </w:r>
    </w:p>
    <w:p w14:paraId="3887B6B1">
      <w:pPr>
        <w:snapToGrid w:val="0"/>
        <w:spacing w:before="156" w:beforeLines="50" w:after="50" w:line="440" w:lineRule="exact"/>
        <w:rPr>
          <w:rFonts w:ascii="宋体" w:hAnsi="宋体" w:cs="宋体"/>
          <w:color w:val="auto"/>
          <w:sz w:val="24"/>
        </w:rPr>
      </w:pPr>
      <w:r>
        <w:rPr>
          <w:rFonts w:hint="eastAsia" w:ascii="宋体" w:hAnsi="宋体" w:cs="宋体"/>
          <w:color w:val="auto"/>
          <w:sz w:val="24"/>
        </w:rPr>
        <w:t>·资格文件封面格式：</w:t>
      </w:r>
    </w:p>
    <w:p w14:paraId="47955092">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1E244D1D">
      <w:pPr>
        <w:snapToGrid w:val="0"/>
        <w:spacing w:before="156" w:beforeLines="50" w:after="50" w:line="440" w:lineRule="exact"/>
        <w:rPr>
          <w:rFonts w:ascii="宋体" w:hAnsi="宋体" w:cs="宋体"/>
          <w:color w:val="auto"/>
          <w:sz w:val="24"/>
        </w:rPr>
      </w:pPr>
    </w:p>
    <w:p w14:paraId="6143AEDC">
      <w:pPr>
        <w:snapToGrid w:val="0"/>
        <w:spacing w:before="156" w:beforeLines="50" w:after="50" w:line="440" w:lineRule="exact"/>
        <w:jc w:val="center"/>
        <w:rPr>
          <w:rFonts w:ascii="宋体" w:hAnsi="宋体" w:cs="宋体"/>
          <w:bCs/>
          <w:color w:val="auto"/>
          <w:sz w:val="24"/>
        </w:rPr>
      </w:pPr>
    </w:p>
    <w:p w14:paraId="26CF5AAF">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资格</w:t>
      </w:r>
      <w:r>
        <w:rPr>
          <w:rFonts w:hint="eastAsia" w:ascii="宋体" w:hAnsi="宋体" w:cs="宋体"/>
          <w:color w:val="auto"/>
          <w:sz w:val="24"/>
        </w:rPr>
        <w:t>文件</w:t>
      </w:r>
    </w:p>
    <w:p w14:paraId="3861B307">
      <w:pPr>
        <w:snapToGrid w:val="0"/>
        <w:spacing w:before="156" w:beforeLines="50" w:after="50" w:line="440" w:lineRule="exact"/>
        <w:rPr>
          <w:rFonts w:ascii="宋体" w:hAnsi="宋体" w:cs="宋体"/>
          <w:bCs/>
          <w:color w:val="auto"/>
          <w:sz w:val="24"/>
        </w:rPr>
      </w:pPr>
    </w:p>
    <w:p w14:paraId="1981027D">
      <w:pPr>
        <w:snapToGrid w:val="0"/>
        <w:spacing w:before="156" w:beforeLines="50" w:after="50" w:line="440" w:lineRule="exact"/>
        <w:ind w:firstLine="1068" w:firstLineChars="445"/>
        <w:rPr>
          <w:rFonts w:ascii="宋体" w:hAnsi="宋体" w:cs="宋体"/>
          <w:bCs/>
          <w:color w:val="auto"/>
          <w:sz w:val="24"/>
        </w:rPr>
      </w:pPr>
      <w:r>
        <w:rPr>
          <w:rFonts w:hint="eastAsia" w:ascii="宋体" w:hAnsi="宋体" w:cs="宋体"/>
          <w:bCs/>
          <w:color w:val="auto"/>
          <w:sz w:val="24"/>
        </w:rPr>
        <w:t>项目名称：</w:t>
      </w:r>
    </w:p>
    <w:p w14:paraId="2C72F256">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项目编号：</w:t>
      </w:r>
    </w:p>
    <w:p w14:paraId="44DBDA1A">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投标人名称：</w:t>
      </w:r>
    </w:p>
    <w:p w14:paraId="2E5187E5">
      <w:pPr>
        <w:pStyle w:val="9"/>
        <w:spacing w:before="50" w:after="50" w:line="440" w:lineRule="exact"/>
        <w:ind w:firstLine="998" w:firstLineChars="416"/>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投标人地址：</w:t>
      </w:r>
    </w:p>
    <w:p w14:paraId="56C9FE9E">
      <w:pPr>
        <w:snapToGrid w:val="0"/>
        <w:spacing w:before="156" w:beforeLines="50" w:after="50" w:line="440" w:lineRule="exact"/>
        <w:ind w:firstLine="4080" w:firstLineChars="1700"/>
        <w:rPr>
          <w:rFonts w:ascii="宋体" w:hAnsi="宋体" w:cs="宋体"/>
          <w:color w:val="auto"/>
          <w:sz w:val="24"/>
        </w:rPr>
      </w:pPr>
    </w:p>
    <w:p w14:paraId="4BF7E055">
      <w:pPr>
        <w:snapToGrid w:val="0"/>
        <w:spacing w:before="156" w:beforeLines="50" w:after="50" w:line="440" w:lineRule="exact"/>
        <w:ind w:firstLine="645"/>
        <w:jc w:val="center"/>
        <w:rPr>
          <w:rFonts w:ascii="宋体" w:hAnsi="宋体" w:cs="宋体"/>
          <w:b/>
          <w:color w:val="auto"/>
          <w:sz w:val="24"/>
        </w:rPr>
      </w:pPr>
      <w:r>
        <w:rPr>
          <w:rFonts w:hint="eastAsia" w:ascii="宋体" w:hAnsi="宋体" w:cs="宋体"/>
          <w:color w:val="auto"/>
          <w:sz w:val="24"/>
        </w:rPr>
        <w:t xml:space="preserve">                        年  月  日</w:t>
      </w:r>
    </w:p>
    <w:p w14:paraId="354F37E4">
      <w:pPr>
        <w:pStyle w:val="30"/>
        <w:spacing w:before="0" w:beforeAutospacing="0" w:after="0" w:afterAutospacing="0" w:line="420" w:lineRule="exact"/>
        <w:jc w:val="both"/>
        <w:rPr>
          <w:color w:val="auto"/>
          <w:sz w:val="21"/>
          <w:szCs w:val="21"/>
        </w:rPr>
      </w:pPr>
      <w:bookmarkStart w:id="64" w:name="OLE_LINK9"/>
    </w:p>
    <w:p w14:paraId="07349810">
      <w:pPr>
        <w:snapToGrid w:val="0"/>
        <w:spacing w:line="360" w:lineRule="auto"/>
        <w:rPr>
          <w:rFonts w:ascii="宋体" w:hAnsi="宋体" w:cs="宋体"/>
          <w:color w:val="auto"/>
          <w:szCs w:val="21"/>
        </w:rPr>
      </w:pPr>
      <w:r>
        <w:rPr>
          <w:rFonts w:hint="eastAsia" w:ascii="宋体" w:hAnsi="宋体" w:cs="宋体"/>
          <w:b/>
          <w:color w:val="auto"/>
          <w:sz w:val="24"/>
        </w:rPr>
        <w:br w:type="page"/>
      </w:r>
      <w:bookmarkEnd w:id="64"/>
      <w:r>
        <w:rPr>
          <w:rFonts w:hint="eastAsia" w:ascii="宋体" w:hAnsi="宋体" w:cs="宋体"/>
          <w:b/>
          <w:color w:val="auto"/>
          <w:szCs w:val="21"/>
        </w:rPr>
        <w:t>资格文件、商务技术文件及报价文件目录</w:t>
      </w:r>
      <w:r>
        <w:rPr>
          <w:rFonts w:hint="eastAsia" w:ascii="宋体" w:hAnsi="宋体" w:cs="宋体"/>
          <w:b/>
          <w:bCs/>
          <w:color w:val="auto"/>
          <w:szCs w:val="21"/>
        </w:rPr>
        <w:t>（请按照“第三章投标人须知，三、投标文件的编制”的顺序、评分内容自行编制目录）</w:t>
      </w:r>
    </w:p>
    <w:p w14:paraId="385AFF9B">
      <w:pPr>
        <w:snapToGrid w:val="0"/>
        <w:spacing w:line="360" w:lineRule="auto"/>
        <w:rPr>
          <w:rFonts w:ascii="宋体" w:hAnsi="宋体" w:cs="宋体"/>
          <w:b/>
          <w:bCs/>
          <w:color w:val="auto"/>
          <w:szCs w:val="21"/>
        </w:rPr>
      </w:pPr>
      <w:r>
        <w:rPr>
          <w:rFonts w:hint="eastAsia" w:ascii="宋体" w:hAnsi="宋体" w:cs="宋体"/>
          <w:b/>
          <w:bCs/>
          <w:color w:val="auto"/>
          <w:szCs w:val="21"/>
        </w:rPr>
        <w:t>例如：</w:t>
      </w:r>
    </w:p>
    <w:p w14:paraId="2D481D76">
      <w:pPr>
        <w:snapToGrid w:val="0"/>
        <w:spacing w:line="360" w:lineRule="auto"/>
        <w:rPr>
          <w:rFonts w:ascii="宋体" w:hAnsi="宋体" w:cs="宋体"/>
          <w:color w:val="auto"/>
          <w:szCs w:val="21"/>
        </w:rPr>
      </w:pPr>
      <w:r>
        <w:rPr>
          <w:rFonts w:hint="eastAsia" w:ascii="宋体" w:hAnsi="宋体" w:cs="宋体"/>
          <w:b/>
          <w:bCs/>
          <w:color w:val="auto"/>
          <w:szCs w:val="21"/>
        </w:rPr>
        <w:t>资格文件：</w:t>
      </w:r>
    </w:p>
    <w:p w14:paraId="3B1B23D8">
      <w:pPr>
        <w:snapToGrid w:val="0"/>
        <w:spacing w:line="360" w:lineRule="auto"/>
        <w:jc w:val="left"/>
        <w:rPr>
          <w:rFonts w:ascii="宋体" w:hAnsi="宋体" w:cs="宋体"/>
          <w:color w:val="auto"/>
          <w:szCs w:val="21"/>
        </w:rPr>
      </w:pPr>
      <w:r>
        <w:rPr>
          <w:rFonts w:hint="eastAsia" w:ascii="宋体" w:hAnsi="宋体" w:cs="宋体"/>
          <w:color w:val="auto"/>
          <w:szCs w:val="21"/>
        </w:rPr>
        <w:t>（1）投标声明书(格式见附件)————————页码</w:t>
      </w:r>
    </w:p>
    <w:p w14:paraId="65817333">
      <w:pPr>
        <w:snapToGrid w:val="0"/>
        <w:spacing w:line="360" w:lineRule="auto"/>
        <w:jc w:val="left"/>
        <w:rPr>
          <w:rFonts w:ascii="宋体" w:hAnsi="宋体" w:cs="宋体"/>
          <w:color w:val="auto"/>
          <w:szCs w:val="21"/>
        </w:rPr>
      </w:pPr>
      <w:r>
        <w:rPr>
          <w:rFonts w:hint="eastAsia" w:ascii="宋体" w:hAnsi="宋体" w:cs="宋体"/>
          <w:color w:val="auto"/>
          <w:szCs w:val="21"/>
        </w:rPr>
        <w:t>（2）法定代表人授权委托书(格式见附件)————————</w:t>
      </w:r>
    </w:p>
    <w:p w14:paraId="104856DE">
      <w:pPr>
        <w:snapToGrid w:val="0"/>
        <w:spacing w:line="360" w:lineRule="auto"/>
        <w:jc w:val="left"/>
        <w:rPr>
          <w:rFonts w:ascii="宋体" w:hAnsi="宋体" w:cs="宋体"/>
          <w:b/>
          <w:color w:val="auto"/>
          <w:szCs w:val="21"/>
        </w:rPr>
      </w:pPr>
      <w:r>
        <w:rPr>
          <w:rFonts w:hint="eastAsia" w:ascii="宋体" w:hAnsi="宋体" w:cs="宋体"/>
          <w:b/>
          <w:color w:val="auto"/>
          <w:szCs w:val="21"/>
        </w:rPr>
        <w:t>......</w:t>
      </w:r>
    </w:p>
    <w:p w14:paraId="2E09EF56">
      <w:pPr>
        <w:snapToGrid w:val="0"/>
        <w:spacing w:line="360" w:lineRule="auto"/>
        <w:rPr>
          <w:rFonts w:ascii="宋体" w:hAnsi="宋体" w:cs="宋体"/>
          <w:color w:val="auto"/>
          <w:sz w:val="32"/>
          <w:szCs w:val="32"/>
        </w:rPr>
      </w:pPr>
      <w:bookmarkStart w:id="65" w:name="OLE_LINK11"/>
    </w:p>
    <w:p w14:paraId="51CDEA52">
      <w:pPr>
        <w:spacing w:line="460" w:lineRule="exac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hint="eastAsia" w:ascii="宋体" w:hAnsi="宋体" w:cs="宋体"/>
          <w:b/>
          <w:color w:val="auto"/>
          <w:sz w:val="24"/>
          <w:lang w:val="en-US" w:eastAsia="zh-CN"/>
        </w:rPr>
        <w:t>.</w:t>
      </w:r>
      <w:r>
        <w:rPr>
          <w:rFonts w:hint="eastAsia" w:ascii="宋体" w:hAnsi="宋体" w:cs="宋体"/>
          <w:b/>
          <w:color w:val="auto"/>
          <w:sz w:val="24"/>
        </w:rPr>
        <w:t>投标声明书格式：</w:t>
      </w:r>
    </w:p>
    <w:bookmarkEnd w:id="65"/>
    <w:p w14:paraId="2B997CD2">
      <w:pPr>
        <w:snapToGrid w:val="0"/>
        <w:spacing w:before="156" w:beforeLines="50" w:after="50" w:line="440" w:lineRule="exact"/>
        <w:jc w:val="center"/>
        <w:rPr>
          <w:rFonts w:ascii="宋体" w:hAnsi="宋体" w:cs="宋体"/>
          <w:b/>
          <w:bCs/>
          <w:color w:val="auto"/>
          <w:sz w:val="32"/>
          <w:szCs w:val="32"/>
        </w:rPr>
      </w:pPr>
      <w:bookmarkStart w:id="66" w:name="OLE_LINK12"/>
      <w:r>
        <w:rPr>
          <w:rFonts w:hint="eastAsia" w:ascii="宋体" w:hAnsi="宋体" w:cs="宋体"/>
          <w:b/>
          <w:bCs/>
          <w:color w:val="auto"/>
          <w:sz w:val="32"/>
          <w:szCs w:val="32"/>
        </w:rPr>
        <w:t>投标声明书</w:t>
      </w:r>
    </w:p>
    <w:p w14:paraId="43999B0A">
      <w:pPr>
        <w:snapToGrid w:val="0"/>
        <w:spacing w:before="156" w:beforeLines="50" w:after="50"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3C578E12">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5690BB78">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（投标人名称）的法定代表人，我方愿意参加贵方组织的</w:t>
      </w:r>
      <w:r>
        <w:rPr>
          <w:rFonts w:hint="eastAsia" w:ascii="宋体" w:hAnsi="宋体" w:cs="宋体"/>
          <w:color w:val="auto"/>
          <w:sz w:val="24"/>
          <w:u w:val="single"/>
        </w:rPr>
        <w:t xml:space="preserve">                       </w:t>
      </w:r>
      <w:r>
        <w:rPr>
          <w:rFonts w:hint="eastAsia" w:ascii="宋体" w:hAnsi="宋体" w:cs="宋体"/>
          <w:color w:val="auto"/>
          <w:sz w:val="24"/>
        </w:rPr>
        <w:t>项目的投标，为便于贵方公正、择优地确定中标人及服务，我方就本次投标有关事项郑重声明如下：</w:t>
      </w:r>
    </w:p>
    <w:p w14:paraId="15A7406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1.我方向贵方提交的所有投标文件、资料都是准确的和真实的。</w:t>
      </w:r>
    </w:p>
    <w:p w14:paraId="367DA416">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2.我方不是采购人的附属机构；在获知本项目投标信息后，与采购人聘请的为此项目提供采购代理公司及其附属机构没有任何联系。</w:t>
      </w:r>
    </w:p>
    <w:p w14:paraId="300A5E8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3.以上事项如有虚假或隐瞒，我方愿意承担一切后果，并不再寻求任何旨在减轻或免除法律责任的辩解。</w:t>
      </w:r>
    </w:p>
    <w:p w14:paraId="65BAF533">
      <w:pPr>
        <w:pStyle w:val="14"/>
        <w:tabs>
          <w:tab w:val="left" w:pos="939"/>
        </w:tabs>
        <w:snapToGrid w:val="0"/>
        <w:spacing w:line="440" w:lineRule="exact"/>
        <w:ind w:left="773" w:leftChars="150" w:hanging="458" w:hangingChars="191"/>
        <w:rPr>
          <w:rFonts w:ascii="宋体" w:hAnsi="宋体"/>
          <w:color w:val="auto"/>
          <w:sz w:val="24"/>
        </w:rPr>
      </w:pPr>
    </w:p>
    <w:p w14:paraId="0AF47704">
      <w:pPr>
        <w:pStyle w:val="14"/>
        <w:tabs>
          <w:tab w:val="left" w:pos="939"/>
        </w:tabs>
        <w:snapToGrid w:val="0"/>
        <w:spacing w:line="440" w:lineRule="exact"/>
        <w:ind w:left="773" w:leftChars="150" w:hanging="458" w:hangingChars="191"/>
        <w:rPr>
          <w:rFonts w:ascii="宋体" w:hAnsi="宋体"/>
          <w:color w:val="auto"/>
          <w:sz w:val="24"/>
        </w:rPr>
      </w:pPr>
    </w:p>
    <w:p w14:paraId="315643FE">
      <w:pPr>
        <w:snapToGrid w:val="0"/>
        <w:spacing w:before="156" w:beforeLines="50" w:line="440" w:lineRule="exact"/>
        <w:rPr>
          <w:rFonts w:ascii="宋体" w:hAnsi="宋体" w:cs="宋体"/>
          <w:color w:val="auto"/>
          <w:sz w:val="24"/>
          <w:u w:val="single"/>
        </w:rPr>
      </w:pPr>
      <w:r>
        <w:rPr>
          <w:rFonts w:hint="eastAsia" w:ascii="宋体" w:hAnsi="宋体" w:cs="宋体"/>
          <w:color w:val="auto"/>
          <w:sz w:val="24"/>
        </w:rPr>
        <w:t>法定代表人或其委托代理人（签字或盖章）：</w:t>
      </w:r>
      <w:r>
        <w:rPr>
          <w:rFonts w:hint="eastAsia" w:ascii="宋体" w:hAnsi="宋体" w:cs="宋体"/>
          <w:color w:val="auto"/>
          <w:sz w:val="24"/>
          <w:u w:val="single"/>
        </w:rPr>
        <w:t xml:space="preserve">             </w:t>
      </w:r>
    </w:p>
    <w:p w14:paraId="4746576A">
      <w:pPr>
        <w:widowControl/>
        <w:spacing w:line="360" w:lineRule="auto"/>
        <w:jc w:val="left"/>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4C3A4C9">
      <w:pPr>
        <w:widowControl/>
        <w:spacing w:line="360" w:lineRule="auto"/>
        <w:jc w:val="left"/>
        <w:rPr>
          <w:rFonts w:ascii="宋体" w:hAnsi="宋体" w:cs="宋体"/>
          <w:color w:val="auto"/>
          <w:sz w:val="24"/>
        </w:rPr>
      </w:pPr>
      <w:r>
        <w:rPr>
          <w:rFonts w:hint="eastAsia" w:ascii="宋体" w:hAnsi="宋体" w:cs="宋体"/>
          <w:color w:val="auto"/>
          <w:sz w:val="24"/>
        </w:rPr>
        <w:t xml:space="preserve">        年    月    日</w:t>
      </w:r>
    </w:p>
    <w:bookmarkEnd w:id="66"/>
    <w:p w14:paraId="006B9A3D">
      <w:pPr>
        <w:widowControl/>
        <w:spacing w:line="360" w:lineRule="auto"/>
        <w:jc w:val="left"/>
        <w:rPr>
          <w:rFonts w:ascii="宋体" w:hAnsi="宋体" w:cs="宋体"/>
          <w:b/>
          <w:color w:val="auto"/>
          <w:sz w:val="24"/>
        </w:rPr>
      </w:pPr>
      <w:r>
        <w:rPr>
          <w:rFonts w:hint="eastAsia" w:ascii="宋体" w:hAnsi="宋体" w:cs="宋体"/>
          <w:color w:val="auto"/>
          <w:sz w:val="24"/>
        </w:rPr>
        <w:br w:type="page"/>
      </w:r>
      <w:bookmarkStart w:id="67" w:name="OLE_LINK15"/>
      <w:r>
        <w:rPr>
          <w:rFonts w:hint="eastAsia" w:ascii="宋体" w:hAnsi="宋体" w:cs="宋体"/>
          <w:b/>
          <w:bCs/>
          <w:color w:val="auto"/>
          <w:sz w:val="24"/>
        </w:rPr>
        <w:t>2</w:t>
      </w:r>
      <w:r>
        <w:rPr>
          <w:rFonts w:hint="eastAsia" w:ascii="宋体" w:hAnsi="宋体" w:cs="宋体"/>
          <w:b/>
          <w:bCs/>
          <w:color w:val="auto"/>
          <w:sz w:val="24"/>
          <w:lang w:val="en-US" w:eastAsia="zh-CN"/>
        </w:rPr>
        <w:t>.</w:t>
      </w:r>
      <w:r>
        <w:rPr>
          <w:rFonts w:hint="eastAsia" w:ascii="宋体" w:hAnsi="宋体" w:cs="宋体"/>
          <w:b/>
          <w:bCs/>
          <w:color w:val="auto"/>
          <w:sz w:val="24"/>
        </w:rPr>
        <w:t>法定代表人</w:t>
      </w:r>
      <w:r>
        <w:rPr>
          <w:rFonts w:hint="eastAsia" w:ascii="宋体" w:hAnsi="宋体" w:cs="宋体"/>
          <w:b/>
          <w:bCs/>
          <w:color w:val="auto"/>
          <w:sz w:val="24"/>
          <w:lang w:val="en-US" w:eastAsia="zh-CN"/>
        </w:rPr>
        <w:t>或</w:t>
      </w:r>
      <w:r>
        <w:rPr>
          <w:rFonts w:hint="eastAsia" w:ascii="宋体" w:hAnsi="宋体" w:cs="宋体"/>
          <w:b/>
          <w:bCs/>
          <w:color w:val="auto"/>
          <w:sz w:val="24"/>
        </w:rPr>
        <w:t>授权委托书格式：</w:t>
      </w:r>
      <w:bookmarkEnd w:id="67"/>
    </w:p>
    <w:p w14:paraId="17CBC4E9">
      <w:pPr>
        <w:snapToGrid w:val="0"/>
        <w:spacing w:before="156" w:beforeLines="50" w:after="50" w:line="440" w:lineRule="exact"/>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4025AE75">
      <w:pPr>
        <w:snapToGrid w:val="0"/>
        <w:spacing w:before="156" w:beforeLines="50" w:after="50" w:line="440" w:lineRule="exact"/>
        <w:rPr>
          <w:rFonts w:ascii="宋体" w:hAnsi="宋体" w:cs="宋体"/>
          <w:b/>
          <w:bCs/>
          <w:color w:val="auto"/>
          <w:sz w:val="24"/>
        </w:rPr>
      </w:pPr>
      <w:r>
        <w:rPr>
          <w:rFonts w:hint="eastAsia" w:ascii="宋体" w:hAnsi="宋体" w:cs="宋体"/>
          <w:bCs/>
          <w:color w:val="auto"/>
          <w:sz w:val="24"/>
        </w:rPr>
        <w:t>致：</w:t>
      </w:r>
      <w:r>
        <w:rPr>
          <w:rFonts w:hint="eastAsia" w:ascii="宋体" w:hAnsi="宋体" w:cs="宋体"/>
          <w:bCs/>
          <w:color w:val="auto"/>
          <w:sz w:val="24"/>
          <w:u w:val="single"/>
        </w:rPr>
        <w:t xml:space="preserve">               </w:t>
      </w:r>
      <w:r>
        <w:rPr>
          <w:rFonts w:hint="eastAsia" w:ascii="宋体" w:hAnsi="宋体" w:cs="宋体"/>
          <w:color w:val="auto"/>
          <w:sz w:val="24"/>
        </w:rPr>
        <w:t>（采购单位名称）：</w:t>
      </w:r>
    </w:p>
    <w:p w14:paraId="40ABD982">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被授权人无</w:t>
      </w:r>
      <w:r>
        <w:rPr>
          <w:rFonts w:hint="eastAsia" w:ascii="宋体" w:hAnsi="宋体" w:cs="宋体"/>
          <w:color w:val="auto"/>
          <w:sz w:val="24"/>
          <w:lang w:val="en-US" w:eastAsia="zh-CN"/>
        </w:rPr>
        <w:t>权</w:t>
      </w:r>
      <w:r>
        <w:rPr>
          <w:rFonts w:hint="eastAsia" w:ascii="宋体" w:hAnsi="宋体" w:cs="宋体"/>
          <w:color w:val="auto"/>
          <w:sz w:val="24"/>
        </w:rPr>
        <w:t>转委托权，特此委托。我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（投标人名称）的法定代表人，现授权委托本单位在职职工</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项目的投标活动，并代表我方处理投标活动的相关事宜。</w:t>
      </w:r>
    </w:p>
    <w:p w14:paraId="646E0B27">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我方对被授权人的签名事项负全部责任。</w:t>
      </w:r>
    </w:p>
    <w:p w14:paraId="2424CDC8">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14:paraId="766FCBBB">
      <w:pPr>
        <w:snapToGrid w:val="0"/>
        <w:spacing w:before="156" w:beforeLines="50" w:after="50" w:line="440" w:lineRule="exact"/>
        <w:ind w:firstLine="480"/>
        <w:rPr>
          <w:rFonts w:ascii="宋体" w:hAnsi="宋体" w:cs="宋体"/>
          <w:color w:val="auto"/>
          <w:sz w:val="24"/>
        </w:rPr>
      </w:pPr>
      <w:r>
        <w:rPr>
          <w:rFonts w:hint="eastAsia" w:ascii="宋体" w:hAnsi="宋体" w:cs="宋体"/>
          <w:color w:val="auto"/>
          <w:sz w:val="24"/>
        </w:rPr>
        <w:t>被授权人无</w:t>
      </w:r>
      <w:r>
        <w:rPr>
          <w:rFonts w:hint="eastAsia" w:ascii="宋体" w:hAnsi="宋体" w:cs="宋体"/>
          <w:color w:val="auto"/>
          <w:sz w:val="24"/>
          <w:lang w:val="en-US" w:eastAsia="zh-CN"/>
        </w:rPr>
        <w:t>权</w:t>
      </w:r>
      <w:r>
        <w:rPr>
          <w:rFonts w:hint="eastAsia" w:ascii="宋体" w:hAnsi="宋体" w:cs="宋体"/>
          <w:color w:val="auto"/>
          <w:sz w:val="24"/>
        </w:rPr>
        <w:t>转委托权，特此委托。</w:t>
      </w:r>
    </w:p>
    <w:p w14:paraId="017132ED">
      <w:pPr>
        <w:snapToGrid w:val="0"/>
        <w:spacing w:before="156" w:beforeLines="50" w:after="50" w:line="440" w:lineRule="exact"/>
        <w:rPr>
          <w:rFonts w:ascii="宋体" w:hAnsi="宋体" w:cs="宋体"/>
          <w:color w:val="auto"/>
          <w:sz w:val="24"/>
        </w:rPr>
      </w:pPr>
    </w:p>
    <w:p w14:paraId="20C8BA53">
      <w:pPr>
        <w:snapToGrid w:val="0"/>
        <w:spacing w:before="156" w:beforeLines="50" w:after="50" w:line="440" w:lineRule="exact"/>
        <w:rPr>
          <w:rFonts w:ascii="宋体" w:hAnsi="宋体" w:cs="宋体"/>
          <w:color w:val="auto"/>
          <w:sz w:val="24"/>
          <w:u w:val="single"/>
        </w:rPr>
      </w:pPr>
      <w:r>
        <w:rPr>
          <w:rFonts w:hint="eastAsia" w:ascii="宋体" w:hAnsi="宋体" w:cs="宋体"/>
          <w:color w:val="auto"/>
          <w:sz w:val="24"/>
        </w:rPr>
        <w:t>被授权人：</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法定代表人签名或盖章：</w:t>
      </w:r>
      <w:r>
        <w:rPr>
          <w:rFonts w:hint="eastAsia" w:ascii="宋体" w:hAnsi="宋体" w:cs="宋体"/>
          <w:color w:val="auto"/>
          <w:sz w:val="24"/>
          <w:u w:val="single"/>
        </w:rPr>
        <w:t xml:space="preserve">          </w:t>
      </w:r>
    </w:p>
    <w:p w14:paraId="4CB406C9">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199A95A4">
      <w:pPr>
        <w:snapToGrid w:val="0"/>
        <w:spacing w:before="156" w:beforeLines="50" w:after="50" w:line="440" w:lineRule="exact"/>
        <w:rPr>
          <w:rFonts w:ascii="宋体" w:hAnsi="宋体" w:cs="宋体"/>
          <w:color w:val="auto"/>
          <w:sz w:val="24"/>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BFA4B8C">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                                     投标人公章：</w:t>
      </w:r>
    </w:p>
    <w:p w14:paraId="529A85D6">
      <w:pPr>
        <w:snapToGrid w:val="0"/>
        <w:spacing w:before="156" w:beforeLines="50" w:after="50" w:line="440" w:lineRule="exact"/>
        <w:jc w:val="center"/>
        <w:rPr>
          <w:rFonts w:ascii="宋体" w:hAnsi="宋体" w:cs="宋体"/>
          <w:color w:val="auto"/>
          <w:sz w:val="24"/>
        </w:rPr>
      </w:pPr>
      <w:r>
        <w:rPr>
          <w:rFonts w:hint="eastAsia" w:ascii="宋体" w:hAnsi="宋体" w:cs="宋体"/>
          <w:color w:val="auto"/>
          <w:sz w:val="24"/>
        </w:rPr>
        <w:t xml:space="preserve">                                        年    月    日</w:t>
      </w:r>
    </w:p>
    <w:p w14:paraId="1B67AFED">
      <w:pPr>
        <w:snapToGrid w:val="0"/>
        <w:spacing w:before="156" w:beforeLines="50"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供应商市场行为信誉（信用）情况承诺书格式：</w:t>
      </w:r>
    </w:p>
    <w:p w14:paraId="43B54072">
      <w:pPr>
        <w:pStyle w:val="24"/>
        <w:snapToGrid w:val="0"/>
        <w:spacing w:line="360" w:lineRule="auto"/>
        <w:ind w:left="643" w:hanging="643"/>
        <w:jc w:val="center"/>
        <w:rPr>
          <w:rFonts w:ascii="宋体" w:hAnsi="宋体"/>
          <w:b/>
          <w:color w:val="auto"/>
          <w:sz w:val="32"/>
          <w:szCs w:val="32"/>
        </w:rPr>
      </w:pPr>
      <w:r>
        <w:rPr>
          <w:rFonts w:hint="eastAsia" w:ascii="宋体" w:hAnsi="宋体"/>
          <w:b/>
          <w:color w:val="auto"/>
          <w:sz w:val="32"/>
          <w:szCs w:val="32"/>
        </w:rPr>
        <w:t>供应商市场行为信誉（信用）情况承诺书（申明书）</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744F4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vAlign w:val="center"/>
          </w:tcPr>
          <w:p w14:paraId="4C52953F">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投（竞）标</w:t>
            </w:r>
            <w:r>
              <w:rPr>
                <w:rFonts w:hint="eastAsia" w:ascii="宋体" w:hAnsi="宋体" w:cs="宋体"/>
                <w:b/>
                <w:bCs/>
                <w:color w:val="auto"/>
              </w:rPr>
              <w:t>供应商</w:t>
            </w:r>
            <w:r>
              <w:rPr>
                <w:rFonts w:hint="eastAsia" w:ascii="宋体" w:hAnsi="宋体" w:cs="宋体"/>
                <w:color w:val="auto"/>
              </w:rPr>
              <w:t xml:space="preserve">名称 </w:t>
            </w:r>
          </w:p>
        </w:tc>
        <w:tc>
          <w:tcPr>
            <w:tcW w:w="2685" w:type="dxa"/>
            <w:tcBorders>
              <w:top w:val="single" w:color="auto" w:sz="4" w:space="0"/>
              <w:left w:val="dotted" w:color="auto" w:sz="4" w:space="0"/>
              <w:bottom w:val="dotted" w:color="auto" w:sz="4" w:space="0"/>
              <w:right w:val="dotted" w:color="auto" w:sz="4" w:space="0"/>
            </w:tcBorders>
            <w:vAlign w:val="center"/>
          </w:tcPr>
          <w:p w14:paraId="5594CD51">
            <w:pPr>
              <w:spacing w:line="260" w:lineRule="exact"/>
              <w:rPr>
                <w:rFonts w:ascii="宋体" w:hAnsi="宋体" w:cs="宋体"/>
                <w:color w:val="auto"/>
                <w:sz w:val="18"/>
                <w:szCs w:val="18"/>
              </w:rPr>
            </w:pPr>
          </w:p>
        </w:tc>
        <w:tc>
          <w:tcPr>
            <w:tcW w:w="2112" w:type="dxa"/>
            <w:tcBorders>
              <w:top w:val="single" w:color="auto" w:sz="4" w:space="0"/>
              <w:left w:val="dotted" w:color="auto" w:sz="4" w:space="0"/>
              <w:bottom w:val="dotted" w:color="auto" w:sz="4" w:space="0"/>
              <w:right w:val="dotted" w:color="auto" w:sz="4" w:space="0"/>
            </w:tcBorders>
            <w:vAlign w:val="center"/>
          </w:tcPr>
          <w:p w14:paraId="0E50BD03">
            <w:pPr>
              <w:spacing w:before="100" w:beforeAutospacing="1" w:after="100" w:afterAutospacing="1" w:line="260" w:lineRule="exact"/>
              <w:jc w:val="center"/>
              <w:rPr>
                <w:rFonts w:ascii="宋体" w:hAnsi="宋体" w:cs="宋体"/>
                <w:color w:val="auto"/>
              </w:rPr>
            </w:pPr>
            <w:r>
              <w:rPr>
                <w:rFonts w:hint="eastAsia" w:ascii="宋体" w:hAnsi="宋体" w:cs="宋体"/>
                <w:color w:val="auto"/>
              </w:rPr>
              <w:t>企业资质等级</w:t>
            </w:r>
          </w:p>
          <w:p w14:paraId="7FFD3C5F">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（如 有） </w:t>
            </w:r>
          </w:p>
        </w:tc>
        <w:tc>
          <w:tcPr>
            <w:tcW w:w="2340" w:type="dxa"/>
            <w:tcBorders>
              <w:top w:val="single" w:color="auto" w:sz="4" w:space="0"/>
              <w:left w:val="dotted" w:color="auto" w:sz="4" w:space="0"/>
              <w:bottom w:val="dotted" w:color="auto" w:sz="4" w:space="0"/>
              <w:right w:val="single" w:color="auto" w:sz="4" w:space="0"/>
            </w:tcBorders>
            <w:vAlign w:val="center"/>
          </w:tcPr>
          <w:p w14:paraId="2B8C7A86">
            <w:pPr>
              <w:spacing w:line="260" w:lineRule="exact"/>
              <w:rPr>
                <w:rFonts w:ascii="宋体" w:hAnsi="宋体" w:cs="宋体"/>
                <w:color w:val="auto"/>
                <w:sz w:val="18"/>
                <w:szCs w:val="18"/>
              </w:rPr>
            </w:pPr>
          </w:p>
        </w:tc>
      </w:tr>
      <w:tr w14:paraId="60468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vAlign w:val="center"/>
          </w:tcPr>
          <w:p w14:paraId="6247087E">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企 业 地 址 </w:t>
            </w:r>
          </w:p>
        </w:tc>
        <w:tc>
          <w:tcPr>
            <w:tcW w:w="2685" w:type="dxa"/>
            <w:tcBorders>
              <w:top w:val="dotted" w:color="auto" w:sz="4" w:space="0"/>
              <w:left w:val="dotted" w:color="auto" w:sz="4" w:space="0"/>
              <w:bottom w:val="dotted" w:color="auto" w:sz="4" w:space="0"/>
              <w:right w:val="dotted" w:color="auto" w:sz="4" w:space="0"/>
            </w:tcBorders>
            <w:vAlign w:val="center"/>
          </w:tcPr>
          <w:p w14:paraId="0A170DE5">
            <w:pPr>
              <w:spacing w:line="260" w:lineRule="exact"/>
              <w:rPr>
                <w:rFonts w:ascii="宋体" w:hAnsi="宋体" w:cs="宋体"/>
                <w:color w:val="auto"/>
                <w:sz w:val="18"/>
                <w:szCs w:val="18"/>
              </w:rPr>
            </w:pPr>
          </w:p>
        </w:tc>
        <w:tc>
          <w:tcPr>
            <w:tcW w:w="2112" w:type="dxa"/>
            <w:tcBorders>
              <w:top w:val="dotted" w:color="auto" w:sz="4" w:space="0"/>
              <w:left w:val="dotted" w:color="auto" w:sz="4" w:space="0"/>
              <w:bottom w:val="dotted" w:color="auto" w:sz="4" w:space="0"/>
              <w:right w:val="dotted" w:color="auto" w:sz="4" w:space="0"/>
            </w:tcBorders>
            <w:vAlign w:val="center"/>
          </w:tcPr>
          <w:p w14:paraId="3EB1A80C">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联 系 电 话 </w:t>
            </w:r>
          </w:p>
        </w:tc>
        <w:tc>
          <w:tcPr>
            <w:tcW w:w="2340" w:type="dxa"/>
            <w:tcBorders>
              <w:top w:val="dotted" w:color="auto" w:sz="4" w:space="0"/>
              <w:left w:val="dotted" w:color="auto" w:sz="4" w:space="0"/>
              <w:bottom w:val="dotted" w:color="auto" w:sz="4" w:space="0"/>
              <w:right w:val="single" w:color="auto" w:sz="4" w:space="0"/>
            </w:tcBorders>
            <w:vAlign w:val="center"/>
          </w:tcPr>
          <w:p w14:paraId="343A861C">
            <w:pPr>
              <w:spacing w:line="260" w:lineRule="exact"/>
              <w:rPr>
                <w:rFonts w:ascii="宋体" w:hAnsi="宋体" w:cs="宋体"/>
                <w:color w:val="auto"/>
                <w:sz w:val="18"/>
                <w:szCs w:val="18"/>
              </w:rPr>
            </w:pPr>
          </w:p>
        </w:tc>
      </w:tr>
      <w:tr w14:paraId="1953A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vAlign w:val="center"/>
          </w:tcPr>
          <w:p w14:paraId="7CABF3BB">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vAlign w:val="center"/>
          </w:tcPr>
          <w:p w14:paraId="6A85F48C">
            <w:pPr>
              <w:spacing w:line="260" w:lineRule="exact"/>
              <w:rPr>
                <w:rFonts w:ascii="宋体" w:hAnsi="宋体" w:cs="宋体"/>
                <w:color w:val="auto"/>
                <w:sz w:val="18"/>
                <w:szCs w:val="18"/>
              </w:rPr>
            </w:pPr>
          </w:p>
        </w:tc>
        <w:tc>
          <w:tcPr>
            <w:tcW w:w="2112" w:type="dxa"/>
            <w:tcBorders>
              <w:top w:val="dotted" w:color="auto" w:sz="4" w:space="0"/>
              <w:left w:val="dotted" w:color="auto" w:sz="4" w:space="0"/>
              <w:bottom w:val="dotted" w:color="auto" w:sz="4" w:space="0"/>
              <w:right w:val="dotted" w:color="auto" w:sz="4" w:space="0"/>
            </w:tcBorders>
            <w:vAlign w:val="center"/>
          </w:tcPr>
          <w:p w14:paraId="21D52DE7">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tcPr>
          <w:p w14:paraId="0AAA62C8">
            <w:pPr>
              <w:spacing w:line="260" w:lineRule="exact"/>
              <w:rPr>
                <w:rFonts w:ascii="宋体" w:hAnsi="宋体" w:cs="宋体"/>
                <w:color w:val="auto"/>
                <w:sz w:val="18"/>
                <w:szCs w:val="18"/>
              </w:rPr>
            </w:pPr>
          </w:p>
        </w:tc>
      </w:tr>
      <w:tr w14:paraId="3E716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vAlign w:val="center"/>
          </w:tcPr>
          <w:p w14:paraId="25AC0163">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供应商</w:t>
            </w:r>
          </w:p>
          <w:p w14:paraId="4D4AB08E">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市场</w:t>
            </w:r>
          </w:p>
          <w:p w14:paraId="49B8E923">
            <w:pPr>
              <w:spacing w:before="100" w:beforeAutospacing="1" w:after="100" w:afterAutospacing="1" w:line="260" w:lineRule="exact"/>
              <w:jc w:val="center"/>
              <w:rPr>
                <w:rFonts w:ascii="宋体" w:hAnsi="宋体" w:cs="宋体"/>
                <w:color w:val="auto"/>
              </w:rPr>
            </w:pPr>
            <w:r>
              <w:rPr>
                <w:rFonts w:hint="eastAsia" w:ascii="宋体" w:hAnsi="宋体" w:cs="宋体"/>
                <w:color w:val="auto"/>
              </w:rPr>
              <w:t>行为</w:t>
            </w:r>
          </w:p>
          <w:p w14:paraId="33BF90C3">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信誉</w:t>
            </w:r>
          </w:p>
          <w:p w14:paraId="3134451A">
            <w:pPr>
              <w:spacing w:before="100" w:beforeAutospacing="1" w:after="100" w:afterAutospacing="1" w:line="260" w:lineRule="exact"/>
              <w:jc w:val="center"/>
              <w:rPr>
                <w:rFonts w:ascii="宋体" w:hAnsi="宋体" w:cs="宋体"/>
                <w:color w:val="auto"/>
              </w:rPr>
            </w:pPr>
            <w:r>
              <w:rPr>
                <w:rFonts w:hint="eastAsia" w:ascii="宋体" w:hAnsi="宋体" w:cs="宋体"/>
                <w:color w:val="auto"/>
              </w:rPr>
              <w:t>情况</w:t>
            </w:r>
          </w:p>
        </w:tc>
        <w:tc>
          <w:tcPr>
            <w:tcW w:w="3779" w:type="dxa"/>
            <w:gridSpan w:val="3"/>
            <w:tcBorders>
              <w:top w:val="single" w:color="auto" w:sz="4" w:space="0"/>
              <w:left w:val="dotted" w:color="auto" w:sz="4" w:space="0"/>
              <w:bottom w:val="dotted" w:color="auto" w:sz="4" w:space="0"/>
              <w:right w:val="dotted" w:color="auto" w:sz="4" w:space="0"/>
            </w:tcBorders>
            <w:vAlign w:val="center"/>
          </w:tcPr>
          <w:p w14:paraId="35FF622D">
            <w:pPr>
              <w:spacing w:before="100" w:beforeAutospacing="1" w:after="100" w:afterAutospacing="1" w:line="260" w:lineRule="exact"/>
              <w:rPr>
                <w:rFonts w:ascii="宋体" w:hAnsi="宋体" w:cs="宋体"/>
                <w:color w:val="auto"/>
              </w:rPr>
            </w:pPr>
            <w:r>
              <w:rPr>
                <w:rFonts w:hint="eastAsia" w:ascii="宋体" w:hAnsi="宋体" w:cs="宋体"/>
                <w:color w:val="auto"/>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tcPr>
          <w:p w14:paraId="56E0D0FB">
            <w:pPr>
              <w:spacing w:line="260" w:lineRule="exact"/>
              <w:rPr>
                <w:rFonts w:ascii="宋体" w:hAnsi="宋体" w:cs="宋体"/>
                <w:color w:val="auto"/>
                <w:sz w:val="18"/>
                <w:szCs w:val="18"/>
              </w:rPr>
            </w:pPr>
          </w:p>
        </w:tc>
      </w:tr>
      <w:tr w14:paraId="4A4C6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vAlign w:val="center"/>
          </w:tcPr>
          <w:p w14:paraId="541FA7DB">
            <w:pPr>
              <w:spacing w:before="100" w:beforeAutospacing="1" w:after="100" w:afterAutospacing="1" w:line="260" w:lineRule="exact"/>
              <w:jc w:val="center"/>
              <w:rPr>
                <w:rFonts w:ascii="宋体" w:hAnsi="宋体" w:cs="宋体"/>
                <w:color w:val="auto"/>
              </w:rPr>
            </w:pPr>
          </w:p>
        </w:tc>
        <w:tc>
          <w:tcPr>
            <w:tcW w:w="3779" w:type="dxa"/>
            <w:gridSpan w:val="3"/>
            <w:tcBorders>
              <w:top w:val="single" w:color="auto" w:sz="4" w:space="0"/>
              <w:left w:val="dotted" w:color="auto" w:sz="4" w:space="0"/>
              <w:bottom w:val="dotted" w:color="auto" w:sz="4" w:space="0"/>
              <w:right w:val="dotted" w:color="auto" w:sz="4" w:space="0"/>
            </w:tcBorders>
            <w:vAlign w:val="center"/>
          </w:tcPr>
          <w:p w14:paraId="2F997A61">
            <w:pPr>
              <w:spacing w:before="100" w:beforeAutospacing="1" w:after="100" w:afterAutospacing="1" w:line="260" w:lineRule="exact"/>
              <w:rPr>
                <w:rFonts w:ascii="宋体" w:hAnsi="宋体" w:cs="宋体"/>
                <w:color w:val="auto"/>
              </w:rPr>
            </w:pPr>
            <w:r>
              <w:rPr>
                <w:rFonts w:hint="eastAsia" w:ascii="宋体" w:hAnsi="宋体" w:cs="宋体"/>
                <w:color w:val="auto"/>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tcPr>
          <w:p w14:paraId="5F92DA46">
            <w:pPr>
              <w:spacing w:line="260" w:lineRule="exact"/>
              <w:rPr>
                <w:rFonts w:ascii="宋体" w:hAnsi="宋体" w:cs="宋体"/>
                <w:color w:val="auto"/>
                <w:sz w:val="18"/>
                <w:szCs w:val="18"/>
              </w:rPr>
            </w:pPr>
          </w:p>
        </w:tc>
      </w:tr>
      <w:tr w14:paraId="7A64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vAlign w:val="center"/>
          </w:tcPr>
          <w:p w14:paraId="5340E06D">
            <w:pPr>
              <w:spacing w:line="260" w:lineRule="exact"/>
              <w:rPr>
                <w:rFonts w:ascii="宋体" w:hAnsi="宋体" w:cs="宋体"/>
                <w:color w:val="auto"/>
                <w:sz w:val="24"/>
              </w:rPr>
            </w:pPr>
          </w:p>
        </w:tc>
        <w:tc>
          <w:tcPr>
            <w:tcW w:w="3779" w:type="dxa"/>
            <w:gridSpan w:val="3"/>
            <w:tcBorders>
              <w:top w:val="dotted" w:color="auto" w:sz="4" w:space="0"/>
              <w:left w:val="dotted" w:color="auto" w:sz="4" w:space="0"/>
              <w:right w:val="dotted" w:color="auto" w:sz="4" w:space="0"/>
            </w:tcBorders>
            <w:vAlign w:val="center"/>
          </w:tcPr>
          <w:p w14:paraId="3E90BBF5">
            <w:pPr>
              <w:spacing w:before="100" w:beforeAutospacing="1" w:after="100" w:afterAutospacing="1" w:line="260" w:lineRule="exact"/>
              <w:rPr>
                <w:rFonts w:ascii="宋体" w:hAnsi="宋体" w:cs="宋体"/>
                <w:color w:val="auto"/>
                <w:sz w:val="24"/>
              </w:rPr>
            </w:pPr>
            <w:r>
              <w:rPr>
                <w:rFonts w:hint="eastAsia" w:ascii="宋体" w:hAnsi="宋体" w:cs="宋体"/>
                <w:color w:val="auto"/>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tcPr>
          <w:p w14:paraId="3628CDEF">
            <w:pPr>
              <w:spacing w:line="260" w:lineRule="exact"/>
              <w:rPr>
                <w:rFonts w:ascii="宋体" w:hAnsi="宋体" w:cs="宋体"/>
                <w:color w:val="auto"/>
                <w:sz w:val="18"/>
                <w:szCs w:val="18"/>
              </w:rPr>
            </w:pPr>
          </w:p>
        </w:tc>
      </w:tr>
      <w:tr w14:paraId="12774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atLeast"/>
        </w:trPr>
        <w:tc>
          <w:tcPr>
            <w:tcW w:w="1209" w:type="dxa"/>
            <w:vMerge w:val="continue"/>
            <w:tcBorders>
              <w:left w:val="single" w:color="auto" w:sz="4" w:space="0"/>
              <w:bottom w:val="dotted" w:color="auto" w:sz="4" w:space="0"/>
              <w:right w:val="dotted" w:color="auto" w:sz="4" w:space="0"/>
            </w:tcBorders>
            <w:vAlign w:val="center"/>
          </w:tcPr>
          <w:p w14:paraId="14DB8EDC">
            <w:pPr>
              <w:spacing w:line="260" w:lineRule="exact"/>
              <w:rPr>
                <w:rFonts w:ascii="宋体" w:hAnsi="宋体" w:cs="宋体"/>
                <w:color w:val="auto"/>
                <w:sz w:val="24"/>
              </w:rPr>
            </w:pPr>
          </w:p>
        </w:tc>
        <w:tc>
          <w:tcPr>
            <w:tcW w:w="3779" w:type="dxa"/>
            <w:gridSpan w:val="3"/>
            <w:tcBorders>
              <w:top w:val="dotted" w:color="auto" w:sz="4" w:space="0"/>
              <w:left w:val="dotted" w:color="auto" w:sz="4" w:space="0"/>
              <w:bottom w:val="dotted" w:color="auto" w:sz="4" w:space="0"/>
              <w:right w:val="dotted" w:color="auto" w:sz="4" w:space="0"/>
            </w:tcBorders>
            <w:vAlign w:val="center"/>
          </w:tcPr>
          <w:p w14:paraId="23B14020">
            <w:pPr>
              <w:spacing w:before="100" w:beforeAutospacing="1" w:after="100" w:afterAutospacing="1" w:line="260" w:lineRule="exact"/>
              <w:rPr>
                <w:rFonts w:ascii="宋体" w:hAnsi="宋体" w:cs="宋体"/>
                <w:color w:val="auto"/>
              </w:rPr>
            </w:pPr>
            <w:r>
              <w:rPr>
                <w:rFonts w:hint="eastAsia" w:ascii="宋体" w:hAnsi="宋体" w:cs="宋体"/>
                <w:color w:val="auto"/>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200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tcPr>
          <w:p w14:paraId="79F16170">
            <w:pPr>
              <w:spacing w:line="260" w:lineRule="exact"/>
              <w:rPr>
                <w:rFonts w:ascii="宋体" w:hAnsi="宋体" w:cs="宋体"/>
                <w:color w:val="auto"/>
                <w:sz w:val="18"/>
                <w:szCs w:val="18"/>
              </w:rPr>
            </w:pPr>
          </w:p>
        </w:tc>
      </w:tr>
      <w:tr w14:paraId="735E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vAlign w:val="center"/>
          </w:tcPr>
          <w:p w14:paraId="6A3005A1">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供应商</w:t>
            </w:r>
          </w:p>
          <w:p w14:paraId="3ECBDEA9">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信用</w:t>
            </w:r>
          </w:p>
          <w:p w14:paraId="6DB62D7E">
            <w:pPr>
              <w:spacing w:line="260" w:lineRule="exact"/>
              <w:jc w:val="center"/>
              <w:rPr>
                <w:rFonts w:ascii="宋体" w:hAnsi="宋体" w:cs="宋体"/>
                <w:color w:val="auto"/>
                <w:sz w:val="24"/>
              </w:rPr>
            </w:pPr>
            <w:r>
              <w:rPr>
                <w:rFonts w:hint="eastAsia" w:ascii="宋体" w:hAnsi="宋体" w:cs="宋体"/>
                <w:color w:val="auto"/>
              </w:rPr>
              <w:t>情况</w:t>
            </w:r>
          </w:p>
        </w:tc>
        <w:tc>
          <w:tcPr>
            <w:tcW w:w="3779" w:type="dxa"/>
            <w:gridSpan w:val="3"/>
            <w:tcBorders>
              <w:top w:val="dotted" w:color="auto" w:sz="4" w:space="0"/>
              <w:left w:val="dotted" w:color="auto" w:sz="4" w:space="0"/>
              <w:bottom w:val="dotted" w:color="auto" w:sz="4" w:space="0"/>
              <w:right w:val="dotted" w:color="auto" w:sz="4" w:space="0"/>
            </w:tcBorders>
            <w:vAlign w:val="center"/>
          </w:tcPr>
          <w:p w14:paraId="245D7482">
            <w:pPr>
              <w:spacing w:before="100" w:beforeAutospacing="1" w:after="100" w:afterAutospacing="1" w:line="260" w:lineRule="exact"/>
              <w:rPr>
                <w:rFonts w:ascii="宋体" w:hAnsi="宋体" w:cs="宋体"/>
                <w:color w:val="auto"/>
              </w:rPr>
            </w:pPr>
            <w:r>
              <w:rPr>
                <w:rFonts w:hint="eastAsia" w:ascii="宋体" w:hAnsi="宋体" w:cs="宋体"/>
                <w:color w:val="auto"/>
              </w:rPr>
              <w:t>是否列入失信被执行人、重大税收违法案件当事人名单、政府采购严重违法失信行为记录名单及其他不符合《中华人民共和国政府采购法》第二十二条规定条件。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tcPr>
          <w:p w14:paraId="1AFA29A0">
            <w:pPr>
              <w:spacing w:line="260" w:lineRule="exact"/>
              <w:rPr>
                <w:rFonts w:ascii="宋体" w:hAnsi="宋体" w:cs="宋体"/>
                <w:color w:val="auto"/>
                <w:sz w:val="18"/>
                <w:szCs w:val="18"/>
              </w:rPr>
            </w:pPr>
          </w:p>
        </w:tc>
      </w:tr>
      <w:tr w14:paraId="10732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vAlign w:val="center"/>
          </w:tcPr>
          <w:p w14:paraId="193CAA4B">
            <w:pPr>
              <w:spacing w:before="100" w:beforeAutospacing="1" w:after="100" w:afterAutospacing="1" w:line="260" w:lineRule="exact"/>
              <w:jc w:val="center"/>
              <w:rPr>
                <w:rFonts w:ascii="宋体" w:hAnsi="宋体" w:cs="宋体"/>
                <w:color w:val="auto"/>
              </w:rPr>
            </w:pPr>
            <w:r>
              <w:rPr>
                <w:rFonts w:hint="eastAsia" w:ascii="宋体" w:hAnsi="宋体" w:cs="宋体"/>
                <w:color w:val="auto"/>
              </w:rPr>
              <w:t>投标供应商</w:t>
            </w:r>
          </w:p>
          <w:p w14:paraId="0E8EBB88">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tcPr>
          <w:p w14:paraId="2A72F6ED">
            <w:pPr>
              <w:pStyle w:val="2"/>
              <w:spacing w:line="260" w:lineRule="exact"/>
              <w:ind w:firstLine="411" w:firstLineChars="196"/>
              <w:rPr>
                <w:rFonts w:ascii="宋体" w:hAnsi="宋体"/>
                <w:color w:val="auto"/>
                <w:sz w:val="21"/>
                <w:szCs w:val="18"/>
              </w:rPr>
            </w:pPr>
            <w:r>
              <w:rPr>
                <w:rFonts w:hint="eastAsia" w:ascii="宋体" w:hAnsi="宋体"/>
                <w:color w:val="auto"/>
                <w:sz w:val="21"/>
                <w:szCs w:val="18"/>
              </w:rPr>
              <w:t>以上内容是本企业市场行为信誉（信用）的真实反映，如有不实，愿取消本项目投标资格。</w:t>
            </w:r>
          </w:p>
          <w:p w14:paraId="7F87CAA2">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法定代表人或其委托代理人签名或盖章： </w:t>
            </w:r>
          </w:p>
          <w:p w14:paraId="31068217">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(单位公章) </w:t>
            </w:r>
          </w:p>
          <w:p w14:paraId="54481CB6">
            <w:pPr>
              <w:spacing w:before="100" w:beforeAutospacing="1" w:after="100" w:afterAutospacing="1" w:line="260" w:lineRule="exact"/>
              <w:jc w:val="center"/>
              <w:rPr>
                <w:rFonts w:ascii="宋体" w:hAnsi="宋体" w:cs="宋体"/>
                <w:color w:val="auto"/>
                <w:sz w:val="24"/>
              </w:rPr>
            </w:pPr>
            <w:r>
              <w:rPr>
                <w:rFonts w:hint="eastAsia" w:ascii="宋体" w:hAnsi="宋体" w:cs="宋体"/>
                <w:color w:val="auto"/>
              </w:rPr>
              <w:t xml:space="preserve">               日 期：    年  月   日 </w:t>
            </w:r>
          </w:p>
        </w:tc>
      </w:tr>
    </w:tbl>
    <w:p w14:paraId="26019420">
      <w:pPr>
        <w:rPr>
          <w:rFonts w:ascii="宋体" w:hAnsi="宋体" w:cs="宋体"/>
          <w:color w:val="auto"/>
        </w:rPr>
      </w:pPr>
      <w:r>
        <w:rPr>
          <w:rFonts w:hint="eastAsia" w:ascii="宋体" w:hAnsi="宋体" w:cs="宋体"/>
          <w:color w:val="auto"/>
        </w:rPr>
        <w:t>注：1</w:t>
      </w:r>
      <w:r>
        <w:rPr>
          <w:rFonts w:hint="eastAsia" w:ascii="宋体" w:hAnsi="宋体" w:cs="宋体"/>
          <w:color w:val="auto"/>
          <w:lang w:val="en-US" w:eastAsia="zh-CN"/>
        </w:rPr>
        <w:t>.</w:t>
      </w:r>
      <w:r>
        <w:rPr>
          <w:rFonts w:hint="eastAsia" w:ascii="宋体" w:hAnsi="宋体" w:cs="宋体"/>
          <w:color w:val="auto"/>
        </w:rPr>
        <w:t>本表格内容须如实填写；</w:t>
      </w:r>
    </w:p>
    <w:p w14:paraId="7FB902FA">
      <w:pPr>
        <w:ind w:firstLine="42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本表格由供应商自己填写，若无表中所列情况，则在相应栏中写“无”，若有，须按具体次数分别说明（包括处罚时间、事由、处罚主体等）；</w:t>
      </w:r>
    </w:p>
    <w:p w14:paraId="61E12FB9">
      <w:pPr>
        <w:ind w:firstLine="435"/>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w:t>
      </w:r>
      <w:r>
        <w:rPr>
          <w:rFonts w:hint="eastAsia" w:ascii="宋体" w:hAnsi="宋体" w:cs="宋体"/>
          <w:color w:val="auto"/>
        </w:rPr>
        <w:t>联合体成员存在不良信用记录的，视同联合体存在不良信用记录。</w:t>
      </w:r>
    </w:p>
    <w:p w14:paraId="35A53DDF">
      <w:pPr>
        <w:wordWrap w:val="0"/>
        <w:snapToGrid w:val="0"/>
        <w:spacing w:after="156" w:afterLines="50" w:line="360" w:lineRule="auto"/>
        <w:jc w:val="left"/>
        <w:rPr>
          <w:rFonts w:ascii="宋体" w:hAnsi="宋体" w:cs="宋体"/>
          <w:b/>
          <w:color w:val="auto"/>
          <w:sz w:val="24"/>
        </w:rPr>
      </w:pPr>
      <w:r>
        <w:rPr>
          <w:rFonts w:hint="eastAsia" w:ascii="宋体" w:hAnsi="宋体" w:cs="宋体"/>
          <w:color w:val="auto"/>
          <w:sz w:val="24"/>
        </w:rPr>
        <w:br w:type="page"/>
      </w:r>
      <w:bookmarkStart w:id="68" w:name="OLE_LINK16"/>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承诺函格式</w:t>
      </w:r>
    </w:p>
    <w:p w14:paraId="61BF39F9">
      <w:pPr>
        <w:spacing w:line="360" w:lineRule="auto"/>
        <w:jc w:val="center"/>
        <w:rPr>
          <w:rFonts w:ascii="宋体" w:hAnsi="宋体" w:cs="宋体"/>
          <w:b/>
          <w:color w:val="auto"/>
          <w:sz w:val="32"/>
        </w:rPr>
      </w:pPr>
      <w:r>
        <w:rPr>
          <w:rFonts w:hint="eastAsia" w:ascii="宋体" w:hAnsi="宋体" w:cs="宋体"/>
          <w:b/>
          <w:color w:val="auto"/>
          <w:sz w:val="32"/>
        </w:rPr>
        <w:t>承诺函</w:t>
      </w:r>
    </w:p>
    <w:p w14:paraId="63B0859E">
      <w:pPr>
        <w:wordWrap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319AA06B">
      <w:pPr>
        <w:spacing w:line="360" w:lineRule="auto"/>
        <w:ind w:firstLine="480" w:firstLineChars="200"/>
        <w:rPr>
          <w:rFonts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w:t>
      </w:r>
      <w:r>
        <w:rPr>
          <w:rFonts w:hint="eastAsia" w:ascii="宋体" w:hAnsi="宋体" w:cs="宋体"/>
          <w:color w:val="auto"/>
          <w:sz w:val="24"/>
        </w:rPr>
        <w:t>政府采购项目的招投标活动中，郑重承诺如下：</w:t>
      </w:r>
    </w:p>
    <w:p w14:paraId="6EE941E2">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我方申报的所有资料都是真实、准确、完整的；</w:t>
      </w:r>
    </w:p>
    <w:p w14:paraId="6ADBAB4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我方无资质挂靠情形，保证不参与串标、围标及抬标；</w:t>
      </w:r>
    </w:p>
    <w:p w14:paraId="57D5A6BA">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我方未处于被各级行政主管部门作出停止市场行为处罚的期限内；</w:t>
      </w:r>
    </w:p>
    <w:p w14:paraId="4703712B">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我方参加本项目政府采购活动前3年内在经营活动中没有重大违法记录；</w:t>
      </w:r>
    </w:p>
    <w:p w14:paraId="20123F75">
      <w:pPr>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若我方中标，将严格按照规定及时与采购人签订合同；</w:t>
      </w:r>
    </w:p>
    <w:p w14:paraId="7BDE4869">
      <w:pPr>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若我方中标，将严格按照采购文件要求及投标文件承诺的报价、质量、工期、投标方案、项目负责人等内容组织实施；</w:t>
      </w:r>
    </w:p>
    <w:p w14:paraId="6962139A">
      <w:pPr>
        <w:spacing w:line="360" w:lineRule="auto"/>
        <w:ind w:firstLine="480" w:firstLineChars="200"/>
        <w:rPr>
          <w:rFonts w:ascii="宋体" w:hAnsi="宋体" w:cs="宋体"/>
          <w:color w:val="auto"/>
          <w:sz w:val="24"/>
        </w:rPr>
      </w:pPr>
      <w:r>
        <w:rPr>
          <w:rFonts w:hint="eastAsia" w:ascii="宋体" w:hAnsi="宋体" w:cs="宋体"/>
          <w:color w:val="auto"/>
          <w:sz w:val="24"/>
        </w:rPr>
        <w:t>我方若违反上述承诺，隐瞒、提供虚假资料或不按采购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26F0EE5">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14:paraId="6239BDEE">
      <w:pPr>
        <w:spacing w:line="360" w:lineRule="auto"/>
        <w:ind w:firstLine="480" w:firstLineChars="200"/>
        <w:rPr>
          <w:rFonts w:ascii="宋体" w:hAnsi="宋体" w:cs="宋体"/>
          <w:color w:val="auto"/>
          <w:sz w:val="24"/>
        </w:rPr>
      </w:pPr>
    </w:p>
    <w:p w14:paraId="75B63BE8">
      <w:pPr>
        <w:pStyle w:val="3"/>
        <w:rPr>
          <w:rFonts w:ascii="宋体" w:hAnsi="宋体" w:eastAsia="宋体"/>
          <w:color w:val="auto"/>
        </w:rPr>
      </w:pPr>
    </w:p>
    <w:p w14:paraId="6BECEFB7">
      <w:pPr>
        <w:spacing w:line="360" w:lineRule="auto"/>
        <w:ind w:firstLine="480" w:firstLineChars="200"/>
        <w:rPr>
          <w:rFonts w:ascii="宋体" w:hAnsi="宋体" w:cs="宋体"/>
          <w:color w:val="auto"/>
          <w:sz w:val="24"/>
        </w:rPr>
      </w:pPr>
      <w:r>
        <w:rPr>
          <w:rFonts w:hint="eastAsia" w:ascii="宋体" w:hAnsi="宋体" w:cs="宋体"/>
          <w:color w:val="auto"/>
          <w:sz w:val="24"/>
        </w:rPr>
        <w:t>供应商（加盖公章）：</w:t>
      </w:r>
    </w:p>
    <w:p w14:paraId="35EC0889">
      <w:pPr>
        <w:pStyle w:val="3"/>
        <w:spacing w:line="360" w:lineRule="auto"/>
        <w:ind w:firstLine="480" w:firstLineChars="200"/>
        <w:rPr>
          <w:rFonts w:ascii="宋体" w:hAnsi="宋体" w:eastAsia="宋体"/>
          <w:color w:val="auto"/>
        </w:rPr>
      </w:pPr>
      <w:r>
        <w:rPr>
          <w:rFonts w:hint="eastAsia" w:ascii="宋体" w:hAnsi="宋体" w:eastAsia="宋体"/>
          <w:color w:val="auto"/>
          <w:kern w:val="2"/>
        </w:rPr>
        <w:t>时间：</w:t>
      </w:r>
      <w:r>
        <w:rPr>
          <w:rFonts w:hint="eastAsia" w:ascii="宋体" w:hAnsi="宋体" w:eastAsia="宋体"/>
          <w:color w:val="auto"/>
        </w:rPr>
        <w:t xml:space="preserve">    年  月   日 </w:t>
      </w:r>
    </w:p>
    <w:p w14:paraId="348C9645">
      <w:pPr>
        <w:pStyle w:val="3"/>
        <w:spacing w:line="360" w:lineRule="auto"/>
        <w:ind w:firstLine="480" w:firstLineChars="200"/>
        <w:rPr>
          <w:rFonts w:ascii="宋体" w:hAnsi="宋体" w:eastAsia="宋体"/>
          <w:color w:val="auto"/>
          <w:kern w:val="2"/>
        </w:rPr>
      </w:pPr>
    </w:p>
    <w:p w14:paraId="57A02C0F">
      <w:pPr>
        <w:snapToGrid w:val="0"/>
        <w:spacing w:before="156" w:beforeLines="50" w:after="50" w:line="440" w:lineRule="exact"/>
        <w:rPr>
          <w:rFonts w:ascii="宋体" w:hAnsi="宋体" w:cs="宋体"/>
          <w:b/>
          <w:bCs/>
          <w:color w:val="auto"/>
          <w:sz w:val="24"/>
        </w:rPr>
      </w:pPr>
      <w:r>
        <w:rPr>
          <w:rFonts w:hint="eastAsia" w:ascii="宋体" w:hAnsi="宋体" w:cs="宋体"/>
          <w:color w:val="auto"/>
          <w:sz w:val="24"/>
        </w:rPr>
        <w:br w:type="page"/>
      </w:r>
    </w:p>
    <w:p w14:paraId="6DDF4178">
      <w:pPr>
        <w:snapToGrid w:val="0"/>
        <w:spacing w:line="460" w:lineRule="atLeast"/>
        <w:jc w:val="left"/>
        <w:rPr>
          <w:rFonts w:ascii="宋体" w:hAnsi="宋体" w:cs="宋体"/>
          <w:b/>
          <w:bCs/>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营业执照</w:t>
      </w:r>
      <w:r>
        <w:rPr>
          <w:rFonts w:hint="eastAsia" w:ascii="宋体" w:hAnsi="宋体" w:cs="宋体"/>
          <w:b/>
          <w:bCs/>
          <w:color w:val="auto"/>
          <w:sz w:val="24"/>
          <w:lang w:eastAsia="zh-CN"/>
        </w:rPr>
        <w:t>、</w:t>
      </w:r>
      <w:r>
        <w:rPr>
          <w:rFonts w:hint="eastAsia" w:ascii="宋体" w:hAnsi="宋体" w:cs="宋体"/>
          <w:b/>
          <w:bCs/>
          <w:color w:val="auto"/>
          <w:sz w:val="24"/>
          <w:lang w:val="en-US" w:eastAsia="zh-CN"/>
        </w:rPr>
        <w:t>等</w:t>
      </w:r>
      <w:r>
        <w:rPr>
          <w:rFonts w:hint="eastAsia" w:ascii="宋体" w:hAnsi="宋体" w:cs="宋体"/>
          <w:b/>
          <w:bCs/>
          <w:color w:val="auto"/>
          <w:sz w:val="24"/>
        </w:rPr>
        <w:t>资格证明资料</w:t>
      </w:r>
    </w:p>
    <w:p w14:paraId="7C42FE3D">
      <w:pPr>
        <w:snapToGrid w:val="0"/>
        <w:spacing w:before="156" w:beforeLines="50" w:after="50" w:line="440" w:lineRule="exact"/>
        <w:jc w:val="center"/>
        <w:outlineLvl w:val="1"/>
        <w:rPr>
          <w:rFonts w:ascii="宋体" w:hAnsi="宋体" w:cs="宋体"/>
          <w:color w:val="auto"/>
          <w:sz w:val="24"/>
        </w:rPr>
      </w:pPr>
    </w:p>
    <w:p w14:paraId="5FD8E487">
      <w:pPr>
        <w:snapToGrid w:val="0"/>
        <w:spacing w:before="156" w:beforeLines="50" w:after="50" w:line="440" w:lineRule="exact"/>
        <w:jc w:val="center"/>
        <w:outlineLvl w:val="1"/>
        <w:rPr>
          <w:rFonts w:ascii="宋体" w:hAnsi="宋体" w:cs="宋体"/>
          <w:color w:val="auto"/>
          <w:sz w:val="24"/>
        </w:rPr>
      </w:pPr>
    </w:p>
    <w:p w14:paraId="3D77EC3C">
      <w:pPr>
        <w:snapToGrid w:val="0"/>
        <w:spacing w:before="156" w:beforeLines="50" w:after="50" w:line="440" w:lineRule="exact"/>
        <w:jc w:val="center"/>
        <w:outlineLvl w:val="1"/>
        <w:rPr>
          <w:rFonts w:ascii="宋体" w:hAnsi="宋体" w:cs="宋体"/>
          <w:color w:val="auto"/>
          <w:sz w:val="24"/>
        </w:rPr>
      </w:pPr>
    </w:p>
    <w:p w14:paraId="682102B1">
      <w:pPr>
        <w:snapToGrid w:val="0"/>
        <w:spacing w:before="156" w:beforeLines="50" w:after="50" w:line="440" w:lineRule="exact"/>
        <w:jc w:val="center"/>
        <w:outlineLvl w:val="1"/>
        <w:rPr>
          <w:rFonts w:ascii="宋体" w:hAnsi="宋体" w:cs="宋体"/>
          <w:color w:val="auto"/>
          <w:sz w:val="24"/>
        </w:rPr>
      </w:pPr>
    </w:p>
    <w:p w14:paraId="69DACE22">
      <w:pPr>
        <w:snapToGrid w:val="0"/>
        <w:spacing w:before="156" w:beforeLines="50" w:after="50" w:line="440" w:lineRule="exact"/>
        <w:jc w:val="center"/>
        <w:outlineLvl w:val="1"/>
        <w:rPr>
          <w:rFonts w:ascii="宋体" w:hAnsi="宋体" w:cs="宋体"/>
          <w:color w:val="auto"/>
          <w:sz w:val="24"/>
        </w:rPr>
      </w:pPr>
    </w:p>
    <w:p w14:paraId="3E0A2E8E">
      <w:pPr>
        <w:snapToGrid w:val="0"/>
        <w:spacing w:before="156" w:beforeLines="50" w:after="50" w:line="440" w:lineRule="exact"/>
        <w:jc w:val="center"/>
        <w:outlineLvl w:val="1"/>
        <w:rPr>
          <w:rFonts w:ascii="宋体" w:hAnsi="宋体" w:cs="宋体"/>
          <w:color w:val="auto"/>
          <w:sz w:val="24"/>
        </w:rPr>
      </w:pPr>
    </w:p>
    <w:p w14:paraId="54F0FD0D">
      <w:pPr>
        <w:snapToGrid w:val="0"/>
        <w:spacing w:before="156" w:beforeLines="50" w:after="50" w:line="440" w:lineRule="exact"/>
        <w:jc w:val="center"/>
        <w:outlineLvl w:val="1"/>
        <w:rPr>
          <w:rFonts w:ascii="宋体" w:hAnsi="宋体" w:cs="宋体"/>
          <w:color w:val="auto"/>
          <w:sz w:val="24"/>
        </w:rPr>
      </w:pPr>
    </w:p>
    <w:p w14:paraId="1015E1A4">
      <w:pPr>
        <w:snapToGrid w:val="0"/>
        <w:spacing w:before="156" w:beforeLines="50" w:after="50" w:line="440" w:lineRule="exact"/>
        <w:jc w:val="center"/>
        <w:outlineLvl w:val="1"/>
        <w:rPr>
          <w:rFonts w:ascii="宋体" w:hAnsi="宋体" w:cs="宋体"/>
          <w:color w:val="auto"/>
          <w:sz w:val="24"/>
        </w:rPr>
      </w:pPr>
    </w:p>
    <w:p w14:paraId="51EB9DC1">
      <w:pPr>
        <w:snapToGrid w:val="0"/>
        <w:spacing w:before="156" w:beforeLines="50" w:after="50" w:line="440" w:lineRule="exact"/>
        <w:jc w:val="center"/>
        <w:outlineLvl w:val="1"/>
        <w:rPr>
          <w:rFonts w:ascii="宋体" w:hAnsi="宋体" w:cs="宋体"/>
          <w:color w:val="auto"/>
          <w:sz w:val="24"/>
        </w:rPr>
      </w:pPr>
    </w:p>
    <w:p w14:paraId="0DBA1DBA">
      <w:pPr>
        <w:snapToGrid w:val="0"/>
        <w:spacing w:before="156" w:beforeLines="50" w:after="50" w:line="440" w:lineRule="exact"/>
        <w:jc w:val="center"/>
        <w:outlineLvl w:val="1"/>
        <w:rPr>
          <w:rFonts w:ascii="宋体" w:hAnsi="宋体" w:cs="宋体"/>
          <w:color w:val="auto"/>
          <w:sz w:val="24"/>
        </w:rPr>
      </w:pPr>
    </w:p>
    <w:p w14:paraId="7CA780DB">
      <w:pPr>
        <w:snapToGrid w:val="0"/>
        <w:spacing w:before="156" w:beforeLines="50" w:after="50" w:line="440" w:lineRule="exact"/>
        <w:jc w:val="center"/>
        <w:outlineLvl w:val="1"/>
        <w:rPr>
          <w:rFonts w:ascii="宋体" w:hAnsi="宋体" w:cs="宋体"/>
          <w:color w:val="auto"/>
          <w:sz w:val="24"/>
        </w:rPr>
      </w:pPr>
    </w:p>
    <w:p w14:paraId="251E72EB">
      <w:pPr>
        <w:snapToGrid w:val="0"/>
        <w:spacing w:before="156" w:beforeLines="50" w:after="50" w:line="440" w:lineRule="exact"/>
        <w:jc w:val="center"/>
        <w:outlineLvl w:val="1"/>
        <w:rPr>
          <w:rFonts w:ascii="宋体" w:hAnsi="宋体" w:cs="宋体"/>
          <w:color w:val="auto"/>
          <w:sz w:val="24"/>
        </w:rPr>
      </w:pPr>
    </w:p>
    <w:p w14:paraId="55D3D8DC">
      <w:pPr>
        <w:snapToGrid w:val="0"/>
        <w:spacing w:before="156" w:beforeLines="50" w:after="50" w:line="440" w:lineRule="exact"/>
        <w:jc w:val="center"/>
        <w:outlineLvl w:val="1"/>
        <w:rPr>
          <w:rFonts w:ascii="宋体" w:hAnsi="宋体" w:cs="宋体"/>
          <w:color w:val="auto"/>
          <w:sz w:val="24"/>
        </w:rPr>
      </w:pPr>
    </w:p>
    <w:p w14:paraId="66CEB6B4">
      <w:pPr>
        <w:snapToGrid w:val="0"/>
        <w:spacing w:before="156" w:beforeLines="50" w:after="50" w:line="440" w:lineRule="exact"/>
        <w:jc w:val="center"/>
        <w:outlineLvl w:val="1"/>
        <w:rPr>
          <w:rFonts w:ascii="宋体" w:hAnsi="宋体" w:cs="宋体"/>
          <w:color w:val="auto"/>
          <w:sz w:val="24"/>
        </w:rPr>
      </w:pPr>
    </w:p>
    <w:p w14:paraId="521E5621">
      <w:pPr>
        <w:snapToGrid w:val="0"/>
        <w:spacing w:before="156" w:beforeLines="50" w:after="50" w:line="440" w:lineRule="exact"/>
        <w:jc w:val="center"/>
        <w:outlineLvl w:val="1"/>
        <w:rPr>
          <w:rFonts w:ascii="宋体" w:hAnsi="宋体" w:cs="宋体"/>
          <w:color w:val="auto"/>
          <w:sz w:val="24"/>
        </w:rPr>
      </w:pPr>
    </w:p>
    <w:p w14:paraId="53F6DA3B">
      <w:pPr>
        <w:snapToGrid w:val="0"/>
        <w:spacing w:before="156" w:beforeLines="50" w:after="50" w:line="440" w:lineRule="exact"/>
        <w:jc w:val="center"/>
        <w:outlineLvl w:val="1"/>
        <w:rPr>
          <w:rFonts w:ascii="宋体" w:hAnsi="宋体" w:cs="宋体"/>
          <w:color w:val="auto"/>
          <w:sz w:val="24"/>
        </w:rPr>
      </w:pPr>
    </w:p>
    <w:p w14:paraId="50E8F249">
      <w:pPr>
        <w:snapToGrid w:val="0"/>
        <w:spacing w:before="156" w:beforeLines="50" w:after="50" w:line="440" w:lineRule="exact"/>
        <w:jc w:val="center"/>
        <w:outlineLvl w:val="1"/>
        <w:rPr>
          <w:rFonts w:ascii="宋体" w:hAnsi="宋体" w:cs="宋体"/>
          <w:color w:val="auto"/>
          <w:sz w:val="24"/>
        </w:rPr>
      </w:pPr>
    </w:p>
    <w:p w14:paraId="1E01ECFD">
      <w:pPr>
        <w:snapToGrid w:val="0"/>
        <w:spacing w:before="156" w:beforeLines="50" w:after="50" w:line="440" w:lineRule="exact"/>
        <w:jc w:val="center"/>
        <w:outlineLvl w:val="1"/>
        <w:rPr>
          <w:rFonts w:ascii="宋体" w:hAnsi="宋体" w:cs="宋体"/>
          <w:color w:val="auto"/>
          <w:sz w:val="24"/>
        </w:rPr>
      </w:pPr>
    </w:p>
    <w:p w14:paraId="45CA5260">
      <w:pPr>
        <w:snapToGrid w:val="0"/>
        <w:spacing w:before="156" w:beforeLines="50" w:after="50" w:line="440" w:lineRule="exact"/>
        <w:jc w:val="center"/>
        <w:outlineLvl w:val="1"/>
        <w:rPr>
          <w:rFonts w:ascii="宋体" w:hAnsi="宋体" w:cs="宋体"/>
          <w:color w:val="auto"/>
          <w:sz w:val="24"/>
        </w:rPr>
      </w:pPr>
    </w:p>
    <w:p w14:paraId="67150CBA">
      <w:pPr>
        <w:snapToGrid w:val="0"/>
        <w:spacing w:before="156" w:beforeLines="50" w:after="50" w:line="440" w:lineRule="exact"/>
        <w:jc w:val="center"/>
        <w:outlineLvl w:val="1"/>
        <w:rPr>
          <w:rFonts w:ascii="宋体" w:hAnsi="宋体" w:cs="宋体"/>
          <w:color w:val="auto"/>
          <w:sz w:val="24"/>
        </w:rPr>
      </w:pPr>
    </w:p>
    <w:p w14:paraId="5D311153">
      <w:pPr>
        <w:snapToGrid w:val="0"/>
        <w:spacing w:before="156" w:beforeLines="50" w:after="50" w:line="440" w:lineRule="exact"/>
        <w:jc w:val="center"/>
        <w:outlineLvl w:val="1"/>
        <w:rPr>
          <w:rFonts w:ascii="宋体" w:hAnsi="宋体" w:cs="宋体"/>
          <w:color w:val="auto"/>
          <w:sz w:val="24"/>
        </w:rPr>
      </w:pPr>
    </w:p>
    <w:p w14:paraId="770E2DD3">
      <w:pPr>
        <w:snapToGrid w:val="0"/>
        <w:spacing w:before="156" w:beforeLines="50" w:after="50" w:line="440" w:lineRule="exact"/>
        <w:jc w:val="center"/>
        <w:outlineLvl w:val="1"/>
        <w:rPr>
          <w:rFonts w:ascii="宋体" w:hAnsi="宋体" w:cs="宋体"/>
          <w:color w:val="auto"/>
          <w:sz w:val="24"/>
        </w:rPr>
      </w:pPr>
    </w:p>
    <w:p w14:paraId="272B1B3E">
      <w:pPr>
        <w:snapToGrid w:val="0"/>
        <w:spacing w:before="156" w:beforeLines="50" w:after="50" w:line="440" w:lineRule="exact"/>
        <w:jc w:val="center"/>
        <w:outlineLvl w:val="1"/>
        <w:rPr>
          <w:rFonts w:ascii="宋体" w:hAnsi="宋体" w:cs="宋体"/>
          <w:color w:val="auto"/>
          <w:sz w:val="24"/>
        </w:rPr>
      </w:pPr>
    </w:p>
    <w:p w14:paraId="27C6C076">
      <w:pPr>
        <w:pStyle w:val="30"/>
        <w:jc w:val="both"/>
        <w:rPr>
          <w:rFonts w:hint="eastAsia"/>
          <w:b/>
          <w:color w:val="auto"/>
        </w:rPr>
      </w:pPr>
      <w:r>
        <w:rPr>
          <w:rFonts w:hint="eastAsia"/>
          <w:b/>
          <w:color w:val="auto"/>
          <w:lang w:val="en-US" w:eastAsia="zh-CN"/>
        </w:rPr>
        <w:t>6.</w:t>
      </w:r>
      <w:r>
        <w:rPr>
          <w:rFonts w:hint="eastAsia"/>
          <w:b/>
          <w:color w:val="auto"/>
          <w:lang w:eastAsia="zh-CN"/>
        </w:rPr>
        <w:t>中小企业声明函</w:t>
      </w:r>
      <w:r>
        <w:rPr>
          <w:rFonts w:hint="eastAsia"/>
          <w:b/>
          <w:color w:val="auto"/>
        </w:rPr>
        <w:t>格式</w:t>
      </w:r>
    </w:p>
    <w:p w14:paraId="42B5FA07">
      <w:pPr>
        <w:pStyle w:val="30"/>
        <w:jc w:val="both"/>
        <w:rPr>
          <w:rFonts w:hint="eastAsia"/>
          <w:b/>
          <w:color w:val="auto"/>
        </w:rPr>
      </w:pPr>
    </w:p>
    <w:p w14:paraId="5863C179">
      <w:pPr>
        <w:pStyle w:val="30"/>
        <w:jc w:val="center"/>
        <w:rPr>
          <w:b/>
          <w:color w:val="auto"/>
          <w:kern w:val="2"/>
          <w:sz w:val="32"/>
          <w:szCs w:val="32"/>
        </w:rPr>
      </w:pPr>
      <w:r>
        <w:rPr>
          <w:rFonts w:hint="eastAsia"/>
          <w:b/>
          <w:color w:val="auto"/>
          <w:kern w:val="2"/>
          <w:sz w:val="32"/>
          <w:szCs w:val="32"/>
          <w:lang w:eastAsia="zh-CN"/>
        </w:rPr>
        <w:t>中小企业声明函</w:t>
      </w:r>
    </w:p>
    <w:p w14:paraId="1BBBD3E9">
      <w:pPr>
        <w:spacing w:line="36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w:t>
      </w:r>
      <w:r>
        <w:rPr>
          <w:rFonts w:hint="eastAsia" w:ascii="宋体" w:hAnsi="宋体" w:cs="宋体"/>
          <w:color w:val="auto"/>
          <w:sz w:val="24"/>
          <w:lang w:val="en-US" w:eastAsia="zh-CN"/>
        </w:rPr>
        <w:t>中</w:t>
      </w:r>
      <w:r>
        <w:rPr>
          <w:rFonts w:hint="eastAsia" w:ascii="宋体" w:hAnsi="宋体" w:cs="宋体"/>
          <w:color w:val="auto"/>
          <w:sz w:val="24"/>
          <w:lang w:eastAsia="zh-CN"/>
        </w:rPr>
        <w:t>小企业</w:t>
      </w:r>
      <w:r>
        <w:rPr>
          <w:rFonts w:hint="eastAsia" w:ascii="宋体" w:hAnsi="宋体" w:cs="宋体"/>
          <w:color w:val="auto"/>
          <w:sz w:val="24"/>
        </w:rPr>
        <w:t>发展管理办法》（财库﹝2020﹞46号）的规定，本公司参加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（项目名称） </w:t>
      </w:r>
      <w:r>
        <w:rPr>
          <w:rFonts w:hint="eastAsia" w:ascii="宋体" w:hAnsi="宋体" w:cs="宋体"/>
          <w:color w:val="auto"/>
          <w:sz w:val="24"/>
        </w:rPr>
        <w:t>采购活动，</w:t>
      </w:r>
      <w:r>
        <w:rPr>
          <w:rFonts w:hint="eastAsia" w:ascii="宋体" w:hAnsi="宋体" w:cs="宋体"/>
          <w:color w:val="auto"/>
          <w:sz w:val="24"/>
          <w:lang w:val="en-US" w:eastAsia="zh-CN"/>
        </w:rPr>
        <w:t>服务</w:t>
      </w:r>
      <w:r>
        <w:rPr>
          <w:rFonts w:hint="eastAsia" w:ascii="宋体" w:hAnsi="宋体" w:cs="宋体"/>
          <w:color w:val="auto"/>
          <w:sz w:val="24"/>
        </w:rPr>
        <w:t>全部由符合政策要求的</w:t>
      </w:r>
      <w:r>
        <w:rPr>
          <w:rFonts w:hint="eastAsia" w:ascii="宋体" w:hAnsi="宋体" w:cs="宋体"/>
          <w:color w:val="auto"/>
          <w:sz w:val="24"/>
          <w:lang w:val="en-US" w:eastAsia="zh-CN"/>
        </w:rPr>
        <w:t>中小</w:t>
      </w:r>
      <w:r>
        <w:rPr>
          <w:rFonts w:hint="eastAsia" w:ascii="宋体" w:hAnsi="宋体" w:cs="宋体"/>
          <w:color w:val="auto"/>
          <w:sz w:val="24"/>
          <w:lang w:eastAsia="zh-CN"/>
        </w:rPr>
        <w:t>企业</w:t>
      </w:r>
      <w:r>
        <w:rPr>
          <w:rFonts w:hint="eastAsia" w:ascii="宋体" w:hAnsi="宋体" w:cs="宋体"/>
          <w:color w:val="auto"/>
          <w:sz w:val="24"/>
          <w:lang w:val="en-US" w:eastAsia="zh-CN"/>
        </w:rPr>
        <w:t>承接</w:t>
      </w:r>
      <w:r>
        <w:rPr>
          <w:rFonts w:hint="eastAsia" w:ascii="宋体" w:hAnsi="宋体" w:cs="宋体"/>
          <w:color w:val="auto"/>
          <w:sz w:val="24"/>
        </w:rPr>
        <w:t>。相关企业的具体情况如下：</w:t>
      </w:r>
    </w:p>
    <w:p w14:paraId="485265A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u w:val="single"/>
          <w:lang w:val="en-US" w:eastAsia="zh-CN"/>
        </w:rPr>
        <w:t>承接</w:t>
      </w:r>
      <w:r>
        <w:rPr>
          <w:rFonts w:hint="eastAsia" w:ascii="宋体" w:hAnsi="宋体" w:cs="宋体"/>
          <w:color w:val="auto"/>
          <w:sz w:val="24"/>
        </w:rPr>
        <w:t>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4BD8EF4F">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u w:val="single"/>
          <w:lang w:val="en-US" w:eastAsia="zh-CN"/>
        </w:rPr>
        <w:t>承接</w:t>
      </w:r>
      <w:bookmarkStart w:id="72" w:name="_GoBack"/>
      <w:bookmarkEnd w:id="72"/>
      <w:r>
        <w:rPr>
          <w:rFonts w:hint="eastAsia" w:ascii="宋体" w:hAnsi="宋体" w:cs="宋体"/>
          <w:color w:val="auto"/>
          <w:sz w:val="24"/>
        </w:rPr>
        <w:t>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3ADB64A3">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41CF3722">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8A1B134">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85D782D">
      <w:pPr>
        <w:spacing w:line="360" w:lineRule="auto"/>
        <w:ind w:firstLine="480" w:firstLineChars="200"/>
        <w:rPr>
          <w:rFonts w:ascii="宋体" w:hAnsi="宋体" w:cs="宋体"/>
          <w:color w:val="auto"/>
          <w:sz w:val="24"/>
        </w:rPr>
      </w:pPr>
    </w:p>
    <w:p w14:paraId="4F388854">
      <w:pPr>
        <w:pStyle w:val="3"/>
        <w:rPr>
          <w:rFonts w:ascii="宋体" w:hAnsi="宋体" w:eastAsia="宋体"/>
          <w:color w:val="auto"/>
        </w:rPr>
      </w:pPr>
    </w:p>
    <w:p w14:paraId="73C01E02">
      <w:pPr>
        <w:spacing w:line="360" w:lineRule="auto"/>
        <w:ind w:firstLine="5280" w:firstLineChars="2200"/>
        <w:rPr>
          <w:rFonts w:ascii="宋体" w:hAnsi="宋体" w:cs="宋体"/>
          <w:color w:val="auto"/>
          <w:sz w:val="24"/>
        </w:rPr>
      </w:pPr>
      <w:r>
        <w:rPr>
          <w:rFonts w:hint="eastAsia" w:ascii="宋体" w:hAnsi="宋体" w:cs="宋体"/>
          <w:color w:val="auto"/>
          <w:sz w:val="24"/>
        </w:rPr>
        <w:t>企业名称（盖章）：</w:t>
      </w:r>
    </w:p>
    <w:p w14:paraId="47827DD5">
      <w:pPr>
        <w:spacing w:line="360" w:lineRule="auto"/>
        <w:ind w:firstLine="6000" w:firstLineChars="2500"/>
        <w:rPr>
          <w:rFonts w:ascii="宋体" w:hAnsi="宋体" w:cs="宋体"/>
          <w:color w:val="auto"/>
          <w:sz w:val="24"/>
        </w:rPr>
      </w:pPr>
      <w:r>
        <w:rPr>
          <w:rFonts w:hint="eastAsia" w:ascii="宋体" w:hAnsi="宋体" w:cs="宋体"/>
          <w:color w:val="auto"/>
          <w:sz w:val="24"/>
        </w:rPr>
        <w:t>日 期：</w:t>
      </w:r>
    </w:p>
    <w:p w14:paraId="6EECB54B">
      <w:pPr>
        <w:spacing w:line="360" w:lineRule="auto"/>
        <w:ind w:firstLine="480" w:firstLineChars="200"/>
        <w:rPr>
          <w:rFonts w:ascii="宋体" w:hAnsi="宋体" w:cs="宋体"/>
          <w:color w:val="auto"/>
          <w:sz w:val="24"/>
        </w:rPr>
      </w:pPr>
      <w:r>
        <w:rPr>
          <w:rFonts w:hint="eastAsia" w:ascii="宋体" w:hAnsi="宋体" w:cs="宋体"/>
          <w:color w:val="auto"/>
          <w:sz w:val="24"/>
        </w:rPr>
        <w:t>说明：</w:t>
      </w:r>
    </w:p>
    <w:p w14:paraId="6FC8B60E">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从业人员、营业收入、资产总额填报上一年度数据，无上一年度数据的新成立企业可不填报。</w:t>
      </w:r>
    </w:p>
    <w:p w14:paraId="2F17AC25">
      <w:pPr>
        <w:pStyle w:val="30"/>
        <w:jc w:val="both"/>
        <w:rPr>
          <w:b/>
          <w:color w:val="auto"/>
        </w:rPr>
      </w:pPr>
      <w:r>
        <w:rPr>
          <w:rFonts w:hint="eastAsia"/>
          <w:b/>
          <w:color w:val="auto"/>
        </w:rPr>
        <w:br w:type="page"/>
      </w:r>
      <w:r>
        <w:rPr>
          <w:rFonts w:hint="eastAsia"/>
          <w:b/>
          <w:color w:val="auto"/>
          <w:lang w:val="en-US" w:eastAsia="zh-CN"/>
        </w:rPr>
        <w:t>7.</w:t>
      </w:r>
      <w:r>
        <w:rPr>
          <w:rFonts w:hint="eastAsia"/>
          <w:b/>
          <w:color w:val="auto"/>
        </w:rPr>
        <w:t>残疾人福利性单位声明函格式</w:t>
      </w:r>
    </w:p>
    <w:p w14:paraId="79D5493F">
      <w:pPr>
        <w:pStyle w:val="15"/>
        <w:snapToGrid w:val="0"/>
        <w:spacing w:before="31" w:beforeLines="10" w:after="31" w:afterLines="10" w:line="360" w:lineRule="auto"/>
        <w:jc w:val="center"/>
        <w:rPr>
          <w:rFonts w:hAnsi="宋体"/>
          <w:b/>
          <w:color w:val="auto"/>
          <w:sz w:val="32"/>
          <w:szCs w:val="32"/>
        </w:rPr>
      </w:pPr>
      <w:r>
        <w:rPr>
          <w:rFonts w:hint="eastAsia" w:hAnsi="宋体"/>
          <w:b/>
          <w:color w:val="auto"/>
          <w:sz w:val="32"/>
          <w:szCs w:val="32"/>
        </w:rPr>
        <w:t>残疾人福利性单位声明函</w:t>
      </w:r>
    </w:p>
    <w:p w14:paraId="1314D8C2">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24"/>
          <w:u w:val="single"/>
        </w:rPr>
        <w:t xml:space="preserve">                     </w:t>
      </w:r>
      <w:r>
        <w:rPr>
          <w:rFonts w:hint="eastAsia" w:hAnsi="宋体"/>
          <w:color w:val="auto"/>
          <w:sz w:val="24"/>
        </w:rPr>
        <w:t>单位的</w:t>
      </w:r>
      <w:r>
        <w:rPr>
          <w:rFonts w:hint="eastAsia" w:hAnsi="宋体"/>
          <w:color w:val="auto"/>
          <w:sz w:val="24"/>
          <w:u w:val="single"/>
        </w:rPr>
        <w:t xml:space="preserve">                </w:t>
      </w:r>
      <w:r>
        <w:rPr>
          <w:rFonts w:hint="eastAsia" w:hAnsi="宋体"/>
          <w:color w:val="auto"/>
          <w:sz w:val="24"/>
        </w:rPr>
        <w:t>项目采购活动提供本单位制造的货物（由本单位承担工程、提供服务），或者提供其他残疾人福利性单位制造的货物（不包括使用非残疾人福利性单位注册商标的货物）。</w:t>
      </w:r>
    </w:p>
    <w:p w14:paraId="16B71CBC">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本单位对上述声明的真实性负责。如有虚假，将依法承担相应责任。</w:t>
      </w:r>
    </w:p>
    <w:p w14:paraId="2BADC3A8">
      <w:pPr>
        <w:pStyle w:val="15"/>
        <w:snapToGrid w:val="0"/>
        <w:spacing w:before="31" w:beforeLines="10" w:after="31" w:afterLines="10" w:line="360" w:lineRule="auto"/>
        <w:rPr>
          <w:rFonts w:hAnsi="宋体"/>
          <w:color w:val="auto"/>
          <w:sz w:val="24"/>
        </w:rPr>
      </w:pPr>
    </w:p>
    <w:p w14:paraId="5C7E4828">
      <w:pPr>
        <w:pStyle w:val="15"/>
        <w:snapToGrid w:val="0"/>
        <w:spacing w:before="31" w:beforeLines="10" w:after="31" w:afterLines="10" w:line="360" w:lineRule="auto"/>
        <w:rPr>
          <w:rFonts w:hAnsi="宋体"/>
          <w:color w:val="auto"/>
          <w:sz w:val="24"/>
        </w:rPr>
      </w:pPr>
    </w:p>
    <w:p w14:paraId="548BC55C">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投标人（盖章）</w:t>
      </w:r>
    </w:p>
    <w:p w14:paraId="2C618896">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日期：    年   月   日</w:t>
      </w:r>
    </w:p>
    <w:p w14:paraId="2501FEAB">
      <w:pPr>
        <w:spacing w:line="360" w:lineRule="auto"/>
        <w:rPr>
          <w:rFonts w:ascii="宋体" w:hAnsi="宋体" w:cs="宋体"/>
          <w:color w:val="auto"/>
          <w:sz w:val="24"/>
        </w:rPr>
      </w:pPr>
      <w:r>
        <w:rPr>
          <w:rFonts w:hint="eastAsia" w:ascii="宋体" w:hAnsi="宋体" w:cs="宋体"/>
          <w:color w:val="auto"/>
          <w:sz w:val="24"/>
        </w:rPr>
        <w:t>说明：</w:t>
      </w:r>
    </w:p>
    <w:p w14:paraId="6D1BF8A1">
      <w:pPr>
        <w:pStyle w:val="15"/>
        <w:snapToGrid w:val="0"/>
        <w:spacing w:before="31" w:beforeLines="10" w:after="31" w:afterLines="10" w:line="360" w:lineRule="auto"/>
        <w:rPr>
          <w:rFonts w:hAnsi="宋体"/>
          <w:b/>
          <w:color w:val="auto"/>
        </w:rPr>
      </w:pPr>
      <w:r>
        <w:rPr>
          <w:rFonts w:hint="eastAsia" w:hAnsi="宋体"/>
          <w:color w:val="auto"/>
          <w:sz w:val="24"/>
        </w:rPr>
        <w:t>1</w:t>
      </w:r>
      <w:r>
        <w:rPr>
          <w:rFonts w:hint="eastAsia" w:hAnsi="宋体"/>
          <w:color w:val="auto"/>
          <w:sz w:val="24"/>
          <w:lang w:val="en-US" w:eastAsia="zh-CN"/>
        </w:rPr>
        <w:t>.</w:t>
      </w:r>
      <w:r>
        <w:rPr>
          <w:rFonts w:hint="eastAsia" w:hAnsi="宋体"/>
          <w:color w:val="auto"/>
          <w:sz w:val="24"/>
        </w:rPr>
        <w:t>非残疾人福利性单位不需提供此声明函</w:t>
      </w:r>
      <w:r>
        <w:rPr>
          <w:rFonts w:hint="eastAsia" w:hAnsi="宋体"/>
          <w:color w:val="auto"/>
          <w:sz w:val="24"/>
          <w:lang w:eastAsia="zh-CN"/>
        </w:rPr>
        <w:t>。</w:t>
      </w:r>
      <w:r>
        <w:rPr>
          <w:rFonts w:hint="eastAsia" w:hAnsi="宋体"/>
          <w:color w:val="FF0000"/>
          <w:sz w:val="24"/>
        </w:rPr>
        <w:br w:type="page"/>
      </w:r>
      <w:r>
        <w:rPr>
          <w:rFonts w:hint="eastAsia" w:hAnsi="宋体"/>
          <w:b/>
          <w:color w:val="auto"/>
          <w:sz w:val="24"/>
          <w:lang w:val="en-US" w:eastAsia="zh-CN"/>
        </w:rPr>
        <w:t>8.</w:t>
      </w:r>
      <w:r>
        <w:rPr>
          <w:rFonts w:hint="eastAsia" w:hAnsi="宋体"/>
          <w:b/>
          <w:color w:val="auto"/>
          <w:sz w:val="24"/>
        </w:rPr>
        <w:t>监狱企业声明函格式</w:t>
      </w:r>
    </w:p>
    <w:p w14:paraId="42F9FB50">
      <w:pPr>
        <w:pStyle w:val="15"/>
        <w:snapToGrid w:val="0"/>
        <w:spacing w:before="31" w:beforeLines="10" w:after="31" w:afterLines="10" w:line="360" w:lineRule="auto"/>
        <w:jc w:val="center"/>
        <w:rPr>
          <w:rFonts w:hAnsi="宋体"/>
          <w:b/>
          <w:color w:val="auto"/>
          <w:sz w:val="32"/>
          <w:szCs w:val="32"/>
        </w:rPr>
      </w:pPr>
      <w:r>
        <w:rPr>
          <w:rFonts w:hint="eastAsia" w:hAnsi="宋体"/>
          <w:b/>
          <w:color w:val="auto"/>
          <w:sz w:val="32"/>
          <w:szCs w:val="32"/>
        </w:rPr>
        <w:t>监狱企业声明函</w:t>
      </w:r>
    </w:p>
    <w:p w14:paraId="3A3CA6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本单位郑重声明，根据《关于政府采购支持监狱企业发展有关问题的通知》（财库[2014]68号）的规定，本单位为监狱企业。</w:t>
      </w:r>
    </w:p>
    <w:p w14:paraId="16D34256">
      <w:pPr>
        <w:spacing w:line="360" w:lineRule="auto"/>
        <w:ind w:firstLine="480" w:firstLineChars="200"/>
        <w:rPr>
          <w:rFonts w:ascii="宋体" w:hAnsi="宋体" w:cs="宋体"/>
          <w:color w:val="auto"/>
          <w:sz w:val="24"/>
        </w:rPr>
      </w:pPr>
      <w:r>
        <w:rPr>
          <w:rFonts w:hint="eastAsia" w:ascii="宋体" w:hAnsi="宋体" w:cs="宋体"/>
          <w:color w:val="auto"/>
          <w:sz w:val="24"/>
        </w:rPr>
        <w:t>根据上述标准，我单位属于监狱企业的理由为：</w:t>
      </w:r>
      <w:r>
        <w:rPr>
          <w:rFonts w:hint="eastAsia" w:ascii="宋体" w:hAnsi="宋体" w:cs="宋体"/>
          <w:color w:val="auto"/>
          <w:sz w:val="24"/>
          <w:u w:val="single"/>
        </w:rPr>
        <w:t xml:space="preserve">                     </w:t>
      </w:r>
      <w:r>
        <w:rPr>
          <w:rFonts w:hint="eastAsia" w:ascii="宋体" w:hAnsi="宋体" w:cs="宋体"/>
          <w:color w:val="auto"/>
          <w:sz w:val="24"/>
        </w:rPr>
        <w:t>。</w:t>
      </w:r>
    </w:p>
    <w:p w14:paraId="02966DE8">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本单位参加</w:t>
      </w:r>
      <w:r>
        <w:rPr>
          <w:rFonts w:hint="eastAsia" w:hAnsi="宋体"/>
          <w:color w:val="auto"/>
          <w:sz w:val="24"/>
          <w:u w:val="single"/>
        </w:rPr>
        <w:t xml:space="preserve">（采购人名称）       </w:t>
      </w:r>
      <w:r>
        <w:rPr>
          <w:rFonts w:hint="eastAsia" w:hAnsi="宋体"/>
          <w:color w:val="auto"/>
          <w:sz w:val="24"/>
        </w:rPr>
        <w:t>单位的</w:t>
      </w:r>
      <w:r>
        <w:rPr>
          <w:rFonts w:hint="eastAsia" w:hAnsi="宋体"/>
          <w:color w:val="auto"/>
          <w:sz w:val="24"/>
          <w:u w:val="single"/>
        </w:rPr>
        <w:t xml:space="preserve"> （项目名称）         </w:t>
      </w:r>
      <w:r>
        <w:rPr>
          <w:rFonts w:hint="eastAsia" w:hAnsi="宋体"/>
          <w:color w:val="auto"/>
          <w:sz w:val="24"/>
        </w:rPr>
        <w:t>项目的采购活动，并由本单位为本项目提供货物。</w:t>
      </w:r>
    </w:p>
    <w:p w14:paraId="3B877C27">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本单位对上述声明的真实性负责。如有虚假，将依法承担相应责任。</w:t>
      </w:r>
    </w:p>
    <w:p w14:paraId="0575DB67">
      <w:pPr>
        <w:pStyle w:val="15"/>
        <w:snapToGrid w:val="0"/>
        <w:spacing w:before="31" w:beforeLines="10" w:after="31" w:afterLines="10" w:line="360" w:lineRule="auto"/>
        <w:rPr>
          <w:rFonts w:hAnsi="宋体"/>
          <w:color w:val="auto"/>
          <w:sz w:val="24"/>
        </w:rPr>
      </w:pPr>
    </w:p>
    <w:p w14:paraId="1C1FCED5">
      <w:pPr>
        <w:pStyle w:val="15"/>
        <w:snapToGrid w:val="0"/>
        <w:spacing w:before="31" w:beforeLines="10" w:after="31" w:afterLines="10" w:line="360" w:lineRule="auto"/>
        <w:rPr>
          <w:rFonts w:hAnsi="宋体"/>
          <w:color w:val="auto"/>
          <w:sz w:val="24"/>
        </w:rPr>
      </w:pPr>
    </w:p>
    <w:p w14:paraId="59ACD113">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投标人（盖章）</w:t>
      </w:r>
    </w:p>
    <w:p w14:paraId="6A6A2485">
      <w:pPr>
        <w:pStyle w:val="15"/>
        <w:snapToGrid w:val="0"/>
        <w:spacing w:before="31" w:beforeLines="10" w:after="31" w:afterLines="10" w:line="360" w:lineRule="auto"/>
        <w:ind w:firstLine="480" w:firstLineChars="200"/>
        <w:rPr>
          <w:rFonts w:hAnsi="宋体"/>
          <w:color w:val="auto"/>
          <w:sz w:val="24"/>
        </w:rPr>
      </w:pPr>
      <w:r>
        <w:rPr>
          <w:rFonts w:hint="eastAsia" w:hAnsi="宋体"/>
          <w:color w:val="auto"/>
          <w:sz w:val="24"/>
        </w:rPr>
        <w:t xml:space="preserve">                                              日期：    年   月   日</w:t>
      </w:r>
    </w:p>
    <w:p w14:paraId="3CB01CBF">
      <w:pPr>
        <w:spacing w:line="360" w:lineRule="auto"/>
        <w:ind w:firstLine="480" w:firstLineChars="200"/>
        <w:rPr>
          <w:rFonts w:ascii="宋体" w:hAnsi="宋体" w:cs="宋体"/>
          <w:color w:val="auto"/>
          <w:sz w:val="24"/>
        </w:rPr>
      </w:pPr>
      <w:r>
        <w:rPr>
          <w:rFonts w:hint="eastAsia" w:ascii="宋体" w:hAnsi="宋体" w:cs="宋体"/>
          <w:color w:val="auto"/>
          <w:sz w:val="24"/>
        </w:rPr>
        <w:t>说明：</w:t>
      </w:r>
    </w:p>
    <w:p w14:paraId="4A4E394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监狱企业参加采购活动时，应当提供由省级以上监狱管理局、戒毒管理局（含新疆生产建设兵团）出具的属于监狱企业的证明文件。</w:t>
      </w:r>
    </w:p>
    <w:p w14:paraId="075F27D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E005DC">
      <w:pPr>
        <w:pStyle w:val="15"/>
        <w:snapToGrid w:val="0"/>
        <w:spacing w:before="31" w:beforeLines="10" w:after="31" w:afterLines="10" w:line="360" w:lineRule="auto"/>
        <w:ind w:firstLine="480" w:firstLineChars="200"/>
        <w:rPr>
          <w:rFonts w:hint="eastAsia" w:hAnsi="宋体"/>
          <w:color w:val="auto"/>
          <w:sz w:val="24"/>
          <w:lang w:val="en-US" w:eastAsia="zh-CN"/>
        </w:rPr>
      </w:pPr>
      <w:r>
        <w:rPr>
          <w:rFonts w:hint="eastAsia" w:hAnsi="宋体"/>
          <w:color w:val="auto"/>
          <w:sz w:val="24"/>
        </w:rPr>
        <w:t>3</w:t>
      </w:r>
      <w:r>
        <w:rPr>
          <w:rFonts w:hint="eastAsia" w:hAnsi="宋体"/>
          <w:color w:val="auto"/>
          <w:sz w:val="24"/>
          <w:lang w:val="en-US" w:eastAsia="zh-CN"/>
        </w:rPr>
        <w:t>.非监狱企业不需提供此声明函。</w:t>
      </w:r>
    </w:p>
    <w:p w14:paraId="75212050">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27449891">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45100CBC">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74685FD2">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6C106A9E">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07C5AC4A">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5C732F46">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411415F4">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32F9AD53">
      <w:pPr>
        <w:pStyle w:val="15"/>
        <w:snapToGrid w:val="0"/>
        <w:spacing w:before="31" w:beforeLines="10" w:after="31" w:afterLines="10" w:line="360" w:lineRule="auto"/>
        <w:ind w:firstLine="480" w:firstLineChars="200"/>
        <w:rPr>
          <w:rFonts w:hint="eastAsia" w:hAnsi="宋体"/>
          <w:color w:val="FF0000"/>
          <w:sz w:val="24"/>
          <w:lang w:val="en-US" w:eastAsia="zh-CN"/>
        </w:rPr>
      </w:pPr>
    </w:p>
    <w:p w14:paraId="4DC60306">
      <w:pPr>
        <w:pStyle w:val="15"/>
        <w:snapToGrid w:val="0"/>
        <w:spacing w:before="31" w:beforeLines="10" w:after="31" w:afterLines="10" w:line="360" w:lineRule="auto"/>
        <w:ind w:firstLine="482" w:firstLineChars="200"/>
        <w:rPr>
          <w:rFonts w:ascii="宋体" w:hAnsi="宋体" w:cs="宋体"/>
          <w:color w:val="auto"/>
          <w:sz w:val="24"/>
        </w:rPr>
      </w:pPr>
      <w:r>
        <w:rPr>
          <w:rFonts w:hint="eastAsia" w:ascii="宋体" w:hAnsi="宋体" w:cs="宋体"/>
          <w:b/>
          <w:bCs/>
          <w:color w:val="auto"/>
          <w:sz w:val="24"/>
        </w:rPr>
        <w:t>二、商务技术文件格式</w:t>
      </w:r>
    </w:p>
    <w:p w14:paraId="3014C031">
      <w:pPr>
        <w:snapToGrid w:val="0"/>
        <w:spacing w:before="156" w:beforeLines="50" w:after="50" w:line="440" w:lineRule="exact"/>
        <w:rPr>
          <w:rFonts w:ascii="宋体" w:hAnsi="宋体" w:cs="宋体"/>
          <w:color w:val="auto"/>
          <w:sz w:val="24"/>
        </w:rPr>
      </w:pPr>
      <w:r>
        <w:rPr>
          <w:rFonts w:hint="eastAsia" w:ascii="宋体" w:hAnsi="宋体" w:cs="宋体"/>
          <w:color w:val="auto"/>
          <w:sz w:val="24"/>
        </w:rPr>
        <w:t>·商务技术文件封面格式：</w:t>
      </w:r>
    </w:p>
    <w:p w14:paraId="0317B973">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4CDA57ED">
      <w:pPr>
        <w:snapToGrid w:val="0"/>
        <w:spacing w:before="156" w:beforeLines="50" w:after="50" w:line="440" w:lineRule="exact"/>
        <w:rPr>
          <w:rFonts w:ascii="宋体" w:hAnsi="宋体" w:cs="宋体"/>
          <w:color w:val="auto"/>
          <w:sz w:val="24"/>
        </w:rPr>
      </w:pPr>
    </w:p>
    <w:p w14:paraId="3E0ECEBB">
      <w:pPr>
        <w:snapToGrid w:val="0"/>
        <w:spacing w:before="156" w:beforeLines="50" w:after="50" w:line="440" w:lineRule="exact"/>
        <w:jc w:val="center"/>
        <w:rPr>
          <w:rFonts w:ascii="宋体" w:hAnsi="宋体" w:cs="宋体"/>
          <w:bCs/>
          <w:color w:val="auto"/>
          <w:sz w:val="24"/>
        </w:rPr>
      </w:pPr>
    </w:p>
    <w:p w14:paraId="0F83CF2E">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商务技术</w:t>
      </w:r>
      <w:r>
        <w:rPr>
          <w:rFonts w:hint="eastAsia" w:ascii="宋体" w:hAnsi="宋体" w:cs="宋体"/>
          <w:color w:val="auto"/>
          <w:sz w:val="24"/>
        </w:rPr>
        <w:t>文件</w:t>
      </w:r>
    </w:p>
    <w:p w14:paraId="4F10B69B">
      <w:pPr>
        <w:snapToGrid w:val="0"/>
        <w:spacing w:before="156" w:beforeLines="50" w:after="50" w:line="440" w:lineRule="exact"/>
        <w:rPr>
          <w:rFonts w:ascii="宋体" w:hAnsi="宋体" w:cs="宋体"/>
          <w:bCs/>
          <w:color w:val="auto"/>
          <w:sz w:val="24"/>
        </w:rPr>
      </w:pPr>
    </w:p>
    <w:p w14:paraId="7FDE3097">
      <w:pPr>
        <w:snapToGrid w:val="0"/>
        <w:spacing w:before="156" w:beforeLines="50" w:after="50" w:line="440" w:lineRule="exact"/>
        <w:ind w:firstLine="1200" w:firstLineChars="500"/>
        <w:jc w:val="left"/>
        <w:rPr>
          <w:rFonts w:ascii="宋体" w:hAnsi="宋体" w:cs="宋体"/>
          <w:bCs/>
          <w:color w:val="auto"/>
          <w:sz w:val="24"/>
        </w:rPr>
      </w:pPr>
      <w:r>
        <w:rPr>
          <w:rFonts w:hint="eastAsia" w:ascii="宋体" w:hAnsi="宋体" w:cs="宋体"/>
          <w:bCs/>
          <w:color w:val="auto"/>
          <w:sz w:val="24"/>
        </w:rPr>
        <w:t>项目名称：</w:t>
      </w:r>
    </w:p>
    <w:p w14:paraId="21234893">
      <w:pPr>
        <w:snapToGrid w:val="0"/>
        <w:spacing w:before="156" w:beforeLines="50" w:after="50" w:line="440" w:lineRule="exact"/>
        <w:ind w:firstLine="1200" w:firstLineChars="500"/>
        <w:jc w:val="left"/>
        <w:rPr>
          <w:rFonts w:ascii="宋体" w:hAnsi="宋体" w:cs="宋体"/>
          <w:bCs/>
          <w:color w:val="auto"/>
          <w:sz w:val="24"/>
        </w:rPr>
      </w:pPr>
      <w:r>
        <w:rPr>
          <w:rFonts w:hint="eastAsia" w:ascii="宋体" w:hAnsi="宋体" w:cs="宋体"/>
          <w:bCs/>
          <w:color w:val="auto"/>
          <w:sz w:val="24"/>
        </w:rPr>
        <w:t>项目编号：</w:t>
      </w:r>
    </w:p>
    <w:p w14:paraId="1768B9C9">
      <w:pPr>
        <w:snapToGrid w:val="0"/>
        <w:spacing w:before="156" w:beforeLines="50" w:after="50" w:line="440" w:lineRule="exact"/>
        <w:ind w:firstLine="1200" w:firstLineChars="500"/>
        <w:jc w:val="left"/>
        <w:rPr>
          <w:rFonts w:hint="eastAsia" w:ascii="宋体" w:hAnsi="宋体" w:cs="宋体"/>
          <w:bCs/>
          <w:color w:val="auto"/>
          <w:sz w:val="24"/>
          <w:lang w:eastAsia="zh-CN"/>
        </w:rPr>
      </w:pPr>
      <w:r>
        <w:rPr>
          <w:rFonts w:hint="eastAsia" w:ascii="宋体" w:hAnsi="宋体" w:cs="宋体"/>
          <w:bCs/>
          <w:color w:val="auto"/>
          <w:sz w:val="24"/>
        </w:rPr>
        <w:t>投标人名称</w:t>
      </w:r>
      <w:r>
        <w:rPr>
          <w:rFonts w:hint="eastAsia" w:ascii="宋体" w:hAnsi="宋体" w:cs="宋体"/>
          <w:bCs/>
          <w:color w:val="auto"/>
          <w:sz w:val="24"/>
          <w:lang w:eastAsia="zh-CN"/>
        </w:rPr>
        <w:t>：</w:t>
      </w:r>
    </w:p>
    <w:p w14:paraId="431F2E96">
      <w:pPr>
        <w:snapToGrid w:val="0"/>
        <w:spacing w:before="156" w:beforeLines="50" w:after="50" w:line="440" w:lineRule="exact"/>
        <w:ind w:firstLine="1200" w:firstLineChars="500"/>
        <w:jc w:val="left"/>
        <w:rPr>
          <w:rFonts w:hAnsi="宋体"/>
          <w:bCs/>
          <w:color w:val="auto"/>
          <w:sz w:val="24"/>
          <w:szCs w:val="24"/>
        </w:rPr>
      </w:pPr>
      <w:r>
        <w:rPr>
          <w:rFonts w:hint="eastAsia" w:hAnsi="宋体"/>
          <w:bCs/>
          <w:color w:val="auto"/>
          <w:sz w:val="24"/>
          <w:szCs w:val="24"/>
        </w:rPr>
        <w:t>投标人地址：</w:t>
      </w:r>
    </w:p>
    <w:p w14:paraId="79B20D23">
      <w:pPr>
        <w:snapToGrid w:val="0"/>
        <w:spacing w:before="156" w:beforeLines="50" w:after="50" w:line="440" w:lineRule="exact"/>
        <w:ind w:firstLine="4080" w:firstLineChars="1700"/>
        <w:rPr>
          <w:rFonts w:ascii="宋体" w:hAnsi="宋体" w:cs="宋体"/>
          <w:color w:val="auto"/>
          <w:sz w:val="24"/>
        </w:rPr>
      </w:pPr>
    </w:p>
    <w:p w14:paraId="2195CE3A">
      <w:pPr>
        <w:snapToGrid w:val="0"/>
        <w:spacing w:before="156" w:beforeLines="50" w:after="50" w:line="440" w:lineRule="exact"/>
        <w:ind w:firstLine="645"/>
        <w:jc w:val="center"/>
        <w:rPr>
          <w:rFonts w:ascii="宋体" w:hAnsi="宋体" w:cs="宋体"/>
          <w:b/>
          <w:color w:val="auto"/>
          <w:szCs w:val="21"/>
        </w:rPr>
      </w:pPr>
      <w:r>
        <w:rPr>
          <w:rFonts w:hint="eastAsia" w:ascii="宋体" w:hAnsi="宋体" w:cs="宋体"/>
          <w:color w:val="auto"/>
          <w:sz w:val="24"/>
        </w:rPr>
        <w:t xml:space="preserve">                        年  月  日</w:t>
      </w:r>
    </w:p>
    <w:p w14:paraId="7069D65E">
      <w:pPr>
        <w:pStyle w:val="66"/>
        <w:spacing w:line="360" w:lineRule="auto"/>
        <w:jc w:val="right"/>
        <w:rPr>
          <w:rFonts w:hAnsi="宋体" w:eastAsia="宋体"/>
          <w:color w:val="auto"/>
          <w:szCs w:val="21"/>
        </w:rPr>
      </w:pPr>
    </w:p>
    <w:p w14:paraId="765628CD">
      <w:pPr>
        <w:snapToGrid w:val="0"/>
        <w:spacing w:before="50" w:after="156" w:afterLines="50" w:line="440" w:lineRule="exact"/>
        <w:jc w:val="left"/>
        <w:rPr>
          <w:rFonts w:ascii="宋体" w:hAnsi="宋体" w:cs="宋体"/>
          <w:b/>
          <w:bCs/>
          <w:color w:val="auto"/>
          <w:sz w:val="24"/>
        </w:rPr>
      </w:pPr>
      <w:r>
        <w:rPr>
          <w:rFonts w:hint="eastAsia" w:ascii="宋体" w:hAnsi="宋体" w:cs="宋体"/>
          <w:color w:val="auto"/>
          <w:szCs w:val="21"/>
        </w:rPr>
        <w:br w:type="page"/>
      </w:r>
      <w:bookmarkEnd w:id="68"/>
      <w:bookmarkStart w:id="69" w:name="OLE_LINK17"/>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投标人情况介绍</w:t>
      </w:r>
    </w:p>
    <w:p w14:paraId="37788022">
      <w:pPr>
        <w:spacing w:before="72"/>
        <w:ind w:left="65" w:right="6"/>
        <w:jc w:val="center"/>
        <w:rPr>
          <w:rFonts w:ascii="宋体" w:hAnsi="宋体" w:cs="宋体"/>
          <w:b/>
          <w:color w:val="auto"/>
          <w:sz w:val="32"/>
          <w:szCs w:val="32"/>
        </w:rPr>
      </w:pPr>
      <w:r>
        <w:rPr>
          <w:rFonts w:hint="eastAsia" w:ascii="宋体" w:hAnsi="宋体" w:cs="宋体"/>
          <w:b/>
          <w:color w:val="auto"/>
          <w:sz w:val="32"/>
          <w:szCs w:val="32"/>
        </w:rPr>
        <w:t>投标人基本情况表</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5E32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vAlign w:val="center"/>
          </w:tcPr>
          <w:p w14:paraId="7206D736">
            <w:pPr>
              <w:rPr>
                <w:rFonts w:ascii="宋体" w:hAnsi="宋体" w:cs="宋体"/>
                <w:color w:val="auto"/>
                <w:sz w:val="24"/>
              </w:rPr>
            </w:pPr>
          </w:p>
          <w:p w14:paraId="759146F1">
            <w:pPr>
              <w:jc w:val="center"/>
              <w:rPr>
                <w:rFonts w:ascii="宋体" w:hAnsi="宋体" w:cs="宋体"/>
                <w:color w:val="auto"/>
                <w:sz w:val="24"/>
              </w:rPr>
            </w:pPr>
            <w:r>
              <w:rPr>
                <w:rFonts w:hint="eastAsia" w:ascii="宋体" w:hAnsi="宋体" w:cs="宋体"/>
                <w:color w:val="auto"/>
                <w:sz w:val="24"/>
              </w:rPr>
              <w:t>投</w:t>
            </w:r>
          </w:p>
          <w:p w14:paraId="0D247CCA">
            <w:pPr>
              <w:jc w:val="center"/>
              <w:rPr>
                <w:rFonts w:ascii="宋体" w:hAnsi="宋体" w:cs="宋体"/>
                <w:color w:val="auto"/>
                <w:sz w:val="24"/>
              </w:rPr>
            </w:pPr>
          </w:p>
          <w:p w14:paraId="0C9EE11F">
            <w:pPr>
              <w:jc w:val="center"/>
              <w:rPr>
                <w:rFonts w:ascii="宋体" w:hAnsi="宋体" w:cs="宋体"/>
                <w:color w:val="auto"/>
                <w:sz w:val="24"/>
              </w:rPr>
            </w:pPr>
            <w:r>
              <w:rPr>
                <w:rFonts w:hint="eastAsia" w:ascii="宋体" w:hAnsi="宋体" w:cs="宋体"/>
                <w:color w:val="auto"/>
                <w:sz w:val="24"/>
              </w:rPr>
              <w:t>标</w:t>
            </w:r>
          </w:p>
          <w:p w14:paraId="21B4565B">
            <w:pPr>
              <w:jc w:val="center"/>
              <w:rPr>
                <w:rFonts w:ascii="宋体" w:hAnsi="宋体" w:cs="宋体"/>
                <w:color w:val="auto"/>
                <w:sz w:val="24"/>
              </w:rPr>
            </w:pPr>
          </w:p>
          <w:p w14:paraId="1397D36C">
            <w:pPr>
              <w:jc w:val="center"/>
              <w:rPr>
                <w:rFonts w:ascii="宋体" w:hAnsi="宋体" w:cs="宋体"/>
                <w:color w:val="auto"/>
                <w:sz w:val="24"/>
              </w:rPr>
            </w:pPr>
            <w:r>
              <w:rPr>
                <w:rFonts w:hint="eastAsia" w:ascii="宋体" w:hAnsi="宋体" w:cs="宋体"/>
                <w:color w:val="auto"/>
                <w:sz w:val="24"/>
              </w:rPr>
              <w:t>人</w:t>
            </w:r>
          </w:p>
          <w:p w14:paraId="4D6E9C4E">
            <w:pPr>
              <w:jc w:val="center"/>
              <w:rPr>
                <w:rFonts w:ascii="宋体" w:hAnsi="宋体" w:cs="宋体"/>
                <w:color w:val="auto"/>
                <w:sz w:val="24"/>
              </w:rPr>
            </w:pPr>
          </w:p>
          <w:p w14:paraId="11D21F4F">
            <w:pPr>
              <w:jc w:val="center"/>
              <w:rPr>
                <w:rFonts w:ascii="宋体" w:hAnsi="宋体" w:cs="宋体"/>
                <w:color w:val="auto"/>
                <w:sz w:val="24"/>
              </w:rPr>
            </w:pPr>
            <w:r>
              <w:rPr>
                <w:rFonts w:hint="eastAsia" w:ascii="宋体" w:hAnsi="宋体" w:cs="宋体"/>
                <w:color w:val="auto"/>
                <w:sz w:val="24"/>
              </w:rPr>
              <w:t>概</w:t>
            </w:r>
          </w:p>
          <w:p w14:paraId="71B174BA">
            <w:pPr>
              <w:jc w:val="center"/>
              <w:rPr>
                <w:rFonts w:ascii="宋体" w:hAnsi="宋体" w:cs="宋体"/>
                <w:color w:val="auto"/>
                <w:sz w:val="24"/>
              </w:rPr>
            </w:pPr>
          </w:p>
          <w:p w14:paraId="6DB8E873">
            <w:pPr>
              <w:jc w:val="center"/>
              <w:rPr>
                <w:rFonts w:ascii="宋体" w:hAnsi="宋体" w:cs="宋体"/>
                <w:color w:val="auto"/>
                <w:sz w:val="24"/>
              </w:rPr>
            </w:pPr>
            <w:r>
              <w:rPr>
                <w:rFonts w:hint="eastAsia" w:ascii="宋体" w:hAnsi="宋体" w:cs="宋体"/>
                <w:color w:val="auto"/>
                <w:sz w:val="24"/>
              </w:rPr>
              <w:t>况</w:t>
            </w:r>
          </w:p>
        </w:tc>
        <w:tc>
          <w:tcPr>
            <w:tcW w:w="2279" w:type="dxa"/>
            <w:vAlign w:val="center"/>
          </w:tcPr>
          <w:p w14:paraId="5BAA46C9">
            <w:pPr>
              <w:jc w:val="center"/>
              <w:rPr>
                <w:rFonts w:ascii="宋体" w:hAnsi="宋体" w:cs="宋体"/>
                <w:color w:val="auto"/>
                <w:sz w:val="24"/>
              </w:rPr>
            </w:pPr>
            <w:r>
              <w:rPr>
                <w:rFonts w:hint="eastAsia" w:ascii="宋体" w:hAnsi="宋体" w:cs="宋体"/>
                <w:color w:val="auto"/>
                <w:sz w:val="24"/>
              </w:rPr>
              <w:t>公司名称</w:t>
            </w:r>
          </w:p>
        </w:tc>
        <w:tc>
          <w:tcPr>
            <w:tcW w:w="6316" w:type="dxa"/>
            <w:gridSpan w:val="3"/>
            <w:vAlign w:val="center"/>
          </w:tcPr>
          <w:p w14:paraId="0E5BE4CF">
            <w:pPr>
              <w:jc w:val="center"/>
              <w:rPr>
                <w:rFonts w:ascii="宋体" w:hAnsi="宋体" w:cs="宋体"/>
                <w:color w:val="auto"/>
                <w:sz w:val="24"/>
              </w:rPr>
            </w:pPr>
          </w:p>
        </w:tc>
      </w:tr>
      <w:tr w14:paraId="6245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06EEA2CF">
            <w:pPr>
              <w:jc w:val="center"/>
              <w:rPr>
                <w:rFonts w:ascii="宋体" w:hAnsi="宋体" w:cs="宋体"/>
                <w:color w:val="auto"/>
                <w:sz w:val="24"/>
              </w:rPr>
            </w:pPr>
          </w:p>
        </w:tc>
        <w:tc>
          <w:tcPr>
            <w:tcW w:w="2279" w:type="dxa"/>
            <w:vAlign w:val="center"/>
          </w:tcPr>
          <w:p w14:paraId="2CB742F9">
            <w:pPr>
              <w:jc w:val="center"/>
              <w:rPr>
                <w:rFonts w:ascii="宋体" w:hAnsi="宋体" w:cs="宋体"/>
                <w:color w:val="auto"/>
                <w:sz w:val="24"/>
              </w:rPr>
            </w:pPr>
            <w:r>
              <w:rPr>
                <w:rFonts w:hint="eastAsia" w:ascii="宋体" w:hAnsi="宋体" w:cs="宋体"/>
                <w:color w:val="auto"/>
                <w:sz w:val="24"/>
              </w:rPr>
              <w:t>地址</w:t>
            </w:r>
          </w:p>
        </w:tc>
        <w:tc>
          <w:tcPr>
            <w:tcW w:w="6316" w:type="dxa"/>
            <w:gridSpan w:val="3"/>
            <w:vAlign w:val="center"/>
          </w:tcPr>
          <w:p w14:paraId="3AAAFE84">
            <w:pPr>
              <w:jc w:val="center"/>
              <w:rPr>
                <w:rFonts w:ascii="宋体" w:hAnsi="宋体" w:cs="宋体"/>
                <w:color w:val="auto"/>
                <w:sz w:val="24"/>
              </w:rPr>
            </w:pPr>
          </w:p>
        </w:tc>
      </w:tr>
      <w:tr w14:paraId="69D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42FB42D9">
            <w:pPr>
              <w:jc w:val="center"/>
              <w:rPr>
                <w:rFonts w:ascii="宋体" w:hAnsi="宋体" w:cs="宋体"/>
                <w:color w:val="auto"/>
                <w:sz w:val="24"/>
              </w:rPr>
            </w:pPr>
          </w:p>
        </w:tc>
        <w:tc>
          <w:tcPr>
            <w:tcW w:w="2279" w:type="dxa"/>
            <w:vAlign w:val="center"/>
          </w:tcPr>
          <w:p w14:paraId="368C85E2">
            <w:pPr>
              <w:jc w:val="center"/>
              <w:rPr>
                <w:rFonts w:ascii="宋体" w:hAnsi="宋体" w:cs="宋体"/>
                <w:color w:val="auto"/>
                <w:sz w:val="24"/>
              </w:rPr>
            </w:pPr>
            <w:r>
              <w:rPr>
                <w:rFonts w:hint="eastAsia" w:ascii="宋体" w:hAnsi="宋体" w:cs="宋体"/>
                <w:color w:val="auto"/>
                <w:sz w:val="24"/>
              </w:rPr>
              <w:t>经营范围</w:t>
            </w:r>
          </w:p>
        </w:tc>
        <w:tc>
          <w:tcPr>
            <w:tcW w:w="6316" w:type="dxa"/>
            <w:gridSpan w:val="3"/>
            <w:vAlign w:val="center"/>
          </w:tcPr>
          <w:p w14:paraId="0E0E0AF6">
            <w:pPr>
              <w:jc w:val="center"/>
              <w:rPr>
                <w:rFonts w:ascii="宋体" w:hAnsi="宋体" w:cs="宋体"/>
                <w:color w:val="auto"/>
                <w:sz w:val="24"/>
              </w:rPr>
            </w:pPr>
          </w:p>
        </w:tc>
      </w:tr>
      <w:tr w14:paraId="0095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2D0DF412">
            <w:pPr>
              <w:jc w:val="center"/>
              <w:rPr>
                <w:rFonts w:ascii="宋体" w:hAnsi="宋体" w:cs="宋体"/>
                <w:color w:val="auto"/>
                <w:sz w:val="24"/>
              </w:rPr>
            </w:pPr>
          </w:p>
        </w:tc>
        <w:tc>
          <w:tcPr>
            <w:tcW w:w="2279" w:type="dxa"/>
            <w:vAlign w:val="center"/>
          </w:tcPr>
          <w:p w14:paraId="58649721">
            <w:pPr>
              <w:jc w:val="center"/>
              <w:rPr>
                <w:rFonts w:ascii="宋体" w:hAnsi="宋体" w:cs="宋体"/>
                <w:color w:val="auto"/>
                <w:sz w:val="24"/>
              </w:rPr>
            </w:pPr>
            <w:r>
              <w:rPr>
                <w:rFonts w:hint="eastAsia" w:ascii="宋体" w:hAnsi="宋体" w:cs="宋体"/>
                <w:color w:val="auto"/>
                <w:sz w:val="24"/>
              </w:rPr>
              <w:t>统一社会信用代码</w:t>
            </w:r>
          </w:p>
        </w:tc>
        <w:tc>
          <w:tcPr>
            <w:tcW w:w="6316" w:type="dxa"/>
            <w:gridSpan w:val="3"/>
            <w:vAlign w:val="center"/>
          </w:tcPr>
          <w:p w14:paraId="54FD2721">
            <w:pPr>
              <w:jc w:val="center"/>
              <w:rPr>
                <w:rFonts w:ascii="宋体" w:hAnsi="宋体" w:cs="宋体"/>
                <w:color w:val="auto"/>
                <w:sz w:val="24"/>
              </w:rPr>
            </w:pPr>
          </w:p>
        </w:tc>
      </w:tr>
      <w:tr w14:paraId="4372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4D65D185">
            <w:pPr>
              <w:jc w:val="center"/>
              <w:rPr>
                <w:rFonts w:ascii="宋体" w:hAnsi="宋体" w:cs="宋体"/>
                <w:color w:val="auto"/>
                <w:sz w:val="24"/>
              </w:rPr>
            </w:pPr>
          </w:p>
        </w:tc>
        <w:tc>
          <w:tcPr>
            <w:tcW w:w="2279" w:type="dxa"/>
            <w:vAlign w:val="center"/>
          </w:tcPr>
          <w:p w14:paraId="676AAF98">
            <w:pPr>
              <w:jc w:val="center"/>
              <w:rPr>
                <w:rFonts w:ascii="宋体" w:hAnsi="宋体" w:cs="宋体"/>
                <w:color w:val="auto"/>
                <w:sz w:val="24"/>
              </w:rPr>
            </w:pPr>
            <w:r>
              <w:rPr>
                <w:rFonts w:hint="eastAsia" w:ascii="宋体" w:hAnsi="宋体" w:cs="宋体"/>
                <w:color w:val="auto"/>
                <w:sz w:val="24"/>
              </w:rPr>
              <w:t>成立时间</w:t>
            </w:r>
          </w:p>
        </w:tc>
        <w:tc>
          <w:tcPr>
            <w:tcW w:w="1640" w:type="dxa"/>
            <w:vAlign w:val="center"/>
          </w:tcPr>
          <w:p w14:paraId="299274AD">
            <w:pPr>
              <w:jc w:val="center"/>
              <w:rPr>
                <w:rFonts w:ascii="宋体" w:hAnsi="宋体" w:cs="宋体"/>
                <w:color w:val="auto"/>
                <w:sz w:val="24"/>
              </w:rPr>
            </w:pPr>
          </w:p>
        </w:tc>
        <w:tc>
          <w:tcPr>
            <w:tcW w:w="1920" w:type="dxa"/>
            <w:vAlign w:val="center"/>
          </w:tcPr>
          <w:p w14:paraId="5C92635C">
            <w:pPr>
              <w:jc w:val="center"/>
              <w:rPr>
                <w:rFonts w:ascii="宋体" w:hAnsi="宋体" w:cs="宋体"/>
                <w:color w:val="auto"/>
                <w:sz w:val="24"/>
              </w:rPr>
            </w:pPr>
            <w:r>
              <w:rPr>
                <w:rFonts w:hint="eastAsia" w:ascii="宋体" w:hAnsi="宋体" w:cs="宋体"/>
                <w:color w:val="auto"/>
                <w:sz w:val="24"/>
              </w:rPr>
              <w:t>经济性质</w:t>
            </w:r>
          </w:p>
        </w:tc>
        <w:tc>
          <w:tcPr>
            <w:tcW w:w="2756" w:type="dxa"/>
            <w:vAlign w:val="center"/>
          </w:tcPr>
          <w:p w14:paraId="6766F127">
            <w:pPr>
              <w:jc w:val="center"/>
              <w:rPr>
                <w:rFonts w:ascii="宋体" w:hAnsi="宋体" w:cs="宋体"/>
                <w:color w:val="auto"/>
                <w:sz w:val="24"/>
              </w:rPr>
            </w:pPr>
          </w:p>
        </w:tc>
      </w:tr>
      <w:tr w14:paraId="3CBE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572AFF2D">
            <w:pPr>
              <w:jc w:val="center"/>
              <w:rPr>
                <w:rFonts w:ascii="宋体" w:hAnsi="宋体" w:cs="宋体"/>
                <w:color w:val="auto"/>
                <w:sz w:val="24"/>
              </w:rPr>
            </w:pPr>
          </w:p>
        </w:tc>
        <w:tc>
          <w:tcPr>
            <w:tcW w:w="2279" w:type="dxa"/>
            <w:vAlign w:val="center"/>
          </w:tcPr>
          <w:p w14:paraId="76D08C6F">
            <w:pPr>
              <w:jc w:val="center"/>
              <w:rPr>
                <w:rFonts w:ascii="宋体" w:hAnsi="宋体" w:cs="宋体"/>
                <w:color w:val="auto"/>
                <w:sz w:val="24"/>
              </w:rPr>
            </w:pPr>
            <w:r>
              <w:rPr>
                <w:rFonts w:hint="eastAsia" w:ascii="宋体" w:hAnsi="宋体" w:cs="宋体"/>
                <w:color w:val="auto"/>
                <w:sz w:val="24"/>
              </w:rPr>
              <w:t>法定代表人</w:t>
            </w:r>
          </w:p>
        </w:tc>
        <w:tc>
          <w:tcPr>
            <w:tcW w:w="1640" w:type="dxa"/>
            <w:vAlign w:val="center"/>
          </w:tcPr>
          <w:p w14:paraId="4BDBE622">
            <w:pPr>
              <w:jc w:val="center"/>
              <w:rPr>
                <w:rFonts w:ascii="宋体" w:hAnsi="宋体" w:cs="宋体"/>
                <w:color w:val="auto"/>
                <w:sz w:val="24"/>
              </w:rPr>
            </w:pPr>
          </w:p>
        </w:tc>
        <w:tc>
          <w:tcPr>
            <w:tcW w:w="1920" w:type="dxa"/>
            <w:vAlign w:val="center"/>
          </w:tcPr>
          <w:p w14:paraId="15ED3204">
            <w:pPr>
              <w:jc w:val="center"/>
              <w:rPr>
                <w:rFonts w:ascii="宋体" w:hAnsi="宋体" w:cs="宋体"/>
                <w:color w:val="auto"/>
                <w:sz w:val="24"/>
              </w:rPr>
            </w:pPr>
            <w:r>
              <w:rPr>
                <w:rFonts w:hint="eastAsia" w:ascii="宋体" w:hAnsi="宋体" w:cs="宋体"/>
                <w:color w:val="auto"/>
                <w:sz w:val="24"/>
              </w:rPr>
              <w:t>联系电话</w:t>
            </w:r>
          </w:p>
        </w:tc>
        <w:tc>
          <w:tcPr>
            <w:tcW w:w="2756" w:type="dxa"/>
            <w:vAlign w:val="center"/>
          </w:tcPr>
          <w:p w14:paraId="6B2F8889">
            <w:pPr>
              <w:jc w:val="center"/>
              <w:rPr>
                <w:rFonts w:ascii="宋体" w:hAnsi="宋体" w:cs="宋体"/>
                <w:color w:val="auto"/>
                <w:sz w:val="24"/>
              </w:rPr>
            </w:pPr>
          </w:p>
        </w:tc>
      </w:tr>
      <w:tr w14:paraId="4A4C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3BEC3AEB">
            <w:pPr>
              <w:jc w:val="center"/>
              <w:rPr>
                <w:rFonts w:ascii="宋体" w:hAnsi="宋体" w:cs="宋体"/>
                <w:color w:val="auto"/>
                <w:sz w:val="24"/>
              </w:rPr>
            </w:pPr>
          </w:p>
        </w:tc>
        <w:tc>
          <w:tcPr>
            <w:tcW w:w="2279" w:type="dxa"/>
            <w:vAlign w:val="center"/>
          </w:tcPr>
          <w:p w14:paraId="34421BA0">
            <w:pPr>
              <w:jc w:val="center"/>
              <w:rPr>
                <w:rFonts w:ascii="宋体" w:hAnsi="宋体" w:cs="宋体"/>
                <w:color w:val="auto"/>
                <w:sz w:val="24"/>
              </w:rPr>
            </w:pPr>
            <w:r>
              <w:rPr>
                <w:rFonts w:hint="eastAsia" w:ascii="宋体" w:hAnsi="宋体" w:cs="宋体"/>
                <w:color w:val="auto"/>
                <w:sz w:val="24"/>
              </w:rPr>
              <w:t>注册资金</w:t>
            </w:r>
          </w:p>
        </w:tc>
        <w:tc>
          <w:tcPr>
            <w:tcW w:w="1640" w:type="dxa"/>
            <w:vAlign w:val="center"/>
          </w:tcPr>
          <w:p w14:paraId="0C266494">
            <w:pPr>
              <w:jc w:val="center"/>
              <w:rPr>
                <w:rFonts w:ascii="宋体" w:hAnsi="宋体" w:cs="宋体"/>
                <w:color w:val="auto"/>
                <w:sz w:val="24"/>
              </w:rPr>
            </w:pPr>
          </w:p>
        </w:tc>
        <w:tc>
          <w:tcPr>
            <w:tcW w:w="1920" w:type="dxa"/>
            <w:vAlign w:val="center"/>
          </w:tcPr>
          <w:p w14:paraId="79E791C9">
            <w:pPr>
              <w:jc w:val="center"/>
              <w:rPr>
                <w:rFonts w:ascii="宋体" w:hAnsi="宋体" w:cs="宋体"/>
                <w:color w:val="auto"/>
                <w:sz w:val="24"/>
              </w:rPr>
            </w:pPr>
            <w:r>
              <w:rPr>
                <w:rFonts w:hint="eastAsia" w:ascii="宋体" w:hAnsi="宋体" w:cs="宋体"/>
                <w:color w:val="auto"/>
                <w:sz w:val="24"/>
              </w:rPr>
              <w:t>技术人员数</w:t>
            </w:r>
          </w:p>
        </w:tc>
        <w:tc>
          <w:tcPr>
            <w:tcW w:w="2756" w:type="dxa"/>
            <w:vAlign w:val="center"/>
          </w:tcPr>
          <w:p w14:paraId="0B802D58">
            <w:pPr>
              <w:jc w:val="center"/>
              <w:rPr>
                <w:rFonts w:ascii="宋体" w:hAnsi="宋体" w:cs="宋体"/>
                <w:color w:val="auto"/>
                <w:sz w:val="24"/>
              </w:rPr>
            </w:pPr>
          </w:p>
        </w:tc>
      </w:tr>
      <w:tr w14:paraId="3E27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15B1F6F0">
            <w:pPr>
              <w:jc w:val="center"/>
              <w:rPr>
                <w:rFonts w:ascii="宋体" w:hAnsi="宋体" w:cs="宋体"/>
                <w:color w:val="auto"/>
                <w:sz w:val="24"/>
              </w:rPr>
            </w:pPr>
          </w:p>
        </w:tc>
        <w:tc>
          <w:tcPr>
            <w:tcW w:w="2279" w:type="dxa"/>
            <w:vAlign w:val="center"/>
          </w:tcPr>
          <w:p w14:paraId="632D3A91">
            <w:pPr>
              <w:jc w:val="center"/>
              <w:rPr>
                <w:rFonts w:ascii="宋体" w:hAnsi="宋体" w:cs="宋体"/>
                <w:color w:val="auto"/>
                <w:sz w:val="24"/>
              </w:rPr>
            </w:pPr>
            <w:r>
              <w:rPr>
                <w:rFonts w:hint="eastAsia" w:ascii="宋体" w:hAnsi="宋体" w:cs="宋体"/>
                <w:color w:val="auto"/>
                <w:sz w:val="24"/>
              </w:rPr>
              <w:t>资产总额</w:t>
            </w:r>
          </w:p>
        </w:tc>
        <w:tc>
          <w:tcPr>
            <w:tcW w:w="1640" w:type="dxa"/>
            <w:vAlign w:val="center"/>
          </w:tcPr>
          <w:p w14:paraId="2799A130">
            <w:pPr>
              <w:jc w:val="center"/>
              <w:rPr>
                <w:rFonts w:ascii="宋体" w:hAnsi="宋体" w:cs="宋体"/>
                <w:color w:val="auto"/>
                <w:sz w:val="24"/>
              </w:rPr>
            </w:pPr>
          </w:p>
        </w:tc>
        <w:tc>
          <w:tcPr>
            <w:tcW w:w="1920" w:type="dxa"/>
            <w:vAlign w:val="center"/>
          </w:tcPr>
          <w:p w14:paraId="23A2865F">
            <w:pPr>
              <w:jc w:val="center"/>
              <w:rPr>
                <w:rFonts w:ascii="宋体" w:hAnsi="宋体" w:cs="宋体"/>
                <w:color w:val="auto"/>
                <w:sz w:val="24"/>
              </w:rPr>
            </w:pPr>
            <w:r>
              <w:rPr>
                <w:rFonts w:hint="eastAsia" w:ascii="宋体" w:hAnsi="宋体" w:cs="宋体"/>
                <w:color w:val="auto"/>
                <w:sz w:val="24"/>
              </w:rPr>
              <w:t>净资产</w:t>
            </w:r>
          </w:p>
        </w:tc>
        <w:tc>
          <w:tcPr>
            <w:tcW w:w="2756" w:type="dxa"/>
            <w:vAlign w:val="center"/>
          </w:tcPr>
          <w:p w14:paraId="1E52B0F7">
            <w:pPr>
              <w:jc w:val="center"/>
              <w:rPr>
                <w:rFonts w:ascii="宋体" w:hAnsi="宋体" w:cs="宋体"/>
                <w:color w:val="auto"/>
                <w:sz w:val="24"/>
              </w:rPr>
            </w:pPr>
          </w:p>
        </w:tc>
      </w:tr>
      <w:tr w14:paraId="7A47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4F8A5F20">
            <w:pPr>
              <w:jc w:val="center"/>
              <w:rPr>
                <w:rFonts w:ascii="宋体" w:hAnsi="宋体" w:cs="宋体"/>
                <w:color w:val="auto"/>
                <w:sz w:val="24"/>
              </w:rPr>
            </w:pPr>
          </w:p>
        </w:tc>
        <w:tc>
          <w:tcPr>
            <w:tcW w:w="2279" w:type="dxa"/>
            <w:vAlign w:val="center"/>
          </w:tcPr>
          <w:p w14:paraId="47CAFE64">
            <w:pPr>
              <w:jc w:val="center"/>
              <w:rPr>
                <w:rFonts w:ascii="宋体" w:hAnsi="宋体" w:cs="宋体"/>
                <w:color w:val="auto"/>
                <w:sz w:val="24"/>
              </w:rPr>
            </w:pPr>
            <w:r>
              <w:rPr>
                <w:rFonts w:hint="eastAsia" w:ascii="宋体" w:hAnsi="宋体" w:cs="宋体"/>
                <w:color w:val="auto"/>
                <w:sz w:val="24"/>
              </w:rPr>
              <w:t>是否依法纳税</w:t>
            </w:r>
          </w:p>
        </w:tc>
        <w:tc>
          <w:tcPr>
            <w:tcW w:w="1640" w:type="dxa"/>
            <w:vAlign w:val="center"/>
          </w:tcPr>
          <w:p w14:paraId="6E0F815E">
            <w:pPr>
              <w:jc w:val="center"/>
              <w:rPr>
                <w:rFonts w:ascii="宋体" w:hAnsi="宋体" w:cs="宋体"/>
                <w:color w:val="auto"/>
                <w:sz w:val="24"/>
              </w:rPr>
            </w:pPr>
          </w:p>
        </w:tc>
        <w:tc>
          <w:tcPr>
            <w:tcW w:w="1920" w:type="dxa"/>
            <w:vAlign w:val="center"/>
          </w:tcPr>
          <w:p w14:paraId="1E2D8713">
            <w:pPr>
              <w:jc w:val="center"/>
              <w:rPr>
                <w:rFonts w:ascii="宋体" w:hAnsi="宋体" w:cs="宋体"/>
                <w:color w:val="auto"/>
                <w:sz w:val="24"/>
              </w:rPr>
            </w:pPr>
            <w:r>
              <w:rPr>
                <w:rFonts w:hint="eastAsia" w:ascii="宋体" w:hAnsi="宋体" w:cs="宋体"/>
                <w:color w:val="auto"/>
                <w:sz w:val="24"/>
              </w:rPr>
              <w:t>是否参加社保</w:t>
            </w:r>
          </w:p>
        </w:tc>
        <w:tc>
          <w:tcPr>
            <w:tcW w:w="2756" w:type="dxa"/>
            <w:vAlign w:val="center"/>
          </w:tcPr>
          <w:p w14:paraId="5A058FE2">
            <w:pPr>
              <w:jc w:val="center"/>
              <w:rPr>
                <w:rFonts w:ascii="宋体" w:hAnsi="宋体" w:cs="宋体"/>
                <w:color w:val="auto"/>
                <w:sz w:val="24"/>
              </w:rPr>
            </w:pPr>
          </w:p>
        </w:tc>
      </w:tr>
      <w:tr w14:paraId="09BE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14:paraId="29EFF3A8">
            <w:pPr>
              <w:jc w:val="center"/>
              <w:rPr>
                <w:rFonts w:ascii="宋体" w:hAnsi="宋体" w:cs="宋体"/>
                <w:color w:val="auto"/>
                <w:sz w:val="24"/>
              </w:rPr>
            </w:pPr>
          </w:p>
        </w:tc>
        <w:tc>
          <w:tcPr>
            <w:tcW w:w="2279" w:type="dxa"/>
            <w:vAlign w:val="center"/>
          </w:tcPr>
          <w:p w14:paraId="588D653D">
            <w:pPr>
              <w:jc w:val="center"/>
              <w:rPr>
                <w:rFonts w:ascii="宋体" w:hAnsi="宋体" w:cs="宋体"/>
                <w:color w:val="auto"/>
                <w:sz w:val="24"/>
              </w:rPr>
            </w:pPr>
            <w:r>
              <w:rPr>
                <w:rFonts w:hint="eastAsia" w:ascii="宋体" w:hAnsi="宋体" w:cs="宋体"/>
                <w:color w:val="auto"/>
                <w:sz w:val="24"/>
              </w:rPr>
              <w:t>近三年公司</w:t>
            </w:r>
          </w:p>
          <w:p w14:paraId="519E697C">
            <w:pPr>
              <w:jc w:val="center"/>
              <w:rPr>
                <w:rFonts w:ascii="宋体" w:hAnsi="宋体" w:cs="宋体"/>
                <w:color w:val="auto"/>
                <w:sz w:val="24"/>
              </w:rPr>
            </w:pPr>
            <w:r>
              <w:rPr>
                <w:rFonts w:hint="eastAsia" w:ascii="宋体" w:hAnsi="宋体" w:cs="宋体"/>
                <w:color w:val="auto"/>
                <w:sz w:val="24"/>
              </w:rPr>
              <w:t>业绩、信誉</w:t>
            </w:r>
          </w:p>
        </w:tc>
        <w:tc>
          <w:tcPr>
            <w:tcW w:w="6316" w:type="dxa"/>
            <w:gridSpan w:val="3"/>
            <w:vAlign w:val="center"/>
          </w:tcPr>
          <w:p w14:paraId="516555D4">
            <w:pPr>
              <w:jc w:val="center"/>
              <w:rPr>
                <w:rFonts w:ascii="宋体" w:hAnsi="宋体" w:cs="宋体"/>
                <w:color w:val="auto"/>
                <w:sz w:val="24"/>
              </w:rPr>
            </w:pPr>
          </w:p>
          <w:p w14:paraId="7A5A7863">
            <w:pPr>
              <w:rPr>
                <w:rFonts w:ascii="宋体" w:hAnsi="宋体" w:cs="宋体"/>
                <w:color w:val="auto"/>
                <w:sz w:val="24"/>
              </w:rPr>
            </w:pPr>
          </w:p>
        </w:tc>
      </w:tr>
      <w:tr w14:paraId="35ED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vAlign w:val="center"/>
          </w:tcPr>
          <w:p w14:paraId="4D0297D1">
            <w:pPr>
              <w:jc w:val="center"/>
              <w:rPr>
                <w:rFonts w:ascii="宋体" w:hAnsi="宋体" w:cs="宋体"/>
                <w:color w:val="auto"/>
                <w:sz w:val="24"/>
              </w:rPr>
            </w:pPr>
          </w:p>
        </w:tc>
        <w:tc>
          <w:tcPr>
            <w:tcW w:w="8595" w:type="dxa"/>
            <w:gridSpan w:val="4"/>
          </w:tcPr>
          <w:p w14:paraId="1AF25596">
            <w:pPr>
              <w:rPr>
                <w:rFonts w:ascii="宋体" w:hAnsi="宋体" w:cs="宋体"/>
                <w:color w:val="auto"/>
                <w:sz w:val="24"/>
              </w:rPr>
            </w:pPr>
            <w:r>
              <w:rPr>
                <w:rFonts w:hint="eastAsia" w:ascii="宋体" w:hAnsi="宋体" w:cs="宋体"/>
                <w:color w:val="auto"/>
                <w:sz w:val="24"/>
              </w:rPr>
              <w:t>单位优势及特点：</w:t>
            </w:r>
          </w:p>
        </w:tc>
      </w:tr>
    </w:tbl>
    <w:p w14:paraId="016BAA20">
      <w:pPr>
        <w:pStyle w:val="30"/>
        <w:spacing w:before="0" w:beforeAutospacing="0" w:after="0" w:afterAutospacing="0"/>
        <w:rPr>
          <w:snapToGrid w:val="0"/>
          <w:color w:val="auto"/>
        </w:rPr>
      </w:pPr>
      <w:r>
        <w:rPr>
          <w:rFonts w:hint="eastAsia"/>
          <w:snapToGrid w:val="0"/>
          <w:color w:val="auto"/>
        </w:rPr>
        <w:t>说明：本表后应附有单位简介。</w:t>
      </w:r>
    </w:p>
    <w:p w14:paraId="7D49097D">
      <w:pPr>
        <w:snapToGrid w:val="0"/>
        <w:spacing w:before="50" w:after="50" w:line="360" w:lineRule="auto"/>
        <w:rPr>
          <w:rFonts w:ascii="宋体" w:hAnsi="宋体" w:cs="宋体"/>
          <w:color w:val="auto"/>
          <w:sz w:val="24"/>
        </w:rPr>
      </w:pPr>
    </w:p>
    <w:p w14:paraId="3A1651A8">
      <w:pPr>
        <w:pStyle w:val="3"/>
        <w:rPr>
          <w:rFonts w:ascii="宋体" w:hAnsi="宋体" w:eastAsia="宋体"/>
          <w:color w:val="auto"/>
        </w:rPr>
      </w:pPr>
    </w:p>
    <w:p w14:paraId="3FF306A9">
      <w:pPr>
        <w:snapToGrid w:val="0"/>
        <w:spacing w:before="50" w:after="50" w:line="360" w:lineRule="auto"/>
        <w:rPr>
          <w:rFonts w:ascii="宋体" w:hAnsi="宋体" w:cs="宋体"/>
          <w:color w:val="auto"/>
          <w:spacing w:val="20"/>
          <w:sz w:val="24"/>
          <w:u w:val="single"/>
        </w:rPr>
      </w:pPr>
      <w:r>
        <w:rPr>
          <w:rFonts w:hint="eastAsia" w:ascii="宋体" w:hAnsi="宋体" w:cs="宋体"/>
          <w:color w:val="auto"/>
          <w:sz w:val="24"/>
        </w:rPr>
        <w:t>法定代表人或其委托代理人签字或盖章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1AF7FB84">
      <w:pPr>
        <w:pStyle w:val="66"/>
        <w:spacing w:line="360" w:lineRule="auto"/>
        <w:ind w:right="480"/>
        <w:rPr>
          <w:rFonts w:hAnsi="宋体" w:eastAsia="宋体"/>
          <w:b/>
          <w:color w:val="auto"/>
          <w:szCs w:val="21"/>
        </w:rPr>
      </w:pPr>
      <w:r>
        <w:rPr>
          <w:rFonts w:hint="eastAsia" w:hAnsi="宋体" w:eastAsia="宋体"/>
          <w:color w:val="auto"/>
          <w:sz w:val="24"/>
        </w:rPr>
        <w:t>投标人公章：                           年    月    日</w:t>
      </w:r>
    </w:p>
    <w:p w14:paraId="66646E1E">
      <w:pPr>
        <w:snapToGrid w:val="0"/>
        <w:spacing w:before="156" w:beforeLines="50" w:after="50" w:line="440" w:lineRule="exact"/>
        <w:rPr>
          <w:rFonts w:ascii="宋体" w:hAnsi="宋体" w:cs="宋体"/>
          <w:b/>
          <w:bCs/>
          <w:color w:val="auto"/>
          <w:sz w:val="24"/>
        </w:rPr>
      </w:pPr>
      <w:r>
        <w:rPr>
          <w:rFonts w:hint="eastAsia" w:ascii="宋体" w:hAnsi="宋体" w:cs="宋体"/>
          <w:b/>
          <w:color w:val="auto"/>
          <w:szCs w:val="21"/>
        </w:rPr>
        <w:br w:type="page"/>
      </w:r>
      <w:bookmarkEnd w:id="69"/>
    </w:p>
    <w:p w14:paraId="041E3149">
      <w:pPr>
        <w:snapToGrid w:val="0"/>
        <w:spacing w:before="156" w:beforeLines="50" w:after="50" w:line="440" w:lineRule="exact"/>
        <w:rPr>
          <w:rFonts w:hint="eastAsia" w:ascii="宋体" w:hAnsi="宋体" w:eastAsia="宋体" w:cs="宋体"/>
          <w:b/>
          <w:bCs/>
          <w:color w:val="auto"/>
          <w:sz w:val="24"/>
        </w:rPr>
      </w:pPr>
      <w:r>
        <w:rPr>
          <w:rFonts w:hint="eastAsia" w:ascii="宋体" w:hAnsi="宋体" w:cs="宋体"/>
          <w:b/>
          <w:bCs/>
          <w:color w:val="auto"/>
          <w:sz w:val="24"/>
          <w:lang w:val="en-US" w:eastAsia="zh-CN"/>
        </w:rPr>
        <w:t>2.</w:t>
      </w:r>
      <w:r>
        <w:rPr>
          <w:rFonts w:hint="eastAsia" w:ascii="宋体" w:hAnsi="宋体" w:eastAsia="宋体" w:cs="宋体"/>
          <w:b/>
          <w:bCs/>
          <w:color w:val="auto"/>
          <w:sz w:val="24"/>
        </w:rPr>
        <w:t>成功案例及业绩；</w:t>
      </w:r>
    </w:p>
    <w:p w14:paraId="59F33167">
      <w:pPr>
        <w:pStyle w:val="13"/>
        <w:rPr>
          <w:rFonts w:hint="eastAsia"/>
          <w:lang w:val="en-US" w:eastAsia="zh-CN"/>
        </w:rPr>
      </w:pPr>
    </w:p>
    <w:p w14:paraId="6E27C8B9">
      <w:pPr>
        <w:pStyle w:val="13"/>
        <w:rPr>
          <w:rFonts w:hint="eastAsia"/>
          <w:lang w:val="en-US" w:eastAsia="zh-CN"/>
        </w:rPr>
      </w:pPr>
    </w:p>
    <w:p w14:paraId="4011F205">
      <w:pPr>
        <w:pStyle w:val="13"/>
        <w:rPr>
          <w:rFonts w:hint="eastAsia"/>
          <w:lang w:val="en-US" w:eastAsia="zh-CN"/>
        </w:rPr>
      </w:pPr>
    </w:p>
    <w:p w14:paraId="7106C185">
      <w:pPr>
        <w:pStyle w:val="13"/>
        <w:rPr>
          <w:rFonts w:hint="eastAsia"/>
          <w:lang w:val="en-US" w:eastAsia="zh-CN"/>
        </w:rPr>
      </w:pPr>
    </w:p>
    <w:p w14:paraId="6D8F3311">
      <w:pPr>
        <w:pStyle w:val="13"/>
        <w:rPr>
          <w:rFonts w:hint="eastAsia"/>
          <w:lang w:val="en-US" w:eastAsia="zh-CN"/>
        </w:rPr>
      </w:pPr>
    </w:p>
    <w:p w14:paraId="2AD35A97">
      <w:pPr>
        <w:pStyle w:val="13"/>
        <w:rPr>
          <w:rFonts w:hint="eastAsia"/>
          <w:lang w:val="en-US" w:eastAsia="zh-CN"/>
        </w:rPr>
      </w:pPr>
    </w:p>
    <w:p w14:paraId="55DA822E">
      <w:pPr>
        <w:pStyle w:val="13"/>
        <w:rPr>
          <w:rFonts w:hint="eastAsia"/>
          <w:lang w:val="en-US" w:eastAsia="zh-CN"/>
        </w:rPr>
      </w:pPr>
    </w:p>
    <w:p w14:paraId="45030B4B">
      <w:pPr>
        <w:pStyle w:val="13"/>
        <w:rPr>
          <w:rFonts w:hint="eastAsia"/>
          <w:lang w:val="en-US" w:eastAsia="zh-CN"/>
        </w:rPr>
      </w:pPr>
    </w:p>
    <w:p w14:paraId="6F4CF648">
      <w:pPr>
        <w:pStyle w:val="13"/>
        <w:rPr>
          <w:rFonts w:hint="eastAsia"/>
          <w:lang w:val="en-US" w:eastAsia="zh-CN"/>
        </w:rPr>
      </w:pPr>
    </w:p>
    <w:p w14:paraId="5E8B5513">
      <w:pPr>
        <w:pStyle w:val="13"/>
        <w:rPr>
          <w:rFonts w:hint="eastAsia"/>
          <w:lang w:val="en-US" w:eastAsia="zh-CN"/>
        </w:rPr>
      </w:pPr>
    </w:p>
    <w:p w14:paraId="14254352">
      <w:pPr>
        <w:pStyle w:val="13"/>
        <w:rPr>
          <w:rFonts w:hint="eastAsia"/>
          <w:lang w:val="en-US" w:eastAsia="zh-CN"/>
        </w:rPr>
      </w:pPr>
    </w:p>
    <w:p w14:paraId="2E94C5A6">
      <w:pPr>
        <w:pStyle w:val="13"/>
        <w:rPr>
          <w:rFonts w:hint="eastAsia"/>
          <w:lang w:val="en-US" w:eastAsia="zh-CN"/>
        </w:rPr>
      </w:pPr>
    </w:p>
    <w:p w14:paraId="3A358F03">
      <w:pPr>
        <w:pStyle w:val="13"/>
        <w:rPr>
          <w:rFonts w:hint="eastAsia"/>
          <w:lang w:val="en-US" w:eastAsia="zh-CN"/>
        </w:rPr>
      </w:pPr>
    </w:p>
    <w:p w14:paraId="04BE2845">
      <w:pPr>
        <w:pStyle w:val="13"/>
        <w:rPr>
          <w:rFonts w:hint="eastAsia"/>
          <w:lang w:val="en-US" w:eastAsia="zh-CN"/>
        </w:rPr>
      </w:pPr>
    </w:p>
    <w:p w14:paraId="3E056880">
      <w:pPr>
        <w:pStyle w:val="13"/>
        <w:rPr>
          <w:rFonts w:hint="eastAsia"/>
          <w:lang w:val="en-US" w:eastAsia="zh-CN"/>
        </w:rPr>
      </w:pPr>
    </w:p>
    <w:p w14:paraId="5A8EDF2D">
      <w:pPr>
        <w:pStyle w:val="13"/>
        <w:rPr>
          <w:rFonts w:hint="eastAsia"/>
          <w:lang w:val="en-US" w:eastAsia="zh-CN"/>
        </w:rPr>
      </w:pPr>
    </w:p>
    <w:p w14:paraId="65B76D02">
      <w:pPr>
        <w:pStyle w:val="13"/>
        <w:rPr>
          <w:rFonts w:hint="eastAsia"/>
          <w:lang w:val="en-US" w:eastAsia="zh-CN"/>
        </w:rPr>
      </w:pPr>
    </w:p>
    <w:p w14:paraId="6C2A2078">
      <w:pPr>
        <w:pStyle w:val="13"/>
        <w:rPr>
          <w:rFonts w:hint="eastAsia"/>
          <w:lang w:val="en-US" w:eastAsia="zh-CN"/>
        </w:rPr>
      </w:pPr>
    </w:p>
    <w:p w14:paraId="59182CAB">
      <w:pPr>
        <w:pStyle w:val="13"/>
        <w:rPr>
          <w:rFonts w:hint="eastAsia"/>
          <w:lang w:val="en-US" w:eastAsia="zh-CN"/>
        </w:rPr>
      </w:pPr>
    </w:p>
    <w:p w14:paraId="0E5FF2C2">
      <w:pPr>
        <w:pStyle w:val="13"/>
        <w:rPr>
          <w:rFonts w:hint="eastAsia"/>
          <w:lang w:val="en-US" w:eastAsia="zh-CN"/>
        </w:rPr>
      </w:pPr>
    </w:p>
    <w:p w14:paraId="6F8D1EAC">
      <w:pPr>
        <w:snapToGrid w:val="0"/>
        <w:spacing w:line="240" w:lineRule="auto"/>
        <w:ind w:firstLine="472" w:firstLineChars="196"/>
        <w:jc w:val="left"/>
        <w:rPr>
          <w:rFonts w:hint="eastAsia" w:ascii="宋体" w:hAnsi="宋体" w:cs="宋体"/>
          <w:b/>
          <w:bCs/>
          <w:color w:val="auto"/>
          <w:sz w:val="24"/>
          <w:lang w:val="en-US" w:eastAsia="zh-CN"/>
        </w:rPr>
      </w:pPr>
    </w:p>
    <w:p w14:paraId="3F8D9167">
      <w:pPr>
        <w:snapToGrid w:val="0"/>
        <w:spacing w:line="240" w:lineRule="auto"/>
        <w:ind w:firstLine="472" w:firstLineChars="196"/>
        <w:jc w:val="left"/>
        <w:rPr>
          <w:rFonts w:hint="eastAsia" w:ascii="宋体" w:hAnsi="宋体" w:cs="宋体"/>
          <w:b/>
          <w:bCs/>
          <w:color w:val="auto"/>
          <w:sz w:val="24"/>
          <w:lang w:val="en-US" w:eastAsia="zh-CN"/>
        </w:rPr>
      </w:pPr>
    </w:p>
    <w:p w14:paraId="275046BD">
      <w:pPr>
        <w:snapToGrid w:val="0"/>
        <w:spacing w:line="240" w:lineRule="auto"/>
        <w:ind w:firstLine="472" w:firstLineChars="196"/>
        <w:jc w:val="left"/>
        <w:rPr>
          <w:rFonts w:hint="eastAsia" w:ascii="宋体" w:hAnsi="宋体" w:cs="宋体"/>
          <w:b/>
          <w:bCs/>
          <w:color w:val="auto"/>
          <w:sz w:val="24"/>
          <w:lang w:val="en-US" w:eastAsia="zh-CN"/>
        </w:rPr>
      </w:pPr>
    </w:p>
    <w:p w14:paraId="65CF78B4">
      <w:pPr>
        <w:snapToGrid w:val="0"/>
        <w:spacing w:line="240" w:lineRule="auto"/>
        <w:ind w:firstLine="472" w:firstLineChars="196"/>
        <w:jc w:val="left"/>
        <w:rPr>
          <w:rFonts w:hint="eastAsia" w:ascii="宋体" w:hAnsi="宋体" w:cs="宋体"/>
          <w:b/>
          <w:bCs/>
          <w:color w:val="auto"/>
          <w:sz w:val="24"/>
          <w:lang w:val="en-US" w:eastAsia="zh-CN"/>
        </w:rPr>
      </w:pPr>
    </w:p>
    <w:p w14:paraId="4E6DF040">
      <w:pPr>
        <w:snapToGrid w:val="0"/>
        <w:spacing w:line="240" w:lineRule="auto"/>
        <w:ind w:firstLine="472" w:firstLineChars="196"/>
        <w:jc w:val="left"/>
        <w:rPr>
          <w:rFonts w:hint="eastAsia" w:ascii="宋体" w:hAnsi="宋体" w:cs="宋体"/>
          <w:b/>
          <w:bCs/>
          <w:color w:val="auto"/>
          <w:sz w:val="24"/>
          <w:lang w:val="en-US" w:eastAsia="zh-CN"/>
        </w:rPr>
      </w:pPr>
    </w:p>
    <w:p w14:paraId="24C7F781">
      <w:pPr>
        <w:snapToGrid w:val="0"/>
        <w:spacing w:line="240" w:lineRule="auto"/>
        <w:ind w:firstLine="472" w:firstLineChars="196"/>
        <w:jc w:val="left"/>
        <w:rPr>
          <w:rFonts w:hint="eastAsia" w:ascii="宋体" w:hAnsi="宋体" w:cs="宋体"/>
          <w:b/>
          <w:bCs/>
          <w:color w:val="auto"/>
          <w:sz w:val="24"/>
          <w:lang w:val="en-US" w:eastAsia="zh-CN"/>
        </w:rPr>
      </w:pPr>
    </w:p>
    <w:p w14:paraId="58B31679">
      <w:pPr>
        <w:snapToGrid w:val="0"/>
        <w:spacing w:line="240" w:lineRule="auto"/>
        <w:ind w:firstLine="472" w:firstLineChars="196"/>
        <w:jc w:val="left"/>
        <w:rPr>
          <w:rFonts w:hint="eastAsia" w:ascii="宋体" w:hAnsi="宋体" w:cs="宋体"/>
          <w:b/>
          <w:bCs/>
          <w:color w:val="auto"/>
          <w:sz w:val="24"/>
          <w:lang w:val="en-US" w:eastAsia="zh-CN"/>
        </w:rPr>
      </w:pPr>
    </w:p>
    <w:p w14:paraId="1C1FF411">
      <w:pPr>
        <w:snapToGrid w:val="0"/>
        <w:spacing w:line="240" w:lineRule="auto"/>
        <w:ind w:firstLine="472" w:firstLineChars="196"/>
        <w:jc w:val="left"/>
        <w:rPr>
          <w:rFonts w:hint="eastAsia" w:ascii="宋体" w:hAnsi="宋体" w:cs="宋体"/>
          <w:b/>
          <w:bCs/>
          <w:color w:val="auto"/>
          <w:sz w:val="24"/>
          <w:lang w:val="en-US" w:eastAsia="zh-CN"/>
        </w:rPr>
      </w:pPr>
    </w:p>
    <w:p w14:paraId="2524301C">
      <w:pPr>
        <w:snapToGrid w:val="0"/>
        <w:spacing w:line="240" w:lineRule="auto"/>
        <w:ind w:firstLine="472" w:firstLineChars="196"/>
        <w:jc w:val="left"/>
        <w:rPr>
          <w:rFonts w:hint="eastAsia" w:ascii="宋体" w:hAnsi="宋体" w:cs="宋体"/>
          <w:b/>
          <w:bCs/>
          <w:color w:val="auto"/>
          <w:sz w:val="24"/>
          <w:lang w:val="en-US" w:eastAsia="zh-CN"/>
        </w:rPr>
      </w:pPr>
    </w:p>
    <w:p w14:paraId="66ABEB91">
      <w:pPr>
        <w:snapToGrid w:val="0"/>
        <w:spacing w:line="240" w:lineRule="auto"/>
        <w:ind w:firstLine="472" w:firstLineChars="196"/>
        <w:jc w:val="left"/>
        <w:rPr>
          <w:rFonts w:hint="eastAsia" w:ascii="宋体" w:hAnsi="宋体" w:cs="宋体"/>
          <w:b/>
          <w:bCs/>
          <w:color w:val="auto"/>
          <w:sz w:val="24"/>
          <w:lang w:val="en-US" w:eastAsia="zh-CN"/>
        </w:rPr>
      </w:pPr>
    </w:p>
    <w:p w14:paraId="5908E0E5">
      <w:pPr>
        <w:snapToGrid w:val="0"/>
        <w:spacing w:line="240" w:lineRule="auto"/>
        <w:ind w:firstLine="472" w:firstLineChars="196"/>
        <w:jc w:val="left"/>
        <w:rPr>
          <w:rFonts w:hint="eastAsia" w:ascii="宋体" w:hAnsi="宋体" w:cs="宋体"/>
          <w:b/>
          <w:bCs/>
          <w:color w:val="auto"/>
          <w:sz w:val="24"/>
          <w:lang w:val="en-US" w:eastAsia="zh-CN"/>
        </w:rPr>
      </w:pPr>
    </w:p>
    <w:p w14:paraId="35707F45">
      <w:pPr>
        <w:snapToGrid w:val="0"/>
        <w:spacing w:line="240" w:lineRule="auto"/>
        <w:ind w:firstLine="472" w:firstLineChars="196"/>
        <w:jc w:val="left"/>
        <w:rPr>
          <w:rFonts w:hint="eastAsia" w:ascii="宋体" w:hAnsi="宋体" w:cs="宋体"/>
          <w:b/>
          <w:bCs/>
          <w:color w:val="auto"/>
          <w:sz w:val="24"/>
          <w:lang w:val="en-US" w:eastAsia="zh-CN"/>
        </w:rPr>
      </w:pPr>
    </w:p>
    <w:p w14:paraId="61D22972">
      <w:pPr>
        <w:snapToGrid w:val="0"/>
        <w:spacing w:line="240" w:lineRule="auto"/>
        <w:ind w:firstLine="472" w:firstLineChars="196"/>
        <w:jc w:val="left"/>
        <w:rPr>
          <w:rFonts w:hint="eastAsia" w:ascii="宋体" w:hAnsi="宋体" w:cs="宋体"/>
          <w:b/>
          <w:bCs/>
          <w:color w:val="auto"/>
          <w:sz w:val="24"/>
          <w:lang w:val="en-US" w:eastAsia="zh-CN"/>
        </w:rPr>
      </w:pPr>
    </w:p>
    <w:p w14:paraId="6DBB38D4">
      <w:pPr>
        <w:snapToGrid w:val="0"/>
        <w:spacing w:line="240" w:lineRule="auto"/>
        <w:ind w:firstLine="472" w:firstLineChars="196"/>
        <w:jc w:val="left"/>
        <w:rPr>
          <w:rFonts w:hint="eastAsia" w:ascii="宋体" w:hAnsi="宋体" w:cs="宋体"/>
          <w:b/>
          <w:bCs/>
          <w:color w:val="auto"/>
          <w:sz w:val="24"/>
          <w:lang w:val="en-US" w:eastAsia="zh-CN"/>
        </w:rPr>
      </w:pPr>
    </w:p>
    <w:p w14:paraId="323323EE">
      <w:pPr>
        <w:snapToGrid w:val="0"/>
        <w:spacing w:line="240" w:lineRule="auto"/>
        <w:ind w:firstLine="472" w:firstLineChars="196"/>
        <w:jc w:val="left"/>
        <w:rPr>
          <w:rFonts w:hint="eastAsia" w:ascii="宋体" w:hAnsi="宋体" w:cs="宋体"/>
          <w:b/>
          <w:bCs/>
          <w:color w:val="auto"/>
          <w:sz w:val="24"/>
          <w:lang w:val="en-US" w:eastAsia="zh-CN"/>
        </w:rPr>
      </w:pPr>
    </w:p>
    <w:p w14:paraId="67C496CC">
      <w:pPr>
        <w:snapToGrid w:val="0"/>
        <w:spacing w:line="240" w:lineRule="auto"/>
        <w:ind w:firstLine="472" w:firstLineChars="196"/>
        <w:jc w:val="left"/>
        <w:rPr>
          <w:rFonts w:hint="eastAsia" w:ascii="宋体" w:hAnsi="宋体" w:cs="宋体"/>
          <w:b/>
          <w:bCs/>
          <w:color w:val="auto"/>
          <w:sz w:val="24"/>
          <w:lang w:val="en-US" w:eastAsia="zh-CN"/>
        </w:rPr>
      </w:pPr>
    </w:p>
    <w:p w14:paraId="0767D015">
      <w:pPr>
        <w:pStyle w:val="13"/>
        <w:rPr>
          <w:rFonts w:hint="eastAsia" w:eastAsia="宋体"/>
          <w:lang w:val="en-US" w:eastAsia="zh-CN"/>
        </w:rPr>
      </w:pPr>
      <w:r>
        <w:rPr>
          <w:rFonts w:hint="eastAsia" w:ascii="宋体" w:hAnsi="宋体" w:cs="宋体"/>
          <w:b/>
          <w:bCs/>
          <w:color w:val="auto"/>
          <w:sz w:val="24"/>
          <w:lang w:val="en-US" w:eastAsia="zh-CN"/>
        </w:rPr>
        <w:t>3.</w:t>
      </w:r>
      <w:r>
        <w:rPr>
          <w:rFonts w:hint="eastAsia" w:ascii="宋体" w:hAnsi="宋体" w:cs="宋体"/>
          <w:color w:val="auto"/>
          <w:szCs w:val="21"/>
        </w:rPr>
        <w:t>项目实施具体方案</w:t>
      </w:r>
      <w:r>
        <w:rPr>
          <w:rFonts w:hint="eastAsia" w:ascii="宋体" w:hAnsi="宋体" w:cs="宋体"/>
          <w:color w:val="auto"/>
          <w:szCs w:val="21"/>
          <w:lang w:eastAsia="zh-CN"/>
        </w:rPr>
        <w:t>；</w:t>
      </w:r>
    </w:p>
    <w:p w14:paraId="4D861164">
      <w:pPr>
        <w:pStyle w:val="13"/>
      </w:pPr>
    </w:p>
    <w:p w14:paraId="406D0A41">
      <w:pPr>
        <w:pStyle w:val="30"/>
        <w:spacing w:before="0" w:beforeAutospacing="0" w:after="0" w:afterAutospacing="0"/>
        <w:jc w:val="both"/>
        <w:rPr>
          <w:color w:val="auto"/>
        </w:rPr>
      </w:pPr>
    </w:p>
    <w:p w14:paraId="69C94C9E">
      <w:pPr>
        <w:snapToGrid w:val="0"/>
        <w:spacing w:before="50" w:after="156" w:afterLines="50"/>
        <w:jc w:val="left"/>
        <w:rPr>
          <w:rFonts w:hint="eastAsia" w:ascii="宋体" w:hAnsi="宋体" w:cs="宋体"/>
          <w:color w:val="auto"/>
        </w:rPr>
      </w:pPr>
      <w:r>
        <w:rPr>
          <w:rFonts w:hint="eastAsia" w:ascii="宋体" w:hAnsi="宋体" w:cs="宋体"/>
          <w:color w:val="auto"/>
        </w:rPr>
        <w:br w:type="page"/>
      </w:r>
    </w:p>
    <w:p w14:paraId="7B69EAD3">
      <w:pPr>
        <w:snapToGrid w:val="0"/>
        <w:spacing w:before="50" w:after="156" w:afterLines="50"/>
        <w:jc w:val="left"/>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4</w:t>
      </w:r>
      <w:r>
        <w:rPr>
          <w:rFonts w:hint="eastAsia" w:ascii="宋体" w:hAnsi="宋体" w:eastAsia="宋体" w:cs="宋体"/>
          <w:b/>
          <w:bCs/>
          <w:color w:val="auto"/>
          <w:sz w:val="24"/>
          <w:lang w:val="en-US" w:eastAsia="zh-CN"/>
        </w:rPr>
        <w:t>.对项目总体要求的叙述；</w:t>
      </w:r>
    </w:p>
    <w:p w14:paraId="6446F5E8">
      <w:pPr>
        <w:pStyle w:val="13"/>
        <w:rPr>
          <w:rFonts w:hint="default"/>
          <w:lang w:val="en-US" w:eastAsia="zh-CN"/>
        </w:rPr>
      </w:pPr>
    </w:p>
    <w:p w14:paraId="5663B9FF">
      <w:pPr>
        <w:pStyle w:val="33"/>
        <w:rPr>
          <w:rFonts w:hint="default"/>
          <w:lang w:val="en-US" w:eastAsia="zh-CN"/>
        </w:rPr>
      </w:pPr>
    </w:p>
    <w:p w14:paraId="688C2BB3">
      <w:pPr>
        <w:pStyle w:val="25"/>
        <w:rPr>
          <w:rFonts w:hint="default"/>
          <w:lang w:val="en-US" w:eastAsia="zh-CN"/>
        </w:rPr>
      </w:pPr>
    </w:p>
    <w:p w14:paraId="2671EF9A">
      <w:pPr>
        <w:rPr>
          <w:rFonts w:hint="default"/>
          <w:lang w:val="en-US" w:eastAsia="zh-CN"/>
        </w:rPr>
      </w:pPr>
    </w:p>
    <w:p w14:paraId="0D7255E3">
      <w:pPr>
        <w:pStyle w:val="13"/>
        <w:rPr>
          <w:rFonts w:hint="default"/>
          <w:lang w:val="en-US" w:eastAsia="zh-CN"/>
        </w:rPr>
      </w:pPr>
    </w:p>
    <w:p w14:paraId="7D1418B6">
      <w:pPr>
        <w:pStyle w:val="33"/>
        <w:rPr>
          <w:rFonts w:hint="default"/>
          <w:lang w:val="en-US" w:eastAsia="zh-CN"/>
        </w:rPr>
      </w:pPr>
    </w:p>
    <w:p w14:paraId="208A4C58">
      <w:pPr>
        <w:pStyle w:val="25"/>
        <w:rPr>
          <w:rFonts w:hint="default"/>
          <w:lang w:val="en-US" w:eastAsia="zh-CN"/>
        </w:rPr>
      </w:pPr>
    </w:p>
    <w:p w14:paraId="10C33306">
      <w:pPr>
        <w:rPr>
          <w:rFonts w:hint="default"/>
          <w:lang w:val="en-US" w:eastAsia="zh-CN"/>
        </w:rPr>
      </w:pPr>
    </w:p>
    <w:p w14:paraId="1108A3BD">
      <w:pPr>
        <w:snapToGrid w:val="0"/>
        <w:spacing w:before="50" w:after="156" w:afterLines="50"/>
        <w:jc w:val="left"/>
        <w:rPr>
          <w:rFonts w:hint="eastAsia" w:ascii="宋体" w:hAnsi="宋体" w:cs="宋体"/>
          <w:color w:val="auto"/>
        </w:rPr>
      </w:pPr>
    </w:p>
    <w:p w14:paraId="5B36AEEB">
      <w:pPr>
        <w:snapToGrid w:val="0"/>
        <w:spacing w:before="50" w:after="156" w:afterLines="50"/>
        <w:jc w:val="left"/>
        <w:rPr>
          <w:rFonts w:hint="eastAsia" w:ascii="宋体" w:hAnsi="宋体" w:eastAsia="宋体" w:cs="宋体"/>
          <w:b/>
          <w:bCs/>
          <w:color w:val="auto"/>
          <w:sz w:val="24"/>
          <w:lang w:val="en-US" w:eastAsia="zh-CN"/>
        </w:rPr>
      </w:pPr>
    </w:p>
    <w:p w14:paraId="137CC414">
      <w:pPr>
        <w:snapToGrid w:val="0"/>
        <w:spacing w:before="50" w:after="156" w:afterLines="50"/>
        <w:jc w:val="left"/>
        <w:rPr>
          <w:rFonts w:hint="eastAsia" w:ascii="宋体" w:hAnsi="宋体" w:eastAsia="宋体" w:cs="宋体"/>
          <w:b/>
          <w:bCs/>
          <w:color w:val="auto"/>
          <w:sz w:val="24"/>
          <w:lang w:val="en-US" w:eastAsia="zh-CN"/>
        </w:rPr>
      </w:pPr>
    </w:p>
    <w:p w14:paraId="062C2645">
      <w:pPr>
        <w:snapToGrid w:val="0"/>
        <w:spacing w:before="50" w:after="50" w:line="360" w:lineRule="auto"/>
        <w:rPr>
          <w:rFonts w:ascii="Times New Roman" w:hAnsi="Times New Roman" w:eastAsia="宋体" w:cs="Times New Roman"/>
          <w:kern w:val="2"/>
          <w:sz w:val="21"/>
          <w:szCs w:val="24"/>
          <w:lang w:val="en-US" w:eastAsia="zh-CN" w:bidi="ar-SA"/>
        </w:rPr>
      </w:pPr>
    </w:p>
    <w:p w14:paraId="45C2001A">
      <w:pPr>
        <w:snapToGrid w:val="0"/>
        <w:spacing w:before="50" w:after="156" w:afterLines="50"/>
        <w:jc w:val="left"/>
        <w:rPr>
          <w:rFonts w:ascii="宋体" w:hAnsi="宋体" w:cs="宋体"/>
          <w:color w:val="auto"/>
          <w:sz w:val="24"/>
        </w:rPr>
      </w:pPr>
    </w:p>
    <w:p w14:paraId="0F4F1329">
      <w:pPr>
        <w:snapToGrid w:val="0"/>
        <w:spacing w:before="50" w:after="156" w:afterLines="50"/>
        <w:jc w:val="left"/>
        <w:rPr>
          <w:rFonts w:ascii="宋体" w:hAnsi="宋体" w:cs="宋体"/>
          <w:color w:val="auto"/>
          <w:sz w:val="24"/>
        </w:rPr>
      </w:pPr>
    </w:p>
    <w:p w14:paraId="1310EF59">
      <w:pPr>
        <w:pStyle w:val="41"/>
      </w:pPr>
    </w:p>
    <w:p w14:paraId="4AB45CC6">
      <w:pPr>
        <w:pStyle w:val="41"/>
      </w:pPr>
    </w:p>
    <w:p w14:paraId="151B8094">
      <w:pPr>
        <w:pStyle w:val="41"/>
      </w:pPr>
    </w:p>
    <w:p w14:paraId="2BBF2573">
      <w:pPr>
        <w:pStyle w:val="41"/>
      </w:pPr>
    </w:p>
    <w:p w14:paraId="12017BF6">
      <w:pPr>
        <w:pStyle w:val="41"/>
      </w:pPr>
    </w:p>
    <w:p w14:paraId="0A115040">
      <w:pPr>
        <w:pStyle w:val="41"/>
      </w:pPr>
    </w:p>
    <w:p w14:paraId="593F5B75">
      <w:pPr>
        <w:pStyle w:val="41"/>
      </w:pPr>
    </w:p>
    <w:p w14:paraId="4CE22902">
      <w:pPr>
        <w:pStyle w:val="41"/>
      </w:pPr>
    </w:p>
    <w:p w14:paraId="00773F11">
      <w:pPr>
        <w:pStyle w:val="41"/>
      </w:pPr>
    </w:p>
    <w:p w14:paraId="634D9231">
      <w:pPr>
        <w:pStyle w:val="41"/>
      </w:pPr>
    </w:p>
    <w:p w14:paraId="0C41DA22">
      <w:pPr>
        <w:pStyle w:val="41"/>
      </w:pPr>
    </w:p>
    <w:p w14:paraId="0435AC92">
      <w:pPr>
        <w:pStyle w:val="41"/>
      </w:pPr>
    </w:p>
    <w:p w14:paraId="25FCA814">
      <w:pPr>
        <w:pStyle w:val="41"/>
      </w:pPr>
    </w:p>
    <w:p w14:paraId="3102B9B6">
      <w:pPr>
        <w:snapToGrid w:val="0"/>
        <w:spacing w:before="50" w:after="156" w:afterLines="50"/>
        <w:jc w:val="left"/>
        <w:rPr>
          <w:rFonts w:ascii="宋体" w:hAnsi="宋体" w:cs="宋体"/>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项目实施人员一览表</w:t>
      </w:r>
    </w:p>
    <w:p w14:paraId="0C644137">
      <w:pPr>
        <w:pStyle w:val="15"/>
        <w:adjustRightInd w:val="0"/>
        <w:spacing w:before="120" w:after="120" w:line="360" w:lineRule="auto"/>
        <w:jc w:val="center"/>
        <w:textAlignment w:val="baseline"/>
        <w:rPr>
          <w:rFonts w:hAnsi="宋体"/>
          <w:color w:val="auto"/>
          <w:sz w:val="28"/>
          <w:szCs w:val="28"/>
        </w:rPr>
      </w:pPr>
      <w:r>
        <w:rPr>
          <w:rFonts w:hint="eastAsia" w:hAnsi="宋体"/>
          <w:b/>
          <w:color w:val="auto"/>
          <w:sz w:val="28"/>
          <w:szCs w:val="28"/>
        </w:rPr>
        <w:t>项目实施人员一览表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08"/>
        <w:gridCol w:w="915"/>
        <w:gridCol w:w="928"/>
        <w:gridCol w:w="1134"/>
        <w:gridCol w:w="1134"/>
        <w:gridCol w:w="976"/>
        <w:gridCol w:w="1798"/>
      </w:tblGrid>
      <w:tr w14:paraId="08D3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77A200F">
            <w:pPr>
              <w:pStyle w:val="18"/>
              <w:jc w:val="center"/>
              <w:rPr>
                <w:rFonts w:ascii="宋体" w:hAnsi="宋体" w:cs="宋体"/>
                <w:color w:val="auto"/>
                <w:sz w:val="21"/>
                <w:szCs w:val="21"/>
              </w:rPr>
            </w:pPr>
            <w:r>
              <w:rPr>
                <w:rFonts w:hint="eastAsia" w:ascii="宋体" w:hAnsi="宋体" w:cs="宋体"/>
                <w:color w:val="auto"/>
                <w:sz w:val="21"/>
                <w:szCs w:val="21"/>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6275FFC2">
            <w:pPr>
              <w:pStyle w:val="18"/>
              <w:jc w:val="center"/>
              <w:rPr>
                <w:rFonts w:ascii="宋体" w:hAnsi="宋体" w:cs="宋体"/>
                <w:color w:val="auto"/>
                <w:sz w:val="21"/>
                <w:szCs w:val="21"/>
              </w:rPr>
            </w:pPr>
            <w:r>
              <w:rPr>
                <w:rFonts w:hint="eastAsia" w:ascii="宋体" w:hAnsi="宋体" w:cs="宋体"/>
                <w:color w:val="auto"/>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vAlign w:val="center"/>
          </w:tcPr>
          <w:p w14:paraId="1284FC69">
            <w:pPr>
              <w:pStyle w:val="18"/>
              <w:jc w:val="center"/>
              <w:rPr>
                <w:rFonts w:ascii="宋体" w:hAnsi="宋体" w:cs="宋体"/>
                <w:color w:val="auto"/>
                <w:sz w:val="21"/>
                <w:szCs w:val="21"/>
              </w:rPr>
            </w:pPr>
            <w:r>
              <w:rPr>
                <w:rFonts w:hint="eastAsia" w:ascii="宋体" w:hAnsi="宋体" w:cs="宋体"/>
                <w:color w:val="auto"/>
                <w:sz w:val="21"/>
                <w:szCs w:val="21"/>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56AB6E64">
            <w:pPr>
              <w:jc w:val="center"/>
              <w:rPr>
                <w:rFonts w:ascii="宋体" w:hAnsi="宋体" w:cs="宋体"/>
                <w:color w:val="auto"/>
                <w:szCs w:val="21"/>
              </w:rPr>
            </w:pPr>
            <w:r>
              <w:rPr>
                <w:rFonts w:hint="eastAsia" w:ascii="宋体" w:hAnsi="宋体" w:cs="宋体"/>
                <w:color w:val="auto"/>
                <w:szCs w:val="21"/>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7858F26F">
            <w:pPr>
              <w:jc w:val="center"/>
              <w:rPr>
                <w:rFonts w:ascii="宋体" w:hAnsi="宋体" w:cs="宋体"/>
                <w:color w:val="auto"/>
                <w:szCs w:val="21"/>
              </w:rPr>
            </w:pPr>
            <w:r>
              <w:rPr>
                <w:rFonts w:hint="eastAsia" w:ascii="宋体" w:hAnsi="宋体" w:cs="宋体"/>
                <w:color w:val="auto"/>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593FAADF">
            <w:pPr>
              <w:jc w:val="center"/>
              <w:rPr>
                <w:rFonts w:ascii="宋体" w:hAnsi="宋体" w:cs="宋体"/>
                <w:color w:val="auto"/>
                <w:szCs w:val="21"/>
              </w:rPr>
            </w:pPr>
            <w:r>
              <w:rPr>
                <w:rFonts w:hint="eastAsia" w:ascii="宋体" w:hAnsi="宋体" w:cs="宋体"/>
                <w:color w:val="auto"/>
                <w:szCs w:val="21"/>
              </w:rPr>
              <w:t>学 历</w:t>
            </w:r>
          </w:p>
        </w:tc>
        <w:tc>
          <w:tcPr>
            <w:tcW w:w="976" w:type="dxa"/>
            <w:tcBorders>
              <w:top w:val="single" w:color="auto" w:sz="4" w:space="0"/>
              <w:left w:val="single" w:color="auto" w:sz="4" w:space="0"/>
              <w:bottom w:val="single" w:color="auto" w:sz="4" w:space="0"/>
              <w:right w:val="single" w:color="auto" w:sz="4" w:space="0"/>
            </w:tcBorders>
            <w:vAlign w:val="center"/>
          </w:tcPr>
          <w:p w14:paraId="5B21B87A">
            <w:pPr>
              <w:jc w:val="center"/>
              <w:rPr>
                <w:rFonts w:ascii="宋体" w:hAnsi="宋体" w:cs="宋体"/>
                <w:color w:val="auto"/>
                <w:szCs w:val="21"/>
              </w:rPr>
            </w:pPr>
            <w:r>
              <w:rPr>
                <w:rFonts w:hint="eastAsia" w:ascii="宋体" w:hAnsi="宋体" w:cs="宋体"/>
                <w:color w:val="auto"/>
                <w:szCs w:val="21"/>
              </w:rPr>
              <w:t>专业</w:t>
            </w:r>
          </w:p>
        </w:tc>
        <w:tc>
          <w:tcPr>
            <w:tcW w:w="1798" w:type="dxa"/>
            <w:tcBorders>
              <w:top w:val="single" w:color="auto" w:sz="4" w:space="0"/>
              <w:left w:val="single" w:color="auto" w:sz="4" w:space="0"/>
              <w:bottom w:val="single" w:color="auto" w:sz="4" w:space="0"/>
              <w:right w:val="single" w:color="auto" w:sz="4" w:space="0"/>
            </w:tcBorders>
            <w:vAlign w:val="center"/>
          </w:tcPr>
          <w:p w14:paraId="14E4BA0C">
            <w:pPr>
              <w:pStyle w:val="18"/>
              <w:jc w:val="center"/>
              <w:rPr>
                <w:rFonts w:ascii="宋体" w:hAnsi="宋体" w:cs="宋体"/>
                <w:color w:val="auto"/>
                <w:sz w:val="21"/>
                <w:szCs w:val="21"/>
              </w:rPr>
            </w:pPr>
            <w:r>
              <w:rPr>
                <w:rFonts w:hint="eastAsia" w:ascii="宋体" w:hAnsi="宋体" w:cs="宋体"/>
                <w:color w:val="auto"/>
                <w:sz w:val="21"/>
                <w:szCs w:val="21"/>
              </w:rPr>
              <w:t>从事本工作时间</w:t>
            </w:r>
          </w:p>
        </w:tc>
      </w:tr>
      <w:tr w14:paraId="1F84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2D5EDCB">
            <w:pPr>
              <w:pStyle w:val="18"/>
              <w:jc w:val="center"/>
              <w:rPr>
                <w:rFonts w:ascii="宋体" w:hAnsi="宋体" w:cs="宋体"/>
                <w:color w:val="auto"/>
                <w:sz w:val="21"/>
                <w:szCs w:val="21"/>
              </w:rPr>
            </w:pPr>
            <w:r>
              <w:rPr>
                <w:rFonts w:hint="eastAsia" w:ascii="宋体" w:hAnsi="宋体" w:cs="宋体"/>
                <w:color w:val="auto"/>
                <w:sz w:val="21"/>
                <w:szCs w:val="21"/>
              </w:rPr>
              <w:t>1</w:t>
            </w:r>
          </w:p>
        </w:tc>
        <w:tc>
          <w:tcPr>
            <w:tcW w:w="1308" w:type="dxa"/>
            <w:tcBorders>
              <w:top w:val="single" w:color="auto" w:sz="4" w:space="0"/>
              <w:left w:val="single" w:color="auto" w:sz="4" w:space="0"/>
              <w:bottom w:val="single" w:color="auto" w:sz="4" w:space="0"/>
              <w:right w:val="single" w:color="auto" w:sz="4" w:space="0"/>
            </w:tcBorders>
            <w:vAlign w:val="center"/>
          </w:tcPr>
          <w:p w14:paraId="12CC2E2D">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B2C9711">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372A2BB">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733BAE">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745E96">
            <w:pPr>
              <w:jc w:val="cente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10D89E63">
            <w:pPr>
              <w:jc w:val="cente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29C8F048">
            <w:pPr>
              <w:pStyle w:val="18"/>
              <w:jc w:val="center"/>
              <w:rPr>
                <w:rFonts w:ascii="宋体" w:hAnsi="宋体" w:cs="宋体"/>
                <w:color w:val="auto"/>
                <w:sz w:val="21"/>
                <w:szCs w:val="21"/>
              </w:rPr>
            </w:pPr>
          </w:p>
        </w:tc>
      </w:tr>
      <w:tr w14:paraId="0C9A8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565252">
            <w:pPr>
              <w:pStyle w:val="18"/>
              <w:jc w:val="center"/>
              <w:rPr>
                <w:rFonts w:ascii="宋体" w:hAnsi="宋体" w:cs="宋体"/>
                <w:color w:val="auto"/>
                <w:sz w:val="21"/>
                <w:szCs w:val="21"/>
              </w:rPr>
            </w:pPr>
            <w:r>
              <w:rPr>
                <w:rFonts w:hint="eastAsia" w:ascii="宋体" w:hAnsi="宋体" w:cs="宋体"/>
                <w:color w:val="auto"/>
                <w:sz w:val="21"/>
                <w:szCs w:val="21"/>
              </w:rPr>
              <w:t>2</w:t>
            </w:r>
          </w:p>
        </w:tc>
        <w:tc>
          <w:tcPr>
            <w:tcW w:w="1308" w:type="dxa"/>
            <w:tcBorders>
              <w:top w:val="single" w:color="auto" w:sz="4" w:space="0"/>
              <w:left w:val="single" w:color="auto" w:sz="4" w:space="0"/>
              <w:bottom w:val="single" w:color="auto" w:sz="4" w:space="0"/>
              <w:right w:val="single" w:color="auto" w:sz="4" w:space="0"/>
            </w:tcBorders>
            <w:vAlign w:val="center"/>
          </w:tcPr>
          <w:p w14:paraId="432B7029">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B4ABE41">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5110745">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C6AC8E">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06FF8B1">
            <w:pPr>
              <w:pStyle w:val="18"/>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2D692118">
            <w:pPr>
              <w:pStyle w:val="18"/>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67A6C892">
            <w:pPr>
              <w:pStyle w:val="18"/>
              <w:jc w:val="center"/>
              <w:rPr>
                <w:rFonts w:ascii="宋体" w:hAnsi="宋体" w:cs="宋体"/>
                <w:color w:val="auto"/>
                <w:sz w:val="21"/>
                <w:szCs w:val="21"/>
              </w:rPr>
            </w:pPr>
          </w:p>
        </w:tc>
      </w:tr>
      <w:tr w14:paraId="5BC80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39A0566">
            <w:pPr>
              <w:pStyle w:val="18"/>
              <w:jc w:val="center"/>
              <w:rPr>
                <w:rFonts w:ascii="宋体" w:hAnsi="宋体" w:cs="宋体"/>
                <w:color w:val="auto"/>
                <w:sz w:val="21"/>
                <w:szCs w:val="21"/>
              </w:rPr>
            </w:pPr>
            <w:r>
              <w:rPr>
                <w:rFonts w:hint="eastAsia" w:ascii="宋体" w:hAnsi="宋体" w:cs="宋体"/>
                <w:color w:val="auto"/>
                <w:sz w:val="21"/>
                <w:szCs w:val="21"/>
              </w:rPr>
              <w:t>3</w:t>
            </w:r>
          </w:p>
        </w:tc>
        <w:tc>
          <w:tcPr>
            <w:tcW w:w="1308" w:type="dxa"/>
            <w:tcBorders>
              <w:top w:val="single" w:color="auto" w:sz="4" w:space="0"/>
              <w:left w:val="single" w:color="auto" w:sz="4" w:space="0"/>
              <w:bottom w:val="single" w:color="auto" w:sz="4" w:space="0"/>
              <w:right w:val="single" w:color="auto" w:sz="4" w:space="0"/>
            </w:tcBorders>
            <w:vAlign w:val="center"/>
          </w:tcPr>
          <w:p w14:paraId="486C41B8">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B6D4E7D">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1DCD508">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E1FD258">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5763D49">
            <w:pPr>
              <w:pStyle w:val="18"/>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0970D472">
            <w:pPr>
              <w:pStyle w:val="18"/>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29FAAD18">
            <w:pPr>
              <w:pStyle w:val="18"/>
              <w:jc w:val="center"/>
              <w:rPr>
                <w:rFonts w:ascii="宋体" w:hAnsi="宋体" w:cs="宋体"/>
                <w:color w:val="auto"/>
                <w:sz w:val="21"/>
                <w:szCs w:val="21"/>
              </w:rPr>
            </w:pPr>
          </w:p>
        </w:tc>
      </w:tr>
      <w:tr w14:paraId="63B00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0A7A39A">
            <w:pPr>
              <w:pStyle w:val="18"/>
              <w:jc w:val="center"/>
              <w:rPr>
                <w:rFonts w:ascii="宋体" w:hAnsi="宋体" w:cs="宋体"/>
                <w:color w:val="auto"/>
                <w:sz w:val="21"/>
                <w:szCs w:val="21"/>
              </w:rPr>
            </w:pPr>
            <w:r>
              <w:rPr>
                <w:rFonts w:hint="eastAsia" w:ascii="宋体" w:hAnsi="宋体" w:cs="宋体"/>
                <w:color w:val="auto"/>
                <w:sz w:val="21"/>
                <w:szCs w:val="21"/>
              </w:rPr>
              <w:t>4</w:t>
            </w:r>
          </w:p>
        </w:tc>
        <w:tc>
          <w:tcPr>
            <w:tcW w:w="1308" w:type="dxa"/>
            <w:tcBorders>
              <w:top w:val="single" w:color="auto" w:sz="4" w:space="0"/>
              <w:left w:val="single" w:color="auto" w:sz="4" w:space="0"/>
              <w:bottom w:val="single" w:color="auto" w:sz="4" w:space="0"/>
              <w:right w:val="single" w:color="auto" w:sz="4" w:space="0"/>
            </w:tcBorders>
            <w:vAlign w:val="center"/>
          </w:tcPr>
          <w:p w14:paraId="16E273DB">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4AF1923F">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7D4EB8C">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398422">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458717C">
            <w:pPr>
              <w:pStyle w:val="18"/>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6DA733FE">
            <w:pPr>
              <w:pStyle w:val="18"/>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41158BC1">
            <w:pPr>
              <w:pStyle w:val="18"/>
              <w:jc w:val="center"/>
              <w:rPr>
                <w:rFonts w:ascii="宋体" w:hAnsi="宋体" w:cs="宋体"/>
                <w:color w:val="auto"/>
                <w:sz w:val="21"/>
                <w:szCs w:val="21"/>
              </w:rPr>
            </w:pPr>
          </w:p>
        </w:tc>
      </w:tr>
      <w:tr w14:paraId="2CBA2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665F1B1">
            <w:pPr>
              <w:pStyle w:val="18"/>
              <w:jc w:val="center"/>
              <w:rPr>
                <w:rFonts w:ascii="宋体" w:hAnsi="宋体" w:cs="宋体"/>
                <w:color w:val="auto"/>
                <w:sz w:val="21"/>
                <w:szCs w:val="21"/>
              </w:rPr>
            </w:pPr>
            <w:r>
              <w:rPr>
                <w:rFonts w:hint="eastAsia" w:ascii="宋体" w:hAnsi="宋体" w:cs="宋体"/>
                <w:color w:val="auto"/>
                <w:sz w:val="21"/>
                <w:szCs w:val="21"/>
              </w:rPr>
              <w:t>5</w:t>
            </w:r>
          </w:p>
        </w:tc>
        <w:tc>
          <w:tcPr>
            <w:tcW w:w="1308" w:type="dxa"/>
            <w:tcBorders>
              <w:top w:val="single" w:color="auto" w:sz="4" w:space="0"/>
              <w:left w:val="single" w:color="auto" w:sz="4" w:space="0"/>
              <w:bottom w:val="single" w:color="auto" w:sz="4" w:space="0"/>
              <w:right w:val="single" w:color="auto" w:sz="4" w:space="0"/>
            </w:tcBorders>
            <w:vAlign w:val="center"/>
          </w:tcPr>
          <w:p w14:paraId="576BB99D">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1422E047">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C266DC1">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48CC57B">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FDA496E">
            <w:pPr>
              <w:pStyle w:val="18"/>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55091A3">
            <w:pPr>
              <w:pStyle w:val="18"/>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E21CABB">
            <w:pPr>
              <w:pStyle w:val="18"/>
              <w:jc w:val="center"/>
              <w:rPr>
                <w:rFonts w:ascii="宋体" w:hAnsi="宋体" w:cs="宋体"/>
                <w:color w:val="auto"/>
                <w:sz w:val="21"/>
                <w:szCs w:val="21"/>
              </w:rPr>
            </w:pPr>
          </w:p>
        </w:tc>
      </w:tr>
      <w:tr w14:paraId="2C5C0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DE4FD73">
            <w:pPr>
              <w:pStyle w:val="18"/>
              <w:jc w:val="center"/>
              <w:rPr>
                <w:rFonts w:ascii="宋体" w:hAnsi="宋体" w:cs="宋体"/>
                <w:color w:val="auto"/>
                <w:sz w:val="21"/>
                <w:szCs w:val="21"/>
              </w:rPr>
            </w:pPr>
            <w:r>
              <w:rPr>
                <w:rFonts w:hint="eastAsia" w:ascii="宋体" w:hAnsi="宋体" w:cs="宋体"/>
                <w:color w:val="auto"/>
                <w:sz w:val="21"/>
                <w:szCs w:val="21"/>
              </w:rPr>
              <w:t>6</w:t>
            </w:r>
          </w:p>
        </w:tc>
        <w:tc>
          <w:tcPr>
            <w:tcW w:w="1308" w:type="dxa"/>
            <w:tcBorders>
              <w:top w:val="single" w:color="auto" w:sz="4" w:space="0"/>
              <w:left w:val="single" w:color="auto" w:sz="4" w:space="0"/>
              <w:bottom w:val="single" w:color="auto" w:sz="4" w:space="0"/>
              <w:right w:val="single" w:color="auto" w:sz="4" w:space="0"/>
            </w:tcBorders>
            <w:vAlign w:val="center"/>
          </w:tcPr>
          <w:p w14:paraId="01321FEA">
            <w:pPr>
              <w:pStyle w:val="18"/>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5C21773">
            <w:pPr>
              <w:pStyle w:val="18"/>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4FDB59E">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86CD4E5">
            <w:pPr>
              <w:pStyle w:val="18"/>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87DE14F">
            <w:pPr>
              <w:pStyle w:val="18"/>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1EA7A73">
            <w:pPr>
              <w:pStyle w:val="18"/>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20102D91">
            <w:pPr>
              <w:pStyle w:val="18"/>
              <w:jc w:val="center"/>
              <w:rPr>
                <w:rFonts w:ascii="宋体" w:hAnsi="宋体" w:cs="宋体"/>
                <w:color w:val="auto"/>
                <w:sz w:val="21"/>
                <w:szCs w:val="21"/>
              </w:rPr>
            </w:pPr>
          </w:p>
        </w:tc>
      </w:tr>
      <w:tr w14:paraId="3C8F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F8D8732">
            <w:pPr>
              <w:rPr>
                <w:rFonts w:ascii="宋体" w:hAnsi="宋体" w:cs="宋体"/>
                <w:color w:val="auto"/>
                <w:szCs w:val="21"/>
              </w:rPr>
            </w:pPr>
            <w:r>
              <w:rPr>
                <w:rFonts w:hint="eastAsia" w:ascii="宋体" w:hAnsi="宋体" w:cs="宋体"/>
                <w:color w:val="auto"/>
                <w:szCs w:val="21"/>
              </w:rPr>
              <w:t>…</w:t>
            </w:r>
          </w:p>
        </w:tc>
        <w:tc>
          <w:tcPr>
            <w:tcW w:w="1308" w:type="dxa"/>
            <w:tcBorders>
              <w:top w:val="single" w:color="auto" w:sz="4" w:space="0"/>
              <w:left w:val="single" w:color="auto" w:sz="4" w:space="0"/>
              <w:bottom w:val="single" w:color="auto" w:sz="4" w:space="0"/>
              <w:right w:val="single" w:color="auto" w:sz="4" w:space="0"/>
            </w:tcBorders>
            <w:vAlign w:val="center"/>
          </w:tcPr>
          <w:p w14:paraId="643FC9F6">
            <w:pPr>
              <w:rPr>
                <w:rFonts w:ascii="宋体" w:hAnsi="宋体" w:cs="宋体"/>
                <w:color w:val="auto"/>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287C674">
            <w:pP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9C62F7F">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37042F">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58B8022C">
            <w:pP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8BF6D65">
            <w:pP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85D3597">
            <w:pPr>
              <w:rPr>
                <w:rFonts w:ascii="宋体" w:hAnsi="宋体" w:cs="宋体"/>
                <w:color w:val="auto"/>
                <w:szCs w:val="21"/>
              </w:rPr>
            </w:pPr>
          </w:p>
        </w:tc>
      </w:tr>
    </w:tbl>
    <w:p w14:paraId="380CC44A">
      <w:pPr>
        <w:spacing w:line="360" w:lineRule="auto"/>
        <w:rPr>
          <w:rFonts w:ascii="宋体" w:hAnsi="宋体" w:cs="宋体"/>
          <w:b/>
          <w:color w:val="auto"/>
          <w:szCs w:val="21"/>
        </w:rPr>
      </w:pPr>
      <w:r>
        <w:rPr>
          <w:rFonts w:hint="eastAsia" w:ascii="宋体" w:hAnsi="宋体" w:cs="宋体"/>
          <w:b/>
          <w:color w:val="auto"/>
          <w:szCs w:val="21"/>
        </w:rPr>
        <w:t>注：1</w:t>
      </w:r>
      <w:r>
        <w:rPr>
          <w:rFonts w:hint="eastAsia" w:ascii="宋体" w:hAnsi="宋体" w:cs="宋体"/>
          <w:b/>
          <w:color w:val="auto"/>
          <w:szCs w:val="21"/>
          <w:lang w:val="en-US" w:eastAsia="zh-CN"/>
        </w:rPr>
        <w:t>.</w:t>
      </w:r>
      <w:r>
        <w:rPr>
          <w:rFonts w:hint="eastAsia" w:ascii="宋体" w:hAnsi="宋体" w:cs="宋体"/>
          <w:b/>
          <w:color w:val="auto"/>
          <w:szCs w:val="21"/>
        </w:rPr>
        <w:t>“项目实施人员”指投标单位针对该项目实施所配备的人员。</w:t>
      </w:r>
    </w:p>
    <w:p w14:paraId="40B97931">
      <w:pPr>
        <w:spacing w:line="360" w:lineRule="auto"/>
        <w:rPr>
          <w:rFonts w:ascii="宋体" w:hAnsi="宋体" w:cs="宋体"/>
          <w:b/>
          <w:color w:val="auto"/>
          <w:szCs w:val="21"/>
        </w:rPr>
      </w:pPr>
      <w:r>
        <w:rPr>
          <w:rFonts w:hint="eastAsia" w:ascii="宋体" w:hAnsi="宋体" w:cs="宋体"/>
          <w:b/>
          <w:color w:val="auto"/>
          <w:szCs w:val="21"/>
        </w:rPr>
        <w:t xml:space="preserve">    2</w:t>
      </w:r>
      <w:r>
        <w:rPr>
          <w:rFonts w:hint="eastAsia" w:ascii="宋体" w:hAnsi="宋体" w:cs="宋体"/>
          <w:b/>
          <w:color w:val="auto"/>
          <w:szCs w:val="21"/>
          <w:lang w:val="en-US" w:eastAsia="zh-CN"/>
        </w:rPr>
        <w:t>.</w:t>
      </w:r>
      <w:r>
        <w:rPr>
          <w:rFonts w:hint="eastAsia" w:ascii="宋体" w:hAnsi="宋体" w:cs="宋体"/>
          <w:b/>
          <w:color w:val="auto"/>
          <w:szCs w:val="21"/>
        </w:rPr>
        <w:t>后附各专业人员相关证明材料扫描件；项目负责人须填写简历表。</w:t>
      </w:r>
    </w:p>
    <w:p w14:paraId="42AE0CB1">
      <w:pPr>
        <w:spacing w:line="360" w:lineRule="auto"/>
        <w:ind w:firstLine="481"/>
        <w:rPr>
          <w:rFonts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en-US" w:eastAsia="zh-CN"/>
        </w:rPr>
        <w:t>.</w:t>
      </w:r>
      <w:r>
        <w:rPr>
          <w:rFonts w:hint="eastAsia" w:ascii="宋体" w:hAnsi="宋体" w:cs="宋体"/>
          <w:b/>
          <w:color w:val="auto"/>
          <w:szCs w:val="21"/>
        </w:rPr>
        <w:t>表格不够填写可添加。如本表格不适合投标人的实际情况，可自行制表填写。</w:t>
      </w:r>
    </w:p>
    <w:p w14:paraId="72F6502B">
      <w:pPr>
        <w:spacing w:line="360" w:lineRule="auto"/>
        <w:rPr>
          <w:rFonts w:ascii="宋体" w:hAnsi="宋体" w:cs="宋体"/>
          <w:b/>
          <w:color w:val="auto"/>
          <w:sz w:val="24"/>
        </w:rPr>
      </w:pPr>
    </w:p>
    <w:p w14:paraId="20D06A79">
      <w:pPr>
        <w:spacing w:line="360" w:lineRule="auto"/>
        <w:rPr>
          <w:rFonts w:ascii="宋体" w:hAnsi="宋体" w:cs="宋体"/>
          <w:b/>
          <w:color w:val="auto"/>
          <w:sz w:val="24"/>
        </w:rPr>
      </w:pPr>
    </w:p>
    <w:p w14:paraId="7B065432">
      <w:pPr>
        <w:snapToGrid w:val="0"/>
        <w:spacing w:before="50" w:after="50" w:line="360" w:lineRule="auto"/>
        <w:rPr>
          <w:rFonts w:ascii="宋体" w:hAnsi="宋体" w:cs="宋体"/>
          <w:color w:val="auto"/>
          <w:spacing w:val="20"/>
          <w:sz w:val="24"/>
          <w:u w:val="single"/>
        </w:rPr>
      </w:pPr>
      <w:bookmarkStart w:id="70" w:name="OLE_LINK32"/>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52B22F06">
      <w:pPr>
        <w:pStyle w:val="66"/>
        <w:spacing w:line="360" w:lineRule="auto"/>
        <w:ind w:right="480"/>
        <w:rPr>
          <w:rFonts w:hAnsi="宋体" w:eastAsia="宋体"/>
          <w:color w:val="auto"/>
          <w:sz w:val="24"/>
        </w:rPr>
      </w:pPr>
      <w:r>
        <w:rPr>
          <w:rFonts w:hint="eastAsia" w:hAnsi="宋体" w:eastAsia="宋体"/>
          <w:color w:val="auto"/>
          <w:sz w:val="24"/>
        </w:rPr>
        <w:t>投标人公章：                           年    月    日</w:t>
      </w:r>
    </w:p>
    <w:p w14:paraId="4B7B8641">
      <w:pPr>
        <w:pStyle w:val="30"/>
        <w:spacing w:before="0" w:beforeAutospacing="0" w:after="0" w:afterAutospacing="0"/>
        <w:jc w:val="center"/>
        <w:rPr>
          <w:b/>
          <w:snapToGrid w:val="0"/>
          <w:color w:val="auto"/>
        </w:rPr>
      </w:pPr>
      <w:r>
        <w:rPr>
          <w:rFonts w:hint="eastAsia"/>
          <w:color w:val="auto"/>
        </w:rPr>
        <w:br w:type="page"/>
      </w:r>
      <w:bookmarkEnd w:id="70"/>
      <w:r>
        <w:rPr>
          <w:rFonts w:hint="eastAsia"/>
          <w:b/>
          <w:color w:val="auto"/>
          <w:sz w:val="28"/>
          <w:szCs w:val="28"/>
        </w:rPr>
        <w:t>项目负责人简历表</w:t>
      </w:r>
    </w:p>
    <w:tbl>
      <w:tblPr>
        <w:tblStyle w:val="35"/>
        <w:tblW w:w="0" w:type="auto"/>
        <w:jc w:val="center"/>
        <w:tblLayout w:type="fixed"/>
        <w:tblCellMar>
          <w:top w:w="57" w:type="dxa"/>
          <w:left w:w="57" w:type="dxa"/>
          <w:bottom w:w="57" w:type="dxa"/>
          <w:right w:w="57" w:type="dxa"/>
        </w:tblCellMar>
      </w:tblPr>
      <w:tblGrid>
        <w:gridCol w:w="1856"/>
        <w:gridCol w:w="205"/>
        <w:gridCol w:w="1951"/>
        <w:gridCol w:w="730"/>
        <w:gridCol w:w="424"/>
        <w:gridCol w:w="296"/>
        <w:gridCol w:w="602"/>
        <w:gridCol w:w="118"/>
        <w:gridCol w:w="180"/>
        <w:gridCol w:w="616"/>
        <w:gridCol w:w="433"/>
        <w:gridCol w:w="181"/>
        <w:gridCol w:w="1437"/>
      </w:tblGrid>
      <w:tr w14:paraId="345E04C0">
        <w:tblPrEx>
          <w:tblCellMar>
            <w:top w:w="57" w:type="dxa"/>
            <w:left w:w="57" w:type="dxa"/>
            <w:bottom w:w="57" w:type="dxa"/>
            <w:right w:w="57" w:type="dxa"/>
          </w:tblCellMar>
        </w:tblPrEx>
        <w:trPr>
          <w:trHeight w:val="743"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484EF4E7">
            <w:pPr>
              <w:jc w:val="distribute"/>
              <w:rPr>
                <w:rFonts w:ascii="宋体" w:hAnsi="宋体" w:cs="宋体"/>
                <w:color w:val="auto"/>
                <w:szCs w:val="21"/>
              </w:rPr>
            </w:pPr>
            <w:r>
              <w:rPr>
                <w:rFonts w:hint="eastAsia" w:ascii="宋体" w:hAnsi="宋体" w:cs="宋体"/>
                <w:color w:val="auto"/>
                <w:szCs w:val="21"/>
              </w:rPr>
              <w:t>项目负责</w:t>
            </w:r>
          </w:p>
          <w:p w14:paraId="7F1218D6">
            <w:pPr>
              <w:jc w:val="distribute"/>
              <w:rPr>
                <w:rFonts w:ascii="宋体" w:hAnsi="宋体" w:cs="宋体"/>
                <w:color w:val="auto"/>
                <w:szCs w:val="21"/>
              </w:rPr>
            </w:pPr>
            <w:r>
              <w:rPr>
                <w:rFonts w:hint="eastAsia" w:ascii="宋体" w:hAnsi="宋体" w:cs="宋体"/>
                <w:color w:val="auto"/>
                <w:szCs w:val="21"/>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2AD6D6D">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2DEE56A8">
            <w:pPr>
              <w:jc w:val="center"/>
              <w:rPr>
                <w:rFonts w:ascii="宋体" w:hAnsi="宋体" w:cs="宋体"/>
                <w:color w:val="auto"/>
                <w:szCs w:val="21"/>
              </w:rPr>
            </w:pPr>
            <w:r>
              <w:rPr>
                <w:rFonts w:hint="eastAsia" w:ascii="宋体" w:hAnsi="宋体" w:cs="宋体"/>
                <w:color w:val="auto"/>
                <w:szCs w:val="21"/>
              </w:rPr>
              <w:t>性</w:t>
            </w:r>
          </w:p>
          <w:p w14:paraId="0E29E838">
            <w:pPr>
              <w:jc w:val="center"/>
              <w:rPr>
                <w:rFonts w:ascii="宋体" w:hAnsi="宋体" w:cs="宋体"/>
                <w:color w:val="auto"/>
                <w:szCs w:val="21"/>
              </w:rPr>
            </w:pPr>
            <w:r>
              <w:rPr>
                <w:rFonts w:hint="eastAsia" w:ascii="宋体" w:hAnsi="宋体" w:cs="宋体"/>
                <w:color w:val="auto"/>
                <w:szCs w:val="21"/>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2519B71">
            <w:pPr>
              <w:jc w:val="center"/>
              <w:rPr>
                <w:rFonts w:ascii="宋体" w:hAnsi="宋体" w:cs="宋体"/>
                <w:color w:val="auto"/>
                <w:szCs w:val="21"/>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4BB16EA4">
            <w:pPr>
              <w:jc w:val="center"/>
              <w:rPr>
                <w:rFonts w:ascii="宋体" w:hAnsi="宋体" w:cs="宋体"/>
                <w:color w:val="auto"/>
                <w:szCs w:val="21"/>
              </w:rPr>
            </w:pPr>
            <w:r>
              <w:rPr>
                <w:rFonts w:hint="eastAsia" w:ascii="宋体" w:hAnsi="宋体" w:cs="宋体"/>
                <w:color w:val="auto"/>
                <w:szCs w:val="21"/>
              </w:rPr>
              <w:t>年</w:t>
            </w:r>
          </w:p>
          <w:p w14:paraId="2789FB25">
            <w:pPr>
              <w:jc w:val="center"/>
              <w:rPr>
                <w:rFonts w:ascii="宋体" w:hAnsi="宋体" w:cs="宋体"/>
                <w:color w:val="auto"/>
                <w:szCs w:val="21"/>
              </w:rPr>
            </w:pPr>
            <w:r>
              <w:rPr>
                <w:rFonts w:hint="eastAsia" w:ascii="宋体" w:hAnsi="宋体" w:cs="宋体"/>
                <w:color w:val="auto"/>
                <w:szCs w:val="21"/>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9397A37">
            <w:pPr>
              <w:jc w:val="center"/>
              <w:rPr>
                <w:rFonts w:ascii="宋体" w:hAnsi="宋体" w:cs="宋体"/>
                <w:color w:val="auto"/>
                <w:szCs w:val="21"/>
              </w:rPr>
            </w:pPr>
          </w:p>
        </w:tc>
        <w:tc>
          <w:tcPr>
            <w:tcW w:w="614" w:type="dxa"/>
            <w:gridSpan w:val="2"/>
            <w:tcBorders>
              <w:top w:val="single" w:color="auto" w:sz="6" w:space="0"/>
              <w:left w:val="single" w:color="auto" w:sz="6" w:space="0"/>
              <w:bottom w:val="single" w:color="auto" w:sz="6" w:space="0"/>
              <w:right w:val="single" w:color="auto" w:sz="6" w:space="0"/>
            </w:tcBorders>
            <w:vAlign w:val="center"/>
          </w:tcPr>
          <w:p w14:paraId="0D120F85">
            <w:pPr>
              <w:jc w:val="center"/>
              <w:rPr>
                <w:rFonts w:ascii="宋体" w:hAnsi="宋体" w:cs="宋体"/>
                <w:color w:val="auto"/>
                <w:szCs w:val="21"/>
              </w:rPr>
            </w:pPr>
            <w:r>
              <w:rPr>
                <w:rFonts w:hint="eastAsia" w:ascii="宋体" w:hAnsi="宋体" w:cs="宋体"/>
                <w:color w:val="auto"/>
                <w:szCs w:val="21"/>
              </w:rPr>
              <w:t>学</w:t>
            </w:r>
          </w:p>
          <w:p w14:paraId="6F891AD5">
            <w:pPr>
              <w:jc w:val="center"/>
              <w:rPr>
                <w:rFonts w:ascii="宋体" w:hAnsi="宋体" w:cs="宋体"/>
                <w:color w:val="auto"/>
                <w:szCs w:val="21"/>
              </w:rPr>
            </w:pPr>
            <w:r>
              <w:rPr>
                <w:rFonts w:hint="eastAsia" w:ascii="宋体" w:hAnsi="宋体" w:cs="宋体"/>
                <w:color w:val="auto"/>
                <w:szCs w:val="21"/>
              </w:rPr>
              <w:t>历</w:t>
            </w:r>
          </w:p>
        </w:tc>
        <w:tc>
          <w:tcPr>
            <w:tcW w:w="1437" w:type="dxa"/>
            <w:tcBorders>
              <w:top w:val="single" w:color="auto" w:sz="6" w:space="0"/>
              <w:left w:val="single" w:color="auto" w:sz="6" w:space="0"/>
              <w:bottom w:val="single" w:color="auto" w:sz="6" w:space="0"/>
              <w:right w:val="single" w:color="auto" w:sz="6" w:space="0"/>
            </w:tcBorders>
            <w:vAlign w:val="center"/>
          </w:tcPr>
          <w:p w14:paraId="579CC20C">
            <w:pPr>
              <w:jc w:val="center"/>
              <w:rPr>
                <w:rFonts w:ascii="宋体" w:hAnsi="宋体" w:cs="宋体"/>
                <w:color w:val="auto"/>
                <w:szCs w:val="21"/>
              </w:rPr>
            </w:pPr>
          </w:p>
        </w:tc>
      </w:tr>
      <w:tr w14:paraId="74B7DE02">
        <w:tblPrEx>
          <w:tblCellMar>
            <w:top w:w="57" w:type="dxa"/>
            <w:left w:w="57" w:type="dxa"/>
            <w:bottom w:w="57" w:type="dxa"/>
            <w:right w:w="57" w:type="dxa"/>
          </w:tblCellMar>
        </w:tblPrEx>
        <w:trPr>
          <w:trHeight w:val="490"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73C96B9C">
            <w:pPr>
              <w:jc w:val="distribute"/>
              <w:rPr>
                <w:rFonts w:ascii="宋体" w:hAnsi="宋体" w:cs="宋体"/>
                <w:color w:val="auto"/>
                <w:szCs w:val="21"/>
              </w:rPr>
            </w:pPr>
            <w:r>
              <w:rPr>
                <w:rFonts w:hint="eastAsia" w:ascii="宋体" w:hAnsi="宋体" w:cs="宋体"/>
                <w:color w:val="auto"/>
                <w:szCs w:val="21"/>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4C06945D">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33B71142">
            <w:pPr>
              <w:jc w:val="center"/>
              <w:rPr>
                <w:rFonts w:ascii="宋体" w:hAnsi="宋体" w:cs="宋体"/>
                <w:color w:val="auto"/>
                <w:szCs w:val="21"/>
              </w:rPr>
            </w:pPr>
            <w:r>
              <w:rPr>
                <w:rFonts w:hint="eastAsia" w:ascii="宋体" w:hAnsi="宋体" w:cs="宋体"/>
                <w:color w:val="auto"/>
                <w:szCs w:val="21"/>
              </w:rPr>
              <w:t>专业职称</w:t>
            </w:r>
          </w:p>
        </w:tc>
        <w:tc>
          <w:tcPr>
            <w:tcW w:w="1322" w:type="dxa"/>
            <w:gridSpan w:val="3"/>
            <w:tcBorders>
              <w:top w:val="single" w:color="auto" w:sz="6" w:space="0"/>
              <w:left w:val="single" w:color="auto" w:sz="6" w:space="0"/>
              <w:bottom w:val="single" w:color="auto" w:sz="6" w:space="0"/>
              <w:right w:val="single" w:color="auto" w:sz="6" w:space="0"/>
            </w:tcBorders>
            <w:vAlign w:val="center"/>
          </w:tcPr>
          <w:p w14:paraId="1F983221">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151855CE">
            <w:pPr>
              <w:jc w:val="center"/>
              <w:rPr>
                <w:rFonts w:ascii="宋体" w:hAnsi="宋体" w:cs="宋体"/>
                <w:color w:val="auto"/>
                <w:szCs w:val="21"/>
              </w:rPr>
            </w:pPr>
            <w:r>
              <w:rPr>
                <w:rFonts w:hint="eastAsia" w:ascii="宋体" w:hAnsi="宋体" w:cs="宋体"/>
                <w:color w:val="auto"/>
                <w:szCs w:val="21"/>
              </w:rPr>
              <w:t>专业年限</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5676C207">
            <w:pPr>
              <w:jc w:val="center"/>
              <w:rPr>
                <w:rFonts w:ascii="宋体" w:hAnsi="宋体" w:cs="宋体"/>
                <w:color w:val="auto"/>
                <w:szCs w:val="21"/>
              </w:rPr>
            </w:pPr>
          </w:p>
        </w:tc>
      </w:tr>
      <w:tr w14:paraId="5EACAC18">
        <w:tblPrEx>
          <w:tblCellMar>
            <w:top w:w="57" w:type="dxa"/>
            <w:left w:w="57" w:type="dxa"/>
            <w:bottom w:w="57" w:type="dxa"/>
            <w:right w:w="57" w:type="dxa"/>
          </w:tblCellMar>
        </w:tblPrEx>
        <w:trPr>
          <w:cantSplit/>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07C9224C">
            <w:pPr>
              <w:jc w:val="center"/>
              <w:rPr>
                <w:rFonts w:ascii="宋体" w:hAnsi="宋体" w:cs="宋体"/>
                <w:color w:val="auto"/>
                <w:szCs w:val="21"/>
              </w:rPr>
            </w:pPr>
            <w:r>
              <w:rPr>
                <w:rFonts w:hint="eastAsia" w:ascii="宋体" w:hAnsi="宋体" w:cs="宋体"/>
                <w:color w:val="auto"/>
                <w:szCs w:val="21"/>
              </w:rPr>
              <w:t>工 作 单 位</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638B0774">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725FE048">
            <w:pPr>
              <w:jc w:val="center"/>
              <w:rPr>
                <w:rFonts w:ascii="宋体" w:hAnsi="宋体" w:cs="宋体"/>
                <w:color w:val="auto"/>
                <w:szCs w:val="21"/>
              </w:rPr>
            </w:pPr>
            <w:r>
              <w:rPr>
                <w:rFonts w:hint="eastAsia" w:ascii="宋体" w:hAnsi="宋体" w:cs="宋体"/>
                <w:color w:val="auto"/>
                <w:szCs w:val="21"/>
              </w:rPr>
              <w:t>电话</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107067F4">
            <w:pPr>
              <w:jc w:val="center"/>
              <w:rPr>
                <w:rFonts w:ascii="宋体" w:hAnsi="宋体" w:cs="宋体"/>
                <w:color w:val="auto"/>
                <w:szCs w:val="21"/>
              </w:rPr>
            </w:pPr>
          </w:p>
        </w:tc>
      </w:tr>
      <w:tr w14:paraId="5A563370">
        <w:tblPrEx>
          <w:tblCellMar>
            <w:top w:w="57" w:type="dxa"/>
            <w:left w:w="57" w:type="dxa"/>
            <w:bottom w:w="57" w:type="dxa"/>
            <w:right w:w="57" w:type="dxa"/>
          </w:tblCellMar>
        </w:tblPrEx>
        <w:trPr>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111D5A5D">
            <w:pPr>
              <w:jc w:val="distribute"/>
              <w:rPr>
                <w:rFonts w:ascii="宋体" w:hAnsi="宋体" w:cs="宋体"/>
                <w:color w:val="auto"/>
                <w:szCs w:val="21"/>
              </w:rPr>
            </w:pPr>
            <w:r>
              <w:rPr>
                <w:rFonts w:hint="eastAsia" w:ascii="宋体" w:hAnsi="宋体" w:cs="宋体"/>
                <w:color w:val="auto"/>
                <w:szCs w:val="21"/>
              </w:rPr>
              <w:t>通讯地址</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7D0DFF54">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513F2962">
            <w:pPr>
              <w:jc w:val="center"/>
              <w:rPr>
                <w:rFonts w:ascii="宋体" w:hAnsi="宋体" w:cs="宋体"/>
                <w:color w:val="auto"/>
                <w:szCs w:val="21"/>
              </w:rPr>
            </w:pPr>
            <w:r>
              <w:rPr>
                <w:rFonts w:hint="eastAsia" w:ascii="宋体" w:hAnsi="宋体" w:cs="宋体"/>
                <w:color w:val="auto"/>
                <w:szCs w:val="21"/>
              </w:rPr>
              <w:t>邮编</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0F014C15">
            <w:pPr>
              <w:jc w:val="center"/>
              <w:rPr>
                <w:rFonts w:ascii="宋体" w:hAnsi="宋体" w:cs="宋体"/>
                <w:color w:val="auto"/>
                <w:szCs w:val="21"/>
              </w:rPr>
            </w:pPr>
          </w:p>
        </w:tc>
      </w:tr>
      <w:tr w14:paraId="4209EBF1">
        <w:tblPrEx>
          <w:tblCellMar>
            <w:top w:w="57" w:type="dxa"/>
            <w:left w:w="57" w:type="dxa"/>
            <w:bottom w:w="57" w:type="dxa"/>
            <w:right w:w="57" w:type="dxa"/>
          </w:tblCellMar>
        </w:tblPrEx>
        <w:trPr>
          <w:cantSplit/>
          <w:trHeight w:val="551" w:hRule="atLeast"/>
          <w:jc w:val="center"/>
        </w:trPr>
        <w:tc>
          <w:tcPr>
            <w:tcW w:w="9029" w:type="dxa"/>
            <w:gridSpan w:val="13"/>
            <w:tcBorders>
              <w:top w:val="single" w:color="auto" w:sz="6" w:space="0"/>
              <w:left w:val="single" w:color="auto" w:sz="6" w:space="0"/>
              <w:bottom w:val="nil"/>
              <w:right w:val="single" w:color="auto" w:sz="6" w:space="0"/>
            </w:tcBorders>
            <w:vAlign w:val="center"/>
          </w:tcPr>
          <w:p w14:paraId="4974CD9C">
            <w:pPr>
              <w:jc w:val="center"/>
              <w:rPr>
                <w:rFonts w:ascii="宋体" w:hAnsi="宋体" w:cs="宋体"/>
                <w:color w:val="auto"/>
                <w:szCs w:val="21"/>
              </w:rPr>
            </w:pPr>
            <w:r>
              <w:rPr>
                <w:rFonts w:hint="eastAsia" w:ascii="宋体" w:hAnsi="宋体" w:cs="宋体"/>
                <w:color w:val="auto"/>
                <w:szCs w:val="21"/>
              </w:rPr>
              <w:t>项目工作经验</w:t>
            </w:r>
          </w:p>
        </w:tc>
      </w:tr>
      <w:tr w14:paraId="44630C43">
        <w:tblPrEx>
          <w:tblCellMar>
            <w:top w:w="57" w:type="dxa"/>
            <w:left w:w="57" w:type="dxa"/>
            <w:bottom w:w="57" w:type="dxa"/>
            <w:right w:w="57" w:type="dxa"/>
          </w:tblCellMar>
        </w:tblPrEx>
        <w:trPr>
          <w:cantSplit/>
          <w:trHeight w:val="795" w:hRule="atLeast"/>
          <w:jc w:val="center"/>
        </w:trPr>
        <w:tc>
          <w:tcPr>
            <w:tcW w:w="2061" w:type="dxa"/>
            <w:gridSpan w:val="2"/>
            <w:tcBorders>
              <w:top w:val="single" w:color="auto" w:sz="6" w:space="0"/>
              <w:left w:val="single" w:color="auto" w:sz="6" w:space="0"/>
              <w:bottom w:val="single" w:color="auto" w:sz="6" w:space="0"/>
              <w:right w:val="single" w:color="auto" w:sz="6" w:space="0"/>
            </w:tcBorders>
            <w:vAlign w:val="center"/>
          </w:tcPr>
          <w:p w14:paraId="73687A27">
            <w:pPr>
              <w:jc w:val="center"/>
              <w:rPr>
                <w:rFonts w:ascii="宋体" w:hAnsi="宋体" w:cs="宋体"/>
                <w:color w:val="auto"/>
                <w:szCs w:val="21"/>
              </w:rPr>
            </w:pPr>
            <w:r>
              <w:rPr>
                <w:rFonts w:hint="eastAsia" w:ascii="宋体" w:hAnsi="宋体" w:cs="宋体"/>
                <w:color w:val="auto"/>
                <w:szCs w:val="21"/>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08034F61">
            <w:pPr>
              <w:jc w:val="center"/>
              <w:rPr>
                <w:rFonts w:ascii="宋体" w:hAnsi="宋体" w:cs="宋体"/>
                <w:color w:val="auto"/>
                <w:szCs w:val="21"/>
              </w:rPr>
            </w:pPr>
            <w:r>
              <w:rPr>
                <w:rFonts w:hint="eastAsia" w:ascii="宋体" w:hAnsi="宋体" w:cs="宋体"/>
                <w:color w:val="auto"/>
                <w:szCs w:val="21"/>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vAlign w:val="center"/>
          </w:tcPr>
          <w:p w14:paraId="34B81812">
            <w:pPr>
              <w:jc w:val="center"/>
              <w:rPr>
                <w:rFonts w:ascii="宋体" w:hAnsi="宋体" w:cs="宋体"/>
                <w:color w:val="auto"/>
                <w:szCs w:val="21"/>
              </w:rPr>
            </w:pPr>
            <w:r>
              <w:rPr>
                <w:rFonts w:hint="eastAsia" w:ascii="宋体" w:hAnsi="宋体" w:cs="宋体"/>
                <w:color w:val="auto"/>
                <w:szCs w:val="21"/>
              </w:rPr>
              <w:t>担任职务</w:t>
            </w: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32C2B7D1">
            <w:pPr>
              <w:ind w:firstLine="105" w:firstLineChars="50"/>
              <w:rPr>
                <w:rFonts w:ascii="宋体" w:hAnsi="宋体" w:cs="宋体"/>
                <w:color w:val="auto"/>
                <w:szCs w:val="21"/>
              </w:rPr>
            </w:pPr>
            <w:r>
              <w:rPr>
                <w:rFonts w:hint="eastAsia" w:ascii="宋体" w:hAnsi="宋体" w:cs="宋体"/>
                <w:color w:val="auto"/>
                <w:szCs w:val="21"/>
              </w:rPr>
              <w:t>发包人及联系电话</w:t>
            </w:r>
          </w:p>
        </w:tc>
      </w:tr>
      <w:tr w14:paraId="4CE6B0EE">
        <w:tblPrEx>
          <w:tblCellMar>
            <w:top w:w="57" w:type="dxa"/>
            <w:left w:w="57" w:type="dxa"/>
            <w:bottom w:w="57" w:type="dxa"/>
            <w:right w:w="57" w:type="dxa"/>
          </w:tblCellMar>
        </w:tblPrEx>
        <w:trPr>
          <w:cantSplit/>
          <w:trHeight w:val="639" w:hRule="atLeast"/>
          <w:jc w:val="center"/>
        </w:trPr>
        <w:tc>
          <w:tcPr>
            <w:tcW w:w="2061" w:type="dxa"/>
            <w:gridSpan w:val="2"/>
            <w:tcBorders>
              <w:top w:val="single" w:color="auto" w:sz="6" w:space="0"/>
              <w:left w:val="single" w:color="auto" w:sz="6" w:space="0"/>
              <w:bottom w:val="single" w:color="auto" w:sz="4" w:space="0"/>
              <w:right w:val="single" w:color="auto" w:sz="6" w:space="0"/>
            </w:tcBorders>
            <w:vAlign w:val="center"/>
          </w:tcPr>
          <w:p w14:paraId="0E1BE079">
            <w:pPr>
              <w:spacing w:line="900" w:lineRule="auto"/>
              <w:jc w:val="center"/>
              <w:rPr>
                <w:rFonts w:ascii="宋体" w:hAnsi="宋体" w:cs="宋体"/>
                <w:color w:val="auto"/>
                <w:szCs w:val="21"/>
              </w:rPr>
            </w:pPr>
          </w:p>
          <w:p w14:paraId="66C7F7C6">
            <w:pPr>
              <w:spacing w:line="900" w:lineRule="auto"/>
              <w:jc w:val="center"/>
              <w:rPr>
                <w:rFonts w:ascii="宋体" w:hAnsi="宋体" w:cs="宋体"/>
                <w:color w:val="auto"/>
                <w:szCs w:val="21"/>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25EFE6AD">
            <w:pPr>
              <w:jc w:val="center"/>
              <w:rPr>
                <w:rFonts w:ascii="宋体" w:hAnsi="宋体" w:cs="宋体"/>
                <w:color w:val="auto"/>
                <w:szCs w:val="21"/>
              </w:rPr>
            </w:pPr>
          </w:p>
        </w:tc>
        <w:tc>
          <w:tcPr>
            <w:tcW w:w="1196" w:type="dxa"/>
            <w:gridSpan w:val="4"/>
            <w:tcBorders>
              <w:top w:val="single" w:color="auto" w:sz="6" w:space="0"/>
              <w:left w:val="single" w:color="auto" w:sz="6" w:space="0"/>
              <w:bottom w:val="single" w:color="auto" w:sz="4" w:space="0"/>
              <w:right w:val="single" w:color="auto" w:sz="6" w:space="0"/>
            </w:tcBorders>
            <w:vAlign w:val="center"/>
          </w:tcPr>
          <w:p w14:paraId="52DBF35D">
            <w:pPr>
              <w:jc w:val="center"/>
              <w:rPr>
                <w:rFonts w:ascii="宋体" w:hAnsi="宋体" w:cs="宋体"/>
                <w:color w:val="auto"/>
                <w:szCs w:val="21"/>
              </w:rPr>
            </w:pP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005B76D7">
            <w:pPr>
              <w:jc w:val="center"/>
              <w:rPr>
                <w:rFonts w:ascii="宋体" w:hAnsi="宋体" w:cs="宋体"/>
                <w:color w:val="auto"/>
                <w:szCs w:val="21"/>
              </w:rPr>
            </w:pPr>
          </w:p>
        </w:tc>
      </w:tr>
    </w:tbl>
    <w:p w14:paraId="47891CAE">
      <w:pPr>
        <w:spacing w:line="460" w:lineRule="atLeast"/>
        <w:rPr>
          <w:rFonts w:ascii="宋体" w:hAnsi="宋体" w:cs="宋体"/>
          <w:b/>
          <w:color w:val="auto"/>
          <w:szCs w:val="21"/>
        </w:rPr>
      </w:pPr>
      <w:r>
        <w:rPr>
          <w:rFonts w:hint="eastAsia" w:ascii="宋体" w:hAnsi="宋体" w:cs="宋体"/>
          <w:b/>
          <w:color w:val="auto"/>
          <w:szCs w:val="21"/>
        </w:rPr>
        <w:t>注：后附项目负责人相关证明材料扫描件；</w:t>
      </w:r>
    </w:p>
    <w:p w14:paraId="683B36EE">
      <w:pPr>
        <w:spacing w:line="460" w:lineRule="atLeast"/>
        <w:rPr>
          <w:rFonts w:ascii="宋体" w:hAnsi="宋体" w:cs="宋体"/>
          <w:b/>
          <w:color w:val="auto"/>
          <w:sz w:val="24"/>
        </w:rPr>
      </w:pPr>
    </w:p>
    <w:p w14:paraId="0F3474E2">
      <w:pPr>
        <w:spacing w:line="460" w:lineRule="atLeast"/>
        <w:rPr>
          <w:rFonts w:ascii="宋体" w:hAnsi="宋体" w:cs="宋体"/>
          <w:b/>
          <w:color w:val="auto"/>
          <w:sz w:val="24"/>
        </w:rPr>
      </w:pPr>
    </w:p>
    <w:p w14:paraId="699FBD8C">
      <w:pPr>
        <w:snapToGrid w:val="0"/>
        <w:spacing w:before="50" w:after="50" w:line="360" w:lineRule="auto"/>
        <w:rPr>
          <w:rFonts w:ascii="宋体" w:hAnsi="宋体" w:cs="宋体"/>
          <w:color w:val="auto"/>
          <w:spacing w:val="20"/>
          <w:sz w:val="24"/>
          <w:u w:val="single"/>
        </w:rPr>
      </w:pPr>
      <w:bookmarkStart w:id="71" w:name="OLE_LINK47"/>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0EBA76E4">
      <w:pPr>
        <w:spacing w:line="460" w:lineRule="atLeast"/>
        <w:rPr>
          <w:rFonts w:ascii="宋体" w:hAnsi="宋体" w:cs="宋体"/>
          <w:b/>
          <w:color w:val="auto"/>
          <w:sz w:val="24"/>
        </w:rPr>
      </w:pPr>
      <w:r>
        <w:rPr>
          <w:rFonts w:hint="eastAsia" w:ascii="宋体" w:hAnsi="宋体" w:cs="宋体"/>
          <w:color w:val="auto"/>
          <w:sz w:val="24"/>
        </w:rPr>
        <w:t>投标人公章：                           年    月    日</w:t>
      </w:r>
    </w:p>
    <w:bookmarkEnd w:id="71"/>
    <w:p w14:paraId="302BA9B7">
      <w:pPr>
        <w:pStyle w:val="66"/>
        <w:spacing w:line="360" w:lineRule="auto"/>
        <w:rPr>
          <w:rFonts w:hAnsi="宋体"/>
          <w:b/>
          <w:bCs/>
          <w:color w:val="auto"/>
          <w:sz w:val="24"/>
        </w:rPr>
      </w:pPr>
      <w:r>
        <w:rPr>
          <w:rFonts w:hint="eastAsia" w:hAnsi="宋体" w:eastAsia="宋体"/>
          <w:b/>
          <w:snapToGrid w:val="0"/>
          <w:color w:val="auto"/>
        </w:rPr>
        <w:br w:type="page"/>
      </w:r>
      <w:r>
        <w:rPr>
          <w:rFonts w:hint="eastAsia" w:hAnsi="宋体" w:eastAsia="宋体"/>
          <w:b/>
          <w:color w:val="auto"/>
          <w:kern w:val="0"/>
          <w:sz w:val="24"/>
          <w:lang w:val="en-US" w:eastAsia="zh-CN"/>
        </w:rPr>
        <w:t>6.</w:t>
      </w:r>
      <w:r>
        <w:rPr>
          <w:rFonts w:hint="eastAsia" w:hAnsi="宋体" w:eastAsia="宋体"/>
          <w:b/>
          <w:color w:val="auto"/>
          <w:kern w:val="0"/>
          <w:sz w:val="24"/>
        </w:rPr>
        <w:t>服务承诺等。</w:t>
      </w:r>
    </w:p>
    <w:p w14:paraId="487CB67E">
      <w:pPr>
        <w:snapToGrid w:val="0"/>
        <w:spacing w:before="50" w:after="156" w:afterLines="50"/>
        <w:jc w:val="left"/>
        <w:rPr>
          <w:rFonts w:ascii="宋体" w:hAnsi="宋体" w:cs="宋体"/>
          <w:b/>
          <w:bCs/>
          <w:color w:val="auto"/>
          <w:sz w:val="24"/>
        </w:rPr>
      </w:pPr>
    </w:p>
    <w:p w14:paraId="1D982EE2">
      <w:pPr>
        <w:snapToGrid w:val="0"/>
        <w:spacing w:before="50" w:after="156" w:afterLines="50"/>
        <w:jc w:val="left"/>
        <w:rPr>
          <w:rFonts w:ascii="宋体" w:hAnsi="宋体" w:cs="宋体"/>
          <w:b/>
          <w:bCs/>
          <w:color w:val="auto"/>
          <w:sz w:val="24"/>
        </w:rPr>
      </w:pPr>
    </w:p>
    <w:p w14:paraId="45BC596A">
      <w:pPr>
        <w:snapToGrid w:val="0"/>
        <w:spacing w:before="50" w:after="156" w:afterLines="50"/>
        <w:jc w:val="left"/>
        <w:rPr>
          <w:rFonts w:ascii="宋体" w:hAnsi="宋体" w:cs="宋体"/>
          <w:b/>
          <w:bCs/>
          <w:color w:val="auto"/>
          <w:sz w:val="24"/>
        </w:rPr>
      </w:pPr>
    </w:p>
    <w:p w14:paraId="35BE357E">
      <w:pPr>
        <w:snapToGrid w:val="0"/>
        <w:spacing w:before="50" w:after="156" w:afterLines="50"/>
        <w:jc w:val="left"/>
        <w:rPr>
          <w:rFonts w:ascii="宋体" w:hAnsi="宋体" w:cs="宋体"/>
          <w:b/>
          <w:bCs/>
          <w:color w:val="auto"/>
          <w:sz w:val="24"/>
        </w:rPr>
      </w:pPr>
    </w:p>
    <w:p w14:paraId="1A85ED6C">
      <w:pPr>
        <w:snapToGrid w:val="0"/>
        <w:spacing w:before="50" w:after="156" w:afterLines="50"/>
        <w:jc w:val="left"/>
        <w:rPr>
          <w:rFonts w:ascii="宋体" w:hAnsi="宋体" w:cs="宋体"/>
          <w:b/>
          <w:bCs/>
          <w:color w:val="auto"/>
          <w:sz w:val="24"/>
        </w:rPr>
      </w:pPr>
    </w:p>
    <w:p w14:paraId="555D7C02">
      <w:pPr>
        <w:snapToGrid w:val="0"/>
        <w:spacing w:before="50" w:after="156" w:afterLines="50"/>
        <w:jc w:val="left"/>
        <w:rPr>
          <w:rFonts w:ascii="宋体" w:hAnsi="宋体" w:cs="宋体"/>
          <w:b/>
          <w:bCs/>
          <w:color w:val="auto"/>
          <w:sz w:val="24"/>
        </w:rPr>
      </w:pPr>
    </w:p>
    <w:p w14:paraId="1582579B">
      <w:pPr>
        <w:snapToGrid w:val="0"/>
        <w:spacing w:before="50" w:after="156" w:afterLines="50"/>
        <w:jc w:val="left"/>
        <w:rPr>
          <w:rFonts w:ascii="宋体" w:hAnsi="宋体" w:cs="宋体"/>
          <w:b/>
          <w:bCs/>
          <w:color w:val="auto"/>
          <w:sz w:val="24"/>
        </w:rPr>
      </w:pPr>
    </w:p>
    <w:p w14:paraId="318AADD8">
      <w:pPr>
        <w:snapToGrid w:val="0"/>
        <w:spacing w:before="50" w:after="156" w:afterLines="50"/>
        <w:jc w:val="left"/>
        <w:rPr>
          <w:rFonts w:ascii="宋体" w:hAnsi="宋体" w:cs="宋体"/>
          <w:b/>
          <w:bCs/>
          <w:color w:val="auto"/>
          <w:sz w:val="24"/>
        </w:rPr>
      </w:pPr>
    </w:p>
    <w:p w14:paraId="7B0BA1AB">
      <w:pPr>
        <w:snapToGrid w:val="0"/>
        <w:spacing w:before="50" w:after="156" w:afterLines="50"/>
        <w:jc w:val="left"/>
        <w:rPr>
          <w:rFonts w:ascii="宋体" w:hAnsi="宋体" w:cs="宋体"/>
          <w:b/>
          <w:bCs/>
          <w:color w:val="auto"/>
          <w:sz w:val="24"/>
        </w:rPr>
      </w:pPr>
    </w:p>
    <w:p w14:paraId="2FEFDA18">
      <w:pPr>
        <w:snapToGrid w:val="0"/>
        <w:spacing w:line="240" w:lineRule="atLeast"/>
        <w:rPr>
          <w:rFonts w:ascii="宋体" w:hAnsi="宋体" w:cs="宋体"/>
          <w:color w:val="auto"/>
        </w:rPr>
      </w:pPr>
    </w:p>
    <w:p w14:paraId="30DF1E18">
      <w:pPr>
        <w:pStyle w:val="15"/>
        <w:snapToGrid w:val="0"/>
        <w:spacing w:before="31" w:beforeLines="10" w:after="31" w:afterLines="10" w:line="360" w:lineRule="auto"/>
        <w:ind w:firstLine="482" w:firstLineChars="200"/>
        <w:rPr>
          <w:rFonts w:hAnsi="宋体"/>
          <w:b/>
          <w:color w:val="auto"/>
          <w:sz w:val="24"/>
        </w:rPr>
      </w:pPr>
      <w:r>
        <w:rPr>
          <w:rFonts w:hint="eastAsia" w:hAnsi="宋体"/>
          <w:b/>
          <w:color w:val="auto"/>
          <w:sz w:val="24"/>
        </w:rPr>
        <w:br w:type="page"/>
      </w:r>
    </w:p>
    <w:p w14:paraId="15A2EC44">
      <w:pPr>
        <w:snapToGrid w:val="0"/>
        <w:spacing w:before="50" w:after="156" w:afterLines="50" w:line="440" w:lineRule="exact"/>
        <w:jc w:val="left"/>
        <w:rPr>
          <w:rFonts w:ascii="宋体" w:hAnsi="宋体" w:cs="宋体"/>
          <w:color w:val="auto"/>
          <w:sz w:val="24"/>
        </w:rPr>
      </w:pPr>
      <w:r>
        <w:rPr>
          <w:rFonts w:hint="eastAsia" w:ascii="宋体" w:hAnsi="宋体" w:cs="宋体"/>
          <w:b/>
          <w:color w:val="auto"/>
          <w:sz w:val="24"/>
          <w:lang w:val="en-US" w:eastAsia="zh-CN"/>
        </w:rPr>
        <w:t>7.</w:t>
      </w:r>
      <w:r>
        <w:rPr>
          <w:rFonts w:hint="eastAsia" w:ascii="宋体" w:hAnsi="宋体" w:cs="宋体"/>
          <w:b/>
          <w:color w:val="auto"/>
          <w:sz w:val="24"/>
        </w:rPr>
        <w:t>投标人需要说明的其他内容。（未尽事宜可按评分细则部分制作）</w:t>
      </w:r>
    </w:p>
    <w:p w14:paraId="01197222">
      <w:pPr>
        <w:spacing w:line="460" w:lineRule="atLeast"/>
        <w:rPr>
          <w:rFonts w:ascii="宋体" w:hAnsi="宋体" w:cs="宋体"/>
          <w:color w:val="auto"/>
        </w:rPr>
      </w:pPr>
    </w:p>
    <w:p w14:paraId="59FD4AE9">
      <w:pPr>
        <w:spacing w:line="460" w:lineRule="atLeast"/>
        <w:jc w:val="center"/>
        <w:rPr>
          <w:rFonts w:ascii="宋体" w:hAnsi="宋体" w:cs="宋体"/>
          <w:b/>
          <w:color w:val="auto"/>
          <w:sz w:val="24"/>
        </w:rPr>
      </w:pPr>
    </w:p>
    <w:p w14:paraId="10FA8BF8">
      <w:pPr>
        <w:spacing w:line="460" w:lineRule="atLeast"/>
        <w:jc w:val="center"/>
        <w:rPr>
          <w:rFonts w:ascii="宋体" w:hAnsi="宋体" w:cs="宋体"/>
          <w:b/>
          <w:color w:val="auto"/>
          <w:sz w:val="24"/>
        </w:rPr>
      </w:pPr>
    </w:p>
    <w:p w14:paraId="7CF819CB">
      <w:pPr>
        <w:spacing w:line="460" w:lineRule="atLeast"/>
        <w:jc w:val="center"/>
        <w:rPr>
          <w:rFonts w:ascii="宋体" w:hAnsi="宋体" w:cs="宋体"/>
          <w:b/>
          <w:color w:val="auto"/>
          <w:sz w:val="24"/>
        </w:rPr>
      </w:pPr>
    </w:p>
    <w:p w14:paraId="5C3B4434">
      <w:pPr>
        <w:spacing w:line="460" w:lineRule="atLeast"/>
        <w:jc w:val="center"/>
        <w:rPr>
          <w:rFonts w:ascii="宋体" w:hAnsi="宋体" w:cs="宋体"/>
          <w:b/>
          <w:color w:val="auto"/>
          <w:sz w:val="24"/>
        </w:rPr>
      </w:pPr>
    </w:p>
    <w:p w14:paraId="2C182B65">
      <w:pPr>
        <w:spacing w:line="460" w:lineRule="atLeast"/>
        <w:jc w:val="center"/>
        <w:rPr>
          <w:rFonts w:ascii="宋体" w:hAnsi="宋体" w:cs="宋体"/>
          <w:b/>
          <w:color w:val="auto"/>
          <w:sz w:val="24"/>
        </w:rPr>
      </w:pPr>
    </w:p>
    <w:p w14:paraId="1C65D742">
      <w:pPr>
        <w:spacing w:line="460" w:lineRule="atLeast"/>
        <w:jc w:val="center"/>
        <w:rPr>
          <w:rFonts w:ascii="宋体" w:hAnsi="宋体" w:cs="宋体"/>
          <w:b/>
          <w:color w:val="auto"/>
          <w:sz w:val="24"/>
        </w:rPr>
      </w:pPr>
    </w:p>
    <w:p w14:paraId="5DAEEAD9">
      <w:pPr>
        <w:spacing w:line="460" w:lineRule="atLeast"/>
        <w:jc w:val="center"/>
        <w:rPr>
          <w:rFonts w:ascii="宋体" w:hAnsi="宋体" w:cs="宋体"/>
          <w:b/>
          <w:color w:val="auto"/>
          <w:sz w:val="24"/>
        </w:rPr>
      </w:pPr>
    </w:p>
    <w:p w14:paraId="35C58ADB">
      <w:pPr>
        <w:spacing w:line="460" w:lineRule="atLeast"/>
        <w:jc w:val="center"/>
        <w:rPr>
          <w:rFonts w:ascii="宋体" w:hAnsi="宋体" w:cs="宋体"/>
          <w:b/>
          <w:color w:val="auto"/>
          <w:sz w:val="24"/>
        </w:rPr>
      </w:pPr>
    </w:p>
    <w:p w14:paraId="248956A6">
      <w:pPr>
        <w:spacing w:line="460" w:lineRule="atLeast"/>
        <w:jc w:val="center"/>
        <w:rPr>
          <w:rFonts w:ascii="宋体" w:hAnsi="宋体" w:cs="宋体"/>
          <w:b/>
          <w:color w:val="auto"/>
          <w:sz w:val="24"/>
        </w:rPr>
      </w:pPr>
    </w:p>
    <w:p w14:paraId="1AB55247">
      <w:pPr>
        <w:spacing w:line="460" w:lineRule="atLeast"/>
        <w:jc w:val="center"/>
        <w:rPr>
          <w:rFonts w:ascii="宋体" w:hAnsi="宋体" w:cs="宋体"/>
          <w:b/>
          <w:color w:val="auto"/>
          <w:sz w:val="24"/>
        </w:rPr>
      </w:pPr>
    </w:p>
    <w:p w14:paraId="60DE7D4C">
      <w:pPr>
        <w:spacing w:line="460" w:lineRule="atLeast"/>
        <w:jc w:val="center"/>
        <w:rPr>
          <w:rFonts w:ascii="宋体" w:hAnsi="宋体" w:cs="宋体"/>
          <w:b/>
          <w:color w:val="auto"/>
          <w:sz w:val="24"/>
        </w:rPr>
      </w:pPr>
    </w:p>
    <w:p w14:paraId="613191E5">
      <w:pPr>
        <w:spacing w:line="460" w:lineRule="atLeast"/>
        <w:jc w:val="center"/>
        <w:rPr>
          <w:rFonts w:ascii="宋体" w:hAnsi="宋体" w:cs="宋体"/>
          <w:b/>
          <w:color w:val="auto"/>
          <w:sz w:val="24"/>
        </w:rPr>
      </w:pPr>
    </w:p>
    <w:p w14:paraId="40B9766A">
      <w:pPr>
        <w:spacing w:line="460" w:lineRule="atLeast"/>
        <w:jc w:val="center"/>
        <w:rPr>
          <w:rFonts w:ascii="宋体" w:hAnsi="宋体" w:cs="宋体"/>
          <w:b/>
          <w:color w:val="auto"/>
          <w:sz w:val="24"/>
        </w:rPr>
      </w:pPr>
    </w:p>
    <w:p w14:paraId="78EEB5D8">
      <w:pPr>
        <w:spacing w:line="460" w:lineRule="atLeast"/>
        <w:jc w:val="center"/>
        <w:rPr>
          <w:rFonts w:ascii="宋体" w:hAnsi="宋体" w:cs="宋体"/>
          <w:b/>
          <w:color w:val="auto"/>
          <w:sz w:val="24"/>
        </w:rPr>
      </w:pPr>
    </w:p>
    <w:p w14:paraId="206818F3">
      <w:pPr>
        <w:spacing w:line="460" w:lineRule="atLeast"/>
        <w:jc w:val="center"/>
        <w:rPr>
          <w:rFonts w:ascii="宋体" w:hAnsi="宋体" w:cs="宋体"/>
          <w:b/>
          <w:color w:val="auto"/>
          <w:sz w:val="24"/>
        </w:rPr>
      </w:pPr>
    </w:p>
    <w:p w14:paraId="0BE82601">
      <w:pPr>
        <w:spacing w:line="460" w:lineRule="atLeast"/>
        <w:jc w:val="center"/>
        <w:rPr>
          <w:rFonts w:ascii="宋体" w:hAnsi="宋体" w:cs="宋体"/>
          <w:b/>
          <w:color w:val="auto"/>
          <w:sz w:val="24"/>
        </w:rPr>
      </w:pPr>
    </w:p>
    <w:p w14:paraId="71A565DD">
      <w:pPr>
        <w:spacing w:line="460" w:lineRule="atLeast"/>
        <w:jc w:val="center"/>
        <w:rPr>
          <w:rFonts w:ascii="宋体" w:hAnsi="宋体" w:cs="宋体"/>
          <w:b/>
          <w:color w:val="auto"/>
          <w:sz w:val="24"/>
        </w:rPr>
      </w:pPr>
    </w:p>
    <w:p w14:paraId="6B01579F">
      <w:pPr>
        <w:spacing w:line="460" w:lineRule="atLeast"/>
        <w:jc w:val="center"/>
        <w:rPr>
          <w:rFonts w:ascii="宋体" w:hAnsi="宋体" w:cs="宋体"/>
          <w:b/>
          <w:color w:val="auto"/>
          <w:sz w:val="24"/>
        </w:rPr>
      </w:pPr>
    </w:p>
    <w:p w14:paraId="493774AA">
      <w:pPr>
        <w:spacing w:line="460" w:lineRule="atLeast"/>
        <w:jc w:val="center"/>
        <w:rPr>
          <w:rFonts w:ascii="宋体" w:hAnsi="宋体" w:cs="宋体"/>
          <w:b/>
          <w:color w:val="auto"/>
          <w:sz w:val="24"/>
        </w:rPr>
      </w:pPr>
    </w:p>
    <w:p w14:paraId="7D5C0465">
      <w:pPr>
        <w:spacing w:line="460" w:lineRule="atLeast"/>
        <w:jc w:val="center"/>
        <w:rPr>
          <w:rFonts w:ascii="宋体" w:hAnsi="宋体" w:cs="宋体"/>
          <w:b/>
          <w:color w:val="auto"/>
          <w:sz w:val="24"/>
        </w:rPr>
      </w:pPr>
    </w:p>
    <w:p w14:paraId="50E2B0D5">
      <w:pPr>
        <w:spacing w:line="460" w:lineRule="atLeast"/>
        <w:jc w:val="center"/>
        <w:rPr>
          <w:rFonts w:ascii="宋体" w:hAnsi="宋体" w:cs="宋体"/>
          <w:b/>
          <w:color w:val="auto"/>
          <w:sz w:val="24"/>
        </w:rPr>
      </w:pPr>
    </w:p>
    <w:p w14:paraId="28DF5479">
      <w:pPr>
        <w:spacing w:line="460" w:lineRule="atLeast"/>
        <w:jc w:val="center"/>
        <w:rPr>
          <w:rFonts w:ascii="宋体" w:hAnsi="宋体" w:cs="宋体"/>
          <w:b/>
          <w:color w:val="auto"/>
          <w:sz w:val="24"/>
        </w:rPr>
      </w:pPr>
    </w:p>
    <w:p w14:paraId="27DFA10C">
      <w:pPr>
        <w:spacing w:line="460" w:lineRule="atLeast"/>
        <w:jc w:val="center"/>
        <w:rPr>
          <w:rFonts w:ascii="宋体" w:hAnsi="宋体" w:cs="宋体"/>
          <w:b/>
          <w:color w:val="auto"/>
          <w:sz w:val="24"/>
        </w:rPr>
      </w:pPr>
    </w:p>
    <w:p w14:paraId="201DF249">
      <w:pPr>
        <w:spacing w:line="460" w:lineRule="atLeast"/>
        <w:jc w:val="center"/>
        <w:rPr>
          <w:rFonts w:ascii="宋体" w:hAnsi="宋体" w:cs="宋体"/>
          <w:b/>
          <w:color w:val="auto"/>
          <w:sz w:val="24"/>
        </w:rPr>
      </w:pPr>
    </w:p>
    <w:p w14:paraId="306550A4">
      <w:pPr>
        <w:spacing w:line="460" w:lineRule="atLeast"/>
        <w:jc w:val="center"/>
        <w:rPr>
          <w:rFonts w:ascii="宋体" w:hAnsi="宋体" w:cs="宋体"/>
          <w:b/>
          <w:color w:val="auto"/>
          <w:sz w:val="24"/>
        </w:rPr>
      </w:pPr>
    </w:p>
    <w:p w14:paraId="5D8F2430">
      <w:pPr>
        <w:spacing w:line="460" w:lineRule="atLeast"/>
        <w:jc w:val="center"/>
        <w:rPr>
          <w:rFonts w:ascii="宋体" w:hAnsi="宋体" w:cs="宋体"/>
          <w:b/>
          <w:color w:val="auto"/>
          <w:sz w:val="24"/>
        </w:rPr>
      </w:pPr>
    </w:p>
    <w:p w14:paraId="0E764099">
      <w:pPr>
        <w:spacing w:line="460" w:lineRule="atLeast"/>
        <w:jc w:val="center"/>
        <w:rPr>
          <w:rFonts w:ascii="宋体" w:hAnsi="宋体" w:cs="宋体"/>
          <w:b/>
          <w:color w:val="auto"/>
          <w:sz w:val="24"/>
        </w:rPr>
      </w:pPr>
    </w:p>
    <w:p w14:paraId="0D12BE5E">
      <w:pPr>
        <w:spacing w:line="460" w:lineRule="atLeast"/>
        <w:jc w:val="center"/>
        <w:rPr>
          <w:rFonts w:ascii="宋体" w:hAnsi="宋体" w:cs="宋体"/>
          <w:b/>
          <w:color w:val="auto"/>
          <w:sz w:val="24"/>
        </w:rPr>
      </w:pPr>
    </w:p>
    <w:p w14:paraId="11AA5EF6">
      <w:pPr>
        <w:spacing w:line="460" w:lineRule="atLeast"/>
        <w:jc w:val="center"/>
        <w:rPr>
          <w:rFonts w:ascii="宋体" w:hAnsi="宋体" w:cs="宋体"/>
          <w:b/>
          <w:color w:val="auto"/>
          <w:sz w:val="24"/>
        </w:rPr>
      </w:pPr>
    </w:p>
    <w:p w14:paraId="594B6874">
      <w:pPr>
        <w:spacing w:line="460" w:lineRule="atLeast"/>
        <w:jc w:val="center"/>
        <w:rPr>
          <w:rFonts w:ascii="宋体" w:hAnsi="宋体" w:cs="宋体"/>
          <w:color w:val="auto"/>
          <w:sz w:val="24"/>
        </w:rPr>
      </w:pPr>
      <w:r>
        <w:rPr>
          <w:rFonts w:hint="eastAsia" w:ascii="宋体" w:hAnsi="宋体" w:cs="宋体"/>
          <w:b/>
          <w:color w:val="auto"/>
          <w:sz w:val="24"/>
        </w:rPr>
        <w:t>三、报价文件格式</w:t>
      </w:r>
    </w:p>
    <w:p w14:paraId="6587A4BC">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·报价文件封面格式： </w:t>
      </w:r>
    </w:p>
    <w:p w14:paraId="10C7FAF3">
      <w:pPr>
        <w:snapToGrid w:val="0"/>
        <w:spacing w:before="156" w:beforeLines="50" w:after="50" w:line="440" w:lineRule="exact"/>
        <w:rPr>
          <w:rFonts w:ascii="宋体" w:hAnsi="宋体" w:cs="宋体"/>
          <w:b/>
          <w:bCs/>
          <w:color w:val="auto"/>
          <w:sz w:val="32"/>
        </w:rPr>
      </w:pPr>
      <w:r>
        <w:rPr>
          <w:rFonts w:hint="eastAsia" w:ascii="宋体" w:hAnsi="宋体" w:cs="宋体"/>
          <w:color w:val="auto"/>
          <w:sz w:val="24"/>
        </w:rPr>
        <w:t xml:space="preserve">                                             </w:t>
      </w:r>
    </w:p>
    <w:p w14:paraId="395D4856">
      <w:pPr>
        <w:snapToGrid w:val="0"/>
        <w:spacing w:before="156" w:beforeLines="50" w:after="50" w:line="440" w:lineRule="exact"/>
        <w:rPr>
          <w:rFonts w:ascii="宋体" w:hAnsi="宋体" w:cs="宋体"/>
          <w:bCs/>
          <w:color w:val="auto"/>
          <w:sz w:val="24"/>
        </w:rPr>
      </w:pPr>
    </w:p>
    <w:p w14:paraId="50551842">
      <w:pPr>
        <w:snapToGrid w:val="0"/>
        <w:spacing w:before="156" w:beforeLines="50" w:after="50" w:line="440" w:lineRule="exact"/>
        <w:jc w:val="center"/>
        <w:rPr>
          <w:rFonts w:ascii="宋体" w:hAnsi="宋体" w:cs="宋体"/>
          <w:bCs/>
          <w:color w:val="auto"/>
          <w:sz w:val="24"/>
        </w:rPr>
      </w:pPr>
      <w:r>
        <w:rPr>
          <w:rFonts w:hint="eastAsia" w:ascii="宋体" w:hAnsi="宋体" w:cs="宋体"/>
          <w:bCs/>
          <w:color w:val="auto"/>
          <w:sz w:val="24"/>
        </w:rPr>
        <w:t>报 价 文 件</w:t>
      </w:r>
    </w:p>
    <w:p w14:paraId="43A8A3D8">
      <w:pPr>
        <w:snapToGrid w:val="0"/>
        <w:spacing w:before="156" w:beforeLines="50" w:after="50" w:line="440" w:lineRule="exact"/>
        <w:ind w:firstLine="1068" w:firstLineChars="445"/>
        <w:rPr>
          <w:rFonts w:ascii="宋体" w:hAnsi="宋体" w:cs="宋体"/>
          <w:bCs/>
          <w:color w:val="auto"/>
          <w:sz w:val="24"/>
        </w:rPr>
      </w:pPr>
      <w:r>
        <w:rPr>
          <w:rFonts w:hint="eastAsia" w:ascii="宋体" w:hAnsi="宋体" w:cs="宋体"/>
          <w:bCs/>
          <w:color w:val="auto"/>
          <w:sz w:val="24"/>
        </w:rPr>
        <w:t>项目名称：</w:t>
      </w:r>
    </w:p>
    <w:p w14:paraId="073A3E48">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项目编号：</w:t>
      </w:r>
    </w:p>
    <w:p w14:paraId="5C5DBF23">
      <w:pPr>
        <w:snapToGrid w:val="0"/>
        <w:spacing w:before="156" w:beforeLines="50" w:after="50" w:line="440" w:lineRule="exact"/>
        <w:ind w:firstLine="480" w:firstLineChars="200"/>
        <w:rPr>
          <w:rFonts w:ascii="宋体" w:hAnsi="宋体" w:cs="宋体"/>
          <w:bCs/>
          <w:color w:val="auto"/>
          <w:sz w:val="24"/>
        </w:rPr>
      </w:pPr>
      <w:r>
        <w:rPr>
          <w:rFonts w:hint="eastAsia" w:ascii="宋体" w:hAnsi="宋体" w:cs="宋体"/>
          <w:bCs/>
          <w:color w:val="auto"/>
          <w:sz w:val="24"/>
        </w:rPr>
        <w:t xml:space="preserve">    投标人名称：</w:t>
      </w:r>
    </w:p>
    <w:p w14:paraId="317318D2">
      <w:pPr>
        <w:pStyle w:val="9"/>
        <w:spacing w:before="50" w:after="50" w:line="440" w:lineRule="exact"/>
        <w:ind w:firstLine="998" w:firstLineChars="416"/>
        <w:rPr>
          <w:rFonts w:hAnsi="宋体"/>
          <w:bCs/>
          <w:color w:val="auto"/>
          <w:sz w:val="24"/>
          <w:szCs w:val="24"/>
        </w:rPr>
      </w:pPr>
      <w:r>
        <w:rPr>
          <w:rFonts w:hint="eastAsia" w:hAnsi="宋体"/>
          <w:bCs/>
          <w:color w:val="auto"/>
          <w:sz w:val="24"/>
          <w:szCs w:val="24"/>
        </w:rPr>
        <w:t>投标人地址：</w:t>
      </w:r>
    </w:p>
    <w:p w14:paraId="0EAF76CA">
      <w:pPr>
        <w:snapToGrid w:val="0"/>
        <w:spacing w:before="156" w:beforeLines="50" w:after="50" w:line="440" w:lineRule="exact"/>
        <w:rPr>
          <w:rFonts w:ascii="宋体" w:hAnsi="宋体" w:cs="宋体"/>
          <w:color w:val="auto"/>
          <w:sz w:val="24"/>
        </w:rPr>
      </w:pPr>
    </w:p>
    <w:p w14:paraId="314589D9">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                        年  月  日</w:t>
      </w:r>
    </w:p>
    <w:p w14:paraId="05E95D0A">
      <w:pPr>
        <w:snapToGrid w:val="0"/>
        <w:spacing w:before="156" w:beforeLines="50" w:after="50" w:line="440" w:lineRule="exact"/>
        <w:rPr>
          <w:rFonts w:ascii="宋体" w:hAnsi="宋体" w:cs="宋体"/>
          <w:b/>
          <w:color w:val="auto"/>
          <w:sz w:val="32"/>
          <w:szCs w:val="32"/>
        </w:rPr>
      </w:pPr>
      <w:r>
        <w:rPr>
          <w:rFonts w:hint="eastAsia" w:ascii="宋体" w:hAnsi="宋体" w:cs="宋体"/>
          <w:color w:val="auto"/>
          <w:sz w:val="24"/>
        </w:rPr>
        <w:br w:type="page"/>
      </w: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投标函格式：</w:t>
      </w:r>
    </w:p>
    <w:p w14:paraId="049F0CA2">
      <w:pPr>
        <w:pStyle w:val="15"/>
        <w:adjustRightInd w:val="0"/>
        <w:snapToGrid w:val="0"/>
        <w:spacing w:line="360" w:lineRule="auto"/>
        <w:jc w:val="center"/>
        <w:rPr>
          <w:rFonts w:hAnsi="宋体"/>
          <w:b/>
          <w:bCs/>
          <w:color w:val="auto"/>
          <w:sz w:val="32"/>
          <w:szCs w:val="32"/>
        </w:rPr>
      </w:pPr>
      <w:r>
        <w:rPr>
          <w:rFonts w:hint="eastAsia" w:hAnsi="宋体"/>
          <w:b/>
          <w:bCs/>
          <w:color w:val="auto"/>
          <w:sz w:val="32"/>
          <w:szCs w:val="32"/>
        </w:rPr>
        <w:t>投 标 函</w:t>
      </w:r>
    </w:p>
    <w:p w14:paraId="75F5F129">
      <w:pPr>
        <w:snapToGrid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784CF098">
      <w:pPr>
        <w:snapToGrid w:val="0"/>
        <w:spacing w:line="360" w:lineRule="auto"/>
        <w:ind w:firstLine="480"/>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项目的采购公告（项目编号：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（投标人名称）提交了电子投标文件。</w:t>
      </w:r>
    </w:p>
    <w:p w14:paraId="48D73A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据此函，签字代表宣布同意如下：</w:t>
      </w:r>
    </w:p>
    <w:p w14:paraId="4A5C01D2">
      <w:pPr>
        <w:pStyle w:val="2"/>
        <w:spacing w:line="360" w:lineRule="auto"/>
        <w:ind w:right="-91" w:firstLine="460" w:firstLineChars="192"/>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我方已详细审查了采购文件的全部内容及其相关补充文件</w:t>
      </w:r>
      <w:r>
        <w:rPr>
          <w:rFonts w:hint="eastAsia" w:ascii="宋体" w:hAnsi="宋体"/>
          <w:b/>
          <w:color w:val="auto"/>
          <w:sz w:val="24"/>
        </w:rPr>
        <w:t>（若有）</w:t>
      </w:r>
      <w:r>
        <w:rPr>
          <w:rFonts w:hint="eastAsia" w:ascii="宋体" w:hAnsi="宋体"/>
          <w:color w:val="auto"/>
          <w:sz w:val="24"/>
        </w:rPr>
        <w:t>，并完全清晰理解全部内容及相关的补充文件</w:t>
      </w:r>
      <w:r>
        <w:rPr>
          <w:rFonts w:hint="eastAsia" w:ascii="宋体" w:hAnsi="宋体"/>
          <w:b/>
          <w:color w:val="auto"/>
          <w:sz w:val="24"/>
        </w:rPr>
        <w:t>（若有）</w:t>
      </w:r>
      <w:r>
        <w:rPr>
          <w:rFonts w:hint="eastAsia" w:ascii="宋体" w:hAnsi="宋体"/>
          <w:color w:val="auto"/>
          <w:sz w:val="24"/>
        </w:rPr>
        <w:t>，不存在任何误解之处，同意放弃提出异议和质疑的权利。</w:t>
      </w:r>
    </w:p>
    <w:p w14:paraId="5A830767">
      <w:pPr>
        <w:spacing w:line="360" w:lineRule="auto"/>
        <w:ind w:right="-89" w:firstLine="464" w:firstLineChars="200"/>
        <w:jc w:val="left"/>
        <w:rPr>
          <w:rFonts w:ascii="宋体" w:hAnsi="宋体" w:cs="宋体"/>
          <w:color w:val="auto"/>
          <w:spacing w:val="-4"/>
          <w:sz w:val="24"/>
        </w:rPr>
      </w:pPr>
      <w:r>
        <w:rPr>
          <w:rFonts w:hint="eastAsia" w:ascii="宋体" w:hAnsi="宋体" w:cs="宋体"/>
          <w:color w:val="auto"/>
          <w:spacing w:val="-4"/>
          <w:sz w:val="24"/>
        </w:rPr>
        <w:t>2</w:t>
      </w:r>
      <w:r>
        <w:rPr>
          <w:rFonts w:hint="eastAsia" w:ascii="宋体" w:hAnsi="宋体" w:cs="宋体"/>
          <w:color w:val="auto"/>
          <w:spacing w:val="-4"/>
          <w:sz w:val="24"/>
          <w:lang w:val="en-US" w:eastAsia="zh-CN"/>
        </w:rPr>
        <w:t>.</w:t>
      </w:r>
      <w:r>
        <w:rPr>
          <w:rFonts w:hint="eastAsia" w:ascii="宋体" w:hAnsi="宋体" w:cs="宋体"/>
          <w:color w:val="auto"/>
          <w:spacing w:val="-4"/>
          <w:sz w:val="24"/>
        </w:rPr>
        <w:t>我方遵守《中华人民共和国政府采购法》及相关法律法规的规定。同意采购文件中所提到的无效标条款，并服从有关开标现场的会议纪律。否则，同意被废除投标资格。</w:t>
      </w:r>
    </w:p>
    <w:p w14:paraId="23171828">
      <w:pPr>
        <w:spacing w:line="360" w:lineRule="auto"/>
        <w:ind w:firstLine="464" w:firstLineChars="200"/>
        <w:rPr>
          <w:rFonts w:ascii="宋体" w:hAnsi="宋体" w:cs="宋体"/>
          <w:color w:val="auto"/>
          <w:spacing w:val="-4"/>
          <w:sz w:val="24"/>
        </w:rPr>
      </w:pPr>
      <w:r>
        <w:rPr>
          <w:rFonts w:hint="eastAsia" w:ascii="宋体" w:hAnsi="宋体" w:cs="宋体"/>
          <w:color w:val="auto"/>
          <w:spacing w:val="-4"/>
          <w:sz w:val="24"/>
        </w:rPr>
        <w:t>3</w:t>
      </w:r>
      <w:r>
        <w:rPr>
          <w:rFonts w:hint="eastAsia" w:ascii="宋体" w:hAnsi="宋体" w:cs="宋体"/>
          <w:color w:val="auto"/>
          <w:spacing w:val="-4"/>
          <w:sz w:val="24"/>
          <w:lang w:val="en-US" w:eastAsia="zh-CN"/>
        </w:rPr>
        <w:t>.</w:t>
      </w:r>
      <w:r>
        <w:rPr>
          <w:rFonts w:hint="eastAsia" w:ascii="宋体" w:hAnsi="宋体" w:cs="宋体"/>
          <w:color w:val="auto"/>
          <w:spacing w:val="-4"/>
          <w:sz w:val="24"/>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6D6B49E">
      <w:pPr>
        <w:spacing w:line="360" w:lineRule="auto"/>
        <w:ind w:firstLine="464" w:firstLineChars="200"/>
        <w:rPr>
          <w:rFonts w:ascii="宋体" w:hAnsi="宋体" w:cs="宋体"/>
          <w:color w:val="auto"/>
          <w:spacing w:val="-4"/>
          <w:sz w:val="24"/>
        </w:rPr>
      </w:pPr>
      <w:r>
        <w:rPr>
          <w:rFonts w:hint="eastAsia" w:ascii="宋体" w:hAnsi="宋体" w:cs="宋体"/>
          <w:color w:val="auto"/>
          <w:spacing w:val="-4"/>
          <w:sz w:val="24"/>
        </w:rPr>
        <w:t>4</w:t>
      </w:r>
      <w:r>
        <w:rPr>
          <w:rFonts w:hint="eastAsia" w:ascii="宋体" w:hAnsi="宋体" w:cs="宋体"/>
          <w:color w:val="auto"/>
          <w:spacing w:val="-4"/>
          <w:sz w:val="24"/>
          <w:lang w:val="en-US" w:eastAsia="zh-CN"/>
        </w:rPr>
        <w:t>.</w:t>
      </w:r>
      <w:r>
        <w:rPr>
          <w:rFonts w:hint="eastAsia" w:ascii="宋体" w:hAnsi="宋体" w:cs="宋体"/>
          <w:color w:val="auto"/>
          <w:spacing w:val="-4"/>
          <w:sz w:val="24"/>
        </w:rPr>
        <w:t>投标有效期为自开标之日起</w:t>
      </w:r>
      <w:r>
        <w:rPr>
          <w:rFonts w:hint="eastAsia" w:ascii="宋体" w:hAnsi="宋体" w:cs="宋体"/>
          <w:color w:val="auto"/>
          <w:spacing w:val="-4"/>
          <w:sz w:val="24"/>
          <w:u w:val="single"/>
        </w:rPr>
        <w:t>60</w:t>
      </w:r>
      <w:r>
        <w:rPr>
          <w:rFonts w:hint="eastAsia" w:ascii="宋体" w:hAnsi="宋体" w:cs="宋体"/>
          <w:color w:val="auto"/>
          <w:spacing w:val="-4"/>
          <w:sz w:val="24"/>
        </w:rPr>
        <w:t>天内，如在投标有效期内撤回投标，我方同意被废除投标资格。</w:t>
      </w:r>
    </w:p>
    <w:p w14:paraId="6D33E9D7">
      <w:pPr>
        <w:spacing w:line="360" w:lineRule="auto"/>
        <w:ind w:firstLine="464" w:firstLineChars="200"/>
        <w:rPr>
          <w:rFonts w:ascii="宋体" w:hAnsi="宋体" w:cs="宋体"/>
          <w:color w:val="auto"/>
          <w:sz w:val="24"/>
        </w:rPr>
      </w:pPr>
      <w:r>
        <w:rPr>
          <w:rFonts w:hint="eastAsia" w:ascii="宋体" w:hAnsi="宋体" w:cs="宋体"/>
          <w:color w:val="auto"/>
          <w:spacing w:val="-4"/>
          <w:sz w:val="24"/>
        </w:rPr>
        <w:t>5</w:t>
      </w:r>
      <w:r>
        <w:rPr>
          <w:rFonts w:hint="eastAsia" w:ascii="宋体" w:hAnsi="宋体" w:cs="宋体"/>
          <w:color w:val="auto"/>
          <w:spacing w:val="-4"/>
          <w:sz w:val="24"/>
          <w:lang w:val="en-US" w:eastAsia="zh-CN"/>
        </w:rPr>
        <w:t>.</w:t>
      </w:r>
      <w:r>
        <w:rPr>
          <w:rFonts w:hint="eastAsia" w:ascii="宋体" w:hAnsi="宋体" w:cs="宋体"/>
          <w:color w:val="auto"/>
          <w:sz w:val="24"/>
        </w:rPr>
        <w:t>若我方中标，则直至合同履行完毕为止，本投标文件有效。</w:t>
      </w:r>
    </w:p>
    <w:p w14:paraId="5D4CE4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与本投标有关的一切正式往来信函请寄：</w:t>
      </w:r>
    </w:p>
    <w:p w14:paraId="55BD8FD3">
      <w:pPr>
        <w:snapToGrid w:val="0"/>
        <w:spacing w:line="440" w:lineRule="exact"/>
        <w:rPr>
          <w:rFonts w:ascii="宋体" w:hAnsi="宋体" w:cs="宋体"/>
          <w:color w:val="auto"/>
          <w:sz w:val="24"/>
        </w:rPr>
      </w:pPr>
    </w:p>
    <w:p w14:paraId="371503EB">
      <w:pPr>
        <w:snapToGrid w:val="0"/>
        <w:spacing w:line="440" w:lineRule="exac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邮编：__________   电话：______________</w:t>
      </w:r>
    </w:p>
    <w:p w14:paraId="0621FF3A">
      <w:pPr>
        <w:snapToGrid w:val="0"/>
        <w:spacing w:line="440" w:lineRule="exact"/>
        <w:rPr>
          <w:rFonts w:ascii="宋体" w:hAnsi="宋体" w:cs="宋体"/>
          <w:color w:val="auto"/>
          <w:sz w:val="24"/>
        </w:rPr>
      </w:pPr>
      <w:r>
        <w:rPr>
          <w:rFonts w:hint="eastAsia" w:ascii="宋体" w:hAnsi="宋体" w:cs="宋体"/>
          <w:color w:val="auto"/>
          <w:sz w:val="24"/>
        </w:rPr>
        <w:t>传真：______________投标人代表姓名：___________  职务：</w:t>
      </w:r>
      <w:r>
        <w:rPr>
          <w:rFonts w:hint="eastAsia" w:ascii="宋体" w:hAnsi="宋体" w:cs="宋体"/>
          <w:color w:val="auto"/>
          <w:sz w:val="24"/>
          <w:u w:val="single"/>
        </w:rPr>
        <w:t xml:space="preserve">              </w:t>
      </w:r>
    </w:p>
    <w:p w14:paraId="2C5E6809">
      <w:pPr>
        <w:snapToGrid w:val="0"/>
        <w:spacing w:line="440" w:lineRule="exact"/>
        <w:rPr>
          <w:rFonts w:ascii="宋体" w:hAnsi="宋体" w:cs="宋体"/>
          <w:color w:val="auto"/>
          <w:sz w:val="24"/>
        </w:rPr>
      </w:pPr>
      <w:r>
        <w:rPr>
          <w:rFonts w:hint="eastAsia" w:ascii="宋体" w:hAnsi="宋体" w:cs="宋体"/>
          <w:color w:val="auto"/>
          <w:sz w:val="24"/>
        </w:rPr>
        <w:t>投标人名称(公章):___________________</w:t>
      </w:r>
    </w:p>
    <w:p w14:paraId="5988C2D9">
      <w:pPr>
        <w:snapToGrid w:val="0"/>
        <w:spacing w:line="440" w:lineRule="exac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银行账号：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E55F1DC">
      <w:pPr>
        <w:adjustRightInd w:val="0"/>
        <w:spacing w:line="440" w:lineRule="exact"/>
        <w:rPr>
          <w:rFonts w:ascii="宋体" w:hAnsi="宋体" w:cs="宋体"/>
          <w:color w:val="auto"/>
          <w:sz w:val="24"/>
        </w:rPr>
      </w:pPr>
      <w:r>
        <w:rPr>
          <w:rFonts w:hint="eastAsia" w:ascii="宋体" w:hAnsi="宋体" w:cs="宋体"/>
          <w:color w:val="auto"/>
          <w:sz w:val="24"/>
        </w:rPr>
        <w:t>法定代表人签字或盖章:___________</w:t>
      </w:r>
    </w:p>
    <w:p w14:paraId="763A8C70">
      <w:pPr>
        <w:adjustRightInd w:val="0"/>
        <w:spacing w:line="440" w:lineRule="exact"/>
        <w:rPr>
          <w:rFonts w:ascii="宋体" w:hAnsi="宋体" w:cs="宋体"/>
          <w:b/>
          <w:color w:val="auto"/>
          <w:sz w:val="24"/>
        </w:rPr>
      </w:pPr>
      <w:r>
        <w:rPr>
          <w:rFonts w:hint="eastAsia" w:ascii="宋体" w:hAnsi="宋体" w:cs="宋体"/>
          <w:color w:val="auto"/>
          <w:sz w:val="24"/>
        </w:rPr>
        <w:t>日期:_____年___月___日</w:t>
      </w:r>
    </w:p>
    <w:p w14:paraId="36174183">
      <w:pPr>
        <w:snapToGrid w:val="0"/>
        <w:spacing w:line="360" w:lineRule="auto"/>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w:t>
      </w:r>
      <w:r>
        <w:rPr>
          <w:rFonts w:hint="eastAsia" w:ascii="宋体" w:hAnsi="宋体" w:cs="宋体"/>
          <w:b/>
          <w:color w:val="auto"/>
          <w:sz w:val="24"/>
          <w:lang w:val="en-US" w:eastAsia="zh-CN"/>
        </w:rPr>
        <w:t>.</w:t>
      </w:r>
      <w:r>
        <w:rPr>
          <w:rFonts w:hint="eastAsia" w:ascii="宋体" w:hAnsi="宋体" w:cs="宋体"/>
          <w:b/>
          <w:color w:val="auto"/>
          <w:sz w:val="24"/>
        </w:rPr>
        <w:t>开标一览表格式</w:t>
      </w:r>
    </w:p>
    <w:p w14:paraId="77002323">
      <w:pPr>
        <w:jc w:val="center"/>
        <w:rPr>
          <w:rFonts w:ascii="宋体" w:hAnsi="宋体" w:cs="宋体"/>
          <w:b/>
          <w:color w:val="auto"/>
          <w:sz w:val="32"/>
          <w:szCs w:val="32"/>
        </w:rPr>
      </w:pPr>
      <w:r>
        <w:rPr>
          <w:rFonts w:hint="eastAsia" w:ascii="宋体" w:hAnsi="宋体" w:cs="宋体"/>
          <w:b/>
          <w:color w:val="auto"/>
          <w:sz w:val="32"/>
          <w:szCs w:val="32"/>
        </w:rPr>
        <w:t>开标一览表</w:t>
      </w:r>
    </w:p>
    <w:p w14:paraId="5DE37A3B">
      <w:pPr>
        <w:spacing w:before="156" w:beforeLines="50" w:line="440" w:lineRule="exact"/>
        <w:rPr>
          <w:rFonts w:hint="eastAsia" w:ascii="宋体" w:hAnsi="宋体" w:eastAsia="宋体" w:cs="宋体"/>
          <w:b/>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ZSJS-2025-016</w:t>
      </w:r>
    </w:p>
    <w:tbl>
      <w:tblPr>
        <w:tblStyle w:val="35"/>
        <w:tblW w:w="923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2"/>
        <w:gridCol w:w="7055"/>
      </w:tblGrid>
      <w:tr w14:paraId="7FA51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182" w:type="dxa"/>
            <w:tcBorders>
              <w:top w:val="single" w:color="auto" w:sz="4" w:space="0"/>
              <w:left w:val="single" w:color="auto" w:sz="4" w:space="0"/>
              <w:bottom w:val="single" w:color="auto" w:sz="4" w:space="0"/>
              <w:right w:val="single" w:color="auto" w:sz="4" w:space="0"/>
            </w:tcBorders>
            <w:vAlign w:val="center"/>
          </w:tcPr>
          <w:p w14:paraId="6E82490E">
            <w:pPr>
              <w:adjustRightInd w:val="0"/>
              <w:spacing w:line="440" w:lineRule="exact"/>
              <w:jc w:val="center"/>
              <w:rPr>
                <w:rFonts w:ascii="宋体" w:hAnsi="宋体" w:cs="宋体"/>
                <w:color w:val="auto"/>
                <w:sz w:val="24"/>
              </w:rPr>
            </w:pPr>
            <w:r>
              <w:rPr>
                <w:rFonts w:hint="eastAsia" w:ascii="宋体" w:hAnsi="宋体" w:cs="宋体"/>
                <w:color w:val="auto"/>
                <w:sz w:val="24"/>
              </w:rPr>
              <w:t>项目名称</w:t>
            </w:r>
          </w:p>
        </w:tc>
        <w:tc>
          <w:tcPr>
            <w:tcW w:w="7055" w:type="dxa"/>
            <w:tcBorders>
              <w:top w:val="single" w:color="auto" w:sz="4" w:space="0"/>
              <w:left w:val="single" w:color="auto" w:sz="4" w:space="0"/>
              <w:bottom w:val="single" w:color="auto" w:sz="4" w:space="0"/>
              <w:right w:val="single" w:color="000000" w:sz="4" w:space="0"/>
            </w:tcBorders>
            <w:vAlign w:val="center"/>
          </w:tcPr>
          <w:p w14:paraId="185049EC">
            <w:pPr>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嵊泗县洋山镇综合管理服务采购项目</w:t>
            </w:r>
          </w:p>
        </w:tc>
      </w:tr>
      <w:tr w14:paraId="232B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2182" w:type="dxa"/>
            <w:tcBorders>
              <w:top w:val="single" w:color="auto" w:sz="4" w:space="0"/>
              <w:left w:val="single" w:color="auto" w:sz="4" w:space="0"/>
              <w:bottom w:val="single" w:color="auto" w:sz="4" w:space="0"/>
              <w:right w:val="single" w:color="auto" w:sz="4" w:space="0"/>
            </w:tcBorders>
            <w:vAlign w:val="center"/>
          </w:tcPr>
          <w:p w14:paraId="696A1D3F">
            <w:pPr>
              <w:spacing w:line="440" w:lineRule="atLeast"/>
              <w:jc w:val="center"/>
              <w:rPr>
                <w:rFonts w:ascii="宋体" w:hAnsi="宋体" w:cs="宋体"/>
                <w:color w:val="auto"/>
                <w:kern w:val="0"/>
                <w:sz w:val="24"/>
              </w:rPr>
            </w:pPr>
            <w:r>
              <w:rPr>
                <w:rFonts w:hint="eastAsia" w:ascii="宋体" w:hAnsi="宋体" w:cs="宋体"/>
                <w:color w:val="auto"/>
                <w:sz w:val="24"/>
              </w:rPr>
              <w:t>总投标报价</w:t>
            </w:r>
          </w:p>
        </w:tc>
        <w:tc>
          <w:tcPr>
            <w:tcW w:w="7055" w:type="dxa"/>
            <w:tcBorders>
              <w:top w:val="single" w:color="auto" w:sz="4" w:space="0"/>
              <w:left w:val="single" w:color="auto" w:sz="4" w:space="0"/>
              <w:bottom w:val="single" w:color="auto" w:sz="4" w:space="0"/>
              <w:right w:val="single" w:color="000000" w:sz="4" w:space="0"/>
            </w:tcBorders>
            <w:vAlign w:val="center"/>
          </w:tcPr>
          <w:p w14:paraId="43BCDC0F">
            <w:pPr>
              <w:adjustRightInd w:val="0"/>
              <w:spacing w:line="440" w:lineRule="exact"/>
              <w:ind w:firstLine="240" w:firstLineChars="100"/>
              <w:jc w:val="left"/>
              <w:rPr>
                <w:rFonts w:ascii="宋体" w:hAnsi="宋体" w:cs="宋体"/>
                <w:color w:val="auto"/>
                <w:sz w:val="24"/>
                <w:u w:val="single"/>
              </w:rPr>
            </w:pPr>
            <w:r>
              <w:rPr>
                <w:rFonts w:hint="eastAsia" w:ascii="宋体" w:hAnsi="宋体" w:cs="宋体"/>
                <w:color w:val="auto"/>
                <w:sz w:val="24"/>
              </w:rPr>
              <w:t>大写（人民币）：</w:t>
            </w:r>
            <w:r>
              <w:rPr>
                <w:rFonts w:hint="eastAsia" w:ascii="宋体" w:hAnsi="宋体" w:cs="宋体"/>
                <w:color w:val="auto"/>
                <w:sz w:val="24"/>
                <w:u w:val="single"/>
              </w:rPr>
              <w:t xml:space="preserve">                  </w:t>
            </w:r>
          </w:p>
          <w:p w14:paraId="7D227669">
            <w:pPr>
              <w:adjustRightInd w:val="0"/>
              <w:spacing w:line="440" w:lineRule="exact"/>
              <w:ind w:firstLine="240" w:firstLineChars="100"/>
              <w:jc w:val="left"/>
              <w:rPr>
                <w:rFonts w:ascii="宋体" w:hAnsi="宋体" w:cs="宋体"/>
                <w:color w:val="auto"/>
                <w:sz w:val="24"/>
              </w:rPr>
            </w:pPr>
            <w:r>
              <w:rPr>
                <w:rFonts w:hint="eastAsia" w:ascii="宋体" w:hAnsi="宋体" w:cs="宋体"/>
                <w:color w:val="auto"/>
                <w:sz w:val="24"/>
              </w:rPr>
              <w:t xml:space="preserve">小写：￥ </w:t>
            </w:r>
            <w:r>
              <w:rPr>
                <w:rFonts w:hint="eastAsia" w:ascii="宋体" w:hAnsi="宋体" w:cs="宋体"/>
                <w:color w:val="auto"/>
                <w:sz w:val="24"/>
                <w:u w:val="single"/>
              </w:rPr>
              <w:t xml:space="preserve">                  </w:t>
            </w:r>
          </w:p>
        </w:tc>
      </w:tr>
      <w:tr w14:paraId="2D01D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182" w:type="dxa"/>
            <w:tcBorders>
              <w:top w:val="single" w:color="auto" w:sz="4" w:space="0"/>
              <w:left w:val="single" w:color="auto" w:sz="4" w:space="0"/>
              <w:bottom w:val="single" w:color="auto" w:sz="4" w:space="0"/>
              <w:right w:val="single" w:color="auto" w:sz="4" w:space="0"/>
            </w:tcBorders>
            <w:vAlign w:val="center"/>
          </w:tcPr>
          <w:p w14:paraId="6924FE49">
            <w:pPr>
              <w:adjustRightInd w:val="0"/>
              <w:spacing w:line="440" w:lineRule="exact"/>
              <w:jc w:val="center"/>
              <w:rPr>
                <w:rFonts w:ascii="宋体" w:hAnsi="宋体" w:cs="宋体"/>
                <w:color w:val="auto"/>
                <w:sz w:val="24"/>
              </w:rPr>
            </w:pPr>
            <w:r>
              <w:rPr>
                <w:rFonts w:hint="eastAsia" w:ascii="宋体" w:hAnsi="宋体" w:cs="宋体"/>
                <w:color w:val="auto"/>
                <w:sz w:val="24"/>
              </w:rPr>
              <w:t>备注</w:t>
            </w:r>
          </w:p>
        </w:tc>
        <w:tc>
          <w:tcPr>
            <w:tcW w:w="7055" w:type="dxa"/>
            <w:tcBorders>
              <w:top w:val="single" w:color="auto" w:sz="4" w:space="0"/>
              <w:left w:val="single" w:color="auto" w:sz="4" w:space="0"/>
              <w:bottom w:val="single" w:color="auto" w:sz="4" w:space="0"/>
              <w:right w:val="single" w:color="000000" w:sz="4" w:space="0"/>
            </w:tcBorders>
            <w:vAlign w:val="center"/>
          </w:tcPr>
          <w:p w14:paraId="3075016E">
            <w:pPr>
              <w:adjustRightInd w:val="0"/>
              <w:spacing w:line="440" w:lineRule="exact"/>
              <w:ind w:firstLine="240" w:firstLineChars="100"/>
              <w:rPr>
                <w:rFonts w:ascii="宋体" w:hAnsi="宋体" w:cs="宋体"/>
                <w:color w:val="auto"/>
                <w:sz w:val="24"/>
              </w:rPr>
            </w:pPr>
          </w:p>
        </w:tc>
      </w:tr>
    </w:tbl>
    <w:p w14:paraId="72286200">
      <w:pPr>
        <w:adjustRightInd w:val="0"/>
        <w:spacing w:line="440" w:lineRule="exact"/>
        <w:rPr>
          <w:rFonts w:ascii="宋体" w:hAnsi="宋体" w:cs="宋体"/>
          <w:color w:val="auto"/>
          <w:szCs w:val="21"/>
        </w:rPr>
      </w:pPr>
      <w:r>
        <w:rPr>
          <w:rFonts w:hint="eastAsia" w:ascii="宋体" w:hAnsi="宋体" w:cs="宋体"/>
          <w:b/>
          <w:bCs/>
          <w:color w:val="auto"/>
          <w:szCs w:val="21"/>
        </w:rPr>
        <w:t>注</w:t>
      </w: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按以上</w:t>
      </w:r>
      <w:r>
        <w:rPr>
          <w:rFonts w:hint="eastAsia" w:ascii="宋体" w:hAnsi="宋体" w:cs="宋体"/>
          <w:color w:val="auto"/>
          <w:kern w:val="0"/>
          <w:szCs w:val="21"/>
        </w:rPr>
        <w:t>表格形式填写。</w:t>
      </w:r>
    </w:p>
    <w:p w14:paraId="71727B50">
      <w:pPr>
        <w:adjustRightInd w:val="0"/>
        <w:spacing w:line="440" w:lineRule="exact"/>
        <w:ind w:firstLine="420" w:firstLineChars="200"/>
        <w:rPr>
          <w:rFonts w:ascii="宋体" w:hAnsi="宋体" w:cs="宋体"/>
          <w:b/>
          <w:bCs/>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color w:val="auto"/>
        </w:rPr>
        <w:t>投标报价</w:t>
      </w:r>
      <w:r>
        <w:rPr>
          <w:rFonts w:hint="eastAsia"/>
          <w:b/>
          <w:bCs/>
          <w:color w:val="auto"/>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r>
        <w:rPr>
          <w:rFonts w:hint="eastAsia" w:hAnsi="宋体"/>
          <w:b/>
          <w:bCs/>
          <w:color w:val="auto"/>
          <w:kern w:val="0"/>
          <w:szCs w:val="21"/>
        </w:rPr>
        <w:t>。</w:t>
      </w:r>
    </w:p>
    <w:p w14:paraId="35E79A09">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投标人如果需要对报价、服务或其它内容加以说明，可在备注一栏中填写。</w:t>
      </w:r>
    </w:p>
    <w:p w14:paraId="5AE29F4F">
      <w:pPr>
        <w:spacing w:line="380" w:lineRule="exact"/>
        <w:rPr>
          <w:rFonts w:ascii="宋体" w:hAnsi="宋体" w:cs="宋体"/>
          <w:color w:val="auto"/>
          <w:sz w:val="24"/>
        </w:rPr>
      </w:pPr>
    </w:p>
    <w:p w14:paraId="7E029C06">
      <w:pPr>
        <w:pStyle w:val="3"/>
        <w:rPr>
          <w:rFonts w:ascii="宋体" w:hAnsi="宋体" w:eastAsia="宋体"/>
          <w:color w:val="auto"/>
        </w:rPr>
      </w:pPr>
    </w:p>
    <w:p w14:paraId="0C8DBE88">
      <w:pPr>
        <w:spacing w:line="380" w:lineRule="exact"/>
        <w:rPr>
          <w:rFonts w:ascii="宋体" w:hAnsi="宋体" w:cs="宋体"/>
          <w:color w:val="auto"/>
          <w:sz w:val="24"/>
        </w:rPr>
      </w:pPr>
      <w:r>
        <w:rPr>
          <w:rFonts w:hint="eastAsia" w:ascii="宋体" w:hAnsi="宋体" w:cs="宋体"/>
          <w:color w:val="auto"/>
          <w:sz w:val="24"/>
        </w:rPr>
        <w:t>投标人全称(加盖公章)：</w:t>
      </w:r>
      <w:r>
        <w:rPr>
          <w:rFonts w:hint="eastAsia" w:ascii="宋体" w:hAnsi="宋体" w:cs="宋体"/>
          <w:color w:val="auto"/>
          <w:sz w:val="24"/>
          <w:u w:val="single"/>
        </w:rPr>
        <w:t xml:space="preserve">              </w:t>
      </w:r>
    </w:p>
    <w:p w14:paraId="55D770C0">
      <w:pPr>
        <w:spacing w:line="380" w:lineRule="exact"/>
        <w:rPr>
          <w:rFonts w:ascii="宋体" w:hAnsi="宋体" w:cs="宋体"/>
          <w:color w:val="auto"/>
          <w:sz w:val="24"/>
          <w:u w:val="single"/>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0C19B317">
      <w:pPr>
        <w:spacing w:line="380" w:lineRule="exact"/>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0819DD1">
      <w:pPr>
        <w:pStyle w:val="9"/>
        <w:ind w:left="0" w:leftChars="0" w:firstLine="0" w:firstLineChars="0"/>
        <w:rPr>
          <w:rFonts w:hint="eastAsia"/>
        </w:rPr>
      </w:pPr>
    </w:p>
    <w:p w14:paraId="4BDD13EB">
      <w:pPr>
        <w:pStyle w:val="9"/>
        <w:ind w:left="0" w:leftChars="0" w:firstLine="0" w:firstLineChars="0"/>
        <w:rPr>
          <w:rFonts w:hint="eastAsia"/>
        </w:rPr>
      </w:pPr>
    </w:p>
    <w:p w14:paraId="1BF39B6C">
      <w:pPr>
        <w:pStyle w:val="9"/>
        <w:ind w:left="0" w:leftChars="0" w:firstLine="0" w:firstLineChars="0"/>
        <w:rPr>
          <w:rFonts w:hint="eastAsia"/>
        </w:rPr>
      </w:pPr>
    </w:p>
    <w:p w14:paraId="00211B06">
      <w:pPr>
        <w:pStyle w:val="9"/>
        <w:ind w:left="0" w:leftChars="0" w:firstLine="0" w:firstLineChars="0"/>
        <w:rPr>
          <w:rFonts w:hint="eastAsia"/>
        </w:rPr>
      </w:pPr>
    </w:p>
    <w:p w14:paraId="48967F73">
      <w:pPr>
        <w:pStyle w:val="9"/>
        <w:ind w:left="0" w:leftChars="0" w:firstLine="0" w:firstLineChars="0"/>
        <w:rPr>
          <w:rFonts w:hint="eastAsia"/>
        </w:rPr>
      </w:pPr>
    </w:p>
    <w:p w14:paraId="2CE766EB">
      <w:pPr>
        <w:pStyle w:val="9"/>
        <w:ind w:left="0" w:leftChars="0" w:firstLine="0" w:firstLineChars="0"/>
        <w:rPr>
          <w:rFonts w:hint="eastAsia"/>
        </w:rPr>
      </w:pPr>
    </w:p>
    <w:p w14:paraId="2AEC2903">
      <w:pPr>
        <w:pStyle w:val="9"/>
        <w:ind w:left="0" w:leftChars="0" w:firstLine="0" w:firstLineChars="0"/>
        <w:rPr>
          <w:rFonts w:hint="eastAsia"/>
        </w:rPr>
      </w:pPr>
    </w:p>
    <w:p w14:paraId="5575734F">
      <w:pPr>
        <w:pStyle w:val="9"/>
        <w:ind w:left="0" w:leftChars="0" w:firstLine="0" w:firstLineChars="0"/>
        <w:rPr>
          <w:rFonts w:hint="eastAsia"/>
        </w:rPr>
      </w:pPr>
    </w:p>
    <w:p w14:paraId="212DC77C">
      <w:pPr>
        <w:pStyle w:val="9"/>
        <w:ind w:left="0" w:leftChars="0" w:firstLine="0" w:firstLineChars="0"/>
        <w:rPr>
          <w:rFonts w:hint="eastAsia"/>
        </w:rPr>
      </w:pPr>
    </w:p>
    <w:p w14:paraId="7F7C8CE9">
      <w:pPr>
        <w:pStyle w:val="9"/>
        <w:ind w:left="0" w:leftChars="0" w:firstLine="0" w:firstLineChars="0"/>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3、报价明细（格式自拟）</w:t>
      </w:r>
    </w:p>
    <w:sectPr>
      <w:pgSz w:w="11906" w:h="16838"/>
      <w:pgMar w:top="1134" w:right="1361" w:bottom="1134" w:left="136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4FE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6E5">
    <w:pPr>
      <w:pStyle w:val="19"/>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14C86">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pLVdcBAACyAwAADgAAAGRycy9lMm9Eb2MueG1srVPNjtMwEL4j8Q6W&#10;7zTZaoW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MycsXfj5+7fzj1/nn1/Z&#10;dbKnD1BR1X2gOhxe+yGVTnmgZFI9tNGmP+lhtE/mni7mqgGZTIdWy9WqpC1Je/OCcIqH4yECvlHe&#10;shTUPNLtZVPF8R3gWDqXpG7O32ljKC8q4/5KEGbKFIn7yDFFOOyGifjONyfSQ8+A+nQ+fuGspyGo&#10;uaOZ58y8deRxmpc5iHOwmwPhJB2sOXI2hreY5yoRgfDqgMQuk06tx34TI7rKLHsauzQrf65z1c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WaS1XXAQAAsgMAAA4AAAAAAAAAAQAgAAAA&#10;HgEAAGRycy9lMm9Eb2MueG1sUEsFBgAAAAAGAAYAWQEAAGcFAAAAAA==&#10;">
              <v:fill on="f" focussize="0,0"/>
              <v:stroke on="f"/>
              <v:imagedata o:title=""/>
              <o:lock v:ext="edit" aspectratio="f"/>
              <v:textbox inset="0mm,0mm,0mm,0mm" style="mso-fit-shape-to-text:t;">
                <w:txbxContent>
                  <w:p w14:paraId="42414C8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E89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F344">
    <w:pPr>
      <w:snapToGrid w:val="0"/>
      <w:jc w:val="center"/>
      <w:rPr>
        <w:rFonts w:ascii="宋体" w:hAnsi="宋体"/>
      </w:rPr>
    </w:pPr>
    <w:r>
      <w:rPr>
        <w:rFonts w:hint="eastAsia" w:ascii="宋体" w:hAnsi="宋体" w:cs="宋体"/>
        <w:kern w:val="2"/>
        <w:sz w:val="18"/>
        <w:szCs w:val="18"/>
        <w:lang w:val="en-US" w:eastAsia="zh-CN" w:bidi="ar-SA"/>
      </w:rPr>
      <w:t>嵊泗县洋山镇综合管理服务采购项目</w:t>
    </w:r>
    <w:r>
      <w:rPr>
        <w:rFonts w:hint="eastAsia" w:ascii="宋体" w:hAnsi="宋体" w:eastAsia="宋体" w:cs="宋体"/>
        <w:kern w:val="2"/>
        <w:sz w:val="18"/>
        <w:szCs w:val="18"/>
        <w:lang w:val="en-US" w:eastAsia="zh-CN" w:bidi="ar-S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9220E"/>
    <w:multiLevelType w:val="singleLevel"/>
    <w:tmpl w:val="8B89220E"/>
    <w:lvl w:ilvl="0" w:tentative="0">
      <w:start w:val="1"/>
      <w:numFmt w:val="decimal"/>
      <w:suff w:val="nothing"/>
      <w:lvlText w:val="%1、"/>
      <w:lvlJc w:val="left"/>
    </w:lvl>
  </w:abstractNum>
  <w:abstractNum w:abstractNumId="1">
    <w:nsid w:val="A28AB763"/>
    <w:multiLevelType w:val="singleLevel"/>
    <w:tmpl w:val="A28AB763"/>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71"/>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00000002"/>
    <w:multiLevelType w:val="singleLevel"/>
    <w:tmpl w:val="00000002"/>
    <w:lvl w:ilvl="0" w:tentative="0">
      <w:start w:val="1"/>
      <w:numFmt w:val="decimal"/>
      <w:pStyle w:val="8"/>
      <w:lvlText w:val="%1."/>
      <w:lvlJc w:val="left"/>
      <w:pPr>
        <w:tabs>
          <w:tab w:val="left" w:pos="360"/>
        </w:tabs>
        <w:ind w:left="360" w:hanging="360"/>
      </w:pPr>
    </w:lvl>
  </w:abstractNum>
  <w:abstractNum w:abstractNumId="4">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5B6699"/>
    <w:multiLevelType w:val="multilevel"/>
    <w:tmpl w:val="515B6699"/>
    <w:lvl w:ilvl="0" w:tentative="0">
      <w:start w:val="1"/>
      <w:numFmt w:val="decimal"/>
      <w:suff w:val="nothing"/>
      <w:lvlText w:val="第%1章 "/>
      <w:lvlJc w:val="left"/>
      <w:pPr>
        <w:ind w:left="432" w:hanging="432"/>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lvlText w:val="%1.%2.%3.%4.%5."/>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lvlText w:val="%1.%2.%3.%4.%5.%6."/>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lvlText w:val="%1.%2.%3.%4.%5.%6.%7."/>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b/>
      </w:rPr>
    </w:lvl>
  </w:abstractNum>
  <w:abstractNum w:abstractNumId="6">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62"/>
      <w:lvlText w:val="%1.%2"/>
      <w:lvlJc w:val="left"/>
      <w:pPr>
        <w:ind w:left="1144" w:hanging="576"/>
      </w:pPr>
      <w:rPr>
        <w:rFonts w:hint="eastAsia"/>
      </w:rPr>
    </w:lvl>
    <w:lvl w:ilvl="2" w:tentative="0">
      <w:start w:val="1"/>
      <w:numFmt w:val="decimal"/>
      <w:pStyle w:val="63"/>
      <w:lvlText w:val="%1.%2.%3"/>
      <w:lvlJc w:val="left"/>
      <w:pPr>
        <w:ind w:left="720" w:hanging="720"/>
      </w:pPr>
      <w:rPr>
        <w:rFonts w:hint="eastAsia"/>
      </w:rPr>
    </w:lvl>
    <w:lvl w:ilvl="3" w:tentative="0">
      <w:start w:val="1"/>
      <w:numFmt w:val="decimal"/>
      <w:pStyle w:val="76"/>
      <w:lvlText w:val="%1.%2.%3.%4"/>
      <w:lvlJc w:val="left"/>
      <w:pPr>
        <w:ind w:left="864" w:hanging="580"/>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num w:numId="1">
    <w:abstractNumId w:val="5"/>
  </w:num>
  <w:num w:numId="2">
    <w:abstractNumId w:val="3"/>
  </w:num>
  <w:num w:numId="3">
    <w:abstractNumId w:val="6"/>
  </w:num>
  <w:num w:numId="4">
    <w:abstractNumId w:val="2"/>
  </w:num>
  <w:num w:numId="5">
    <w:abstractNumId w:val="4"/>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zU4YjVjZWRlMTlkNzA5ZmRkYzkyY2RhMzkyOWIifQ=="/>
  </w:docVars>
  <w:rsids>
    <w:rsidRoot w:val="00172A27"/>
    <w:rsid w:val="00012E45"/>
    <w:rsid w:val="0002041C"/>
    <w:rsid w:val="00087C8E"/>
    <w:rsid w:val="000A7176"/>
    <w:rsid w:val="000C0028"/>
    <w:rsid w:val="000C3F4B"/>
    <w:rsid w:val="000E0D35"/>
    <w:rsid w:val="000F6467"/>
    <w:rsid w:val="00102CC5"/>
    <w:rsid w:val="00123D38"/>
    <w:rsid w:val="0013429A"/>
    <w:rsid w:val="00165BEB"/>
    <w:rsid w:val="00172A27"/>
    <w:rsid w:val="001A4716"/>
    <w:rsid w:val="001B0817"/>
    <w:rsid w:val="001D23B3"/>
    <w:rsid w:val="001D721D"/>
    <w:rsid w:val="001F032E"/>
    <w:rsid w:val="001F167D"/>
    <w:rsid w:val="0020533F"/>
    <w:rsid w:val="002100AC"/>
    <w:rsid w:val="002167D2"/>
    <w:rsid w:val="0022181C"/>
    <w:rsid w:val="0022559D"/>
    <w:rsid w:val="002352E9"/>
    <w:rsid w:val="00236D4C"/>
    <w:rsid w:val="002446C5"/>
    <w:rsid w:val="002455E5"/>
    <w:rsid w:val="00285085"/>
    <w:rsid w:val="002B4D2F"/>
    <w:rsid w:val="002B622E"/>
    <w:rsid w:val="002D1AA1"/>
    <w:rsid w:val="00314B28"/>
    <w:rsid w:val="0031582E"/>
    <w:rsid w:val="003339B3"/>
    <w:rsid w:val="00337586"/>
    <w:rsid w:val="0035587E"/>
    <w:rsid w:val="00357B76"/>
    <w:rsid w:val="0036787D"/>
    <w:rsid w:val="003679F9"/>
    <w:rsid w:val="00386377"/>
    <w:rsid w:val="003878A9"/>
    <w:rsid w:val="003A3DD7"/>
    <w:rsid w:val="003D2C21"/>
    <w:rsid w:val="003D765A"/>
    <w:rsid w:val="003E19F5"/>
    <w:rsid w:val="003F7C8F"/>
    <w:rsid w:val="00403EA5"/>
    <w:rsid w:val="004040E2"/>
    <w:rsid w:val="0042102D"/>
    <w:rsid w:val="00423EB4"/>
    <w:rsid w:val="0043659A"/>
    <w:rsid w:val="004443A0"/>
    <w:rsid w:val="00445864"/>
    <w:rsid w:val="00451FC3"/>
    <w:rsid w:val="004C6260"/>
    <w:rsid w:val="004F04F6"/>
    <w:rsid w:val="004F1E15"/>
    <w:rsid w:val="00511DFB"/>
    <w:rsid w:val="00534A8D"/>
    <w:rsid w:val="00552333"/>
    <w:rsid w:val="00553D27"/>
    <w:rsid w:val="00562481"/>
    <w:rsid w:val="00562580"/>
    <w:rsid w:val="00563274"/>
    <w:rsid w:val="00570F9C"/>
    <w:rsid w:val="0059156A"/>
    <w:rsid w:val="005916B2"/>
    <w:rsid w:val="005955D3"/>
    <w:rsid w:val="005B0505"/>
    <w:rsid w:val="005B59A3"/>
    <w:rsid w:val="005D33C7"/>
    <w:rsid w:val="005D401F"/>
    <w:rsid w:val="005D4603"/>
    <w:rsid w:val="005E4EF3"/>
    <w:rsid w:val="005E74ED"/>
    <w:rsid w:val="005E76AF"/>
    <w:rsid w:val="0060232A"/>
    <w:rsid w:val="006023D5"/>
    <w:rsid w:val="00613A68"/>
    <w:rsid w:val="00635A74"/>
    <w:rsid w:val="006410C3"/>
    <w:rsid w:val="00670BE6"/>
    <w:rsid w:val="00674F2B"/>
    <w:rsid w:val="006B1364"/>
    <w:rsid w:val="006D0CE9"/>
    <w:rsid w:val="006D6F3B"/>
    <w:rsid w:val="006D76E2"/>
    <w:rsid w:val="006F7F3C"/>
    <w:rsid w:val="0070254B"/>
    <w:rsid w:val="00740A2D"/>
    <w:rsid w:val="00742C8A"/>
    <w:rsid w:val="00781E2C"/>
    <w:rsid w:val="007B090C"/>
    <w:rsid w:val="007B4F57"/>
    <w:rsid w:val="007B6D0D"/>
    <w:rsid w:val="007C26DE"/>
    <w:rsid w:val="007C2CDB"/>
    <w:rsid w:val="007C3E69"/>
    <w:rsid w:val="007C5227"/>
    <w:rsid w:val="007E703E"/>
    <w:rsid w:val="007F0A1D"/>
    <w:rsid w:val="00801C63"/>
    <w:rsid w:val="008111F5"/>
    <w:rsid w:val="008141AD"/>
    <w:rsid w:val="00816543"/>
    <w:rsid w:val="00865297"/>
    <w:rsid w:val="00876902"/>
    <w:rsid w:val="008953F8"/>
    <w:rsid w:val="008A3FBC"/>
    <w:rsid w:val="008A5FA9"/>
    <w:rsid w:val="008C1B1F"/>
    <w:rsid w:val="008D313A"/>
    <w:rsid w:val="008D5EC3"/>
    <w:rsid w:val="008E5D9F"/>
    <w:rsid w:val="008F6496"/>
    <w:rsid w:val="00903100"/>
    <w:rsid w:val="009049D8"/>
    <w:rsid w:val="009162DF"/>
    <w:rsid w:val="0092564A"/>
    <w:rsid w:val="00930024"/>
    <w:rsid w:val="0094678D"/>
    <w:rsid w:val="00964C02"/>
    <w:rsid w:val="009A23BC"/>
    <w:rsid w:val="009A6F7D"/>
    <w:rsid w:val="009B7EE6"/>
    <w:rsid w:val="009C5327"/>
    <w:rsid w:val="009D6D9E"/>
    <w:rsid w:val="009E3FE5"/>
    <w:rsid w:val="00A03F63"/>
    <w:rsid w:val="00A178B1"/>
    <w:rsid w:val="00A245A2"/>
    <w:rsid w:val="00A34D9B"/>
    <w:rsid w:val="00A40483"/>
    <w:rsid w:val="00A828F7"/>
    <w:rsid w:val="00A8354E"/>
    <w:rsid w:val="00A96075"/>
    <w:rsid w:val="00AD558A"/>
    <w:rsid w:val="00AE107D"/>
    <w:rsid w:val="00AF38F6"/>
    <w:rsid w:val="00B20EEA"/>
    <w:rsid w:val="00B2286B"/>
    <w:rsid w:val="00B607A5"/>
    <w:rsid w:val="00B619B1"/>
    <w:rsid w:val="00B66875"/>
    <w:rsid w:val="00B702B5"/>
    <w:rsid w:val="00B91082"/>
    <w:rsid w:val="00B95618"/>
    <w:rsid w:val="00BB04FB"/>
    <w:rsid w:val="00BB4D4C"/>
    <w:rsid w:val="00BC3E29"/>
    <w:rsid w:val="00BC7507"/>
    <w:rsid w:val="00BD3672"/>
    <w:rsid w:val="00BE1545"/>
    <w:rsid w:val="00BF1BE2"/>
    <w:rsid w:val="00C17555"/>
    <w:rsid w:val="00C768E7"/>
    <w:rsid w:val="00C92E0B"/>
    <w:rsid w:val="00CA5324"/>
    <w:rsid w:val="00CA68E4"/>
    <w:rsid w:val="00CC3AFD"/>
    <w:rsid w:val="00CF2B1C"/>
    <w:rsid w:val="00D00D28"/>
    <w:rsid w:val="00D01405"/>
    <w:rsid w:val="00D055E8"/>
    <w:rsid w:val="00D55EB4"/>
    <w:rsid w:val="00D63F1A"/>
    <w:rsid w:val="00D6408B"/>
    <w:rsid w:val="00D64AE1"/>
    <w:rsid w:val="00DC24A5"/>
    <w:rsid w:val="00DD33A6"/>
    <w:rsid w:val="00DF6A79"/>
    <w:rsid w:val="00E02A38"/>
    <w:rsid w:val="00E05429"/>
    <w:rsid w:val="00E06E49"/>
    <w:rsid w:val="00E27396"/>
    <w:rsid w:val="00E37A92"/>
    <w:rsid w:val="00E44E8C"/>
    <w:rsid w:val="00E46AD2"/>
    <w:rsid w:val="00E6174F"/>
    <w:rsid w:val="00E70845"/>
    <w:rsid w:val="00E8195F"/>
    <w:rsid w:val="00E82B94"/>
    <w:rsid w:val="00E865C2"/>
    <w:rsid w:val="00EC2881"/>
    <w:rsid w:val="00ED7547"/>
    <w:rsid w:val="00EF16FF"/>
    <w:rsid w:val="00F13277"/>
    <w:rsid w:val="00F320B1"/>
    <w:rsid w:val="00F4290A"/>
    <w:rsid w:val="00F52D5B"/>
    <w:rsid w:val="00F54276"/>
    <w:rsid w:val="00F646F3"/>
    <w:rsid w:val="00F86987"/>
    <w:rsid w:val="00FD24C0"/>
    <w:rsid w:val="00FD7B13"/>
    <w:rsid w:val="00FF1B18"/>
    <w:rsid w:val="011863EE"/>
    <w:rsid w:val="011C626C"/>
    <w:rsid w:val="012D0479"/>
    <w:rsid w:val="013E4434"/>
    <w:rsid w:val="014337F8"/>
    <w:rsid w:val="0147153B"/>
    <w:rsid w:val="014E260D"/>
    <w:rsid w:val="015772A4"/>
    <w:rsid w:val="01655E65"/>
    <w:rsid w:val="016C0FA1"/>
    <w:rsid w:val="0187402D"/>
    <w:rsid w:val="018D077E"/>
    <w:rsid w:val="019B3634"/>
    <w:rsid w:val="01A132CB"/>
    <w:rsid w:val="01AA1AC9"/>
    <w:rsid w:val="01B606DE"/>
    <w:rsid w:val="01C34939"/>
    <w:rsid w:val="01CA4F94"/>
    <w:rsid w:val="01CA5CC8"/>
    <w:rsid w:val="01CC0CC7"/>
    <w:rsid w:val="01D96255"/>
    <w:rsid w:val="01DA23AF"/>
    <w:rsid w:val="02005B8D"/>
    <w:rsid w:val="020E1BB5"/>
    <w:rsid w:val="021533E7"/>
    <w:rsid w:val="021A5506"/>
    <w:rsid w:val="021D673F"/>
    <w:rsid w:val="02247ACE"/>
    <w:rsid w:val="0227136C"/>
    <w:rsid w:val="022F0983"/>
    <w:rsid w:val="023613C7"/>
    <w:rsid w:val="023C1BF9"/>
    <w:rsid w:val="026305F6"/>
    <w:rsid w:val="026D3223"/>
    <w:rsid w:val="02902A6D"/>
    <w:rsid w:val="029167E5"/>
    <w:rsid w:val="02924A37"/>
    <w:rsid w:val="0293255D"/>
    <w:rsid w:val="02944183"/>
    <w:rsid w:val="02987B74"/>
    <w:rsid w:val="029A38EC"/>
    <w:rsid w:val="02B0310F"/>
    <w:rsid w:val="02C10DFF"/>
    <w:rsid w:val="02C1531D"/>
    <w:rsid w:val="02CD5A6F"/>
    <w:rsid w:val="02D2752A"/>
    <w:rsid w:val="02D45050"/>
    <w:rsid w:val="02D85BF6"/>
    <w:rsid w:val="02DE7C7D"/>
    <w:rsid w:val="02E450F4"/>
    <w:rsid w:val="02ED2503"/>
    <w:rsid w:val="02F54FC6"/>
    <w:rsid w:val="02FE4E90"/>
    <w:rsid w:val="02FF7BF3"/>
    <w:rsid w:val="03062D2F"/>
    <w:rsid w:val="030F10B7"/>
    <w:rsid w:val="030F6088"/>
    <w:rsid w:val="03210B87"/>
    <w:rsid w:val="033B6E7D"/>
    <w:rsid w:val="034D6BB0"/>
    <w:rsid w:val="0356189E"/>
    <w:rsid w:val="035717DD"/>
    <w:rsid w:val="03575C81"/>
    <w:rsid w:val="03597303"/>
    <w:rsid w:val="036B7036"/>
    <w:rsid w:val="03767EB5"/>
    <w:rsid w:val="03885E3A"/>
    <w:rsid w:val="038A1948"/>
    <w:rsid w:val="039D18E6"/>
    <w:rsid w:val="03AE3AF3"/>
    <w:rsid w:val="03B629A7"/>
    <w:rsid w:val="03B66B3A"/>
    <w:rsid w:val="03C36E72"/>
    <w:rsid w:val="03CE5F43"/>
    <w:rsid w:val="03EE2141"/>
    <w:rsid w:val="03F139E0"/>
    <w:rsid w:val="03F4527E"/>
    <w:rsid w:val="03F92894"/>
    <w:rsid w:val="03FB485E"/>
    <w:rsid w:val="041112C9"/>
    <w:rsid w:val="04161698"/>
    <w:rsid w:val="041651F4"/>
    <w:rsid w:val="0424199D"/>
    <w:rsid w:val="043B2EAD"/>
    <w:rsid w:val="045D1075"/>
    <w:rsid w:val="04640655"/>
    <w:rsid w:val="046C750A"/>
    <w:rsid w:val="0475354E"/>
    <w:rsid w:val="04787C5D"/>
    <w:rsid w:val="04874344"/>
    <w:rsid w:val="048900BC"/>
    <w:rsid w:val="048C3708"/>
    <w:rsid w:val="04910D1F"/>
    <w:rsid w:val="049727D9"/>
    <w:rsid w:val="04986A1A"/>
    <w:rsid w:val="04A31D03"/>
    <w:rsid w:val="04A479AC"/>
    <w:rsid w:val="04AE367F"/>
    <w:rsid w:val="04B8274F"/>
    <w:rsid w:val="04BF763A"/>
    <w:rsid w:val="04C66C1A"/>
    <w:rsid w:val="04CD7FA9"/>
    <w:rsid w:val="04D31337"/>
    <w:rsid w:val="04D550AF"/>
    <w:rsid w:val="04D806FC"/>
    <w:rsid w:val="04DC643E"/>
    <w:rsid w:val="04DF1A8A"/>
    <w:rsid w:val="04ED23F9"/>
    <w:rsid w:val="04F419D9"/>
    <w:rsid w:val="04FA69CD"/>
    <w:rsid w:val="050560EC"/>
    <w:rsid w:val="050C712B"/>
    <w:rsid w:val="051554AC"/>
    <w:rsid w:val="051659E7"/>
    <w:rsid w:val="051C2CDE"/>
    <w:rsid w:val="05246FA6"/>
    <w:rsid w:val="05284E2F"/>
    <w:rsid w:val="052E656D"/>
    <w:rsid w:val="05300538"/>
    <w:rsid w:val="05585FFF"/>
    <w:rsid w:val="055A55B4"/>
    <w:rsid w:val="055E6E53"/>
    <w:rsid w:val="056401E1"/>
    <w:rsid w:val="0583183C"/>
    <w:rsid w:val="059565ED"/>
    <w:rsid w:val="05A351AD"/>
    <w:rsid w:val="05A625A8"/>
    <w:rsid w:val="05A86320"/>
    <w:rsid w:val="05B11678"/>
    <w:rsid w:val="05D86A02"/>
    <w:rsid w:val="05F96B7B"/>
    <w:rsid w:val="060043AE"/>
    <w:rsid w:val="06043E9E"/>
    <w:rsid w:val="06071298"/>
    <w:rsid w:val="060914B4"/>
    <w:rsid w:val="06112117"/>
    <w:rsid w:val="06157C92"/>
    <w:rsid w:val="0616571D"/>
    <w:rsid w:val="061816F7"/>
    <w:rsid w:val="0627193B"/>
    <w:rsid w:val="06295921"/>
    <w:rsid w:val="0633208D"/>
    <w:rsid w:val="06357615"/>
    <w:rsid w:val="06360B0E"/>
    <w:rsid w:val="063D2F0C"/>
    <w:rsid w:val="06497B03"/>
    <w:rsid w:val="06510766"/>
    <w:rsid w:val="0653156D"/>
    <w:rsid w:val="065F7326"/>
    <w:rsid w:val="06635A4F"/>
    <w:rsid w:val="06677F89"/>
    <w:rsid w:val="06691F53"/>
    <w:rsid w:val="066A1827"/>
    <w:rsid w:val="066E7703"/>
    <w:rsid w:val="067032E2"/>
    <w:rsid w:val="067803E8"/>
    <w:rsid w:val="0680729D"/>
    <w:rsid w:val="068154EF"/>
    <w:rsid w:val="06837FE9"/>
    <w:rsid w:val="06952D48"/>
    <w:rsid w:val="06A116ED"/>
    <w:rsid w:val="06A74829"/>
    <w:rsid w:val="06B225CD"/>
    <w:rsid w:val="06B807E5"/>
    <w:rsid w:val="06DE0EFE"/>
    <w:rsid w:val="06E710CA"/>
    <w:rsid w:val="06E94E9F"/>
    <w:rsid w:val="06EB2968"/>
    <w:rsid w:val="06ED4932"/>
    <w:rsid w:val="06FA0DFD"/>
    <w:rsid w:val="07140111"/>
    <w:rsid w:val="071F6AB6"/>
    <w:rsid w:val="07245E7A"/>
    <w:rsid w:val="072879FD"/>
    <w:rsid w:val="07322345"/>
    <w:rsid w:val="073A744C"/>
    <w:rsid w:val="07416A2C"/>
    <w:rsid w:val="074D3623"/>
    <w:rsid w:val="074D717F"/>
    <w:rsid w:val="07591FC8"/>
    <w:rsid w:val="07594C1D"/>
    <w:rsid w:val="07691ADF"/>
    <w:rsid w:val="076D15CF"/>
    <w:rsid w:val="07707311"/>
    <w:rsid w:val="07807554"/>
    <w:rsid w:val="07837045"/>
    <w:rsid w:val="079B25E0"/>
    <w:rsid w:val="079E79DA"/>
    <w:rsid w:val="07A50D69"/>
    <w:rsid w:val="07A70F85"/>
    <w:rsid w:val="07A82607"/>
    <w:rsid w:val="07B42128"/>
    <w:rsid w:val="07B45D8F"/>
    <w:rsid w:val="07CA07CF"/>
    <w:rsid w:val="07CB4548"/>
    <w:rsid w:val="07D975A3"/>
    <w:rsid w:val="07DE427B"/>
    <w:rsid w:val="07F053D2"/>
    <w:rsid w:val="07F13FAE"/>
    <w:rsid w:val="07FA2698"/>
    <w:rsid w:val="08000695"/>
    <w:rsid w:val="080865D4"/>
    <w:rsid w:val="080C0DE8"/>
    <w:rsid w:val="080D4B60"/>
    <w:rsid w:val="0834033F"/>
    <w:rsid w:val="08367069"/>
    <w:rsid w:val="08425817"/>
    <w:rsid w:val="08510EF1"/>
    <w:rsid w:val="085D5AE7"/>
    <w:rsid w:val="086B58ED"/>
    <w:rsid w:val="08762705"/>
    <w:rsid w:val="0878022B"/>
    <w:rsid w:val="087B3CF2"/>
    <w:rsid w:val="087E15BA"/>
    <w:rsid w:val="08844E22"/>
    <w:rsid w:val="088766C0"/>
    <w:rsid w:val="088969F3"/>
    <w:rsid w:val="088C74D2"/>
    <w:rsid w:val="08915791"/>
    <w:rsid w:val="0895702F"/>
    <w:rsid w:val="08966904"/>
    <w:rsid w:val="08A4043A"/>
    <w:rsid w:val="08AD1F6E"/>
    <w:rsid w:val="08B5322E"/>
    <w:rsid w:val="08B9797D"/>
    <w:rsid w:val="08C2594B"/>
    <w:rsid w:val="08DB6A0C"/>
    <w:rsid w:val="08F875BE"/>
    <w:rsid w:val="08FD2E27"/>
    <w:rsid w:val="09077801"/>
    <w:rsid w:val="09187C60"/>
    <w:rsid w:val="093D1475"/>
    <w:rsid w:val="094559F1"/>
    <w:rsid w:val="0946032A"/>
    <w:rsid w:val="094E3682"/>
    <w:rsid w:val="09581E0B"/>
    <w:rsid w:val="095E38C5"/>
    <w:rsid w:val="0960344D"/>
    <w:rsid w:val="096864F2"/>
    <w:rsid w:val="096B5FE2"/>
    <w:rsid w:val="096D1D5A"/>
    <w:rsid w:val="096D3B08"/>
    <w:rsid w:val="096E162E"/>
    <w:rsid w:val="096F43FE"/>
    <w:rsid w:val="097430E9"/>
    <w:rsid w:val="097839D8"/>
    <w:rsid w:val="098D5F59"/>
    <w:rsid w:val="098E3A7F"/>
    <w:rsid w:val="09954E0D"/>
    <w:rsid w:val="09A3577C"/>
    <w:rsid w:val="09AF316B"/>
    <w:rsid w:val="09B74D83"/>
    <w:rsid w:val="09BC05EC"/>
    <w:rsid w:val="09C94AB7"/>
    <w:rsid w:val="09CB6A81"/>
    <w:rsid w:val="09E85885"/>
    <w:rsid w:val="09F5530D"/>
    <w:rsid w:val="0A05052C"/>
    <w:rsid w:val="0A0C3321"/>
    <w:rsid w:val="0A0F696E"/>
    <w:rsid w:val="0A1017D7"/>
    <w:rsid w:val="0A16615F"/>
    <w:rsid w:val="0A2A19F9"/>
    <w:rsid w:val="0A2A7C4B"/>
    <w:rsid w:val="0A3463D4"/>
    <w:rsid w:val="0A401506"/>
    <w:rsid w:val="0A4A209B"/>
    <w:rsid w:val="0A680632"/>
    <w:rsid w:val="0A894972"/>
    <w:rsid w:val="0AA750DD"/>
    <w:rsid w:val="0AB26CE0"/>
    <w:rsid w:val="0AC260D6"/>
    <w:rsid w:val="0AD57BB7"/>
    <w:rsid w:val="0ADF4592"/>
    <w:rsid w:val="0AE222D4"/>
    <w:rsid w:val="0AE24082"/>
    <w:rsid w:val="0AE3678E"/>
    <w:rsid w:val="0AEA1189"/>
    <w:rsid w:val="0AF52007"/>
    <w:rsid w:val="0B09160F"/>
    <w:rsid w:val="0B0F1CB4"/>
    <w:rsid w:val="0B0F299D"/>
    <w:rsid w:val="0B112BB9"/>
    <w:rsid w:val="0B2058F5"/>
    <w:rsid w:val="0B274E3E"/>
    <w:rsid w:val="0B332B30"/>
    <w:rsid w:val="0B424B21"/>
    <w:rsid w:val="0B472EB5"/>
    <w:rsid w:val="0B5331D2"/>
    <w:rsid w:val="0B5F3925"/>
    <w:rsid w:val="0B6A3567"/>
    <w:rsid w:val="0B792C38"/>
    <w:rsid w:val="0B7A250D"/>
    <w:rsid w:val="0B7A4F1C"/>
    <w:rsid w:val="0B811AED"/>
    <w:rsid w:val="0B8E0C37"/>
    <w:rsid w:val="0B9743F0"/>
    <w:rsid w:val="0B996E37"/>
    <w:rsid w:val="0BA94BA0"/>
    <w:rsid w:val="0BB3483E"/>
    <w:rsid w:val="0BB93257"/>
    <w:rsid w:val="0BCA5242"/>
    <w:rsid w:val="0BE61950"/>
    <w:rsid w:val="0BE8391A"/>
    <w:rsid w:val="0BF4406D"/>
    <w:rsid w:val="0BFE6C9A"/>
    <w:rsid w:val="0C104C1F"/>
    <w:rsid w:val="0C1E10EA"/>
    <w:rsid w:val="0C300E1D"/>
    <w:rsid w:val="0C4D5E73"/>
    <w:rsid w:val="0C540FAF"/>
    <w:rsid w:val="0C5D60B6"/>
    <w:rsid w:val="0C637445"/>
    <w:rsid w:val="0C6A5254"/>
    <w:rsid w:val="0C7E7DDA"/>
    <w:rsid w:val="0C8573BB"/>
    <w:rsid w:val="0C8A2C23"/>
    <w:rsid w:val="0C8C0749"/>
    <w:rsid w:val="0C8E44C1"/>
    <w:rsid w:val="0C9413AC"/>
    <w:rsid w:val="0C945850"/>
    <w:rsid w:val="0C992E66"/>
    <w:rsid w:val="0C994AB9"/>
    <w:rsid w:val="0CA35A93"/>
    <w:rsid w:val="0CC2416B"/>
    <w:rsid w:val="0CCE2B10"/>
    <w:rsid w:val="0CD54911"/>
    <w:rsid w:val="0CE045F1"/>
    <w:rsid w:val="0CE51C08"/>
    <w:rsid w:val="0CE70F2E"/>
    <w:rsid w:val="0CEB00AB"/>
    <w:rsid w:val="0CEC2F96"/>
    <w:rsid w:val="0CEE31B2"/>
    <w:rsid w:val="0CF32576"/>
    <w:rsid w:val="0D060E2A"/>
    <w:rsid w:val="0D097FEC"/>
    <w:rsid w:val="0D0B3D64"/>
    <w:rsid w:val="0D0E7D44"/>
    <w:rsid w:val="0D181FDD"/>
    <w:rsid w:val="0D1D5845"/>
    <w:rsid w:val="0D33704E"/>
    <w:rsid w:val="0D3D5EE8"/>
    <w:rsid w:val="0D3E6818"/>
    <w:rsid w:val="0D464369"/>
    <w:rsid w:val="0D4903E8"/>
    <w:rsid w:val="0D4B4161"/>
    <w:rsid w:val="0D4E1EA3"/>
    <w:rsid w:val="0D501777"/>
    <w:rsid w:val="0D58687D"/>
    <w:rsid w:val="0D5D758D"/>
    <w:rsid w:val="0D6E42F3"/>
    <w:rsid w:val="0D761268"/>
    <w:rsid w:val="0D793464"/>
    <w:rsid w:val="0D8238FA"/>
    <w:rsid w:val="0D894C89"/>
    <w:rsid w:val="0D8D2270"/>
    <w:rsid w:val="0D8E04F1"/>
    <w:rsid w:val="0D9F26FE"/>
    <w:rsid w:val="0DAD4E1B"/>
    <w:rsid w:val="0DAF3692"/>
    <w:rsid w:val="0DB37F58"/>
    <w:rsid w:val="0DC12675"/>
    <w:rsid w:val="0DC8547D"/>
    <w:rsid w:val="0DC8579F"/>
    <w:rsid w:val="0DCB50F9"/>
    <w:rsid w:val="0DCE08EE"/>
    <w:rsid w:val="0DD35DF0"/>
    <w:rsid w:val="0DE16873"/>
    <w:rsid w:val="0DF67F82"/>
    <w:rsid w:val="0E063F3E"/>
    <w:rsid w:val="0E082052"/>
    <w:rsid w:val="0E0D1416"/>
    <w:rsid w:val="0E0E5FD3"/>
    <w:rsid w:val="0E1C5E42"/>
    <w:rsid w:val="0E2055ED"/>
    <w:rsid w:val="0E2A1FC8"/>
    <w:rsid w:val="0E362232"/>
    <w:rsid w:val="0E372937"/>
    <w:rsid w:val="0E4806A0"/>
    <w:rsid w:val="0E494A2D"/>
    <w:rsid w:val="0E5C0210"/>
    <w:rsid w:val="0E5C2035"/>
    <w:rsid w:val="0E611762"/>
    <w:rsid w:val="0E680D42"/>
    <w:rsid w:val="0E692C5D"/>
    <w:rsid w:val="0E8A515C"/>
    <w:rsid w:val="0E9438E5"/>
    <w:rsid w:val="0E9E6512"/>
    <w:rsid w:val="0EB45D35"/>
    <w:rsid w:val="0EB65F51"/>
    <w:rsid w:val="0EC53B36"/>
    <w:rsid w:val="0EC71E62"/>
    <w:rsid w:val="0EC818A5"/>
    <w:rsid w:val="0ECA257C"/>
    <w:rsid w:val="0ECA5559"/>
    <w:rsid w:val="0ECD3EA6"/>
    <w:rsid w:val="0ED14B39"/>
    <w:rsid w:val="0EED3B7D"/>
    <w:rsid w:val="0EFF16A6"/>
    <w:rsid w:val="0F032819"/>
    <w:rsid w:val="0F0A004B"/>
    <w:rsid w:val="0F1D38DB"/>
    <w:rsid w:val="0F256C33"/>
    <w:rsid w:val="0F276507"/>
    <w:rsid w:val="0F346E76"/>
    <w:rsid w:val="0F3F7CF5"/>
    <w:rsid w:val="0F40581B"/>
    <w:rsid w:val="0F4B48EC"/>
    <w:rsid w:val="0F4C41C0"/>
    <w:rsid w:val="0F517A28"/>
    <w:rsid w:val="0F587009"/>
    <w:rsid w:val="0F5E4E99"/>
    <w:rsid w:val="0F601A19"/>
    <w:rsid w:val="0F713C26"/>
    <w:rsid w:val="0F7A2ADB"/>
    <w:rsid w:val="0F7B3747"/>
    <w:rsid w:val="0F7B4AA5"/>
    <w:rsid w:val="0F8120BC"/>
    <w:rsid w:val="0F827BE2"/>
    <w:rsid w:val="0F850E7D"/>
    <w:rsid w:val="0F87169C"/>
    <w:rsid w:val="0F8C0A60"/>
    <w:rsid w:val="0F9C0A28"/>
    <w:rsid w:val="0FA062BA"/>
    <w:rsid w:val="0FA20284"/>
    <w:rsid w:val="0FA61B22"/>
    <w:rsid w:val="0FA933C0"/>
    <w:rsid w:val="0FC621C4"/>
    <w:rsid w:val="0FD85A54"/>
    <w:rsid w:val="0FDA7A1E"/>
    <w:rsid w:val="0FE20680"/>
    <w:rsid w:val="0FE615C9"/>
    <w:rsid w:val="0FE73EE9"/>
    <w:rsid w:val="0FED59A3"/>
    <w:rsid w:val="10002F26"/>
    <w:rsid w:val="10196798"/>
    <w:rsid w:val="101F3C57"/>
    <w:rsid w:val="104B4477"/>
    <w:rsid w:val="105B0B5E"/>
    <w:rsid w:val="106754FB"/>
    <w:rsid w:val="106F307C"/>
    <w:rsid w:val="107E0722"/>
    <w:rsid w:val="10944070"/>
    <w:rsid w:val="109B53FF"/>
    <w:rsid w:val="10A1053B"/>
    <w:rsid w:val="10AA5642"/>
    <w:rsid w:val="10AB11F1"/>
    <w:rsid w:val="10C107A9"/>
    <w:rsid w:val="10C43F6C"/>
    <w:rsid w:val="10C5422A"/>
    <w:rsid w:val="10CA7A92"/>
    <w:rsid w:val="10D601E5"/>
    <w:rsid w:val="10D66437"/>
    <w:rsid w:val="10D93DB2"/>
    <w:rsid w:val="10E30CEB"/>
    <w:rsid w:val="10E32902"/>
    <w:rsid w:val="10F863AD"/>
    <w:rsid w:val="11036B00"/>
    <w:rsid w:val="111B68FF"/>
    <w:rsid w:val="111C10F1"/>
    <w:rsid w:val="11291F54"/>
    <w:rsid w:val="112C6057"/>
    <w:rsid w:val="112E1DCF"/>
    <w:rsid w:val="112F5B47"/>
    <w:rsid w:val="11696CA7"/>
    <w:rsid w:val="116F23E8"/>
    <w:rsid w:val="118553C3"/>
    <w:rsid w:val="119F0F1F"/>
    <w:rsid w:val="11B61DC5"/>
    <w:rsid w:val="11DA1F57"/>
    <w:rsid w:val="11E61D28"/>
    <w:rsid w:val="11E6407A"/>
    <w:rsid w:val="11EE77B0"/>
    <w:rsid w:val="11F37030"/>
    <w:rsid w:val="11FA2072"/>
    <w:rsid w:val="120E1C01"/>
    <w:rsid w:val="122431D2"/>
    <w:rsid w:val="12301B77"/>
    <w:rsid w:val="12307DC9"/>
    <w:rsid w:val="12445622"/>
    <w:rsid w:val="124473D0"/>
    <w:rsid w:val="124F46F3"/>
    <w:rsid w:val="12641821"/>
    <w:rsid w:val="126A433A"/>
    <w:rsid w:val="12745F08"/>
    <w:rsid w:val="1283439D"/>
    <w:rsid w:val="12883761"/>
    <w:rsid w:val="128A1139"/>
    <w:rsid w:val="129739A4"/>
    <w:rsid w:val="12B502CE"/>
    <w:rsid w:val="12D563C8"/>
    <w:rsid w:val="12DB263C"/>
    <w:rsid w:val="12F17558"/>
    <w:rsid w:val="12F831C5"/>
    <w:rsid w:val="12FD414F"/>
    <w:rsid w:val="132058E6"/>
    <w:rsid w:val="132124B4"/>
    <w:rsid w:val="132A4818"/>
    <w:rsid w:val="13313C85"/>
    <w:rsid w:val="13433B2C"/>
    <w:rsid w:val="13477178"/>
    <w:rsid w:val="135F302A"/>
    <w:rsid w:val="136441CE"/>
    <w:rsid w:val="137361BF"/>
    <w:rsid w:val="13765CAF"/>
    <w:rsid w:val="13870AC5"/>
    <w:rsid w:val="138C7F7B"/>
    <w:rsid w:val="13983E78"/>
    <w:rsid w:val="13A54B13"/>
    <w:rsid w:val="13C20EF5"/>
    <w:rsid w:val="13C46A1B"/>
    <w:rsid w:val="13CA1B57"/>
    <w:rsid w:val="13E0595A"/>
    <w:rsid w:val="13EA51DA"/>
    <w:rsid w:val="13F82B68"/>
    <w:rsid w:val="13FA41EA"/>
    <w:rsid w:val="140432BB"/>
    <w:rsid w:val="14096B23"/>
    <w:rsid w:val="140C03C2"/>
    <w:rsid w:val="141A488D"/>
    <w:rsid w:val="14213E6D"/>
    <w:rsid w:val="142771FD"/>
    <w:rsid w:val="14302302"/>
    <w:rsid w:val="143F0797"/>
    <w:rsid w:val="14423DE3"/>
    <w:rsid w:val="144E2788"/>
    <w:rsid w:val="145833DF"/>
    <w:rsid w:val="145A3528"/>
    <w:rsid w:val="14661880"/>
    <w:rsid w:val="147C11CE"/>
    <w:rsid w:val="14902DA1"/>
    <w:rsid w:val="14956609"/>
    <w:rsid w:val="149A59CD"/>
    <w:rsid w:val="14B428E2"/>
    <w:rsid w:val="14BC76F2"/>
    <w:rsid w:val="14C845F4"/>
    <w:rsid w:val="14CB65B1"/>
    <w:rsid w:val="14DE3B0C"/>
    <w:rsid w:val="14F81BA5"/>
    <w:rsid w:val="14F926F4"/>
    <w:rsid w:val="14FB46BE"/>
    <w:rsid w:val="150869FD"/>
    <w:rsid w:val="15086DDB"/>
    <w:rsid w:val="15113EE2"/>
    <w:rsid w:val="15115C90"/>
    <w:rsid w:val="15267261"/>
    <w:rsid w:val="153951E6"/>
    <w:rsid w:val="15406575"/>
    <w:rsid w:val="15453B8B"/>
    <w:rsid w:val="15455939"/>
    <w:rsid w:val="15581B10"/>
    <w:rsid w:val="155D0ED5"/>
    <w:rsid w:val="156D6570"/>
    <w:rsid w:val="156F462C"/>
    <w:rsid w:val="15785D0F"/>
    <w:rsid w:val="158A6F31"/>
    <w:rsid w:val="15A20FDE"/>
    <w:rsid w:val="15A44D56"/>
    <w:rsid w:val="15A5462A"/>
    <w:rsid w:val="15A9411A"/>
    <w:rsid w:val="15B30AF5"/>
    <w:rsid w:val="15B825AF"/>
    <w:rsid w:val="15E92769"/>
    <w:rsid w:val="15F1161D"/>
    <w:rsid w:val="15FA4976"/>
    <w:rsid w:val="16007AB2"/>
    <w:rsid w:val="160457F4"/>
    <w:rsid w:val="162163A6"/>
    <w:rsid w:val="163F2850"/>
    <w:rsid w:val="16443E43"/>
    <w:rsid w:val="164D16D3"/>
    <w:rsid w:val="164D3389"/>
    <w:rsid w:val="1662251B"/>
    <w:rsid w:val="166347EF"/>
    <w:rsid w:val="166A74A0"/>
    <w:rsid w:val="167364D6"/>
    <w:rsid w:val="16802341"/>
    <w:rsid w:val="1686445B"/>
    <w:rsid w:val="16866209"/>
    <w:rsid w:val="169851FD"/>
    <w:rsid w:val="169A3A63"/>
    <w:rsid w:val="169E17A5"/>
    <w:rsid w:val="169F376F"/>
    <w:rsid w:val="16A407CE"/>
    <w:rsid w:val="16A9014A"/>
    <w:rsid w:val="16B70AB9"/>
    <w:rsid w:val="16BC60CF"/>
    <w:rsid w:val="16C62AAA"/>
    <w:rsid w:val="16C66DAA"/>
    <w:rsid w:val="16CC2666"/>
    <w:rsid w:val="16DB74FC"/>
    <w:rsid w:val="16DE1BA1"/>
    <w:rsid w:val="16EF2B8A"/>
    <w:rsid w:val="16F07B27"/>
    <w:rsid w:val="16F2389F"/>
    <w:rsid w:val="170759C5"/>
    <w:rsid w:val="17081314"/>
    <w:rsid w:val="17163A31"/>
    <w:rsid w:val="172123D6"/>
    <w:rsid w:val="17214184"/>
    <w:rsid w:val="173C4B1A"/>
    <w:rsid w:val="17544559"/>
    <w:rsid w:val="17546308"/>
    <w:rsid w:val="175956CC"/>
    <w:rsid w:val="175E7186"/>
    <w:rsid w:val="176127D3"/>
    <w:rsid w:val="1768590F"/>
    <w:rsid w:val="1772678E"/>
    <w:rsid w:val="177B1AE6"/>
    <w:rsid w:val="177B3894"/>
    <w:rsid w:val="178564C1"/>
    <w:rsid w:val="17884203"/>
    <w:rsid w:val="178A7FB9"/>
    <w:rsid w:val="17A0779F"/>
    <w:rsid w:val="17A252C5"/>
    <w:rsid w:val="17B31829"/>
    <w:rsid w:val="17B62B1E"/>
    <w:rsid w:val="17D411F6"/>
    <w:rsid w:val="17E855D9"/>
    <w:rsid w:val="17EF7DDE"/>
    <w:rsid w:val="17F32EC3"/>
    <w:rsid w:val="17FA7FA2"/>
    <w:rsid w:val="17FF2717"/>
    <w:rsid w:val="17FF6273"/>
    <w:rsid w:val="18055854"/>
    <w:rsid w:val="181D0DEF"/>
    <w:rsid w:val="1820443C"/>
    <w:rsid w:val="18226406"/>
    <w:rsid w:val="182757CA"/>
    <w:rsid w:val="18351C95"/>
    <w:rsid w:val="185644EB"/>
    <w:rsid w:val="185D4353"/>
    <w:rsid w:val="185F6A6C"/>
    <w:rsid w:val="18602A8A"/>
    <w:rsid w:val="18714C97"/>
    <w:rsid w:val="187A7FF0"/>
    <w:rsid w:val="189B5187"/>
    <w:rsid w:val="18A1557C"/>
    <w:rsid w:val="18A40BC9"/>
    <w:rsid w:val="18AB63FB"/>
    <w:rsid w:val="18AC51CC"/>
    <w:rsid w:val="18B7103D"/>
    <w:rsid w:val="18C82B09"/>
    <w:rsid w:val="18D92F68"/>
    <w:rsid w:val="18DD73E5"/>
    <w:rsid w:val="18E611E1"/>
    <w:rsid w:val="18ED07C2"/>
    <w:rsid w:val="18ED431E"/>
    <w:rsid w:val="190B0C48"/>
    <w:rsid w:val="19145D4E"/>
    <w:rsid w:val="191F64A1"/>
    <w:rsid w:val="192F4936"/>
    <w:rsid w:val="1930105C"/>
    <w:rsid w:val="19510EDB"/>
    <w:rsid w:val="19742C91"/>
    <w:rsid w:val="19923E19"/>
    <w:rsid w:val="19A075E2"/>
    <w:rsid w:val="19B80DD0"/>
    <w:rsid w:val="19BC3F64"/>
    <w:rsid w:val="19C86B39"/>
    <w:rsid w:val="19D63004"/>
    <w:rsid w:val="19EC6CCB"/>
    <w:rsid w:val="19EF2318"/>
    <w:rsid w:val="19F16090"/>
    <w:rsid w:val="19FB0CBC"/>
    <w:rsid w:val="19FF69FF"/>
    <w:rsid w:val="1A116605"/>
    <w:rsid w:val="1A143B2C"/>
    <w:rsid w:val="1A2F6BB8"/>
    <w:rsid w:val="1A304E0A"/>
    <w:rsid w:val="1A3366A8"/>
    <w:rsid w:val="1A3A17E5"/>
    <w:rsid w:val="1A404921"/>
    <w:rsid w:val="1A451B07"/>
    <w:rsid w:val="1A4545F6"/>
    <w:rsid w:val="1A473F02"/>
    <w:rsid w:val="1A475CA6"/>
    <w:rsid w:val="1A501008"/>
    <w:rsid w:val="1A545BBC"/>
    <w:rsid w:val="1A562397"/>
    <w:rsid w:val="1A5E4B8F"/>
    <w:rsid w:val="1A82318C"/>
    <w:rsid w:val="1A870950"/>
    <w:rsid w:val="1A8C65C3"/>
    <w:rsid w:val="1A951111"/>
    <w:rsid w:val="1A976395"/>
    <w:rsid w:val="1A98475D"/>
    <w:rsid w:val="1AA2738A"/>
    <w:rsid w:val="1AA47422"/>
    <w:rsid w:val="1AA83ACA"/>
    <w:rsid w:val="1AA9046D"/>
    <w:rsid w:val="1AB32207"/>
    <w:rsid w:val="1AB70D51"/>
    <w:rsid w:val="1ABD0388"/>
    <w:rsid w:val="1ACE017F"/>
    <w:rsid w:val="1ADC289C"/>
    <w:rsid w:val="1ADF2E00"/>
    <w:rsid w:val="1AE300CE"/>
    <w:rsid w:val="1AE9267E"/>
    <w:rsid w:val="1AF851FC"/>
    <w:rsid w:val="1AFD7C26"/>
    <w:rsid w:val="1AFF5AF7"/>
    <w:rsid w:val="1B067919"/>
    <w:rsid w:val="1B087B35"/>
    <w:rsid w:val="1B0911B7"/>
    <w:rsid w:val="1B117D24"/>
    <w:rsid w:val="1B140288"/>
    <w:rsid w:val="1B193AF0"/>
    <w:rsid w:val="1B245FF1"/>
    <w:rsid w:val="1B321904"/>
    <w:rsid w:val="1B356C34"/>
    <w:rsid w:val="1B391A9C"/>
    <w:rsid w:val="1B440441"/>
    <w:rsid w:val="1B486183"/>
    <w:rsid w:val="1B4B5C73"/>
    <w:rsid w:val="1B4C386F"/>
    <w:rsid w:val="1B574618"/>
    <w:rsid w:val="1B5A1A13"/>
    <w:rsid w:val="1B634D6B"/>
    <w:rsid w:val="1B742AD4"/>
    <w:rsid w:val="1B742B49"/>
    <w:rsid w:val="1B7B0307"/>
    <w:rsid w:val="1B8076CB"/>
    <w:rsid w:val="1B813443"/>
    <w:rsid w:val="1B8B6070"/>
    <w:rsid w:val="1B8F5B60"/>
    <w:rsid w:val="1B9A4616"/>
    <w:rsid w:val="1BB074A7"/>
    <w:rsid w:val="1BB45A42"/>
    <w:rsid w:val="1BBA605E"/>
    <w:rsid w:val="1BBB5884"/>
    <w:rsid w:val="1BC17CE4"/>
    <w:rsid w:val="1BC7354C"/>
    <w:rsid w:val="1BC85AA5"/>
    <w:rsid w:val="1BCB46BE"/>
    <w:rsid w:val="1BD143CB"/>
    <w:rsid w:val="1C033E58"/>
    <w:rsid w:val="1C093B64"/>
    <w:rsid w:val="1C220782"/>
    <w:rsid w:val="1C2564C4"/>
    <w:rsid w:val="1C3B4F95"/>
    <w:rsid w:val="1C542906"/>
    <w:rsid w:val="1C5648D0"/>
    <w:rsid w:val="1C5D17BA"/>
    <w:rsid w:val="1C752FA8"/>
    <w:rsid w:val="1C8036FB"/>
    <w:rsid w:val="1C896A53"/>
    <w:rsid w:val="1C915908"/>
    <w:rsid w:val="1C93342E"/>
    <w:rsid w:val="1C964CCC"/>
    <w:rsid w:val="1C9F14BA"/>
    <w:rsid w:val="1CA05B4B"/>
    <w:rsid w:val="1CB25FAA"/>
    <w:rsid w:val="1CB452A0"/>
    <w:rsid w:val="1CBD494F"/>
    <w:rsid w:val="1CC01D49"/>
    <w:rsid w:val="1CCB0E1A"/>
    <w:rsid w:val="1CCE4466"/>
    <w:rsid w:val="1CDA72AF"/>
    <w:rsid w:val="1CDD0B4D"/>
    <w:rsid w:val="1CDF6673"/>
    <w:rsid w:val="1CEA66DC"/>
    <w:rsid w:val="1CEB16E8"/>
    <w:rsid w:val="1CF2284B"/>
    <w:rsid w:val="1CF73B37"/>
    <w:rsid w:val="1CFF2872"/>
    <w:rsid w:val="1D181B85"/>
    <w:rsid w:val="1D1C60F3"/>
    <w:rsid w:val="1D202BFC"/>
    <w:rsid w:val="1D422849"/>
    <w:rsid w:val="1D444728"/>
    <w:rsid w:val="1D48246B"/>
    <w:rsid w:val="1D6509BF"/>
    <w:rsid w:val="1D6F6464"/>
    <w:rsid w:val="1D772D50"/>
    <w:rsid w:val="1D7A45EE"/>
    <w:rsid w:val="1D7F39B2"/>
    <w:rsid w:val="1D840FC9"/>
    <w:rsid w:val="1D8D2573"/>
    <w:rsid w:val="1D9B2F98"/>
    <w:rsid w:val="1DA121C5"/>
    <w:rsid w:val="1DA33B45"/>
    <w:rsid w:val="1DAD6772"/>
    <w:rsid w:val="1DAF24EA"/>
    <w:rsid w:val="1DB63878"/>
    <w:rsid w:val="1DB95116"/>
    <w:rsid w:val="1DBC69B5"/>
    <w:rsid w:val="1DC6338F"/>
    <w:rsid w:val="1DCB4E05"/>
    <w:rsid w:val="1DCC309C"/>
    <w:rsid w:val="1DD0420E"/>
    <w:rsid w:val="1DD555B5"/>
    <w:rsid w:val="1DD82E36"/>
    <w:rsid w:val="1DD91315"/>
    <w:rsid w:val="1DDB32DF"/>
    <w:rsid w:val="1DDB508D"/>
    <w:rsid w:val="1DE06B47"/>
    <w:rsid w:val="1DE16609"/>
    <w:rsid w:val="1DE2466D"/>
    <w:rsid w:val="1DE43C6F"/>
    <w:rsid w:val="1DED3012"/>
    <w:rsid w:val="1DF05690"/>
    <w:rsid w:val="1DFE521F"/>
    <w:rsid w:val="1E2F362A"/>
    <w:rsid w:val="1E3D76A5"/>
    <w:rsid w:val="1E432C32"/>
    <w:rsid w:val="1E472722"/>
    <w:rsid w:val="1E544E3F"/>
    <w:rsid w:val="1E57048B"/>
    <w:rsid w:val="1E5814E8"/>
    <w:rsid w:val="1E6E5F01"/>
    <w:rsid w:val="1E6F1C79"/>
    <w:rsid w:val="1E71779F"/>
    <w:rsid w:val="1E890F8D"/>
    <w:rsid w:val="1E9E60BA"/>
    <w:rsid w:val="1EB3600A"/>
    <w:rsid w:val="1EB61656"/>
    <w:rsid w:val="1EB83620"/>
    <w:rsid w:val="1EBA7398"/>
    <w:rsid w:val="1EC45B21"/>
    <w:rsid w:val="1EC57AEB"/>
    <w:rsid w:val="1EC602F1"/>
    <w:rsid w:val="1EC65A3F"/>
    <w:rsid w:val="1EC75611"/>
    <w:rsid w:val="1EC93137"/>
    <w:rsid w:val="1ED06BC4"/>
    <w:rsid w:val="1ED376A5"/>
    <w:rsid w:val="1ED61CF8"/>
    <w:rsid w:val="1EDA5C39"/>
    <w:rsid w:val="1EDD3086"/>
    <w:rsid w:val="1EE82024"/>
    <w:rsid w:val="1EFF124F"/>
    <w:rsid w:val="1F000CDC"/>
    <w:rsid w:val="1F1620F4"/>
    <w:rsid w:val="1F1C595D"/>
    <w:rsid w:val="1F1D16D5"/>
    <w:rsid w:val="1F301408"/>
    <w:rsid w:val="1F341150"/>
    <w:rsid w:val="1F3A5D31"/>
    <w:rsid w:val="1F3C5FFF"/>
    <w:rsid w:val="1F444EB4"/>
    <w:rsid w:val="1F446C62"/>
    <w:rsid w:val="1F464788"/>
    <w:rsid w:val="1F503858"/>
    <w:rsid w:val="1F56559A"/>
    <w:rsid w:val="1F6410B2"/>
    <w:rsid w:val="1F811C64"/>
    <w:rsid w:val="1F813A12"/>
    <w:rsid w:val="1F8B2AE2"/>
    <w:rsid w:val="1F9000F9"/>
    <w:rsid w:val="1F9004D9"/>
    <w:rsid w:val="1F9C084C"/>
    <w:rsid w:val="1F9E45C4"/>
    <w:rsid w:val="1FA53BA4"/>
    <w:rsid w:val="1FB00EE7"/>
    <w:rsid w:val="1FC3402A"/>
    <w:rsid w:val="1FC971DA"/>
    <w:rsid w:val="1FD0596B"/>
    <w:rsid w:val="1FD77AD6"/>
    <w:rsid w:val="1FE741BD"/>
    <w:rsid w:val="1FE83A91"/>
    <w:rsid w:val="1FEA5A5B"/>
    <w:rsid w:val="1FF8608A"/>
    <w:rsid w:val="1FFC753C"/>
    <w:rsid w:val="20166850"/>
    <w:rsid w:val="2020147D"/>
    <w:rsid w:val="20340A84"/>
    <w:rsid w:val="20407429"/>
    <w:rsid w:val="204D7D98"/>
    <w:rsid w:val="204F119E"/>
    <w:rsid w:val="20605D1D"/>
    <w:rsid w:val="206724B7"/>
    <w:rsid w:val="206C021E"/>
    <w:rsid w:val="207417C9"/>
    <w:rsid w:val="20880DD0"/>
    <w:rsid w:val="208F215E"/>
    <w:rsid w:val="20915ED7"/>
    <w:rsid w:val="209E354E"/>
    <w:rsid w:val="20A26A4C"/>
    <w:rsid w:val="20A83220"/>
    <w:rsid w:val="20B41BC5"/>
    <w:rsid w:val="20B47E17"/>
    <w:rsid w:val="20B54B1F"/>
    <w:rsid w:val="20BF7061"/>
    <w:rsid w:val="20CC5161"/>
    <w:rsid w:val="20D81D57"/>
    <w:rsid w:val="20D83B05"/>
    <w:rsid w:val="20D9162C"/>
    <w:rsid w:val="21050673"/>
    <w:rsid w:val="21294361"/>
    <w:rsid w:val="212E1977"/>
    <w:rsid w:val="21336F8E"/>
    <w:rsid w:val="21415B4F"/>
    <w:rsid w:val="21472CE9"/>
    <w:rsid w:val="214D099D"/>
    <w:rsid w:val="21710C7A"/>
    <w:rsid w:val="217E5680"/>
    <w:rsid w:val="218E0668"/>
    <w:rsid w:val="219F4309"/>
    <w:rsid w:val="21A165ED"/>
    <w:rsid w:val="21B04A82"/>
    <w:rsid w:val="21B13157"/>
    <w:rsid w:val="21B83EE0"/>
    <w:rsid w:val="21BA320B"/>
    <w:rsid w:val="21C4408A"/>
    <w:rsid w:val="21C67E02"/>
    <w:rsid w:val="21FC3824"/>
    <w:rsid w:val="22160D89"/>
    <w:rsid w:val="22230F15"/>
    <w:rsid w:val="22350AE4"/>
    <w:rsid w:val="223631D9"/>
    <w:rsid w:val="223C00C4"/>
    <w:rsid w:val="22401962"/>
    <w:rsid w:val="224F1BA5"/>
    <w:rsid w:val="2251497C"/>
    <w:rsid w:val="22625D7D"/>
    <w:rsid w:val="226338A3"/>
    <w:rsid w:val="226D64CF"/>
    <w:rsid w:val="227C6712"/>
    <w:rsid w:val="228A7081"/>
    <w:rsid w:val="22925F36"/>
    <w:rsid w:val="229657DF"/>
    <w:rsid w:val="229E7268"/>
    <w:rsid w:val="22A801EB"/>
    <w:rsid w:val="22AB7ADF"/>
    <w:rsid w:val="22B52CA4"/>
    <w:rsid w:val="22B81E40"/>
    <w:rsid w:val="22BE6D2B"/>
    <w:rsid w:val="22D14CB0"/>
    <w:rsid w:val="22D402FC"/>
    <w:rsid w:val="22E94F81"/>
    <w:rsid w:val="22F77F72"/>
    <w:rsid w:val="23024E6A"/>
    <w:rsid w:val="23102387"/>
    <w:rsid w:val="23137077"/>
    <w:rsid w:val="231A398A"/>
    <w:rsid w:val="23255C4A"/>
    <w:rsid w:val="232E2103"/>
    <w:rsid w:val="233A4603"/>
    <w:rsid w:val="233D0598"/>
    <w:rsid w:val="2342795C"/>
    <w:rsid w:val="23454AE1"/>
    <w:rsid w:val="23502079"/>
    <w:rsid w:val="235356C5"/>
    <w:rsid w:val="23566F63"/>
    <w:rsid w:val="235A6A54"/>
    <w:rsid w:val="23720241"/>
    <w:rsid w:val="23767606"/>
    <w:rsid w:val="238B4578"/>
    <w:rsid w:val="239B0E1A"/>
    <w:rsid w:val="239C52BE"/>
    <w:rsid w:val="23A128D5"/>
    <w:rsid w:val="23A45F21"/>
    <w:rsid w:val="23A91789"/>
    <w:rsid w:val="23B3245D"/>
    <w:rsid w:val="23BD5235"/>
    <w:rsid w:val="23BF4856"/>
    <w:rsid w:val="23C465C3"/>
    <w:rsid w:val="23CB5BA3"/>
    <w:rsid w:val="23D41D17"/>
    <w:rsid w:val="23D700A4"/>
    <w:rsid w:val="23DE7685"/>
    <w:rsid w:val="23E97DD8"/>
    <w:rsid w:val="23EB1DA2"/>
    <w:rsid w:val="23EE75CC"/>
    <w:rsid w:val="23F01166"/>
    <w:rsid w:val="24003A9F"/>
    <w:rsid w:val="2406166C"/>
    <w:rsid w:val="241412F8"/>
    <w:rsid w:val="241A61E3"/>
    <w:rsid w:val="243279D1"/>
    <w:rsid w:val="243A6885"/>
    <w:rsid w:val="243C6BCF"/>
    <w:rsid w:val="243E0123"/>
    <w:rsid w:val="244871F4"/>
    <w:rsid w:val="244F0582"/>
    <w:rsid w:val="24507E57"/>
    <w:rsid w:val="2452597D"/>
    <w:rsid w:val="24704055"/>
    <w:rsid w:val="24747FE9"/>
    <w:rsid w:val="247C0C4C"/>
    <w:rsid w:val="2480073C"/>
    <w:rsid w:val="24831FDA"/>
    <w:rsid w:val="248D2E59"/>
    <w:rsid w:val="24977834"/>
    <w:rsid w:val="24A21F95"/>
    <w:rsid w:val="24AF2DCF"/>
    <w:rsid w:val="24B65F0C"/>
    <w:rsid w:val="24B91EA0"/>
    <w:rsid w:val="24CC3981"/>
    <w:rsid w:val="24D0209A"/>
    <w:rsid w:val="24D42836"/>
    <w:rsid w:val="24DD5B8E"/>
    <w:rsid w:val="24DF37F0"/>
    <w:rsid w:val="24E52C95"/>
    <w:rsid w:val="24ED3614"/>
    <w:rsid w:val="2500187D"/>
    <w:rsid w:val="2503311B"/>
    <w:rsid w:val="250E5D48"/>
    <w:rsid w:val="25170133"/>
    <w:rsid w:val="251B66B7"/>
    <w:rsid w:val="2524184E"/>
    <w:rsid w:val="25257535"/>
    <w:rsid w:val="253422BE"/>
    <w:rsid w:val="25396B3D"/>
    <w:rsid w:val="253A4D8F"/>
    <w:rsid w:val="25437D0A"/>
    <w:rsid w:val="25494FD2"/>
    <w:rsid w:val="255504EA"/>
    <w:rsid w:val="25551BC9"/>
    <w:rsid w:val="256E67E6"/>
    <w:rsid w:val="258204E4"/>
    <w:rsid w:val="258778A8"/>
    <w:rsid w:val="25891872"/>
    <w:rsid w:val="259C15A5"/>
    <w:rsid w:val="25A55F80"/>
    <w:rsid w:val="25A57CC0"/>
    <w:rsid w:val="25C7239A"/>
    <w:rsid w:val="25E23020"/>
    <w:rsid w:val="25FF7D86"/>
    <w:rsid w:val="26170C2C"/>
    <w:rsid w:val="261847E3"/>
    <w:rsid w:val="26243349"/>
    <w:rsid w:val="262477ED"/>
    <w:rsid w:val="26282E39"/>
    <w:rsid w:val="262F241A"/>
    <w:rsid w:val="263712CE"/>
    <w:rsid w:val="26487037"/>
    <w:rsid w:val="26527EB6"/>
    <w:rsid w:val="26581242"/>
    <w:rsid w:val="265C643B"/>
    <w:rsid w:val="265F1B6B"/>
    <w:rsid w:val="266876DA"/>
    <w:rsid w:val="266C203C"/>
    <w:rsid w:val="266F0A68"/>
    <w:rsid w:val="26751DF6"/>
    <w:rsid w:val="267B5C7C"/>
    <w:rsid w:val="267E6EFD"/>
    <w:rsid w:val="2682074C"/>
    <w:rsid w:val="26A1499A"/>
    <w:rsid w:val="26AF355A"/>
    <w:rsid w:val="26C50688"/>
    <w:rsid w:val="26CF1507"/>
    <w:rsid w:val="26D703BB"/>
    <w:rsid w:val="26E2748C"/>
    <w:rsid w:val="27094CDC"/>
    <w:rsid w:val="27370504"/>
    <w:rsid w:val="273C651C"/>
    <w:rsid w:val="273F48DE"/>
    <w:rsid w:val="27473793"/>
    <w:rsid w:val="274E4B21"/>
    <w:rsid w:val="274E6DEE"/>
    <w:rsid w:val="27704AA1"/>
    <w:rsid w:val="277F78C1"/>
    <w:rsid w:val="277F7B9D"/>
    <w:rsid w:val="27855AC2"/>
    <w:rsid w:val="2786356E"/>
    <w:rsid w:val="27A5444E"/>
    <w:rsid w:val="27A746DC"/>
    <w:rsid w:val="27AC2841"/>
    <w:rsid w:val="27BD1CA7"/>
    <w:rsid w:val="27C06809"/>
    <w:rsid w:val="27D50D9F"/>
    <w:rsid w:val="27F31225"/>
    <w:rsid w:val="27F54350"/>
    <w:rsid w:val="28094EEC"/>
    <w:rsid w:val="280B42F7"/>
    <w:rsid w:val="280D0539"/>
    <w:rsid w:val="28100029"/>
    <w:rsid w:val="28164F13"/>
    <w:rsid w:val="282231B6"/>
    <w:rsid w:val="2831044E"/>
    <w:rsid w:val="28376833"/>
    <w:rsid w:val="28377363"/>
    <w:rsid w:val="283C7070"/>
    <w:rsid w:val="283D2874"/>
    <w:rsid w:val="28546167"/>
    <w:rsid w:val="286363AA"/>
    <w:rsid w:val="28677014"/>
    <w:rsid w:val="28844573"/>
    <w:rsid w:val="28865233"/>
    <w:rsid w:val="288822B5"/>
    <w:rsid w:val="28884063"/>
    <w:rsid w:val="289320F1"/>
    <w:rsid w:val="289B3D96"/>
    <w:rsid w:val="289E3886"/>
    <w:rsid w:val="28B704A4"/>
    <w:rsid w:val="28C07998"/>
    <w:rsid w:val="28C76B60"/>
    <w:rsid w:val="28C826B1"/>
    <w:rsid w:val="28CA642A"/>
    <w:rsid w:val="28D34795"/>
    <w:rsid w:val="28DB23E5"/>
    <w:rsid w:val="28DF17A9"/>
    <w:rsid w:val="28EA087A"/>
    <w:rsid w:val="28EE67D0"/>
    <w:rsid w:val="28F60FCD"/>
    <w:rsid w:val="28FA6586"/>
    <w:rsid w:val="28FE2577"/>
    <w:rsid w:val="2902118B"/>
    <w:rsid w:val="290304F0"/>
    <w:rsid w:val="290F02E0"/>
    <w:rsid w:val="2916341D"/>
    <w:rsid w:val="29180BBD"/>
    <w:rsid w:val="291B6C85"/>
    <w:rsid w:val="29243FC6"/>
    <w:rsid w:val="292A511A"/>
    <w:rsid w:val="292E6004"/>
    <w:rsid w:val="29351D34"/>
    <w:rsid w:val="2940049A"/>
    <w:rsid w:val="294E0E09"/>
    <w:rsid w:val="294F692F"/>
    <w:rsid w:val="29567CBD"/>
    <w:rsid w:val="29622B06"/>
    <w:rsid w:val="29695C42"/>
    <w:rsid w:val="29802F8C"/>
    <w:rsid w:val="29933451"/>
    <w:rsid w:val="29946A38"/>
    <w:rsid w:val="299A22A0"/>
    <w:rsid w:val="299D3B3E"/>
    <w:rsid w:val="29A50C45"/>
    <w:rsid w:val="29B82726"/>
    <w:rsid w:val="29BF3AB4"/>
    <w:rsid w:val="29CC61D1"/>
    <w:rsid w:val="29DA08EE"/>
    <w:rsid w:val="29E03A2B"/>
    <w:rsid w:val="29F13D11"/>
    <w:rsid w:val="2A05366E"/>
    <w:rsid w:val="2A070FB7"/>
    <w:rsid w:val="2A092857"/>
    <w:rsid w:val="2A135BAE"/>
    <w:rsid w:val="2A1D6A2D"/>
    <w:rsid w:val="2A306760"/>
    <w:rsid w:val="2A312B92"/>
    <w:rsid w:val="2A5A37DD"/>
    <w:rsid w:val="2A5B0821"/>
    <w:rsid w:val="2A5C1303"/>
    <w:rsid w:val="2A5C2801"/>
    <w:rsid w:val="2A7523C5"/>
    <w:rsid w:val="2A88659C"/>
    <w:rsid w:val="2A8F22A5"/>
    <w:rsid w:val="2A9F38E6"/>
    <w:rsid w:val="2AA131BA"/>
    <w:rsid w:val="2AA36C67"/>
    <w:rsid w:val="2AA607D0"/>
    <w:rsid w:val="2AAD24AE"/>
    <w:rsid w:val="2ABC1DA2"/>
    <w:rsid w:val="2ABE5B1A"/>
    <w:rsid w:val="2AC11AAE"/>
    <w:rsid w:val="2ACE1AD5"/>
    <w:rsid w:val="2ACF5F79"/>
    <w:rsid w:val="2AD417E1"/>
    <w:rsid w:val="2AE61515"/>
    <w:rsid w:val="2AE8528D"/>
    <w:rsid w:val="2AF27EBA"/>
    <w:rsid w:val="2AF53E06"/>
    <w:rsid w:val="2B004385"/>
    <w:rsid w:val="2B0231AA"/>
    <w:rsid w:val="2B1716CE"/>
    <w:rsid w:val="2B1B2F6C"/>
    <w:rsid w:val="2B1C4F36"/>
    <w:rsid w:val="2B261911"/>
    <w:rsid w:val="2B277B63"/>
    <w:rsid w:val="2B4D50F0"/>
    <w:rsid w:val="2B4F0E68"/>
    <w:rsid w:val="2B504D9D"/>
    <w:rsid w:val="2B560448"/>
    <w:rsid w:val="2B612949"/>
    <w:rsid w:val="2B632B65"/>
    <w:rsid w:val="2B6C37C8"/>
    <w:rsid w:val="2B70072D"/>
    <w:rsid w:val="2B7663F5"/>
    <w:rsid w:val="2B844FB6"/>
    <w:rsid w:val="2B8458DC"/>
    <w:rsid w:val="2B856638"/>
    <w:rsid w:val="2B8723B0"/>
    <w:rsid w:val="2B980A61"/>
    <w:rsid w:val="2B9D1BD3"/>
    <w:rsid w:val="2BB1742D"/>
    <w:rsid w:val="2BB37649"/>
    <w:rsid w:val="2BB77843"/>
    <w:rsid w:val="2BB86A0D"/>
    <w:rsid w:val="2BBF5FEE"/>
    <w:rsid w:val="2BC74EA2"/>
    <w:rsid w:val="2BD001FB"/>
    <w:rsid w:val="2BDF21EC"/>
    <w:rsid w:val="2BE315B0"/>
    <w:rsid w:val="2BE615F5"/>
    <w:rsid w:val="2BE772F2"/>
    <w:rsid w:val="2BF67536"/>
    <w:rsid w:val="2BF957FB"/>
    <w:rsid w:val="2C002162"/>
    <w:rsid w:val="2C063C1D"/>
    <w:rsid w:val="2C271DE5"/>
    <w:rsid w:val="2C363DD6"/>
    <w:rsid w:val="2C372028"/>
    <w:rsid w:val="2C3D4F9B"/>
    <w:rsid w:val="2C4D1FD1"/>
    <w:rsid w:val="2C555C95"/>
    <w:rsid w:val="2C673F8F"/>
    <w:rsid w:val="2C7341CE"/>
    <w:rsid w:val="2C8903AA"/>
    <w:rsid w:val="2C9B712E"/>
    <w:rsid w:val="2CA156F3"/>
    <w:rsid w:val="2CA84CD4"/>
    <w:rsid w:val="2CB01DDA"/>
    <w:rsid w:val="2CC50FA3"/>
    <w:rsid w:val="2CC567B5"/>
    <w:rsid w:val="2CCB5AF7"/>
    <w:rsid w:val="2CD721FE"/>
    <w:rsid w:val="2CD8457F"/>
    <w:rsid w:val="2CD93052"/>
    <w:rsid w:val="2CDC672B"/>
    <w:rsid w:val="2CE83322"/>
    <w:rsid w:val="2CF3274D"/>
    <w:rsid w:val="2CF47F19"/>
    <w:rsid w:val="2D067C4C"/>
    <w:rsid w:val="2D145EC5"/>
    <w:rsid w:val="2D1C4D7A"/>
    <w:rsid w:val="2D227F11"/>
    <w:rsid w:val="2D281971"/>
    <w:rsid w:val="2D3E73E6"/>
    <w:rsid w:val="2D460170"/>
    <w:rsid w:val="2D483DC1"/>
    <w:rsid w:val="2D4B565F"/>
    <w:rsid w:val="2D5409B8"/>
    <w:rsid w:val="2D564730"/>
    <w:rsid w:val="2D5E35E4"/>
    <w:rsid w:val="2D7746A6"/>
    <w:rsid w:val="2D7D7F0E"/>
    <w:rsid w:val="2D88240F"/>
    <w:rsid w:val="2D8A43D9"/>
    <w:rsid w:val="2D8D5C78"/>
    <w:rsid w:val="2D917516"/>
    <w:rsid w:val="2D9708A4"/>
    <w:rsid w:val="2D98675D"/>
    <w:rsid w:val="2D9B65E7"/>
    <w:rsid w:val="2DA74F8B"/>
    <w:rsid w:val="2DB142AE"/>
    <w:rsid w:val="2DBB1C01"/>
    <w:rsid w:val="2DCC67A0"/>
    <w:rsid w:val="2DCE2518"/>
    <w:rsid w:val="2DDF2977"/>
    <w:rsid w:val="2DDF4725"/>
    <w:rsid w:val="2DEE2BBA"/>
    <w:rsid w:val="2DFA60BA"/>
    <w:rsid w:val="2DFE26D1"/>
    <w:rsid w:val="2E0423DE"/>
    <w:rsid w:val="2E093550"/>
    <w:rsid w:val="2E1B7727"/>
    <w:rsid w:val="2E293BF2"/>
    <w:rsid w:val="2E344345"/>
    <w:rsid w:val="2E3A195C"/>
    <w:rsid w:val="2E3F3416"/>
    <w:rsid w:val="2E41718E"/>
    <w:rsid w:val="2E4A5917"/>
    <w:rsid w:val="2E5834DA"/>
    <w:rsid w:val="2E5C3FC8"/>
    <w:rsid w:val="2E5F16C0"/>
    <w:rsid w:val="2E642E7C"/>
    <w:rsid w:val="2E6609A2"/>
    <w:rsid w:val="2E6764C9"/>
    <w:rsid w:val="2E6B5FB9"/>
    <w:rsid w:val="2E7035CF"/>
    <w:rsid w:val="2E734E6D"/>
    <w:rsid w:val="2E81758A"/>
    <w:rsid w:val="2E823302"/>
    <w:rsid w:val="2E982B26"/>
    <w:rsid w:val="2E9D638E"/>
    <w:rsid w:val="2E9F5C62"/>
    <w:rsid w:val="2EA11A1E"/>
    <w:rsid w:val="2EA96F04"/>
    <w:rsid w:val="2EBF00B3"/>
    <w:rsid w:val="2EC456C9"/>
    <w:rsid w:val="2EC61121"/>
    <w:rsid w:val="2ED2428A"/>
    <w:rsid w:val="2ED753FC"/>
    <w:rsid w:val="2EE272C5"/>
    <w:rsid w:val="2EE75109"/>
    <w:rsid w:val="2F000DF7"/>
    <w:rsid w:val="2F034443"/>
    <w:rsid w:val="2F0401BB"/>
    <w:rsid w:val="2F097580"/>
    <w:rsid w:val="2F0E4B96"/>
    <w:rsid w:val="2F1403FE"/>
    <w:rsid w:val="2F230642"/>
    <w:rsid w:val="2F2461C7"/>
    <w:rsid w:val="2F2A1380"/>
    <w:rsid w:val="2F3A598B"/>
    <w:rsid w:val="2F4131BE"/>
    <w:rsid w:val="2F503401"/>
    <w:rsid w:val="2F522CD5"/>
    <w:rsid w:val="2F5702EB"/>
    <w:rsid w:val="2F5C3B54"/>
    <w:rsid w:val="2F68074A"/>
    <w:rsid w:val="2F740E9D"/>
    <w:rsid w:val="2F792957"/>
    <w:rsid w:val="2F835584"/>
    <w:rsid w:val="2F866E22"/>
    <w:rsid w:val="2F9037FD"/>
    <w:rsid w:val="2F947791"/>
    <w:rsid w:val="2F9C7511"/>
    <w:rsid w:val="2FA03E0F"/>
    <w:rsid w:val="2FA554FB"/>
    <w:rsid w:val="2FB87737"/>
    <w:rsid w:val="2FB92D54"/>
    <w:rsid w:val="2FBB6ACC"/>
    <w:rsid w:val="2FC260AC"/>
    <w:rsid w:val="2FC324F5"/>
    <w:rsid w:val="2FD14541"/>
    <w:rsid w:val="2FD34791"/>
    <w:rsid w:val="2FD47B8E"/>
    <w:rsid w:val="2FDB716E"/>
    <w:rsid w:val="2FE13972"/>
    <w:rsid w:val="2FE204FD"/>
    <w:rsid w:val="2FE778C1"/>
    <w:rsid w:val="2FEA73B1"/>
    <w:rsid w:val="2FEE3B30"/>
    <w:rsid w:val="2FFD5337"/>
    <w:rsid w:val="3002294D"/>
    <w:rsid w:val="300E30A0"/>
    <w:rsid w:val="3014045B"/>
    <w:rsid w:val="30275F10"/>
    <w:rsid w:val="302A5A00"/>
    <w:rsid w:val="304C3BC8"/>
    <w:rsid w:val="30711881"/>
    <w:rsid w:val="3075311F"/>
    <w:rsid w:val="308E2433"/>
    <w:rsid w:val="308E41E1"/>
    <w:rsid w:val="30924DDF"/>
    <w:rsid w:val="309C68FD"/>
    <w:rsid w:val="30A12166"/>
    <w:rsid w:val="30A47560"/>
    <w:rsid w:val="30C714A1"/>
    <w:rsid w:val="30D7561F"/>
    <w:rsid w:val="30D96213"/>
    <w:rsid w:val="30DA11D4"/>
    <w:rsid w:val="30DA5678"/>
    <w:rsid w:val="30E12562"/>
    <w:rsid w:val="30E72BFB"/>
    <w:rsid w:val="30EE2ED1"/>
    <w:rsid w:val="30F57DBC"/>
    <w:rsid w:val="312E1520"/>
    <w:rsid w:val="31374878"/>
    <w:rsid w:val="3152520E"/>
    <w:rsid w:val="316E7B6E"/>
    <w:rsid w:val="31774C75"/>
    <w:rsid w:val="317A6513"/>
    <w:rsid w:val="3186310A"/>
    <w:rsid w:val="31970312"/>
    <w:rsid w:val="319C46DB"/>
    <w:rsid w:val="319E0453"/>
    <w:rsid w:val="31A737AC"/>
    <w:rsid w:val="31AC0DC2"/>
    <w:rsid w:val="31BC4D7D"/>
    <w:rsid w:val="31C43C8D"/>
    <w:rsid w:val="31C75BFC"/>
    <w:rsid w:val="31EA18EB"/>
    <w:rsid w:val="31F462C5"/>
    <w:rsid w:val="31F87952"/>
    <w:rsid w:val="321A0471"/>
    <w:rsid w:val="321D581C"/>
    <w:rsid w:val="322A1CE7"/>
    <w:rsid w:val="322C421F"/>
    <w:rsid w:val="3240775C"/>
    <w:rsid w:val="324803BF"/>
    <w:rsid w:val="324F44D1"/>
    <w:rsid w:val="32513718"/>
    <w:rsid w:val="32580B66"/>
    <w:rsid w:val="325B1813"/>
    <w:rsid w:val="326057D9"/>
    <w:rsid w:val="327C2DC0"/>
    <w:rsid w:val="32891103"/>
    <w:rsid w:val="328F5FEE"/>
    <w:rsid w:val="32957AA8"/>
    <w:rsid w:val="32990C1B"/>
    <w:rsid w:val="32A45F3D"/>
    <w:rsid w:val="32A73338"/>
    <w:rsid w:val="32AF043E"/>
    <w:rsid w:val="32B85545"/>
    <w:rsid w:val="32CD6857"/>
    <w:rsid w:val="32CD7BC7"/>
    <w:rsid w:val="32D57EA5"/>
    <w:rsid w:val="32E67349"/>
    <w:rsid w:val="32FA5B5D"/>
    <w:rsid w:val="32FF1264"/>
    <w:rsid w:val="33182487"/>
    <w:rsid w:val="331D184C"/>
    <w:rsid w:val="33226E62"/>
    <w:rsid w:val="3326373F"/>
    <w:rsid w:val="333C6176"/>
    <w:rsid w:val="334868C9"/>
    <w:rsid w:val="33550FE6"/>
    <w:rsid w:val="335771DC"/>
    <w:rsid w:val="335C7983"/>
    <w:rsid w:val="33686F6B"/>
    <w:rsid w:val="33743B62"/>
    <w:rsid w:val="338B2C59"/>
    <w:rsid w:val="338E37D7"/>
    <w:rsid w:val="339C4E66"/>
    <w:rsid w:val="33A44E48"/>
    <w:rsid w:val="33B006C1"/>
    <w:rsid w:val="33CD5020"/>
    <w:rsid w:val="33CF6FEA"/>
    <w:rsid w:val="33D27F07"/>
    <w:rsid w:val="33D95773"/>
    <w:rsid w:val="33DD1D36"/>
    <w:rsid w:val="33DF326B"/>
    <w:rsid w:val="33E16D1D"/>
    <w:rsid w:val="33E81E5A"/>
    <w:rsid w:val="33E86ECF"/>
    <w:rsid w:val="33EC194A"/>
    <w:rsid w:val="33FC7E90"/>
    <w:rsid w:val="341C5D39"/>
    <w:rsid w:val="343230D5"/>
    <w:rsid w:val="3434509F"/>
    <w:rsid w:val="343B01DB"/>
    <w:rsid w:val="343B467F"/>
    <w:rsid w:val="343C44DA"/>
    <w:rsid w:val="34623A6B"/>
    <w:rsid w:val="346A6D13"/>
    <w:rsid w:val="34790D04"/>
    <w:rsid w:val="34796F56"/>
    <w:rsid w:val="347B0F20"/>
    <w:rsid w:val="3482405C"/>
    <w:rsid w:val="348E2A01"/>
    <w:rsid w:val="348E47AF"/>
    <w:rsid w:val="34954F50"/>
    <w:rsid w:val="34993154"/>
    <w:rsid w:val="34BB756E"/>
    <w:rsid w:val="34C46423"/>
    <w:rsid w:val="34C71A6F"/>
    <w:rsid w:val="34D40AB8"/>
    <w:rsid w:val="34D827D7"/>
    <w:rsid w:val="34D8459F"/>
    <w:rsid w:val="34E00D28"/>
    <w:rsid w:val="34EF0FC6"/>
    <w:rsid w:val="34F62354"/>
    <w:rsid w:val="3503346B"/>
    <w:rsid w:val="35243365"/>
    <w:rsid w:val="35265452"/>
    <w:rsid w:val="353115DE"/>
    <w:rsid w:val="35325A82"/>
    <w:rsid w:val="35335357"/>
    <w:rsid w:val="353D61D5"/>
    <w:rsid w:val="35496928"/>
    <w:rsid w:val="35556066"/>
    <w:rsid w:val="35613C72"/>
    <w:rsid w:val="35727C2D"/>
    <w:rsid w:val="357339A5"/>
    <w:rsid w:val="357A7525"/>
    <w:rsid w:val="357D27F8"/>
    <w:rsid w:val="35814314"/>
    <w:rsid w:val="358362DE"/>
    <w:rsid w:val="35954682"/>
    <w:rsid w:val="35973B37"/>
    <w:rsid w:val="359A53D6"/>
    <w:rsid w:val="35CD57AB"/>
    <w:rsid w:val="35D501BC"/>
    <w:rsid w:val="35DA5AFC"/>
    <w:rsid w:val="35EA010B"/>
    <w:rsid w:val="35F235F7"/>
    <w:rsid w:val="35F9034E"/>
    <w:rsid w:val="360C6E41"/>
    <w:rsid w:val="360F7B72"/>
    <w:rsid w:val="36117028"/>
    <w:rsid w:val="36127662"/>
    <w:rsid w:val="361707D4"/>
    <w:rsid w:val="36236819"/>
    <w:rsid w:val="36274EBB"/>
    <w:rsid w:val="362B4280"/>
    <w:rsid w:val="36301896"/>
    <w:rsid w:val="36315D3A"/>
    <w:rsid w:val="36407D2B"/>
    <w:rsid w:val="3652180C"/>
    <w:rsid w:val="36525CB0"/>
    <w:rsid w:val="3656754F"/>
    <w:rsid w:val="36575A48"/>
    <w:rsid w:val="365C268B"/>
    <w:rsid w:val="36653CCF"/>
    <w:rsid w:val="36752F3E"/>
    <w:rsid w:val="367B7FC3"/>
    <w:rsid w:val="36871DCF"/>
    <w:rsid w:val="369167D9"/>
    <w:rsid w:val="369260AD"/>
    <w:rsid w:val="369D3403"/>
    <w:rsid w:val="369D414B"/>
    <w:rsid w:val="36A93B22"/>
    <w:rsid w:val="36AA33F6"/>
    <w:rsid w:val="36B129D7"/>
    <w:rsid w:val="36C721FA"/>
    <w:rsid w:val="36C95F72"/>
    <w:rsid w:val="36CF347B"/>
    <w:rsid w:val="36D13079"/>
    <w:rsid w:val="36D641EB"/>
    <w:rsid w:val="36DB57AB"/>
    <w:rsid w:val="36E36908"/>
    <w:rsid w:val="36FC6348"/>
    <w:rsid w:val="36FD3E6E"/>
    <w:rsid w:val="36FF3742"/>
    <w:rsid w:val="370945C1"/>
    <w:rsid w:val="37145187"/>
    <w:rsid w:val="3715513B"/>
    <w:rsid w:val="37164F30"/>
    <w:rsid w:val="371D62BE"/>
    <w:rsid w:val="372A4537"/>
    <w:rsid w:val="3731510F"/>
    <w:rsid w:val="37335AE2"/>
    <w:rsid w:val="373D426B"/>
    <w:rsid w:val="373F4487"/>
    <w:rsid w:val="374B4C2A"/>
    <w:rsid w:val="374D6BA3"/>
    <w:rsid w:val="375A7A49"/>
    <w:rsid w:val="3768578B"/>
    <w:rsid w:val="376C4B50"/>
    <w:rsid w:val="377311F1"/>
    <w:rsid w:val="37735EDE"/>
    <w:rsid w:val="377A54BF"/>
    <w:rsid w:val="37873738"/>
    <w:rsid w:val="378974B0"/>
    <w:rsid w:val="37A64B53"/>
    <w:rsid w:val="37A662B4"/>
    <w:rsid w:val="37AE14B9"/>
    <w:rsid w:val="37B207B5"/>
    <w:rsid w:val="37B409D1"/>
    <w:rsid w:val="37C30C14"/>
    <w:rsid w:val="37C52BDE"/>
    <w:rsid w:val="37D83F93"/>
    <w:rsid w:val="37E776CD"/>
    <w:rsid w:val="37F214F9"/>
    <w:rsid w:val="37F963E3"/>
    <w:rsid w:val="37FF36C2"/>
    <w:rsid w:val="37FF7772"/>
    <w:rsid w:val="380056EB"/>
    <w:rsid w:val="3805122C"/>
    <w:rsid w:val="380A6843"/>
    <w:rsid w:val="380B25BB"/>
    <w:rsid w:val="381256F7"/>
    <w:rsid w:val="3814321D"/>
    <w:rsid w:val="38200730"/>
    <w:rsid w:val="3821593A"/>
    <w:rsid w:val="384F4255"/>
    <w:rsid w:val="38555055"/>
    <w:rsid w:val="385D26A0"/>
    <w:rsid w:val="386D1B95"/>
    <w:rsid w:val="38795776"/>
    <w:rsid w:val="38797524"/>
    <w:rsid w:val="387F6B81"/>
    <w:rsid w:val="3887374E"/>
    <w:rsid w:val="389205E6"/>
    <w:rsid w:val="38A10829"/>
    <w:rsid w:val="38BB5D8F"/>
    <w:rsid w:val="38C20ECB"/>
    <w:rsid w:val="38C2711D"/>
    <w:rsid w:val="38C52C46"/>
    <w:rsid w:val="38CA7D80"/>
    <w:rsid w:val="38D86941"/>
    <w:rsid w:val="38E01351"/>
    <w:rsid w:val="38E5105E"/>
    <w:rsid w:val="38EF007A"/>
    <w:rsid w:val="38F372D7"/>
    <w:rsid w:val="390019F4"/>
    <w:rsid w:val="39047736"/>
    <w:rsid w:val="390E55DB"/>
    <w:rsid w:val="39237490"/>
    <w:rsid w:val="39253208"/>
    <w:rsid w:val="392751D2"/>
    <w:rsid w:val="39294A11"/>
    <w:rsid w:val="393032B1"/>
    <w:rsid w:val="393671C3"/>
    <w:rsid w:val="39382F3B"/>
    <w:rsid w:val="393A3157"/>
    <w:rsid w:val="393C6877"/>
    <w:rsid w:val="394A0EC1"/>
    <w:rsid w:val="395C1320"/>
    <w:rsid w:val="3962445C"/>
    <w:rsid w:val="39627FB8"/>
    <w:rsid w:val="396C52DB"/>
    <w:rsid w:val="39755F3E"/>
    <w:rsid w:val="397A17A6"/>
    <w:rsid w:val="397B72CC"/>
    <w:rsid w:val="397D3044"/>
    <w:rsid w:val="39916AF0"/>
    <w:rsid w:val="39965EB4"/>
    <w:rsid w:val="39B34CB8"/>
    <w:rsid w:val="39C742BF"/>
    <w:rsid w:val="39D23390"/>
    <w:rsid w:val="39D960E8"/>
    <w:rsid w:val="39DC7D6B"/>
    <w:rsid w:val="39F2063F"/>
    <w:rsid w:val="39FA28E7"/>
    <w:rsid w:val="39FF7EFD"/>
    <w:rsid w:val="3A15327D"/>
    <w:rsid w:val="3A2F2590"/>
    <w:rsid w:val="3A39340F"/>
    <w:rsid w:val="3A3C4CAD"/>
    <w:rsid w:val="3A4678DA"/>
    <w:rsid w:val="3A4A73CA"/>
    <w:rsid w:val="3A683CF4"/>
    <w:rsid w:val="3A787036"/>
    <w:rsid w:val="3A850402"/>
    <w:rsid w:val="3A8D5509"/>
    <w:rsid w:val="3A927A2B"/>
    <w:rsid w:val="3A96323D"/>
    <w:rsid w:val="3A9B19D4"/>
    <w:rsid w:val="3AA06FEA"/>
    <w:rsid w:val="3AA86CE8"/>
    <w:rsid w:val="3AB900AC"/>
    <w:rsid w:val="3AB94550"/>
    <w:rsid w:val="3AC0768C"/>
    <w:rsid w:val="3AD61725"/>
    <w:rsid w:val="3AE25855"/>
    <w:rsid w:val="3AEA64B7"/>
    <w:rsid w:val="3AEA720B"/>
    <w:rsid w:val="3AEC66D3"/>
    <w:rsid w:val="3AEF7F72"/>
    <w:rsid w:val="3AF43C81"/>
    <w:rsid w:val="3AF85078"/>
    <w:rsid w:val="3B043A1D"/>
    <w:rsid w:val="3B051543"/>
    <w:rsid w:val="3B115C71"/>
    <w:rsid w:val="3B2D0303"/>
    <w:rsid w:val="3B34629D"/>
    <w:rsid w:val="3B464036"/>
    <w:rsid w:val="3B4958D4"/>
    <w:rsid w:val="3B4F1101"/>
    <w:rsid w:val="3B5322AF"/>
    <w:rsid w:val="3B547F11"/>
    <w:rsid w:val="3B567FF1"/>
    <w:rsid w:val="3B5878C5"/>
    <w:rsid w:val="3B6778B1"/>
    <w:rsid w:val="3B762441"/>
    <w:rsid w:val="3B7A783B"/>
    <w:rsid w:val="3BA7084C"/>
    <w:rsid w:val="3BAA3A3B"/>
    <w:rsid w:val="3BAD21DD"/>
    <w:rsid w:val="3BB70A8F"/>
    <w:rsid w:val="3BB911A2"/>
    <w:rsid w:val="3BBF5B96"/>
    <w:rsid w:val="3BC44F5A"/>
    <w:rsid w:val="3BC907C3"/>
    <w:rsid w:val="3BD038FF"/>
    <w:rsid w:val="3BDC0FD0"/>
    <w:rsid w:val="3BDE372A"/>
    <w:rsid w:val="3BE1308D"/>
    <w:rsid w:val="3BE850ED"/>
    <w:rsid w:val="3BFD221A"/>
    <w:rsid w:val="3C047A4D"/>
    <w:rsid w:val="3C090BBF"/>
    <w:rsid w:val="3C096844"/>
    <w:rsid w:val="3C1934F8"/>
    <w:rsid w:val="3C1D466B"/>
    <w:rsid w:val="3C2123AD"/>
    <w:rsid w:val="3C265C15"/>
    <w:rsid w:val="3C296737"/>
    <w:rsid w:val="3C2B6D87"/>
    <w:rsid w:val="3C3245BA"/>
    <w:rsid w:val="3C3328AA"/>
    <w:rsid w:val="3C3E2F5F"/>
    <w:rsid w:val="3C552056"/>
    <w:rsid w:val="3C5C33E5"/>
    <w:rsid w:val="3C634773"/>
    <w:rsid w:val="3C84201D"/>
    <w:rsid w:val="3C8A61A4"/>
    <w:rsid w:val="3C8D7A42"/>
    <w:rsid w:val="3CA04D95"/>
    <w:rsid w:val="3CB13B28"/>
    <w:rsid w:val="3CBD0327"/>
    <w:rsid w:val="3CD1792F"/>
    <w:rsid w:val="3CD61259"/>
    <w:rsid w:val="3CD65500"/>
    <w:rsid w:val="3CD70A24"/>
    <w:rsid w:val="3CE753A4"/>
    <w:rsid w:val="3CE93CC7"/>
    <w:rsid w:val="3CEF24AB"/>
    <w:rsid w:val="3CF17FD1"/>
    <w:rsid w:val="3CF86C0D"/>
    <w:rsid w:val="3CF90C34"/>
    <w:rsid w:val="3D0F66A9"/>
    <w:rsid w:val="3D143381"/>
    <w:rsid w:val="3D1D2B74"/>
    <w:rsid w:val="3D216783"/>
    <w:rsid w:val="3D2959BD"/>
    <w:rsid w:val="3D5155CD"/>
    <w:rsid w:val="3D597924"/>
    <w:rsid w:val="3D5D11C3"/>
    <w:rsid w:val="3D602C0F"/>
    <w:rsid w:val="3D6267D9"/>
    <w:rsid w:val="3D6C3AFB"/>
    <w:rsid w:val="3D6E1622"/>
    <w:rsid w:val="3D714C6E"/>
    <w:rsid w:val="3D9077EA"/>
    <w:rsid w:val="3D92301D"/>
    <w:rsid w:val="3D9A41C5"/>
    <w:rsid w:val="3D9F17DB"/>
    <w:rsid w:val="3DA037A5"/>
    <w:rsid w:val="3DB039E8"/>
    <w:rsid w:val="3DBB413B"/>
    <w:rsid w:val="3DC01751"/>
    <w:rsid w:val="3DC76F84"/>
    <w:rsid w:val="3DE418E4"/>
    <w:rsid w:val="3DEE2762"/>
    <w:rsid w:val="3DF633C5"/>
    <w:rsid w:val="3E157CEF"/>
    <w:rsid w:val="3E25365D"/>
    <w:rsid w:val="3E391C30"/>
    <w:rsid w:val="3E503430"/>
    <w:rsid w:val="3E5878C6"/>
    <w:rsid w:val="3E5F0F6A"/>
    <w:rsid w:val="3E625E3B"/>
    <w:rsid w:val="3E673518"/>
    <w:rsid w:val="3E693B97"/>
    <w:rsid w:val="3E79027E"/>
    <w:rsid w:val="3E7F6A62"/>
    <w:rsid w:val="3E8135D7"/>
    <w:rsid w:val="3E84224A"/>
    <w:rsid w:val="3E972761"/>
    <w:rsid w:val="3EA45DE0"/>
    <w:rsid w:val="3EB5502E"/>
    <w:rsid w:val="3EBE3EE3"/>
    <w:rsid w:val="3ECD6DBE"/>
    <w:rsid w:val="3ED11044"/>
    <w:rsid w:val="3ED15FEF"/>
    <w:rsid w:val="3ED2798E"/>
    <w:rsid w:val="3ED92ACB"/>
    <w:rsid w:val="3EDE6333"/>
    <w:rsid w:val="3EE5113A"/>
    <w:rsid w:val="3EEA4CD8"/>
    <w:rsid w:val="3EEC4EF4"/>
    <w:rsid w:val="3EF06066"/>
    <w:rsid w:val="3EFE0783"/>
    <w:rsid w:val="3F0264C5"/>
    <w:rsid w:val="3F0C7426"/>
    <w:rsid w:val="3F1B2B36"/>
    <w:rsid w:val="3F2521B4"/>
    <w:rsid w:val="3F3E5024"/>
    <w:rsid w:val="3F544847"/>
    <w:rsid w:val="3F552F8C"/>
    <w:rsid w:val="3F56236D"/>
    <w:rsid w:val="3F5A718F"/>
    <w:rsid w:val="3F5F2166"/>
    <w:rsid w:val="3F634A8A"/>
    <w:rsid w:val="3F765D32"/>
    <w:rsid w:val="3F982986"/>
    <w:rsid w:val="3FA255B3"/>
    <w:rsid w:val="3FB156E1"/>
    <w:rsid w:val="3FBA73C5"/>
    <w:rsid w:val="3FC4377B"/>
    <w:rsid w:val="3FC574F3"/>
    <w:rsid w:val="3FCC09DA"/>
    <w:rsid w:val="3FCD4A75"/>
    <w:rsid w:val="3FDB6D16"/>
    <w:rsid w:val="3FF34060"/>
    <w:rsid w:val="400064CF"/>
    <w:rsid w:val="400076E1"/>
    <w:rsid w:val="400D729E"/>
    <w:rsid w:val="400E0926"/>
    <w:rsid w:val="401E0B85"/>
    <w:rsid w:val="40226500"/>
    <w:rsid w:val="40267F92"/>
    <w:rsid w:val="403C5A07"/>
    <w:rsid w:val="404502CE"/>
    <w:rsid w:val="40463BB0"/>
    <w:rsid w:val="40556615"/>
    <w:rsid w:val="405D597D"/>
    <w:rsid w:val="405D772B"/>
    <w:rsid w:val="406D5BC1"/>
    <w:rsid w:val="40776A3F"/>
    <w:rsid w:val="40956EC5"/>
    <w:rsid w:val="40970E8F"/>
    <w:rsid w:val="409A272E"/>
    <w:rsid w:val="409C46F8"/>
    <w:rsid w:val="40A2761B"/>
    <w:rsid w:val="40A435AC"/>
    <w:rsid w:val="40A47108"/>
    <w:rsid w:val="40A81BA2"/>
    <w:rsid w:val="40B0145A"/>
    <w:rsid w:val="40B41A41"/>
    <w:rsid w:val="40B51316"/>
    <w:rsid w:val="40BE466E"/>
    <w:rsid w:val="40C81049"/>
    <w:rsid w:val="40C94DC1"/>
    <w:rsid w:val="40CB0B39"/>
    <w:rsid w:val="40D01B70"/>
    <w:rsid w:val="40D23C76"/>
    <w:rsid w:val="40D24EFC"/>
    <w:rsid w:val="40E51BFB"/>
    <w:rsid w:val="41140732"/>
    <w:rsid w:val="41265D6F"/>
    <w:rsid w:val="41267E95"/>
    <w:rsid w:val="41286304"/>
    <w:rsid w:val="41320BB8"/>
    <w:rsid w:val="41401527"/>
    <w:rsid w:val="414601C0"/>
    <w:rsid w:val="414C43D2"/>
    <w:rsid w:val="41540B2E"/>
    <w:rsid w:val="4162149D"/>
    <w:rsid w:val="417116E0"/>
    <w:rsid w:val="41770882"/>
    <w:rsid w:val="417C52F2"/>
    <w:rsid w:val="417D62D7"/>
    <w:rsid w:val="41961147"/>
    <w:rsid w:val="41984EBF"/>
    <w:rsid w:val="419B49AF"/>
    <w:rsid w:val="419D4ED4"/>
    <w:rsid w:val="41A53138"/>
    <w:rsid w:val="41AD3634"/>
    <w:rsid w:val="41B94E35"/>
    <w:rsid w:val="41BC0943"/>
    <w:rsid w:val="41D81760"/>
    <w:rsid w:val="41F05C4C"/>
    <w:rsid w:val="42042555"/>
    <w:rsid w:val="42073DF3"/>
    <w:rsid w:val="4212359F"/>
    <w:rsid w:val="42134546"/>
    <w:rsid w:val="42186B43"/>
    <w:rsid w:val="42304060"/>
    <w:rsid w:val="424072EE"/>
    <w:rsid w:val="42446DF5"/>
    <w:rsid w:val="42497F67"/>
    <w:rsid w:val="42530DE6"/>
    <w:rsid w:val="42571DE4"/>
    <w:rsid w:val="425D3A13"/>
    <w:rsid w:val="42642FF3"/>
    <w:rsid w:val="42756FAE"/>
    <w:rsid w:val="427C033D"/>
    <w:rsid w:val="42823479"/>
    <w:rsid w:val="428816F7"/>
    <w:rsid w:val="428F187A"/>
    <w:rsid w:val="42957651"/>
    <w:rsid w:val="42980EEF"/>
    <w:rsid w:val="42AE426E"/>
    <w:rsid w:val="42BA70B7"/>
    <w:rsid w:val="42C10446"/>
    <w:rsid w:val="42CF6863"/>
    <w:rsid w:val="42D40179"/>
    <w:rsid w:val="42E3216A"/>
    <w:rsid w:val="42ED2FE9"/>
    <w:rsid w:val="42F205FF"/>
    <w:rsid w:val="42F44377"/>
    <w:rsid w:val="42F8373B"/>
    <w:rsid w:val="42FF4ACA"/>
    <w:rsid w:val="43120CA1"/>
    <w:rsid w:val="43122A4F"/>
    <w:rsid w:val="431542ED"/>
    <w:rsid w:val="432F711F"/>
    <w:rsid w:val="433A4925"/>
    <w:rsid w:val="433C7ACC"/>
    <w:rsid w:val="434A3F97"/>
    <w:rsid w:val="435E5C94"/>
    <w:rsid w:val="43670FED"/>
    <w:rsid w:val="436A288B"/>
    <w:rsid w:val="436B215F"/>
    <w:rsid w:val="439671DC"/>
    <w:rsid w:val="439B0C97"/>
    <w:rsid w:val="43A23DD3"/>
    <w:rsid w:val="43B32B74"/>
    <w:rsid w:val="43D63A7D"/>
    <w:rsid w:val="43DC46F4"/>
    <w:rsid w:val="43E3619A"/>
    <w:rsid w:val="43E75C8A"/>
    <w:rsid w:val="43EB598F"/>
    <w:rsid w:val="43EE526A"/>
    <w:rsid w:val="43F6411F"/>
    <w:rsid w:val="43FA6695"/>
    <w:rsid w:val="44093E52"/>
    <w:rsid w:val="440F72B8"/>
    <w:rsid w:val="44130D52"/>
    <w:rsid w:val="441F3676"/>
    <w:rsid w:val="44240C8C"/>
    <w:rsid w:val="444A3F0D"/>
    <w:rsid w:val="445873A3"/>
    <w:rsid w:val="445F7F16"/>
    <w:rsid w:val="446B0669"/>
    <w:rsid w:val="44721F89"/>
    <w:rsid w:val="44860416"/>
    <w:rsid w:val="448923E4"/>
    <w:rsid w:val="449000D0"/>
    <w:rsid w:val="4492209A"/>
    <w:rsid w:val="449556E6"/>
    <w:rsid w:val="44B55D88"/>
    <w:rsid w:val="44C10289"/>
    <w:rsid w:val="44C24001"/>
    <w:rsid w:val="44C935E1"/>
    <w:rsid w:val="44CD4E80"/>
    <w:rsid w:val="44DC3315"/>
    <w:rsid w:val="44E421C9"/>
    <w:rsid w:val="44E71F8D"/>
    <w:rsid w:val="44EA28D6"/>
    <w:rsid w:val="44EB3926"/>
    <w:rsid w:val="44F05BDA"/>
    <w:rsid w:val="44F3065E"/>
    <w:rsid w:val="45010FCD"/>
    <w:rsid w:val="451707F1"/>
    <w:rsid w:val="4517434D"/>
    <w:rsid w:val="45180D4F"/>
    <w:rsid w:val="451F69CF"/>
    <w:rsid w:val="45294080"/>
    <w:rsid w:val="453E5356"/>
    <w:rsid w:val="454005AF"/>
    <w:rsid w:val="45473CA4"/>
    <w:rsid w:val="454964D0"/>
    <w:rsid w:val="45592BB7"/>
    <w:rsid w:val="456A6777"/>
    <w:rsid w:val="457F5261"/>
    <w:rsid w:val="458055BE"/>
    <w:rsid w:val="459D6A7C"/>
    <w:rsid w:val="45A51959"/>
    <w:rsid w:val="45A55DFD"/>
    <w:rsid w:val="45AC0F39"/>
    <w:rsid w:val="45B1654F"/>
    <w:rsid w:val="45B264B8"/>
    <w:rsid w:val="45B85B30"/>
    <w:rsid w:val="45CC3389"/>
    <w:rsid w:val="45CF69D6"/>
    <w:rsid w:val="45E06E35"/>
    <w:rsid w:val="45E37C85"/>
    <w:rsid w:val="45E5269D"/>
    <w:rsid w:val="45EA140C"/>
    <w:rsid w:val="45EA7CB3"/>
    <w:rsid w:val="45F36B68"/>
    <w:rsid w:val="45F621B4"/>
    <w:rsid w:val="45F8503C"/>
    <w:rsid w:val="45FE33A2"/>
    <w:rsid w:val="46004DE1"/>
    <w:rsid w:val="460A3CB9"/>
    <w:rsid w:val="4610081E"/>
    <w:rsid w:val="46184820"/>
    <w:rsid w:val="461F3FC1"/>
    <w:rsid w:val="4622744D"/>
    <w:rsid w:val="462705C0"/>
    <w:rsid w:val="46284338"/>
    <w:rsid w:val="462C207A"/>
    <w:rsid w:val="462F50CE"/>
    <w:rsid w:val="463351B6"/>
    <w:rsid w:val="463D4287"/>
    <w:rsid w:val="464E0242"/>
    <w:rsid w:val="46526B04"/>
    <w:rsid w:val="46607F75"/>
    <w:rsid w:val="46617B2A"/>
    <w:rsid w:val="466730B2"/>
    <w:rsid w:val="466C06C8"/>
    <w:rsid w:val="467B090B"/>
    <w:rsid w:val="4685178A"/>
    <w:rsid w:val="46861BEA"/>
    <w:rsid w:val="469F45FA"/>
    <w:rsid w:val="46B856BC"/>
    <w:rsid w:val="46C160DE"/>
    <w:rsid w:val="46CC1167"/>
    <w:rsid w:val="46CE4EDF"/>
    <w:rsid w:val="46E26BDC"/>
    <w:rsid w:val="46EB3CE3"/>
    <w:rsid w:val="46F04E55"/>
    <w:rsid w:val="46FA3F26"/>
    <w:rsid w:val="470C44B2"/>
    <w:rsid w:val="47121270"/>
    <w:rsid w:val="471F398D"/>
    <w:rsid w:val="4723522B"/>
    <w:rsid w:val="47290367"/>
    <w:rsid w:val="472B2331"/>
    <w:rsid w:val="472E597E"/>
    <w:rsid w:val="474156B1"/>
    <w:rsid w:val="474451A1"/>
    <w:rsid w:val="47451645"/>
    <w:rsid w:val="47525B10"/>
    <w:rsid w:val="4766336A"/>
    <w:rsid w:val="477055F6"/>
    <w:rsid w:val="477517FF"/>
    <w:rsid w:val="477932D0"/>
    <w:rsid w:val="47835CCA"/>
    <w:rsid w:val="47841A42"/>
    <w:rsid w:val="4784434F"/>
    <w:rsid w:val="47855EE6"/>
    <w:rsid w:val="478B2DD0"/>
    <w:rsid w:val="4799729B"/>
    <w:rsid w:val="47A345BE"/>
    <w:rsid w:val="47AB6FCE"/>
    <w:rsid w:val="47AF4D11"/>
    <w:rsid w:val="47B10A89"/>
    <w:rsid w:val="47B42327"/>
    <w:rsid w:val="47C36A0E"/>
    <w:rsid w:val="47CA38F8"/>
    <w:rsid w:val="47CD25AB"/>
    <w:rsid w:val="47E2130D"/>
    <w:rsid w:val="47F170D7"/>
    <w:rsid w:val="480C5855"/>
    <w:rsid w:val="48141018"/>
    <w:rsid w:val="48205C0E"/>
    <w:rsid w:val="482374AD"/>
    <w:rsid w:val="48272AF9"/>
    <w:rsid w:val="482C010F"/>
    <w:rsid w:val="482C45B3"/>
    <w:rsid w:val="483A66EF"/>
    <w:rsid w:val="48401E0D"/>
    <w:rsid w:val="486A50DB"/>
    <w:rsid w:val="486F26F2"/>
    <w:rsid w:val="487209AE"/>
    <w:rsid w:val="48763A80"/>
    <w:rsid w:val="487A3930"/>
    <w:rsid w:val="487D096B"/>
    <w:rsid w:val="487D6BBD"/>
    <w:rsid w:val="487F7AE4"/>
    <w:rsid w:val="488241D3"/>
    <w:rsid w:val="48827FAC"/>
    <w:rsid w:val="489D725F"/>
    <w:rsid w:val="489F4D85"/>
    <w:rsid w:val="48A51C70"/>
    <w:rsid w:val="48A57497"/>
    <w:rsid w:val="48AC74A2"/>
    <w:rsid w:val="48B95786"/>
    <w:rsid w:val="48BB76E5"/>
    <w:rsid w:val="48C221BF"/>
    <w:rsid w:val="48C40E1D"/>
    <w:rsid w:val="48C51981"/>
    <w:rsid w:val="48CE4AA4"/>
    <w:rsid w:val="48D10CB7"/>
    <w:rsid w:val="48D80297"/>
    <w:rsid w:val="48D83DF3"/>
    <w:rsid w:val="48E94252"/>
    <w:rsid w:val="48EF5AA8"/>
    <w:rsid w:val="4900334A"/>
    <w:rsid w:val="490911CB"/>
    <w:rsid w:val="49115557"/>
    <w:rsid w:val="49153299"/>
    <w:rsid w:val="4916491B"/>
    <w:rsid w:val="49170DBF"/>
    <w:rsid w:val="49171924"/>
    <w:rsid w:val="49172B6D"/>
    <w:rsid w:val="491F1A22"/>
    <w:rsid w:val="4929464F"/>
    <w:rsid w:val="492E65DE"/>
    <w:rsid w:val="493354CD"/>
    <w:rsid w:val="493C4382"/>
    <w:rsid w:val="4944592C"/>
    <w:rsid w:val="494B6A54"/>
    <w:rsid w:val="495767AB"/>
    <w:rsid w:val="49583186"/>
    <w:rsid w:val="496C1D2F"/>
    <w:rsid w:val="4977360C"/>
    <w:rsid w:val="497D499A"/>
    <w:rsid w:val="49883A6B"/>
    <w:rsid w:val="49892005"/>
    <w:rsid w:val="498E0956"/>
    <w:rsid w:val="499E6DEB"/>
    <w:rsid w:val="49AB4065"/>
    <w:rsid w:val="49AF724A"/>
    <w:rsid w:val="49B20AE8"/>
    <w:rsid w:val="49B978D1"/>
    <w:rsid w:val="49C34E42"/>
    <w:rsid w:val="49C84105"/>
    <w:rsid w:val="49D071C0"/>
    <w:rsid w:val="49D4280C"/>
    <w:rsid w:val="49D44122"/>
    <w:rsid w:val="49E07403"/>
    <w:rsid w:val="49FC7E5D"/>
    <w:rsid w:val="4A056E6A"/>
    <w:rsid w:val="4A08695A"/>
    <w:rsid w:val="4A1A5351"/>
    <w:rsid w:val="4A2030E1"/>
    <w:rsid w:val="4A2117CA"/>
    <w:rsid w:val="4A2C657A"/>
    <w:rsid w:val="4A2D16C3"/>
    <w:rsid w:val="4A333AC1"/>
    <w:rsid w:val="4A3B6D2F"/>
    <w:rsid w:val="4A3C6604"/>
    <w:rsid w:val="4A5B4CDC"/>
    <w:rsid w:val="4A616D3D"/>
    <w:rsid w:val="4A7162AD"/>
    <w:rsid w:val="4A835FE1"/>
    <w:rsid w:val="4A8B3C5F"/>
    <w:rsid w:val="4A8E50B1"/>
    <w:rsid w:val="4A9B157C"/>
    <w:rsid w:val="4AA03036"/>
    <w:rsid w:val="4AA20B5D"/>
    <w:rsid w:val="4AA2290B"/>
    <w:rsid w:val="4AAB3127"/>
    <w:rsid w:val="4AAF5028"/>
    <w:rsid w:val="4AB368C6"/>
    <w:rsid w:val="4AB77220"/>
    <w:rsid w:val="4ABA40F8"/>
    <w:rsid w:val="4AC76815"/>
    <w:rsid w:val="4ADF53D0"/>
    <w:rsid w:val="4AEC1DD8"/>
    <w:rsid w:val="4AF173EE"/>
    <w:rsid w:val="4AF30BE7"/>
    <w:rsid w:val="4AF66E34"/>
    <w:rsid w:val="4AFD6112"/>
    <w:rsid w:val="4B0233A9"/>
    <w:rsid w:val="4B0A2150"/>
    <w:rsid w:val="4B0B6702"/>
    <w:rsid w:val="4B0C247A"/>
    <w:rsid w:val="4B11183E"/>
    <w:rsid w:val="4B35377F"/>
    <w:rsid w:val="4B3A6FE7"/>
    <w:rsid w:val="4B3B68BB"/>
    <w:rsid w:val="4B3D6AD7"/>
    <w:rsid w:val="4B3F2A49"/>
    <w:rsid w:val="4B406334"/>
    <w:rsid w:val="4B4734B2"/>
    <w:rsid w:val="4B5670C1"/>
    <w:rsid w:val="4B58746D"/>
    <w:rsid w:val="4B63653E"/>
    <w:rsid w:val="4B7F0E9E"/>
    <w:rsid w:val="4B8D7117"/>
    <w:rsid w:val="4B9449AD"/>
    <w:rsid w:val="4B992A5B"/>
    <w:rsid w:val="4BA61478"/>
    <w:rsid w:val="4BA91A77"/>
    <w:rsid w:val="4BB94F3A"/>
    <w:rsid w:val="4BC33B2F"/>
    <w:rsid w:val="4BCF3BD3"/>
    <w:rsid w:val="4BD034A7"/>
    <w:rsid w:val="4BD16350"/>
    <w:rsid w:val="4BE45A77"/>
    <w:rsid w:val="4BE62CCB"/>
    <w:rsid w:val="4BF47196"/>
    <w:rsid w:val="4BF70A34"/>
    <w:rsid w:val="4BFA2D44"/>
    <w:rsid w:val="4BFE1DC3"/>
    <w:rsid w:val="4C0373D9"/>
    <w:rsid w:val="4C043151"/>
    <w:rsid w:val="4C10205A"/>
    <w:rsid w:val="4C2B6930"/>
    <w:rsid w:val="4C40062D"/>
    <w:rsid w:val="4C4D2D4A"/>
    <w:rsid w:val="4C5145E8"/>
    <w:rsid w:val="4C577725"/>
    <w:rsid w:val="4C6A56AA"/>
    <w:rsid w:val="4C6B4F7E"/>
    <w:rsid w:val="4C746529"/>
    <w:rsid w:val="4C786019"/>
    <w:rsid w:val="4C800A2A"/>
    <w:rsid w:val="4C8B1892"/>
    <w:rsid w:val="4C8D3147"/>
    <w:rsid w:val="4C9444D5"/>
    <w:rsid w:val="4CA41CD0"/>
    <w:rsid w:val="4CAA3CF8"/>
    <w:rsid w:val="4CB86415"/>
    <w:rsid w:val="4CBB170E"/>
    <w:rsid w:val="4CBE1552"/>
    <w:rsid w:val="4CC90623"/>
    <w:rsid w:val="4CDB65A8"/>
    <w:rsid w:val="4CDD0E5F"/>
    <w:rsid w:val="4CE54D31"/>
    <w:rsid w:val="4CF60CEC"/>
    <w:rsid w:val="4CF907DC"/>
    <w:rsid w:val="4D021D86"/>
    <w:rsid w:val="4D0E4287"/>
    <w:rsid w:val="4D1F0243"/>
    <w:rsid w:val="4D241CFD"/>
    <w:rsid w:val="4D292176"/>
    <w:rsid w:val="4D381304"/>
    <w:rsid w:val="4D3D4B6D"/>
    <w:rsid w:val="4D3D691B"/>
    <w:rsid w:val="4D5D0D6B"/>
    <w:rsid w:val="4D61085B"/>
    <w:rsid w:val="4D697710"/>
    <w:rsid w:val="4D7143BC"/>
    <w:rsid w:val="4D775082"/>
    <w:rsid w:val="4D822DD2"/>
    <w:rsid w:val="4D9329DF"/>
    <w:rsid w:val="4DA42E3E"/>
    <w:rsid w:val="4DA60B74"/>
    <w:rsid w:val="4DA92202"/>
    <w:rsid w:val="4DB4734B"/>
    <w:rsid w:val="4DD10F56"/>
    <w:rsid w:val="4DD252B5"/>
    <w:rsid w:val="4DD70B1D"/>
    <w:rsid w:val="4DE17BEE"/>
    <w:rsid w:val="4DE807AA"/>
    <w:rsid w:val="4DF07E31"/>
    <w:rsid w:val="4DF416CF"/>
    <w:rsid w:val="4DF53699"/>
    <w:rsid w:val="4DFC67D6"/>
    <w:rsid w:val="4DFE254E"/>
    <w:rsid w:val="4E067654"/>
    <w:rsid w:val="4E0F18F6"/>
    <w:rsid w:val="4E1E04FA"/>
    <w:rsid w:val="4E3B5550"/>
    <w:rsid w:val="4E4C5091"/>
    <w:rsid w:val="4E4D7031"/>
    <w:rsid w:val="4E636855"/>
    <w:rsid w:val="4E6B1B79"/>
    <w:rsid w:val="4E717099"/>
    <w:rsid w:val="4E720846"/>
    <w:rsid w:val="4E721147"/>
    <w:rsid w:val="4E7741B2"/>
    <w:rsid w:val="4E9D1D67"/>
    <w:rsid w:val="4EC5306C"/>
    <w:rsid w:val="4ED16067"/>
    <w:rsid w:val="4EDA4C65"/>
    <w:rsid w:val="4EE47996"/>
    <w:rsid w:val="4EE647F9"/>
    <w:rsid w:val="4EEA7A2C"/>
    <w:rsid w:val="4EF179BD"/>
    <w:rsid w:val="4EF31BF6"/>
    <w:rsid w:val="4EF77655"/>
    <w:rsid w:val="4EFB083B"/>
    <w:rsid w:val="4EFD0201"/>
    <w:rsid w:val="4F043B94"/>
    <w:rsid w:val="4F1D07B2"/>
    <w:rsid w:val="4F1E4433"/>
    <w:rsid w:val="4F2935FA"/>
    <w:rsid w:val="4F2A2C08"/>
    <w:rsid w:val="4F2F71CE"/>
    <w:rsid w:val="4F343D4D"/>
    <w:rsid w:val="4F38383D"/>
    <w:rsid w:val="4F3A035A"/>
    <w:rsid w:val="4F3B50DC"/>
    <w:rsid w:val="4F4A3571"/>
    <w:rsid w:val="4F5368C9"/>
    <w:rsid w:val="4F5B752C"/>
    <w:rsid w:val="4F5D32A4"/>
    <w:rsid w:val="4F615112"/>
    <w:rsid w:val="4F6A776F"/>
    <w:rsid w:val="4F6D4750"/>
    <w:rsid w:val="4F6F09F1"/>
    <w:rsid w:val="4F716D4F"/>
    <w:rsid w:val="4F732AC8"/>
    <w:rsid w:val="4F7505EE"/>
    <w:rsid w:val="4F7E0295"/>
    <w:rsid w:val="4F894099"/>
    <w:rsid w:val="4F895E47"/>
    <w:rsid w:val="4F974A08"/>
    <w:rsid w:val="4F98252E"/>
    <w:rsid w:val="4F984B04"/>
    <w:rsid w:val="4F9A0054"/>
    <w:rsid w:val="4F9F566B"/>
    <w:rsid w:val="4FA2614B"/>
    <w:rsid w:val="4FA71E03"/>
    <w:rsid w:val="4FAD7D83"/>
    <w:rsid w:val="4FB21842"/>
    <w:rsid w:val="4FBB7FCB"/>
    <w:rsid w:val="4FBF1618"/>
    <w:rsid w:val="4FC450D1"/>
    <w:rsid w:val="4FDA66A3"/>
    <w:rsid w:val="4FDF0628"/>
    <w:rsid w:val="4FF05EC6"/>
    <w:rsid w:val="4FFA4F97"/>
    <w:rsid w:val="5019541D"/>
    <w:rsid w:val="501E0C85"/>
    <w:rsid w:val="501F49FD"/>
    <w:rsid w:val="502838B2"/>
    <w:rsid w:val="5039786D"/>
    <w:rsid w:val="50445142"/>
    <w:rsid w:val="50454464"/>
    <w:rsid w:val="5046073F"/>
    <w:rsid w:val="50553CB2"/>
    <w:rsid w:val="505E72D4"/>
    <w:rsid w:val="50642410"/>
    <w:rsid w:val="5066262C"/>
    <w:rsid w:val="506B7C43"/>
    <w:rsid w:val="50770396"/>
    <w:rsid w:val="507C1E50"/>
    <w:rsid w:val="50947199"/>
    <w:rsid w:val="50970A38"/>
    <w:rsid w:val="50A82C45"/>
    <w:rsid w:val="50AC44E3"/>
    <w:rsid w:val="50AC6291"/>
    <w:rsid w:val="50B155D8"/>
    <w:rsid w:val="50C51101"/>
    <w:rsid w:val="50CF5EEA"/>
    <w:rsid w:val="50D60348"/>
    <w:rsid w:val="50DE21C3"/>
    <w:rsid w:val="50DE6542"/>
    <w:rsid w:val="50E7376D"/>
    <w:rsid w:val="50F10148"/>
    <w:rsid w:val="50F149A8"/>
    <w:rsid w:val="5100038B"/>
    <w:rsid w:val="51002139"/>
    <w:rsid w:val="51010497"/>
    <w:rsid w:val="510D292B"/>
    <w:rsid w:val="510E4306"/>
    <w:rsid w:val="51142088"/>
    <w:rsid w:val="51181B78"/>
    <w:rsid w:val="5119769F"/>
    <w:rsid w:val="511F1404"/>
    <w:rsid w:val="511F2F07"/>
    <w:rsid w:val="51204589"/>
    <w:rsid w:val="512978E2"/>
    <w:rsid w:val="513A1AEF"/>
    <w:rsid w:val="51424ACB"/>
    <w:rsid w:val="5147155B"/>
    <w:rsid w:val="514C5F76"/>
    <w:rsid w:val="51634540"/>
    <w:rsid w:val="516E79EA"/>
    <w:rsid w:val="51703763"/>
    <w:rsid w:val="51714DE5"/>
    <w:rsid w:val="518934D7"/>
    <w:rsid w:val="519B6306"/>
    <w:rsid w:val="51A927D1"/>
    <w:rsid w:val="51B26791"/>
    <w:rsid w:val="51CB0999"/>
    <w:rsid w:val="51D57A6A"/>
    <w:rsid w:val="51E101BC"/>
    <w:rsid w:val="51E8779D"/>
    <w:rsid w:val="51FA74D0"/>
    <w:rsid w:val="51FB0B52"/>
    <w:rsid w:val="520143BB"/>
    <w:rsid w:val="520D0FB1"/>
    <w:rsid w:val="522B768A"/>
    <w:rsid w:val="523B4A14"/>
    <w:rsid w:val="524A1991"/>
    <w:rsid w:val="524D2162"/>
    <w:rsid w:val="525210BA"/>
    <w:rsid w:val="5257047F"/>
    <w:rsid w:val="526037D7"/>
    <w:rsid w:val="52623ABC"/>
    <w:rsid w:val="52662470"/>
    <w:rsid w:val="526861E8"/>
    <w:rsid w:val="52693B3B"/>
    <w:rsid w:val="526B5CD8"/>
    <w:rsid w:val="526F46DA"/>
    <w:rsid w:val="52727066"/>
    <w:rsid w:val="5277467D"/>
    <w:rsid w:val="527C0A76"/>
    <w:rsid w:val="527C3667"/>
    <w:rsid w:val="52831274"/>
    <w:rsid w:val="528943B0"/>
    <w:rsid w:val="52927709"/>
    <w:rsid w:val="529C40E3"/>
    <w:rsid w:val="52BC29D7"/>
    <w:rsid w:val="52BE405A"/>
    <w:rsid w:val="52C5363A"/>
    <w:rsid w:val="52CB261E"/>
    <w:rsid w:val="52D65847"/>
    <w:rsid w:val="52EB4F08"/>
    <w:rsid w:val="52EC506B"/>
    <w:rsid w:val="52EC69E9"/>
    <w:rsid w:val="52ED493F"/>
    <w:rsid w:val="52FA3B66"/>
    <w:rsid w:val="530879CB"/>
    <w:rsid w:val="53195734"/>
    <w:rsid w:val="53196A38"/>
    <w:rsid w:val="531A06A9"/>
    <w:rsid w:val="531C6FD2"/>
    <w:rsid w:val="533D357A"/>
    <w:rsid w:val="53475632"/>
    <w:rsid w:val="53486019"/>
    <w:rsid w:val="5349426B"/>
    <w:rsid w:val="534A7FE3"/>
    <w:rsid w:val="534C4F73"/>
    <w:rsid w:val="535B7AFB"/>
    <w:rsid w:val="53784B50"/>
    <w:rsid w:val="5386726D"/>
    <w:rsid w:val="53874D93"/>
    <w:rsid w:val="538A6632"/>
    <w:rsid w:val="53917414"/>
    <w:rsid w:val="53966878"/>
    <w:rsid w:val="53A616BE"/>
    <w:rsid w:val="53AB38FF"/>
    <w:rsid w:val="53C438F2"/>
    <w:rsid w:val="53D1282D"/>
    <w:rsid w:val="53E2646E"/>
    <w:rsid w:val="53E4074E"/>
    <w:rsid w:val="53FF2B7C"/>
    <w:rsid w:val="540E1011"/>
    <w:rsid w:val="54224ABC"/>
    <w:rsid w:val="542C1497"/>
    <w:rsid w:val="542E520F"/>
    <w:rsid w:val="543F11CA"/>
    <w:rsid w:val="54422A68"/>
    <w:rsid w:val="54442C85"/>
    <w:rsid w:val="544A302A"/>
    <w:rsid w:val="545F361A"/>
    <w:rsid w:val="546C5CD9"/>
    <w:rsid w:val="546D5604"/>
    <w:rsid w:val="54947768"/>
    <w:rsid w:val="54996B2C"/>
    <w:rsid w:val="54AB7CBA"/>
    <w:rsid w:val="54B55930"/>
    <w:rsid w:val="54BA4CF5"/>
    <w:rsid w:val="54BC6CBF"/>
    <w:rsid w:val="54C0055D"/>
    <w:rsid w:val="54C811C0"/>
    <w:rsid w:val="54D04518"/>
    <w:rsid w:val="54DC110F"/>
    <w:rsid w:val="54DD64E9"/>
    <w:rsid w:val="54EC7E07"/>
    <w:rsid w:val="54EF0E42"/>
    <w:rsid w:val="55004DFD"/>
    <w:rsid w:val="550C0239"/>
    <w:rsid w:val="550F3998"/>
    <w:rsid w:val="551F3C4E"/>
    <w:rsid w:val="55410F72"/>
    <w:rsid w:val="55434CEA"/>
    <w:rsid w:val="555869E7"/>
    <w:rsid w:val="555962BC"/>
    <w:rsid w:val="5565703A"/>
    <w:rsid w:val="5572737D"/>
    <w:rsid w:val="55747599"/>
    <w:rsid w:val="55760C1C"/>
    <w:rsid w:val="558477DD"/>
    <w:rsid w:val="55951749"/>
    <w:rsid w:val="55B36146"/>
    <w:rsid w:val="55B55BE8"/>
    <w:rsid w:val="55B76F40"/>
    <w:rsid w:val="55D3606E"/>
    <w:rsid w:val="55D81C32"/>
    <w:rsid w:val="55DB3175"/>
    <w:rsid w:val="55E24503"/>
    <w:rsid w:val="55EE10FA"/>
    <w:rsid w:val="56091A90"/>
    <w:rsid w:val="56135E24"/>
    <w:rsid w:val="56190197"/>
    <w:rsid w:val="562B7C58"/>
    <w:rsid w:val="564C5E20"/>
    <w:rsid w:val="564E7DEA"/>
    <w:rsid w:val="56671279"/>
    <w:rsid w:val="56690780"/>
    <w:rsid w:val="566D0271"/>
    <w:rsid w:val="566E3FE9"/>
    <w:rsid w:val="56705FB3"/>
    <w:rsid w:val="567D5FDA"/>
    <w:rsid w:val="567E63E3"/>
    <w:rsid w:val="5689497F"/>
    <w:rsid w:val="568B631C"/>
    <w:rsid w:val="569752EE"/>
    <w:rsid w:val="569A3030"/>
    <w:rsid w:val="569F23F4"/>
    <w:rsid w:val="56B22127"/>
    <w:rsid w:val="56CA7557"/>
    <w:rsid w:val="56E36785"/>
    <w:rsid w:val="56E60023"/>
    <w:rsid w:val="56EB73E7"/>
    <w:rsid w:val="56F269C8"/>
    <w:rsid w:val="56F3629C"/>
    <w:rsid w:val="56F91B04"/>
    <w:rsid w:val="56FF4A69"/>
    <w:rsid w:val="57034731"/>
    <w:rsid w:val="571F7091"/>
    <w:rsid w:val="57266671"/>
    <w:rsid w:val="57284198"/>
    <w:rsid w:val="572B3C88"/>
    <w:rsid w:val="572D3C16"/>
    <w:rsid w:val="57511940"/>
    <w:rsid w:val="575A40C3"/>
    <w:rsid w:val="5778511F"/>
    <w:rsid w:val="578E4942"/>
    <w:rsid w:val="57917F8F"/>
    <w:rsid w:val="579E4BA9"/>
    <w:rsid w:val="57A23F4A"/>
    <w:rsid w:val="57A777B2"/>
    <w:rsid w:val="57B36157"/>
    <w:rsid w:val="57B65C47"/>
    <w:rsid w:val="57C31664"/>
    <w:rsid w:val="57C739B1"/>
    <w:rsid w:val="57D4431F"/>
    <w:rsid w:val="57D60097"/>
    <w:rsid w:val="57DD31D4"/>
    <w:rsid w:val="57E41835"/>
    <w:rsid w:val="57E57AC1"/>
    <w:rsid w:val="57EA58F1"/>
    <w:rsid w:val="57EE718F"/>
    <w:rsid w:val="57EF2F07"/>
    <w:rsid w:val="57F16C7F"/>
    <w:rsid w:val="57F56770"/>
    <w:rsid w:val="57F81DBC"/>
    <w:rsid w:val="57FD73D2"/>
    <w:rsid w:val="580544D9"/>
    <w:rsid w:val="580B6EA0"/>
    <w:rsid w:val="5812467E"/>
    <w:rsid w:val="58311772"/>
    <w:rsid w:val="58417C07"/>
    <w:rsid w:val="584B2834"/>
    <w:rsid w:val="58507E4A"/>
    <w:rsid w:val="585C3C2E"/>
    <w:rsid w:val="58692CBA"/>
    <w:rsid w:val="586B4C84"/>
    <w:rsid w:val="58725E54"/>
    <w:rsid w:val="5875165E"/>
    <w:rsid w:val="588418A2"/>
    <w:rsid w:val="588E44CE"/>
    <w:rsid w:val="5895585D"/>
    <w:rsid w:val="58962D72"/>
    <w:rsid w:val="58A0321D"/>
    <w:rsid w:val="58A5155D"/>
    <w:rsid w:val="58AB1524"/>
    <w:rsid w:val="58AB5080"/>
    <w:rsid w:val="58AE1485"/>
    <w:rsid w:val="58B77EC9"/>
    <w:rsid w:val="58BC54DF"/>
    <w:rsid w:val="58C919AA"/>
    <w:rsid w:val="58CE0D6F"/>
    <w:rsid w:val="58D00F8B"/>
    <w:rsid w:val="58D2260D"/>
    <w:rsid w:val="58D345D7"/>
    <w:rsid w:val="58E02B47"/>
    <w:rsid w:val="58EF7663"/>
    <w:rsid w:val="58F509F1"/>
    <w:rsid w:val="58F5279F"/>
    <w:rsid w:val="58FF717A"/>
    <w:rsid w:val="590429E2"/>
    <w:rsid w:val="59080725"/>
    <w:rsid w:val="590D1897"/>
    <w:rsid w:val="59232E69"/>
    <w:rsid w:val="59341051"/>
    <w:rsid w:val="594A4899"/>
    <w:rsid w:val="594C1C2D"/>
    <w:rsid w:val="594D6137"/>
    <w:rsid w:val="595E3E08"/>
    <w:rsid w:val="596173AF"/>
    <w:rsid w:val="59617E35"/>
    <w:rsid w:val="59653481"/>
    <w:rsid w:val="596671F9"/>
    <w:rsid w:val="59772EB0"/>
    <w:rsid w:val="598D0C2A"/>
    <w:rsid w:val="59901547"/>
    <w:rsid w:val="59912052"/>
    <w:rsid w:val="59914276"/>
    <w:rsid w:val="59947479"/>
    <w:rsid w:val="599975CF"/>
    <w:rsid w:val="59B14918"/>
    <w:rsid w:val="59B77FBA"/>
    <w:rsid w:val="59BD32BD"/>
    <w:rsid w:val="59BE66BF"/>
    <w:rsid w:val="59CC3500"/>
    <w:rsid w:val="59D800F7"/>
    <w:rsid w:val="59E44CEE"/>
    <w:rsid w:val="59E7033A"/>
    <w:rsid w:val="59E720E8"/>
    <w:rsid w:val="59E87110"/>
    <w:rsid w:val="59F6057D"/>
    <w:rsid w:val="59FB2037"/>
    <w:rsid w:val="5A3410A5"/>
    <w:rsid w:val="5A3E47DF"/>
    <w:rsid w:val="5A4412E8"/>
    <w:rsid w:val="5A455061"/>
    <w:rsid w:val="5A4C2893"/>
    <w:rsid w:val="5A4F5EDF"/>
    <w:rsid w:val="5A56726E"/>
    <w:rsid w:val="5A70032F"/>
    <w:rsid w:val="5A785436"/>
    <w:rsid w:val="5A8F3085"/>
    <w:rsid w:val="5A9102A6"/>
    <w:rsid w:val="5A9164F8"/>
    <w:rsid w:val="5AA004E9"/>
    <w:rsid w:val="5AA24261"/>
    <w:rsid w:val="5AAF6DFC"/>
    <w:rsid w:val="5AB126F6"/>
    <w:rsid w:val="5ABF3219"/>
    <w:rsid w:val="5AC4067B"/>
    <w:rsid w:val="5ACC2163"/>
    <w:rsid w:val="5ACD5782"/>
    <w:rsid w:val="5AD22C77"/>
    <w:rsid w:val="5ADA39FB"/>
    <w:rsid w:val="5AE1122D"/>
    <w:rsid w:val="5AE26D53"/>
    <w:rsid w:val="5AF2338E"/>
    <w:rsid w:val="5AF34ABD"/>
    <w:rsid w:val="5B046CCA"/>
    <w:rsid w:val="5B1874BD"/>
    <w:rsid w:val="5B2335F4"/>
    <w:rsid w:val="5B26004A"/>
    <w:rsid w:val="5B280C0A"/>
    <w:rsid w:val="5B284AC3"/>
    <w:rsid w:val="5B286E5C"/>
    <w:rsid w:val="5B32648B"/>
    <w:rsid w:val="5B3C2907"/>
    <w:rsid w:val="5B451F09"/>
    <w:rsid w:val="5B4A5024"/>
    <w:rsid w:val="5B4B2B4A"/>
    <w:rsid w:val="5B4C1EBB"/>
    <w:rsid w:val="5B551F62"/>
    <w:rsid w:val="5B5648CD"/>
    <w:rsid w:val="5B597015"/>
    <w:rsid w:val="5B5F03A4"/>
    <w:rsid w:val="5B672D1B"/>
    <w:rsid w:val="5B700366"/>
    <w:rsid w:val="5B7A2838"/>
    <w:rsid w:val="5B871DD5"/>
    <w:rsid w:val="5B8A3673"/>
    <w:rsid w:val="5B9C6F02"/>
    <w:rsid w:val="5BA2677E"/>
    <w:rsid w:val="5BAD55B3"/>
    <w:rsid w:val="5BDB5C7C"/>
    <w:rsid w:val="5BED3C02"/>
    <w:rsid w:val="5BF3746A"/>
    <w:rsid w:val="5C0A0310"/>
    <w:rsid w:val="5C0E6052"/>
    <w:rsid w:val="5C166CB5"/>
    <w:rsid w:val="5C390BF5"/>
    <w:rsid w:val="5C4557EC"/>
    <w:rsid w:val="5C49708A"/>
    <w:rsid w:val="5C4E644E"/>
    <w:rsid w:val="5C5B4799"/>
    <w:rsid w:val="5C6715FE"/>
    <w:rsid w:val="5C7551B9"/>
    <w:rsid w:val="5C867308"/>
    <w:rsid w:val="5C875E04"/>
    <w:rsid w:val="5C9B540C"/>
    <w:rsid w:val="5CA72002"/>
    <w:rsid w:val="5CA86B39"/>
    <w:rsid w:val="5CBC77F8"/>
    <w:rsid w:val="5CC47CC0"/>
    <w:rsid w:val="5CCE3A33"/>
    <w:rsid w:val="5CD01559"/>
    <w:rsid w:val="5CD54DC2"/>
    <w:rsid w:val="5CE46DB3"/>
    <w:rsid w:val="5CFF1550"/>
    <w:rsid w:val="5D0B5950"/>
    <w:rsid w:val="5D0D5760"/>
    <w:rsid w:val="5D414205"/>
    <w:rsid w:val="5D551A5E"/>
    <w:rsid w:val="5D566CDF"/>
    <w:rsid w:val="5D5F28DD"/>
    <w:rsid w:val="5D7F38E5"/>
    <w:rsid w:val="5D8162A2"/>
    <w:rsid w:val="5D887E95"/>
    <w:rsid w:val="5D972077"/>
    <w:rsid w:val="5D995954"/>
    <w:rsid w:val="5D9F2CDA"/>
    <w:rsid w:val="5DAA3B58"/>
    <w:rsid w:val="5DAA5043"/>
    <w:rsid w:val="5DB74F93"/>
    <w:rsid w:val="5DB926F2"/>
    <w:rsid w:val="5DBC388C"/>
    <w:rsid w:val="5DC170F4"/>
    <w:rsid w:val="5DC34C1A"/>
    <w:rsid w:val="5DC405BB"/>
    <w:rsid w:val="5DE0757A"/>
    <w:rsid w:val="5DE51034"/>
    <w:rsid w:val="5DE74DAC"/>
    <w:rsid w:val="5DE83964"/>
    <w:rsid w:val="5DEA7984"/>
    <w:rsid w:val="5DEE7366"/>
    <w:rsid w:val="5DF9063C"/>
    <w:rsid w:val="5E021AD4"/>
    <w:rsid w:val="5E0F60B1"/>
    <w:rsid w:val="5E14191A"/>
    <w:rsid w:val="5E141C80"/>
    <w:rsid w:val="5E1A65A9"/>
    <w:rsid w:val="5E27164D"/>
    <w:rsid w:val="5E343D6A"/>
    <w:rsid w:val="5E3D2C1E"/>
    <w:rsid w:val="5E4044BD"/>
    <w:rsid w:val="5E4A70E9"/>
    <w:rsid w:val="5E512226"/>
    <w:rsid w:val="5E53354E"/>
    <w:rsid w:val="5E6957C1"/>
    <w:rsid w:val="5E6F4DA2"/>
    <w:rsid w:val="5E7128C8"/>
    <w:rsid w:val="5E7A5C21"/>
    <w:rsid w:val="5E8A39BC"/>
    <w:rsid w:val="5E9C7B12"/>
    <w:rsid w:val="5E9F7435"/>
    <w:rsid w:val="5EA20CD3"/>
    <w:rsid w:val="5EA54320"/>
    <w:rsid w:val="5EAA5DDA"/>
    <w:rsid w:val="5EB804F7"/>
    <w:rsid w:val="5EB826D2"/>
    <w:rsid w:val="5EC46E9C"/>
    <w:rsid w:val="5ECE29A1"/>
    <w:rsid w:val="5EDA046D"/>
    <w:rsid w:val="5EF157B7"/>
    <w:rsid w:val="5EF808F3"/>
    <w:rsid w:val="5EF86B45"/>
    <w:rsid w:val="5EFD0600"/>
    <w:rsid w:val="5EFF6126"/>
    <w:rsid w:val="5F125E59"/>
    <w:rsid w:val="5F1C6CD8"/>
    <w:rsid w:val="5F2147B1"/>
    <w:rsid w:val="5F21609C"/>
    <w:rsid w:val="5F337B7D"/>
    <w:rsid w:val="5F4E6765"/>
    <w:rsid w:val="5F5B300E"/>
    <w:rsid w:val="5F69359F"/>
    <w:rsid w:val="5F6D6F75"/>
    <w:rsid w:val="5F6E316F"/>
    <w:rsid w:val="5F7A755A"/>
    <w:rsid w:val="5F7E529D"/>
    <w:rsid w:val="5F832A75"/>
    <w:rsid w:val="5F84662B"/>
    <w:rsid w:val="5F8F74AA"/>
    <w:rsid w:val="5F906D7E"/>
    <w:rsid w:val="5F9525E6"/>
    <w:rsid w:val="5F9C58B6"/>
    <w:rsid w:val="5FA36AB1"/>
    <w:rsid w:val="5FA82426"/>
    <w:rsid w:val="5FAF36A8"/>
    <w:rsid w:val="5FB40CBE"/>
    <w:rsid w:val="5FBE38EB"/>
    <w:rsid w:val="5FC66C44"/>
    <w:rsid w:val="5FC92290"/>
    <w:rsid w:val="5FCF78A6"/>
    <w:rsid w:val="5FD27396"/>
    <w:rsid w:val="5FD832D0"/>
    <w:rsid w:val="5FD96977"/>
    <w:rsid w:val="5FE62E42"/>
    <w:rsid w:val="5FEA2932"/>
    <w:rsid w:val="5FF13CC0"/>
    <w:rsid w:val="5FF217E7"/>
    <w:rsid w:val="5FFE018B"/>
    <w:rsid w:val="5FFE29C2"/>
    <w:rsid w:val="60011A2A"/>
    <w:rsid w:val="60121E89"/>
    <w:rsid w:val="60163727"/>
    <w:rsid w:val="601B0D3D"/>
    <w:rsid w:val="601E25DC"/>
    <w:rsid w:val="602D281F"/>
    <w:rsid w:val="60343BAD"/>
    <w:rsid w:val="60360CF5"/>
    <w:rsid w:val="60400521"/>
    <w:rsid w:val="604858AA"/>
    <w:rsid w:val="604E1113"/>
    <w:rsid w:val="60515D76"/>
    <w:rsid w:val="605C4EB2"/>
    <w:rsid w:val="6067006E"/>
    <w:rsid w:val="606D4A6E"/>
    <w:rsid w:val="607D5554"/>
    <w:rsid w:val="607F6A00"/>
    <w:rsid w:val="608C5797"/>
    <w:rsid w:val="60936B26"/>
    <w:rsid w:val="60A76A75"/>
    <w:rsid w:val="60AA20C1"/>
    <w:rsid w:val="60BA03BE"/>
    <w:rsid w:val="60E63FAB"/>
    <w:rsid w:val="61016585"/>
    <w:rsid w:val="6109328C"/>
    <w:rsid w:val="610E43FE"/>
    <w:rsid w:val="612754C0"/>
    <w:rsid w:val="61333E65"/>
    <w:rsid w:val="613B2BA1"/>
    <w:rsid w:val="613D1187"/>
    <w:rsid w:val="61453B98"/>
    <w:rsid w:val="614B5652"/>
    <w:rsid w:val="61642270"/>
    <w:rsid w:val="61695379"/>
    <w:rsid w:val="616F2738"/>
    <w:rsid w:val="619743F4"/>
    <w:rsid w:val="61A3723C"/>
    <w:rsid w:val="61A74815"/>
    <w:rsid w:val="61B34FA6"/>
    <w:rsid w:val="61B76844"/>
    <w:rsid w:val="61C34DC7"/>
    <w:rsid w:val="61CD32CA"/>
    <w:rsid w:val="61D2367E"/>
    <w:rsid w:val="61D504A2"/>
    <w:rsid w:val="61DF6CF6"/>
    <w:rsid w:val="61EC0B05"/>
    <w:rsid w:val="61FA1656"/>
    <w:rsid w:val="61FC06FB"/>
    <w:rsid w:val="620B6B90"/>
    <w:rsid w:val="62127F1E"/>
    <w:rsid w:val="621C0D9D"/>
    <w:rsid w:val="621E5BAE"/>
    <w:rsid w:val="622233A7"/>
    <w:rsid w:val="623C31ED"/>
    <w:rsid w:val="623F0EEA"/>
    <w:rsid w:val="62401047"/>
    <w:rsid w:val="62500A46"/>
    <w:rsid w:val="625B1B74"/>
    <w:rsid w:val="625E3163"/>
    <w:rsid w:val="626369CC"/>
    <w:rsid w:val="62662018"/>
    <w:rsid w:val="626742B2"/>
    <w:rsid w:val="626D784A"/>
    <w:rsid w:val="62740BD9"/>
    <w:rsid w:val="627604AD"/>
    <w:rsid w:val="628250A4"/>
    <w:rsid w:val="62960B4F"/>
    <w:rsid w:val="62A96AD4"/>
    <w:rsid w:val="62B92EA8"/>
    <w:rsid w:val="62C03E1E"/>
    <w:rsid w:val="62C8016A"/>
    <w:rsid w:val="62D13DCC"/>
    <w:rsid w:val="62D41677"/>
    <w:rsid w:val="62E73159"/>
    <w:rsid w:val="62F12229"/>
    <w:rsid w:val="62F35FA1"/>
    <w:rsid w:val="62F53AC8"/>
    <w:rsid w:val="62F6339C"/>
    <w:rsid w:val="63021D41"/>
    <w:rsid w:val="630261E5"/>
    <w:rsid w:val="630B32EB"/>
    <w:rsid w:val="630E06E5"/>
    <w:rsid w:val="630F140E"/>
    <w:rsid w:val="631B2E02"/>
    <w:rsid w:val="633D7FAE"/>
    <w:rsid w:val="63416D0D"/>
    <w:rsid w:val="63493E13"/>
    <w:rsid w:val="634B7B8C"/>
    <w:rsid w:val="635D78BF"/>
    <w:rsid w:val="63620A31"/>
    <w:rsid w:val="636602F7"/>
    <w:rsid w:val="636C7B02"/>
    <w:rsid w:val="63802FCE"/>
    <w:rsid w:val="638C1C93"/>
    <w:rsid w:val="6390559E"/>
    <w:rsid w:val="639D5F0D"/>
    <w:rsid w:val="63A63014"/>
    <w:rsid w:val="63A70B3A"/>
    <w:rsid w:val="63A948C5"/>
    <w:rsid w:val="63B50323"/>
    <w:rsid w:val="63BF5E84"/>
    <w:rsid w:val="63C43C94"/>
    <w:rsid w:val="63C65464"/>
    <w:rsid w:val="63D176BD"/>
    <w:rsid w:val="63EA73A4"/>
    <w:rsid w:val="63F0428F"/>
    <w:rsid w:val="63F4437D"/>
    <w:rsid w:val="63FF4464"/>
    <w:rsid w:val="64030466"/>
    <w:rsid w:val="640514C6"/>
    <w:rsid w:val="64072BE6"/>
    <w:rsid w:val="640B0C9F"/>
    <w:rsid w:val="64104931"/>
    <w:rsid w:val="641066DF"/>
    <w:rsid w:val="6424218B"/>
    <w:rsid w:val="642503DD"/>
    <w:rsid w:val="64356146"/>
    <w:rsid w:val="643C5652"/>
    <w:rsid w:val="644545DB"/>
    <w:rsid w:val="64555CDA"/>
    <w:rsid w:val="646A047C"/>
    <w:rsid w:val="647E5010"/>
    <w:rsid w:val="647F209C"/>
    <w:rsid w:val="6486074F"/>
    <w:rsid w:val="648F2583"/>
    <w:rsid w:val="64944F4F"/>
    <w:rsid w:val="64B61035"/>
    <w:rsid w:val="64BC23C3"/>
    <w:rsid w:val="64C14FBA"/>
    <w:rsid w:val="64CA4E9F"/>
    <w:rsid w:val="64D23995"/>
    <w:rsid w:val="64E33DF4"/>
    <w:rsid w:val="64E5191A"/>
    <w:rsid w:val="64EA4AFA"/>
    <w:rsid w:val="64EC4A56"/>
    <w:rsid w:val="64F953C5"/>
    <w:rsid w:val="650D2C1F"/>
    <w:rsid w:val="650F6997"/>
    <w:rsid w:val="651F7F4D"/>
    <w:rsid w:val="652266CA"/>
    <w:rsid w:val="65401246"/>
    <w:rsid w:val="654E3963"/>
    <w:rsid w:val="65622F6B"/>
    <w:rsid w:val="656E190F"/>
    <w:rsid w:val="6593581A"/>
    <w:rsid w:val="659F41BF"/>
    <w:rsid w:val="65AC2438"/>
    <w:rsid w:val="65AE61B0"/>
    <w:rsid w:val="65C634F9"/>
    <w:rsid w:val="65DB00CE"/>
    <w:rsid w:val="65DD0843"/>
    <w:rsid w:val="65EE2A50"/>
    <w:rsid w:val="65F71905"/>
    <w:rsid w:val="65FC6F1B"/>
    <w:rsid w:val="65FF69B2"/>
    <w:rsid w:val="660E6C4E"/>
    <w:rsid w:val="661029C7"/>
    <w:rsid w:val="661204ED"/>
    <w:rsid w:val="66124991"/>
    <w:rsid w:val="66154481"/>
    <w:rsid w:val="661B6F11"/>
    <w:rsid w:val="66252916"/>
    <w:rsid w:val="66285F62"/>
    <w:rsid w:val="662F72F1"/>
    <w:rsid w:val="66333C0D"/>
    <w:rsid w:val="6635242D"/>
    <w:rsid w:val="663A5C95"/>
    <w:rsid w:val="663D46F1"/>
    <w:rsid w:val="66417024"/>
    <w:rsid w:val="665533E3"/>
    <w:rsid w:val="665B6338"/>
    <w:rsid w:val="66644AC0"/>
    <w:rsid w:val="668A09CB"/>
    <w:rsid w:val="668E63A9"/>
    <w:rsid w:val="668F5FE1"/>
    <w:rsid w:val="6695177A"/>
    <w:rsid w:val="66A575B3"/>
    <w:rsid w:val="66A870A3"/>
    <w:rsid w:val="66B617C0"/>
    <w:rsid w:val="66C537B1"/>
    <w:rsid w:val="66CC0FE3"/>
    <w:rsid w:val="66CE60FD"/>
    <w:rsid w:val="66E61B6E"/>
    <w:rsid w:val="67053946"/>
    <w:rsid w:val="67064B36"/>
    <w:rsid w:val="670C5884"/>
    <w:rsid w:val="671464E6"/>
    <w:rsid w:val="671D183F"/>
    <w:rsid w:val="67220C03"/>
    <w:rsid w:val="672E57FA"/>
    <w:rsid w:val="672F50CE"/>
    <w:rsid w:val="673152EA"/>
    <w:rsid w:val="673E3563"/>
    <w:rsid w:val="674C5C80"/>
    <w:rsid w:val="675608AD"/>
    <w:rsid w:val="675B5EC3"/>
    <w:rsid w:val="67674868"/>
    <w:rsid w:val="67705E13"/>
    <w:rsid w:val="677F7E04"/>
    <w:rsid w:val="678216A2"/>
    <w:rsid w:val="67A07D7A"/>
    <w:rsid w:val="67AF7FBD"/>
    <w:rsid w:val="67BA708E"/>
    <w:rsid w:val="67C021CA"/>
    <w:rsid w:val="67C86AC4"/>
    <w:rsid w:val="67C9107F"/>
    <w:rsid w:val="67CB6D64"/>
    <w:rsid w:val="67D068B1"/>
    <w:rsid w:val="67D17DED"/>
    <w:rsid w:val="67D61813"/>
    <w:rsid w:val="67DE67B8"/>
    <w:rsid w:val="67DF08A2"/>
    <w:rsid w:val="67E73BFB"/>
    <w:rsid w:val="67F325A0"/>
    <w:rsid w:val="67F4246A"/>
    <w:rsid w:val="67F96B4E"/>
    <w:rsid w:val="68024591"/>
    <w:rsid w:val="6813679E"/>
    <w:rsid w:val="68152516"/>
    <w:rsid w:val="68232E85"/>
    <w:rsid w:val="682643BE"/>
    <w:rsid w:val="68282249"/>
    <w:rsid w:val="682D5AB2"/>
    <w:rsid w:val="68307350"/>
    <w:rsid w:val="68442DFB"/>
    <w:rsid w:val="68525518"/>
    <w:rsid w:val="68541AF0"/>
    <w:rsid w:val="68603576"/>
    <w:rsid w:val="688356D2"/>
    <w:rsid w:val="688B4586"/>
    <w:rsid w:val="688F051A"/>
    <w:rsid w:val="68975621"/>
    <w:rsid w:val="689C6B70"/>
    <w:rsid w:val="68A30CAE"/>
    <w:rsid w:val="68A815DC"/>
    <w:rsid w:val="68B7537B"/>
    <w:rsid w:val="68BC13BE"/>
    <w:rsid w:val="68BC7AD6"/>
    <w:rsid w:val="68D51CA5"/>
    <w:rsid w:val="68D5499A"/>
    <w:rsid w:val="68F44821"/>
    <w:rsid w:val="68F51C33"/>
    <w:rsid w:val="68FC4574"/>
    <w:rsid w:val="69041ADC"/>
    <w:rsid w:val="690551DE"/>
    <w:rsid w:val="690A194F"/>
    <w:rsid w:val="69110F2F"/>
    <w:rsid w:val="691342E5"/>
    <w:rsid w:val="69164798"/>
    <w:rsid w:val="691651B4"/>
    <w:rsid w:val="69195C98"/>
    <w:rsid w:val="69196036"/>
    <w:rsid w:val="691B3B5C"/>
    <w:rsid w:val="692549DB"/>
    <w:rsid w:val="69283A0B"/>
    <w:rsid w:val="693966D8"/>
    <w:rsid w:val="69425A88"/>
    <w:rsid w:val="69431305"/>
    <w:rsid w:val="69456E2B"/>
    <w:rsid w:val="694D5CE0"/>
    <w:rsid w:val="695A0B28"/>
    <w:rsid w:val="69682C81"/>
    <w:rsid w:val="696A4AE4"/>
    <w:rsid w:val="697878F2"/>
    <w:rsid w:val="697A2F79"/>
    <w:rsid w:val="697A43B8"/>
    <w:rsid w:val="697D4817"/>
    <w:rsid w:val="697F233D"/>
    <w:rsid w:val="69894F6A"/>
    <w:rsid w:val="698E07D2"/>
    <w:rsid w:val="699B6A4B"/>
    <w:rsid w:val="699E02E9"/>
    <w:rsid w:val="69A27DD9"/>
    <w:rsid w:val="69A43856"/>
    <w:rsid w:val="69AA1760"/>
    <w:rsid w:val="69B40499"/>
    <w:rsid w:val="69B8584F"/>
    <w:rsid w:val="69BB0E9B"/>
    <w:rsid w:val="69D865C9"/>
    <w:rsid w:val="69E93C5A"/>
    <w:rsid w:val="6A042842"/>
    <w:rsid w:val="6A0D410F"/>
    <w:rsid w:val="6A106603"/>
    <w:rsid w:val="6A1A3E14"/>
    <w:rsid w:val="6A2151A2"/>
    <w:rsid w:val="6A3C1FDC"/>
    <w:rsid w:val="6A42336B"/>
    <w:rsid w:val="6A4C1A0F"/>
    <w:rsid w:val="6A5512F0"/>
    <w:rsid w:val="6A55563C"/>
    <w:rsid w:val="6A5C61DA"/>
    <w:rsid w:val="6A62543D"/>
    <w:rsid w:val="6A6343F3"/>
    <w:rsid w:val="6A682DD1"/>
    <w:rsid w:val="6A70612A"/>
    <w:rsid w:val="6A721EA2"/>
    <w:rsid w:val="6A774534"/>
    <w:rsid w:val="6A817C2F"/>
    <w:rsid w:val="6A841BD5"/>
    <w:rsid w:val="6A885221"/>
    <w:rsid w:val="6A965126"/>
    <w:rsid w:val="6A9F5220"/>
    <w:rsid w:val="6AB062BC"/>
    <w:rsid w:val="6AB302C8"/>
    <w:rsid w:val="6AB97AD1"/>
    <w:rsid w:val="6ABE009D"/>
    <w:rsid w:val="6AC36259"/>
    <w:rsid w:val="6ACA583A"/>
    <w:rsid w:val="6AD00976"/>
    <w:rsid w:val="6AD62431"/>
    <w:rsid w:val="6ADA17F5"/>
    <w:rsid w:val="6ADB75C4"/>
    <w:rsid w:val="6AE83F12"/>
    <w:rsid w:val="6AFF300A"/>
    <w:rsid w:val="6B036F9E"/>
    <w:rsid w:val="6B0865E1"/>
    <w:rsid w:val="6B0D5727"/>
    <w:rsid w:val="6B113469"/>
    <w:rsid w:val="6B1C1E0E"/>
    <w:rsid w:val="6B1E7934"/>
    <w:rsid w:val="6B2807B2"/>
    <w:rsid w:val="6B2821EF"/>
    <w:rsid w:val="6B2C242F"/>
    <w:rsid w:val="6B4063A0"/>
    <w:rsid w:val="6B441B7A"/>
    <w:rsid w:val="6B451364"/>
    <w:rsid w:val="6B52582F"/>
    <w:rsid w:val="6B525830"/>
    <w:rsid w:val="6B5C045C"/>
    <w:rsid w:val="6B5E2426"/>
    <w:rsid w:val="6B735ED1"/>
    <w:rsid w:val="6B756F24"/>
    <w:rsid w:val="6B7B6A25"/>
    <w:rsid w:val="6B7D28AC"/>
    <w:rsid w:val="6B8579B3"/>
    <w:rsid w:val="6B8754D9"/>
    <w:rsid w:val="6B8C0D41"/>
    <w:rsid w:val="6B8C6F93"/>
    <w:rsid w:val="6B900564"/>
    <w:rsid w:val="6B9B5C39"/>
    <w:rsid w:val="6BB661EC"/>
    <w:rsid w:val="6BBB1626"/>
    <w:rsid w:val="6BBC4E93"/>
    <w:rsid w:val="6BC02799"/>
    <w:rsid w:val="6BC06C3D"/>
    <w:rsid w:val="6BCB7ABB"/>
    <w:rsid w:val="6BE91CF0"/>
    <w:rsid w:val="6BE97F42"/>
    <w:rsid w:val="6BEE5353"/>
    <w:rsid w:val="6BEE7306"/>
    <w:rsid w:val="6BFB1A23"/>
    <w:rsid w:val="6C0028EB"/>
    <w:rsid w:val="6C172D01"/>
    <w:rsid w:val="6C1F1BB5"/>
    <w:rsid w:val="6C2F4027"/>
    <w:rsid w:val="6C3158AB"/>
    <w:rsid w:val="6C3478D4"/>
    <w:rsid w:val="6C3A254B"/>
    <w:rsid w:val="6C4A1EAE"/>
    <w:rsid w:val="6C5630FD"/>
    <w:rsid w:val="6C6972D4"/>
    <w:rsid w:val="6C711CE5"/>
    <w:rsid w:val="6C727F37"/>
    <w:rsid w:val="6C863C6A"/>
    <w:rsid w:val="6C8C6B1F"/>
    <w:rsid w:val="6C95345F"/>
    <w:rsid w:val="6C987604"/>
    <w:rsid w:val="6C9D156C"/>
    <w:rsid w:val="6CAB2660"/>
    <w:rsid w:val="6CB247D7"/>
    <w:rsid w:val="6CBF0CA2"/>
    <w:rsid w:val="6CC664D5"/>
    <w:rsid w:val="6CC8224D"/>
    <w:rsid w:val="6CD75FEC"/>
    <w:rsid w:val="6CD877DD"/>
    <w:rsid w:val="6CEE4D5A"/>
    <w:rsid w:val="6CF50B68"/>
    <w:rsid w:val="6CF7668E"/>
    <w:rsid w:val="6CFC0D94"/>
    <w:rsid w:val="6D0F39D8"/>
    <w:rsid w:val="6D147240"/>
    <w:rsid w:val="6D17288C"/>
    <w:rsid w:val="6D262AD0"/>
    <w:rsid w:val="6D3266BD"/>
    <w:rsid w:val="6D3D707A"/>
    <w:rsid w:val="6D444DEE"/>
    <w:rsid w:val="6D45389E"/>
    <w:rsid w:val="6D512242"/>
    <w:rsid w:val="6D57537F"/>
    <w:rsid w:val="6D5B671F"/>
    <w:rsid w:val="6D764DFA"/>
    <w:rsid w:val="6D7D4DE5"/>
    <w:rsid w:val="6D875BFC"/>
    <w:rsid w:val="6D877A12"/>
    <w:rsid w:val="6D8D2B4F"/>
    <w:rsid w:val="6D9B526C"/>
    <w:rsid w:val="6DA305C4"/>
    <w:rsid w:val="6DA57E98"/>
    <w:rsid w:val="6DAA3B67"/>
    <w:rsid w:val="6DB602F7"/>
    <w:rsid w:val="6DB85E1E"/>
    <w:rsid w:val="6DEF55B7"/>
    <w:rsid w:val="6DF36E56"/>
    <w:rsid w:val="6DFE57FA"/>
    <w:rsid w:val="6E2214E9"/>
    <w:rsid w:val="6E276AFF"/>
    <w:rsid w:val="6E2D0C79"/>
    <w:rsid w:val="6E337B9A"/>
    <w:rsid w:val="6E3404E7"/>
    <w:rsid w:val="6E423939"/>
    <w:rsid w:val="6E4476B1"/>
    <w:rsid w:val="6E493DC7"/>
    <w:rsid w:val="6E4A715D"/>
    <w:rsid w:val="6E4B4EE4"/>
    <w:rsid w:val="6E511DCE"/>
    <w:rsid w:val="6E531FEA"/>
    <w:rsid w:val="6E5E27AB"/>
    <w:rsid w:val="6E5F44EB"/>
    <w:rsid w:val="6E661D1D"/>
    <w:rsid w:val="6E663ACB"/>
    <w:rsid w:val="6E6908AD"/>
    <w:rsid w:val="6E7855AD"/>
    <w:rsid w:val="6E7E20EE"/>
    <w:rsid w:val="6E82467D"/>
    <w:rsid w:val="6E865F1C"/>
    <w:rsid w:val="6E867CCA"/>
    <w:rsid w:val="6E881C94"/>
    <w:rsid w:val="6E92169B"/>
    <w:rsid w:val="6EA415FB"/>
    <w:rsid w:val="6EA463A2"/>
    <w:rsid w:val="6EA6036C"/>
    <w:rsid w:val="6EA91C0A"/>
    <w:rsid w:val="6EC30BD5"/>
    <w:rsid w:val="6ED22F0F"/>
    <w:rsid w:val="6ED50C51"/>
    <w:rsid w:val="6EDC1FE0"/>
    <w:rsid w:val="6EE175F6"/>
    <w:rsid w:val="6EE2027D"/>
    <w:rsid w:val="6EE449F0"/>
    <w:rsid w:val="6EE97FE6"/>
    <w:rsid w:val="6EEB2223"/>
    <w:rsid w:val="6EEB3FD1"/>
    <w:rsid w:val="6F067E4F"/>
    <w:rsid w:val="6F0E4B3B"/>
    <w:rsid w:val="6F125A01"/>
    <w:rsid w:val="6F1928EC"/>
    <w:rsid w:val="6F1A2552"/>
    <w:rsid w:val="6F1C3701"/>
    <w:rsid w:val="6F265009"/>
    <w:rsid w:val="6F2F210F"/>
    <w:rsid w:val="6F3365CC"/>
    <w:rsid w:val="6F3E67F6"/>
    <w:rsid w:val="6F490CF7"/>
    <w:rsid w:val="6F5161E8"/>
    <w:rsid w:val="6F674785"/>
    <w:rsid w:val="6F8306AD"/>
    <w:rsid w:val="6F8C57B4"/>
    <w:rsid w:val="6F9C52CB"/>
    <w:rsid w:val="6F9E54E7"/>
    <w:rsid w:val="6F9E7295"/>
    <w:rsid w:val="6FA81EC2"/>
    <w:rsid w:val="6FAF4FFE"/>
    <w:rsid w:val="6FAF638E"/>
    <w:rsid w:val="6FB73075"/>
    <w:rsid w:val="6FC22F83"/>
    <w:rsid w:val="6FD44A65"/>
    <w:rsid w:val="6FF670D1"/>
    <w:rsid w:val="6FF83B26"/>
    <w:rsid w:val="6FFD3FBC"/>
    <w:rsid w:val="70161521"/>
    <w:rsid w:val="70180DF5"/>
    <w:rsid w:val="70182BA3"/>
    <w:rsid w:val="70194949"/>
    <w:rsid w:val="70221C74"/>
    <w:rsid w:val="70294DB1"/>
    <w:rsid w:val="70313054"/>
    <w:rsid w:val="70486582"/>
    <w:rsid w:val="704E0CBB"/>
    <w:rsid w:val="705D2CAC"/>
    <w:rsid w:val="70644124"/>
    <w:rsid w:val="70752230"/>
    <w:rsid w:val="70866263"/>
    <w:rsid w:val="709F32C5"/>
    <w:rsid w:val="70A66401"/>
    <w:rsid w:val="70AC59E2"/>
    <w:rsid w:val="70AC7790"/>
    <w:rsid w:val="70B0102E"/>
    <w:rsid w:val="70B07280"/>
    <w:rsid w:val="70BF5715"/>
    <w:rsid w:val="70C25205"/>
    <w:rsid w:val="70CD7E32"/>
    <w:rsid w:val="70D016D0"/>
    <w:rsid w:val="70D91D2E"/>
    <w:rsid w:val="70E46F2A"/>
    <w:rsid w:val="71025602"/>
    <w:rsid w:val="71094BE2"/>
    <w:rsid w:val="711315BD"/>
    <w:rsid w:val="71153587"/>
    <w:rsid w:val="71175551"/>
    <w:rsid w:val="713D663A"/>
    <w:rsid w:val="713F6856"/>
    <w:rsid w:val="71445C1A"/>
    <w:rsid w:val="71701BA8"/>
    <w:rsid w:val="717464FF"/>
    <w:rsid w:val="71755F6C"/>
    <w:rsid w:val="71773CDB"/>
    <w:rsid w:val="71813AE6"/>
    <w:rsid w:val="71877958"/>
    <w:rsid w:val="71B11502"/>
    <w:rsid w:val="71B20DD6"/>
    <w:rsid w:val="71B608C6"/>
    <w:rsid w:val="71BC1C54"/>
    <w:rsid w:val="71CD3E62"/>
    <w:rsid w:val="71E13F5D"/>
    <w:rsid w:val="71E74F23"/>
    <w:rsid w:val="71E76CD1"/>
    <w:rsid w:val="71E82A49"/>
    <w:rsid w:val="720E7302"/>
    <w:rsid w:val="720F6228"/>
    <w:rsid w:val="7214383E"/>
    <w:rsid w:val="72161365"/>
    <w:rsid w:val="721B2E1F"/>
    <w:rsid w:val="72200435"/>
    <w:rsid w:val="7226160F"/>
    <w:rsid w:val="722D66AE"/>
    <w:rsid w:val="7233658F"/>
    <w:rsid w:val="724063E2"/>
    <w:rsid w:val="72423B23"/>
    <w:rsid w:val="724C122A"/>
    <w:rsid w:val="725105EF"/>
    <w:rsid w:val="725D3437"/>
    <w:rsid w:val="72640322"/>
    <w:rsid w:val="727B38BE"/>
    <w:rsid w:val="729A3D44"/>
    <w:rsid w:val="72BF19FC"/>
    <w:rsid w:val="72C15774"/>
    <w:rsid w:val="72C65FB9"/>
    <w:rsid w:val="72CC236B"/>
    <w:rsid w:val="72D60AF4"/>
    <w:rsid w:val="72E90827"/>
    <w:rsid w:val="72FC1840"/>
    <w:rsid w:val="730074EB"/>
    <w:rsid w:val="73243F55"/>
    <w:rsid w:val="73291E48"/>
    <w:rsid w:val="73306456"/>
    <w:rsid w:val="733529DC"/>
    <w:rsid w:val="73441F01"/>
    <w:rsid w:val="735F0AE9"/>
    <w:rsid w:val="735F4F8D"/>
    <w:rsid w:val="73610D05"/>
    <w:rsid w:val="736E4F36"/>
    <w:rsid w:val="736F3422"/>
    <w:rsid w:val="736F5722"/>
    <w:rsid w:val="73734595"/>
    <w:rsid w:val="73861E89"/>
    <w:rsid w:val="738A200A"/>
    <w:rsid w:val="739B4217"/>
    <w:rsid w:val="73A0182E"/>
    <w:rsid w:val="73A56E44"/>
    <w:rsid w:val="73A92E61"/>
    <w:rsid w:val="73AB01D2"/>
    <w:rsid w:val="73B726D3"/>
    <w:rsid w:val="73D5029D"/>
    <w:rsid w:val="73DC038C"/>
    <w:rsid w:val="74172312"/>
    <w:rsid w:val="741A09E2"/>
    <w:rsid w:val="74275AAB"/>
    <w:rsid w:val="74387CB8"/>
    <w:rsid w:val="743B34D6"/>
    <w:rsid w:val="744856E9"/>
    <w:rsid w:val="74597C2E"/>
    <w:rsid w:val="746C7962"/>
    <w:rsid w:val="747173C1"/>
    <w:rsid w:val="74945441"/>
    <w:rsid w:val="74980757"/>
    <w:rsid w:val="749F7EA2"/>
    <w:rsid w:val="74A425E4"/>
    <w:rsid w:val="74A964C0"/>
    <w:rsid w:val="74AA19FC"/>
    <w:rsid w:val="74BF3F35"/>
    <w:rsid w:val="74C4779E"/>
    <w:rsid w:val="74C72DEA"/>
    <w:rsid w:val="74C8164B"/>
    <w:rsid w:val="74D6302D"/>
    <w:rsid w:val="74DD260E"/>
    <w:rsid w:val="74E41BEE"/>
    <w:rsid w:val="74E4574A"/>
    <w:rsid w:val="74FD78E8"/>
    <w:rsid w:val="75061B64"/>
    <w:rsid w:val="751A73BE"/>
    <w:rsid w:val="75280D4A"/>
    <w:rsid w:val="752913AF"/>
    <w:rsid w:val="752C0E9F"/>
    <w:rsid w:val="752E39B1"/>
    <w:rsid w:val="75461F61"/>
    <w:rsid w:val="75463985"/>
    <w:rsid w:val="75640639"/>
    <w:rsid w:val="756D3991"/>
    <w:rsid w:val="757F5473"/>
    <w:rsid w:val="75842A89"/>
    <w:rsid w:val="759727BC"/>
    <w:rsid w:val="75A31161"/>
    <w:rsid w:val="75A849CA"/>
    <w:rsid w:val="75B25848"/>
    <w:rsid w:val="75B44EA1"/>
    <w:rsid w:val="75B90985"/>
    <w:rsid w:val="75CD4430"/>
    <w:rsid w:val="75CF44C6"/>
    <w:rsid w:val="75D11A46"/>
    <w:rsid w:val="75E55C1E"/>
    <w:rsid w:val="75E874BC"/>
    <w:rsid w:val="75EE39E4"/>
    <w:rsid w:val="75F06371"/>
    <w:rsid w:val="75F36784"/>
    <w:rsid w:val="760A0840"/>
    <w:rsid w:val="761B163F"/>
    <w:rsid w:val="76200A04"/>
    <w:rsid w:val="76265E7A"/>
    <w:rsid w:val="762B6A38"/>
    <w:rsid w:val="76320737"/>
    <w:rsid w:val="76382E28"/>
    <w:rsid w:val="76402E54"/>
    <w:rsid w:val="764861AD"/>
    <w:rsid w:val="764F593B"/>
    <w:rsid w:val="765C1A19"/>
    <w:rsid w:val="76746FA2"/>
    <w:rsid w:val="767C24AF"/>
    <w:rsid w:val="76831851"/>
    <w:rsid w:val="76852F5D"/>
    <w:rsid w:val="76856AB9"/>
    <w:rsid w:val="768A2321"/>
    <w:rsid w:val="768C4122"/>
    <w:rsid w:val="768F7938"/>
    <w:rsid w:val="76AB6CA5"/>
    <w:rsid w:val="76AF3B36"/>
    <w:rsid w:val="76B15B00"/>
    <w:rsid w:val="76B37ACA"/>
    <w:rsid w:val="76B4739E"/>
    <w:rsid w:val="76C9109B"/>
    <w:rsid w:val="76D161A2"/>
    <w:rsid w:val="76D65566"/>
    <w:rsid w:val="76D714E9"/>
    <w:rsid w:val="76D96E05"/>
    <w:rsid w:val="76DC4F50"/>
    <w:rsid w:val="76E25CB9"/>
    <w:rsid w:val="76E934EC"/>
    <w:rsid w:val="76EA59A7"/>
    <w:rsid w:val="76F36118"/>
    <w:rsid w:val="76F53C3E"/>
    <w:rsid w:val="76F607B6"/>
    <w:rsid w:val="76F93003"/>
    <w:rsid w:val="77091498"/>
    <w:rsid w:val="7709593C"/>
    <w:rsid w:val="771A18F7"/>
    <w:rsid w:val="7731279D"/>
    <w:rsid w:val="77394704"/>
    <w:rsid w:val="77444BC6"/>
    <w:rsid w:val="7746449A"/>
    <w:rsid w:val="774921DC"/>
    <w:rsid w:val="774A385E"/>
    <w:rsid w:val="774C75D7"/>
    <w:rsid w:val="775A1CF3"/>
    <w:rsid w:val="77674410"/>
    <w:rsid w:val="776E579F"/>
    <w:rsid w:val="77737259"/>
    <w:rsid w:val="777728A5"/>
    <w:rsid w:val="778E4093"/>
    <w:rsid w:val="77A411C1"/>
    <w:rsid w:val="77A64F39"/>
    <w:rsid w:val="77B55193"/>
    <w:rsid w:val="77CD0717"/>
    <w:rsid w:val="77D45F4A"/>
    <w:rsid w:val="77E37F3B"/>
    <w:rsid w:val="77E51F05"/>
    <w:rsid w:val="77E85112"/>
    <w:rsid w:val="77EB3293"/>
    <w:rsid w:val="77F75794"/>
    <w:rsid w:val="78014865"/>
    <w:rsid w:val="780659D7"/>
    <w:rsid w:val="78085BF3"/>
    <w:rsid w:val="78095EBE"/>
    <w:rsid w:val="780D6D66"/>
    <w:rsid w:val="78137BE6"/>
    <w:rsid w:val="78146346"/>
    <w:rsid w:val="78160310"/>
    <w:rsid w:val="781A1483"/>
    <w:rsid w:val="781C344D"/>
    <w:rsid w:val="781C51FB"/>
    <w:rsid w:val="78244BDC"/>
    <w:rsid w:val="78320EC2"/>
    <w:rsid w:val="78570929"/>
    <w:rsid w:val="785726D7"/>
    <w:rsid w:val="785F2B27"/>
    <w:rsid w:val="786077DD"/>
    <w:rsid w:val="78667397"/>
    <w:rsid w:val="7868337E"/>
    <w:rsid w:val="786E7BCB"/>
    <w:rsid w:val="786F17CF"/>
    <w:rsid w:val="787968F6"/>
    <w:rsid w:val="787A4601"/>
    <w:rsid w:val="787E7C64"/>
    <w:rsid w:val="788A750F"/>
    <w:rsid w:val="788B412F"/>
    <w:rsid w:val="789A7B10"/>
    <w:rsid w:val="78AD3C75"/>
    <w:rsid w:val="78B319C5"/>
    <w:rsid w:val="78B83176"/>
    <w:rsid w:val="78B96EEE"/>
    <w:rsid w:val="78CA10FB"/>
    <w:rsid w:val="78CA21F2"/>
    <w:rsid w:val="78CF226D"/>
    <w:rsid w:val="78D701B7"/>
    <w:rsid w:val="78D81B8B"/>
    <w:rsid w:val="78D855C6"/>
    <w:rsid w:val="78E33F6B"/>
    <w:rsid w:val="78E57CE3"/>
    <w:rsid w:val="78F65A4C"/>
    <w:rsid w:val="78F85C68"/>
    <w:rsid w:val="78FD502C"/>
    <w:rsid w:val="78FF6FF6"/>
    <w:rsid w:val="790F4D60"/>
    <w:rsid w:val="79107DD8"/>
    <w:rsid w:val="791D56CF"/>
    <w:rsid w:val="79314CD6"/>
    <w:rsid w:val="795F7A95"/>
    <w:rsid w:val="79703A50"/>
    <w:rsid w:val="79751067"/>
    <w:rsid w:val="797A083A"/>
    <w:rsid w:val="79867177"/>
    <w:rsid w:val="79872B48"/>
    <w:rsid w:val="79975481"/>
    <w:rsid w:val="799A287B"/>
    <w:rsid w:val="79A8143C"/>
    <w:rsid w:val="79B7342D"/>
    <w:rsid w:val="79BD2A81"/>
    <w:rsid w:val="79C1605A"/>
    <w:rsid w:val="79D044EF"/>
    <w:rsid w:val="79D253CF"/>
    <w:rsid w:val="79D27888"/>
    <w:rsid w:val="79D833A4"/>
    <w:rsid w:val="79DA536E"/>
    <w:rsid w:val="79E65AC0"/>
    <w:rsid w:val="79E91CEF"/>
    <w:rsid w:val="79F725D0"/>
    <w:rsid w:val="79FF4DD4"/>
    <w:rsid w:val="7A016D9E"/>
    <w:rsid w:val="7A097A01"/>
    <w:rsid w:val="7A163D77"/>
    <w:rsid w:val="7A262361"/>
    <w:rsid w:val="7A2D1941"/>
    <w:rsid w:val="7A2E4638"/>
    <w:rsid w:val="7A304F8E"/>
    <w:rsid w:val="7A3E0E36"/>
    <w:rsid w:val="7A41363F"/>
    <w:rsid w:val="7A4647B1"/>
    <w:rsid w:val="7A4B626B"/>
    <w:rsid w:val="7A4B62B3"/>
    <w:rsid w:val="7A5213A8"/>
    <w:rsid w:val="7A735DA7"/>
    <w:rsid w:val="7A886B78"/>
    <w:rsid w:val="7A965738"/>
    <w:rsid w:val="7AA53BCD"/>
    <w:rsid w:val="7AA634A2"/>
    <w:rsid w:val="7AB61937"/>
    <w:rsid w:val="7AB874B0"/>
    <w:rsid w:val="7AC06311"/>
    <w:rsid w:val="7ACD0A2E"/>
    <w:rsid w:val="7AD1051F"/>
    <w:rsid w:val="7AD24297"/>
    <w:rsid w:val="7AD41DBD"/>
    <w:rsid w:val="7AD93877"/>
    <w:rsid w:val="7ADA324A"/>
    <w:rsid w:val="7AE00762"/>
    <w:rsid w:val="7AEA0041"/>
    <w:rsid w:val="7AF92645"/>
    <w:rsid w:val="7AFB559C"/>
    <w:rsid w:val="7AFB7950"/>
    <w:rsid w:val="7B034450"/>
    <w:rsid w:val="7B05034F"/>
    <w:rsid w:val="7B0545DE"/>
    <w:rsid w:val="7B14665D"/>
    <w:rsid w:val="7B2A6630"/>
    <w:rsid w:val="7B2C23FE"/>
    <w:rsid w:val="7B2C39A7"/>
    <w:rsid w:val="7B364826"/>
    <w:rsid w:val="7B384B4C"/>
    <w:rsid w:val="7B424F78"/>
    <w:rsid w:val="7B430CF1"/>
    <w:rsid w:val="7B450F0D"/>
    <w:rsid w:val="7B4A207F"/>
    <w:rsid w:val="7B57268A"/>
    <w:rsid w:val="7B6B0973"/>
    <w:rsid w:val="7B763E2F"/>
    <w:rsid w:val="7B80066B"/>
    <w:rsid w:val="7B810197"/>
    <w:rsid w:val="7B842120"/>
    <w:rsid w:val="7B910F06"/>
    <w:rsid w:val="7B917CAE"/>
    <w:rsid w:val="7B933A26"/>
    <w:rsid w:val="7B9621E0"/>
    <w:rsid w:val="7BA06143"/>
    <w:rsid w:val="7BB10350"/>
    <w:rsid w:val="7BBF481B"/>
    <w:rsid w:val="7BC4545A"/>
    <w:rsid w:val="7BD36518"/>
    <w:rsid w:val="7BD52290"/>
    <w:rsid w:val="7BF85F7F"/>
    <w:rsid w:val="7C06069C"/>
    <w:rsid w:val="7C084414"/>
    <w:rsid w:val="7C0D1A2A"/>
    <w:rsid w:val="7C144670"/>
    <w:rsid w:val="7C1728A9"/>
    <w:rsid w:val="7C183F2B"/>
    <w:rsid w:val="7C2D3E7B"/>
    <w:rsid w:val="7C3C069A"/>
    <w:rsid w:val="7C3E7E36"/>
    <w:rsid w:val="7C414170"/>
    <w:rsid w:val="7C541407"/>
    <w:rsid w:val="7C596A1E"/>
    <w:rsid w:val="7C6D071B"/>
    <w:rsid w:val="7C760C22"/>
    <w:rsid w:val="7C886CA5"/>
    <w:rsid w:val="7C9753EB"/>
    <w:rsid w:val="7C9C378D"/>
    <w:rsid w:val="7CA13F21"/>
    <w:rsid w:val="7CAA5868"/>
    <w:rsid w:val="7CAC7BEA"/>
    <w:rsid w:val="7CB70FD0"/>
    <w:rsid w:val="7CE243C0"/>
    <w:rsid w:val="7CE34539"/>
    <w:rsid w:val="7CE502B1"/>
    <w:rsid w:val="7CEA58C8"/>
    <w:rsid w:val="7CEC5AE4"/>
    <w:rsid w:val="7CEE3B4F"/>
    <w:rsid w:val="7D1943FF"/>
    <w:rsid w:val="7D1D5C9D"/>
    <w:rsid w:val="7D24527D"/>
    <w:rsid w:val="7D272678"/>
    <w:rsid w:val="7D2F777E"/>
    <w:rsid w:val="7D3F0C12"/>
    <w:rsid w:val="7D44147C"/>
    <w:rsid w:val="7D456FA2"/>
    <w:rsid w:val="7D480840"/>
    <w:rsid w:val="7D553689"/>
    <w:rsid w:val="7D5D253D"/>
    <w:rsid w:val="7D625DA6"/>
    <w:rsid w:val="7D641B1E"/>
    <w:rsid w:val="7D6F2271"/>
    <w:rsid w:val="7D7A4E9D"/>
    <w:rsid w:val="7D8B70AB"/>
    <w:rsid w:val="7D8C2E23"/>
    <w:rsid w:val="7D8C697F"/>
    <w:rsid w:val="7D937D0D"/>
    <w:rsid w:val="7D972576"/>
    <w:rsid w:val="7DBF384A"/>
    <w:rsid w:val="7DE844FD"/>
    <w:rsid w:val="7DFC2CBA"/>
    <w:rsid w:val="7DFD162B"/>
    <w:rsid w:val="7E105802"/>
    <w:rsid w:val="7E2412AD"/>
    <w:rsid w:val="7E307C52"/>
    <w:rsid w:val="7E3913D0"/>
    <w:rsid w:val="7E4061A7"/>
    <w:rsid w:val="7E437985"/>
    <w:rsid w:val="7E4B4A8C"/>
    <w:rsid w:val="7E4F632A"/>
    <w:rsid w:val="7E5721FD"/>
    <w:rsid w:val="7E5971A9"/>
    <w:rsid w:val="7E5E656D"/>
    <w:rsid w:val="7E632D40"/>
    <w:rsid w:val="7E6B2A38"/>
    <w:rsid w:val="7E7519B6"/>
    <w:rsid w:val="7E8A7362"/>
    <w:rsid w:val="7E933D3D"/>
    <w:rsid w:val="7EA36676"/>
    <w:rsid w:val="7EA816A6"/>
    <w:rsid w:val="7EAA04C0"/>
    <w:rsid w:val="7EAA3560"/>
    <w:rsid w:val="7EB05F55"/>
    <w:rsid w:val="7EB45D48"/>
    <w:rsid w:val="7EB51F05"/>
    <w:rsid w:val="7EB75C7D"/>
    <w:rsid w:val="7EBA751C"/>
    <w:rsid w:val="7EC332E7"/>
    <w:rsid w:val="7EDE320A"/>
    <w:rsid w:val="7EE03426"/>
    <w:rsid w:val="7EE66563"/>
    <w:rsid w:val="7EEB5927"/>
    <w:rsid w:val="7EF7251E"/>
    <w:rsid w:val="7F060D40"/>
    <w:rsid w:val="7F0F40ED"/>
    <w:rsid w:val="7F111831"/>
    <w:rsid w:val="7F1E7AAB"/>
    <w:rsid w:val="7F2D1026"/>
    <w:rsid w:val="7F3441A8"/>
    <w:rsid w:val="7F3E1EFB"/>
    <w:rsid w:val="7F453DC2"/>
    <w:rsid w:val="7F477001"/>
    <w:rsid w:val="7F5434CC"/>
    <w:rsid w:val="7F5F77F2"/>
    <w:rsid w:val="7F65758F"/>
    <w:rsid w:val="7F71127C"/>
    <w:rsid w:val="7F782847"/>
    <w:rsid w:val="7F792F33"/>
    <w:rsid w:val="7F857B2A"/>
    <w:rsid w:val="7F9B559F"/>
    <w:rsid w:val="7FAC3308"/>
    <w:rsid w:val="7FAC50B6"/>
    <w:rsid w:val="7FAC7C4E"/>
    <w:rsid w:val="7FC543CA"/>
    <w:rsid w:val="7FD10FC1"/>
    <w:rsid w:val="7FE46906"/>
    <w:rsid w:val="7FE9630A"/>
    <w:rsid w:val="7FEA3E31"/>
    <w:rsid w:val="7FF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adjustRightInd w:val="0"/>
      <w:spacing w:line="400" w:lineRule="exact"/>
      <w:jc w:val="left"/>
      <w:textAlignment w:val="baseline"/>
      <w:outlineLvl w:val="0"/>
    </w:pPr>
    <w:rPr>
      <w:rFonts w:ascii="Calibri" w:hAnsi="Calibri" w:eastAsia="黑体" w:cs="宋体"/>
      <w:kern w:val="0"/>
      <w:sz w:val="24"/>
    </w:rPr>
  </w:style>
  <w:style w:type="paragraph" w:styleId="5">
    <w:name w:val="heading 2"/>
    <w:basedOn w:val="1"/>
    <w:next w:val="1"/>
    <w:autoRedefine/>
    <w:qFormat/>
    <w:uiPriority w:val="0"/>
    <w:pPr>
      <w:tabs>
        <w:tab w:val="left" w:pos="1260"/>
        <w:tab w:val="left" w:pos="1575"/>
      </w:tabs>
      <w:jc w:val="both"/>
      <w:outlineLvl w:val="1"/>
    </w:pPr>
    <w:rPr>
      <w:rFonts w:eastAsia="宋体"/>
    </w:rPr>
  </w:style>
  <w:style w:type="paragraph" w:styleId="6">
    <w:name w:val="heading 3"/>
    <w:basedOn w:val="5"/>
    <w:next w:val="1"/>
    <w:autoRedefine/>
    <w:qFormat/>
    <w:uiPriority w:val="0"/>
    <w:pPr>
      <w:keepNext/>
      <w:keepLines/>
      <w:spacing w:before="260" w:after="260" w:line="413" w:lineRule="auto"/>
      <w:outlineLvl w:val="2"/>
    </w:pPr>
    <w:rPr>
      <w:rFonts w:ascii="Calibri" w:hAnsi="Calibri" w:cs="宋体"/>
      <w:b/>
      <w:bCs/>
      <w:sz w:val="32"/>
      <w:szCs w:val="32"/>
    </w:rPr>
  </w:style>
  <w:style w:type="paragraph" w:styleId="7">
    <w:name w:val="heading 4"/>
    <w:basedOn w:val="1"/>
    <w:next w:val="1"/>
    <w:autoRedefine/>
    <w:unhideWhenUsed/>
    <w:qFormat/>
    <w:uiPriority w:val="0"/>
    <w:pPr>
      <w:keepNext/>
      <w:keepLines/>
      <w:numPr>
        <w:ilvl w:val="3"/>
        <w:numId w:val="1"/>
      </w:numPr>
      <w:tabs>
        <w:tab w:val="left" w:pos="0"/>
      </w:tabs>
      <w:spacing w:before="280" w:after="290" w:line="376" w:lineRule="auto"/>
      <w:ind w:firstLineChars="0"/>
      <w:outlineLvl w:val="3"/>
    </w:pPr>
    <w:rPr>
      <w:rFonts w:asciiTheme="majorHAnsi" w:hAnsiTheme="majorHAnsi" w:cstheme="majorBidi"/>
      <w:b/>
      <w:bCs/>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ind w:firstLine="560" w:firstLineChars="200"/>
    </w:pPr>
    <w:rPr>
      <w:rFonts w:ascii="Calibri" w:hAnsi="Calibri" w:cs="宋体"/>
      <w:sz w:val="28"/>
    </w:rPr>
  </w:style>
  <w:style w:type="paragraph" w:styleId="4">
    <w:name w:val="No Spacing"/>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List Number"/>
    <w:basedOn w:val="1"/>
    <w:autoRedefine/>
    <w:qFormat/>
    <w:uiPriority w:val="0"/>
    <w:pPr>
      <w:numPr>
        <w:ilvl w:val="0"/>
        <w:numId w:val="2"/>
      </w:numPr>
    </w:pPr>
    <w:rPr>
      <w:rFonts w:ascii="Calibri" w:hAnsi="Calibri" w:cs="宋体"/>
    </w:rPr>
  </w:style>
  <w:style w:type="paragraph" w:styleId="9">
    <w:name w:val="Normal Indent"/>
    <w:basedOn w:val="1"/>
    <w:autoRedefine/>
    <w:qFormat/>
    <w:uiPriority w:val="0"/>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10">
    <w:name w:val="Document Map"/>
    <w:basedOn w:val="1"/>
    <w:link w:val="49"/>
    <w:autoRedefine/>
    <w:qFormat/>
    <w:uiPriority w:val="0"/>
    <w:rPr>
      <w:rFonts w:ascii="宋体" w:hAnsi="Calibri" w:cs="宋体"/>
      <w:sz w:val="18"/>
      <w:szCs w:val="18"/>
    </w:rPr>
  </w:style>
  <w:style w:type="paragraph" w:styleId="11">
    <w:name w:val="annotation text"/>
    <w:basedOn w:val="1"/>
    <w:link w:val="50"/>
    <w:autoRedefine/>
    <w:qFormat/>
    <w:uiPriority w:val="0"/>
    <w:pPr>
      <w:jc w:val="left"/>
    </w:pPr>
    <w:rPr>
      <w:rFonts w:ascii="Calibri" w:hAnsi="Calibri" w:cs="宋体"/>
    </w:rPr>
  </w:style>
  <w:style w:type="paragraph" w:styleId="12">
    <w:name w:val="Body Text 3"/>
    <w:basedOn w:val="1"/>
    <w:autoRedefine/>
    <w:qFormat/>
    <w:uiPriority w:val="0"/>
    <w:pPr>
      <w:spacing w:after="120"/>
    </w:pPr>
    <w:rPr>
      <w:rFonts w:ascii="Calibri" w:hAnsi="Calibri" w:cs="宋体"/>
      <w:sz w:val="16"/>
      <w:szCs w:val="16"/>
    </w:rPr>
  </w:style>
  <w:style w:type="paragraph" w:styleId="13">
    <w:name w:val="Body Text"/>
    <w:basedOn w:val="1"/>
    <w:next w:val="1"/>
    <w:autoRedefine/>
    <w:qFormat/>
    <w:uiPriority w:val="0"/>
    <w:pPr>
      <w:spacing w:after="120"/>
    </w:pPr>
    <w:rPr>
      <w:rFonts w:ascii="Calibri" w:hAnsi="Calibri" w:cs="宋体"/>
    </w:rPr>
  </w:style>
  <w:style w:type="paragraph" w:styleId="14">
    <w:name w:val="List 2"/>
    <w:basedOn w:val="1"/>
    <w:autoRedefine/>
    <w:qFormat/>
    <w:uiPriority w:val="0"/>
    <w:pPr>
      <w:ind w:left="100" w:leftChars="200" w:hanging="200" w:hangingChars="200"/>
    </w:pPr>
    <w:rPr>
      <w:rFonts w:ascii="Calibri" w:hAnsi="Calibri" w:cs="宋体"/>
    </w:rPr>
  </w:style>
  <w:style w:type="paragraph" w:styleId="15">
    <w:name w:val="Plain Text"/>
    <w:basedOn w:val="1"/>
    <w:next w:val="9"/>
    <w:link w:val="51"/>
    <w:autoRedefine/>
    <w:qFormat/>
    <w:uiPriority w:val="0"/>
    <w:rPr>
      <w:rFonts w:ascii="宋体" w:hAnsi="Courier New" w:cs="宋体"/>
    </w:rPr>
  </w:style>
  <w:style w:type="paragraph" w:styleId="16">
    <w:name w:val="Date"/>
    <w:basedOn w:val="1"/>
    <w:next w:val="1"/>
    <w:autoRedefine/>
    <w:qFormat/>
    <w:uiPriority w:val="0"/>
    <w:pPr>
      <w:ind w:left="2500" w:leftChars="2500"/>
    </w:pPr>
    <w:rPr>
      <w:rFonts w:ascii="Calibri" w:hAnsi="Calibri" w:eastAsia="楷体_GB2312" w:cs="宋体"/>
      <w:sz w:val="32"/>
    </w:rPr>
  </w:style>
  <w:style w:type="paragraph" w:styleId="17">
    <w:name w:val="Body Text Indent 2"/>
    <w:basedOn w:val="1"/>
    <w:autoRedefine/>
    <w:qFormat/>
    <w:uiPriority w:val="0"/>
    <w:pPr>
      <w:spacing w:line="360" w:lineRule="auto"/>
      <w:ind w:left="916" w:hanging="916" w:hangingChars="333"/>
    </w:pPr>
    <w:rPr>
      <w:rFonts w:ascii="Calibri" w:hAnsi="Calibri" w:eastAsia="黑体" w:cs="宋体"/>
      <w:b/>
      <w:bCs/>
      <w:sz w:val="28"/>
    </w:rPr>
  </w:style>
  <w:style w:type="paragraph" w:styleId="18">
    <w:name w:val="Balloon Text"/>
    <w:basedOn w:val="1"/>
    <w:autoRedefine/>
    <w:qFormat/>
    <w:uiPriority w:val="0"/>
    <w:rPr>
      <w:sz w:val="24"/>
      <w:szCs w:val="18"/>
    </w:rPr>
  </w:style>
  <w:style w:type="paragraph" w:styleId="19">
    <w:name w:val="footer"/>
    <w:basedOn w:val="1"/>
    <w:autoRedefine/>
    <w:qFormat/>
    <w:uiPriority w:val="0"/>
    <w:pPr>
      <w:tabs>
        <w:tab w:val="center" w:pos="4153"/>
        <w:tab w:val="right" w:pos="8306"/>
      </w:tabs>
      <w:snapToGrid w:val="0"/>
      <w:jc w:val="left"/>
    </w:pPr>
    <w:rPr>
      <w:rFonts w:ascii="Calibri" w:hAnsi="Calibri" w:cs="宋体"/>
      <w:sz w:val="18"/>
      <w:szCs w:val="18"/>
    </w:rPr>
  </w:style>
  <w:style w:type="paragraph" w:styleId="20">
    <w:name w:val="envelope return"/>
    <w:basedOn w:val="1"/>
    <w:autoRedefine/>
    <w:qFormat/>
    <w:uiPriority w:val="99"/>
    <w:pPr>
      <w:snapToGrid w:val="0"/>
    </w:pPr>
    <w:rPr>
      <w:rFonts w:ascii="Arial" w:hAnsi="Arial" w:cs="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22">
    <w:name w:val="toc 1"/>
    <w:basedOn w:val="1"/>
    <w:next w:val="1"/>
    <w:autoRedefine/>
    <w:qFormat/>
    <w:uiPriority w:val="0"/>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4">
    <w:name w:val="List"/>
    <w:basedOn w:val="1"/>
    <w:autoRedefine/>
    <w:qFormat/>
    <w:uiPriority w:val="0"/>
    <w:pPr>
      <w:ind w:left="200" w:hanging="200"/>
    </w:pPr>
    <w:rPr>
      <w:rFonts w:ascii="Calibri" w:hAnsi="Calibri" w:cs="宋体"/>
    </w:rPr>
  </w:style>
  <w:style w:type="paragraph" w:styleId="25">
    <w:name w:val="toc 6"/>
    <w:basedOn w:val="1"/>
    <w:next w:val="1"/>
    <w:autoRedefine/>
    <w:unhideWhenUsed/>
    <w:qFormat/>
    <w:uiPriority w:val="39"/>
    <w:pPr>
      <w:widowControl/>
      <w:ind w:left="2100" w:leftChars="1000" w:firstLine="0" w:firstLineChars="0"/>
      <w:jc w:val="left"/>
    </w:pPr>
    <w:rPr>
      <w:rFonts w:ascii="Calibri" w:hAnsi="Calibri" w:eastAsia="宋体" w:cs="Times New Roman"/>
      <w:kern w:val="0"/>
      <w:sz w:val="21"/>
      <w:lang w:eastAsia="en-US" w:bidi="en-US"/>
    </w:rPr>
  </w:style>
  <w:style w:type="paragraph" w:styleId="26">
    <w:name w:val="Body Text Indent 3"/>
    <w:basedOn w:val="1"/>
    <w:autoRedefine/>
    <w:qFormat/>
    <w:uiPriority w:val="0"/>
    <w:pPr>
      <w:adjustRightInd w:val="0"/>
      <w:spacing w:line="360" w:lineRule="auto"/>
      <w:ind w:left="638" w:leftChars="304"/>
    </w:pPr>
    <w:rPr>
      <w:rFonts w:ascii="Calibri" w:hAnsi="Calibri" w:cs="宋体"/>
      <w:sz w:val="32"/>
    </w:rPr>
  </w:style>
  <w:style w:type="paragraph" w:styleId="27">
    <w:name w:val="toc 2"/>
    <w:basedOn w:val="1"/>
    <w:next w:val="1"/>
    <w:autoRedefine/>
    <w:qFormat/>
    <w:uiPriority w:val="0"/>
    <w:pPr>
      <w:ind w:left="420" w:leftChars="200"/>
    </w:pPr>
    <w:rPr>
      <w:rFonts w:ascii="Calibri" w:hAnsi="Calibri" w:cs="宋体"/>
    </w:rPr>
  </w:style>
  <w:style w:type="paragraph" w:styleId="28">
    <w:name w:val="Body Text 2"/>
    <w:basedOn w:val="1"/>
    <w:autoRedefine/>
    <w:qFormat/>
    <w:uiPriority w:val="0"/>
    <w:pPr>
      <w:jc w:val="center"/>
    </w:pPr>
    <w:rPr>
      <w:rFonts w:ascii="Calibri" w:hAnsi="Calibri" w:cs="宋体"/>
      <w:b/>
      <w:sz w:val="72"/>
    </w:r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52"/>
    <w:autoRedefine/>
    <w:qFormat/>
    <w:uiPriority w:val="0"/>
    <w:pPr>
      <w:widowControl/>
      <w:overflowPunct w:val="0"/>
      <w:autoSpaceDE w:val="0"/>
      <w:autoSpaceDN w:val="0"/>
      <w:adjustRightInd w:val="0"/>
      <w:jc w:val="center"/>
      <w:textAlignment w:val="baseline"/>
    </w:pPr>
    <w:rPr>
      <w:b/>
      <w:kern w:val="0"/>
      <w:sz w:val="24"/>
      <w:lang w:val="en-GB"/>
    </w:rPr>
  </w:style>
  <w:style w:type="paragraph" w:styleId="32">
    <w:name w:val="annotation subject"/>
    <w:basedOn w:val="11"/>
    <w:next w:val="11"/>
    <w:link w:val="53"/>
    <w:autoRedefine/>
    <w:qFormat/>
    <w:uiPriority w:val="0"/>
    <w:rPr>
      <w:b/>
      <w:bCs/>
    </w:rPr>
  </w:style>
  <w:style w:type="paragraph" w:styleId="33">
    <w:name w:val="Body Text First Indent"/>
    <w:basedOn w:val="13"/>
    <w:next w:val="1"/>
    <w:autoRedefine/>
    <w:qFormat/>
    <w:uiPriority w:val="99"/>
    <w:pPr>
      <w:ind w:firstLine="420"/>
    </w:pPr>
    <w:rPr>
      <w:rFonts w:ascii="Times New Roman"/>
    </w:rPr>
  </w:style>
  <w:style w:type="paragraph" w:styleId="34">
    <w:name w:val="Body Text First Indent 2"/>
    <w:basedOn w:val="2"/>
    <w:next w:val="13"/>
    <w:autoRedefine/>
    <w:qFormat/>
    <w:uiPriority w:val="99"/>
    <w:pPr>
      <w:ind w:firstLine="42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autoRedefine/>
    <w:qFormat/>
    <w:uiPriority w:val="0"/>
    <w:rPr>
      <w:rFonts w:ascii="Calibri" w:hAnsi="Calibri" w:eastAsia="宋体" w:cs="宋体"/>
    </w:rPr>
  </w:style>
  <w:style w:type="character" w:styleId="39">
    <w:name w:val="Hyperlink"/>
    <w:autoRedefine/>
    <w:qFormat/>
    <w:uiPriority w:val="0"/>
    <w:rPr>
      <w:rFonts w:ascii="Calibri" w:hAnsi="Calibri" w:eastAsia="宋体" w:cs="宋体"/>
      <w:color w:val="0000FF"/>
      <w:u w:val="single"/>
    </w:rPr>
  </w:style>
  <w:style w:type="character" w:styleId="40">
    <w:name w:val="annotation reference"/>
    <w:basedOn w:val="37"/>
    <w:autoRedefine/>
    <w:qFormat/>
    <w:uiPriority w:val="0"/>
    <w:rPr>
      <w:rFonts w:ascii="Calibri" w:hAnsi="Calibri" w:eastAsia="宋体" w:cs="宋体"/>
      <w:sz w:val="21"/>
      <w:szCs w:val="21"/>
    </w:rPr>
  </w:style>
  <w:style w:type="paragraph" w:customStyle="1" w:styleId="41">
    <w:name w:val="_Style 3"/>
    <w:basedOn w:val="2"/>
    <w:autoRedefine/>
    <w:unhideWhenUsed/>
    <w:qFormat/>
    <w:uiPriority w:val="99"/>
    <w:pPr>
      <w:ind w:firstLine="420" w:firstLineChars="200"/>
    </w:pPr>
  </w:style>
  <w:style w:type="paragraph" w:customStyle="1" w:styleId="4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3">
    <w:name w:val="样式 表格正文 + 两端对齐"/>
    <w:basedOn w:val="1"/>
    <w:next w:val="44"/>
    <w:autoRedefine/>
    <w:qFormat/>
    <w:uiPriority w:val="99"/>
    <w:pPr>
      <w:spacing w:line="300" w:lineRule="auto"/>
    </w:pPr>
    <w:rPr>
      <w:sz w:val="24"/>
    </w:rPr>
  </w:style>
  <w:style w:type="paragraph" w:customStyle="1" w:styleId="44">
    <w:name w:val="正文1"/>
    <w:basedOn w:val="1"/>
    <w:next w:val="45"/>
    <w:autoRedefine/>
    <w:qFormat/>
    <w:uiPriority w:val="0"/>
    <w:pPr>
      <w:tabs>
        <w:tab w:val="left" w:pos="1980"/>
        <w:tab w:val="left" w:pos="2160"/>
      </w:tabs>
      <w:spacing w:line="360" w:lineRule="auto"/>
      <w:ind w:left="2160"/>
    </w:pPr>
    <w:rPr>
      <w:rFonts w:ascii="宋体" w:hAnsi="宋体"/>
    </w:rPr>
  </w:style>
  <w:style w:type="paragraph" w:customStyle="1" w:styleId="45">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46">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47">
    <w:name w:val="标准正文"/>
    <w:basedOn w:val="1"/>
    <w:autoRedefine/>
    <w:qFormat/>
    <w:uiPriority w:val="0"/>
    <w:pPr>
      <w:spacing w:line="360" w:lineRule="auto"/>
      <w:ind w:firstLine="200" w:firstLineChars="200"/>
    </w:pPr>
    <w:rPr>
      <w:rFonts w:ascii="Calibri" w:hAnsi="Calibri" w:cs="宋体"/>
      <w:sz w:val="24"/>
      <w:szCs w:val="20"/>
    </w:rPr>
  </w:style>
  <w:style w:type="paragraph" w:customStyle="1" w:styleId="48">
    <w:name w:val="表格文字"/>
    <w:basedOn w:val="1"/>
    <w:next w:val="13"/>
    <w:autoRedefine/>
    <w:qFormat/>
    <w:uiPriority w:val="99"/>
    <w:pPr>
      <w:adjustRightInd w:val="0"/>
      <w:spacing w:line="420" w:lineRule="atLeast"/>
      <w:jc w:val="left"/>
      <w:textAlignment w:val="baseline"/>
    </w:pPr>
    <w:rPr>
      <w:kern w:val="0"/>
    </w:rPr>
  </w:style>
  <w:style w:type="character" w:customStyle="1" w:styleId="49">
    <w:name w:val="文档结构图 字符"/>
    <w:link w:val="10"/>
    <w:autoRedefine/>
    <w:qFormat/>
    <w:uiPriority w:val="0"/>
    <w:rPr>
      <w:rFonts w:ascii="宋体" w:hAnsi="Calibri" w:eastAsia="宋体" w:cs="宋体"/>
      <w:kern w:val="2"/>
      <w:sz w:val="18"/>
      <w:szCs w:val="18"/>
    </w:rPr>
  </w:style>
  <w:style w:type="character" w:customStyle="1" w:styleId="50">
    <w:name w:val="批注文字 字符"/>
    <w:link w:val="11"/>
    <w:autoRedefine/>
    <w:qFormat/>
    <w:uiPriority w:val="0"/>
    <w:rPr>
      <w:rFonts w:ascii="Calibri" w:hAnsi="Calibri" w:eastAsia="宋体" w:cs="宋体"/>
      <w:kern w:val="2"/>
      <w:sz w:val="21"/>
      <w:szCs w:val="24"/>
    </w:rPr>
  </w:style>
  <w:style w:type="character" w:customStyle="1" w:styleId="51">
    <w:name w:val="纯文本 字符"/>
    <w:link w:val="15"/>
    <w:autoRedefine/>
    <w:qFormat/>
    <w:uiPriority w:val="0"/>
    <w:rPr>
      <w:rFonts w:ascii="宋体" w:hAnsi="Courier New" w:eastAsia="宋体" w:cs="宋体"/>
      <w:kern w:val="2"/>
      <w:sz w:val="21"/>
      <w:lang w:val="en-US" w:eastAsia="zh-CN" w:bidi="ar-SA"/>
    </w:rPr>
  </w:style>
  <w:style w:type="character" w:customStyle="1" w:styleId="52">
    <w:name w:val="标题 字符"/>
    <w:link w:val="31"/>
    <w:autoRedefine/>
    <w:qFormat/>
    <w:locked/>
    <w:uiPriority w:val="0"/>
    <w:rPr>
      <w:rFonts w:ascii="Calibri" w:hAnsi="Calibri" w:cs="宋体"/>
      <w:b/>
      <w:sz w:val="24"/>
      <w:szCs w:val="24"/>
      <w:lang w:val="en-GB"/>
    </w:rPr>
  </w:style>
  <w:style w:type="character" w:customStyle="1" w:styleId="53">
    <w:name w:val="批注主题 字符"/>
    <w:link w:val="32"/>
    <w:autoRedefine/>
    <w:qFormat/>
    <w:uiPriority w:val="0"/>
    <w:rPr>
      <w:rFonts w:ascii="Calibri" w:hAnsi="Calibri" w:eastAsia="宋体" w:cs="宋体"/>
      <w:b/>
      <w:bCs/>
      <w:kern w:val="2"/>
      <w:sz w:val="21"/>
      <w:szCs w:val="24"/>
    </w:rPr>
  </w:style>
  <w:style w:type="character" w:customStyle="1" w:styleId="54">
    <w:name w:val="无"/>
    <w:autoRedefine/>
    <w:qFormat/>
    <w:uiPriority w:val="0"/>
    <w:rPr>
      <w:rFonts w:ascii="Calibri" w:hAnsi="Calibri" w:eastAsia="宋体" w:cs="宋体"/>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正"/>
    <w:autoRedefine/>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57">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customStyle="1" w:styleId="58">
    <w:name w:val="Char Char Char Char Char Char"/>
    <w:basedOn w:val="1"/>
    <w:autoRedefine/>
    <w:qFormat/>
    <w:uiPriority w:val="0"/>
    <w:pPr>
      <w:ind w:firstLine="200" w:firstLineChars="200"/>
    </w:pPr>
    <w:rPr>
      <w:rFonts w:ascii="Tahoma" w:hAnsi="Tahoma" w:cs="Tahoma"/>
      <w:sz w:val="24"/>
    </w:rPr>
  </w:style>
  <w:style w:type="paragraph" w:customStyle="1" w:styleId="59">
    <w:name w:val="_Style 18"/>
    <w:basedOn w:val="1"/>
    <w:autoRedefine/>
    <w:qFormat/>
    <w:uiPriority w:val="0"/>
    <w:pPr>
      <w:ind w:firstLine="420" w:firstLineChars="200"/>
    </w:pPr>
    <w:rPr>
      <w:rFonts w:ascii="Calibri" w:hAnsi="Calibri" w:cs="宋体"/>
    </w:rPr>
  </w:style>
  <w:style w:type="paragraph" w:customStyle="1" w:styleId="60">
    <w:name w:val="样式1"/>
    <w:basedOn w:val="1"/>
    <w:autoRedefine/>
    <w:qFormat/>
    <w:uiPriority w:val="0"/>
    <w:pPr>
      <w:spacing w:line="360" w:lineRule="exact"/>
      <w:ind w:firstLine="200" w:firstLineChars="200"/>
    </w:pPr>
    <w:rPr>
      <w:rFonts w:ascii="Arial" w:hAnsi="Arial" w:cs="宋体"/>
    </w:rPr>
  </w:style>
  <w:style w:type="paragraph" w:customStyle="1" w:styleId="61">
    <w:name w:val="_Style 5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2级标题"/>
    <w:basedOn w:val="1"/>
    <w:next w:val="1"/>
    <w:autoRedefine/>
    <w:qFormat/>
    <w:uiPriority w:val="0"/>
    <w:pPr>
      <w:numPr>
        <w:ilvl w:val="1"/>
        <w:numId w:val="3"/>
      </w:numPr>
      <w:spacing w:line="360" w:lineRule="auto"/>
      <w:outlineLvl w:val="1"/>
    </w:pPr>
    <w:rPr>
      <w:rFonts w:ascii="宋体" w:hAnsi="宋体"/>
      <w:b/>
      <w:sz w:val="24"/>
      <w:szCs w:val="28"/>
    </w:rPr>
  </w:style>
  <w:style w:type="paragraph" w:customStyle="1" w:styleId="63">
    <w:name w:val="3级标题"/>
    <w:basedOn w:val="62"/>
    <w:next w:val="1"/>
    <w:autoRedefine/>
    <w:qFormat/>
    <w:uiPriority w:val="0"/>
    <w:pPr>
      <w:numPr>
        <w:ilvl w:val="2"/>
      </w:numPr>
      <w:outlineLvl w:val="2"/>
    </w:pPr>
  </w:style>
  <w:style w:type="paragraph" w:customStyle="1" w:styleId="64">
    <w:name w:val="Plain Text1"/>
    <w:basedOn w:val="1"/>
    <w:autoRedefine/>
    <w:qFormat/>
    <w:uiPriority w:val="0"/>
    <w:pPr>
      <w:adjustRightInd w:val="0"/>
      <w:textAlignment w:val="baseline"/>
    </w:pPr>
    <w:rPr>
      <w:rFonts w:ascii="宋体" w:hAnsi="Courier New" w:eastAsia="楷体_GB2312" w:cs="宋体"/>
      <w:sz w:val="26"/>
    </w:rPr>
  </w:style>
  <w:style w:type="paragraph" w:customStyle="1" w:styleId="65">
    <w:name w:val="Heading1"/>
    <w:basedOn w:val="1"/>
    <w:next w:val="1"/>
    <w:autoRedefine/>
    <w:qFormat/>
    <w:uiPriority w:val="0"/>
    <w:pPr>
      <w:keepNext/>
      <w:keepLines/>
      <w:spacing w:before="340" w:after="330" w:line="578" w:lineRule="auto"/>
      <w:jc w:val="center"/>
      <w:textAlignment w:val="baseline"/>
    </w:pPr>
    <w:rPr>
      <w:rFonts w:ascii="Calibri" w:hAnsi="Calibri"/>
      <w:b/>
      <w:bCs/>
      <w:kern w:val="44"/>
      <w:sz w:val="32"/>
      <w:szCs w:val="44"/>
    </w:rPr>
  </w:style>
  <w:style w:type="paragraph" w:customStyle="1" w:styleId="66">
    <w:name w:val="纯文本1"/>
    <w:basedOn w:val="1"/>
    <w:autoRedefine/>
    <w:qFormat/>
    <w:uiPriority w:val="0"/>
    <w:pPr>
      <w:adjustRightInd w:val="0"/>
      <w:textAlignment w:val="baseline"/>
    </w:pPr>
    <w:rPr>
      <w:rFonts w:ascii="宋体" w:hAnsi="Courier New" w:eastAsia="楷体_GB2312" w:cs="宋体"/>
      <w:sz w:val="26"/>
    </w:rPr>
  </w:style>
  <w:style w:type="paragraph" w:customStyle="1" w:styleId="67">
    <w:name w:val="正文 A"/>
    <w:autoRedefine/>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68">
    <w:name w:val="表头文本"/>
    <w:basedOn w:val="1"/>
    <w:autoRedefine/>
    <w:qFormat/>
    <w:uiPriority w:val="0"/>
    <w:pPr>
      <w:autoSpaceDE w:val="0"/>
      <w:autoSpaceDN w:val="0"/>
      <w:adjustRightInd w:val="0"/>
      <w:jc w:val="center"/>
    </w:pPr>
    <w:rPr>
      <w:rFonts w:ascii="Calibri" w:hAnsi="Calibri" w:cs="宋体"/>
      <w:b/>
      <w:kern w:val="0"/>
      <w:sz w:val="24"/>
    </w:rPr>
  </w:style>
  <w:style w:type="paragraph" w:customStyle="1" w:styleId="69">
    <w:name w:val="_Style 1"/>
    <w:basedOn w:val="1"/>
    <w:autoRedefine/>
    <w:qFormat/>
    <w:uiPriority w:val="0"/>
    <w:pPr>
      <w:ind w:firstLine="420" w:firstLineChars="200"/>
    </w:pPr>
    <w:rPr>
      <w:rFonts w:ascii="Calibri" w:hAnsi="Calibri" w:cs="宋体"/>
    </w:rPr>
  </w:style>
  <w:style w:type="paragraph" w:customStyle="1" w:styleId="70">
    <w:name w:val="正文2"/>
    <w:basedOn w:val="1"/>
    <w:autoRedefine/>
    <w:qFormat/>
    <w:uiPriority w:val="0"/>
    <w:pPr>
      <w:spacing w:before="156" w:line="360" w:lineRule="auto"/>
      <w:ind w:firstLine="510" w:firstLineChars="200"/>
    </w:pPr>
    <w:rPr>
      <w:rFonts w:ascii="Calibri" w:hAnsi="Calibri" w:cs="宋体"/>
      <w:sz w:val="24"/>
    </w:rPr>
  </w:style>
  <w:style w:type="paragraph" w:customStyle="1" w:styleId="71">
    <w:name w:val="条文1"/>
    <w:basedOn w:val="1"/>
    <w:autoRedefine/>
    <w:qFormat/>
    <w:uiPriority w:val="0"/>
    <w:pPr>
      <w:numPr>
        <w:ilvl w:val="0"/>
        <w:numId w:val="4"/>
      </w:numPr>
      <w:tabs>
        <w:tab w:val="left" w:pos="720"/>
        <w:tab w:val="clear" w:pos="1365"/>
      </w:tabs>
      <w:spacing w:line="360" w:lineRule="auto"/>
    </w:pPr>
    <w:rPr>
      <w:rFonts w:ascii="MS UI Gothic" w:hAnsi="MS UI Gothic" w:cs="宋体"/>
      <w:kern w:val="44"/>
      <w:sz w:val="24"/>
    </w:rPr>
  </w:style>
  <w:style w:type="paragraph" w:customStyle="1" w:styleId="72">
    <w:name w:val="彩色列表 - 强调文字颜色 11"/>
    <w:basedOn w:val="1"/>
    <w:autoRedefine/>
    <w:qFormat/>
    <w:uiPriority w:val="0"/>
    <w:pPr>
      <w:ind w:firstLine="420" w:firstLineChars="200"/>
    </w:pPr>
    <w:rPr>
      <w:rFonts w:ascii="Calibri" w:hAnsi="Calibri" w:cs="宋体"/>
      <w:szCs w:val="22"/>
    </w:rPr>
  </w:style>
  <w:style w:type="paragraph" w:customStyle="1" w:styleId="73">
    <w:name w:val="Char Char Char Char Char Char Char Char Char Char Char Char Char Char Char Char Char Char Char Char Char Char Char Char Char"/>
    <w:basedOn w:val="1"/>
    <w:autoRedefine/>
    <w:qFormat/>
    <w:uiPriority w:val="0"/>
    <w:rPr>
      <w:rFonts w:ascii="Tahoma" w:hAnsi="Tahoma" w:cs="宋体"/>
      <w:sz w:val="24"/>
      <w:szCs w:val="20"/>
    </w:rPr>
  </w:style>
  <w:style w:type="paragraph" w:customStyle="1" w:styleId="74">
    <w:name w:val="列出段落1"/>
    <w:basedOn w:val="1"/>
    <w:autoRedefine/>
    <w:qFormat/>
    <w:uiPriority w:val="0"/>
    <w:pPr>
      <w:ind w:firstLine="420" w:firstLineChars="200"/>
    </w:pPr>
    <w:rPr>
      <w:szCs w:val="20"/>
    </w:rPr>
  </w:style>
  <w:style w:type="paragraph" w:customStyle="1" w:styleId="75">
    <w:name w:val="正文段"/>
    <w:basedOn w:val="1"/>
    <w:autoRedefine/>
    <w:qFormat/>
    <w:uiPriority w:val="0"/>
    <w:pPr>
      <w:widowControl/>
      <w:snapToGrid w:val="0"/>
      <w:spacing w:after="156" w:afterLines="50"/>
      <w:ind w:firstLine="200" w:firstLineChars="200"/>
    </w:pPr>
    <w:rPr>
      <w:rFonts w:ascii="Calibri" w:hAnsi="Calibri" w:cs="宋体"/>
      <w:kern w:val="0"/>
      <w:sz w:val="24"/>
      <w:szCs w:val="20"/>
    </w:rPr>
  </w:style>
  <w:style w:type="paragraph" w:customStyle="1" w:styleId="76">
    <w:name w:val="4级标题"/>
    <w:basedOn w:val="63"/>
    <w:next w:val="1"/>
    <w:autoRedefine/>
    <w:qFormat/>
    <w:uiPriority w:val="0"/>
    <w:pPr>
      <w:numPr>
        <w:ilvl w:val="3"/>
      </w:numPr>
      <w:adjustRightInd w:val="0"/>
      <w:outlineLvl w:val="3"/>
    </w:pPr>
  </w:style>
  <w:style w:type="paragraph" w:customStyle="1" w:styleId="77">
    <w:name w:val="DAS正文"/>
    <w:basedOn w:val="1"/>
    <w:autoRedefine/>
    <w:qFormat/>
    <w:uiPriority w:val="0"/>
    <w:pPr>
      <w:spacing w:line="360" w:lineRule="auto"/>
      <w:ind w:right="181" w:firstLine="480" w:firstLineChars="200"/>
    </w:pPr>
    <w:rPr>
      <w:rFonts w:ascii="Verdana" w:hAnsi="Verdana"/>
      <w:szCs w:val="20"/>
    </w:rPr>
  </w:style>
  <w:style w:type="character" w:customStyle="1" w:styleId="78">
    <w:name w:val="font71"/>
    <w:basedOn w:val="37"/>
    <w:autoRedefine/>
    <w:qFormat/>
    <w:uiPriority w:val="0"/>
    <w:rPr>
      <w:rFonts w:hint="eastAsia" w:ascii="宋体" w:hAnsi="宋体" w:eastAsia="宋体" w:cs="宋体"/>
      <w:color w:val="000000"/>
      <w:sz w:val="20"/>
      <w:szCs w:val="20"/>
      <w:u w:val="none"/>
    </w:rPr>
  </w:style>
  <w:style w:type="paragraph" w:customStyle="1" w:styleId="79">
    <w:name w:val="正文段落"/>
    <w:basedOn w:val="1"/>
    <w:autoRedefine/>
    <w:qFormat/>
    <w:uiPriority w:val="0"/>
    <w:pPr>
      <w:spacing w:line="360" w:lineRule="auto"/>
      <w:ind w:firstLine="883" w:firstLineChars="200"/>
      <w:jc w:val="left"/>
    </w:pPr>
    <w:rPr>
      <w:rFonts w:cs="宋体"/>
    </w:rPr>
  </w:style>
  <w:style w:type="character" w:customStyle="1" w:styleId="80">
    <w:name w:val="标题 3 Char"/>
    <w:autoRedefine/>
    <w:qFormat/>
    <w:uiPriority w:val="0"/>
    <w:rPr>
      <w:b/>
      <w:sz w:val="32"/>
      <w:lang w:val="zh-CN" w:eastAsia="zh-CN"/>
    </w:rPr>
  </w:style>
  <w:style w:type="character" w:customStyle="1" w:styleId="81">
    <w:name w:val="font11"/>
    <w:basedOn w:val="37"/>
    <w:autoRedefine/>
    <w:qFormat/>
    <w:uiPriority w:val="0"/>
    <w:rPr>
      <w:rFonts w:hint="eastAsia" w:ascii="宋体" w:hAnsi="宋体" w:eastAsia="宋体" w:cs="宋体"/>
      <w:color w:val="000000"/>
      <w:sz w:val="18"/>
      <w:szCs w:val="18"/>
      <w:u w:val="none"/>
    </w:rPr>
  </w:style>
  <w:style w:type="character" w:customStyle="1" w:styleId="82">
    <w:name w:val="font61"/>
    <w:basedOn w:val="37"/>
    <w:autoRedefine/>
    <w:qFormat/>
    <w:uiPriority w:val="0"/>
    <w:rPr>
      <w:rFonts w:hint="eastAsia" w:ascii="宋体" w:hAnsi="宋体" w:eastAsia="宋体" w:cs="宋体"/>
      <w:color w:val="FF0000"/>
      <w:sz w:val="24"/>
      <w:szCs w:val="24"/>
      <w:u w:val="none"/>
    </w:rPr>
  </w:style>
  <w:style w:type="paragraph" w:customStyle="1" w:styleId="83">
    <w:name w:val="Text"/>
    <w:autoRedefine/>
    <w:qFormat/>
    <w:uiPriority w:val="0"/>
    <w:pPr>
      <w:widowControl w:val="0"/>
      <w:adjustRightInd w:val="0"/>
      <w:spacing w:line="360" w:lineRule="auto"/>
      <w:ind w:firstLine="200" w:firstLineChars="200"/>
      <w:jc w:val="both"/>
      <w:textAlignment w:val="baseline"/>
    </w:pPr>
    <w:rPr>
      <w:rFonts w:ascii="宋体" w:hAnsi="Times New Roman" w:eastAsia="仿宋" w:cs="Times New Roman"/>
      <w:sz w:val="24"/>
      <w:szCs w:val="21"/>
      <w:lang w:val="en-US" w:eastAsia="zh-CN" w:bidi="ar-SA"/>
    </w:rPr>
  </w:style>
  <w:style w:type="table" w:customStyle="1" w:styleId="8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10266</Words>
  <Characters>10657</Characters>
  <Lines>305</Lines>
  <Paragraphs>86</Paragraphs>
  <TotalTime>36</TotalTime>
  <ScaleCrop>false</ScaleCrop>
  <LinksUpToDate>false</LinksUpToDate>
  <CharactersWithSpaces>10814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2021-06-21T04:14:00Z</dcterms:created>
  <dc:creator>杜娟</dc:creator>
  <cp:lastModifiedBy>嵊泗黄健</cp:lastModifiedBy>
  <cp:lastPrinted>2023-11-24T02:37:00Z</cp:lastPrinted>
  <dcterms:modified xsi:type="dcterms:W3CDTF">2025-05-30T07:26:30Z</dcterms:modified>
  <dc:title>南湖区市场监管局食品安全风险评估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C02792A8CA314E598EBBC097BDD37625_13</vt:lpwstr>
  </property>
  <property fmtid="{D5CDD505-2E9C-101B-9397-08002B2CF9AE}" pid="4" name="KSOTemplateDocerSaveRecord">
    <vt:lpwstr>eyJoZGlkIjoiZmYyNTAwMjk2ZGY3NDI1ZDY4ZDJkMmUxY2YyMjcwMTQiLCJ1c2VySWQiOiI0MzQ2MzU4NzAifQ==</vt:lpwstr>
  </property>
</Properties>
</file>