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882C2">
      <w:pP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监护仪</w:t>
      </w:r>
      <w:bookmarkEnd w:id="0"/>
      <w: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 xml:space="preserve">    数量17台</w:t>
      </w:r>
    </w:p>
    <w:p w14:paraId="4E2CFA75">
      <w:pP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总预算17万</w:t>
      </w:r>
    </w:p>
    <w:p w14:paraId="6A8C5976">
      <w:pP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申请科室：急诊科</w:t>
      </w:r>
    </w:p>
    <w:p w14:paraId="399858E2">
      <w:pPr>
        <w:numPr>
          <w:ilvl w:val="0"/>
          <w:numId w:val="1"/>
        </w:numP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WPS灵秀黑" w:hAnsi="WPS灵秀黑" w:eastAsia="WPS灵秀黑" w:cs="WPS灵秀黑"/>
          <w:bCs/>
          <w:sz w:val="21"/>
          <w:szCs w:val="21"/>
        </w:rPr>
        <w:t>一体化便携监护仪，波形显示不少于7通道</w:t>
      </w:r>
      <w: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。</w:t>
      </w:r>
    </w:p>
    <w:p w14:paraId="382E3562">
      <w:pPr>
        <w:numPr>
          <w:ilvl w:val="0"/>
          <w:numId w:val="1"/>
        </w:numP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WPS灵秀黑" w:hAnsi="WPS灵秀黑" w:eastAsia="WPS灵秀黑" w:cs="WPS灵秀黑"/>
          <w:bCs/>
          <w:sz w:val="21"/>
          <w:szCs w:val="21"/>
        </w:rPr>
        <w:t>监护配置必须具备但不限于：心电、呼吸、无创血压、血氧饱和度、脉搏、双道体温功能；</w:t>
      </w:r>
    </w:p>
    <w:p w14:paraId="22C8BC12">
      <w:pPr>
        <w:numPr>
          <w:ilvl w:val="0"/>
          <w:numId w:val="1"/>
        </w:numP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WPS灵秀黑" w:hAnsi="WPS灵秀黑" w:eastAsia="WPS灵秀黑" w:cs="WPS灵秀黑"/>
          <w:kern w:val="0"/>
          <w:sz w:val="21"/>
          <w:szCs w:val="21"/>
        </w:rPr>
        <w:t>监护仪所使用的附件包括但不限于心电导联线、血氧导联线、血压袖套及分体式电缆都应当通用，且不影响监护仪指标精准度。</w:t>
      </w:r>
    </w:p>
    <w:p w14:paraId="340D231B">
      <w:pPr>
        <w:numPr>
          <w:ilvl w:val="0"/>
          <w:numId w:val="1"/>
        </w:numP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WPS灵秀黑" w:hAnsi="WPS灵秀黑" w:eastAsia="WPS灵秀黑" w:cs="WPS灵秀黑"/>
          <w:bCs/>
          <w:sz w:val="21"/>
          <w:szCs w:val="21"/>
        </w:rPr>
        <w:t>内置电池续航时间不小于4小时。</w:t>
      </w:r>
    </w:p>
    <w:p w14:paraId="32A8C520">
      <w:pPr>
        <w:numPr>
          <w:ilvl w:val="0"/>
          <w:numId w:val="1"/>
        </w:numP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WPS灵秀黑" w:hAnsi="WPS灵秀黑" w:eastAsia="WPS灵秀黑" w:cs="WPS灵秀黑"/>
          <w:bCs/>
          <w:sz w:val="21"/>
          <w:szCs w:val="21"/>
          <w:lang w:val="en-US" w:eastAsia="zh-CN"/>
        </w:rPr>
        <w:t>支</w:t>
      </w:r>
      <w:r>
        <w:rPr>
          <w:rFonts w:hint="eastAsia" w:ascii="WPS灵秀黑" w:hAnsi="WPS灵秀黑" w:eastAsia="WPS灵秀黑" w:cs="WPS灵秀黑"/>
          <w:bCs/>
          <w:sz w:val="21"/>
          <w:szCs w:val="21"/>
        </w:rPr>
        <w:t>持联网通信到中心监护系统。</w:t>
      </w:r>
    </w:p>
    <w:p w14:paraId="461CF8F8">
      <w:pPr>
        <w:numPr>
          <w:ilvl w:val="0"/>
          <w:numId w:val="1"/>
        </w:numP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★如有专用耗材或易损件，要求提供具体清单（否则视为无），耗材要求线上采购；</w:t>
      </w:r>
    </w:p>
    <w:p w14:paraId="5DAB1839">
      <w:pPr>
        <w:numPr>
          <w:ilvl w:val="0"/>
          <w:numId w:val="1"/>
        </w:numP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WPS灵秀黑" w:hAnsi="WPS灵秀黑" w:eastAsia="WPS灵秀黑" w:cs="WPS灵秀黑"/>
          <w:bCs/>
          <w:sz w:val="21"/>
          <w:szCs w:val="21"/>
        </w:rPr>
        <w:t>根据临床使用需要，1对1配备台车或上墙支架（包含人工费用）</w:t>
      </w:r>
    </w:p>
    <w:p w14:paraId="0FD4E3CE">
      <w:pPr>
        <w:numPr>
          <w:ilvl w:val="0"/>
          <w:numId w:val="1"/>
        </w:numP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WPS灵秀黑" w:hAnsi="WPS灵秀黑" w:eastAsia="WPS灵秀黑" w:cs="WPS灵秀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保修1年起，生产日期距离安装日期≤6个月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  <w:embedRegular r:id="rId1" w:fontKey="{A55FB302-A6F7-43B5-9D0A-6DF6CB21C816}"/>
  </w:font>
  <w:font w:name="汉仪万圣节体W">
    <w:panose1 w:val="00020600040101010101"/>
    <w:charset w:val="86"/>
    <w:family w:val="auto"/>
    <w:pitch w:val="default"/>
    <w:sig w:usb0="A00002BF" w:usb1="3AC1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1CC22D73"/>
    <w:rsid w:val="22084D09"/>
    <w:rsid w:val="2A145F81"/>
    <w:rsid w:val="2FD83DF6"/>
    <w:rsid w:val="3E507DD3"/>
    <w:rsid w:val="54A807C3"/>
    <w:rsid w:val="63F76A78"/>
    <w:rsid w:val="6664537D"/>
    <w:rsid w:val="715E6F0F"/>
    <w:rsid w:val="7E8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263</Characters>
  <Lines>0</Lines>
  <Paragraphs>0</Paragraphs>
  <TotalTime>2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庄玉铭</cp:lastModifiedBy>
  <dcterms:modified xsi:type="dcterms:W3CDTF">2025-06-04T07:50:41Z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BA468AB4177943649EF8490701D64C20_13</vt:lpwstr>
  </property>
  <property fmtid="{D5CDD505-2E9C-101B-9397-08002B2CF9AE}" pid="4" name="KSOTemplateDocerSaveRecord">
    <vt:lpwstr>eyJoZGlkIjoiMDMzZWVkNmI3M2NkOGIxMzVmYTBiNWIwMWYwMzI0YzAiLCJ1c2VySWQiOiIxNjYyNTg3MjEwIn0=</vt:lpwstr>
  </property>
</Properties>
</file>