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pPr w:leftFromText="180" w:rightFromText="180" w:vertAnchor="page" w:horzAnchor="page" w:tblpX="8009" w:tblpY="1458"/>
        <w:tblOverlap w:val="never"/>
        <w:tblW w:w="2200" w:type="dxa"/>
        <w:tblInd w:w="0" w:type="dxa"/>
        <w:shd w:val="clear" w:color="auto" w:fill="F1F1F1" w:themeFill="background1" w:themeFillShade="F2"/>
        <w:tblLayout w:type="fixed"/>
        <w:tblCellMar>
          <w:top w:w="0" w:type="dxa"/>
          <w:left w:w="108" w:type="dxa"/>
          <w:bottom w:w="0" w:type="dxa"/>
          <w:right w:w="108" w:type="dxa"/>
        </w:tblCellMar>
      </w:tblPr>
      <w:tblGrid>
        <w:gridCol w:w="2200"/>
      </w:tblGrid>
      <w:tr w14:paraId="2C30F56B">
        <w:tblPrEx>
          <w:tblCellMar>
            <w:top w:w="0" w:type="dxa"/>
            <w:left w:w="108" w:type="dxa"/>
            <w:bottom w:w="0" w:type="dxa"/>
            <w:right w:w="108" w:type="dxa"/>
          </w:tblCellMar>
        </w:tblPrEx>
        <w:trPr>
          <w:trHeight w:val="615" w:hRule="atLeast"/>
        </w:trPr>
        <w:tc>
          <w:tcPr>
            <w:tcW w:w="2200" w:type="dxa"/>
            <w:tcBorders>
              <w:tl2br w:val="nil"/>
              <w:tr2bl w:val="nil"/>
            </w:tcBorders>
            <w:shd w:val="clear" w:color="auto" w:fill="F1F1F1" w:themeFill="background1" w:themeFillShade="F2"/>
          </w:tcPr>
          <w:p w14:paraId="347CA0C8">
            <w:pPr>
              <w:rPr>
                <w:rFonts w:ascii="Arial Black" w:hAnsi="Arial Black" w:eastAsia="仿宋" w:cs="Arial Black"/>
                <w:b/>
                <w:sz w:val="32"/>
                <w:szCs w:val="32"/>
              </w:rPr>
            </w:pPr>
            <w:r>
              <w:rPr>
                <w:rFonts w:ascii="Arial Black" w:hAnsi="Arial Black" w:eastAsia="仿宋" w:cs="Arial Black"/>
                <w:b/>
                <w:sz w:val="32"/>
                <w:szCs w:val="32"/>
              </w:rPr>
              <w:t>政府采购项目</w:t>
            </w:r>
          </w:p>
        </w:tc>
      </w:tr>
    </w:tbl>
    <w:p w14:paraId="6D43DEC3">
      <w:pPr>
        <w:snapToGrid w:val="0"/>
        <w:spacing w:before="156" w:beforeLines="50"/>
        <w:jc w:val="center"/>
        <w:rPr>
          <w:rFonts w:hint="eastAsia" w:ascii="宋体" w:hAnsi="宋体" w:cs="宋体"/>
          <w:b/>
          <w:sz w:val="44"/>
          <w:szCs w:val="44"/>
        </w:rPr>
      </w:pPr>
    </w:p>
    <w:p w14:paraId="5FC5D753">
      <w:pPr>
        <w:snapToGrid w:val="0"/>
        <w:spacing w:before="156" w:beforeLines="50"/>
        <w:jc w:val="center"/>
        <w:rPr>
          <w:rFonts w:hint="eastAsia" w:ascii="宋体" w:hAnsi="宋体" w:cs="宋体"/>
          <w:bCs/>
          <w:sz w:val="44"/>
          <w:szCs w:val="44"/>
        </w:rPr>
      </w:pPr>
    </w:p>
    <w:p w14:paraId="7D1EE8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spacing w:val="20"/>
          <w:sz w:val="44"/>
          <w:szCs w:val="44"/>
        </w:rPr>
      </w:pPr>
      <w:r>
        <w:rPr>
          <w:rFonts w:hint="eastAsia" w:ascii="宋体" w:hAnsi="宋体" w:cs="宋体"/>
          <w:bCs/>
          <w:spacing w:val="20"/>
          <w:sz w:val="44"/>
          <w:szCs w:val="44"/>
          <w:lang w:val="en-US" w:eastAsia="zh-CN"/>
        </w:rPr>
        <w:t>浙江省</w:t>
      </w:r>
      <w:r>
        <w:rPr>
          <w:rFonts w:hint="eastAsia" w:ascii="宋体" w:hAnsi="宋体" w:cs="宋体"/>
          <w:bCs/>
          <w:spacing w:val="20"/>
          <w:sz w:val="44"/>
          <w:szCs w:val="44"/>
        </w:rPr>
        <w:t>舟山市消防救援支队2024年全市器材装备（破拆类二）采购项目</w:t>
      </w:r>
    </w:p>
    <w:p w14:paraId="1AAC9AD4">
      <w:pPr>
        <w:spacing w:before="312" w:beforeLines="100" w:after="312" w:afterLines="100"/>
        <w:jc w:val="center"/>
        <w:rPr>
          <w:rFonts w:hint="eastAsia" w:eastAsia="宋体"/>
          <w:bCs/>
          <w:sz w:val="28"/>
          <w:szCs w:val="36"/>
          <w:lang w:eastAsia="zh-CN"/>
        </w:rPr>
      </w:pPr>
      <w:r>
        <w:rPr>
          <w:rFonts w:hint="eastAsia"/>
          <w:sz w:val="28"/>
          <w:szCs w:val="36"/>
        </w:rPr>
        <w:t>项目编号：</w:t>
      </w:r>
      <w:r>
        <w:rPr>
          <w:rFonts w:hint="eastAsia"/>
          <w:sz w:val="28"/>
          <w:szCs w:val="36"/>
          <w:lang w:eastAsia="zh-CN"/>
        </w:rPr>
        <w:t>ZHDL2025-N93</w:t>
      </w:r>
    </w:p>
    <w:p w14:paraId="6ABC7069">
      <w:pPr>
        <w:spacing w:before="312" w:beforeLines="100" w:after="312" w:afterLines="100"/>
        <w:jc w:val="center"/>
        <w:rPr>
          <w:sz w:val="28"/>
          <w:szCs w:val="36"/>
        </w:rPr>
      </w:pPr>
    </w:p>
    <w:p w14:paraId="0D7324AC">
      <w:pPr>
        <w:spacing w:before="312" w:beforeLines="100" w:after="312" w:afterLines="100"/>
        <w:jc w:val="center"/>
        <w:rPr>
          <w:sz w:val="28"/>
          <w:szCs w:val="36"/>
        </w:rPr>
      </w:pPr>
    </w:p>
    <w:p w14:paraId="5A314B3A">
      <w:pPr>
        <w:snapToGrid w:val="0"/>
        <w:spacing w:before="156" w:beforeLines="50" w:line="360" w:lineRule="auto"/>
        <w:ind w:left="1"/>
        <w:jc w:val="center"/>
        <w:rPr>
          <w:rFonts w:hint="eastAsia" w:ascii="宋体" w:hAnsi="宋体" w:cs="宋体"/>
          <w:b/>
          <w:bCs/>
          <w:sz w:val="32"/>
          <w:szCs w:val="32"/>
        </w:rPr>
      </w:pPr>
      <w:r>
        <w:rPr>
          <w:rFonts w:hint="eastAsia" w:ascii="宋体" w:hAnsi="宋体" w:cs="宋体"/>
          <w:b/>
          <w:sz w:val="72"/>
          <w:szCs w:val="72"/>
        </w:rPr>
        <w:t>招 标 文 件</w:t>
      </w:r>
    </w:p>
    <w:p w14:paraId="301FDD2B">
      <w:pPr>
        <w:pStyle w:val="3"/>
        <w:snapToGrid w:val="0"/>
        <w:spacing w:before="156" w:after="156" w:line="360" w:lineRule="auto"/>
        <w:ind w:firstLine="1285" w:firstLineChars="400"/>
        <w:rPr>
          <w:rFonts w:hint="eastAsia" w:hAnsi="宋体" w:cs="宋体"/>
          <w:b/>
          <w:bCs/>
          <w:sz w:val="32"/>
          <w:szCs w:val="32"/>
        </w:rPr>
      </w:pPr>
    </w:p>
    <w:p w14:paraId="0A106145">
      <w:pPr>
        <w:rPr>
          <w:rFonts w:hint="eastAsia"/>
        </w:rPr>
      </w:pPr>
    </w:p>
    <w:p w14:paraId="51748014">
      <w:pPr>
        <w:pStyle w:val="3"/>
        <w:snapToGrid w:val="0"/>
        <w:spacing w:before="156" w:after="156" w:line="360" w:lineRule="auto"/>
        <w:ind w:firstLine="1285" w:firstLineChars="400"/>
        <w:rPr>
          <w:rFonts w:hint="eastAsia" w:hAnsi="宋体" w:cs="宋体"/>
          <w:b/>
          <w:bCs/>
          <w:sz w:val="32"/>
          <w:szCs w:val="32"/>
        </w:rPr>
      </w:pPr>
    </w:p>
    <w:p w14:paraId="7D6267B6">
      <w:pPr>
        <w:pStyle w:val="3"/>
        <w:snapToGrid w:val="0"/>
        <w:spacing w:before="156" w:after="156" w:line="360" w:lineRule="auto"/>
        <w:ind w:firstLine="1285" w:firstLineChars="400"/>
        <w:rPr>
          <w:rFonts w:hint="eastAsia" w:ascii="新宋体" w:hAnsi="新宋体" w:eastAsia="新宋体" w:cs="新宋体"/>
          <w:b/>
          <w:bCs/>
          <w:sz w:val="32"/>
          <w:szCs w:val="32"/>
        </w:rPr>
      </w:pPr>
    </w:p>
    <w:p w14:paraId="4331B943">
      <w:pPr>
        <w:pStyle w:val="3"/>
        <w:snapToGrid w:val="0"/>
        <w:spacing w:before="156" w:after="156" w:line="360" w:lineRule="auto"/>
        <w:ind w:firstLine="1285" w:firstLineChars="400"/>
        <w:rPr>
          <w:rFonts w:hint="eastAsia" w:ascii="新宋体" w:hAnsi="新宋体" w:eastAsia="新宋体" w:cs="新宋体"/>
          <w:b/>
          <w:bCs/>
          <w:sz w:val="32"/>
          <w:szCs w:val="32"/>
        </w:rPr>
      </w:pPr>
      <w:r>
        <w:rPr>
          <w:rFonts w:hint="eastAsia" w:ascii="新宋体" w:hAnsi="新宋体" w:eastAsia="新宋体" w:cs="新宋体"/>
          <w:b/>
          <w:bCs/>
          <w:sz w:val="32"/>
          <w:szCs w:val="32"/>
        </w:rPr>
        <w:t>采 购 人：舟山市消防救援支队</w:t>
      </w:r>
    </w:p>
    <w:p w14:paraId="659D1AD3">
      <w:pPr>
        <w:pStyle w:val="3"/>
        <w:snapToGrid w:val="0"/>
        <w:spacing w:before="156" w:after="156" w:line="360" w:lineRule="auto"/>
        <w:ind w:firstLine="1285" w:firstLineChars="400"/>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代理机构：</w:t>
      </w:r>
      <w:r>
        <w:rPr>
          <w:rFonts w:hint="eastAsia" w:ascii="新宋体" w:hAnsi="新宋体" w:eastAsia="新宋体" w:cs="新宋体"/>
          <w:b/>
          <w:bCs/>
          <w:sz w:val="32"/>
          <w:szCs w:val="32"/>
          <w:lang w:eastAsia="zh-CN"/>
        </w:rPr>
        <w:t>浙江自贸区中昊工程管理有限公司</w:t>
      </w:r>
    </w:p>
    <w:p w14:paraId="571B0889">
      <w:pPr>
        <w:pStyle w:val="3"/>
        <w:snapToGrid w:val="0"/>
        <w:spacing w:before="156" w:after="156" w:line="360" w:lineRule="auto"/>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二〇二五年</w:t>
      </w:r>
      <w:r>
        <w:rPr>
          <w:rFonts w:hint="eastAsia" w:ascii="新宋体" w:hAnsi="新宋体" w:eastAsia="新宋体" w:cs="新宋体"/>
          <w:b/>
          <w:bCs/>
          <w:sz w:val="32"/>
          <w:szCs w:val="32"/>
          <w:lang w:val="en-US" w:eastAsia="zh-CN"/>
        </w:rPr>
        <w:t>六</w:t>
      </w:r>
      <w:r>
        <w:rPr>
          <w:rFonts w:hint="eastAsia" w:ascii="新宋体" w:hAnsi="新宋体" w:eastAsia="新宋体" w:cs="新宋体"/>
          <w:b/>
          <w:bCs/>
          <w:sz w:val="32"/>
          <w:szCs w:val="32"/>
        </w:rPr>
        <w:t>月</w:t>
      </w:r>
    </w:p>
    <w:p w14:paraId="43236196">
      <w:pPr>
        <w:snapToGrid w:val="0"/>
        <w:spacing w:line="360" w:lineRule="auto"/>
        <w:rPr>
          <w:rFonts w:hint="eastAsia" w:ascii="宋体" w:hAnsi="宋体" w:cs="宋体"/>
          <w:sz w:val="28"/>
          <w:szCs w:val="28"/>
        </w:rPr>
      </w:pPr>
      <w:r>
        <w:rPr>
          <w:rFonts w:hint="eastAsia" w:ascii="宋体" w:hAnsi="宋体" w:cs="宋体"/>
          <w:sz w:val="28"/>
          <w:szCs w:val="28"/>
        </w:rPr>
        <w:t xml:space="preserve">                            </w:t>
      </w:r>
    </w:p>
    <w:p w14:paraId="59077D0A">
      <w:pPr>
        <w:jc w:val="center"/>
        <w:rPr>
          <w:rFonts w:hint="eastAsia" w:ascii="宋体" w:hAnsi="宋体" w:cs="宋体"/>
          <w:b/>
          <w:bCs/>
          <w:sz w:val="28"/>
          <w:szCs w:val="28"/>
        </w:rPr>
        <w:sectPr>
          <w:headerReference r:id="rId4" w:type="first"/>
          <w:headerReference r:id="rId3" w:type="default"/>
          <w:pgSz w:w="11906" w:h="16838"/>
          <w:pgMar w:top="1440" w:right="1800" w:bottom="1440" w:left="1800" w:header="851" w:footer="992" w:gutter="0"/>
          <w:pgNumType w:start="1"/>
          <w:cols w:space="720" w:num="1"/>
          <w:titlePg/>
          <w:docGrid w:type="lines" w:linePitch="312" w:charSpace="0"/>
        </w:sectPr>
      </w:pPr>
    </w:p>
    <w:p w14:paraId="6949E15E">
      <w:pPr>
        <w:spacing w:after="156" w:afterLines="50" w:line="312" w:lineRule="auto"/>
        <w:jc w:val="center"/>
        <w:rPr>
          <w:rFonts w:hint="eastAsia" w:ascii="黑体" w:hAnsi="黑体" w:eastAsia="黑体" w:cs="黑体"/>
          <w:b/>
          <w:bCs/>
          <w:sz w:val="32"/>
          <w:szCs w:val="32"/>
        </w:rPr>
      </w:pPr>
      <w:r>
        <w:rPr>
          <w:rFonts w:hint="eastAsia" w:ascii="黑体" w:hAnsi="黑体" w:eastAsia="黑体" w:cs="黑体"/>
          <w:b/>
          <w:bCs/>
          <w:sz w:val="32"/>
          <w:szCs w:val="32"/>
        </w:rPr>
        <w:t>特别提示</w:t>
      </w:r>
    </w:p>
    <w:p w14:paraId="5257CC88">
      <w:pPr>
        <w:spacing w:line="324" w:lineRule="auto"/>
        <w:rPr>
          <w:rFonts w:hint="eastAsia" w:ascii="宋体" w:hAnsi="宋体" w:cs="宋体"/>
        </w:rPr>
      </w:pPr>
      <w:r>
        <w:rPr>
          <w:rFonts w:hint="eastAsia" w:ascii="宋体" w:hAnsi="宋体" w:cs="宋体"/>
        </w:rPr>
        <w:t>各投标人，在此我们特别提醒您注意以下事项：</w:t>
      </w:r>
    </w:p>
    <w:p w14:paraId="0D4E6124">
      <w:pPr>
        <w:spacing w:line="324" w:lineRule="auto"/>
        <w:rPr>
          <w:rFonts w:hint="eastAsia" w:ascii="宋体" w:hAnsi="宋体" w:cs="宋体"/>
          <w:b/>
          <w:bCs/>
        </w:rPr>
      </w:pPr>
      <w:r>
        <w:rPr>
          <w:rFonts w:hint="eastAsia" w:ascii="宋体" w:hAnsi="宋体" w:cs="宋体"/>
          <w:b/>
          <w:bCs/>
        </w:rPr>
        <w:t>一、有关投标文件</w:t>
      </w:r>
    </w:p>
    <w:p w14:paraId="12F14C7E">
      <w:pPr>
        <w:spacing w:line="324" w:lineRule="auto"/>
        <w:ind w:firstLine="420" w:firstLineChars="200"/>
        <w:rPr>
          <w:rFonts w:hint="eastAsia" w:ascii="宋体" w:hAnsi="宋体" w:cs="宋体"/>
        </w:rPr>
      </w:pPr>
      <w:r>
        <w:rPr>
          <w:rFonts w:hint="eastAsia" w:ascii="宋体" w:hAnsi="宋体" w:cs="宋体"/>
        </w:rPr>
        <w:t>1.请您仔细阅读招标文件并正确理解招标文件中各项具体要求。如您对招标文件有疑问，请在招标文件规定的时间内以书面形式提出，逾期将被拒绝受理。</w:t>
      </w:r>
    </w:p>
    <w:p w14:paraId="4E1029E8">
      <w:pPr>
        <w:spacing w:line="324" w:lineRule="auto"/>
        <w:ind w:firstLine="420" w:firstLineChars="200"/>
        <w:rPr>
          <w:rFonts w:hint="eastAsia" w:ascii="宋体" w:hAnsi="宋体" w:cs="宋体"/>
        </w:rPr>
      </w:pPr>
      <w:r>
        <w:rPr>
          <w:rFonts w:hint="eastAsia" w:ascii="宋体" w:hAnsi="宋体" w:cs="宋体"/>
        </w:rPr>
        <w:t>2.请您严格按照招标文件载明的投标文件的格式要求编制投标文件，投标文件须胶装成册。</w:t>
      </w:r>
    </w:p>
    <w:p w14:paraId="5D248298">
      <w:pPr>
        <w:spacing w:line="324" w:lineRule="auto"/>
        <w:ind w:firstLine="420" w:firstLineChars="200"/>
        <w:rPr>
          <w:rFonts w:hint="eastAsia" w:ascii="宋体" w:hAnsi="宋体" w:cs="宋体"/>
        </w:rPr>
      </w:pPr>
      <w:r>
        <w:rPr>
          <w:rFonts w:hint="eastAsia" w:ascii="宋体" w:hAnsi="宋体" w:cs="宋体"/>
        </w:rPr>
        <w:t>3.请您仔细核对您的投标文件是否已按照招标文件的要求签字、盖章和加盖单位公章，您的实质性条款是否满足招标文件要求，您的投标文件中所附资格证明等资料是否齐全、有效且是否满足招标文件要求。</w:t>
      </w:r>
    </w:p>
    <w:p w14:paraId="5CB2EED6">
      <w:pPr>
        <w:widowControl/>
        <w:spacing w:line="324" w:lineRule="auto"/>
        <w:ind w:firstLine="420" w:firstLineChars="200"/>
        <w:jc w:val="left"/>
        <w:rPr>
          <w:rFonts w:hint="eastAsia" w:ascii="宋体" w:hAnsi="宋体" w:cs="宋体"/>
          <w:lang w:bidi="ar"/>
        </w:rPr>
      </w:pPr>
      <w:r>
        <w:rPr>
          <w:rFonts w:hint="eastAsia" w:ascii="宋体" w:hAnsi="宋体" w:cs="宋体"/>
        </w:rPr>
        <w:t>4.</w:t>
      </w:r>
      <w:r>
        <w:rPr>
          <w:rFonts w:hint="eastAsia" w:ascii="宋体" w:hAnsi="宋体" w:cs="宋体"/>
          <w:lang w:bidi="ar"/>
        </w:rPr>
        <w:t>本次采购</w:t>
      </w:r>
      <w:r>
        <w:rPr>
          <w:rFonts w:hint="eastAsia" w:ascii="宋体" w:hAnsi="宋体" w:cs="宋体"/>
          <w:b/>
          <w:bCs/>
          <w:lang w:bidi="ar"/>
        </w:rPr>
        <w:t>所有标项均为专门面向中小企业的采购项目</w:t>
      </w:r>
      <w:r>
        <w:rPr>
          <w:rFonts w:hint="eastAsia" w:ascii="宋体" w:hAnsi="宋体" w:cs="宋体"/>
          <w:lang w:bidi="ar"/>
        </w:rPr>
        <w:t>。投标文件中须提供投标人出具的《政府采购促进中小企业发展管理办法》[财库2022年19 号文件]规定的《中小企业声明函》，所投标项涉及多种标的物的，货物制造商的相关信息应全部列入《中小企业声明函》。未按要求提供的将视为无效投标。</w:t>
      </w:r>
    </w:p>
    <w:p w14:paraId="57817DFA">
      <w:pPr>
        <w:spacing w:line="324" w:lineRule="auto"/>
        <w:ind w:firstLine="420" w:firstLineChars="200"/>
        <w:rPr>
          <w:rFonts w:hint="eastAsia" w:ascii="宋体" w:hAnsi="宋体" w:cs="宋体"/>
        </w:rPr>
      </w:pPr>
      <w:r>
        <w:rPr>
          <w:rFonts w:hint="eastAsia" w:ascii="宋体" w:hAnsi="宋体" w:cs="宋体"/>
        </w:rPr>
        <w:t>5.请确保您所投标的产品型号、响应参数等与检测报告内容保持完全一致，如有前后不相符的情况，会影响您最终的投标结果。</w:t>
      </w:r>
    </w:p>
    <w:p w14:paraId="1DCAD1CA">
      <w:pPr>
        <w:widowControl/>
        <w:spacing w:line="324" w:lineRule="auto"/>
        <w:ind w:firstLine="420" w:firstLineChars="200"/>
        <w:jc w:val="left"/>
        <w:rPr>
          <w:rFonts w:hint="eastAsia" w:ascii="宋体" w:hAnsi="宋体" w:cs="宋体"/>
          <w:lang w:bidi="ar"/>
        </w:rPr>
      </w:pPr>
      <w:r>
        <w:rPr>
          <w:rFonts w:hint="eastAsia" w:ascii="宋体" w:hAnsi="宋体" w:cs="宋体"/>
          <w:lang w:bidi="ar"/>
        </w:rPr>
        <w:t>6.请您仔细核对报价一览表、明细表等，有无大小写不一致、单价与总价不相符等情况。</w:t>
      </w:r>
    </w:p>
    <w:p w14:paraId="08DEF06D">
      <w:pPr>
        <w:spacing w:line="324" w:lineRule="auto"/>
        <w:ind w:firstLine="420" w:firstLineChars="200"/>
        <w:rPr>
          <w:rFonts w:hint="eastAsia" w:ascii="宋体" w:hAnsi="宋体" w:cs="宋体"/>
        </w:rPr>
      </w:pPr>
      <w:r>
        <w:rPr>
          <w:rFonts w:hint="eastAsia" w:ascii="宋体" w:hAnsi="宋体" w:cs="宋体"/>
        </w:rPr>
        <w:t>7.请您按照招标文件要求密封投标文件，并正确标记。</w:t>
      </w:r>
    </w:p>
    <w:p w14:paraId="6BBA485B">
      <w:pPr>
        <w:spacing w:line="324" w:lineRule="auto"/>
        <w:ind w:firstLine="420" w:firstLineChars="200"/>
        <w:rPr>
          <w:rFonts w:hint="eastAsia" w:ascii="宋体" w:hAnsi="宋体" w:cs="宋体"/>
        </w:rPr>
      </w:pPr>
      <w:r>
        <w:rPr>
          <w:rFonts w:hint="eastAsia" w:ascii="宋体" w:hAnsi="宋体" w:cs="宋体"/>
        </w:rPr>
        <w:t>提示：您的投标文件若不满足以上条件将有被否决的风险。</w:t>
      </w:r>
    </w:p>
    <w:p w14:paraId="6476C531">
      <w:pPr>
        <w:spacing w:line="324" w:lineRule="auto"/>
        <w:rPr>
          <w:rFonts w:hint="eastAsia" w:ascii="宋体" w:hAnsi="宋体" w:cs="宋体"/>
          <w:b/>
          <w:bCs/>
        </w:rPr>
      </w:pPr>
      <w:r>
        <w:rPr>
          <w:rFonts w:hint="eastAsia" w:ascii="宋体" w:hAnsi="宋体" w:cs="宋体"/>
          <w:b/>
          <w:bCs/>
        </w:rPr>
        <w:t>二、有关开标</w:t>
      </w:r>
    </w:p>
    <w:p w14:paraId="3B77C5A3">
      <w:pPr>
        <w:spacing w:line="324" w:lineRule="auto"/>
        <w:ind w:firstLine="420" w:firstLineChars="200"/>
        <w:rPr>
          <w:rFonts w:hint="eastAsia" w:ascii="宋体" w:hAnsi="宋体" w:cs="宋体"/>
        </w:rPr>
      </w:pPr>
      <w:r>
        <w:rPr>
          <w:rFonts w:hint="eastAsia" w:ascii="宋体" w:hAnsi="宋体" w:cs="宋体"/>
        </w:rPr>
        <w:t>1.除招标文件要求递交的文件和资料外，请您随身携带招标文件要求提供的其他备查文件原件（如有）。</w:t>
      </w:r>
    </w:p>
    <w:p w14:paraId="7CE5DA13">
      <w:pPr>
        <w:spacing w:line="324" w:lineRule="auto"/>
        <w:ind w:firstLine="420" w:firstLineChars="200"/>
        <w:rPr>
          <w:rFonts w:hint="eastAsia" w:ascii="宋体" w:hAnsi="宋体" w:cs="宋体"/>
        </w:rPr>
      </w:pPr>
      <w:r>
        <w:rPr>
          <w:rFonts w:hint="eastAsia" w:ascii="宋体" w:hAnsi="宋体" w:cs="宋体"/>
        </w:rPr>
        <w:t>2.请您务必考虑天气、疫情、交通等情况以及您对开标地址的路线熟悉等情况，于招标公告规定的时间及地点递交投标文件，投标文件逾期到达，将被拒绝接收。</w:t>
      </w:r>
    </w:p>
    <w:p w14:paraId="18EBFF45">
      <w:pPr>
        <w:spacing w:line="324" w:lineRule="auto"/>
        <w:ind w:firstLine="420" w:firstLineChars="200"/>
        <w:rPr>
          <w:rFonts w:hint="eastAsia" w:ascii="宋体" w:hAnsi="宋体" w:cs="宋体"/>
        </w:rPr>
      </w:pPr>
      <w:r>
        <w:rPr>
          <w:rFonts w:hint="eastAsia" w:ascii="宋体" w:hAnsi="宋体" w:cs="宋体"/>
        </w:rPr>
        <w:t>3.请您到达文件递交地点后及时到投标文件接收处签字登记，如有要求提供样品的应按招标文件要求递交样品并登记。</w:t>
      </w:r>
    </w:p>
    <w:p w14:paraId="30ACB0FD">
      <w:pPr>
        <w:spacing w:line="324" w:lineRule="auto"/>
        <w:ind w:firstLine="420" w:firstLineChars="200"/>
        <w:rPr>
          <w:rFonts w:hint="eastAsia" w:ascii="宋体" w:hAnsi="宋体" w:cs="宋体"/>
        </w:rPr>
      </w:pPr>
      <w:r>
        <w:rPr>
          <w:rFonts w:hint="eastAsia" w:ascii="宋体" w:hAnsi="宋体" w:cs="宋体"/>
        </w:rPr>
        <w:t>请各投标单位仔细阅读上述提示。如需帮助，请您与我们的工作人员联系，我们将非常高兴为您服务。</w:t>
      </w:r>
    </w:p>
    <w:p w14:paraId="6C0EB937">
      <w:pPr>
        <w:jc w:val="center"/>
        <w:rPr>
          <w:rFonts w:hint="eastAsia" w:ascii="宋体" w:hAnsi="宋体" w:cs="宋体"/>
          <w:bCs/>
        </w:rPr>
      </w:pPr>
    </w:p>
    <w:p w14:paraId="03A02B4C">
      <w:pPr>
        <w:jc w:val="center"/>
        <w:rPr>
          <w:rFonts w:hint="eastAsia" w:ascii="宋体" w:hAnsi="宋体" w:cs="宋体"/>
          <w:b/>
          <w:bCs/>
          <w:sz w:val="28"/>
          <w:szCs w:val="28"/>
        </w:rPr>
        <w:sectPr>
          <w:pgSz w:w="11906" w:h="16838"/>
          <w:pgMar w:top="1440" w:right="1800" w:bottom="1440" w:left="1800" w:header="851" w:footer="992" w:gutter="0"/>
          <w:pgNumType w:start="1"/>
          <w:cols w:space="720" w:num="1"/>
          <w:titlePg/>
          <w:docGrid w:type="lines" w:linePitch="312" w:charSpace="0"/>
        </w:sectPr>
      </w:pPr>
    </w:p>
    <w:p w14:paraId="5668A0B7">
      <w:pPr>
        <w:pStyle w:val="24"/>
        <w:tabs>
          <w:tab w:val="right" w:leader="dot" w:pos="8296"/>
        </w:tabs>
        <w:spacing w:before="156" w:after="156"/>
        <w:jc w:val="center"/>
        <w:rPr>
          <w:rFonts w:hint="eastAsia" w:ascii="宋体" w:hAnsi="宋体" w:cs="宋体"/>
          <w:b/>
          <w:bCs/>
          <w:sz w:val="32"/>
          <w:szCs w:val="28"/>
        </w:rPr>
      </w:pPr>
      <w:r>
        <w:rPr>
          <w:rFonts w:hint="eastAsia" w:ascii="宋体" w:hAnsi="宋体" w:cs="宋体"/>
          <w:b/>
          <w:bCs/>
          <w:sz w:val="32"/>
          <w:szCs w:val="28"/>
        </w:rPr>
        <w:t>目 录</w:t>
      </w:r>
    </w:p>
    <w:p w14:paraId="06EA7D07"/>
    <w:p w14:paraId="54D448C6">
      <w:pPr>
        <w:pStyle w:val="24"/>
        <w:tabs>
          <w:tab w:val="right" w:leader="dot" w:pos="8306"/>
        </w:tabs>
      </w:pPr>
      <w:r>
        <w:rPr>
          <w:rFonts w:hint="eastAsia" w:ascii="宋体" w:hAnsi="宋体" w:cs="宋体"/>
          <w:sz w:val="28"/>
          <w:szCs w:val="28"/>
        </w:rPr>
        <w:fldChar w:fldCharType="begin"/>
      </w:r>
      <w:r>
        <w:rPr>
          <w:rFonts w:hint="eastAsia" w:ascii="宋体" w:hAnsi="宋体" w:cs="宋体"/>
          <w:sz w:val="28"/>
          <w:szCs w:val="28"/>
        </w:rPr>
        <w:instrText xml:space="preserve"> TOC \o "1-1" \u </w:instrText>
      </w:r>
      <w:r>
        <w:rPr>
          <w:rFonts w:hint="eastAsia" w:ascii="宋体" w:hAnsi="宋体" w:cs="宋体"/>
          <w:sz w:val="28"/>
          <w:szCs w:val="28"/>
        </w:rPr>
        <w:fldChar w:fldCharType="separate"/>
      </w:r>
      <w:r>
        <w:rPr>
          <w:rFonts w:hint="eastAsia"/>
        </w:rPr>
        <w:t>第一部分  招标公告</w:t>
      </w:r>
      <w:r>
        <w:tab/>
      </w:r>
      <w:r>
        <w:fldChar w:fldCharType="begin"/>
      </w:r>
      <w:r>
        <w:instrText xml:space="preserve"> PAGEREF _Toc20032 \h </w:instrText>
      </w:r>
      <w:r>
        <w:fldChar w:fldCharType="separate"/>
      </w:r>
      <w:r>
        <w:t>2</w:t>
      </w:r>
      <w:r>
        <w:fldChar w:fldCharType="end"/>
      </w:r>
    </w:p>
    <w:p w14:paraId="76FF561F">
      <w:pPr>
        <w:pStyle w:val="24"/>
        <w:tabs>
          <w:tab w:val="right" w:leader="dot" w:pos="8306"/>
        </w:tabs>
      </w:pPr>
      <w:r>
        <w:rPr>
          <w:rFonts w:hint="eastAsia"/>
        </w:rPr>
        <w:t>第二部分  投标人须知</w:t>
      </w:r>
      <w:r>
        <w:tab/>
      </w:r>
      <w:r>
        <w:fldChar w:fldCharType="begin"/>
      </w:r>
      <w:r>
        <w:instrText xml:space="preserve"> PAGEREF _Toc9348 \h </w:instrText>
      </w:r>
      <w:r>
        <w:fldChar w:fldCharType="separate"/>
      </w:r>
      <w:r>
        <w:t>6</w:t>
      </w:r>
      <w:r>
        <w:fldChar w:fldCharType="end"/>
      </w:r>
    </w:p>
    <w:p w14:paraId="15B9C3AF">
      <w:pPr>
        <w:pStyle w:val="24"/>
        <w:tabs>
          <w:tab w:val="right" w:leader="dot" w:pos="8306"/>
        </w:tabs>
      </w:pPr>
      <w:r>
        <w:rPr>
          <w:rFonts w:hint="eastAsia"/>
        </w:rPr>
        <w:t>第三部分  采购需求</w:t>
      </w:r>
      <w:r>
        <w:tab/>
      </w:r>
      <w:r>
        <w:fldChar w:fldCharType="begin"/>
      </w:r>
      <w:r>
        <w:instrText xml:space="preserve"> PAGEREF _Toc20346 \h </w:instrText>
      </w:r>
      <w:r>
        <w:fldChar w:fldCharType="separate"/>
      </w:r>
      <w:r>
        <w:t>21</w:t>
      </w:r>
      <w:r>
        <w:fldChar w:fldCharType="end"/>
      </w:r>
    </w:p>
    <w:p w14:paraId="5F054A62">
      <w:pPr>
        <w:pStyle w:val="24"/>
        <w:tabs>
          <w:tab w:val="right" w:leader="dot" w:pos="8306"/>
        </w:tabs>
      </w:pPr>
      <w:r>
        <w:rPr>
          <w:rFonts w:hint="eastAsia"/>
        </w:rPr>
        <w:t>第四部分  评分办法及评分标准</w:t>
      </w:r>
      <w:r>
        <w:tab/>
      </w:r>
      <w:r>
        <w:fldChar w:fldCharType="begin"/>
      </w:r>
      <w:r>
        <w:instrText xml:space="preserve"> PAGEREF _Toc16452 \h </w:instrText>
      </w:r>
      <w:r>
        <w:fldChar w:fldCharType="separate"/>
      </w:r>
      <w:r>
        <w:t>34</w:t>
      </w:r>
      <w:r>
        <w:fldChar w:fldCharType="end"/>
      </w:r>
    </w:p>
    <w:p w14:paraId="701A3CF8">
      <w:pPr>
        <w:pStyle w:val="24"/>
        <w:tabs>
          <w:tab w:val="right" w:leader="dot" w:pos="8306"/>
        </w:tabs>
      </w:pPr>
      <w:r>
        <w:rPr>
          <w:rFonts w:hint="eastAsia"/>
        </w:rPr>
        <w:t>第五部分  合同主要条款</w:t>
      </w:r>
      <w:r>
        <w:tab/>
      </w:r>
      <w:r>
        <w:fldChar w:fldCharType="begin"/>
      </w:r>
      <w:r>
        <w:instrText xml:space="preserve"> PAGEREF _Toc26648 \h </w:instrText>
      </w:r>
      <w:r>
        <w:fldChar w:fldCharType="separate"/>
      </w:r>
      <w:r>
        <w:t>39</w:t>
      </w:r>
      <w:r>
        <w:fldChar w:fldCharType="end"/>
      </w:r>
    </w:p>
    <w:p w14:paraId="11BAC788">
      <w:pPr>
        <w:pStyle w:val="24"/>
        <w:tabs>
          <w:tab w:val="right" w:leader="dot" w:pos="8306"/>
        </w:tabs>
      </w:pPr>
      <w:r>
        <w:rPr>
          <w:rFonts w:hint="eastAsia"/>
        </w:rPr>
        <w:t>第六部分  投标文件格式</w:t>
      </w:r>
      <w:r>
        <w:tab/>
      </w:r>
      <w:r>
        <w:fldChar w:fldCharType="begin"/>
      </w:r>
      <w:r>
        <w:instrText xml:space="preserve"> PAGEREF _Toc21621 \h </w:instrText>
      </w:r>
      <w:r>
        <w:fldChar w:fldCharType="separate"/>
      </w:r>
      <w:r>
        <w:t>51</w:t>
      </w:r>
      <w:r>
        <w:fldChar w:fldCharType="end"/>
      </w:r>
    </w:p>
    <w:p w14:paraId="634B8BD5">
      <w:pPr>
        <w:shd w:val="clear" w:color="auto" w:fill="FFFFFF" w:themeFill="background1"/>
        <w:snapToGrid w:val="0"/>
        <w:spacing w:line="360" w:lineRule="auto"/>
        <w:rPr>
          <w:rFonts w:hint="eastAsia" w:ascii="宋体" w:hAnsi="宋体" w:cs="宋体"/>
          <w:sz w:val="28"/>
          <w:szCs w:val="28"/>
        </w:rPr>
      </w:pPr>
      <w:r>
        <w:rPr>
          <w:rFonts w:hint="eastAsia" w:ascii="宋体" w:hAnsi="宋体" w:cs="宋体"/>
          <w:szCs w:val="28"/>
        </w:rPr>
        <w:fldChar w:fldCharType="end"/>
      </w:r>
    </w:p>
    <w:p w14:paraId="64404ACF">
      <w:pPr>
        <w:pStyle w:val="3"/>
        <w:snapToGrid w:val="0"/>
        <w:spacing w:beforeLines="0" w:afterLines="0" w:line="360" w:lineRule="auto"/>
        <w:rPr>
          <w:rFonts w:hint="eastAsia" w:hAnsi="宋体" w:cs="宋体"/>
          <w:b/>
          <w:spacing w:val="-6"/>
          <w:sz w:val="32"/>
          <w:szCs w:val="32"/>
        </w:rPr>
      </w:pPr>
    </w:p>
    <w:p w14:paraId="1182DEA3">
      <w:pPr>
        <w:rPr>
          <w:rFonts w:hint="eastAsia" w:ascii="宋体" w:hAnsi="宋体" w:cs="宋体"/>
          <w:b/>
          <w:spacing w:val="-6"/>
          <w:sz w:val="32"/>
          <w:szCs w:val="32"/>
        </w:rPr>
      </w:pPr>
    </w:p>
    <w:p w14:paraId="5C0A46F6">
      <w:pPr>
        <w:tabs>
          <w:tab w:val="left" w:pos="5628"/>
        </w:tabs>
        <w:jc w:val="left"/>
        <w:rPr>
          <w:rFonts w:hint="eastAsia" w:ascii="宋体" w:hAnsi="宋体" w:cs="宋体"/>
          <w:b/>
          <w:spacing w:val="-6"/>
          <w:sz w:val="32"/>
          <w:szCs w:val="32"/>
        </w:rPr>
        <w:sectPr>
          <w:footerReference r:id="rId6" w:type="first"/>
          <w:footerReference r:id="rId5" w:type="default"/>
          <w:pgSz w:w="11906" w:h="16838"/>
          <w:pgMar w:top="1440" w:right="1800" w:bottom="1440" w:left="1800" w:header="851" w:footer="992" w:gutter="0"/>
          <w:pgNumType w:start="1"/>
          <w:cols w:space="720" w:num="1"/>
          <w:titlePg/>
          <w:docGrid w:type="lines" w:linePitch="312" w:charSpace="0"/>
        </w:sectPr>
      </w:pPr>
    </w:p>
    <w:p w14:paraId="7D1DE289">
      <w:pPr>
        <w:pStyle w:val="2"/>
        <w:spacing w:before="156" w:after="156"/>
        <w:rPr>
          <w:rFonts w:hint="eastAsia"/>
        </w:rPr>
      </w:pPr>
      <w:bookmarkStart w:id="0" w:name="_Toc5008"/>
      <w:bookmarkStart w:id="1" w:name="_Toc20032"/>
      <w:r>
        <w:rPr>
          <w:rFonts w:hint="eastAsia"/>
        </w:rPr>
        <w:t>第一部分  招标公告</w:t>
      </w:r>
      <w:bookmarkEnd w:id="0"/>
      <w:bookmarkEnd w:id="1"/>
    </w:p>
    <w:tbl>
      <w:tblPr>
        <w:tblStyle w:val="3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0DC4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540" w:type="dxa"/>
            <w:vAlign w:val="center"/>
          </w:tcPr>
          <w:p w14:paraId="7E8890E2">
            <w:pPr>
              <w:pStyle w:val="15"/>
              <w:spacing w:after="0" w:line="360" w:lineRule="auto"/>
              <w:ind w:left="0" w:leftChars="0"/>
              <w:jc w:val="left"/>
              <w:rPr>
                <w:rFonts w:hint="eastAsia" w:ascii="宋体" w:hAnsi="宋体" w:cs="宋体"/>
                <w:b/>
                <w:bCs/>
                <w:sz w:val="24"/>
                <w:u w:val="single"/>
              </w:rPr>
            </w:pPr>
            <w:bookmarkStart w:id="2" w:name="_Toc30575"/>
            <w:r>
              <w:rPr>
                <w:rFonts w:hint="eastAsia" w:ascii="宋体" w:hAnsi="宋体" w:cs="宋体"/>
                <w:b/>
                <w:sz w:val="24"/>
              </w:rPr>
              <w:t>项目概况</w:t>
            </w:r>
          </w:p>
          <w:p w14:paraId="582B3CB0">
            <w:pPr>
              <w:pStyle w:val="15"/>
              <w:spacing w:after="0" w:line="360" w:lineRule="auto"/>
              <w:ind w:left="0" w:leftChars="0" w:firstLine="482" w:firstLineChars="200"/>
              <w:jc w:val="left"/>
              <w:rPr>
                <w:rFonts w:hint="eastAsia" w:ascii="宋体" w:hAnsi="宋体" w:cs="宋体"/>
                <w:b/>
                <w:sz w:val="24"/>
              </w:rPr>
            </w:pPr>
            <w:r>
              <w:rPr>
                <w:rFonts w:hint="eastAsia" w:ascii="宋体" w:hAnsi="宋体" w:cs="宋体"/>
                <w:b/>
                <w:bCs/>
                <w:sz w:val="24"/>
                <w:u w:val="single"/>
                <w:lang w:eastAsia="zh-CN"/>
              </w:rPr>
              <w:t>浙江省舟山市消防救援支队2024年全市器材装备（破拆类二）采购项目</w:t>
            </w:r>
            <w:r>
              <w:rPr>
                <w:rFonts w:hint="eastAsia" w:ascii="宋体" w:hAnsi="宋体" w:cs="宋体"/>
                <w:sz w:val="24"/>
              </w:rPr>
              <w:t>的潜在投标人应在</w:t>
            </w:r>
            <w:r>
              <w:rPr>
                <w:rFonts w:hint="eastAsia" w:ascii="宋体" w:hAnsi="宋体" w:cs="宋体"/>
                <w:sz w:val="24"/>
                <w:u w:val="single"/>
              </w:rPr>
              <w:t xml:space="preserve"> </w:t>
            </w:r>
            <w:r>
              <w:rPr>
                <w:rFonts w:hint="eastAsia" w:ascii="宋体" w:hAnsi="宋体" w:cs="宋体"/>
                <w:b/>
                <w:bCs/>
                <w:sz w:val="24"/>
                <w:u w:val="single"/>
                <w:lang w:eastAsia="zh-CN"/>
              </w:rPr>
              <w:t>浙江自贸区中昊工程管理有限公司</w:t>
            </w:r>
            <w:r>
              <w:rPr>
                <w:rFonts w:hint="eastAsia" w:ascii="宋体" w:hAnsi="宋体" w:cs="宋体"/>
                <w:sz w:val="24"/>
              </w:rPr>
              <w:t>获取招标文件，并于</w:t>
            </w:r>
            <w:r>
              <w:rPr>
                <w:rFonts w:hint="eastAsia" w:ascii="宋体" w:hAnsi="宋体" w:cs="宋体"/>
                <w:b/>
                <w:sz w:val="24"/>
                <w:u w:val="single"/>
              </w:rPr>
              <w:t>2025年</w:t>
            </w:r>
            <w:r>
              <w:rPr>
                <w:rFonts w:hint="eastAsia" w:ascii="宋体" w:hAnsi="宋体" w:cs="宋体"/>
                <w:b/>
                <w:sz w:val="24"/>
                <w:u w:val="single"/>
                <w:lang w:val="en-US" w:eastAsia="zh-CN"/>
              </w:rPr>
              <w:t xml:space="preserve"> </w:t>
            </w:r>
            <w:r>
              <w:rPr>
                <w:rFonts w:hint="eastAsia" w:ascii="宋体" w:hAnsi="宋体" w:cs="宋体"/>
                <w:b/>
                <w:sz w:val="24"/>
                <w:u w:val="single"/>
              </w:rPr>
              <w:t>月</w:t>
            </w:r>
            <w:r>
              <w:rPr>
                <w:rFonts w:hint="eastAsia" w:ascii="宋体" w:hAnsi="宋体" w:cs="宋体"/>
                <w:b/>
                <w:sz w:val="24"/>
                <w:u w:val="single"/>
                <w:lang w:val="en-US" w:eastAsia="zh-CN"/>
              </w:rPr>
              <w:t xml:space="preserve"> </w:t>
            </w:r>
            <w:r>
              <w:rPr>
                <w:rFonts w:hint="eastAsia" w:ascii="宋体" w:hAnsi="宋体" w:cs="宋体"/>
                <w:b/>
                <w:sz w:val="24"/>
                <w:u w:val="single"/>
              </w:rPr>
              <w:t>日</w:t>
            </w:r>
            <w:r>
              <w:rPr>
                <w:rFonts w:hint="eastAsia" w:ascii="宋体" w:hAnsi="宋体" w:cs="宋体"/>
                <w:b/>
                <w:bCs/>
                <w:sz w:val="24"/>
                <w:u w:val="single"/>
                <w:lang w:val="en-US" w:eastAsia="zh-CN"/>
              </w:rPr>
              <w:t xml:space="preserve"> </w:t>
            </w:r>
            <w:r>
              <w:rPr>
                <w:rFonts w:hint="eastAsia" w:ascii="宋体" w:hAnsi="宋体" w:cs="宋体"/>
                <w:bCs/>
                <w:sz w:val="24"/>
              </w:rPr>
              <w:t>（北京时间）前递交投标文件。</w:t>
            </w:r>
          </w:p>
        </w:tc>
      </w:tr>
    </w:tbl>
    <w:p w14:paraId="37EFC8FF">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根据《中华人民共和国政府采购法》等有关规定，</w:t>
      </w:r>
      <w:r>
        <w:rPr>
          <w:rFonts w:hint="eastAsia" w:ascii="宋体" w:hAnsi="宋体" w:cs="宋体"/>
          <w:b/>
          <w:bCs/>
          <w:sz w:val="24"/>
          <w:u w:val="single"/>
          <w:lang w:eastAsia="zh-CN"/>
        </w:rPr>
        <w:t>浙江自贸区中昊工程管理有限公司</w:t>
      </w:r>
      <w:r>
        <w:rPr>
          <w:rFonts w:hint="eastAsia" w:ascii="宋体" w:hAnsi="宋体" w:cs="宋体"/>
          <w:sz w:val="24"/>
        </w:rPr>
        <w:t>受</w:t>
      </w:r>
      <w:r>
        <w:rPr>
          <w:rFonts w:hint="eastAsia" w:ascii="宋体" w:hAnsi="宋体" w:cs="宋体"/>
          <w:sz w:val="24"/>
          <w:u w:val="single"/>
        </w:rPr>
        <w:t xml:space="preserve"> </w:t>
      </w:r>
      <w:r>
        <w:rPr>
          <w:rFonts w:hint="eastAsia" w:ascii="宋体" w:hAnsi="宋体" w:cs="宋体"/>
          <w:b/>
          <w:bCs/>
          <w:sz w:val="24"/>
          <w:u w:val="single"/>
        </w:rPr>
        <w:t>舟山市消防救援支队</w:t>
      </w:r>
      <w:r>
        <w:rPr>
          <w:rFonts w:hint="eastAsia" w:ascii="宋体" w:hAnsi="宋体" w:cs="宋体"/>
          <w:sz w:val="24"/>
        </w:rPr>
        <w:t>委托，就</w:t>
      </w:r>
      <w:r>
        <w:rPr>
          <w:rFonts w:hint="eastAsia" w:ascii="宋体" w:hAnsi="宋体" w:cs="宋体"/>
          <w:b/>
          <w:bCs/>
          <w:sz w:val="24"/>
          <w:u w:val="single"/>
          <w:lang w:eastAsia="zh-CN"/>
        </w:rPr>
        <w:t>浙江省舟山市消防救援支队2024年全市器材装备（破拆类二）采购项目</w:t>
      </w:r>
      <w:r>
        <w:rPr>
          <w:rFonts w:hint="eastAsia" w:ascii="宋体" w:hAnsi="宋体" w:cs="宋体"/>
          <w:b/>
          <w:bCs/>
          <w:sz w:val="24"/>
          <w:u w:val="single"/>
        </w:rPr>
        <w:t xml:space="preserve"> </w:t>
      </w:r>
      <w:r>
        <w:rPr>
          <w:rFonts w:hint="eastAsia" w:ascii="宋体" w:hAnsi="宋体" w:cs="宋体"/>
          <w:sz w:val="24"/>
        </w:rPr>
        <w:t>进行公开招标，欢迎国内合格的供应商前来投标。</w:t>
      </w:r>
    </w:p>
    <w:p w14:paraId="04FEA3F3">
      <w:pPr>
        <w:widowControl/>
        <w:spacing w:line="360" w:lineRule="auto"/>
        <w:jc w:val="left"/>
        <w:rPr>
          <w:rFonts w:hint="eastAsia" w:ascii="宋体" w:hAnsi="宋体" w:cs="宋体"/>
          <w:b/>
          <w:sz w:val="24"/>
        </w:rPr>
      </w:pPr>
      <w:r>
        <w:rPr>
          <w:rFonts w:hint="eastAsia" w:ascii="宋体" w:hAnsi="宋体" w:cs="宋体"/>
          <w:b/>
          <w:sz w:val="24"/>
        </w:rPr>
        <w:t>一、项目基本情况</w:t>
      </w:r>
      <w:bookmarkStart w:id="91" w:name="_GoBack"/>
      <w:bookmarkEnd w:id="91"/>
    </w:p>
    <w:p w14:paraId="37E4556E">
      <w:pPr>
        <w:widowControl/>
        <w:spacing w:line="360" w:lineRule="auto"/>
        <w:ind w:firstLine="482" w:firstLineChars="200"/>
        <w:jc w:val="left"/>
        <w:rPr>
          <w:rFonts w:hint="eastAsia" w:ascii="宋体" w:hAnsi="宋体" w:eastAsia="宋体" w:cs="宋体"/>
          <w:bCs/>
          <w:sz w:val="24"/>
          <w:lang w:eastAsia="zh-CN"/>
        </w:rPr>
      </w:pPr>
      <w:r>
        <w:rPr>
          <w:rFonts w:hint="eastAsia" w:ascii="宋体" w:hAnsi="宋体" w:cs="宋体"/>
          <w:b/>
          <w:sz w:val="24"/>
        </w:rPr>
        <w:t>项目编号：</w:t>
      </w:r>
      <w:r>
        <w:rPr>
          <w:rFonts w:hint="eastAsia" w:ascii="宋体" w:hAnsi="宋体" w:cs="宋体"/>
          <w:bCs/>
          <w:sz w:val="24"/>
          <w:lang w:eastAsia="zh-CN"/>
        </w:rPr>
        <w:t>ZHDL2025-N93</w:t>
      </w:r>
    </w:p>
    <w:p w14:paraId="4DAE209F">
      <w:pPr>
        <w:widowControl/>
        <w:spacing w:line="360" w:lineRule="auto"/>
        <w:ind w:firstLine="482" w:firstLineChars="200"/>
        <w:jc w:val="left"/>
        <w:rPr>
          <w:rFonts w:hint="eastAsia" w:ascii="宋体" w:hAnsi="宋体" w:eastAsia="宋体" w:cs="宋体"/>
          <w:bCs/>
          <w:sz w:val="24"/>
          <w:lang w:eastAsia="zh-CN"/>
        </w:rPr>
      </w:pPr>
      <w:r>
        <w:rPr>
          <w:rFonts w:hint="eastAsia" w:ascii="宋体" w:hAnsi="宋体" w:cs="宋体"/>
          <w:b/>
          <w:sz w:val="24"/>
        </w:rPr>
        <w:t>项目名称：</w:t>
      </w:r>
      <w:r>
        <w:rPr>
          <w:rFonts w:hint="eastAsia" w:ascii="宋体" w:hAnsi="宋体" w:cs="宋体"/>
          <w:bCs/>
          <w:sz w:val="24"/>
          <w:lang w:eastAsia="zh-CN"/>
        </w:rPr>
        <w:t>浙江省舟山市消防救援支队2024年全市器材装备（破拆类二）采购项目</w:t>
      </w:r>
    </w:p>
    <w:p w14:paraId="2C264E6D">
      <w:pPr>
        <w:widowControl/>
        <w:spacing w:line="360" w:lineRule="auto"/>
        <w:ind w:firstLine="482" w:firstLineChars="200"/>
        <w:jc w:val="left"/>
        <w:rPr>
          <w:rFonts w:hint="eastAsia" w:ascii="宋体" w:hAnsi="宋体" w:cs="宋体"/>
          <w:bCs/>
          <w:sz w:val="24"/>
        </w:rPr>
      </w:pPr>
      <w:r>
        <w:rPr>
          <w:rFonts w:hint="eastAsia" w:ascii="宋体" w:hAnsi="宋体" w:cs="宋体"/>
          <w:b/>
          <w:sz w:val="24"/>
        </w:rPr>
        <w:t>采购总预算：</w:t>
      </w:r>
      <w:r>
        <w:rPr>
          <w:rFonts w:hint="eastAsia" w:ascii="宋体" w:hAnsi="宋体" w:cs="宋体"/>
          <w:kern w:val="0"/>
          <w:sz w:val="24"/>
          <w:lang w:eastAsia="zh-CN" w:bidi="ar"/>
        </w:rPr>
        <w:t>130.187</w:t>
      </w:r>
      <w:r>
        <w:rPr>
          <w:rFonts w:hint="eastAsia" w:ascii="宋体" w:hAnsi="宋体" w:cs="宋体"/>
          <w:kern w:val="0"/>
          <w:sz w:val="24"/>
          <w:lang w:bidi="ar"/>
        </w:rPr>
        <w:t>万</w:t>
      </w:r>
      <w:r>
        <w:rPr>
          <w:rFonts w:hint="eastAsia" w:ascii="宋体" w:hAnsi="宋体" w:cs="宋体"/>
          <w:bCs/>
          <w:sz w:val="24"/>
        </w:rPr>
        <w:t>元（人民币）</w:t>
      </w:r>
    </w:p>
    <w:p w14:paraId="549B7D32">
      <w:pPr>
        <w:widowControl/>
        <w:spacing w:line="360" w:lineRule="auto"/>
        <w:ind w:firstLine="482" w:firstLineChars="200"/>
        <w:jc w:val="left"/>
        <w:rPr>
          <w:rFonts w:hint="eastAsia" w:ascii="宋体" w:hAnsi="宋体" w:cs="宋体"/>
          <w:bCs/>
          <w:sz w:val="24"/>
        </w:rPr>
      </w:pPr>
      <w:r>
        <w:rPr>
          <w:rFonts w:hint="eastAsia" w:ascii="宋体" w:hAnsi="宋体" w:cs="宋体"/>
          <w:b/>
          <w:sz w:val="24"/>
        </w:rPr>
        <w:t>最高总限价：</w:t>
      </w:r>
      <w:r>
        <w:rPr>
          <w:rFonts w:hint="eastAsia" w:ascii="宋体" w:hAnsi="宋体" w:cs="宋体"/>
          <w:kern w:val="0"/>
          <w:sz w:val="24"/>
          <w:lang w:eastAsia="zh-CN" w:bidi="ar"/>
        </w:rPr>
        <w:t>130.187</w:t>
      </w:r>
      <w:r>
        <w:rPr>
          <w:rFonts w:hint="eastAsia" w:ascii="宋体" w:hAnsi="宋体" w:cs="宋体"/>
          <w:kern w:val="0"/>
          <w:sz w:val="24"/>
          <w:lang w:bidi="ar"/>
        </w:rPr>
        <w:t>万</w:t>
      </w:r>
      <w:r>
        <w:rPr>
          <w:rFonts w:hint="eastAsia" w:ascii="宋体" w:hAnsi="宋体" w:cs="宋体"/>
          <w:bCs/>
          <w:sz w:val="24"/>
        </w:rPr>
        <w:t>元（人民币）</w:t>
      </w:r>
    </w:p>
    <w:p w14:paraId="38B64B4F">
      <w:pPr>
        <w:spacing w:line="360" w:lineRule="auto"/>
        <w:ind w:firstLine="482" w:firstLineChars="200"/>
        <w:rPr>
          <w:rFonts w:hint="eastAsia" w:ascii="宋体" w:hAnsi="宋体" w:cs="宋体"/>
          <w:sz w:val="24"/>
          <w:shd w:val="clear" w:color="auto" w:fill="FFFFFF" w:themeFill="background1"/>
        </w:rPr>
      </w:pPr>
      <w:r>
        <w:rPr>
          <w:rFonts w:hint="eastAsia" w:ascii="宋体" w:hAnsi="宋体" w:cs="宋体"/>
          <w:b/>
          <w:sz w:val="24"/>
        </w:rPr>
        <w:t>采购需求</w:t>
      </w:r>
      <w:r>
        <w:rPr>
          <w:rFonts w:hint="eastAsia" w:ascii="宋体" w:hAnsi="宋体" w:cs="宋体"/>
          <w:bCs/>
          <w:sz w:val="24"/>
        </w:rPr>
        <w:t>：本项目共一个标项，</w:t>
      </w:r>
      <w:r>
        <w:rPr>
          <w:rFonts w:hint="eastAsia" w:ascii="宋体" w:hAnsi="宋体" w:cs="宋体"/>
          <w:sz w:val="24"/>
        </w:rPr>
        <w:t>标的内容具体如下</w:t>
      </w:r>
      <w:r>
        <w:rPr>
          <w:rFonts w:hint="eastAsia" w:ascii="宋体" w:hAnsi="宋体" w:cs="宋体"/>
          <w:sz w:val="24"/>
          <w:shd w:val="clear" w:color="auto" w:fill="FFFFFF" w:themeFill="background1"/>
        </w:rPr>
        <w:t>（标‘●’为核心产品）：</w:t>
      </w:r>
    </w:p>
    <w:tbl>
      <w:tblPr>
        <w:tblStyle w:val="35"/>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50"/>
        <w:gridCol w:w="1158"/>
        <w:gridCol w:w="3855"/>
        <w:gridCol w:w="1150"/>
        <w:gridCol w:w="1088"/>
        <w:gridCol w:w="1088"/>
      </w:tblGrid>
      <w:tr w14:paraId="2895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9" w:hRule="atLeast"/>
          <w:jc w:val="center"/>
        </w:trPr>
        <w:tc>
          <w:tcPr>
            <w:tcW w:w="1050" w:type="dxa"/>
            <w:shd w:val="clear" w:color="auto" w:fill="FFFFFF"/>
            <w:noWrap/>
            <w:vAlign w:val="center"/>
          </w:tcPr>
          <w:p w14:paraId="7EEB9694">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标项号及名称</w:t>
            </w:r>
          </w:p>
        </w:tc>
        <w:tc>
          <w:tcPr>
            <w:tcW w:w="1158" w:type="dxa"/>
            <w:shd w:val="clear" w:color="auto" w:fill="FFFFFF"/>
            <w:noWrap/>
            <w:vAlign w:val="center"/>
          </w:tcPr>
          <w:p w14:paraId="14C5B2BE">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序号</w:t>
            </w:r>
          </w:p>
        </w:tc>
        <w:tc>
          <w:tcPr>
            <w:tcW w:w="3855" w:type="dxa"/>
            <w:shd w:val="clear" w:color="auto" w:fill="FFFFFF"/>
            <w:vAlign w:val="center"/>
          </w:tcPr>
          <w:p w14:paraId="1EDF5C39">
            <w:pPr>
              <w:widowControl/>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内容</w:t>
            </w:r>
          </w:p>
        </w:tc>
        <w:tc>
          <w:tcPr>
            <w:tcW w:w="1150" w:type="dxa"/>
            <w:shd w:val="clear" w:color="auto" w:fill="FFFFFF"/>
            <w:vAlign w:val="center"/>
          </w:tcPr>
          <w:p w14:paraId="410240D9">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数量</w:t>
            </w:r>
            <w:r>
              <w:rPr>
                <w:rFonts w:hint="eastAsia" w:cs="Times New Roman"/>
                <w:kern w:val="0"/>
                <w:szCs w:val="21"/>
                <w:lang w:eastAsia="zh-CN" w:bidi="ar"/>
              </w:rPr>
              <w:t>（</w:t>
            </w:r>
            <w:r>
              <w:rPr>
                <w:rFonts w:hint="eastAsia" w:ascii="Times New Roman" w:hAnsi="Times New Roman" w:cs="Times New Roman"/>
                <w:kern w:val="0"/>
                <w:szCs w:val="21"/>
                <w:lang w:bidi="ar"/>
              </w:rPr>
              <w:t>个、件、套</w:t>
            </w:r>
            <w:r>
              <w:rPr>
                <w:rFonts w:hint="eastAsia" w:cs="Times New Roman"/>
                <w:kern w:val="0"/>
                <w:szCs w:val="21"/>
                <w:lang w:eastAsia="zh-CN" w:bidi="ar"/>
              </w:rPr>
              <w:t>）</w:t>
            </w:r>
          </w:p>
        </w:tc>
        <w:tc>
          <w:tcPr>
            <w:tcW w:w="1088" w:type="dxa"/>
            <w:shd w:val="clear" w:color="auto" w:fill="FFFFFF"/>
            <w:vAlign w:val="center"/>
          </w:tcPr>
          <w:p w14:paraId="07ED42ED">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最高限价（万元）</w:t>
            </w:r>
          </w:p>
        </w:tc>
        <w:tc>
          <w:tcPr>
            <w:tcW w:w="1088" w:type="dxa"/>
            <w:shd w:val="clear" w:color="auto" w:fill="FFFFFF"/>
            <w:vAlign w:val="center"/>
          </w:tcPr>
          <w:p w14:paraId="60DB256F">
            <w:pPr>
              <w:widowControl/>
              <w:jc w:val="center"/>
              <w:textAlignment w:val="center"/>
              <w:rPr>
                <w:rFonts w:hint="eastAsia" w:ascii="Times New Roman" w:hAnsi="Times New Roman" w:cs="Times New Roman"/>
                <w:szCs w:val="21"/>
                <w:lang w:val="en-US" w:eastAsia="zh-CN"/>
              </w:rPr>
            </w:pPr>
            <w:r>
              <w:rPr>
                <w:rFonts w:hint="eastAsia" w:ascii="宋体" w:hAnsi="宋体" w:cs="宋体"/>
                <w:kern w:val="0"/>
                <w:szCs w:val="21"/>
                <w:lang w:bidi="ar"/>
              </w:rPr>
              <w:t>备注</w:t>
            </w:r>
          </w:p>
        </w:tc>
      </w:tr>
      <w:tr w14:paraId="6BAA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restart"/>
            <w:shd w:val="clear" w:color="auto" w:fill="FFFFFF"/>
            <w:noWrap/>
            <w:vAlign w:val="center"/>
          </w:tcPr>
          <w:p w14:paraId="7BF30B0A">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一、</w:t>
            </w:r>
            <w:r>
              <w:rPr>
                <w:rFonts w:hint="default" w:ascii="Times New Roman" w:hAnsi="Times New Roman" w:cs="Times New Roman"/>
                <w:kern w:val="0"/>
                <w:szCs w:val="21"/>
                <w:lang w:bidi="ar"/>
              </w:rPr>
              <w:t>破拆类二</w:t>
            </w:r>
          </w:p>
        </w:tc>
        <w:tc>
          <w:tcPr>
            <w:tcW w:w="1158" w:type="dxa"/>
            <w:shd w:val="clear" w:color="auto" w:fill="FFFFFF"/>
            <w:noWrap/>
            <w:vAlign w:val="center"/>
          </w:tcPr>
          <w:p w14:paraId="4DF4CFF8">
            <w:pPr>
              <w:widowControl/>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c>
          <w:tcPr>
            <w:tcW w:w="3855" w:type="dxa"/>
            <w:shd w:val="clear" w:color="auto" w:fill="FFFFFF"/>
            <w:vAlign w:val="center"/>
          </w:tcPr>
          <w:p w14:paraId="1095F6E0">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环锯</w:t>
            </w:r>
          </w:p>
        </w:tc>
        <w:tc>
          <w:tcPr>
            <w:tcW w:w="1150" w:type="dxa"/>
            <w:shd w:val="clear" w:color="auto" w:fill="FFFFFF"/>
            <w:vAlign w:val="center"/>
          </w:tcPr>
          <w:p w14:paraId="0343106B">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88" w:type="dxa"/>
            <w:vMerge w:val="restart"/>
            <w:shd w:val="clear" w:color="auto" w:fill="FFFFFF"/>
            <w:vAlign w:val="center"/>
          </w:tcPr>
          <w:p w14:paraId="2EB73F3A">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130.187</w:t>
            </w:r>
          </w:p>
        </w:tc>
        <w:tc>
          <w:tcPr>
            <w:tcW w:w="1088" w:type="dxa"/>
            <w:vMerge w:val="restart"/>
            <w:shd w:val="clear" w:color="auto" w:fill="FFFFFF"/>
            <w:vAlign w:val="center"/>
          </w:tcPr>
          <w:p w14:paraId="55EB0796">
            <w:pPr>
              <w:widowControl/>
              <w:jc w:val="center"/>
              <w:textAlignment w:val="center"/>
              <w:rPr>
                <w:rFonts w:hint="default" w:ascii="Times New Roman" w:hAnsi="Times New Roman" w:cs="Times New Roman"/>
                <w:szCs w:val="21"/>
              </w:rPr>
            </w:pPr>
            <w:r>
              <w:rPr>
                <w:rFonts w:hint="eastAsia" w:ascii="宋体" w:hAnsi="宋体" w:cs="宋体"/>
                <w:kern w:val="0"/>
                <w:szCs w:val="21"/>
                <w:lang w:bidi="ar"/>
              </w:rPr>
              <w:t>详见招标内容及需求</w:t>
            </w:r>
          </w:p>
        </w:tc>
      </w:tr>
      <w:tr w14:paraId="1D4A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5EC531C9">
            <w:pPr>
              <w:jc w:val="center"/>
              <w:textAlignment w:val="center"/>
              <w:rPr>
                <w:rFonts w:hint="default" w:ascii="Times New Roman" w:hAnsi="Times New Roman" w:cs="Times New Roman"/>
                <w:szCs w:val="21"/>
              </w:rPr>
            </w:pPr>
          </w:p>
        </w:tc>
        <w:tc>
          <w:tcPr>
            <w:tcW w:w="1158" w:type="dxa"/>
            <w:shd w:val="clear" w:color="auto" w:fill="FFFFFF"/>
            <w:noWrap/>
            <w:vAlign w:val="center"/>
          </w:tcPr>
          <w:p w14:paraId="0AC0FF09">
            <w:pPr>
              <w:widowControl/>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p>
        </w:tc>
        <w:tc>
          <w:tcPr>
            <w:tcW w:w="3855" w:type="dxa"/>
            <w:shd w:val="clear" w:color="auto" w:fill="FFFFFF"/>
            <w:vAlign w:val="center"/>
          </w:tcPr>
          <w:p w14:paraId="7DA4FAA2">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机动链锯</w:t>
            </w:r>
          </w:p>
        </w:tc>
        <w:tc>
          <w:tcPr>
            <w:tcW w:w="1150" w:type="dxa"/>
            <w:shd w:val="clear" w:color="auto" w:fill="FFFFFF"/>
            <w:vAlign w:val="center"/>
          </w:tcPr>
          <w:p w14:paraId="09F1D152">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088" w:type="dxa"/>
            <w:vMerge w:val="continue"/>
            <w:shd w:val="clear" w:color="auto" w:fill="FFFFFF"/>
            <w:vAlign w:val="center"/>
          </w:tcPr>
          <w:p w14:paraId="7F75E73E">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7BCF8F70">
            <w:pPr>
              <w:widowControl/>
              <w:jc w:val="center"/>
              <w:textAlignment w:val="center"/>
              <w:rPr>
                <w:rFonts w:hint="default" w:ascii="Times New Roman" w:hAnsi="Times New Roman" w:cs="Times New Roman"/>
                <w:szCs w:val="21"/>
              </w:rPr>
            </w:pPr>
          </w:p>
        </w:tc>
      </w:tr>
      <w:tr w14:paraId="7E89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399060D3">
            <w:pPr>
              <w:widowControl/>
              <w:jc w:val="center"/>
              <w:textAlignment w:val="center"/>
              <w:rPr>
                <w:rFonts w:hint="default" w:ascii="Times New Roman" w:hAnsi="Times New Roman" w:cs="Times New Roman"/>
                <w:szCs w:val="21"/>
              </w:rPr>
            </w:pPr>
          </w:p>
        </w:tc>
        <w:tc>
          <w:tcPr>
            <w:tcW w:w="1158" w:type="dxa"/>
            <w:shd w:val="clear" w:color="auto" w:fill="FFFFFF"/>
            <w:noWrap/>
            <w:vAlign w:val="center"/>
          </w:tcPr>
          <w:p w14:paraId="4DD52902">
            <w:pPr>
              <w:widowControl/>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w:t>
            </w:r>
          </w:p>
        </w:tc>
        <w:tc>
          <w:tcPr>
            <w:tcW w:w="3855" w:type="dxa"/>
            <w:shd w:val="clear" w:color="auto" w:fill="FFFFFF"/>
            <w:vAlign w:val="center"/>
          </w:tcPr>
          <w:p w14:paraId="1A76A86E">
            <w:pPr>
              <w:keepNext w:val="0"/>
              <w:keepLines w:val="0"/>
              <w:widowControl/>
              <w:suppressLineNumbers w:val="0"/>
              <w:jc w:val="left"/>
              <w:textAlignment w:val="center"/>
              <w:rPr>
                <w:rFonts w:hint="default" w:ascii="Times New Roman" w:hAnsi="Times New Roman" w:cs="Times New Roman"/>
                <w:sz w:val="21"/>
                <w:szCs w:val="21"/>
                <w:highlight w:val="yellow"/>
              </w:rPr>
            </w:pPr>
            <w:r>
              <w:rPr>
                <w:rFonts w:hint="default" w:ascii="Times New Roman" w:hAnsi="Times New Roman" w:eastAsia="宋体" w:cs="Times New Roman"/>
                <w:i w:val="0"/>
                <w:iCs w:val="0"/>
                <w:color w:val="000000"/>
                <w:kern w:val="0"/>
                <w:sz w:val="21"/>
                <w:szCs w:val="21"/>
                <w:u w:val="none"/>
                <w:lang w:val="en-US" w:eastAsia="zh-CN" w:bidi="ar"/>
              </w:rPr>
              <w:t>无齿锯</w:t>
            </w:r>
          </w:p>
        </w:tc>
        <w:tc>
          <w:tcPr>
            <w:tcW w:w="1150" w:type="dxa"/>
            <w:shd w:val="clear" w:color="auto" w:fill="FFFFFF"/>
            <w:vAlign w:val="center"/>
          </w:tcPr>
          <w:p w14:paraId="1EBB0A5F">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8" w:type="dxa"/>
            <w:vMerge w:val="continue"/>
            <w:shd w:val="clear" w:color="auto" w:fill="FFFFFF"/>
            <w:vAlign w:val="center"/>
          </w:tcPr>
          <w:p w14:paraId="6DF4C4DA">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2EEE0EBA">
            <w:pPr>
              <w:widowControl/>
              <w:jc w:val="center"/>
              <w:textAlignment w:val="center"/>
              <w:rPr>
                <w:rFonts w:hint="default" w:ascii="Times New Roman" w:hAnsi="Times New Roman" w:cs="Times New Roman"/>
                <w:szCs w:val="21"/>
              </w:rPr>
            </w:pPr>
          </w:p>
        </w:tc>
      </w:tr>
      <w:tr w14:paraId="1279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253920F8">
            <w:pPr>
              <w:jc w:val="center"/>
              <w:rPr>
                <w:rFonts w:hint="default" w:ascii="Times New Roman" w:hAnsi="Times New Roman" w:cs="Times New Roman"/>
                <w:szCs w:val="21"/>
              </w:rPr>
            </w:pPr>
          </w:p>
        </w:tc>
        <w:tc>
          <w:tcPr>
            <w:tcW w:w="1158" w:type="dxa"/>
            <w:shd w:val="clear" w:color="auto" w:fill="FFFFFF"/>
            <w:noWrap/>
            <w:vAlign w:val="center"/>
          </w:tcPr>
          <w:p w14:paraId="30B216CF">
            <w:pPr>
              <w:widowControl/>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p>
        </w:tc>
        <w:tc>
          <w:tcPr>
            <w:tcW w:w="3855" w:type="dxa"/>
            <w:shd w:val="clear" w:color="auto" w:fill="FFFFFF"/>
            <w:vAlign w:val="center"/>
          </w:tcPr>
          <w:p w14:paraId="6A9AA945">
            <w:pPr>
              <w:keepNext w:val="0"/>
              <w:keepLines w:val="0"/>
              <w:widowControl/>
              <w:suppressLineNumbers w:val="0"/>
              <w:jc w:val="left"/>
              <w:textAlignment w:val="center"/>
              <w:rPr>
                <w:rFonts w:hint="default" w:ascii="Times New Roman" w:hAnsi="Times New Roman" w:cs="Times New Roman"/>
                <w:sz w:val="21"/>
                <w:szCs w:val="21"/>
                <w:highlight w:val="yellow"/>
              </w:rPr>
            </w:pPr>
            <w:r>
              <w:rPr>
                <w:rFonts w:hint="default" w:ascii="Times New Roman" w:hAnsi="Times New Roman" w:eastAsia="宋体" w:cs="Times New Roman"/>
                <w:i w:val="0"/>
                <w:iCs w:val="0"/>
                <w:color w:val="000000"/>
                <w:kern w:val="0"/>
                <w:sz w:val="21"/>
                <w:szCs w:val="21"/>
                <w:u w:val="none"/>
                <w:lang w:val="en-US" w:eastAsia="zh-CN" w:bidi="ar"/>
              </w:rPr>
              <w:t>油锯</w:t>
            </w:r>
          </w:p>
        </w:tc>
        <w:tc>
          <w:tcPr>
            <w:tcW w:w="1150" w:type="dxa"/>
            <w:shd w:val="clear" w:color="auto" w:fill="FFFFFF"/>
            <w:vAlign w:val="center"/>
          </w:tcPr>
          <w:p w14:paraId="335F7A4F">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88" w:type="dxa"/>
            <w:vMerge w:val="continue"/>
            <w:shd w:val="clear" w:color="auto" w:fill="FFFFFF"/>
            <w:vAlign w:val="center"/>
          </w:tcPr>
          <w:p w14:paraId="3CAAE067">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5FDD97D7">
            <w:pPr>
              <w:widowControl/>
              <w:jc w:val="center"/>
              <w:textAlignment w:val="center"/>
              <w:rPr>
                <w:rFonts w:hint="default" w:ascii="Times New Roman" w:hAnsi="Times New Roman" w:cs="Times New Roman"/>
                <w:szCs w:val="21"/>
              </w:rPr>
            </w:pPr>
          </w:p>
        </w:tc>
      </w:tr>
      <w:tr w14:paraId="0F67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1EF4FC28">
            <w:pPr>
              <w:jc w:val="center"/>
              <w:rPr>
                <w:rFonts w:hint="default" w:ascii="Times New Roman" w:hAnsi="Times New Roman" w:cs="Times New Roman"/>
                <w:szCs w:val="21"/>
              </w:rPr>
            </w:pPr>
          </w:p>
        </w:tc>
        <w:tc>
          <w:tcPr>
            <w:tcW w:w="1158" w:type="dxa"/>
            <w:shd w:val="clear" w:color="auto" w:fill="FFFFFF"/>
            <w:noWrap/>
            <w:vAlign w:val="center"/>
          </w:tcPr>
          <w:p w14:paraId="5FE17793">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5</w:t>
            </w:r>
          </w:p>
        </w:tc>
        <w:tc>
          <w:tcPr>
            <w:tcW w:w="3855" w:type="dxa"/>
            <w:shd w:val="clear" w:color="auto" w:fill="FFFFFF"/>
            <w:vAlign w:val="center"/>
          </w:tcPr>
          <w:p w14:paraId="3682908C">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电动无齿锯</w:t>
            </w:r>
          </w:p>
        </w:tc>
        <w:tc>
          <w:tcPr>
            <w:tcW w:w="1150" w:type="dxa"/>
            <w:shd w:val="clear" w:color="auto" w:fill="FFFFFF"/>
            <w:vAlign w:val="center"/>
          </w:tcPr>
          <w:p w14:paraId="12F11A4D">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88" w:type="dxa"/>
            <w:vMerge w:val="continue"/>
            <w:shd w:val="clear" w:color="auto" w:fill="FFFFFF"/>
            <w:vAlign w:val="center"/>
          </w:tcPr>
          <w:p w14:paraId="73569BA0">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1B8733C3">
            <w:pPr>
              <w:widowControl/>
              <w:jc w:val="center"/>
              <w:textAlignment w:val="center"/>
              <w:rPr>
                <w:rFonts w:hint="default" w:ascii="Times New Roman" w:hAnsi="Times New Roman" w:cs="Times New Roman"/>
                <w:szCs w:val="21"/>
              </w:rPr>
            </w:pPr>
          </w:p>
        </w:tc>
      </w:tr>
      <w:tr w14:paraId="5270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61C77774">
            <w:pPr>
              <w:jc w:val="center"/>
              <w:rPr>
                <w:rFonts w:hint="default" w:ascii="Times New Roman" w:hAnsi="Times New Roman" w:cs="Times New Roman"/>
                <w:szCs w:val="21"/>
              </w:rPr>
            </w:pPr>
          </w:p>
        </w:tc>
        <w:tc>
          <w:tcPr>
            <w:tcW w:w="1158" w:type="dxa"/>
            <w:shd w:val="clear" w:color="auto" w:fill="FFFFFF"/>
            <w:noWrap/>
            <w:vAlign w:val="center"/>
          </w:tcPr>
          <w:p w14:paraId="6FD85FD2">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6</w:t>
            </w:r>
          </w:p>
        </w:tc>
        <w:tc>
          <w:tcPr>
            <w:tcW w:w="3855" w:type="dxa"/>
            <w:shd w:val="clear" w:color="auto" w:fill="FFFFFF"/>
            <w:vAlign w:val="center"/>
          </w:tcPr>
          <w:p w14:paraId="09C0B3F1">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电动机动链锯</w:t>
            </w:r>
          </w:p>
        </w:tc>
        <w:tc>
          <w:tcPr>
            <w:tcW w:w="1150" w:type="dxa"/>
            <w:shd w:val="clear" w:color="auto" w:fill="FFFFFF"/>
            <w:vAlign w:val="center"/>
          </w:tcPr>
          <w:p w14:paraId="5EB1E44C">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88" w:type="dxa"/>
            <w:vMerge w:val="continue"/>
            <w:shd w:val="clear" w:color="auto" w:fill="FFFFFF"/>
            <w:vAlign w:val="center"/>
          </w:tcPr>
          <w:p w14:paraId="7D84598D">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5F5056A4">
            <w:pPr>
              <w:widowControl/>
              <w:jc w:val="center"/>
              <w:textAlignment w:val="center"/>
              <w:rPr>
                <w:rFonts w:hint="default" w:ascii="Times New Roman" w:hAnsi="Times New Roman" w:cs="Times New Roman"/>
                <w:szCs w:val="21"/>
              </w:rPr>
            </w:pPr>
          </w:p>
        </w:tc>
      </w:tr>
      <w:tr w14:paraId="3993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481194EB">
            <w:pPr>
              <w:jc w:val="center"/>
              <w:rPr>
                <w:rFonts w:hint="default" w:ascii="Times New Roman" w:hAnsi="Times New Roman" w:cs="Times New Roman"/>
                <w:szCs w:val="21"/>
              </w:rPr>
            </w:pPr>
          </w:p>
        </w:tc>
        <w:tc>
          <w:tcPr>
            <w:tcW w:w="1158" w:type="dxa"/>
            <w:shd w:val="clear" w:color="auto" w:fill="FFFFFF"/>
            <w:noWrap/>
            <w:vAlign w:val="center"/>
          </w:tcPr>
          <w:p w14:paraId="06DAF7BA">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7</w:t>
            </w:r>
          </w:p>
        </w:tc>
        <w:tc>
          <w:tcPr>
            <w:tcW w:w="3855" w:type="dxa"/>
            <w:shd w:val="clear" w:color="auto" w:fill="FFFFFF"/>
            <w:vAlign w:val="center"/>
          </w:tcPr>
          <w:p w14:paraId="2A95FEAF">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电动剪扩钳</w:t>
            </w:r>
          </w:p>
        </w:tc>
        <w:tc>
          <w:tcPr>
            <w:tcW w:w="1150" w:type="dxa"/>
            <w:shd w:val="clear" w:color="auto" w:fill="FFFFFF"/>
            <w:vAlign w:val="center"/>
          </w:tcPr>
          <w:p w14:paraId="3BA9C05A">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88" w:type="dxa"/>
            <w:vMerge w:val="continue"/>
            <w:shd w:val="clear" w:color="auto" w:fill="FFFFFF"/>
            <w:vAlign w:val="center"/>
          </w:tcPr>
          <w:p w14:paraId="4174DD55">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434A2A64">
            <w:pPr>
              <w:widowControl/>
              <w:jc w:val="center"/>
              <w:textAlignment w:val="center"/>
              <w:rPr>
                <w:rFonts w:hint="default" w:ascii="Times New Roman" w:hAnsi="Times New Roman" w:cs="Times New Roman"/>
                <w:szCs w:val="21"/>
              </w:rPr>
            </w:pPr>
          </w:p>
        </w:tc>
      </w:tr>
      <w:tr w14:paraId="5DF9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56AD9CCC">
            <w:pPr>
              <w:jc w:val="center"/>
              <w:rPr>
                <w:rFonts w:hint="default" w:ascii="Times New Roman" w:hAnsi="Times New Roman" w:cs="Times New Roman"/>
                <w:szCs w:val="21"/>
              </w:rPr>
            </w:pPr>
          </w:p>
        </w:tc>
        <w:tc>
          <w:tcPr>
            <w:tcW w:w="1158" w:type="dxa"/>
            <w:shd w:val="clear" w:color="auto" w:fill="FFFFFF"/>
            <w:noWrap/>
            <w:vAlign w:val="center"/>
          </w:tcPr>
          <w:p w14:paraId="226D71A3">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8</w:t>
            </w:r>
          </w:p>
        </w:tc>
        <w:tc>
          <w:tcPr>
            <w:tcW w:w="3855" w:type="dxa"/>
            <w:shd w:val="clear" w:color="auto" w:fill="FFFFFF"/>
            <w:vAlign w:val="center"/>
          </w:tcPr>
          <w:p w14:paraId="7DCA346A">
            <w:pPr>
              <w:keepNext w:val="0"/>
              <w:keepLines w:val="0"/>
              <w:widowControl/>
              <w:suppressLineNumbers w:val="0"/>
              <w:jc w:val="left"/>
              <w:textAlignment w:val="center"/>
              <w:rPr>
                <w:rFonts w:hint="default" w:ascii="Times New Roman" w:hAnsi="Times New Roman" w:cs="Times New Roman"/>
                <w:color w:val="auto"/>
                <w:sz w:val="21"/>
                <w:szCs w:val="21"/>
              </w:rPr>
            </w:pPr>
            <w:r>
              <w:rPr>
                <w:rFonts w:hint="eastAsia" w:ascii="宋体" w:hAnsi="宋体" w:cs="宋体"/>
                <w:b/>
                <w:bCs/>
                <w:color w:val="auto"/>
                <w:sz w:val="24"/>
              </w:rPr>
              <w:t>●</w:t>
            </w:r>
            <w:r>
              <w:rPr>
                <w:rFonts w:hint="default" w:ascii="Times New Roman" w:hAnsi="Times New Roman" w:eastAsia="宋体" w:cs="Times New Roman"/>
                <w:i w:val="0"/>
                <w:iCs w:val="0"/>
                <w:color w:val="auto"/>
                <w:kern w:val="0"/>
                <w:sz w:val="21"/>
                <w:szCs w:val="21"/>
                <w:u w:val="none"/>
                <w:lang w:val="en-US" w:eastAsia="zh-CN" w:bidi="ar"/>
              </w:rPr>
              <w:t>高频破拆工具组（含圆锯、链锯、钻孔功能）</w:t>
            </w:r>
          </w:p>
        </w:tc>
        <w:tc>
          <w:tcPr>
            <w:tcW w:w="1150" w:type="dxa"/>
            <w:shd w:val="clear" w:color="auto" w:fill="FFFFFF"/>
            <w:vAlign w:val="center"/>
          </w:tcPr>
          <w:p w14:paraId="5AC35A17">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continue"/>
            <w:shd w:val="clear" w:color="auto" w:fill="FFFFFF"/>
            <w:vAlign w:val="center"/>
          </w:tcPr>
          <w:p w14:paraId="00CD88A5">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549698BA">
            <w:pPr>
              <w:widowControl/>
              <w:jc w:val="center"/>
              <w:textAlignment w:val="center"/>
              <w:rPr>
                <w:rFonts w:hint="default" w:ascii="Times New Roman" w:hAnsi="Times New Roman" w:cs="Times New Roman"/>
                <w:szCs w:val="21"/>
              </w:rPr>
            </w:pPr>
          </w:p>
        </w:tc>
      </w:tr>
      <w:tr w14:paraId="3F56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7D6CA202">
            <w:pPr>
              <w:jc w:val="center"/>
              <w:rPr>
                <w:rFonts w:hint="default" w:ascii="Times New Roman" w:hAnsi="Times New Roman" w:cs="Times New Roman"/>
                <w:szCs w:val="21"/>
              </w:rPr>
            </w:pPr>
          </w:p>
        </w:tc>
        <w:tc>
          <w:tcPr>
            <w:tcW w:w="1158" w:type="dxa"/>
            <w:shd w:val="clear" w:color="auto" w:fill="FFFFFF"/>
            <w:noWrap/>
            <w:vAlign w:val="center"/>
          </w:tcPr>
          <w:p w14:paraId="4008CB81">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9</w:t>
            </w:r>
          </w:p>
        </w:tc>
        <w:tc>
          <w:tcPr>
            <w:tcW w:w="3855" w:type="dxa"/>
            <w:shd w:val="clear" w:color="auto" w:fill="FFFFFF"/>
            <w:vAlign w:val="center"/>
          </w:tcPr>
          <w:p w14:paraId="6B68BEBA">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混凝土液压破拆工具组</w:t>
            </w:r>
          </w:p>
        </w:tc>
        <w:tc>
          <w:tcPr>
            <w:tcW w:w="1150" w:type="dxa"/>
            <w:shd w:val="clear" w:color="auto" w:fill="FFFFFF"/>
            <w:vAlign w:val="center"/>
          </w:tcPr>
          <w:p w14:paraId="7651E904">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continue"/>
            <w:shd w:val="clear" w:color="auto" w:fill="FFFFFF"/>
            <w:vAlign w:val="center"/>
          </w:tcPr>
          <w:p w14:paraId="0E008ADF">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0B50F75F">
            <w:pPr>
              <w:widowControl/>
              <w:jc w:val="center"/>
              <w:textAlignment w:val="center"/>
              <w:rPr>
                <w:rFonts w:hint="default" w:ascii="Times New Roman" w:hAnsi="Times New Roman" w:cs="Times New Roman"/>
                <w:szCs w:val="21"/>
              </w:rPr>
            </w:pPr>
          </w:p>
        </w:tc>
      </w:tr>
      <w:tr w14:paraId="12E6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2187B29C">
            <w:pPr>
              <w:jc w:val="center"/>
              <w:rPr>
                <w:rFonts w:hint="default" w:ascii="Times New Roman" w:hAnsi="Times New Roman" w:cs="Times New Roman"/>
                <w:szCs w:val="21"/>
              </w:rPr>
            </w:pPr>
          </w:p>
        </w:tc>
        <w:tc>
          <w:tcPr>
            <w:tcW w:w="1158" w:type="dxa"/>
            <w:shd w:val="clear" w:color="auto" w:fill="FFFFFF"/>
            <w:noWrap/>
            <w:vAlign w:val="center"/>
          </w:tcPr>
          <w:p w14:paraId="38975496">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10</w:t>
            </w:r>
          </w:p>
        </w:tc>
        <w:tc>
          <w:tcPr>
            <w:tcW w:w="3855" w:type="dxa"/>
            <w:shd w:val="clear" w:color="auto" w:fill="FFFFFF"/>
            <w:vAlign w:val="center"/>
          </w:tcPr>
          <w:p w14:paraId="4FA51C62">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双轮异向切割锯</w:t>
            </w:r>
          </w:p>
        </w:tc>
        <w:tc>
          <w:tcPr>
            <w:tcW w:w="1150" w:type="dxa"/>
            <w:shd w:val="clear" w:color="auto" w:fill="FFFFFF"/>
            <w:vAlign w:val="center"/>
          </w:tcPr>
          <w:p w14:paraId="57D6BCC7">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8" w:type="dxa"/>
            <w:vMerge w:val="continue"/>
            <w:shd w:val="clear" w:color="auto" w:fill="FFFFFF"/>
            <w:vAlign w:val="center"/>
          </w:tcPr>
          <w:p w14:paraId="468431A7">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570D2401">
            <w:pPr>
              <w:widowControl/>
              <w:jc w:val="center"/>
              <w:textAlignment w:val="center"/>
              <w:rPr>
                <w:rFonts w:hint="default" w:ascii="Times New Roman" w:hAnsi="Times New Roman" w:cs="Times New Roman"/>
                <w:szCs w:val="21"/>
              </w:rPr>
            </w:pPr>
          </w:p>
        </w:tc>
      </w:tr>
      <w:tr w14:paraId="1ACB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7FCFD801">
            <w:pPr>
              <w:jc w:val="center"/>
              <w:rPr>
                <w:rFonts w:hint="default" w:ascii="Times New Roman" w:hAnsi="Times New Roman" w:cs="Times New Roman"/>
                <w:szCs w:val="21"/>
              </w:rPr>
            </w:pPr>
          </w:p>
        </w:tc>
        <w:tc>
          <w:tcPr>
            <w:tcW w:w="1158" w:type="dxa"/>
            <w:shd w:val="clear" w:color="auto" w:fill="FFFFFF"/>
            <w:noWrap/>
            <w:vAlign w:val="center"/>
          </w:tcPr>
          <w:p w14:paraId="6EFE0F3A">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11</w:t>
            </w:r>
          </w:p>
        </w:tc>
        <w:tc>
          <w:tcPr>
            <w:tcW w:w="3855" w:type="dxa"/>
            <w:shd w:val="clear" w:color="auto" w:fill="FFFFFF"/>
            <w:vAlign w:val="center"/>
          </w:tcPr>
          <w:p w14:paraId="6836C99E">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凿岩机</w:t>
            </w:r>
          </w:p>
        </w:tc>
        <w:tc>
          <w:tcPr>
            <w:tcW w:w="1150" w:type="dxa"/>
            <w:shd w:val="clear" w:color="auto" w:fill="FFFFFF"/>
            <w:vAlign w:val="center"/>
          </w:tcPr>
          <w:p w14:paraId="51998C41">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continue"/>
            <w:shd w:val="clear" w:color="auto" w:fill="FFFFFF"/>
            <w:vAlign w:val="center"/>
          </w:tcPr>
          <w:p w14:paraId="13D114C6">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0F4F4ED3">
            <w:pPr>
              <w:widowControl/>
              <w:jc w:val="center"/>
              <w:textAlignment w:val="center"/>
              <w:rPr>
                <w:rFonts w:hint="default" w:ascii="Times New Roman" w:hAnsi="Times New Roman" w:cs="Times New Roman"/>
                <w:szCs w:val="21"/>
              </w:rPr>
            </w:pPr>
          </w:p>
        </w:tc>
      </w:tr>
      <w:tr w14:paraId="3B09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01644B2C">
            <w:pPr>
              <w:jc w:val="center"/>
              <w:rPr>
                <w:rFonts w:hint="default" w:ascii="Times New Roman" w:hAnsi="Times New Roman" w:cs="Times New Roman"/>
                <w:szCs w:val="21"/>
              </w:rPr>
            </w:pPr>
          </w:p>
        </w:tc>
        <w:tc>
          <w:tcPr>
            <w:tcW w:w="1158" w:type="dxa"/>
            <w:shd w:val="clear" w:color="auto" w:fill="FFFFFF"/>
            <w:noWrap/>
            <w:vAlign w:val="center"/>
          </w:tcPr>
          <w:p w14:paraId="0F10D875">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12</w:t>
            </w:r>
          </w:p>
        </w:tc>
        <w:tc>
          <w:tcPr>
            <w:tcW w:w="3855" w:type="dxa"/>
            <w:shd w:val="clear" w:color="auto" w:fill="FFFFFF"/>
            <w:vAlign w:val="center"/>
          </w:tcPr>
          <w:p w14:paraId="112BFD68">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玻璃破碎器</w:t>
            </w:r>
          </w:p>
        </w:tc>
        <w:tc>
          <w:tcPr>
            <w:tcW w:w="1150" w:type="dxa"/>
            <w:shd w:val="clear" w:color="auto" w:fill="FFFFFF"/>
            <w:vAlign w:val="center"/>
          </w:tcPr>
          <w:p w14:paraId="130A5005">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8" w:type="dxa"/>
            <w:vMerge w:val="continue"/>
            <w:shd w:val="clear" w:color="auto" w:fill="FFFFFF"/>
            <w:vAlign w:val="center"/>
          </w:tcPr>
          <w:p w14:paraId="35DC6077">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06F92A45">
            <w:pPr>
              <w:widowControl/>
              <w:jc w:val="center"/>
              <w:textAlignment w:val="center"/>
              <w:rPr>
                <w:rFonts w:hint="default" w:ascii="Times New Roman" w:hAnsi="Times New Roman" w:cs="Times New Roman"/>
                <w:szCs w:val="21"/>
              </w:rPr>
            </w:pPr>
          </w:p>
        </w:tc>
      </w:tr>
      <w:tr w14:paraId="5909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6425F4DB">
            <w:pPr>
              <w:jc w:val="center"/>
              <w:rPr>
                <w:rFonts w:hint="default" w:ascii="Times New Roman" w:hAnsi="Times New Roman" w:cs="Times New Roman"/>
                <w:szCs w:val="21"/>
              </w:rPr>
            </w:pPr>
          </w:p>
        </w:tc>
        <w:tc>
          <w:tcPr>
            <w:tcW w:w="1158" w:type="dxa"/>
            <w:shd w:val="clear" w:color="auto" w:fill="FFFFFF"/>
            <w:noWrap/>
            <w:vAlign w:val="center"/>
          </w:tcPr>
          <w:p w14:paraId="598EB79F">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13</w:t>
            </w:r>
          </w:p>
        </w:tc>
        <w:tc>
          <w:tcPr>
            <w:tcW w:w="3855" w:type="dxa"/>
            <w:shd w:val="clear" w:color="auto" w:fill="FFFFFF"/>
            <w:vAlign w:val="center"/>
          </w:tcPr>
          <w:p w14:paraId="0B10F6AA">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手持式钢筋速断器</w:t>
            </w:r>
          </w:p>
        </w:tc>
        <w:tc>
          <w:tcPr>
            <w:tcW w:w="1150" w:type="dxa"/>
            <w:shd w:val="clear" w:color="auto" w:fill="FFFFFF"/>
            <w:vAlign w:val="center"/>
          </w:tcPr>
          <w:p w14:paraId="503F8476">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88" w:type="dxa"/>
            <w:vMerge w:val="continue"/>
            <w:shd w:val="clear" w:color="auto" w:fill="FFFFFF"/>
            <w:vAlign w:val="center"/>
          </w:tcPr>
          <w:p w14:paraId="53663D9D">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78F8B03F">
            <w:pPr>
              <w:widowControl/>
              <w:jc w:val="center"/>
              <w:textAlignment w:val="center"/>
              <w:rPr>
                <w:rFonts w:hint="default" w:ascii="Times New Roman" w:hAnsi="Times New Roman" w:cs="Times New Roman"/>
                <w:szCs w:val="21"/>
              </w:rPr>
            </w:pPr>
          </w:p>
        </w:tc>
      </w:tr>
      <w:tr w14:paraId="5B27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16240313">
            <w:pPr>
              <w:jc w:val="center"/>
              <w:rPr>
                <w:rFonts w:hint="default" w:ascii="Times New Roman" w:hAnsi="Times New Roman" w:cs="Times New Roman"/>
                <w:szCs w:val="21"/>
              </w:rPr>
            </w:pPr>
          </w:p>
        </w:tc>
        <w:tc>
          <w:tcPr>
            <w:tcW w:w="1158" w:type="dxa"/>
            <w:shd w:val="clear" w:color="auto" w:fill="FFFFFF"/>
            <w:noWrap/>
            <w:vAlign w:val="center"/>
          </w:tcPr>
          <w:p w14:paraId="7B6E276B">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14</w:t>
            </w:r>
          </w:p>
        </w:tc>
        <w:tc>
          <w:tcPr>
            <w:tcW w:w="3855" w:type="dxa"/>
            <w:shd w:val="clear" w:color="auto" w:fill="FFFFFF"/>
            <w:vAlign w:val="center"/>
          </w:tcPr>
          <w:p w14:paraId="6DBA06CC">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液压开门器</w:t>
            </w:r>
          </w:p>
        </w:tc>
        <w:tc>
          <w:tcPr>
            <w:tcW w:w="1150" w:type="dxa"/>
            <w:shd w:val="clear" w:color="auto" w:fill="FFFFFF"/>
            <w:vAlign w:val="center"/>
          </w:tcPr>
          <w:p w14:paraId="5820C5CB">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continue"/>
            <w:shd w:val="clear" w:color="auto" w:fill="FFFFFF"/>
            <w:vAlign w:val="center"/>
          </w:tcPr>
          <w:p w14:paraId="033DEA5F">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0E27125B">
            <w:pPr>
              <w:widowControl/>
              <w:jc w:val="center"/>
              <w:textAlignment w:val="center"/>
              <w:rPr>
                <w:rFonts w:hint="default" w:ascii="Times New Roman" w:hAnsi="Times New Roman" w:cs="Times New Roman"/>
                <w:szCs w:val="21"/>
              </w:rPr>
            </w:pPr>
          </w:p>
        </w:tc>
      </w:tr>
      <w:tr w14:paraId="33F4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04C754B8">
            <w:pPr>
              <w:jc w:val="center"/>
              <w:rPr>
                <w:rFonts w:hint="default" w:ascii="Times New Roman" w:hAnsi="Times New Roman" w:cs="Times New Roman"/>
                <w:szCs w:val="21"/>
              </w:rPr>
            </w:pPr>
          </w:p>
        </w:tc>
        <w:tc>
          <w:tcPr>
            <w:tcW w:w="1158" w:type="dxa"/>
            <w:shd w:val="clear" w:color="auto" w:fill="FFFFFF"/>
            <w:noWrap/>
            <w:vAlign w:val="center"/>
          </w:tcPr>
          <w:p w14:paraId="55C799AE">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15</w:t>
            </w:r>
          </w:p>
        </w:tc>
        <w:tc>
          <w:tcPr>
            <w:tcW w:w="3855" w:type="dxa"/>
            <w:shd w:val="clear" w:color="auto" w:fill="FFFFFF"/>
            <w:vAlign w:val="center"/>
          </w:tcPr>
          <w:p w14:paraId="05832BF0">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毁锁器</w:t>
            </w:r>
          </w:p>
        </w:tc>
        <w:tc>
          <w:tcPr>
            <w:tcW w:w="1150" w:type="dxa"/>
            <w:shd w:val="clear" w:color="auto" w:fill="FFFFFF"/>
            <w:vAlign w:val="center"/>
          </w:tcPr>
          <w:p w14:paraId="62ECEEEC">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88" w:type="dxa"/>
            <w:vMerge w:val="continue"/>
            <w:shd w:val="clear" w:color="auto" w:fill="FFFFFF"/>
            <w:vAlign w:val="center"/>
          </w:tcPr>
          <w:p w14:paraId="676BF993">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053FFDD3">
            <w:pPr>
              <w:widowControl/>
              <w:jc w:val="center"/>
              <w:textAlignment w:val="center"/>
              <w:rPr>
                <w:rFonts w:hint="default" w:ascii="Times New Roman" w:hAnsi="Times New Roman" w:cs="Times New Roman"/>
                <w:szCs w:val="21"/>
              </w:rPr>
            </w:pPr>
          </w:p>
        </w:tc>
      </w:tr>
      <w:tr w14:paraId="389F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49CF0E25">
            <w:pPr>
              <w:jc w:val="center"/>
              <w:rPr>
                <w:rFonts w:hint="default" w:ascii="Times New Roman" w:hAnsi="Times New Roman" w:cs="Times New Roman"/>
                <w:szCs w:val="21"/>
              </w:rPr>
            </w:pPr>
          </w:p>
        </w:tc>
        <w:tc>
          <w:tcPr>
            <w:tcW w:w="1158" w:type="dxa"/>
            <w:shd w:val="clear" w:color="auto" w:fill="FFFFFF"/>
            <w:noWrap/>
            <w:vAlign w:val="center"/>
          </w:tcPr>
          <w:p w14:paraId="7ED06539">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16</w:t>
            </w:r>
          </w:p>
        </w:tc>
        <w:tc>
          <w:tcPr>
            <w:tcW w:w="3855" w:type="dxa"/>
            <w:shd w:val="clear" w:color="auto" w:fill="FFFFFF"/>
            <w:vAlign w:val="center"/>
          </w:tcPr>
          <w:p w14:paraId="3B01C2AC">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多功能挠钩</w:t>
            </w:r>
          </w:p>
        </w:tc>
        <w:tc>
          <w:tcPr>
            <w:tcW w:w="1150" w:type="dxa"/>
            <w:shd w:val="clear" w:color="auto" w:fill="FFFFFF"/>
            <w:vAlign w:val="center"/>
          </w:tcPr>
          <w:p w14:paraId="1D8625F5">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8" w:type="dxa"/>
            <w:vMerge w:val="continue"/>
            <w:shd w:val="clear" w:color="auto" w:fill="FFFFFF"/>
            <w:vAlign w:val="center"/>
          </w:tcPr>
          <w:p w14:paraId="0BE60E98">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649FB7DB">
            <w:pPr>
              <w:widowControl/>
              <w:jc w:val="center"/>
              <w:textAlignment w:val="center"/>
              <w:rPr>
                <w:rFonts w:hint="default" w:ascii="Times New Roman" w:hAnsi="Times New Roman" w:cs="Times New Roman"/>
                <w:szCs w:val="21"/>
              </w:rPr>
            </w:pPr>
          </w:p>
        </w:tc>
      </w:tr>
      <w:tr w14:paraId="07D2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547540C5">
            <w:pPr>
              <w:jc w:val="center"/>
              <w:rPr>
                <w:rFonts w:hint="default" w:ascii="Times New Roman" w:hAnsi="Times New Roman" w:cs="Times New Roman"/>
                <w:szCs w:val="21"/>
              </w:rPr>
            </w:pPr>
          </w:p>
        </w:tc>
        <w:tc>
          <w:tcPr>
            <w:tcW w:w="1158" w:type="dxa"/>
            <w:shd w:val="clear" w:color="auto" w:fill="FFFFFF"/>
            <w:noWrap/>
            <w:vAlign w:val="center"/>
          </w:tcPr>
          <w:p w14:paraId="4515ACF9">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17</w:t>
            </w:r>
          </w:p>
        </w:tc>
        <w:tc>
          <w:tcPr>
            <w:tcW w:w="3855" w:type="dxa"/>
            <w:shd w:val="clear" w:color="auto" w:fill="FFFFFF"/>
            <w:vAlign w:val="center"/>
          </w:tcPr>
          <w:p w14:paraId="18CF4EEC">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绝缘剪断钳</w:t>
            </w:r>
          </w:p>
        </w:tc>
        <w:tc>
          <w:tcPr>
            <w:tcW w:w="1150" w:type="dxa"/>
            <w:shd w:val="clear" w:color="auto" w:fill="FFFFFF"/>
            <w:vAlign w:val="center"/>
          </w:tcPr>
          <w:p w14:paraId="75299F6F">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088" w:type="dxa"/>
            <w:vMerge w:val="continue"/>
            <w:shd w:val="clear" w:color="auto" w:fill="FFFFFF"/>
            <w:vAlign w:val="center"/>
          </w:tcPr>
          <w:p w14:paraId="45632290">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0F60DA3B">
            <w:pPr>
              <w:widowControl/>
              <w:jc w:val="center"/>
              <w:textAlignment w:val="center"/>
              <w:rPr>
                <w:rFonts w:hint="default" w:ascii="Times New Roman" w:hAnsi="Times New Roman" w:cs="Times New Roman"/>
                <w:szCs w:val="21"/>
              </w:rPr>
            </w:pPr>
          </w:p>
        </w:tc>
      </w:tr>
      <w:tr w14:paraId="17C4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0B2838DB">
            <w:pPr>
              <w:jc w:val="center"/>
              <w:rPr>
                <w:rFonts w:hint="default" w:ascii="Times New Roman" w:hAnsi="Times New Roman" w:cs="Times New Roman"/>
                <w:szCs w:val="21"/>
              </w:rPr>
            </w:pPr>
          </w:p>
        </w:tc>
        <w:tc>
          <w:tcPr>
            <w:tcW w:w="1158" w:type="dxa"/>
            <w:shd w:val="clear" w:color="auto" w:fill="FFFFFF"/>
            <w:noWrap/>
            <w:vAlign w:val="center"/>
          </w:tcPr>
          <w:p w14:paraId="0A9385A3">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18</w:t>
            </w:r>
          </w:p>
        </w:tc>
        <w:tc>
          <w:tcPr>
            <w:tcW w:w="3855" w:type="dxa"/>
            <w:shd w:val="clear" w:color="auto" w:fill="FFFFFF"/>
            <w:vAlign w:val="center"/>
          </w:tcPr>
          <w:p w14:paraId="0421BF21">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14寸拉杆斜切锯</w:t>
            </w:r>
          </w:p>
        </w:tc>
        <w:tc>
          <w:tcPr>
            <w:tcW w:w="1150" w:type="dxa"/>
            <w:shd w:val="clear" w:color="auto" w:fill="FFFFFF"/>
            <w:vAlign w:val="center"/>
          </w:tcPr>
          <w:p w14:paraId="3BAEC689">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continue"/>
            <w:shd w:val="clear" w:color="auto" w:fill="FFFFFF"/>
            <w:vAlign w:val="center"/>
          </w:tcPr>
          <w:p w14:paraId="3F828E8E">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7A1EEBC2">
            <w:pPr>
              <w:widowControl/>
              <w:jc w:val="center"/>
              <w:textAlignment w:val="center"/>
              <w:rPr>
                <w:rFonts w:hint="default" w:ascii="Times New Roman" w:hAnsi="Times New Roman" w:cs="Times New Roman"/>
                <w:szCs w:val="21"/>
              </w:rPr>
            </w:pPr>
          </w:p>
        </w:tc>
      </w:tr>
      <w:tr w14:paraId="00BD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73B567B2">
            <w:pPr>
              <w:jc w:val="center"/>
              <w:rPr>
                <w:rFonts w:hint="default" w:ascii="Times New Roman" w:hAnsi="Times New Roman" w:cs="Times New Roman"/>
                <w:szCs w:val="21"/>
              </w:rPr>
            </w:pPr>
          </w:p>
        </w:tc>
        <w:tc>
          <w:tcPr>
            <w:tcW w:w="1158" w:type="dxa"/>
            <w:shd w:val="clear" w:color="auto" w:fill="FFFFFF"/>
            <w:noWrap/>
            <w:vAlign w:val="center"/>
          </w:tcPr>
          <w:p w14:paraId="78DF9E4A">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19</w:t>
            </w:r>
          </w:p>
        </w:tc>
        <w:tc>
          <w:tcPr>
            <w:tcW w:w="3855" w:type="dxa"/>
            <w:shd w:val="clear" w:color="auto" w:fill="FFFFFF"/>
            <w:vAlign w:val="center"/>
          </w:tcPr>
          <w:p w14:paraId="151189D8">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冲击钻</w:t>
            </w:r>
          </w:p>
        </w:tc>
        <w:tc>
          <w:tcPr>
            <w:tcW w:w="1150" w:type="dxa"/>
            <w:shd w:val="clear" w:color="auto" w:fill="FFFFFF"/>
            <w:vAlign w:val="center"/>
          </w:tcPr>
          <w:p w14:paraId="40F108C2">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continue"/>
            <w:shd w:val="clear" w:color="auto" w:fill="FFFFFF"/>
            <w:vAlign w:val="center"/>
          </w:tcPr>
          <w:p w14:paraId="368D9162">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5AA23E96">
            <w:pPr>
              <w:widowControl/>
              <w:jc w:val="center"/>
              <w:textAlignment w:val="center"/>
              <w:rPr>
                <w:rFonts w:hint="default" w:ascii="Times New Roman" w:hAnsi="Times New Roman" w:cs="Times New Roman"/>
                <w:szCs w:val="21"/>
              </w:rPr>
            </w:pPr>
          </w:p>
        </w:tc>
      </w:tr>
      <w:tr w14:paraId="3A4D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510B2763">
            <w:pPr>
              <w:jc w:val="center"/>
              <w:rPr>
                <w:rFonts w:hint="default" w:ascii="Times New Roman" w:hAnsi="Times New Roman" w:cs="Times New Roman"/>
                <w:szCs w:val="21"/>
              </w:rPr>
            </w:pPr>
          </w:p>
        </w:tc>
        <w:tc>
          <w:tcPr>
            <w:tcW w:w="1158" w:type="dxa"/>
            <w:shd w:val="clear" w:color="auto" w:fill="FFFFFF"/>
            <w:noWrap/>
            <w:vAlign w:val="center"/>
          </w:tcPr>
          <w:p w14:paraId="5987DF79">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20</w:t>
            </w:r>
          </w:p>
        </w:tc>
        <w:tc>
          <w:tcPr>
            <w:tcW w:w="3855" w:type="dxa"/>
            <w:shd w:val="clear" w:color="auto" w:fill="FFFFFF"/>
            <w:vAlign w:val="center"/>
          </w:tcPr>
          <w:p w14:paraId="12DA3865">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哈里根</w:t>
            </w:r>
          </w:p>
        </w:tc>
        <w:tc>
          <w:tcPr>
            <w:tcW w:w="1150" w:type="dxa"/>
            <w:shd w:val="clear" w:color="auto" w:fill="FFFFFF"/>
            <w:vAlign w:val="center"/>
          </w:tcPr>
          <w:p w14:paraId="59206C00">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088" w:type="dxa"/>
            <w:vMerge w:val="continue"/>
            <w:shd w:val="clear" w:color="auto" w:fill="FFFFFF"/>
            <w:vAlign w:val="center"/>
          </w:tcPr>
          <w:p w14:paraId="44BFFC60">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5B64ED02">
            <w:pPr>
              <w:widowControl/>
              <w:jc w:val="center"/>
              <w:textAlignment w:val="center"/>
              <w:rPr>
                <w:rFonts w:hint="default" w:ascii="Times New Roman" w:hAnsi="Times New Roman" w:cs="Times New Roman"/>
                <w:szCs w:val="21"/>
              </w:rPr>
            </w:pPr>
          </w:p>
        </w:tc>
      </w:tr>
      <w:tr w14:paraId="3311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3350A085">
            <w:pPr>
              <w:jc w:val="center"/>
              <w:rPr>
                <w:rFonts w:hint="default" w:ascii="Times New Roman" w:hAnsi="Times New Roman" w:cs="Times New Roman"/>
                <w:szCs w:val="21"/>
              </w:rPr>
            </w:pPr>
          </w:p>
        </w:tc>
        <w:tc>
          <w:tcPr>
            <w:tcW w:w="1158" w:type="dxa"/>
            <w:shd w:val="clear" w:color="auto" w:fill="FFFFFF"/>
            <w:noWrap/>
            <w:vAlign w:val="center"/>
          </w:tcPr>
          <w:p w14:paraId="1E26A88F">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21</w:t>
            </w:r>
          </w:p>
        </w:tc>
        <w:tc>
          <w:tcPr>
            <w:tcW w:w="3855" w:type="dxa"/>
            <w:shd w:val="clear" w:color="auto" w:fill="FFFFFF"/>
            <w:vAlign w:val="center"/>
          </w:tcPr>
          <w:p w14:paraId="19993ED9">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双轮异向切割锯锯片</w:t>
            </w:r>
          </w:p>
        </w:tc>
        <w:tc>
          <w:tcPr>
            <w:tcW w:w="1150" w:type="dxa"/>
            <w:shd w:val="clear" w:color="auto" w:fill="FFFFFF"/>
            <w:vAlign w:val="center"/>
          </w:tcPr>
          <w:p w14:paraId="3B1784F2">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088" w:type="dxa"/>
            <w:vMerge w:val="continue"/>
            <w:shd w:val="clear" w:color="auto" w:fill="FFFFFF"/>
            <w:vAlign w:val="center"/>
          </w:tcPr>
          <w:p w14:paraId="6A7089B2">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02E89A98">
            <w:pPr>
              <w:widowControl/>
              <w:jc w:val="center"/>
              <w:textAlignment w:val="center"/>
              <w:rPr>
                <w:rFonts w:hint="default" w:ascii="Times New Roman" w:hAnsi="Times New Roman" w:cs="Times New Roman"/>
                <w:szCs w:val="21"/>
              </w:rPr>
            </w:pPr>
          </w:p>
        </w:tc>
      </w:tr>
      <w:tr w14:paraId="4A15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42DA7069">
            <w:pPr>
              <w:jc w:val="center"/>
              <w:rPr>
                <w:rFonts w:hint="default" w:ascii="Times New Roman" w:hAnsi="Times New Roman" w:cs="Times New Roman"/>
                <w:szCs w:val="21"/>
              </w:rPr>
            </w:pPr>
          </w:p>
        </w:tc>
        <w:tc>
          <w:tcPr>
            <w:tcW w:w="1158" w:type="dxa"/>
            <w:shd w:val="clear" w:color="auto" w:fill="FFFFFF"/>
            <w:noWrap/>
            <w:vAlign w:val="center"/>
          </w:tcPr>
          <w:p w14:paraId="08365E00">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22</w:t>
            </w:r>
          </w:p>
        </w:tc>
        <w:tc>
          <w:tcPr>
            <w:tcW w:w="3855" w:type="dxa"/>
            <w:shd w:val="clear" w:color="auto" w:fill="FFFFFF"/>
            <w:vAlign w:val="center"/>
          </w:tcPr>
          <w:p w14:paraId="2FDBA62C">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K1270无齿锯锯片</w:t>
            </w:r>
          </w:p>
        </w:tc>
        <w:tc>
          <w:tcPr>
            <w:tcW w:w="1150" w:type="dxa"/>
            <w:shd w:val="clear" w:color="auto" w:fill="FFFFFF"/>
            <w:vAlign w:val="center"/>
          </w:tcPr>
          <w:p w14:paraId="5C940FA1">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088" w:type="dxa"/>
            <w:vMerge w:val="continue"/>
            <w:shd w:val="clear" w:color="auto" w:fill="FFFFFF"/>
            <w:vAlign w:val="center"/>
          </w:tcPr>
          <w:p w14:paraId="1AB85640">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669F8841">
            <w:pPr>
              <w:widowControl/>
              <w:jc w:val="center"/>
              <w:textAlignment w:val="center"/>
              <w:rPr>
                <w:rFonts w:hint="default" w:ascii="Times New Roman" w:hAnsi="Times New Roman" w:cs="Times New Roman"/>
                <w:szCs w:val="21"/>
              </w:rPr>
            </w:pPr>
          </w:p>
        </w:tc>
      </w:tr>
      <w:tr w14:paraId="1BEC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050" w:type="dxa"/>
            <w:vMerge w:val="continue"/>
            <w:shd w:val="clear" w:color="auto" w:fill="FFFFFF"/>
            <w:noWrap/>
            <w:vAlign w:val="center"/>
          </w:tcPr>
          <w:p w14:paraId="39504274">
            <w:pPr>
              <w:jc w:val="center"/>
              <w:rPr>
                <w:rFonts w:hint="default" w:ascii="Times New Roman" w:hAnsi="Times New Roman" w:cs="Times New Roman"/>
                <w:szCs w:val="21"/>
              </w:rPr>
            </w:pPr>
          </w:p>
        </w:tc>
        <w:tc>
          <w:tcPr>
            <w:tcW w:w="1158" w:type="dxa"/>
            <w:shd w:val="clear" w:color="auto" w:fill="FFFFFF"/>
            <w:noWrap/>
            <w:vAlign w:val="center"/>
          </w:tcPr>
          <w:p w14:paraId="58D5F62F">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23</w:t>
            </w:r>
          </w:p>
        </w:tc>
        <w:tc>
          <w:tcPr>
            <w:tcW w:w="3855" w:type="dxa"/>
            <w:shd w:val="clear" w:color="auto" w:fill="FFFFFF"/>
            <w:vAlign w:val="center"/>
          </w:tcPr>
          <w:p w14:paraId="516682DE">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机动链锯链条</w:t>
            </w:r>
          </w:p>
        </w:tc>
        <w:tc>
          <w:tcPr>
            <w:tcW w:w="1150" w:type="dxa"/>
            <w:shd w:val="clear" w:color="auto" w:fill="FFFFFF"/>
            <w:vAlign w:val="center"/>
          </w:tcPr>
          <w:p w14:paraId="7D3E8DFB">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088" w:type="dxa"/>
            <w:vMerge w:val="continue"/>
            <w:shd w:val="clear" w:color="auto" w:fill="FFFFFF"/>
            <w:vAlign w:val="center"/>
          </w:tcPr>
          <w:p w14:paraId="3785DE80">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6ECFF5B5">
            <w:pPr>
              <w:widowControl/>
              <w:jc w:val="center"/>
              <w:textAlignment w:val="center"/>
              <w:rPr>
                <w:rFonts w:hint="default" w:ascii="Times New Roman" w:hAnsi="Times New Roman" w:cs="Times New Roman"/>
                <w:szCs w:val="21"/>
              </w:rPr>
            </w:pPr>
          </w:p>
        </w:tc>
      </w:tr>
      <w:tr w14:paraId="0CDF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jc w:val="center"/>
        </w:trPr>
        <w:tc>
          <w:tcPr>
            <w:tcW w:w="1050" w:type="dxa"/>
            <w:vMerge w:val="continue"/>
            <w:shd w:val="clear" w:color="auto" w:fill="FFFFFF"/>
            <w:noWrap/>
            <w:vAlign w:val="center"/>
          </w:tcPr>
          <w:p w14:paraId="364E2337">
            <w:pPr>
              <w:jc w:val="center"/>
              <w:rPr>
                <w:rFonts w:hint="default" w:ascii="Times New Roman" w:hAnsi="Times New Roman" w:cs="Times New Roman"/>
                <w:szCs w:val="21"/>
              </w:rPr>
            </w:pPr>
          </w:p>
        </w:tc>
        <w:tc>
          <w:tcPr>
            <w:tcW w:w="1158" w:type="dxa"/>
            <w:shd w:val="clear" w:color="auto" w:fill="FFFFFF"/>
            <w:noWrap/>
            <w:vAlign w:val="center"/>
          </w:tcPr>
          <w:p w14:paraId="33819E44">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24</w:t>
            </w:r>
          </w:p>
        </w:tc>
        <w:tc>
          <w:tcPr>
            <w:tcW w:w="3855" w:type="dxa"/>
            <w:shd w:val="clear" w:color="auto" w:fill="FFFFFF"/>
            <w:vAlign w:val="center"/>
          </w:tcPr>
          <w:p w14:paraId="24CBC25C">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消防锤</w:t>
            </w:r>
          </w:p>
        </w:tc>
        <w:tc>
          <w:tcPr>
            <w:tcW w:w="1150" w:type="dxa"/>
            <w:shd w:val="clear" w:color="auto" w:fill="FFFFFF"/>
            <w:vAlign w:val="center"/>
          </w:tcPr>
          <w:p w14:paraId="73E1C390">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8" w:type="dxa"/>
            <w:vMerge w:val="continue"/>
            <w:shd w:val="clear" w:color="auto" w:fill="FFFFFF"/>
            <w:vAlign w:val="center"/>
          </w:tcPr>
          <w:p w14:paraId="400A3DF2">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08A75269">
            <w:pPr>
              <w:widowControl/>
              <w:jc w:val="center"/>
              <w:textAlignment w:val="center"/>
              <w:rPr>
                <w:rFonts w:hint="default" w:ascii="Times New Roman" w:hAnsi="Times New Roman" w:cs="Times New Roman"/>
                <w:szCs w:val="21"/>
              </w:rPr>
            </w:pPr>
          </w:p>
        </w:tc>
      </w:tr>
      <w:tr w14:paraId="2D17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jc w:val="center"/>
        </w:trPr>
        <w:tc>
          <w:tcPr>
            <w:tcW w:w="1050" w:type="dxa"/>
            <w:vMerge w:val="continue"/>
            <w:shd w:val="clear" w:color="auto" w:fill="FFFFFF"/>
            <w:noWrap/>
            <w:vAlign w:val="center"/>
          </w:tcPr>
          <w:p w14:paraId="09952CE0">
            <w:pPr>
              <w:jc w:val="center"/>
              <w:rPr>
                <w:rFonts w:hint="default" w:ascii="Times New Roman" w:hAnsi="Times New Roman" w:cs="Times New Roman"/>
                <w:szCs w:val="21"/>
              </w:rPr>
            </w:pPr>
          </w:p>
        </w:tc>
        <w:tc>
          <w:tcPr>
            <w:tcW w:w="1158" w:type="dxa"/>
            <w:shd w:val="clear" w:color="auto" w:fill="FFFFFF"/>
            <w:noWrap/>
            <w:vAlign w:val="center"/>
          </w:tcPr>
          <w:p w14:paraId="7655FA85">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25</w:t>
            </w:r>
          </w:p>
        </w:tc>
        <w:tc>
          <w:tcPr>
            <w:tcW w:w="3855" w:type="dxa"/>
            <w:shd w:val="clear" w:color="auto" w:fill="FFFFFF"/>
            <w:vAlign w:val="center"/>
          </w:tcPr>
          <w:p w14:paraId="6A4CF47F">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撬棍</w:t>
            </w:r>
          </w:p>
        </w:tc>
        <w:tc>
          <w:tcPr>
            <w:tcW w:w="1150" w:type="dxa"/>
            <w:shd w:val="clear" w:color="auto" w:fill="FFFFFF"/>
            <w:vAlign w:val="center"/>
          </w:tcPr>
          <w:p w14:paraId="0DED08AC">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088" w:type="dxa"/>
            <w:vMerge w:val="continue"/>
            <w:shd w:val="clear" w:color="auto" w:fill="FFFFFF"/>
            <w:vAlign w:val="center"/>
          </w:tcPr>
          <w:p w14:paraId="2FE29568">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53D87133">
            <w:pPr>
              <w:widowControl/>
              <w:jc w:val="center"/>
              <w:textAlignment w:val="center"/>
              <w:rPr>
                <w:rFonts w:hint="default" w:ascii="Times New Roman" w:hAnsi="Times New Roman" w:cs="Times New Roman"/>
                <w:szCs w:val="21"/>
              </w:rPr>
            </w:pPr>
          </w:p>
        </w:tc>
      </w:tr>
      <w:tr w14:paraId="6075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jc w:val="center"/>
        </w:trPr>
        <w:tc>
          <w:tcPr>
            <w:tcW w:w="1050" w:type="dxa"/>
            <w:vMerge w:val="continue"/>
            <w:shd w:val="clear" w:color="auto" w:fill="FFFFFF"/>
            <w:noWrap/>
            <w:vAlign w:val="center"/>
          </w:tcPr>
          <w:p w14:paraId="675F1C30">
            <w:pPr>
              <w:jc w:val="center"/>
              <w:rPr>
                <w:rFonts w:hint="default" w:ascii="Times New Roman" w:hAnsi="Times New Roman" w:cs="Times New Roman"/>
                <w:szCs w:val="21"/>
              </w:rPr>
            </w:pPr>
          </w:p>
        </w:tc>
        <w:tc>
          <w:tcPr>
            <w:tcW w:w="1158" w:type="dxa"/>
            <w:shd w:val="clear" w:color="auto" w:fill="FFFFFF"/>
            <w:noWrap/>
            <w:vAlign w:val="center"/>
          </w:tcPr>
          <w:p w14:paraId="4ED0EC02">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26</w:t>
            </w:r>
          </w:p>
        </w:tc>
        <w:tc>
          <w:tcPr>
            <w:tcW w:w="3855" w:type="dxa"/>
            <w:shd w:val="clear" w:color="auto" w:fill="FFFFFF"/>
            <w:vAlign w:val="center"/>
          </w:tcPr>
          <w:p w14:paraId="2FDB40C5">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消防斧</w:t>
            </w:r>
          </w:p>
        </w:tc>
        <w:tc>
          <w:tcPr>
            <w:tcW w:w="1150" w:type="dxa"/>
            <w:shd w:val="clear" w:color="auto" w:fill="FFFFFF"/>
            <w:vAlign w:val="center"/>
          </w:tcPr>
          <w:p w14:paraId="363D8EC4">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088" w:type="dxa"/>
            <w:vMerge w:val="continue"/>
            <w:shd w:val="clear" w:color="auto" w:fill="FFFFFF"/>
            <w:vAlign w:val="center"/>
          </w:tcPr>
          <w:p w14:paraId="44ACF26E">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375AA4AB">
            <w:pPr>
              <w:widowControl/>
              <w:jc w:val="center"/>
              <w:textAlignment w:val="center"/>
              <w:rPr>
                <w:rFonts w:hint="default" w:ascii="Times New Roman" w:hAnsi="Times New Roman" w:cs="Times New Roman"/>
                <w:szCs w:val="21"/>
              </w:rPr>
            </w:pPr>
          </w:p>
        </w:tc>
      </w:tr>
      <w:tr w14:paraId="2C56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0" w:hRule="atLeast"/>
          <w:jc w:val="center"/>
        </w:trPr>
        <w:tc>
          <w:tcPr>
            <w:tcW w:w="1050" w:type="dxa"/>
            <w:vMerge w:val="continue"/>
            <w:shd w:val="clear" w:color="auto" w:fill="FFFFFF"/>
            <w:noWrap/>
            <w:vAlign w:val="center"/>
          </w:tcPr>
          <w:p w14:paraId="020D948C">
            <w:pPr>
              <w:jc w:val="center"/>
              <w:rPr>
                <w:rFonts w:hint="default" w:ascii="Times New Roman" w:hAnsi="Times New Roman" w:cs="Times New Roman"/>
                <w:szCs w:val="21"/>
              </w:rPr>
            </w:pPr>
          </w:p>
        </w:tc>
        <w:tc>
          <w:tcPr>
            <w:tcW w:w="1158" w:type="dxa"/>
            <w:shd w:val="clear" w:color="auto" w:fill="FFFFFF"/>
            <w:noWrap/>
            <w:vAlign w:val="center"/>
          </w:tcPr>
          <w:p w14:paraId="5CA24B85">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27</w:t>
            </w:r>
          </w:p>
        </w:tc>
        <w:tc>
          <w:tcPr>
            <w:tcW w:w="3855" w:type="dxa"/>
            <w:shd w:val="clear" w:color="auto" w:fill="FFFFFF"/>
            <w:vAlign w:val="center"/>
          </w:tcPr>
          <w:p w14:paraId="74711392">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强动力锂电池电锤（2电）</w:t>
            </w:r>
          </w:p>
        </w:tc>
        <w:tc>
          <w:tcPr>
            <w:tcW w:w="1150" w:type="dxa"/>
            <w:shd w:val="clear" w:color="auto" w:fill="FFFFFF"/>
            <w:vAlign w:val="center"/>
          </w:tcPr>
          <w:p w14:paraId="52A7587C">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88" w:type="dxa"/>
            <w:vMerge w:val="continue"/>
            <w:shd w:val="clear" w:color="auto" w:fill="FFFFFF"/>
            <w:vAlign w:val="center"/>
          </w:tcPr>
          <w:p w14:paraId="1B2F5A6E">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57663B0A">
            <w:pPr>
              <w:widowControl/>
              <w:jc w:val="center"/>
              <w:textAlignment w:val="center"/>
              <w:rPr>
                <w:rFonts w:hint="default" w:ascii="Times New Roman" w:hAnsi="Times New Roman" w:cs="Times New Roman"/>
                <w:szCs w:val="21"/>
              </w:rPr>
            </w:pPr>
          </w:p>
        </w:tc>
      </w:tr>
      <w:tr w14:paraId="79E6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0" w:type="dxa"/>
            <w:vMerge w:val="continue"/>
            <w:shd w:val="clear" w:color="auto" w:fill="FFFFFF"/>
            <w:noWrap/>
            <w:vAlign w:val="center"/>
          </w:tcPr>
          <w:p w14:paraId="0C1B0547">
            <w:pPr>
              <w:jc w:val="center"/>
              <w:rPr>
                <w:rFonts w:hint="default" w:ascii="Times New Roman" w:hAnsi="Times New Roman" w:cs="Times New Roman"/>
                <w:szCs w:val="21"/>
              </w:rPr>
            </w:pPr>
          </w:p>
        </w:tc>
        <w:tc>
          <w:tcPr>
            <w:tcW w:w="1158" w:type="dxa"/>
            <w:shd w:val="clear" w:color="auto" w:fill="FFFFFF"/>
            <w:noWrap/>
            <w:vAlign w:val="center"/>
          </w:tcPr>
          <w:p w14:paraId="549972D9">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28</w:t>
            </w:r>
          </w:p>
        </w:tc>
        <w:tc>
          <w:tcPr>
            <w:tcW w:w="3855" w:type="dxa"/>
            <w:shd w:val="clear" w:color="auto" w:fill="FFFFFF"/>
            <w:vAlign w:val="center"/>
          </w:tcPr>
          <w:p w14:paraId="79A1493A">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花岗岩四坑四刃地冲击钻头（10cm-16cm）</w:t>
            </w:r>
          </w:p>
        </w:tc>
        <w:tc>
          <w:tcPr>
            <w:tcW w:w="1150" w:type="dxa"/>
            <w:shd w:val="clear" w:color="auto" w:fill="FFFFFF"/>
            <w:vAlign w:val="center"/>
          </w:tcPr>
          <w:p w14:paraId="71EDE546">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8" w:type="dxa"/>
            <w:vMerge w:val="continue"/>
            <w:shd w:val="clear" w:color="auto" w:fill="FFFFFF"/>
            <w:vAlign w:val="center"/>
          </w:tcPr>
          <w:p w14:paraId="168CC529">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19B2E574">
            <w:pPr>
              <w:widowControl/>
              <w:jc w:val="center"/>
              <w:textAlignment w:val="center"/>
              <w:rPr>
                <w:rFonts w:hint="default" w:ascii="Times New Roman" w:hAnsi="Times New Roman" w:cs="Times New Roman"/>
                <w:szCs w:val="21"/>
              </w:rPr>
            </w:pPr>
          </w:p>
        </w:tc>
      </w:tr>
      <w:tr w14:paraId="4B9E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0" w:type="dxa"/>
            <w:vMerge w:val="continue"/>
            <w:shd w:val="clear" w:color="auto" w:fill="FFFFFF"/>
            <w:noWrap/>
            <w:vAlign w:val="center"/>
          </w:tcPr>
          <w:p w14:paraId="3C8329CC">
            <w:pPr>
              <w:jc w:val="center"/>
              <w:rPr>
                <w:rFonts w:hint="default" w:ascii="Times New Roman" w:hAnsi="Times New Roman" w:cs="Times New Roman"/>
                <w:szCs w:val="21"/>
              </w:rPr>
            </w:pPr>
          </w:p>
        </w:tc>
        <w:tc>
          <w:tcPr>
            <w:tcW w:w="1158" w:type="dxa"/>
            <w:shd w:val="clear" w:color="auto" w:fill="FFFFFF"/>
            <w:noWrap/>
            <w:vAlign w:val="center"/>
          </w:tcPr>
          <w:p w14:paraId="3AA213A3">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29</w:t>
            </w:r>
          </w:p>
        </w:tc>
        <w:tc>
          <w:tcPr>
            <w:tcW w:w="3855" w:type="dxa"/>
            <w:shd w:val="clear" w:color="auto" w:fill="FFFFFF"/>
            <w:vAlign w:val="center"/>
          </w:tcPr>
          <w:p w14:paraId="0B98D640">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地震建筑坍塌开缝器</w:t>
            </w:r>
          </w:p>
        </w:tc>
        <w:tc>
          <w:tcPr>
            <w:tcW w:w="1150" w:type="dxa"/>
            <w:shd w:val="clear" w:color="auto" w:fill="FFFFFF"/>
            <w:vAlign w:val="center"/>
          </w:tcPr>
          <w:p w14:paraId="456A17EA">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continue"/>
            <w:shd w:val="clear" w:color="auto" w:fill="FFFFFF"/>
            <w:vAlign w:val="center"/>
          </w:tcPr>
          <w:p w14:paraId="1CB1EA7C">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623D3D98">
            <w:pPr>
              <w:widowControl/>
              <w:jc w:val="center"/>
              <w:textAlignment w:val="center"/>
              <w:rPr>
                <w:rFonts w:hint="default" w:ascii="Times New Roman" w:hAnsi="Times New Roman" w:cs="Times New Roman"/>
                <w:szCs w:val="21"/>
              </w:rPr>
            </w:pPr>
          </w:p>
        </w:tc>
      </w:tr>
      <w:tr w14:paraId="17AA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1050" w:type="dxa"/>
            <w:vMerge w:val="continue"/>
            <w:shd w:val="clear" w:color="auto" w:fill="FFFFFF"/>
            <w:noWrap/>
            <w:vAlign w:val="center"/>
          </w:tcPr>
          <w:p w14:paraId="2F2E781F">
            <w:pPr>
              <w:jc w:val="center"/>
              <w:rPr>
                <w:rFonts w:hint="default" w:ascii="Times New Roman" w:hAnsi="Times New Roman" w:cs="Times New Roman"/>
                <w:szCs w:val="21"/>
              </w:rPr>
            </w:pPr>
          </w:p>
        </w:tc>
        <w:tc>
          <w:tcPr>
            <w:tcW w:w="1158" w:type="dxa"/>
            <w:shd w:val="clear" w:color="auto" w:fill="FFFFFF"/>
            <w:noWrap/>
            <w:vAlign w:val="center"/>
          </w:tcPr>
          <w:p w14:paraId="7D75F4BA">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30</w:t>
            </w:r>
          </w:p>
        </w:tc>
        <w:tc>
          <w:tcPr>
            <w:tcW w:w="3855" w:type="dxa"/>
            <w:shd w:val="clear" w:color="auto" w:fill="FFFFFF"/>
            <w:vAlign w:val="center"/>
          </w:tcPr>
          <w:p w14:paraId="31CC2E3B">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等离子切焊机</w:t>
            </w:r>
          </w:p>
        </w:tc>
        <w:tc>
          <w:tcPr>
            <w:tcW w:w="1150" w:type="dxa"/>
            <w:shd w:val="clear" w:color="auto" w:fill="FFFFFF"/>
            <w:vAlign w:val="center"/>
          </w:tcPr>
          <w:p w14:paraId="494C3EFE">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8" w:type="dxa"/>
            <w:vMerge w:val="continue"/>
            <w:shd w:val="clear" w:color="auto" w:fill="FFFFFF"/>
            <w:vAlign w:val="center"/>
          </w:tcPr>
          <w:p w14:paraId="0A035625">
            <w:pPr>
              <w:widowControl/>
              <w:jc w:val="center"/>
              <w:textAlignment w:val="center"/>
              <w:rPr>
                <w:rFonts w:hint="default" w:ascii="Times New Roman" w:hAnsi="Times New Roman" w:cs="Times New Roman"/>
                <w:szCs w:val="21"/>
              </w:rPr>
            </w:pPr>
          </w:p>
        </w:tc>
        <w:tc>
          <w:tcPr>
            <w:tcW w:w="1088" w:type="dxa"/>
            <w:vMerge w:val="continue"/>
            <w:shd w:val="clear" w:color="auto" w:fill="FFFFFF"/>
            <w:vAlign w:val="center"/>
          </w:tcPr>
          <w:p w14:paraId="1D2DEFD3">
            <w:pPr>
              <w:widowControl/>
              <w:jc w:val="center"/>
              <w:textAlignment w:val="center"/>
              <w:rPr>
                <w:rFonts w:hint="default" w:ascii="Times New Roman" w:hAnsi="Times New Roman" w:cs="Times New Roman"/>
                <w:szCs w:val="21"/>
              </w:rPr>
            </w:pPr>
          </w:p>
        </w:tc>
      </w:tr>
    </w:tbl>
    <w:p w14:paraId="448741CB">
      <w:pPr>
        <w:spacing w:line="360" w:lineRule="auto"/>
        <w:ind w:firstLine="482" w:firstLineChars="200"/>
        <w:rPr>
          <w:rFonts w:hint="eastAsia" w:ascii="宋体" w:hAnsi="宋体" w:cs="宋体"/>
          <w:color w:val="auto"/>
          <w:sz w:val="24"/>
        </w:rPr>
      </w:pPr>
      <w:r>
        <w:rPr>
          <w:rFonts w:hint="eastAsia" w:ascii="宋体" w:hAnsi="宋体" w:cs="宋体"/>
          <w:b/>
          <w:bCs/>
          <w:sz w:val="24"/>
        </w:rPr>
        <w:t>合同履行期限：</w:t>
      </w:r>
      <w:r>
        <w:rPr>
          <w:rFonts w:hint="eastAsia" w:ascii="宋体" w:hAnsi="宋体" w:cs="宋体"/>
          <w:b/>
          <w:bCs/>
          <w:color w:val="auto"/>
          <w:sz w:val="24"/>
        </w:rPr>
        <w:t>合同签订生效之日起60天内完成供货。</w:t>
      </w:r>
    </w:p>
    <w:p w14:paraId="13F3DCD2">
      <w:pPr>
        <w:spacing w:line="360" w:lineRule="auto"/>
        <w:ind w:firstLine="482" w:firstLineChars="200"/>
        <w:rPr>
          <w:rFonts w:hint="eastAsia" w:ascii="宋体" w:hAnsi="宋体" w:cs="宋体"/>
          <w:b/>
          <w:bCs/>
          <w:sz w:val="24"/>
        </w:rPr>
      </w:pPr>
      <w:r>
        <w:rPr>
          <w:rFonts w:hint="eastAsia" w:ascii="宋体" w:hAnsi="宋体" w:cs="宋体"/>
          <w:b/>
          <w:bCs/>
          <w:sz w:val="24"/>
        </w:rPr>
        <w:t>本项目不接受联合体投标。</w:t>
      </w:r>
    </w:p>
    <w:p w14:paraId="0D6B1020">
      <w:pPr>
        <w:widowControl/>
        <w:spacing w:line="360" w:lineRule="auto"/>
        <w:jc w:val="left"/>
        <w:rPr>
          <w:rFonts w:hint="eastAsia" w:ascii="宋体" w:hAnsi="宋体" w:cs="宋体"/>
          <w:b/>
          <w:bCs/>
          <w:kern w:val="0"/>
          <w:sz w:val="24"/>
        </w:rPr>
      </w:pPr>
      <w:r>
        <w:rPr>
          <w:rFonts w:hint="eastAsia" w:ascii="宋体" w:hAnsi="宋体" w:cs="宋体"/>
          <w:b/>
          <w:bCs/>
          <w:kern w:val="0"/>
          <w:sz w:val="24"/>
        </w:rPr>
        <w:t>二、申请人的资格要求：</w:t>
      </w:r>
    </w:p>
    <w:p w14:paraId="5F565911">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0EA3B8EC">
      <w:pPr>
        <w:spacing w:line="360" w:lineRule="auto"/>
        <w:ind w:firstLine="480" w:firstLineChars="200"/>
        <w:rPr>
          <w:rFonts w:hint="eastAsia" w:ascii="宋体" w:hAnsi="宋体" w:cs="宋体"/>
          <w:sz w:val="24"/>
        </w:rPr>
      </w:pPr>
      <w:r>
        <w:rPr>
          <w:rFonts w:hint="eastAsia" w:ascii="宋体" w:hAnsi="宋体" w:cs="宋体"/>
          <w:sz w:val="24"/>
        </w:rPr>
        <w:t>2.落实政府采购政策需满足的资格要求：本项目所有标项专门面向中、小、微型企业或者监狱企业或者残疾人福利性单位，符合条件的企业不再享受价格评审优惠的扶持政策。</w:t>
      </w:r>
    </w:p>
    <w:p w14:paraId="39F9DDBF">
      <w:pPr>
        <w:kinsoku w:val="0"/>
        <w:spacing w:line="360" w:lineRule="auto"/>
        <w:ind w:firstLine="480" w:firstLineChars="200"/>
        <w:jc w:val="left"/>
        <w:rPr>
          <w:rFonts w:hint="eastAsia" w:ascii="宋体" w:hAnsi="宋体" w:cs="宋体"/>
          <w:sz w:val="24"/>
        </w:rPr>
      </w:pPr>
      <w:r>
        <w:rPr>
          <w:rFonts w:hint="eastAsia" w:ascii="宋体" w:hAnsi="宋体" w:cs="宋体"/>
          <w:sz w:val="24"/>
        </w:rPr>
        <w:t>3.本项目的特定资格要求：投标人未被“信用中国”（www.creditchina.gov.cn）、中国政府采购网（www.ccgp.gov.cn）列入失信被执行人、重大税收违法失信主体、政府采购严重违法失信行为记录名单。</w:t>
      </w:r>
    </w:p>
    <w:p w14:paraId="41BCC213">
      <w:pPr>
        <w:pStyle w:val="14"/>
        <w:spacing w:after="0" w:line="360" w:lineRule="auto"/>
        <w:rPr>
          <w:rFonts w:hint="eastAsia" w:ascii="宋体" w:hAnsi="宋体" w:cs="宋体"/>
          <w:b/>
          <w:bCs/>
          <w:kern w:val="0"/>
          <w:sz w:val="24"/>
        </w:rPr>
      </w:pPr>
      <w:r>
        <w:rPr>
          <w:rFonts w:hint="eastAsia" w:ascii="宋体" w:hAnsi="宋体" w:cs="宋体"/>
          <w:b/>
          <w:bCs/>
          <w:kern w:val="0"/>
          <w:sz w:val="24"/>
        </w:rPr>
        <w:t>三、获取招标文件</w:t>
      </w:r>
    </w:p>
    <w:p w14:paraId="016E3D01">
      <w:pPr>
        <w:spacing w:line="360" w:lineRule="auto"/>
        <w:ind w:firstLine="480" w:firstLineChars="200"/>
        <w:rPr>
          <w:rFonts w:hint="eastAsia" w:ascii="宋体" w:hAnsi="宋体" w:cs="宋体"/>
          <w:sz w:val="24"/>
        </w:rPr>
      </w:pPr>
      <w:r>
        <w:rPr>
          <w:rFonts w:hint="eastAsia" w:ascii="宋体" w:hAnsi="宋体" w:cs="宋体"/>
          <w:sz w:val="24"/>
        </w:rPr>
        <w:t>1.时间：2025年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 至2025年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日，每天上午9:00至12:00，下午13:30至17:00（北京时间，法定节假日除外）</w:t>
      </w:r>
    </w:p>
    <w:p w14:paraId="0F37435C">
      <w:pPr>
        <w:spacing w:line="360" w:lineRule="auto"/>
        <w:ind w:firstLine="480" w:firstLineChars="200"/>
        <w:rPr>
          <w:rFonts w:hint="default" w:ascii="宋体" w:hAnsi="宋体" w:cs="宋体"/>
          <w:sz w:val="24"/>
          <w:lang w:val="en-US" w:eastAsia="zh-CN"/>
        </w:rPr>
      </w:pPr>
      <w:r>
        <w:rPr>
          <w:rFonts w:hint="eastAsia" w:ascii="宋体" w:hAnsi="宋体" w:cs="宋体"/>
          <w:sz w:val="24"/>
        </w:rPr>
        <w:t>2.地点：</w:t>
      </w:r>
      <w:bookmarkStart w:id="3" w:name="_Hlk181698214"/>
      <w:r>
        <w:rPr>
          <w:rFonts w:hint="eastAsia" w:ascii="宋体" w:hAnsi="宋体" w:eastAsia="宋体" w:cs="宋体"/>
          <w:sz w:val="24"/>
        </w:rPr>
        <w:t>舟山市定海区临城街道百川道9号海洋科学城A12号楼</w:t>
      </w:r>
      <w:bookmarkEnd w:id="3"/>
      <w:r>
        <w:rPr>
          <w:rFonts w:hint="eastAsia" w:ascii="宋体" w:hAnsi="宋体" w:eastAsia="宋体" w:cs="宋体"/>
          <w:sz w:val="24"/>
          <w:lang w:val="en-US" w:eastAsia="zh-CN"/>
        </w:rPr>
        <w:t>910室。</w:t>
      </w:r>
    </w:p>
    <w:p w14:paraId="5DCFB654">
      <w:pPr>
        <w:spacing w:line="360" w:lineRule="auto"/>
        <w:ind w:firstLine="480" w:firstLineChars="200"/>
        <w:rPr>
          <w:rFonts w:hint="eastAsia" w:ascii="宋体" w:hAnsi="宋体" w:cs="宋体"/>
          <w:sz w:val="24"/>
        </w:rPr>
      </w:pPr>
      <w:r>
        <w:rPr>
          <w:rFonts w:hint="eastAsia" w:ascii="宋体" w:hAnsi="宋体" w:cs="宋体"/>
          <w:sz w:val="24"/>
        </w:rPr>
        <w:t>3.方式：（1）现场获取方式：现场需提供的纸质资料：①有效期内的营业执照复印件（加盖单位公章）；②法定代表人授权书（加盖单位公章）；③经办人有效身份证件复印件及联系方式（加盖单位公章）；④投标人登记表。（2）线上获取方式：线上提供以下资料扫描件：①有效期内的营业执照（加盖单位公章）；②法定代表人授权书（加盖单位公章）；③报名人有效身份证件及联系方式（加盖单位公章）；④投标人登记表。代理机构收到上述资料后将以电子邮件方式发送电子版招标文件至投标人邮箱，请投标人及时查收并邮件回复确认。代理机构邮箱：</w:t>
      </w:r>
      <w:r>
        <w:rPr>
          <w:rFonts w:hint="eastAsia" w:ascii="宋体" w:hAnsi="宋体" w:cs="宋体"/>
          <w:sz w:val="24"/>
          <w:lang w:val="en-US" w:eastAsia="zh-CN"/>
        </w:rPr>
        <w:t>576646218</w:t>
      </w:r>
      <w:r>
        <w:rPr>
          <w:rFonts w:hint="eastAsia" w:ascii="宋体" w:hAnsi="宋体" w:cs="宋体"/>
          <w:sz w:val="24"/>
        </w:rPr>
        <w:t>@qq.com，联系人：</w:t>
      </w:r>
      <w:r>
        <w:rPr>
          <w:rFonts w:hint="eastAsia" w:ascii="宋体" w:hAnsi="宋体" w:cs="宋体"/>
          <w:sz w:val="24"/>
          <w:lang w:val="en-US" w:eastAsia="zh-CN"/>
        </w:rPr>
        <w:t>刘女士</w:t>
      </w:r>
      <w:r>
        <w:rPr>
          <w:rFonts w:hint="eastAsia" w:ascii="宋体" w:hAnsi="宋体" w:cs="宋体"/>
          <w:sz w:val="24"/>
        </w:rPr>
        <w:t>，联系电话：0580-</w:t>
      </w:r>
      <w:r>
        <w:rPr>
          <w:rFonts w:hint="eastAsia" w:ascii="宋体" w:hAnsi="宋体" w:cs="宋体"/>
          <w:sz w:val="24"/>
          <w:lang w:val="en-US" w:eastAsia="zh-CN"/>
        </w:rPr>
        <w:t>2119100</w:t>
      </w:r>
      <w:r>
        <w:rPr>
          <w:rFonts w:hint="eastAsia" w:ascii="宋体" w:hAnsi="宋体" w:cs="宋体"/>
          <w:sz w:val="24"/>
        </w:rPr>
        <w:t>。邮件内容备注获取相应项目招标文件名称、项目编号、联系人和联系电话，同时须致电代理机构进行确认。</w:t>
      </w:r>
    </w:p>
    <w:p w14:paraId="049292DB">
      <w:pPr>
        <w:pStyle w:val="34"/>
        <w:spacing w:after="0" w:line="360" w:lineRule="auto"/>
        <w:ind w:left="0" w:leftChars="0" w:firstLine="480" w:firstLineChars="200"/>
        <w:rPr>
          <w:rFonts w:hint="eastAsia" w:ascii="宋体" w:hAnsi="宋体" w:eastAsia="宋体" w:cs="宋体"/>
          <w:sz w:val="24"/>
          <w:lang w:val="en-US" w:eastAsia="zh-CN"/>
        </w:rPr>
      </w:pPr>
      <w:r>
        <w:rPr>
          <w:rFonts w:hint="eastAsia" w:ascii="宋体" w:hAnsi="宋体" w:cs="宋体"/>
          <w:sz w:val="24"/>
        </w:rPr>
        <w:t>4、文件售价：</w:t>
      </w:r>
      <w:r>
        <w:rPr>
          <w:rFonts w:hint="eastAsia" w:ascii="宋体" w:hAnsi="宋体" w:cs="宋体"/>
          <w:sz w:val="24"/>
          <w:lang w:val="en-US" w:eastAsia="zh-CN"/>
        </w:rPr>
        <w:t>无</w:t>
      </w:r>
    </w:p>
    <w:p w14:paraId="061882FA">
      <w:pPr>
        <w:widowControl/>
        <w:spacing w:line="360" w:lineRule="auto"/>
        <w:jc w:val="left"/>
        <w:rPr>
          <w:rFonts w:hint="eastAsia" w:ascii="宋体" w:hAnsi="宋体" w:cs="宋体"/>
          <w:b/>
          <w:bCs/>
          <w:kern w:val="0"/>
          <w:sz w:val="24"/>
        </w:rPr>
      </w:pPr>
      <w:r>
        <w:rPr>
          <w:rFonts w:hint="eastAsia" w:ascii="宋体" w:hAnsi="宋体" w:cs="宋体"/>
          <w:b/>
          <w:bCs/>
          <w:kern w:val="0"/>
          <w:sz w:val="24"/>
        </w:rPr>
        <w:t>四、提交投标文件截止时间、开标时间和地点</w:t>
      </w:r>
    </w:p>
    <w:p w14:paraId="756552C3">
      <w:pPr>
        <w:pStyle w:val="34"/>
        <w:spacing w:after="0" w:line="360" w:lineRule="auto"/>
        <w:ind w:left="0" w:leftChars="0" w:firstLine="480" w:firstLineChars="200"/>
        <w:rPr>
          <w:rFonts w:hint="eastAsia" w:ascii="宋体" w:hAnsi="宋体" w:cs="宋体"/>
          <w:color w:val="auto"/>
          <w:sz w:val="24"/>
        </w:rPr>
      </w:pPr>
      <w:r>
        <w:rPr>
          <w:rFonts w:hint="eastAsia" w:ascii="宋体" w:hAnsi="宋体" w:cs="宋体"/>
          <w:sz w:val="24"/>
        </w:rPr>
        <w:t>1、投标截止时间/开标</w:t>
      </w:r>
      <w:r>
        <w:rPr>
          <w:rFonts w:hint="eastAsia" w:ascii="宋体" w:hAnsi="宋体" w:cs="宋体"/>
          <w:color w:val="auto"/>
          <w:sz w:val="24"/>
        </w:rPr>
        <w:t>时间：2025年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r>
        <w:rPr>
          <w:rFonts w:hint="eastAsia" w:ascii="宋体" w:hAnsi="宋体" w:cs="宋体"/>
          <w:color w:val="auto"/>
          <w:sz w:val="24"/>
          <w:lang w:val="en-US" w:eastAsia="zh-CN"/>
        </w:rPr>
        <w:t xml:space="preserve">  </w:t>
      </w:r>
      <w:r>
        <w:rPr>
          <w:rFonts w:hint="eastAsia" w:ascii="宋体" w:hAnsi="宋体" w:cs="宋体"/>
          <w:color w:val="auto"/>
          <w:sz w:val="24"/>
        </w:rPr>
        <w:t>点</w:t>
      </w:r>
      <w:r>
        <w:rPr>
          <w:rFonts w:hint="eastAsia" w:ascii="宋体" w:hAnsi="宋体" w:cs="宋体"/>
          <w:color w:val="auto"/>
          <w:sz w:val="24"/>
          <w:lang w:val="en-US" w:eastAsia="zh-CN"/>
        </w:rPr>
        <w:t xml:space="preserve">  </w:t>
      </w:r>
      <w:r>
        <w:rPr>
          <w:rFonts w:hint="eastAsia" w:ascii="宋体" w:hAnsi="宋体" w:cs="宋体"/>
          <w:color w:val="auto"/>
          <w:sz w:val="24"/>
        </w:rPr>
        <w:t>分</w:t>
      </w:r>
    </w:p>
    <w:p w14:paraId="4B24E78B">
      <w:pPr>
        <w:pStyle w:val="34"/>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2、投标地点/开标地点：舟山市临城街道海天大道560号舟山市消防救援支队416会议室。</w:t>
      </w:r>
    </w:p>
    <w:p w14:paraId="61D39E21">
      <w:pPr>
        <w:pStyle w:val="34"/>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3、逾期送达的或者未送达指定地点的投标文件，采购人不予受理。</w:t>
      </w:r>
    </w:p>
    <w:p w14:paraId="0E6641A4">
      <w:pPr>
        <w:widowControl/>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五、公告期限</w:t>
      </w:r>
    </w:p>
    <w:p w14:paraId="03F0E867">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4C107742">
      <w:pPr>
        <w:widowControl/>
        <w:numPr>
          <w:ilvl w:val="0"/>
          <w:numId w:val="2"/>
        </w:numPr>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其他补充事宜</w:t>
      </w:r>
    </w:p>
    <w:p w14:paraId="37E6CBFC">
      <w:pPr>
        <w:pStyle w:val="15"/>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1.未按采购公告规定获取招标文件的投标将被拒绝。</w:t>
      </w:r>
    </w:p>
    <w:p w14:paraId="2C2C61B5">
      <w:pPr>
        <w:pStyle w:val="15"/>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针对同一采购程序环节的质疑。质疑供应商对采购人、采购代理机构的答复不满意或者采购人、采购代理机构未在规定的时间内作出答复的，可以在答复期满后十五个工作日内向监督部门投诉。</w:t>
      </w:r>
    </w:p>
    <w:p w14:paraId="3DAD2A74">
      <w:pPr>
        <w:pStyle w:val="15"/>
        <w:spacing w:after="0" w:line="360" w:lineRule="auto"/>
        <w:ind w:left="0" w:leftChars="0" w:firstLine="480" w:firstLineChars="200"/>
        <w:rPr>
          <w:rFonts w:hint="eastAsia" w:ascii="宋体" w:hAnsi="宋体" w:cs="宋体"/>
          <w:sz w:val="24"/>
        </w:rPr>
      </w:pPr>
      <w:r>
        <w:rPr>
          <w:rFonts w:hint="eastAsia" w:ascii="宋体" w:hAnsi="宋体" w:cs="宋体"/>
          <w:color w:val="auto"/>
          <w:sz w:val="24"/>
        </w:rPr>
        <w:t>4.单位负责人为同一人或者存在直接控股、管理关系的不同供</w:t>
      </w:r>
      <w:r>
        <w:rPr>
          <w:rFonts w:hint="eastAsia" w:ascii="宋体" w:hAnsi="宋体" w:cs="宋体"/>
          <w:sz w:val="24"/>
        </w:rPr>
        <w:t>应商，不得同时参加同一合同项下的投标。</w:t>
      </w:r>
    </w:p>
    <w:p w14:paraId="37428BD8">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5.为项目提供整体设计、规范编制或者项目管理、监理、检测等服务的供应商，不得再参加该采购项目的其他采购活动。</w:t>
      </w:r>
    </w:p>
    <w:p w14:paraId="0EFB9FEF">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6.投标人不得为列入失信被执行人、重大税收违法失信主体、政府采购严重违法失信行为记录名单的供应商。</w:t>
      </w:r>
    </w:p>
    <w:p w14:paraId="66334BB8">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（1）信用信息查询渠道：“信用中国”网站（www.creditchina.gov.cn）、中国政府采购网（</w:t>
      </w:r>
      <w:r>
        <w:fldChar w:fldCharType="begin"/>
      </w:r>
      <w:r>
        <w:instrText xml:space="preserve"> HYPERLINK "http://www.ccgp.gov.cn" </w:instrText>
      </w:r>
      <w:r>
        <w:fldChar w:fldCharType="separate"/>
      </w:r>
      <w:r>
        <w:rPr>
          <w:rStyle w:val="41"/>
          <w:rFonts w:ascii="宋体" w:hAnsi="宋体" w:eastAsia="宋体" w:cs="宋体"/>
          <w:color w:val="auto"/>
          <w:sz w:val="24"/>
        </w:rPr>
        <w:t>www.ccgp.gov.cn</w:t>
      </w:r>
      <w:r>
        <w:rPr>
          <w:rStyle w:val="41"/>
          <w:rFonts w:ascii="宋体" w:hAnsi="宋体" w:eastAsia="宋体" w:cs="宋体"/>
          <w:color w:val="auto"/>
          <w:sz w:val="24"/>
        </w:rPr>
        <w:fldChar w:fldCharType="end"/>
      </w:r>
      <w:r>
        <w:rPr>
          <w:rFonts w:hint="eastAsia" w:ascii="宋体" w:hAnsi="宋体" w:cs="宋体"/>
          <w:sz w:val="24"/>
        </w:rPr>
        <w:t>）。</w:t>
      </w:r>
    </w:p>
    <w:p w14:paraId="58ECBF03">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（2）信用信息查询截止时点：开标日由采购人或采购代理查询投标人的信用信息记录。</w:t>
      </w:r>
    </w:p>
    <w:p w14:paraId="0D68C8E2">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（3）信用信息查询记录和证据留存的具体方式：信用信息查询记录将以网站截图打印稿形式与其他招标文件一并保存。</w:t>
      </w:r>
    </w:p>
    <w:p w14:paraId="07EF4412">
      <w:pPr>
        <w:pStyle w:val="15"/>
        <w:kinsoku w:val="0"/>
        <w:spacing w:after="0" w:line="360" w:lineRule="auto"/>
        <w:ind w:left="0" w:leftChars="0" w:firstLine="480" w:firstLineChars="200"/>
        <w:jc w:val="left"/>
        <w:rPr>
          <w:rFonts w:hint="eastAsia" w:ascii="宋体" w:hAnsi="宋体" w:cs="宋体"/>
          <w:sz w:val="24"/>
        </w:rPr>
      </w:pPr>
      <w:r>
        <w:rPr>
          <w:rFonts w:hint="eastAsia" w:ascii="宋体" w:hAnsi="宋体" w:cs="宋体"/>
          <w:sz w:val="24"/>
        </w:rPr>
        <w:t>（4）信用信息的使用规则：如投标人为“信用中国”网站（www.creditchina.gov.cn）中列入失信被执行人或重大税收违法失信主体的供应商，或为中国政府采购网（www.ccgp.gov.cn）政府采购严重违法失信行为记录名单中被财政部门禁止参加政府采购活动的供应商，则其投标将被拒绝。</w:t>
      </w:r>
    </w:p>
    <w:p w14:paraId="01132256">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7.本项目不收取投标保证金。</w:t>
      </w:r>
    </w:p>
    <w:p w14:paraId="5618EEC5">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8.本项目执行促进中小企业发展、优先采购节能产品、优先采购环境标志产品政策。</w:t>
      </w:r>
    </w:p>
    <w:p w14:paraId="158CD7E2">
      <w:pPr>
        <w:pStyle w:val="15"/>
        <w:spacing w:after="0" w:line="360" w:lineRule="auto"/>
        <w:ind w:left="0" w:leftChars="0" w:firstLine="480" w:firstLineChars="200"/>
        <w:rPr>
          <w:rFonts w:hint="eastAsia" w:ascii="宋体" w:hAnsi="宋体" w:cs="宋体"/>
          <w:color w:val="auto"/>
          <w:sz w:val="24"/>
        </w:rPr>
      </w:pPr>
      <w:r>
        <w:rPr>
          <w:rFonts w:hint="eastAsia" w:ascii="宋体" w:hAnsi="宋体" w:cs="宋体"/>
          <w:sz w:val="24"/>
        </w:rPr>
        <w:t>9.本项目相关公告在发</w:t>
      </w:r>
      <w:r>
        <w:rPr>
          <w:rFonts w:hint="eastAsia" w:ascii="宋体" w:hAnsi="宋体" w:cs="宋体"/>
          <w:color w:val="auto"/>
          <w:sz w:val="24"/>
        </w:rPr>
        <w:t>布媒体：中国政府采购网(www.ccgp.gov.cn)和浙江政府采购网（zfcg.czt.zj.gov.cn）。相关公告在法定媒体上公布之日即视为有效送达，请各投标人及时关注。</w:t>
      </w:r>
    </w:p>
    <w:p w14:paraId="5742AFA6">
      <w:pPr>
        <w:pStyle w:val="9"/>
        <w:wordWrap w:val="0"/>
        <w:rPr>
          <w:color w:val="auto"/>
        </w:rPr>
      </w:pPr>
      <w:r>
        <w:rPr>
          <w:rFonts w:hint="eastAsia"/>
          <w:color w:val="auto"/>
        </w:rPr>
        <w:t>10</w:t>
      </w:r>
      <w:r>
        <w:rPr>
          <w:rFonts w:hint="eastAsia" w:ascii="宋体" w:hAnsi="宋体" w:cs="宋体"/>
          <w:color w:val="auto"/>
          <w:sz w:val="24"/>
        </w:rPr>
        <w:t>.采购意向公开链接：</w:t>
      </w:r>
      <w:r>
        <w:rPr>
          <w:rFonts w:ascii="宋体" w:hAnsi="宋体" w:cs="宋体"/>
          <w:color w:val="auto"/>
          <w:sz w:val="24"/>
        </w:rPr>
        <w:t>http://cgyx.ccgp.gov.cn/cgyx/pub/details?groupId=50eaf192-3290-4ef7-becc-a8bb7d36768f</w:t>
      </w:r>
    </w:p>
    <w:p w14:paraId="34595623">
      <w:pPr>
        <w:spacing w:line="360" w:lineRule="auto"/>
        <w:jc w:val="left"/>
        <w:rPr>
          <w:rFonts w:hint="eastAsia" w:ascii="宋体" w:hAnsi="宋体" w:cs="宋体"/>
          <w:b/>
          <w:bCs/>
          <w:sz w:val="24"/>
        </w:rPr>
      </w:pPr>
      <w:r>
        <w:rPr>
          <w:rFonts w:hint="eastAsia" w:ascii="宋体" w:hAnsi="宋体" w:cs="宋体"/>
          <w:b/>
          <w:bCs/>
          <w:sz w:val="24"/>
        </w:rPr>
        <w:t>七、对本次招标提出询问，请按以下方式联系</w:t>
      </w:r>
    </w:p>
    <w:p w14:paraId="624A4698">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1.采购人信息</w:t>
      </w:r>
    </w:p>
    <w:p w14:paraId="568312CE">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名  称：舟山市消防救援支队</w:t>
      </w:r>
    </w:p>
    <w:p w14:paraId="7D753DA7">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地  址：浙江省舟山市定海区临城街道海天大道560号</w:t>
      </w:r>
    </w:p>
    <w:p w14:paraId="15CB2130">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联系人：沈女士</w:t>
      </w:r>
    </w:p>
    <w:p w14:paraId="2CC4E91C">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联系方式：13758031630</w:t>
      </w:r>
    </w:p>
    <w:p w14:paraId="192F9344">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2.采购代理机构信息</w:t>
      </w:r>
    </w:p>
    <w:p w14:paraId="5131651A">
      <w:pPr>
        <w:pStyle w:val="15"/>
        <w:spacing w:after="0" w:line="360" w:lineRule="auto"/>
        <w:ind w:left="0" w:leftChars="0"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浙江自贸区中昊工程管理有限公司</w:t>
      </w:r>
    </w:p>
    <w:p w14:paraId="6F0088A2">
      <w:pPr>
        <w:pStyle w:val="15"/>
        <w:spacing w:after="0" w:line="360" w:lineRule="auto"/>
        <w:ind w:left="0" w:leftChars="0"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舟山市定海区临城街道百川道9号海洋科学城A12号楼910室</w:t>
      </w:r>
    </w:p>
    <w:p w14:paraId="0286A82A">
      <w:pPr>
        <w:pStyle w:val="15"/>
        <w:spacing w:after="0" w:line="360" w:lineRule="auto"/>
        <w:ind w:left="0" w:leftChars="0" w:firstLine="480" w:firstLineChars="2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eastAsia="zh-CN"/>
        </w:rPr>
        <w:t>；</w:t>
      </w:r>
      <w:r>
        <w:rPr>
          <w:rFonts w:hint="eastAsia" w:ascii="宋体" w:hAnsi="宋体" w:cs="宋体"/>
          <w:sz w:val="24"/>
          <w:lang w:val="en-US" w:eastAsia="zh-CN"/>
        </w:rPr>
        <w:t>刘妮</w:t>
      </w:r>
    </w:p>
    <w:p w14:paraId="02EE09BC">
      <w:pPr>
        <w:pStyle w:val="15"/>
        <w:spacing w:after="0" w:line="360" w:lineRule="auto"/>
        <w:ind w:left="0" w:leftChars="0" w:firstLine="480" w:firstLineChars="200"/>
        <w:rPr>
          <w:rFonts w:hint="default" w:ascii="宋体" w:hAnsi="宋体" w:eastAsia="宋体" w:cs="宋体"/>
          <w:sz w:val="24"/>
          <w:lang w:val="en-US" w:eastAsia="zh-CN"/>
        </w:rPr>
      </w:pPr>
      <w:r>
        <w:rPr>
          <w:rFonts w:hint="eastAsia" w:ascii="宋体" w:hAnsi="宋体" w:cs="宋体"/>
          <w:sz w:val="24"/>
        </w:rPr>
        <w:t>联系方式：</w:t>
      </w:r>
      <w:r>
        <w:rPr>
          <w:rFonts w:ascii="宋体" w:hAnsi="宋体" w:cs="宋体"/>
          <w:sz w:val="24"/>
        </w:rPr>
        <w:t>0580-</w:t>
      </w:r>
      <w:r>
        <w:rPr>
          <w:rFonts w:hint="eastAsia" w:ascii="宋体" w:hAnsi="宋体" w:cs="宋体"/>
          <w:sz w:val="24"/>
          <w:lang w:val="en-US" w:eastAsia="zh-CN"/>
        </w:rPr>
        <w:t>2119100</w:t>
      </w:r>
    </w:p>
    <w:p w14:paraId="00F826CD">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3.监督部门：舟山市消防救援支队</w:t>
      </w:r>
    </w:p>
    <w:p w14:paraId="4AF5451C">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联系人：李女士</w:t>
      </w:r>
    </w:p>
    <w:p w14:paraId="3E690FB0">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联系方式：0580-2088052</w:t>
      </w:r>
    </w:p>
    <w:p w14:paraId="5F8BBA43">
      <w:pPr>
        <w:pStyle w:val="2"/>
        <w:spacing w:before="156" w:after="156"/>
        <w:rPr>
          <w:rFonts w:hint="eastAsia"/>
        </w:rPr>
      </w:pPr>
      <w:bookmarkStart w:id="4" w:name="_Toc9348"/>
      <w:r>
        <w:rPr>
          <w:rFonts w:hint="eastAsia"/>
        </w:rPr>
        <w:t>第二部分  投标人须知</w:t>
      </w:r>
      <w:bookmarkEnd w:id="2"/>
      <w:bookmarkEnd w:id="4"/>
    </w:p>
    <w:p w14:paraId="0E7588B1">
      <w:pPr>
        <w:pStyle w:val="4"/>
        <w:rPr>
          <w:rFonts w:hint="eastAsia"/>
        </w:rPr>
      </w:pPr>
      <w:r>
        <w:rPr>
          <w:rFonts w:hint="eastAsia"/>
        </w:rPr>
        <w:t>前 附 表</w:t>
      </w:r>
    </w:p>
    <w:tbl>
      <w:tblPr>
        <w:tblStyle w:val="35"/>
        <w:tblW w:w="97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1347"/>
        <w:gridCol w:w="7753"/>
      </w:tblGrid>
      <w:tr w14:paraId="42B61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E099470">
            <w:pPr>
              <w:spacing w:line="360" w:lineRule="auto"/>
              <w:jc w:val="center"/>
              <w:rPr>
                <w:rFonts w:hint="eastAsia" w:ascii="宋体" w:hAnsi="宋体" w:cs="宋体"/>
                <w:b/>
                <w:bCs/>
                <w:spacing w:val="-6"/>
                <w:sz w:val="24"/>
              </w:rPr>
            </w:pPr>
            <w:r>
              <w:rPr>
                <w:rFonts w:hint="eastAsia" w:ascii="宋体" w:hAnsi="宋体" w:cs="宋体"/>
                <w:b/>
                <w:bCs/>
                <w:spacing w:val="-6"/>
                <w:sz w:val="24"/>
              </w:rPr>
              <w:t>序号</w:t>
            </w:r>
          </w:p>
        </w:tc>
        <w:tc>
          <w:tcPr>
            <w:tcW w:w="1347" w:type="dxa"/>
            <w:tcBorders>
              <w:top w:val="single" w:color="auto" w:sz="4" w:space="0"/>
              <w:left w:val="single" w:color="auto" w:sz="4" w:space="0"/>
              <w:bottom w:val="single" w:color="auto" w:sz="4" w:space="0"/>
              <w:right w:val="single" w:color="auto" w:sz="4" w:space="0"/>
            </w:tcBorders>
            <w:vAlign w:val="center"/>
          </w:tcPr>
          <w:p w14:paraId="609077FC">
            <w:pPr>
              <w:spacing w:line="360" w:lineRule="auto"/>
              <w:jc w:val="center"/>
              <w:rPr>
                <w:rFonts w:hint="eastAsia" w:ascii="宋体" w:hAnsi="宋体" w:cs="宋体"/>
                <w:b/>
                <w:bCs/>
                <w:spacing w:val="-6"/>
                <w:sz w:val="24"/>
              </w:rPr>
            </w:pPr>
            <w:r>
              <w:rPr>
                <w:rFonts w:hint="eastAsia" w:ascii="宋体" w:hAnsi="宋体" w:cs="宋体"/>
                <w:b/>
                <w:bCs/>
                <w:spacing w:val="-6"/>
                <w:sz w:val="24"/>
              </w:rPr>
              <w:t>内容</w:t>
            </w:r>
          </w:p>
        </w:tc>
        <w:tc>
          <w:tcPr>
            <w:tcW w:w="7753" w:type="dxa"/>
            <w:tcBorders>
              <w:top w:val="single" w:color="auto" w:sz="4" w:space="0"/>
              <w:left w:val="single" w:color="auto" w:sz="4" w:space="0"/>
              <w:bottom w:val="single" w:color="auto" w:sz="4" w:space="0"/>
              <w:right w:val="single" w:color="auto" w:sz="4" w:space="0"/>
            </w:tcBorders>
            <w:vAlign w:val="center"/>
          </w:tcPr>
          <w:p w14:paraId="2157DC96">
            <w:pPr>
              <w:spacing w:line="360" w:lineRule="auto"/>
              <w:jc w:val="center"/>
              <w:rPr>
                <w:rFonts w:hint="eastAsia" w:ascii="宋体" w:hAnsi="宋体" w:cs="宋体"/>
                <w:b/>
                <w:bCs/>
                <w:spacing w:val="-6"/>
                <w:sz w:val="24"/>
              </w:rPr>
            </w:pPr>
            <w:r>
              <w:rPr>
                <w:rFonts w:hint="eastAsia" w:ascii="宋体" w:hAnsi="宋体" w:cs="宋体"/>
                <w:b/>
                <w:bCs/>
                <w:spacing w:val="-6"/>
                <w:sz w:val="24"/>
              </w:rPr>
              <w:t>说明与要求</w:t>
            </w:r>
          </w:p>
        </w:tc>
      </w:tr>
      <w:tr w14:paraId="4B409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ED2B37B">
            <w:pPr>
              <w:spacing w:line="360" w:lineRule="auto"/>
              <w:jc w:val="center"/>
              <w:rPr>
                <w:rFonts w:hint="eastAsia" w:ascii="宋体" w:hAnsi="宋体" w:cs="宋体"/>
                <w:b/>
                <w:bCs/>
                <w:spacing w:val="-6"/>
                <w:sz w:val="24"/>
              </w:rPr>
            </w:pPr>
            <w:r>
              <w:rPr>
                <w:rFonts w:hint="eastAsia" w:ascii="宋体" w:hAnsi="宋体" w:cs="宋体"/>
                <w:b/>
                <w:bCs/>
                <w:spacing w:val="-6"/>
                <w:sz w:val="24"/>
              </w:rPr>
              <w:t>1</w:t>
            </w:r>
          </w:p>
        </w:tc>
        <w:tc>
          <w:tcPr>
            <w:tcW w:w="1347" w:type="dxa"/>
            <w:tcBorders>
              <w:top w:val="single" w:color="auto" w:sz="4" w:space="0"/>
              <w:left w:val="single" w:color="auto" w:sz="4" w:space="0"/>
              <w:bottom w:val="single" w:color="auto" w:sz="4" w:space="0"/>
              <w:right w:val="single" w:color="auto" w:sz="4" w:space="0"/>
            </w:tcBorders>
            <w:vAlign w:val="center"/>
          </w:tcPr>
          <w:p w14:paraId="543C58E3">
            <w:pPr>
              <w:spacing w:line="360" w:lineRule="auto"/>
              <w:jc w:val="center"/>
              <w:rPr>
                <w:rFonts w:hint="eastAsia" w:ascii="宋体" w:hAnsi="宋体" w:cs="宋体"/>
                <w:b/>
                <w:bCs/>
                <w:spacing w:val="-6"/>
                <w:sz w:val="24"/>
              </w:rPr>
            </w:pPr>
            <w:r>
              <w:rPr>
                <w:rFonts w:hint="eastAsia" w:ascii="宋体" w:hAnsi="宋体" w:cs="宋体"/>
                <w:b/>
                <w:bCs/>
                <w:spacing w:val="-6"/>
                <w:sz w:val="24"/>
              </w:rPr>
              <w:t>项目名称</w:t>
            </w:r>
          </w:p>
        </w:tc>
        <w:tc>
          <w:tcPr>
            <w:tcW w:w="7753" w:type="dxa"/>
            <w:tcBorders>
              <w:top w:val="single" w:color="auto" w:sz="4" w:space="0"/>
              <w:left w:val="single" w:color="auto" w:sz="4" w:space="0"/>
              <w:bottom w:val="single" w:color="auto" w:sz="4" w:space="0"/>
              <w:right w:val="single" w:color="auto" w:sz="4" w:space="0"/>
            </w:tcBorders>
            <w:vAlign w:val="center"/>
          </w:tcPr>
          <w:p w14:paraId="2A2AE930">
            <w:pPr>
              <w:spacing w:line="360" w:lineRule="auto"/>
              <w:jc w:val="left"/>
              <w:rPr>
                <w:rFonts w:hint="eastAsia" w:ascii="宋体" w:hAnsi="宋体" w:eastAsia="宋体" w:cs="宋体"/>
                <w:spacing w:val="-6"/>
                <w:sz w:val="24"/>
                <w:lang w:eastAsia="zh-CN"/>
              </w:rPr>
            </w:pPr>
            <w:r>
              <w:rPr>
                <w:rFonts w:hint="eastAsia" w:ascii="宋体" w:hAnsi="宋体" w:cs="宋体"/>
                <w:b/>
                <w:bCs/>
                <w:sz w:val="24"/>
                <w:lang w:eastAsia="zh-CN"/>
              </w:rPr>
              <w:t>浙江省舟山市消防救援支队2024年全市器材装备（破拆类二）采购项目</w:t>
            </w:r>
          </w:p>
        </w:tc>
      </w:tr>
      <w:tr w14:paraId="3F147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930A291">
            <w:pPr>
              <w:spacing w:line="360" w:lineRule="auto"/>
              <w:jc w:val="center"/>
              <w:rPr>
                <w:rFonts w:hint="eastAsia" w:ascii="宋体" w:hAnsi="宋体" w:cs="宋体"/>
                <w:b/>
                <w:bCs/>
                <w:spacing w:val="-6"/>
                <w:sz w:val="24"/>
              </w:rPr>
            </w:pPr>
            <w:r>
              <w:rPr>
                <w:rFonts w:hint="eastAsia" w:ascii="宋体" w:hAnsi="宋体" w:cs="宋体"/>
                <w:b/>
                <w:bCs/>
                <w:spacing w:val="-6"/>
                <w:sz w:val="24"/>
              </w:rPr>
              <w:t>2</w:t>
            </w:r>
          </w:p>
        </w:tc>
        <w:tc>
          <w:tcPr>
            <w:tcW w:w="134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29D94E39">
            <w:pPr>
              <w:pStyle w:val="3"/>
              <w:spacing w:beforeLines="0" w:afterLines="0" w:line="360" w:lineRule="auto"/>
              <w:jc w:val="center"/>
              <w:rPr>
                <w:rFonts w:hint="eastAsia" w:hAnsi="宋体" w:cs="宋体"/>
                <w:b/>
                <w:spacing w:val="-20"/>
              </w:rPr>
            </w:pPr>
            <w:r>
              <w:rPr>
                <w:rFonts w:hint="eastAsia" w:hAnsi="宋体" w:cs="宋体"/>
                <w:b/>
                <w:spacing w:val="-20"/>
              </w:rPr>
              <w:t>项目属性</w:t>
            </w:r>
          </w:p>
          <w:p w14:paraId="109AA75E">
            <w:pPr>
              <w:pStyle w:val="3"/>
              <w:spacing w:beforeLines="0" w:afterLines="0" w:line="360" w:lineRule="auto"/>
              <w:jc w:val="center"/>
              <w:rPr>
                <w:rFonts w:hint="eastAsia" w:hAnsi="宋体" w:cs="宋体"/>
                <w:b/>
                <w:bCs/>
                <w:spacing w:val="-6"/>
              </w:rPr>
            </w:pPr>
            <w:r>
              <w:rPr>
                <w:rFonts w:hint="eastAsia" w:hAnsi="宋体" w:cs="宋体"/>
                <w:b/>
                <w:spacing w:val="-20"/>
              </w:rPr>
              <w:t>与核心产品</w:t>
            </w:r>
          </w:p>
        </w:tc>
        <w:tc>
          <w:tcPr>
            <w:tcW w:w="7753"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18137FA4">
            <w:pPr>
              <w:pStyle w:val="3"/>
              <w:spacing w:beforeLines="0" w:afterLines="0" w:line="360" w:lineRule="auto"/>
              <w:rPr>
                <w:rFonts w:hint="eastAsia" w:hAnsi="宋体" w:cs="宋体"/>
                <w:b/>
                <w:bCs/>
                <w:spacing w:val="-6"/>
              </w:rPr>
            </w:pPr>
            <w:r>
              <w:rPr>
                <w:rFonts w:hint="eastAsia" w:hAnsi="宋体" w:cs="宋体"/>
                <w:b/>
              </w:rPr>
              <w:sym w:font="Wingdings" w:char="F0FE"/>
            </w:r>
            <w:r>
              <w:rPr>
                <w:rFonts w:hint="eastAsia" w:hAnsi="宋体" w:cs="宋体"/>
                <w:spacing w:val="-6"/>
              </w:rPr>
              <w:t>货物类，各标项单一产品或核心产品：详见招标文件第三部分采购需求的采购清单。</w:t>
            </w:r>
          </w:p>
        </w:tc>
      </w:tr>
      <w:tr w14:paraId="687CD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0040C6E">
            <w:pPr>
              <w:spacing w:line="360" w:lineRule="auto"/>
              <w:jc w:val="center"/>
              <w:rPr>
                <w:rFonts w:hint="eastAsia" w:ascii="宋体" w:hAnsi="宋体" w:cs="宋体"/>
                <w:b/>
                <w:bCs/>
                <w:spacing w:val="-6"/>
                <w:sz w:val="24"/>
              </w:rPr>
            </w:pPr>
            <w:r>
              <w:rPr>
                <w:rFonts w:hint="eastAsia" w:ascii="宋体" w:hAnsi="宋体" w:cs="宋体"/>
                <w:b/>
                <w:bCs/>
                <w:spacing w:val="-6"/>
                <w:sz w:val="24"/>
              </w:rPr>
              <w:t>3</w:t>
            </w:r>
          </w:p>
        </w:tc>
        <w:tc>
          <w:tcPr>
            <w:tcW w:w="1347" w:type="dxa"/>
            <w:tcBorders>
              <w:top w:val="single" w:color="auto" w:sz="4" w:space="0"/>
              <w:left w:val="single" w:color="auto" w:sz="4" w:space="0"/>
              <w:bottom w:val="single" w:color="auto" w:sz="4" w:space="0"/>
              <w:right w:val="single" w:color="auto" w:sz="4" w:space="0"/>
            </w:tcBorders>
            <w:vAlign w:val="center"/>
          </w:tcPr>
          <w:p w14:paraId="065D9089">
            <w:pPr>
              <w:spacing w:line="360" w:lineRule="auto"/>
              <w:jc w:val="center"/>
              <w:rPr>
                <w:rFonts w:hint="eastAsia" w:ascii="宋体" w:hAnsi="宋体" w:cs="宋体"/>
                <w:b/>
                <w:bCs/>
                <w:spacing w:val="-6"/>
                <w:sz w:val="24"/>
              </w:rPr>
            </w:pPr>
            <w:r>
              <w:rPr>
                <w:rFonts w:hint="eastAsia" w:ascii="宋体" w:hAnsi="宋体" w:cs="宋体"/>
                <w:b/>
                <w:bCs/>
                <w:spacing w:val="-6"/>
                <w:sz w:val="24"/>
              </w:rPr>
              <w:t>采购内容</w:t>
            </w:r>
          </w:p>
        </w:tc>
        <w:tc>
          <w:tcPr>
            <w:tcW w:w="7753" w:type="dxa"/>
            <w:tcBorders>
              <w:top w:val="single" w:color="auto" w:sz="4" w:space="0"/>
              <w:left w:val="single" w:color="auto" w:sz="4" w:space="0"/>
              <w:bottom w:val="single" w:color="auto" w:sz="4" w:space="0"/>
              <w:right w:val="single" w:color="auto" w:sz="4" w:space="0"/>
            </w:tcBorders>
            <w:vAlign w:val="center"/>
          </w:tcPr>
          <w:p w14:paraId="4E7E9091">
            <w:pPr>
              <w:spacing w:line="360" w:lineRule="auto"/>
              <w:rPr>
                <w:rFonts w:hint="eastAsia" w:ascii="宋体" w:hAnsi="宋体" w:cs="宋体"/>
                <w:spacing w:val="-6"/>
                <w:sz w:val="24"/>
              </w:rPr>
            </w:pPr>
            <w:r>
              <w:rPr>
                <w:rFonts w:hint="eastAsia" w:ascii="宋体" w:hAnsi="宋体" w:cs="宋体"/>
                <w:spacing w:val="-6"/>
                <w:sz w:val="24"/>
                <w:lang w:eastAsia="zh-CN"/>
              </w:rPr>
              <w:t>浙江省舟山市消防救援支队2024年全市器材装备（破拆类二）采购项目</w:t>
            </w:r>
            <w:r>
              <w:rPr>
                <w:rFonts w:hint="eastAsia" w:ascii="宋体" w:hAnsi="宋体" w:cs="宋体"/>
                <w:spacing w:val="-6"/>
                <w:sz w:val="24"/>
              </w:rPr>
              <w:t>，详见第三部分采购需求。</w:t>
            </w:r>
          </w:p>
        </w:tc>
      </w:tr>
      <w:tr w14:paraId="2EF3B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885C294">
            <w:pPr>
              <w:spacing w:line="360" w:lineRule="auto"/>
              <w:jc w:val="center"/>
              <w:rPr>
                <w:rFonts w:hint="eastAsia" w:ascii="宋体" w:hAnsi="宋体" w:cs="宋体"/>
                <w:b/>
                <w:bCs/>
                <w:spacing w:val="-6"/>
                <w:sz w:val="24"/>
              </w:rPr>
            </w:pPr>
            <w:r>
              <w:rPr>
                <w:rFonts w:hint="eastAsia" w:ascii="宋体" w:hAnsi="宋体" w:cs="宋体"/>
                <w:b/>
                <w:bCs/>
                <w:spacing w:val="-6"/>
                <w:sz w:val="24"/>
              </w:rPr>
              <w:t>4</w:t>
            </w:r>
          </w:p>
        </w:tc>
        <w:tc>
          <w:tcPr>
            <w:tcW w:w="1347" w:type="dxa"/>
            <w:tcBorders>
              <w:top w:val="single" w:color="auto" w:sz="4" w:space="0"/>
              <w:left w:val="single" w:color="auto" w:sz="4" w:space="0"/>
              <w:bottom w:val="single" w:color="auto" w:sz="4" w:space="0"/>
              <w:right w:val="single" w:color="auto" w:sz="4" w:space="0"/>
            </w:tcBorders>
            <w:vAlign w:val="center"/>
          </w:tcPr>
          <w:p w14:paraId="5E866A3A">
            <w:pPr>
              <w:spacing w:line="360" w:lineRule="auto"/>
              <w:jc w:val="center"/>
              <w:rPr>
                <w:rFonts w:hint="eastAsia" w:ascii="宋体" w:hAnsi="宋体" w:cs="宋体"/>
                <w:b/>
                <w:bCs/>
                <w:spacing w:val="-6"/>
                <w:sz w:val="24"/>
              </w:rPr>
            </w:pPr>
            <w:r>
              <w:rPr>
                <w:rFonts w:hint="eastAsia" w:ascii="宋体" w:hAnsi="宋体" w:cs="宋体"/>
                <w:b/>
                <w:bCs/>
                <w:spacing w:val="-6"/>
                <w:sz w:val="24"/>
              </w:rPr>
              <w:t>交货期</w:t>
            </w:r>
          </w:p>
        </w:tc>
        <w:tc>
          <w:tcPr>
            <w:tcW w:w="7753" w:type="dxa"/>
            <w:tcBorders>
              <w:top w:val="single" w:color="auto" w:sz="4" w:space="0"/>
              <w:left w:val="single" w:color="auto" w:sz="4" w:space="0"/>
              <w:bottom w:val="single" w:color="auto" w:sz="4" w:space="0"/>
              <w:right w:val="single" w:color="auto" w:sz="4" w:space="0"/>
            </w:tcBorders>
            <w:vAlign w:val="center"/>
          </w:tcPr>
          <w:p w14:paraId="65A61154">
            <w:pPr>
              <w:spacing w:line="360" w:lineRule="auto"/>
              <w:rPr>
                <w:rFonts w:hint="eastAsia" w:ascii="宋体" w:hAnsi="宋体" w:cs="宋体"/>
                <w:spacing w:val="-6"/>
                <w:sz w:val="24"/>
              </w:rPr>
            </w:pPr>
            <w:r>
              <w:rPr>
                <w:rFonts w:hint="eastAsia" w:ascii="宋体" w:hAnsi="宋体" w:cs="宋体"/>
                <w:color w:val="auto"/>
                <w:spacing w:val="-6"/>
                <w:sz w:val="24"/>
              </w:rPr>
              <w:t>合同签订生效之日起60天内完成供货。</w:t>
            </w:r>
          </w:p>
        </w:tc>
      </w:tr>
      <w:tr w14:paraId="08807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5CE1C5D">
            <w:pPr>
              <w:spacing w:line="360" w:lineRule="auto"/>
              <w:jc w:val="center"/>
              <w:rPr>
                <w:rFonts w:hint="eastAsia" w:ascii="宋体" w:hAnsi="宋体" w:cs="宋体"/>
                <w:b/>
                <w:bCs/>
                <w:spacing w:val="-6"/>
                <w:sz w:val="24"/>
              </w:rPr>
            </w:pPr>
            <w:r>
              <w:rPr>
                <w:rFonts w:hint="eastAsia" w:ascii="宋体" w:hAnsi="宋体" w:cs="宋体"/>
                <w:b/>
                <w:bCs/>
                <w:spacing w:val="-6"/>
                <w:sz w:val="24"/>
              </w:rPr>
              <w:t>5</w:t>
            </w:r>
          </w:p>
        </w:tc>
        <w:tc>
          <w:tcPr>
            <w:tcW w:w="1347" w:type="dxa"/>
            <w:tcBorders>
              <w:top w:val="single" w:color="auto" w:sz="4" w:space="0"/>
              <w:left w:val="single" w:color="auto" w:sz="4" w:space="0"/>
              <w:bottom w:val="single" w:color="auto" w:sz="4" w:space="0"/>
              <w:right w:val="single" w:color="auto" w:sz="4" w:space="0"/>
            </w:tcBorders>
            <w:vAlign w:val="center"/>
          </w:tcPr>
          <w:p w14:paraId="5F23001D">
            <w:pPr>
              <w:spacing w:line="360" w:lineRule="auto"/>
              <w:jc w:val="center"/>
              <w:rPr>
                <w:rFonts w:hint="eastAsia" w:ascii="宋体" w:hAnsi="宋体" w:cs="宋体"/>
                <w:b/>
                <w:bCs/>
                <w:spacing w:val="-6"/>
                <w:sz w:val="24"/>
              </w:rPr>
            </w:pPr>
            <w:r>
              <w:rPr>
                <w:rFonts w:hint="eastAsia" w:ascii="宋体" w:hAnsi="宋体" w:cs="宋体"/>
                <w:b/>
                <w:bCs/>
                <w:spacing w:val="-6"/>
                <w:sz w:val="24"/>
              </w:rPr>
              <w:t>最高限价</w:t>
            </w:r>
          </w:p>
        </w:tc>
        <w:tc>
          <w:tcPr>
            <w:tcW w:w="7753" w:type="dxa"/>
            <w:tcBorders>
              <w:top w:val="single" w:color="auto" w:sz="4" w:space="0"/>
              <w:left w:val="single" w:color="auto" w:sz="4" w:space="0"/>
              <w:bottom w:val="single" w:color="auto" w:sz="4" w:space="0"/>
              <w:right w:val="single" w:color="auto" w:sz="4" w:space="0"/>
            </w:tcBorders>
            <w:vAlign w:val="center"/>
          </w:tcPr>
          <w:p w14:paraId="5CC83AB1">
            <w:pPr>
              <w:widowControl/>
              <w:spacing w:line="360" w:lineRule="auto"/>
              <w:jc w:val="left"/>
              <w:textAlignment w:val="center"/>
              <w:rPr>
                <w:rFonts w:hint="eastAsia" w:ascii="宋体" w:hAnsi="宋体" w:cs="宋体"/>
                <w:spacing w:val="-6"/>
                <w:sz w:val="24"/>
              </w:rPr>
            </w:pPr>
            <w:r>
              <w:rPr>
                <w:rFonts w:hint="eastAsia" w:ascii="宋体" w:hAnsi="宋体" w:cs="宋体"/>
                <w:b/>
                <w:bCs/>
                <w:spacing w:val="-6"/>
                <w:sz w:val="24"/>
              </w:rPr>
              <w:t>最高限价详见招标文件第一部分，任何超过最高限价的报价将被认定为无效报价，</w:t>
            </w:r>
            <w:r>
              <w:rPr>
                <w:rFonts w:hint="eastAsia" w:ascii="宋体" w:hAnsi="宋体" w:cs="宋体"/>
                <w:b/>
                <w:sz w:val="24"/>
              </w:rPr>
              <w:t>其投标文件将被否决</w:t>
            </w:r>
            <w:r>
              <w:rPr>
                <w:rFonts w:hint="eastAsia" w:ascii="宋体" w:hAnsi="宋体" w:cs="宋体"/>
                <w:b/>
                <w:bCs/>
                <w:spacing w:val="-6"/>
                <w:sz w:val="24"/>
              </w:rPr>
              <w:t>。各标项预算总价、分项预算金额详见第一部分招标公告。</w:t>
            </w:r>
          </w:p>
        </w:tc>
      </w:tr>
      <w:tr w14:paraId="5B6BB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25CE41D">
            <w:pPr>
              <w:spacing w:line="360" w:lineRule="auto"/>
              <w:jc w:val="center"/>
              <w:rPr>
                <w:rFonts w:hint="eastAsia" w:ascii="宋体" w:hAnsi="宋体" w:cs="宋体"/>
                <w:b/>
                <w:bCs/>
                <w:spacing w:val="-6"/>
                <w:sz w:val="24"/>
              </w:rPr>
            </w:pPr>
            <w:r>
              <w:rPr>
                <w:rFonts w:hint="eastAsia" w:ascii="宋体" w:hAnsi="宋体" w:cs="宋体"/>
                <w:b/>
                <w:bCs/>
                <w:spacing w:val="-6"/>
                <w:sz w:val="24"/>
              </w:rPr>
              <w:t>6</w:t>
            </w:r>
          </w:p>
        </w:tc>
        <w:tc>
          <w:tcPr>
            <w:tcW w:w="1347" w:type="dxa"/>
            <w:tcBorders>
              <w:top w:val="single" w:color="auto" w:sz="4" w:space="0"/>
              <w:left w:val="single" w:color="auto" w:sz="4" w:space="0"/>
              <w:bottom w:val="single" w:color="auto" w:sz="4" w:space="0"/>
              <w:right w:val="single" w:color="auto" w:sz="4" w:space="0"/>
            </w:tcBorders>
            <w:vAlign w:val="center"/>
          </w:tcPr>
          <w:p w14:paraId="00A7FDFD">
            <w:pPr>
              <w:spacing w:line="360" w:lineRule="auto"/>
              <w:jc w:val="center"/>
              <w:rPr>
                <w:rFonts w:hint="eastAsia" w:ascii="宋体" w:hAnsi="宋体" w:cs="宋体"/>
                <w:b/>
                <w:bCs/>
                <w:spacing w:val="-6"/>
                <w:sz w:val="24"/>
              </w:rPr>
            </w:pPr>
            <w:r>
              <w:rPr>
                <w:rFonts w:hint="eastAsia" w:ascii="宋体" w:hAnsi="宋体" w:cs="宋体"/>
                <w:b/>
                <w:bCs/>
                <w:spacing w:val="-6"/>
                <w:sz w:val="24"/>
              </w:rPr>
              <w:t>投标报价及费用</w:t>
            </w:r>
          </w:p>
          <w:p w14:paraId="47C77108">
            <w:pPr>
              <w:spacing w:line="360" w:lineRule="auto"/>
              <w:jc w:val="center"/>
              <w:rPr>
                <w:rFonts w:hint="eastAsia" w:ascii="宋体" w:hAnsi="宋体" w:cs="宋体"/>
                <w:b/>
                <w:bCs/>
                <w:spacing w:val="-6"/>
                <w:sz w:val="24"/>
              </w:rPr>
            </w:pPr>
          </w:p>
        </w:tc>
        <w:tc>
          <w:tcPr>
            <w:tcW w:w="7753" w:type="dxa"/>
            <w:tcBorders>
              <w:top w:val="single" w:color="auto" w:sz="4" w:space="0"/>
              <w:left w:val="single" w:color="auto" w:sz="4" w:space="0"/>
              <w:bottom w:val="single" w:color="auto" w:sz="4" w:space="0"/>
              <w:right w:val="single" w:color="auto" w:sz="4" w:space="0"/>
            </w:tcBorders>
            <w:vAlign w:val="center"/>
          </w:tcPr>
          <w:p w14:paraId="49481A7F">
            <w:pPr>
              <w:spacing w:line="360" w:lineRule="auto"/>
              <w:rPr>
                <w:rFonts w:hint="eastAsia" w:ascii="宋体" w:hAnsi="宋体" w:cs="宋体"/>
                <w:sz w:val="24"/>
              </w:rPr>
            </w:pPr>
            <w:r>
              <w:rPr>
                <w:rFonts w:hint="eastAsia" w:ascii="宋体" w:hAnsi="宋体" w:cs="宋体"/>
                <w:sz w:val="24"/>
              </w:rPr>
              <w:t>(1)本项目投标应以人民币报价；</w:t>
            </w:r>
          </w:p>
          <w:p w14:paraId="6E2D503A">
            <w:pPr>
              <w:spacing w:line="360" w:lineRule="auto"/>
              <w:rPr>
                <w:rFonts w:hint="eastAsia" w:ascii="宋体" w:hAnsi="宋体" w:cs="宋体"/>
                <w:sz w:val="24"/>
              </w:rPr>
            </w:pPr>
            <w:r>
              <w:rPr>
                <w:rFonts w:hint="eastAsia" w:ascii="宋体" w:hAnsi="宋体" w:cs="宋体"/>
                <w:sz w:val="24"/>
              </w:rPr>
              <w:t>(2)不论投标结果如何，投标人均应自行承担所有与投标有关的全部费用。▲</w:t>
            </w:r>
            <w:r>
              <w:rPr>
                <w:rFonts w:hint="eastAsia" w:ascii="宋体" w:hAnsi="宋体" w:cs="宋体"/>
                <w:b/>
                <w:sz w:val="24"/>
              </w:rPr>
              <w:t>评标委员会认为其报价明显低于其他通过符合性审查投标人的报价，且投标人不能证明其报价合理性，有可能影响产品质量或者不能诚信履约的，其投标无效。</w:t>
            </w:r>
          </w:p>
        </w:tc>
      </w:tr>
      <w:tr w14:paraId="2D2CA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E305FA1">
            <w:pPr>
              <w:spacing w:line="360" w:lineRule="auto"/>
              <w:jc w:val="center"/>
              <w:rPr>
                <w:rFonts w:hint="eastAsia" w:ascii="宋体" w:hAnsi="宋体" w:cs="宋体"/>
                <w:b/>
                <w:bCs/>
                <w:spacing w:val="-6"/>
                <w:sz w:val="24"/>
              </w:rPr>
            </w:pPr>
            <w:r>
              <w:rPr>
                <w:rFonts w:hint="eastAsia" w:ascii="宋体" w:hAnsi="宋体" w:cs="宋体"/>
                <w:b/>
                <w:bCs/>
                <w:spacing w:val="-6"/>
                <w:sz w:val="24"/>
              </w:rPr>
              <w:t>7</w:t>
            </w:r>
          </w:p>
        </w:tc>
        <w:tc>
          <w:tcPr>
            <w:tcW w:w="1347" w:type="dxa"/>
            <w:tcBorders>
              <w:top w:val="single" w:color="auto" w:sz="4" w:space="0"/>
              <w:left w:val="single" w:color="auto" w:sz="4" w:space="0"/>
              <w:bottom w:val="single" w:color="auto" w:sz="4" w:space="0"/>
              <w:right w:val="single" w:color="auto" w:sz="4" w:space="0"/>
            </w:tcBorders>
            <w:vAlign w:val="center"/>
          </w:tcPr>
          <w:p w14:paraId="30D18559">
            <w:pPr>
              <w:adjustRightInd w:val="0"/>
              <w:spacing w:line="360" w:lineRule="auto"/>
              <w:jc w:val="center"/>
              <w:rPr>
                <w:rFonts w:hint="eastAsia" w:ascii="宋体" w:hAnsi="宋体" w:cs="宋体"/>
                <w:b/>
                <w:bCs/>
                <w:spacing w:val="-6"/>
                <w:sz w:val="24"/>
              </w:rPr>
            </w:pPr>
            <w:r>
              <w:rPr>
                <w:rFonts w:hint="eastAsia" w:ascii="宋体" w:hAnsi="宋体" w:cs="宋体"/>
                <w:b/>
                <w:bCs/>
                <w:spacing w:val="-6"/>
                <w:sz w:val="24"/>
              </w:rPr>
              <w:t>开标</w:t>
            </w:r>
          </w:p>
          <w:p w14:paraId="70F56359">
            <w:pPr>
              <w:adjustRightInd w:val="0"/>
              <w:spacing w:line="360" w:lineRule="auto"/>
              <w:jc w:val="center"/>
              <w:rPr>
                <w:rFonts w:hint="eastAsia" w:ascii="宋体" w:hAnsi="宋体" w:cs="宋体"/>
                <w:b/>
                <w:bCs/>
                <w:spacing w:val="-6"/>
                <w:sz w:val="24"/>
              </w:rPr>
            </w:pPr>
            <w:r>
              <w:rPr>
                <w:rFonts w:hint="eastAsia" w:ascii="宋体" w:hAnsi="宋体" w:cs="宋体"/>
                <w:b/>
                <w:bCs/>
                <w:spacing w:val="-6"/>
                <w:sz w:val="24"/>
              </w:rPr>
              <w:t>安排</w:t>
            </w:r>
          </w:p>
        </w:tc>
        <w:tc>
          <w:tcPr>
            <w:tcW w:w="7753" w:type="dxa"/>
            <w:tcBorders>
              <w:top w:val="single" w:color="auto" w:sz="4" w:space="0"/>
              <w:left w:val="single" w:color="auto" w:sz="4" w:space="0"/>
              <w:bottom w:val="single" w:color="auto" w:sz="4" w:space="0"/>
              <w:right w:val="single" w:color="auto" w:sz="4" w:space="0"/>
            </w:tcBorders>
            <w:vAlign w:val="center"/>
          </w:tcPr>
          <w:p w14:paraId="10F13A22">
            <w:pPr>
              <w:adjustRightInd w:val="0"/>
              <w:spacing w:line="360" w:lineRule="auto"/>
              <w:rPr>
                <w:rFonts w:hint="eastAsia" w:ascii="宋体" w:hAnsi="宋体" w:cs="宋体"/>
                <w:b/>
                <w:bCs/>
                <w:sz w:val="24"/>
              </w:rPr>
            </w:pPr>
            <w:r>
              <w:rPr>
                <w:rFonts w:hint="eastAsia" w:ascii="宋体" w:hAnsi="宋体" w:cs="宋体"/>
                <w:b/>
                <w:bCs/>
                <w:sz w:val="24"/>
              </w:rPr>
              <w:t>(1)开标时间：见招标公告</w:t>
            </w:r>
          </w:p>
          <w:p w14:paraId="114FD3F1">
            <w:pPr>
              <w:adjustRightInd w:val="0"/>
              <w:spacing w:line="360" w:lineRule="auto"/>
              <w:rPr>
                <w:rFonts w:hint="eastAsia" w:ascii="宋体" w:hAnsi="宋体" w:cs="宋体"/>
                <w:sz w:val="24"/>
              </w:rPr>
            </w:pPr>
            <w:r>
              <w:rPr>
                <w:rFonts w:hint="eastAsia" w:ascii="宋体" w:hAnsi="宋体" w:cs="宋体"/>
                <w:b/>
                <w:bCs/>
                <w:sz w:val="24"/>
              </w:rPr>
              <w:t>(2)开标地点：见招标公告</w:t>
            </w:r>
          </w:p>
          <w:p w14:paraId="3E8270C2">
            <w:pPr>
              <w:adjustRightInd w:val="0"/>
              <w:spacing w:line="360" w:lineRule="auto"/>
              <w:rPr>
                <w:rFonts w:hint="eastAsia" w:ascii="宋体" w:hAnsi="宋体" w:cs="宋体"/>
                <w:sz w:val="24"/>
              </w:rPr>
            </w:pPr>
            <w:r>
              <w:rPr>
                <w:rFonts w:hint="eastAsia" w:ascii="宋体" w:hAnsi="宋体" w:cs="宋体"/>
                <w:b/>
                <w:bCs/>
                <w:sz w:val="24"/>
              </w:rPr>
              <w:t>(3)投标文件接收：投标截止时间前半小时内接收投标文件。</w:t>
            </w:r>
            <w:r>
              <w:rPr>
                <w:rFonts w:hint="eastAsia" w:ascii="宋体" w:hAnsi="宋体" w:cs="宋体"/>
                <w:sz w:val="24"/>
              </w:rPr>
              <w:t xml:space="preserve">递交的投标文件应包装完整、牢固不易脱落，若因包装问题在移动、搬运过程中造成遗失或破损的，由投标人承担。 </w:t>
            </w:r>
          </w:p>
        </w:tc>
      </w:tr>
      <w:tr w14:paraId="794CD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46CD5FA">
            <w:pPr>
              <w:spacing w:line="360" w:lineRule="auto"/>
              <w:jc w:val="center"/>
              <w:rPr>
                <w:rFonts w:hint="eastAsia" w:ascii="宋体" w:hAnsi="宋体" w:cs="宋体"/>
                <w:b/>
                <w:bCs/>
                <w:spacing w:val="-6"/>
                <w:sz w:val="24"/>
              </w:rPr>
            </w:pPr>
            <w:r>
              <w:rPr>
                <w:rFonts w:hint="eastAsia" w:ascii="宋体" w:hAnsi="宋体" w:cs="宋体"/>
                <w:b/>
                <w:bCs/>
                <w:spacing w:val="-6"/>
                <w:sz w:val="24"/>
              </w:rPr>
              <w:t>8</w:t>
            </w:r>
          </w:p>
        </w:tc>
        <w:tc>
          <w:tcPr>
            <w:tcW w:w="1347" w:type="dxa"/>
            <w:tcBorders>
              <w:top w:val="single" w:color="auto" w:sz="4" w:space="0"/>
              <w:left w:val="single" w:color="auto" w:sz="4" w:space="0"/>
              <w:bottom w:val="single" w:color="auto" w:sz="4" w:space="0"/>
              <w:right w:val="single" w:color="auto" w:sz="4" w:space="0"/>
            </w:tcBorders>
            <w:vAlign w:val="center"/>
          </w:tcPr>
          <w:p w14:paraId="7E59A811">
            <w:pPr>
              <w:spacing w:line="360" w:lineRule="auto"/>
              <w:jc w:val="center"/>
              <w:rPr>
                <w:rFonts w:hint="eastAsia" w:ascii="宋体" w:hAnsi="宋体" w:cs="宋体"/>
                <w:b/>
                <w:bCs/>
                <w:spacing w:val="-6"/>
                <w:sz w:val="24"/>
              </w:rPr>
            </w:pPr>
            <w:r>
              <w:rPr>
                <w:rFonts w:hint="eastAsia" w:ascii="宋体" w:hAnsi="宋体" w:cs="宋体"/>
                <w:b/>
                <w:bCs/>
                <w:spacing w:val="-17"/>
                <w:sz w:val="24"/>
              </w:rPr>
              <w:t>投标保证金</w:t>
            </w:r>
          </w:p>
        </w:tc>
        <w:tc>
          <w:tcPr>
            <w:tcW w:w="7753" w:type="dxa"/>
            <w:tcBorders>
              <w:top w:val="single" w:color="auto" w:sz="4" w:space="0"/>
              <w:left w:val="single" w:color="auto" w:sz="4" w:space="0"/>
              <w:bottom w:val="single" w:color="auto" w:sz="4" w:space="0"/>
              <w:right w:val="single" w:color="auto" w:sz="4" w:space="0"/>
            </w:tcBorders>
            <w:vAlign w:val="center"/>
          </w:tcPr>
          <w:p w14:paraId="5091829F">
            <w:pPr>
              <w:spacing w:line="360" w:lineRule="auto"/>
              <w:rPr>
                <w:rFonts w:hint="eastAsia" w:ascii="宋体" w:hAnsi="宋体" w:cs="宋体"/>
                <w:spacing w:val="-6"/>
                <w:sz w:val="24"/>
              </w:rPr>
            </w:pPr>
            <w:r>
              <w:rPr>
                <w:rFonts w:hint="eastAsia" w:ascii="宋体" w:hAnsi="宋体" w:cs="宋体"/>
                <w:spacing w:val="-6"/>
                <w:sz w:val="24"/>
              </w:rPr>
              <w:t>无。</w:t>
            </w:r>
          </w:p>
        </w:tc>
      </w:tr>
      <w:tr w14:paraId="22136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4E261B1">
            <w:pPr>
              <w:spacing w:line="360" w:lineRule="auto"/>
              <w:jc w:val="center"/>
              <w:rPr>
                <w:rFonts w:hint="eastAsia" w:ascii="宋体" w:hAnsi="宋体" w:cs="宋体"/>
                <w:b/>
                <w:bCs/>
                <w:spacing w:val="-6"/>
                <w:sz w:val="24"/>
              </w:rPr>
            </w:pPr>
            <w:r>
              <w:rPr>
                <w:rFonts w:hint="eastAsia" w:ascii="宋体" w:hAnsi="宋体" w:cs="宋体"/>
                <w:b/>
                <w:bCs/>
                <w:spacing w:val="-6"/>
                <w:sz w:val="24"/>
              </w:rPr>
              <w:t>9</w:t>
            </w:r>
          </w:p>
        </w:tc>
        <w:tc>
          <w:tcPr>
            <w:tcW w:w="1347" w:type="dxa"/>
            <w:tcBorders>
              <w:top w:val="single" w:color="auto" w:sz="4" w:space="0"/>
              <w:left w:val="single" w:color="auto" w:sz="4" w:space="0"/>
              <w:bottom w:val="single" w:color="auto" w:sz="4" w:space="0"/>
              <w:right w:val="single" w:color="auto" w:sz="4" w:space="0"/>
            </w:tcBorders>
            <w:vAlign w:val="center"/>
          </w:tcPr>
          <w:p w14:paraId="4BCA7D5F">
            <w:pPr>
              <w:autoSpaceDE w:val="0"/>
              <w:autoSpaceDN w:val="0"/>
              <w:spacing w:line="360" w:lineRule="auto"/>
              <w:jc w:val="center"/>
              <w:textAlignment w:val="bottom"/>
              <w:rPr>
                <w:rFonts w:hint="eastAsia" w:ascii="宋体" w:hAnsi="宋体" w:cs="宋体"/>
                <w:b/>
                <w:bCs/>
                <w:spacing w:val="-6"/>
                <w:sz w:val="24"/>
              </w:rPr>
            </w:pPr>
            <w:r>
              <w:rPr>
                <w:rFonts w:hint="eastAsia" w:ascii="宋体" w:hAnsi="宋体" w:cs="宋体"/>
                <w:b/>
                <w:bCs/>
                <w:spacing w:val="-6"/>
                <w:sz w:val="24"/>
              </w:rPr>
              <w:t>投标文件份数</w:t>
            </w:r>
          </w:p>
        </w:tc>
        <w:tc>
          <w:tcPr>
            <w:tcW w:w="7753" w:type="dxa"/>
            <w:tcBorders>
              <w:top w:val="single" w:color="auto" w:sz="4" w:space="0"/>
              <w:left w:val="single" w:color="auto" w:sz="4" w:space="0"/>
              <w:bottom w:val="single" w:color="auto" w:sz="4" w:space="0"/>
              <w:right w:val="single" w:color="auto" w:sz="4" w:space="0"/>
            </w:tcBorders>
            <w:vAlign w:val="center"/>
          </w:tcPr>
          <w:p w14:paraId="32387696">
            <w:pPr>
              <w:autoSpaceDE w:val="0"/>
              <w:autoSpaceDN w:val="0"/>
              <w:adjustRightInd w:val="0"/>
              <w:spacing w:line="360" w:lineRule="auto"/>
              <w:rPr>
                <w:rFonts w:hint="eastAsia" w:ascii="宋体" w:hAnsi="宋体" w:cs="宋体"/>
                <w:spacing w:val="-6"/>
                <w:sz w:val="24"/>
              </w:rPr>
            </w:pPr>
            <w:r>
              <w:rPr>
                <w:rFonts w:hint="eastAsia" w:ascii="宋体" w:hAnsi="宋体" w:cs="宋体"/>
                <w:spacing w:val="-6"/>
                <w:sz w:val="24"/>
              </w:rPr>
              <w:t>投标文件由资格证明文件、商务技术文件、报价文件三部分组成。资格证明文件、商务技术文件合并成一册装订；报价文件须单独装订。各自正本1份，副本4份。</w:t>
            </w:r>
          </w:p>
          <w:p w14:paraId="3B2A2080">
            <w:pPr>
              <w:autoSpaceDE w:val="0"/>
              <w:autoSpaceDN w:val="0"/>
              <w:adjustRightInd w:val="0"/>
              <w:spacing w:line="360" w:lineRule="auto"/>
              <w:rPr>
                <w:rFonts w:hint="eastAsia" w:ascii="宋体" w:hAnsi="宋体" w:cs="宋体"/>
                <w:spacing w:val="-6"/>
                <w:sz w:val="24"/>
              </w:rPr>
            </w:pPr>
            <w:r>
              <w:rPr>
                <w:rFonts w:hint="eastAsia" w:ascii="宋体" w:hAnsi="宋体" w:cs="宋体"/>
                <w:spacing w:val="-6"/>
                <w:sz w:val="24"/>
              </w:rPr>
              <w:t>提供电子版投标文件U盘一份（含word版本，盖章扫描件pdf版本各一份），单独密封包装。</w:t>
            </w:r>
          </w:p>
          <w:p w14:paraId="5A2D9754">
            <w:pPr>
              <w:autoSpaceDE w:val="0"/>
              <w:autoSpaceDN w:val="0"/>
              <w:adjustRightInd w:val="0"/>
              <w:spacing w:line="360" w:lineRule="auto"/>
              <w:rPr>
                <w:rFonts w:hint="eastAsia" w:ascii="宋体" w:hAnsi="宋体" w:cs="宋体"/>
                <w:spacing w:val="-6"/>
                <w:sz w:val="24"/>
              </w:rPr>
            </w:pPr>
            <w:r>
              <w:rPr>
                <w:rFonts w:hint="eastAsia" w:ascii="宋体" w:hAnsi="宋体" w:cs="宋体"/>
                <w:spacing w:val="-6"/>
                <w:sz w:val="24"/>
              </w:rPr>
              <w:t>注：按标项装订标书。</w:t>
            </w:r>
          </w:p>
        </w:tc>
      </w:tr>
      <w:tr w14:paraId="6273D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C6F0F00">
            <w:pPr>
              <w:spacing w:line="360" w:lineRule="auto"/>
              <w:jc w:val="center"/>
              <w:rPr>
                <w:rFonts w:hint="eastAsia" w:ascii="宋体" w:hAnsi="宋体" w:cs="宋体"/>
                <w:b/>
                <w:bCs/>
                <w:spacing w:val="-6"/>
                <w:sz w:val="24"/>
              </w:rPr>
            </w:pPr>
            <w:r>
              <w:rPr>
                <w:rFonts w:hint="eastAsia" w:ascii="宋体" w:hAnsi="宋体" w:cs="宋体"/>
                <w:b/>
                <w:bCs/>
                <w:spacing w:val="-6"/>
                <w:sz w:val="24"/>
              </w:rPr>
              <w:t>10</w:t>
            </w:r>
          </w:p>
        </w:tc>
        <w:tc>
          <w:tcPr>
            <w:tcW w:w="1347" w:type="dxa"/>
            <w:tcBorders>
              <w:top w:val="single" w:color="auto" w:sz="4" w:space="0"/>
              <w:left w:val="single" w:color="auto" w:sz="4" w:space="0"/>
              <w:bottom w:val="single" w:color="auto" w:sz="4" w:space="0"/>
              <w:right w:val="single" w:color="auto" w:sz="4" w:space="0"/>
            </w:tcBorders>
            <w:vAlign w:val="center"/>
          </w:tcPr>
          <w:p w14:paraId="2B9F5F46">
            <w:pPr>
              <w:spacing w:line="360" w:lineRule="auto"/>
              <w:jc w:val="center"/>
              <w:rPr>
                <w:rFonts w:hint="eastAsia" w:ascii="宋体" w:hAnsi="宋体" w:cs="宋体"/>
                <w:b/>
                <w:bCs/>
                <w:sz w:val="24"/>
              </w:rPr>
            </w:pPr>
            <w:r>
              <w:rPr>
                <w:rFonts w:hint="eastAsia" w:ascii="宋体" w:hAnsi="宋体" w:cs="宋体"/>
                <w:b/>
                <w:bCs/>
                <w:sz w:val="24"/>
              </w:rPr>
              <w:t>投标文件制作及装订要求</w:t>
            </w:r>
          </w:p>
        </w:tc>
        <w:tc>
          <w:tcPr>
            <w:tcW w:w="7753" w:type="dxa"/>
            <w:tcBorders>
              <w:top w:val="single" w:color="auto" w:sz="4" w:space="0"/>
              <w:left w:val="single" w:color="auto" w:sz="4" w:space="0"/>
              <w:bottom w:val="single" w:color="auto" w:sz="4" w:space="0"/>
              <w:right w:val="single" w:color="auto" w:sz="4" w:space="0"/>
            </w:tcBorders>
            <w:vAlign w:val="center"/>
          </w:tcPr>
          <w:p w14:paraId="1C16C5F7">
            <w:pPr>
              <w:autoSpaceDE w:val="0"/>
              <w:autoSpaceDN w:val="0"/>
              <w:adjustRightInd w:val="0"/>
              <w:spacing w:line="360" w:lineRule="auto"/>
              <w:rPr>
                <w:rFonts w:hint="eastAsia" w:ascii="宋体" w:hAnsi="宋体" w:cs="宋体"/>
                <w:spacing w:val="-6"/>
                <w:sz w:val="24"/>
              </w:rPr>
            </w:pPr>
            <w:r>
              <w:rPr>
                <w:rFonts w:hint="eastAsia" w:ascii="宋体" w:hAnsi="宋体" w:cs="宋体"/>
                <w:spacing w:val="-6"/>
                <w:sz w:val="24"/>
              </w:rPr>
              <w:t>（1）制作要求：</w:t>
            </w:r>
          </w:p>
          <w:p w14:paraId="30B55DC9">
            <w:pPr>
              <w:autoSpaceDE w:val="0"/>
              <w:autoSpaceDN w:val="0"/>
              <w:adjustRightInd w:val="0"/>
              <w:spacing w:line="360" w:lineRule="auto"/>
              <w:rPr>
                <w:rFonts w:hint="eastAsia" w:ascii="宋体" w:hAnsi="宋体" w:cs="宋体"/>
                <w:spacing w:val="-6"/>
                <w:sz w:val="24"/>
              </w:rPr>
            </w:pPr>
            <w:r>
              <w:rPr>
                <w:rFonts w:hint="eastAsia" w:ascii="宋体" w:hAnsi="宋体" w:cs="宋体"/>
                <w:spacing w:val="-6"/>
                <w:sz w:val="24"/>
              </w:rPr>
              <w:t>投标文件（包括资格商务技术文件、报价文件）封面后的第一页必须制作评标索引目录，标明提交满足招标文件要求的对应投标材料所在页码供现场工作人员及评委会查阅。</w:t>
            </w:r>
          </w:p>
          <w:p w14:paraId="38DBC5AE">
            <w:pPr>
              <w:autoSpaceDE w:val="0"/>
              <w:autoSpaceDN w:val="0"/>
              <w:adjustRightInd w:val="0"/>
              <w:spacing w:line="360" w:lineRule="auto"/>
              <w:rPr>
                <w:rFonts w:hint="eastAsia" w:ascii="宋体" w:hAnsi="宋体" w:cs="宋体"/>
                <w:spacing w:val="-6"/>
                <w:sz w:val="24"/>
              </w:rPr>
            </w:pPr>
            <w:r>
              <w:rPr>
                <w:rFonts w:hint="eastAsia" w:ascii="宋体" w:hAnsi="宋体" w:cs="宋体"/>
                <w:spacing w:val="-6"/>
                <w:sz w:val="24"/>
              </w:rPr>
              <w:t>（2）装订要求：</w:t>
            </w:r>
          </w:p>
          <w:p w14:paraId="623B7FFF">
            <w:pPr>
              <w:autoSpaceDE w:val="0"/>
              <w:autoSpaceDN w:val="0"/>
              <w:adjustRightInd w:val="0"/>
              <w:spacing w:line="360" w:lineRule="auto"/>
              <w:rPr>
                <w:rFonts w:hint="eastAsia" w:ascii="宋体" w:hAnsi="宋体" w:cs="宋体"/>
                <w:spacing w:val="-6"/>
                <w:sz w:val="24"/>
              </w:rPr>
            </w:pPr>
            <w:r>
              <w:rPr>
                <w:rFonts w:hint="eastAsia" w:ascii="宋体" w:hAnsi="宋体" w:cs="宋体"/>
                <w:spacing w:val="-6"/>
                <w:sz w:val="24"/>
              </w:rPr>
              <w:t>资格证明文件、商务技术文件合并成一册装订（报价文件须单独装订），采用胶装，不得采用活页装订。采用活页装订的投标文件由现场工作人员退还投标人代表。</w:t>
            </w:r>
          </w:p>
          <w:p w14:paraId="1FAA4709">
            <w:pPr>
              <w:autoSpaceDE w:val="0"/>
              <w:autoSpaceDN w:val="0"/>
              <w:adjustRightInd w:val="0"/>
              <w:spacing w:line="360" w:lineRule="auto"/>
              <w:rPr>
                <w:rFonts w:hint="eastAsia" w:ascii="宋体" w:hAnsi="宋体" w:cs="宋体"/>
                <w:sz w:val="24"/>
              </w:rPr>
            </w:pPr>
            <w:r>
              <w:rPr>
                <w:rFonts w:hint="eastAsia" w:ascii="宋体" w:hAnsi="宋体" w:cs="宋体"/>
                <w:spacing w:val="-6"/>
                <w:sz w:val="24"/>
              </w:rPr>
              <w:t>注：所有投标文件的封面应按规定格式标注</w:t>
            </w:r>
            <w:r>
              <w:rPr>
                <w:rFonts w:hint="eastAsia" w:ascii="宋体" w:hAnsi="宋体" w:cs="宋体"/>
                <w:b/>
                <w:bCs/>
                <w:spacing w:val="-6"/>
                <w:sz w:val="24"/>
              </w:rPr>
              <w:t>所投标项</w:t>
            </w:r>
            <w:r>
              <w:rPr>
                <w:rFonts w:hint="eastAsia" w:ascii="宋体" w:hAnsi="宋体" w:cs="宋体"/>
                <w:spacing w:val="-6"/>
                <w:sz w:val="24"/>
              </w:rPr>
              <w:t>。副本的封面应加盖公章，副本的其他部分可以是正本的复印件，文本内容清晰可见。</w:t>
            </w:r>
          </w:p>
        </w:tc>
      </w:tr>
      <w:tr w14:paraId="72E96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247FF21">
            <w:pPr>
              <w:spacing w:line="360" w:lineRule="auto"/>
              <w:jc w:val="center"/>
              <w:rPr>
                <w:rFonts w:hint="eastAsia" w:ascii="宋体" w:hAnsi="宋体" w:cs="宋体"/>
                <w:b/>
                <w:bCs/>
                <w:spacing w:val="-6"/>
                <w:sz w:val="24"/>
              </w:rPr>
            </w:pPr>
            <w:r>
              <w:rPr>
                <w:rFonts w:hint="eastAsia" w:ascii="宋体" w:hAnsi="宋体" w:cs="宋体"/>
                <w:b/>
                <w:bCs/>
                <w:spacing w:val="-6"/>
                <w:sz w:val="24"/>
              </w:rPr>
              <w:t>11</w:t>
            </w:r>
          </w:p>
        </w:tc>
        <w:tc>
          <w:tcPr>
            <w:tcW w:w="1347" w:type="dxa"/>
            <w:tcBorders>
              <w:top w:val="single" w:color="auto" w:sz="4" w:space="0"/>
              <w:left w:val="single" w:color="auto" w:sz="4" w:space="0"/>
              <w:bottom w:val="single" w:color="auto" w:sz="4" w:space="0"/>
              <w:right w:val="single" w:color="auto" w:sz="4" w:space="0"/>
            </w:tcBorders>
            <w:vAlign w:val="center"/>
          </w:tcPr>
          <w:p w14:paraId="6F1351E7">
            <w:pPr>
              <w:adjustRightInd w:val="0"/>
              <w:spacing w:line="360" w:lineRule="auto"/>
              <w:jc w:val="center"/>
              <w:rPr>
                <w:rFonts w:hint="eastAsia" w:ascii="宋体" w:hAnsi="宋体" w:cs="宋体"/>
                <w:b/>
                <w:bCs/>
                <w:spacing w:val="-6"/>
                <w:sz w:val="24"/>
              </w:rPr>
            </w:pPr>
            <w:r>
              <w:rPr>
                <w:rFonts w:hint="eastAsia" w:ascii="宋体" w:hAnsi="宋体" w:cs="宋体"/>
                <w:b/>
                <w:bCs/>
                <w:spacing w:val="-6"/>
                <w:sz w:val="24"/>
              </w:rPr>
              <w:t>样品</w:t>
            </w:r>
          </w:p>
        </w:tc>
        <w:tc>
          <w:tcPr>
            <w:tcW w:w="7753" w:type="dxa"/>
            <w:tcBorders>
              <w:top w:val="single" w:color="auto" w:sz="4" w:space="0"/>
              <w:left w:val="single" w:color="auto" w:sz="4" w:space="0"/>
              <w:bottom w:val="single" w:color="auto" w:sz="4" w:space="0"/>
              <w:right w:val="single" w:color="auto" w:sz="4" w:space="0"/>
            </w:tcBorders>
            <w:shd w:val="clear" w:color="auto" w:fill="auto"/>
            <w:vAlign w:val="center"/>
          </w:tcPr>
          <w:p w14:paraId="5339FE9B">
            <w:pPr>
              <w:autoSpaceDE w:val="0"/>
              <w:autoSpaceDN w:val="0"/>
              <w:adjustRightInd w:val="0"/>
              <w:spacing w:line="360" w:lineRule="auto"/>
              <w:jc w:val="left"/>
              <w:rPr>
                <w:rFonts w:hint="eastAsia" w:ascii="宋体" w:hAnsi="宋体" w:cs="宋体"/>
                <w:sz w:val="24"/>
              </w:rPr>
            </w:pPr>
            <w:r>
              <w:rPr>
                <w:rFonts w:hint="eastAsia" w:ascii="宋体" w:hAnsi="宋体" w:cs="宋体"/>
                <w:sz w:val="24"/>
              </w:rPr>
              <w:t>本项目无需提供样品</w:t>
            </w:r>
          </w:p>
        </w:tc>
      </w:tr>
      <w:tr w14:paraId="4ABFA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FBA374F">
            <w:pPr>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12</w:t>
            </w:r>
          </w:p>
        </w:tc>
        <w:tc>
          <w:tcPr>
            <w:tcW w:w="1347" w:type="dxa"/>
            <w:tcBorders>
              <w:top w:val="single" w:color="auto" w:sz="4" w:space="0"/>
              <w:left w:val="single" w:color="auto" w:sz="4" w:space="0"/>
              <w:bottom w:val="single" w:color="auto" w:sz="4" w:space="0"/>
              <w:right w:val="single" w:color="auto" w:sz="4" w:space="0"/>
            </w:tcBorders>
            <w:vAlign w:val="center"/>
          </w:tcPr>
          <w:p w14:paraId="7F8FE22B">
            <w:pPr>
              <w:adjustRightInd w:val="0"/>
              <w:spacing w:line="360" w:lineRule="auto"/>
              <w:jc w:val="center"/>
              <w:rPr>
                <w:rFonts w:hint="eastAsia" w:ascii="宋体" w:hAnsi="宋体" w:cs="宋体"/>
                <w:b/>
                <w:bCs/>
                <w:spacing w:val="-6"/>
                <w:sz w:val="24"/>
                <w:highlight w:val="yellow"/>
              </w:rPr>
            </w:pPr>
            <w:r>
              <w:rPr>
                <w:rFonts w:hint="eastAsia" w:ascii="宋体" w:hAnsi="宋体"/>
                <w:b/>
                <w:color w:val="auto"/>
                <w:szCs w:val="21"/>
                <w:highlight w:val="yellow"/>
              </w:rPr>
              <w:t>演示</w:t>
            </w:r>
          </w:p>
        </w:tc>
        <w:tc>
          <w:tcPr>
            <w:tcW w:w="7753" w:type="dxa"/>
            <w:tcBorders>
              <w:top w:val="single" w:color="auto" w:sz="4" w:space="0"/>
              <w:left w:val="single" w:color="auto" w:sz="4" w:space="0"/>
              <w:bottom w:val="single" w:color="auto" w:sz="4" w:space="0"/>
              <w:right w:val="single" w:color="auto" w:sz="4" w:space="0"/>
            </w:tcBorders>
            <w:shd w:val="clear" w:color="auto" w:fill="auto"/>
            <w:vAlign w:val="center"/>
          </w:tcPr>
          <w:p w14:paraId="75F0C113">
            <w:pPr>
              <w:keepNext w:val="0"/>
              <w:keepLines w:val="0"/>
              <w:pageBreakBefore w:val="0"/>
              <w:widowControl/>
              <w:kinsoku/>
              <w:wordWrap/>
              <w:overflowPunct/>
              <w:topLinePunct w:val="0"/>
              <w:autoSpaceDE/>
              <w:autoSpaceDN/>
              <w:bidi w:val="0"/>
              <w:adjustRightInd/>
              <w:spacing w:line="360" w:lineRule="auto"/>
              <w:ind w:left="0" w:leftChars="0"/>
              <w:textAlignment w:val="auto"/>
              <w:rPr>
                <w:rFonts w:hint="eastAsia" w:ascii="宋体" w:hAnsi="宋体" w:cs="宋体"/>
                <w:b/>
                <w:bCs/>
                <w:color w:val="000000" w:themeColor="text1"/>
                <w:kern w:val="0"/>
                <w:szCs w:val="21"/>
                <w:highlight w:val="yellow"/>
                <w14:textFill>
                  <w14:solidFill>
                    <w14:schemeClr w14:val="tx1"/>
                  </w14:solidFill>
                </w14:textFill>
              </w:rPr>
            </w:pPr>
            <w:r>
              <w:rPr>
                <w:rFonts w:hint="eastAsia" w:hAnsi="宋体" w:cs="宋体"/>
                <w:b/>
                <w:highlight w:val="yellow"/>
              </w:rPr>
              <w:sym w:font="Wingdings" w:char="F0FE"/>
            </w:r>
            <w:r>
              <w:rPr>
                <w:rFonts w:hint="eastAsia" w:ascii="宋体" w:hAnsi="宋体" w:cs="宋体"/>
                <w:b/>
                <w:bCs/>
                <w:color w:val="000000" w:themeColor="text1"/>
                <w:kern w:val="0"/>
                <w:szCs w:val="21"/>
                <w:highlight w:val="yellow"/>
                <w14:textFill>
                  <w14:solidFill>
                    <w14:schemeClr w14:val="tx1"/>
                  </w14:solidFill>
                </w14:textFill>
              </w:rPr>
              <w:t>组织。</w:t>
            </w:r>
          </w:p>
          <w:p w14:paraId="74940248">
            <w:pPr>
              <w:widowControl/>
              <w:autoSpaceDE/>
              <w:autoSpaceDN/>
              <w:adjustRightInd/>
              <w:spacing w:line="360" w:lineRule="auto"/>
              <w:jc w:val="left"/>
              <w:rPr>
                <w:rFonts w:hint="eastAsia" w:ascii="宋体" w:hAnsi="宋体" w:cs="宋体"/>
                <w:sz w:val="24"/>
                <w:highlight w:val="yellow"/>
              </w:rPr>
            </w:pPr>
            <w:r>
              <w:rPr>
                <w:rFonts w:hint="default" w:ascii="Times New Roman" w:hAnsi="Times New Roman" w:cs="Times New Roman"/>
                <w:b/>
                <w:color w:val="000000" w:themeColor="text1"/>
                <w:highlight w:val="yellow"/>
                <w14:textFill>
                  <w14:solidFill>
                    <w14:schemeClr w14:val="tx1"/>
                  </w14:solidFill>
                </w14:textFill>
              </w:rPr>
              <w:t>（1）</w:t>
            </w:r>
            <w:r>
              <w:rPr>
                <w:rFonts w:hint="eastAsia" w:cs="Times New Roman"/>
                <w:b/>
                <w:color w:val="000000" w:themeColor="text1"/>
                <w:highlight w:val="yellow"/>
                <w:lang w:val="en-US" w:eastAsia="zh-CN"/>
                <w14:textFill>
                  <w14:solidFill>
                    <w14:schemeClr w14:val="tx1"/>
                  </w14:solidFill>
                </w14:textFill>
              </w:rPr>
              <w:t>本项目组织核心产品视频演示，根据第四章“评标办法及标准”视频演示项的评分标准要求录制核心产品展示视频（mp4格式；视频内容需中文配音，声音清晰。能在 WINDOWS 最新操作系统下用较为普及的软件自动播放，解说时间控制在10分钟以内），展示视频电子文件用U盘拷贝，与商务技术文件一起密封包装提交。</w:t>
            </w:r>
          </w:p>
        </w:tc>
      </w:tr>
      <w:tr w14:paraId="1A2F1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FCF1778">
            <w:pPr>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13</w:t>
            </w:r>
          </w:p>
        </w:tc>
        <w:tc>
          <w:tcPr>
            <w:tcW w:w="1347" w:type="dxa"/>
            <w:tcBorders>
              <w:top w:val="single" w:color="auto" w:sz="4" w:space="0"/>
              <w:left w:val="single" w:color="auto" w:sz="4" w:space="0"/>
              <w:bottom w:val="single" w:color="auto" w:sz="4" w:space="0"/>
              <w:right w:val="single" w:color="auto" w:sz="4" w:space="0"/>
            </w:tcBorders>
            <w:vAlign w:val="center"/>
          </w:tcPr>
          <w:p w14:paraId="46C4597E">
            <w:pPr>
              <w:autoSpaceDE w:val="0"/>
              <w:autoSpaceDN w:val="0"/>
              <w:spacing w:line="360" w:lineRule="auto"/>
              <w:jc w:val="center"/>
              <w:textAlignment w:val="bottom"/>
              <w:rPr>
                <w:rFonts w:hint="eastAsia" w:ascii="宋体" w:hAnsi="宋体" w:cs="宋体"/>
                <w:b/>
                <w:bCs/>
                <w:spacing w:val="-6"/>
                <w:sz w:val="24"/>
              </w:rPr>
            </w:pPr>
            <w:r>
              <w:rPr>
                <w:rFonts w:hint="eastAsia" w:ascii="宋体" w:hAnsi="宋体" w:cs="宋体"/>
                <w:b/>
                <w:bCs/>
                <w:spacing w:val="-6"/>
                <w:sz w:val="24"/>
              </w:rPr>
              <w:t>投标文件有效期</w:t>
            </w:r>
          </w:p>
        </w:tc>
        <w:tc>
          <w:tcPr>
            <w:tcW w:w="7753" w:type="dxa"/>
            <w:tcBorders>
              <w:top w:val="single" w:color="auto" w:sz="4" w:space="0"/>
              <w:left w:val="single" w:color="auto" w:sz="4" w:space="0"/>
              <w:bottom w:val="single" w:color="auto" w:sz="4" w:space="0"/>
              <w:right w:val="single" w:color="auto" w:sz="4" w:space="0"/>
            </w:tcBorders>
            <w:vAlign w:val="center"/>
          </w:tcPr>
          <w:p w14:paraId="75AA1D33">
            <w:pPr>
              <w:autoSpaceDE w:val="0"/>
              <w:autoSpaceDN w:val="0"/>
              <w:spacing w:line="360" w:lineRule="auto"/>
              <w:textAlignment w:val="bottom"/>
              <w:rPr>
                <w:rFonts w:hint="eastAsia" w:ascii="宋体" w:hAnsi="宋体" w:cs="宋体"/>
                <w:spacing w:val="-6"/>
                <w:sz w:val="24"/>
              </w:rPr>
            </w:pPr>
            <w:r>
              <w:rPr>
                <w:rFonts w:hint="eastAsia" w:ascii="宋体" w:hAnsi="宋体" w:cs="宋体"/>
                <w:spacing w:val="-6"/>
                <w:sz w:val="24"/>
              </w:rPr>
              <w:t>自投标截止日起90日内有效。</w:t>
            </w:r>
          </w:p>
        </w:tc>
      </w:tr>
      <w:tr w14:paraId="616B2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AF7FEED">
            <w:pPr>
              <w:adjustRightInd w:val="0"/>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14</w:t>
            </w:r>
          </w:p>
        </w:tc>
        <w:tc>
          <w:tcPr>
            <w:tcW w:w="1347" w:type="dxa"/>
            <w:tcBorders>
              <w:top w:val="single" w:color="auto" w:sz="4" w:space="0"/>
              <w:left w:val="single" w:color="auto" w:sz="4" w:space="0"/>
              <w:bottom w:val="single" w:color="auto" w:sz="4" w:space="0"/>
              <w:right w:val="single" w:color="auto" w:sz="4" w:space="0"/>
            </w:tcBorders>
            <w:vAlign w:val="center"/>
          </w:tcPr>
          <w:p w14:paraId="36FB9879">
            <w:pPr>
              <w:autoSpaceDE w:val="0"/>
              <w:autoSpaceDN w:val="0"/>
              <w:spacing w:line="360" w:lineRule="auto"/>
              <w:jc w:val="center"/>
              <w:textAlignment w:val="bottom"/>
              <w:rPr>
                <w:rFonts w:hint="eastAsia" w:ascii="宋体" w:hAnsi="宋体" w:cs="宋体"/>
                <w:b/>
                <w:bCs/>
                <w:spacing w:val="-6"/>
                <w:sz w:val="24"/>
              </w:rPr>
            </w:pPr>
            <w:r>
              <w:rPr>
                <w:rFonts w:hint="eastAsia" w:ascii="宋体" w:hAnsi="宋体" w:cs="宋体"/>
                <w:b/>
                <w:bCs/>
                <w:spacing w:val="-6"/>
                <w:sz w:val="24"/>
              </w:rPr>
              <w:t>招标文件的澄清与修改</w:t>
            </w:r>
          </w:p>
        </w:tc>
        <w:tc>
          <w:tcPr>
            <w:tcW w:w="7753" w:type="dxa"/>
            <w:tcBorders>
              <w:top w:val="single" w:color="auto" w:sz="4" w:space="0"/>
              <w:left w:val="single" w:color="auto" w:sz="4" w:space="0"/>
              <w:bottom w:val="single" w:color="auto" w:sz="4" w:space="0"/>
              <w:right w:val="single" w:color="auto" w:sz="4" w:space="0"/>
            </w:tcBorders>
            <w:vAlign w:val="center"/>
          </w:tcPr>
          <w:p w14:paraId="6D1533A5">
            <w:pPr>
              <w:autoSpaceDE w:val="0"/>
              <w:autoSpaceDN w:val="0"/>
              <w:spacing w:line="360" w:lineRule="auto"/>
              <w:textAlignment w:val="bottom"/>
              <w:rPr>
                <w:rFonts w:hint="eastAsia" w:ascii="宋体" w:hAnsi="宋体" w:cs="宋体"/>
                <w:spacing w:val="-6"/>
                <w:sz w:val="24"/>
              </w:rPr>
            </w:pPr>
            <w:r>
              <w:rPr>
                <w:rFonts w:hint="eastAsia" w:ascii="宋体" w:hAnsi="宋体" w:cs="宋体"/>
                <w:spacing w:val="-6"/>
                <w:sz w:val="24"/>
              </w:rPr>
              <w:t>在投标截止时间15天前，采购人有权澄清和修改招标文件，在财政部门指定的政府采购信息发布媒体上发布更正公告，并以邮箱发送电子文件形式通知所有已购买招标文件的供应商。修改和澄清（答疑）答复的文件作为招标文件的补充和组成部分，对所有供应商均有约束力。</w:t>
            </w:r>
          </w:p>
        </w:tc>
      </w:tr>
      <w:tr w14:paraId="5BE23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75F0043">
            <w:pPr>
              <w:adjustRightInd w:val="0"/>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15</w:t>
            </w:r>
          </w:p>
        </w:tc>
        <w:tc>
          <w:tcPr>
            <w:tcW w:w="1347" w:type="dxa"/>
            <w:tcBorders>
              <w:top w:val="single" w:color="auto" w:sz="4" w:space="0"/>
              <w:left w:val="single" w:color="auto" w:sz="4" w:space="0"/>
              <w:bottom w:val="single" w:color="auto" w:sz="4" w:space="0"/>
              <w:right w:val="single" w:color="auto" w:sz="4" w:space="0"/>
            </w:tcBorders>
            <w:vAlign w:val="center"/>
          </w:tcPr>
          <w:p w14:paraId="4299FE2E">
            <w:pPr>
              <w:spacing w:line="360" w:lineRule="auto"/>
              <w:jc w:val="center"/>
              <w:rPr>
                <w:rFonts w:hint="eastAsia" w:ascii="宋体" w:hAnsi="宋体" w:cs="宋体"/>
                <w:b/>
                <w:bCs/>
                <w:sz w:val="24"/>
              </w:rPr>
            </w:pPr>
            <w:r>
              <w:rPr>
                <w:rFonts w:hint="eastAsia" w:ascii="宋体" w:hAnsi="宋体" w:cs="宋体"/>
                <w:b/>
                <w:bCs/>
                <w:sz w:val="24"/>
              </w:rPr>
              <w:t>评标办法</w:t>
            </w:r>
          </w:p>
        </w:tc>
        <w:tc>
          <w:tcPr>
            <w:tcW w:w="7753" w:type="dxa"/>
            <w:tcBorders>
              <w:top w:val="single" w:color="auto" w:sz="4" w:space="0"/>
              <w:left w:val="single" w:color="auto" w:sz="4" w:space="0"/>
              <w:bottom w:val="single" w:color="auto" w:sz="4" w:space="0"/>
              <w:right w:val="single" w:color="auto" w:sz="4" w:space="0"/>
            </w:tcBorders>
            <w:vAlign w:val="center"/>
          </w:tcPr>
          <w:p w14:paraId="28B8FD82">
            <w:pPr>
              <w:autoSpaceDE w:val="0"/>
              <w:autoSpaceDN w:val="0"/>
              <w:spacing w:line="360" w:lineRule="auto"/>
              <w:textAlignment w:val="bottom"/>
              <w:rPr>
                <w:rFonts w:hint="eastAsia" w:ascii="宋体" w:hAnsi="宋体" w:cs="宋体"/>
                <w:sz w:val="24"/>
              </w:rPr>
            </w:pPr>
            <w:r>
              <w:rPr>
                <w:rFonts w:hint="eastAsia" w:ascii="宋体" w:hAnsi="宋体" w:cs="宋体"/>
                <w:sz w:val="24"/>
              </w:rPr>
              <w:t>综合评分法。</w:t>
            </w:r>
          </w:p>
        </w:tc>
      </w:tr>
      <w:tr w14:paraId="0B9E6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CD56DD">
            <w:pPr>
              <w:adjustRightInd w:val="0"/>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16</w:t>
            </w:r>
          </w:p>
        </w:tc>
        <w:tc>
          <w:tcPr>
            <w:tcW w:w="13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8A074B">
            <w:pPr>
              <w:spacing w:line="360" w:lineRule="auto"/>
              <w:jc w:val="center"/>
              <w:rPr>
                <w:rFonts w:hint="eastAsia" w:ascii="宋体" w:hAnsi="宋体" w:cs="宋体"/>
                <w:b/>
                <w:bCs/>
                <w:spacing w:val="-6"/>
                <w:sz w:val="24"/>
              </w:rPr>
            </w:pPr>
            <w:r>
              <w:rPr>
                <w:rFonts w:hint="eastAsia" w:ascii="宋体" w:hAnsi="宋体" w:cs="宋体"/>
                <w:b/>
                <w:bCs/>
                <w:spacing w:val="-6"/>
                <w:sz w:val="24"/>
              </w:rPr>
              <w:t>招标代理服务费</w:t>
            </w:r>
          </w:p>
        </w:tc>
        <w:tc>
          <w:tcPr>
            <w:tcW w:w="77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BCC6A4">
            <w:pPr>
              <w:numPr>
                <w:ilvl w:val="0"/>
                <w:numId w:val="3"/>
              </w:numPr>
              <w:spacing w:line="360" w:lineRule="auto"/>
              <w:rPr>
                <w:rFonts w:hint="eastAsia" w:ascii="宋体"/>
                <w:b/>
                <w:bCs/>
                <w:sz w:val="24"/>
              </w:rPr>
            </w:pPr>
            <w:r>
              <w:rPr>
                <w:rFonts w:hint="eastAsia" w:ascii="宋体"/>
                <w:b/>
                <w:bCs/>
                <w:sz w:val="24"/>
              </w:rPr>
              <w:t>中标人应在中标通知书发出之日起5个工作日内，</w:t>
            </w:r>
            <w:r>
              <w:rPr>
                <w:rFonts w:hint="eastAsia" w:ascii="宋体"/>
                <w:b/>
                <w:bCs/>
                <w:snapToGrid w:val="0"/>
                <w:kern w:val="28"/>
                <w:sz w:val="24"/>
                <w:lang w:val="zh-CN"/>
              </w:rPr>
              <w:t>一次性</w:t>
            </w:r>
            <w:r>
              <w:rPr>
                <w:rFonts w:hint="eastAsia" w:ascii="宋体"/>
                <w:b/>
                <w:bCs/>
                <w:sz w:val="24"/>
              </w:rPr>
              <w:t>向代理机构交纳代理服务费，</w:t>
            </w:r>
            <w:r>
              <w:rPr>
                <w:rFonts w:hint="eastAsia" w:ascii="宋体"/>
                <w:b/>
                <w:bCs/>
                <w:sz w:val="24"/>
                <w:lang w:val="en-US" w:eastAsia="zh-CN"/>
              </w:rPr>
              <w:t>按</w:t>
            </w:r>
            <w:r>
              <w:rPr>
                <w:rFonts w:hint="eastAsia" w:ascii="宋体"/>
                <w:b/>
                <w:bCs/>
                <w:sz w:val="24"/>
              </w:rPr>
              <w:t>计价格〔2002〕1980号）文件规定的货物类收费</w:t>
            </w:r>
          </w:p>
          <w:p w14:paraId="45C05B5E">
            <w:pPr>
              <w:numPr>
                <w:ilvl w:val="0"/>
                <w:numId w:val="3"/>
              </w:numPr>
              <w:spacing w:line="360" w:lineRule="auto"/>
              <w:rPr>
                <w:rFonts w:hint="eastAsia" w:ascii="宋体"/>
                <w:b/>
                <w:bCs/>
                <w:sz w:val="24"/>
              </w:rPr>
            </w:pPr>
            <w:r>
              <w:rPr>
                <w:rFonts w:hint="eastAsia" w:ascii="宋体"/>
                <w:b/>
                <w:bCs/>
                <w:sz w:val="24"/>
              </w:rPr>
              <w:t>收费标准：</w:t>
            </w:r>
          </w:p>
          <w:tbl>
            <w:tblPr>
              <w:tblStyle w:val="36"/>
              <w:tblW w:w="6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338"/>
              <w:gridCol w:w="2047"/>
            </w:tblGrid>
            <w:tr w14:paraId="0963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4" w:type="dxa"/>
                </w:tcPr>
                <w:p w14:paraId="2D40409D">
                  <w:pPr>
                    <w:numPr>
                      <w:ilvl w:val="0"/>
                      <w:numId w:val="0"/>
                    </w:numPr>
                    <w:spacing w:line="36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序号</w:t>
                  </w:r>
                </w:p>
              </w:tc>
              <w:tc>
                <w:tcPr>
                  <w:tcW w:w="3338" w:type="dxa"/>
                </w:tcPr>
                <w:p w14:paraId="4EA36686">
                  <w:pPr>
                    <w:numPr>
                      <w:ilvl w:val="0"/>
                      <w:numId w:val="0"/>
                    </w:numPr>
                    <w:spacing w:line="360" w:lineRule="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中标价格</w:t>
                  </w:r>
                </w:p>
              </w:tc>
              <w:tc>
                <w:tcPr>
                  <w:tcW w:w="2047" w:type="dxa"/>
                </w:tcPr>
                <w:p w14:paraId="7D48AC86">
                  <w:pPr>
                    <w:numPr>
                      <w:ilvl w:val="0"/>
                      <w:numId w:val="0"/>
                    </w:numPr>
                    <w:spacing w:line="360" w:lineRule="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折扣率</w:t>
                  </w:r>
                </w:p>
              </w:tc>
            </w:tr>
            <w:tr w14:paraId="0E76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4" w:type="dxa"/>
                </w:tcPr>
                <w:p w14:paraId="1154B148">
                  <w:pPr>
                    <w:numPr>
                      <w:ilvl w:val="0"/>
                      <w:numId w:val="0"/>
                    </w:numPr>
                    <w:spacing w:line="36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3338" w:type="dxa"/>
                </w:tcPr>
                <w:p w14:paraId="0E355C14">
                  <w:pPr>
                    <w:numPr>
                      <w:ilvl w:val="0"/>
                      <w:numId w:val="0"/>
                    </w:numPr>
                    <w:spacing w:line="360" w:lineRule="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50万以下</w:t>
                  </w:r>
                </w:p>
              </w:tc>
              <w:tc>
                <w:tcPr>
                  <w:tcW w:w="2047" w:type="dxa"/>
                </w:tcPr>
                <w:p w14:paraId="1D2DE377">
                  <w:pPr>
                    <w:numPr>
                      <w:ilvl w:val="0"/>
                      <w:numId w:val="0"/>
                    </w:numPr>
                    <w:spacing w:line="360" w:lineRule="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不打折</w:t>
                  </w:r>
                </w:p>
              </w:tc>
            </w:tr>
            <w:tr w14:paraId="5075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4" w:type="dxa"/>
                </w:tcPr>
                <w:p w14:paraId="39F9656D">
                  <w:pPr>
                    <w:numPr>
                      <w:ilvl w:val="0"/>
                      <w:numId w:val="0"/>
                    </w:numPr>
                    <w:spacing w:line="36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w:t>
                  </w:r>
                </w:p>
              </w:tc>
              <w:tc>
                <w:tcPr>
                  <w:tcW w:w="3338" w:type="dxa"/>
                </w:tcPr>
                <w:p w14:paraId="43C2EB12">
                  <w:pPr>
                    <w:numPr>
                      <w:ilvl w:val="0"/>
                      <w:numId w:val="0"/>
                    </w:numPr>
                    <w:spacing w:line="360" w:lineRule="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50-100万元</w:t>
                  </w:r>
                </w:p>
              </w:tc>
              <w:tc>
                <w:tcPr>
                  <w:tcW w:w="2047" w:type="dxa"/>
                </w:tcPr>
                <w:p w14:paraId="2BCBEEE2">
                  <w:pPr>
                    <w:numPr>
                      <w:ilvl w:val="0"/>
                      <w:numId w:val="0"/>
                    </w:numPr>
                    <w:spacing w:line="360" w:lineRule="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80%</w:t>
                  </w:r>
                </w:p>
              </w:tc>
            </w:tr>
            <w:tr w14:paraId="50B7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4" w:type="dxa"/>
                </w:tcPr>
                <w:p w14:paraId="29D3A3D3">
                  <w:pPr>
                    <w:numPr>
                      <w:ilvl w:val="0"/>
                      <w:numId w:val="0"/>
                    </w:numPr>
                    <w:spacing w:line="36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w:t>
                  </w:r>
                </w:p>
              </w:tc>
              <w:tc>
                <w:tcPr>
                  <w:tcW w:w="3338" w:type="dxa"/>
                </w:tcPr>
                <w:p w14:paraId="667B966C">
                  <w:pPr>
                    <w:numPr>
                      <w:ilvl w:val="0"/>
                      <w:numId w:val="0"/>
                    </w:numPr>
                    <w:spacing w:line="360" w:lineRule="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100-500万元</w:t>
                  </w:r>
                </w:p>
              </w:tc>
              <w:tc>
                <w:tcPr>
                  <w:tcW w:w="2047" w:type="dxa"/>
                </w:tcPr>
                <w:p w14:paraId="3D4D57D3">
                  <w:pPr>
                    <w:numPr>
                      <w:ilvl w:val="0"/>
                      <w:numId w:val="0"/>
                    </w:numPr>
                    <w:spacing w:line="360" w:lineRule="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70%</w:t>
                  </w:r>
                </w:p>
              </w:tc>
            </w:tr>
          </w:tbl>
          <w:p w14:paraId="01397B80">
            <w:pPr>
              <w:spacing w:line="360" w:lineRule="auto"/>
              <w:rPr>
                <w:rFonts w:hint="eastAsia" w:ascii="宋体" w:hAnsi="宋体" w:cs="宋体"/>
                <w:snapToGrid w:val="0"/>
                <w:kern w:val="28"/>
                <w:sz w:val="24"/>
              </w:rPr>
            </w:pPr>
            <w:r>
              <w:rPr>
                <w:rFonts w:hint="eastAsia" w:ascii="宋体" w:hAnsi="宋体" w:cs="宋体"/>
                <w:sz w:val="24"/>
              </w:rPr>
              <w:t>(2)</w:t>
            </w:r>
            <w:r>
              <w:rPr>
                <w:rFonts w:hint="eastAsia" w:ascii="宋体" w:hAnsi="宋体" w:cs="宋体"/>
                <w:snapToGrid w:val="0"/>
                <w:kern w:val="28"/>
                <w:sz w:val="24"/>
              </w:rPr>
              <w:t>代理服务费收款账号：</w:t>
            </w:r>
          </w:p>
          <w:p w14:paraId="15439134">
            <w:pPr>
              <w:spacing w:line="360" w:lineRule="auto"/>
              <w:rPr>
                <w:rFonts w:hint="eastAsia" w:ascii="宋体" w:hAnsi="宋体" w:cs="宋体"/>
                <w:snapToGrid w:val="0"/>
                <w:kern w:val="28"/>
                <w:sz w:val="24"/>
                <w:lang w:val="zh-CN"/>
              </w:rPr>
            </w:pPr>
            <w:r>
              <w:rPr>
                <w:rFonts w:hint="eastAsia" w:ascii="宋体" w:hAnsi="宋体" w:cs="宋体"/>
                <w:snapToGrid w:val="0"/>
                <w:kern w:val="28"/>
                <w:sz w:val="24"/>
                <w:lang w:val="zh-CN"/>
              </w:rPr>
              <w:t>收款单位（户名）：浙江自贸区中昊工程管理有限公司</w:t>
            </w:r>
          </w:p>
          <w:p w14:paraId="5C26381B">
            <w:pPr>
              <w:spacing w:line="360" w:lineRule="auto"/>
              <w:rPr>
                <w:rFonts w:hint="eastAsia" w:ascii="宋体" w:hAnsi="宋体" w:eastAsia="宋体" w:cs="宋体"/>
                <w:snapToGrid w:val="0"/>
                <w:kern w:val="28"/>
                <w:sz w:val="24"/>
                <w:lang w:val="zh-CN"/>
              </w:rPr>
            </w:pPr>
            <w:r>
              <w:rPr>
                <w:rFonts w:hint="eastAsia" w:ascii="宋体" w:hAnsi="宋体" w:cs="宋体"/>
                <w:snapToGrid w:val="0"/>
                <w:kern w:val="28"/>
                <w:sz w:val="24"/>
                <w:lang w:val="zh-CN"/>
              </w:rPr>
              <w:t>开户</w:t>
            </w:r>
            <w:r>
              <w:rPr>
                <w:rFonts w:hint="eastAsia" w:ascii="宋体" w:hAnsi="宋体" w:eastAsia="宋体" w:cs="宋体"/>
                <w:snapToGrid w:val="0"/>
                <w:kern w:val="28"/>
                <w:sz w:val="24"/>
                <w:lang w:val="zh-CN"/>
              </w:rPr>
              <w:t>银行：建行舟山定海支行</w:t>
            </w:r>
          </w:p>
          <w:p w14:paraId="41433C56">
            <w:pPr>
              <w:spacing w:line="360" w:lineRule="auto"/>
              <w:rPr>
                <w:rFonts w:hint="eastAsia" w:ascii="宋体" w:hAnsi="宋体" w:eastAsia="宋体" w:cs="宋体"/>
                <w:snapToGrid w:val="0"/>
                <w:kern w:val="28"/>
                <w:sz w:val="24"/>
                <w:lang w:val="zh-CN"/>
              </w:rPr>
            </w:pPr>
            <w:r>
              <w:rPr>
                <w:rFonts w:hint="eastAsia" w:ascii="宋体" w:hAnsi="宋体" w:eastAsia="宋体" w:cs="宋体"/>
                <w:snapToGrid w:val="0"/>
                <w:kern w:val="28"/>
                <w:sz w:val="24"/>
                <w:lang w:val="zh-CN"/>
              </w:rPr>
              <w:t>银行账号：33001706235050001511</w:t>
            </w:r>
          </w:p>
          <w:p w14:paraId="4B6E8D34">
            <w:pPr>
              <w:spacing w:line="360" w:lineRule="auto"/>
              <w:rPr>
                <w:rFonts w:hint="eastAsia" w:ascii="宋体" w:hAnsi="宋体" w:cs="宋体"/>
                <w:snapToGrid w:val="0"/>
                <w:kern w:val="28"/>
                <w:sz w:val="24"/>
                <w:lang w:val="zh-CN"/>
              </w:rPr>
            </w:pPr>
            <w:r>
              <w:rPr>
                <w:rFonts w:hint="eastAsia" w:ascii="宋体" w:hAnsi="宋体" w:cs="宋体"/>
                <w:snapToGrid w:val="0"/>
                <w:kern w:val="28"/>
                <w:sz w:val="24"/>
                <w:lang w:val="zh-CN"/>
              </w:rPr>
              <w:t>代理服务费缴纳形式：汇票/支票/电汇/现金</w:t>
            </w:r>
          </w:p>
          <w:p w14:paraId="6B2BD52F">
            <w:pPr>
              <w:spacing w:line="360" w:lineRule="auto"/>
              <w:rPr>
                <w:rFonts w:hint="eastAsia" w:ascii="宋体" w:hAnsi="宋体" w:cs="宋体"/>
                <w:spacing w:val="-6"/>
                <w:sz w:val="24"/>
                <w:highlight w:val="yellow"/>
              </w:rPr>
            </w:pPr>
            <w:r>
              <w:rPr>
                <w:rFonts w:hint="eastAsia" w:ascii="宋体" w:hAnsi="宋体" w:cs="宋体"/>
                <w:snapToGrid w:val="0"/>
                <w:kern w:val="28"/>
                <w:sz w:val="24"/>
                <w:lang w:val="zh-CN"/>
              </w:rPr>
              <w:t>备注：代理服务费在报价表中不单列报价子项，由投标人自行考虑在企业运营成本等或各投标报价中。</w:t>
            </w:r>
          </w:p>
        </w:tc>
      </w:tr>
      <w:tr w14:paraId="1FC7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8228C29">
            <w:pPr>
              <w:adjustRightInd w:val="0"/>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17</w:t>
            </w:r>
          </w:p>
        </w:tc>
        <w:tc>
          <w:tcPr>
            <w:tcW w:w="1347" w:type="dxa"/>
            <w:tcBorders>
              <w:top w:val="single" w:color="auto" w:sz="4" w:space="0"/>
              <w:left w:val="single" w:color="auto" w:sz="4" w:space="0"/>
              <w:bottom w:val="single" w:color="auto" w:sz="4" w:space="0"/>
              <w:right w:val="single" w:color="auto" w:sz="4" w:space="0"/>
            </w:tcBorders>
            <w:vAlign w:val="center"/>
          </w:tcPr>
          <w:p w14:paraId="4067F123">
            <w:pPr>
              <w:widowControl/>
              <w:autoSpaceDE w:val="0"/>
              <w:autoSpaceDN w:val="0"/>
              <w:spacing w:line="360" w:lineRule="auto"/>
              <w:jc w:val="center"/>
              <w:textAlignment w:val="bottom"/>
              <w:rPr>
                <w:rFonts w:hint="eastAsia" w:ascii="宋体" w:hAnsi="宋体" w:cs="宋体"/>
                <w:b/>
                <w:bCs/>
                <w:spacing w:val="-6"/>
                <w:sz w:val="24"/>
              </w:rPr>
            </w:pPr>
            <w:r>
              <w:rPr>
                <w:rFonts w:hint="eastAsia" w:ascii="宋体" w:hAnsi="宋体" w:cs="宋体"/>
                <w:b/>
                <w:bCs/>
                <w:sz w:val="24"/>
                <w:lang w:bidi="ar"/>
              </w:rPr>
              <w:t>中小企业认定</w:t>
            </w:r>
          </w:p>
        </w:tc>
        <w:tc>
          <w:tcPr>
            <w:tcW w:w="7753" w:type="dxa"/>
            <w:tcBorders>
              <w:top w:val="single" w:color="auto" w:sz="4" w:space="0"/>
              <w:left w:val="single" w:color="auto" w:sz="4" w:space="0"/>
              <w:bottom w:val="single" w:color="auto" w:sz="4" w:space="0"/>
              <w:right w:val="single" w:color="auto" w:sz="4" w:space="0"/>
            </w:tcBorders>
            <w:vAlign w:val="center"/>
          </w:tcPr>
          <w:p w14:paraId="6E9AA94C">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1.</w:t>
            </w:r>
            <w:r>
              <w:rPr>
                <w:rFonts w:hint="eastAsia" w:ascii="宋体" w:hAnsi="宋体" w:cs="宋体"/>
                <w:b/>
                <w:bCs/>
                <w:sz w:val="24"/>
                <w:lang w:bidi="ar"/>
              </w:rPr>
              <w:t>本次采购所有标项均为专门面向中小企业预留采购份额的采购项目。投标文件中须提供投标人出具的《政府采购促进中小企业发展管理办法》【财库2022年19号文件】规定的《中小企业声明函》。</w:t>
            </w:r>
          </w:p>
          <w:p w14:paraId="3E5DC3CB">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2.本次采购标的为货物，对应的中小企业划分标准所属行业是：</w:t>
            </w:r>
            <w:r>
              <w:rPr>
                <w:rFonts w:hint="eastAsia" w:ascii="宋体" w:hAnsi="宋体" w:cs="宋体"/>
                <w:color w:val="auto"/>
                <w:sz w:val="24"/>
                <w:u w:val="single"/>
                <w:lang w:bidi="ar"/>
              </w:rPr>
              <w:t>工业。</w:t>
            </w:r>
            <w:r>
              <w:rPr>
                <w:rFonts w:hint="eastAsia" w:ascii="宋体" w:hAnsi="宋体" w:cs="宋体"/>
                <w:sz w:val="24"/>
                <w:lang w:bidi="ar"/>
              </w:rPr>
              <w:t>（从业人员 1000 人以下或营业收入40000万元以下的为中小微型企业。其中，从业人员 300 人及以上，且营业收入2000万元及以上的为中型企业；从业人员20 人及以上，且营业收入300万元及以上的为小型企业； 从业人员 20 人以下或营业收入300万元以下的为微型企业。）</w:t>
            </w:r>
          </w:p>
          <w:p w14:paraId="2E2D0DE7">
            <w:pPr>
              <w:pStyle w:val="43"/>
              <w:snapToGrid w:val="0"/>
              <w:spacing w:line="360" w:lineRule="auto"/>
              <w:ind w:firstLine="480" w:firstLineChars="200"/>
              <w:jc w:val="both"/>
              <w:rPr>
                <w:rFonts w:hint="eastAsia" w:ascii="宋体" w:hAnsi="宋体" w:eastAsia="宋体" w:cs="宋体"/>
                <w:color w:val="auto"/>
                <w:lang w:bidi="ar"/>
              </w:rPr>
            </w:pPr>
            <w:r>
              <w:rPr>
                <w:rFonts w:hint="eastAsia" w:ascii="宋体" w:hAnsi="宋体" w:eastAsia="宋体" w:cs="宋体"/>
                <w:color w:val="auto"/>
                <w:lang w:bidi="ar"/>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117B1184">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享受政府采购支持政策的残疾人福利性单位应当同时满足以下条件：</w:t>
            </w:r>
          </w:p>
          <w:p w14:paraId="395BAA14">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（一）安置的残疾人占本单位在职职工人数的比例不低于25%（含25%），并且安置的残疾人人数不少于10人（含10人）；</w:t>
            </w:r>
          </w:p>
          <w:p w14:paraId="0C9892CB">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（二）依法与安置的每位残疾人签订了一年以上（含一年）的劳动合同或服务协议；</w:t>
            </w:r>
          </w:p>
          <w:p w14:paraId="54441AD6">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（三）为安置的每位残疾人按月足额缴纳了基本养老保险、基本医疗保险、失业保险、工伤保险和生育保险等社会保险费；</w:t>
            </w:r>
          </w:p>
          <w:p w14:paraId="53C65A35">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（四）通过银行等金融机构向安置的每位残疾人，按月支付了不低于单位所在区县适用的经省级人民政府批准的月最低工资标准的工资；</w:t>
            </w:r>
          </w:p>
          <w:p w14:paraId="7B7F949E">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（五）提供本单位制造的货物、承担的工程或者服务（以下简称产品），或者提供其他残疾人福利性单位制造的货物（不包括使用非残疾人福利性单位注册商标的货物）。</w:t>
            </w:r>
          </w:p>
          <w:p w14:paraId="68756AC8">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B8E5E62">
            <w:pPr>
              <w:widowControl/>
              <w:autoSpaceDE w:val="0"/>
              <w:autoSpaceDN w:val="0"/>
              <w:adjustRightInd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4</w:t>
            </w:r>
            <w:r>
              <w:rPr>
                <w:rFonts w:ascii="宋体" w:hAnsi="宋体" w:cs="宋体"/>
                <w:sz w:val="24"/>
                <w:lang w:bidi="ar"/>
              </w:rPr>
              <w:t>.</w:t>
            </w:r>
            <w:r>
              <w:rPr>
                <w:rFonts w:hint="eastAsia" w:ascii="宋体" w:hAnsi="宋体" w:cs="宋体"/>
                <w:sz w:val="24"/>
                <w:lang w:bidi="ar"/>
              </w:rPr>
              <w:t>根据《关于政府采购支持监狱企业发展有关问题的通知》（财库[2014]68号）的规定，投标人如为监狱企业且所投产品为小型或微型企业生产的须在投标文件中同时提供：投标人的省级以上监狱管理局、戒毒管理局(含新疆生产建设兵团)出具的属于监狱企业的证明文件和《监狱企业声明函》（见附件），并对声明的真实性负责。</w:t>
            </w:r>
          </w:p>
        </w:tc>
      </w:tr>
      <w:tr w14:paraId="01100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F06414E">
            <w:pPr>
              <w:adjustRightInd w:val="0"/>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18</w:t>
            </w:r>
          </w:p>
        </w:tc>
        <w:tc>
          <w:tcPr>
            <w:tcW w:w="1347" w:type="dxa"/>
            <w:tcBorders>
              <w:top w:val="single" w:color="auto" w:sz="4" w:space="0"/>
              <w:left w:val="single" w:color="auto" w:sz="4" w:space="0"/>
              <w:bottom w:val="single" w:color="auto" w:sz="4" w:space="0"/>
              <w:right w:val="single" w:color="auto" w:sz="4" w:space="0"/>
            </w:tcBorders>
            <w:vAlign w:val="center"/>
          </w:tcPr>
          <w:p w14:paraId="3E043496">
            <w:pPr>
              <w:adjustRightInd w:val="0"/>
              <w:spacing w:line="360" w:lineRule="auto"/>
              <w:jc w:val="center"/>
              <w:rPr>
                <w:rFonts w:hint="eastAsia" w:ascii="宋体" w:hAnsi="宋体" w:cs="宋体"/>
                <w:b/>
                <w:bCs/>
                <w:spacing w:val="-6"/>
                <w:sz w:val="24"/>
              </w:rPr>
            </w:pPr>
            <w:r>
              <w:rPr>
                <w:rFonts w:hint="eastAsia" w:ascii="宋体" w:hAnsi="宋体" w:cs="宋体"/>
                <w:b/>
                <w:bCs/>
                <w:spacing w:val="-6"/>
                <w:sz w:val="24"/>
              </w:rPr>
              <w:t>强制采购政策与优先采购政策</w:t>
            </w:r>
          </w:p>
        </w:tc>
        <w:tc>
          <w:tcPr>
            <w:tcW w:w="7753" w:type="dxa"/>
            <w:tcBorders>
              <w:top w:val="single" w:color="auto" w:sz="4" w:space="0"/>
              <w:left w:val="single" w:color="auto" w:sz="4" w:space="0"/>
              <w:bottom w:val="single" w:color="auto" w:sz="4" w:space="0"/>
              <w:right w:val="single" w:color="auto" w:sz="4" w:space="0"/>
            </w:tcBorders>
            <w:vAlign w:val="center"/>
          </w:tcPr>
          <w:p w14:paraId="426243DF">
            <w:pPr>
              <w:widowControl/>
              <w:autoSpaceDE w:val="0"/>
              <w:autoSpaceDN w:val="0"/>
              <w:spacing w:line="360" w:lineRule="auto"/>
              <w:jc w:val="left"/>
              <w:textAlignment w:val="bottom"/>
              <w:rPr>
                <w:rFonts w:hint="eastAsia" w:ascii="宋体" w:hAnsi="宋体" w:cs="宋体"/>
                <w:sz w:val="24"/>
                <w:lang w:bidi="ar"/>
              </w:rPr>
            </w:pPr>
            <w:r>
              <w:rPr>
                <w:rFonts w:hint="eastAsia" w:ascii="宋体" w:hAnsi="宋体" w:cs="宋体"/>
                <w:sz w:val="24"/>
                <w:lang w:bidi="ar"/>
              </w:rPr>
              <w:t>（1）节能产品的强制采购政策</w:t>
            </w:r>
          </w:p>
          <w:p w14:paraId="4ED292A2">
            <w:pPr>
              <w:widowControl/>
              <w:autoSpaceDE w:val="0"/>
              <w:autoSpaceDN w:val="0"/>
              <w:spacing w:line="360" w:lineRule="auto"/>
              <w:jc w:val="left"/>
              <w:textAlignment w:val="bottom"/>
              <w:rPr>
                <w:rFonts w:hint="eastAsia" w:ascii="宋体" w:hAnsi="宋体" w:cs="宋体"/>
                <w:sz w:val="24"/>
                <w:lang w:bidi="ar"/>
              </w:rPr>
            </w:pPr>
            <w:r>
              <w:rPr>
                <w:rFonts w:hint="eastAsia" w:ascii="宋体" w:hAnsi="宋体" w:cs="宋体"/>
                <w:sz w:val="24"/>
                <w:lang w:bidi="ar"/>
              </w:rPr>
              <w:t xml:space="preserve">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 </w:t>
            </w:r>
          </w:p>
          <w:p w14:paraId="7F503BC5">
            <w:pPr>
              <w:widowControl/>
              <w:autoSpaceDE w:val="0"/>
              <w:autoSpaceDN w:val="0"/>
              <w:spacing w:line="360" w:lineRule="auto"/>
              <w:jc w:val="left"/>
              <w:textAlignment w:val="bottom"/>
              <w:rPr>
                <w:rFonts w:hint="eastAsia" w:ascii="宋体" w:hAnsi="宋体" w:cs="宋体"/>
                <w:sz w:val="24"/>
                <w:lang w:bidi="ar"/>
              </w:rPr>
            </w:pPr>
            <w:r>
              <w:rPr>
                <w:rFonts w:hint="eastAsia" w:ascii="宋体" w:hAnsi="宋体" w:cs="宋体"/>
                <w:sz w:val="24"/>
                <w:lang w:bidi="ar"/>
              </w:rPr>
              <w:t>（2）节能产品、环境标志产品的优先采购政策</w:t>
            </w:r>
          </w:p>
          <w:p w14:paraId="4411FC7D">
            <w:pPr>
              <w:widowControl/>
              <w:autoSpaceDE w:val="0"/>
              <w:autoSpaceDN w:val="0"/>
              <w:spacing w:line="360" w:lineRule="auto"/>
              <w:jc w:val="left"/>
              <w:textAlignment w:val="bottom"/>
              <w:rPr>
                <w:rFonts w:hint="eastAsia" w:ascii="宋体" w:hAnsi="宋体" w:cs="宋体"/>
                <w:sz w:val="24"/>
                <w:lang w:bidi="ar"/>
              </w:rPr>
            </w:pPr>
            <w:r>
              <w:rPr>
                <w:rFonts w:hint="eastAsia" w:ascii="宋体" w:hAnsi="宋体" w:cs="宋体"/>
                <w:sz w:val="24"/>
                <w:lang w:bidi="ar"/>
              </w:rPr>
              <w:t xml:space="preserve">根据财政部、国家发展和改革委员会、生态环境部等部门公布的 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 </w:t>
            </w:r>
          </w:p>
        </w:tc>
      </w:tr>
      <w:tr w14:paraId="30F97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FF88707">
            <w:pPr>
              <w:adjustRightInd w:val="0"/>
              <w:spacing w:line="360" w:lineRule="auto"/>
              <w:jc w:val="center"/>
              <w:rPr>
                <w:rFonts w:hint="eastAsia" w:ascii="宋体" w:hAnsi="宋体" w:eastAsia="宋体" w:cs="宋体"/>
                <w:b/>
                <w:bCs/>
                <w:spacing w:val="-6"/>
                <w:sz w:val="24"/>
                <w:lang w:eastAsia="zh-CN"/>
              </w:rPr>
            </w:pPr>
            <w:r>
              <w:rPr>
                <w:rFonts w:hint="eastAsia" w:ascii="宋体" w:hAnsi="宋体" w:cs="宋体"/>
                <w:b/>
                <w:bCs/>
                <w:spacing w:val="-6"/>
                <w:sz w:val="24"/>
              </w:rPr>
              <w:t>1</w:t>
            </w:r>
            <w:r>
              <w:rPr>
                <w:rFonts w:hint="eastAsia" w:ascii="宋体" w:hAnsi="宋体" w:cs="宋体"/>
                <w:b/>
                <w:bCs/>
                <w:spacing w:val="-6"/>
                <w:sz w:val="24"/>
                <w:lang w:val="en-US" w:eastAsia="zh-CN"/>
              </w:rPr>
              <w:t>9</w:t>
            </w:r>
          </w:p>
        </w:tc>
        <w:tc>
          <w:tcPr>
            <w:tcW w:w="1347" w:type="dxa"/>
            <w:tcBorders>
              <w:top w:val="single" w:color="auto" w:sz="4" w:space="0"/>
              <w:left w:val="single" w:color="auto" w:sz="4" w:space="0"/>
              <w:bottom w:val="single" w:color="auto" w:sz="4" w:space="0"/>
              <w:right w:val="single" w:color="auto" w:sz="4" w:space="0"/>
            </w:tcBorders>
            <w:vAlign w:val="center"/>
          </w:tcPr>
          <w:p w14:paraId="5C61041D">
            <w:pPr>
              <w:spacing w:line="360" w:lineRule="auto"/>
              <w:jc w:val="center"/>
              <w:rPr>
                <w:rFonts w:hint="eastAsia" w:ascii="宋体" w:hAnsi="宋体" w:cs="宋体"/>
                <w:b/>
                <w:bCs/>
                <w:spacing w:val="-6"/>
                <w:sz w:val="24"/>
              </w:rPr>
            </w:pPr>
            <w:r>
              <w:rPr>
                <w:rFonts w:hint="eastAsia" w:ascii="宋体" w:hAnsi="宋体" w:cs="宋体"/>
                <w:b/>
                <w:bCs/>
                <w:spacing w:val="-6"/>
                <w:sz w:val="24"/>
              </w:rPr>
              <w:t>质疑</w:t>
            </w:r>
          </w:p>
        </w:tc>
        <w:tc>
          <w:tcPr>
            <w:tcW w:w="7753" w:type="dxa"/>
            <w:tcBorders>
              <w:top w:val="single" w:color="auto" w:sz="4" w:space="0"/>
              <w:left w:val="single" w:color="auto" w:sz="4" w:space="0"/>
              <w:bottom w:val="single" w:color="auto" w:sz="4" w:space="0"/>
              <w:right w:val="single" w:color="auto" w:sz="4" w:space="0"/>
            </w:tcBorders>
            <w:vAlign w:val="center"/>
          </w:tcPr>
          <w:p w14:paraId="10E7B969">
            <w:pPr>
              <w:spacing w:line="360" w:lineRule="auto"/>
              <w:rPr>
                <w:rFonts w:hint="eastAsia" w:ascii="宋体" w:hAnsi="宋体" w:cs="宋体"/>
                <w:spacing w:val="-6"/>
                <w:sz w:val="24"/>
              </w:rPr>
            </w:pPr>
            <w:r>
              <w:rPr>
                <w:rFonts w:hint="eastAsia" w:ascii="宋体" w:hAnsi="宋体" w:cs="宋体"/>
                <w:spacing w:val="-6"/>
                <w:sz w:val="24"/>
              </w:rPr>
              <w:t>根据《中华人民共和国政府采购法》第五十二条、《中华人民共和国政府采购法实施条例》第五十三条、中华人民共和国财政部令第94号《政府采购质疑和投诉办法》的规定：</w:t>
            </w:r>
          </w:p>
          <w:p w14:paraId="24C0A1B3">
            <w:pPr>
              <w:spacing w:line="360" w:lineRule="auto"/>
              <w:rPr>
                <w:rFonts w:hint="eastAsia" w:ascii="宋体" w:hAnsi="宋体" w:cs="宋体"/>
                <w:spacing w:val="-6"/>
                <w:sz w:val="24"/>
              </w:rPr>
            </w:pPr>
            <w:r>
              <w:rPr>
                <w:rFonts w:hint="eastAsia" w:ascii="宋体" w:hAnsi="宋体" w:cs="宋体"/>
                <w:spacing w:val="-6"/>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0D081E7B">
            <w:pPr>
              <w:spacing w:line="360" w:lineRule="auto"/>
              <w:rPr>
                <w:rFonts w:hint="eastAsia" w:ascii="宋体" w:hAnsi="宋体" w:cs="宋体"/>
                <w:spacing w:val="-6"/>
                <w:sz w:val="24"/>
              </w:rPr>
            </w:pPr>
            <w:r>
              <w:rPr>
                <w:rFonts w:hint="eastAsia" w:ascii="宋体" w:hAnsi="宋体" w:cs="宋体"/>
                <w:spacing w:val="-6"/>
                <w:sz w:val="24"/>
              </w:rPr>
              <w:t>供应商如认为采购过程使自身的合法权益受到损害的，应于各采购程序环节结束之日起七个工作日内以书面形式向采购机构提出质疑；</w:t>
            </w:r>
          </w:p>
          <w:p w14:paraId="0B860EFB">
            <w:pPr>
              <w:spacing w:line="360" w:lineRule="auto"/>
              <w:rPr>
                <w:rFonts w:hint="eastAsia" w:ascii="宋体" w:hAnsi="宋体" w:cs="宋体"/>
                <w:spacing w:val="-6"/>
                <w:sz w:val="24"/>
              </w:rPr>
            </w:pPr>
            <w:r>
              <w:rPr>
                <w:rFonts w:hint="eastAsia" w:ascii="宋体" w:hAnsi="宋体" w:cs="宋体"/>
                <w:spacing w:val="-6"/>
                <w:sz w:val="24"/>
              </w:rPr>
              <w:t>供应商如认为中标结果使自身的合法权益受到损害的，应于中标或者成交结果公告期限届满之日起七个工作日内以书面形式向采购机构提出质疑。</w:t>
            </w:r>
          </w:p>
        </w:tc>
      </w:tr>
      <w:tr w14:paraId="27AA4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CB5DE1D">
            <w:pPr>
              <w:adjustRightInd w:val="0"/>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20</w:t>
            </w:r>
          </w:p>
        </w:tc>
        <w:tc>
          <w:tcPr>
            <w:tcW w:w="1347" w:type="dxa"/>
            <w:tcBorders>
              <w:top w:val="single" w:color="auto" w:sz="4" w:space="0"/>
              <w:left w:val="single" w:color="auto" w:sz="4" w:space="0"/>
              <w:bottom w:val="single" w:color="auto" w:sz="4" w:space="0"/>
              <w:right w:val="single" w:color="auto" w:sz="4" w:space="0"/>
            </w:tcBorders>
            <w:vAlign w:val="center"/>
          </w:tcPr>
          <w:p w14:paraId="1816EEDB">
            <w:pPr>
              <w:spacing w:line="360" w:lineRule="auto"/>
              <w:jc w:val="center"/>
              <w:rPr>
                <w:rFonts w:hint="eastAsia" w:ascii="宋体" w:hAnsi="宋体" w:cs="宋体"/>
                <w:b/>
                <w:bCs/>
                <w:spacing w:val="-6"/>
                <w:sz w:val="24"/>
              </w:rPr>
            </w:pPr>
            <w:r>
              <w:rPr>
                <w:rFonts w:hint="eastAsia" w:ascii="宋体" w:hAnsi="宋体" w:cs="宋体"/>
                <w:b/>
                <w:bCs/>
                <w:spacing w:val="-28"/>
                <w:sz w:val="24"/>
              </w:rPr>
              <w:t>是否允许采购进口产品</w:t>
            </w:r>
          </w:p>
        </w:tc>
        <w:tc>
          <w:tcPr>
            <w:tcW w:w="7753" w:type="dxa"/>
            <w:tcBorders>
              <w:top w:val="single" w:color="auto" w:sz="4" w:space="0"/>
              <w:left w:val="single" w:color="auto" w:sz="4" w:space="0"/>
              <w:bottom w:val="single" w:color="auto" w:sz="4" w:space="0"/>
              <w:right w:val="single" w:color="auto" w:sz="4" w:space="0"/>
            </w:tcBorders>
            <w:vAlign w:val="center"/>
          </w:tcPr>
          <w:p w14:paraId="42D605D3">
            <w:pPr>
              <w:spacing w:line="360" w:lineRule="auto"/>
              <w:rPr>
                <w:rFonts w:hint="eastAsia" w:ascii="宋体" w:hAnsi="宋体" w:cs="宋体"/>
                <w:sz w:val="24"/>
              </w:rPr>
            </w:pPr>
            <w:r>
              <w:rPr>
                <w:rFonts w:hint="eastAsia" w:ascii="宋体" w:hAnsi="宋体" w:cs="宋体"/>
                <w:kern w:val="0"/>
                <w:sz w:val="24"/>
              </w:rPr>
              <w:t>本项目不允许采购进口产品。</w:t>
            </w:r>
          </w:p>
        </w:tc>
      </w:tr>
      <w:tr w14:paraId="04739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A7EDC32">
            <w:pPr>
              <w:adjustRightInd w:val="0"/>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21</w:t>
            </w:r>
          </w:p>
        </w:tc>
        <w:tc>
          <w:tcPr>
            <w:tcW w:w="1347" w:type="dxa"/>
            <w:tcBorders>
              <w:top w:val="single" w:color="auto" w:sz="4" w:space="0"/>
              <w:left w:val="single" w:color="auto" w:sz="4" w:space="0"/>
              <w:bottom w:val="single" w:color="auto" w:sz="4" w:space="0"/>
              <w:right w:val="single" w:color="auto" w:sz="4" w:space="0"/>
            </w:tcBorders>
            <w:vAlign w:val="center"/>
          </w:tcPr>
          <w:p w14:paraId="7FD247F9">
            <w:pPr>
              <w:shd w:val="clear" w:color="auto" w:fill="FFFFFF"/>
              <w:spacing w:line="360" w:lineRule="auto"/>
              <w:jc w:val="center"/>
              <w:rPr>
                <w:rFonts w:hint="eastAsia" w:ascii="宋体" w:hAnsi="宋体" w:cs="宋体"/>
                <w:b/>
                <w:sz w:val="24"/>
              </w:rPr>
            </w:pPr>
            <w:r>
              <w:rPr>
                <w:rFonts w:hint="eastAsia" w:ascii="宋体" w:hAnsi="宋体" w:cs="宋体"/>
                <w:b/>
                <w:bCs/>
                <w:spacing w:val="-28"/>
                <w:sz w:val="24"/>
              </w:rPr>
              <w:t>现场考察、开标前答疑会</w:t>
            </w:r>
          </w:p>
        </w:tc>
        <w:tc>
          <w:tcPr>
            <w:tcW w:w="7753" w:type="dxa"/>
            <w:tcBorders>
              <w:top w:val="single" w:color="auto" w:sz="4" w:space="0"/>
              <w:left w:val="single" w:color="auto" w:sz="4" w:space="0"/>
              <w:bottom w:val="single" w:color="auto" w:sz="4" w:space="0"/>
              <w:right w:val="single" w:color="auto" w:sz="4" w:space="0"/>
            </w:tcBorders>
            <w:vAlign w:val="center"/>
          </w:tcPr>
          <w:p w14:paraId="4120052E">
            <w:pPr>
              <w:spacing w:line="360" w:lineRule="auto"/>
              <w:rPr>
                <w:rFonts w:hint="eastAsia" w:ascii="宋体" w:hAnsi="宋体" w:cs="宋体"/>
                <w:sz w:val="24"/>
              </w:rPr>
            </w:pPr>
            <w:r>
              <w:rPr>
                <w:rFonts w:hint="eastAsia" w:ascii="宋体" w:hAnsi="宋体" w:cs="宋体"/>
                <w:kern w:val="0"/>
                <w:sz w:val="24"/>
              </w:rPr>
              <w:t>不组织。</w:t>
            </w:r>
          </w:p>
        </w:tc>
      </w:tr>
      <w:tr w14:paraId="35512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20BD23C">
            <w:pPr>
              <w:adjustRightInd w:val="0"/>
              <w:spacing w:line="360" w:lineRule="auto"/>
              <w:jc w:val="center"/>
              <w:rPr>
                <w:rFonts w:hint="eastAsia" w:ascii="宋体" w:hAnsi="宋体" w:cs="宋体"/>
                <w:b/>
                <w:bCs/>
                <w:spacing w:val="-6"/>
                <w:sz w:val="24"/>
              </w:rPr>
            </w:pPr>
            <w:r>
              <w:rPr>
                <w:rFonts w:hint="eastAsia" w:ascii="宋体" w:hAnsi="宋体" w:cs="宋体"/>
                <w:b/>
                <w:bCs/>
                <w:spacing w:val="-6"/>
                <w:sz w:val="24"/>
              </w:rPr>
              <w:t>2</w:t>
            </w:r>
            <w:r>
              <w:rPr>
                <w:rFonts w:hint="eastAsia" w:ascii="宋体" w:hAnsi="宋体" w:cs="宋体"/>
                <w:b/>
                <w:bCs/>
                <w:spacing w:val="-6"/>
                <w:sz w:val="24"/>
                <w:lang w:val="en-US" w:eastAsia="zh-CN"/>
              </w:rPr>
              <w:t>2</w:t>
            </w:r>
          </w:p>
        </w:tc>
        <w:tc>
          <w:tcPr>
            <w:tcW w:w="1347" w:type="dxa"/>
            <w:tcBorders>
              <w:top w:val="single" w:color="auto" w:sz="4" w:space="0"/>
              <w:left w:val="single" w:color="auto" w:sz="4" w:space="0"/>
              <w:bottom w:val="single" w:color="auto" w:sz="4" w:space="0"/>
              <w:right w:val="single" w:color="auto" w:sz="4" w:space="0"/>
            </w:tcBorders>
            <w:vAlign w:val="center"/>
          </w:tcPr>
          <w:p w14:paraId="7A8D3AF5">
            <w:pPr>
              <w:spacing w:line="360" w:lineRule="auto"/>
              <w:jc w:val="center"/>
              <w:rPr>
                <w:rFonts w:hint="eastAsia" w:ascii="宋体" w:hAnsi="宋体" w:cs="宋体"/>
                <w:b/>
                <w:sz w:val="24"/>
              </w:rPr>
            </w:pPr>
            <w:r>
              <w:rPr>
                <w:rFonts w:hint="eastAsia" w:ascii="宋体" w:hAnsi="宋体" w:cs="宋体"/>
                <w:b/>
                <w:sz w:val="24"/>
              </w:rPr>
              <w:t>其他</w:t>
            </w:r>
          </w:p>
        </w:tc>
        <w:tc>
          <w:tcPr>
            <w:tcW w:w="7753" w:type="dxa"/>
            <w:tcBorders>
              <w:top w:val="single" w:color="auto" w:sz="4" w:space="0"/>
              <w:left w:val="single" w:color="auto" w:sz="4" w:space="0"/>
              <w:bottom w:val="single" w:color="auto" w:sz="4" w:space="0"/>
              <w:right w:val="single" w:color="auto" w:sz="4" w:space="0"/>
            </w:tcBorders>
            <w:vAlign w:val="center"/>
          </w:tcPr>
          <w:p w14:paraId="171BD02D">
            <w:pPr>
              <w:pStyle w:val="66"/>
              <w:shd w:val="clear" w:color="auto" w:fill="FFFFFF" w:themeFill="background1"/>
              <w:spacing w:after="0" w:line="360" w:lineRule="auto"/>
              <w:ind w:firstLine="0" w:firstLineChars="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请投标人仔细阅读本招标文件，其中“▲” 系指实质性要求条款，“★”指重要性要求条款。</w:t>
            </w:r>
          </w:p>
          <w:p w14:paraId="210E1BE7">
            <w:pPr>
              <w:pStyle w:val="66"/>
              <w:shd w:val="clear" w:color="auto" w:fill="FFFFFF" w:themeFill="background1"/>
              <w:spacing w:after="0" w:line="360" w:lineRule="auto"/>
              <w:ind w:firstLine="0" w:firstLineChars="0"/>
              <w:rPr>
                <w:rFonts w:hint="eastAsia" w:ascii="宋体" w:hAnsi="宋体" w:cs="宋体"/>
                <w:kern w:val="0"/>
                <w:sz w:val="24"/>
                <w:szCs w:val="24"/>
              </w:rPr>
            </w:pPr>
            <w:r>
              <w:rPr>
                <w:rFonts w:hint="eastAsia" w:ascii="宋体" w:hAnsi="宋体" w:cs="宋体"/>
                <w:sz w:val="24"/>
                <w:szCs w:val="24"/>
                <w:shd w:val="clear" w:color="auto" w:fill="FFFFFF" w:themeFill="background1"/>
              </w:rPr>
              <w:t>（2）评</w:t>
            </w:r>
            <w:r>
              <w:rPr>
                <w:rFonts w:hint="eastAsia" w:ascii="宋体" w:hAnsi="宋体" w:cs="宋体"/>
                <w:sz w:val="24"/>
                <w:szCs w:val="24"/>
              </w:rPr>
              <w:t>审过程中如有需要投标人对投标文件作出澄清、说明或者补正的，将以电子邮件的方式发出，投标人须在规定的时间内作出答复，并由授权代表签字扫描后发至</w:t>
            </w:r>
            <w:r>
              <w:rPr>
                <w:rFonts w:hint="eastAsia" w:ascii="宋体" w:hAnsi="宋体" w:cs="宋体"/>
                <w:sz w:val="24"/>
                <w:szCs w:val="24"/>
                <w:lang w:val="en-US" w:eastAsia="zh-CN"/>
              </w:rPr>
              <w:t>576646218</w:t>
            </w:r>
            <w:r>
              <w:rPr>
                <w:rFonts w:hint="eastAsia" w:ascii="宋体" w:hAnsi="宋体" w:cs="宋体"/>
                <w:sz w:val="24"/>
                <w:szCs w:val="24"/>
              </w:rPr>
              <w:t>@qq.com邮箱。</w:t>
            </w:r>
          </w:p>
        </w:tc>
      </w:tr>
      <w:tr w14:paraId="46C5E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D8DC3D4">
            <w:pPr>
              <w:adjustRightInd w:val="0"/>
              <w:spacing w:line="360" w:lineRule="auto"/>
              <w:jc w:val="center"/>
              <w:rPr>
                <w:rFonts w:hint="default" w:ascii="宋体" w:hAnsi="宋体" w:eastAsia="宋体" w:cs="宋体"/>
                <w:b/>
                <w:bCs/>
                <w:spacing w:val="-6"/>
                <w:sz w:val="24"/>
                <w:lang w:val="en-US" w:eastAsia="zh-CN"/>
              </w:rPr>
            </w:pPr>
            <w:r>
              <w:rPr>
                <w:rFonts w:hint="eastAsia" w:ascii="宋体" w:hAnsi="宋体" w:cs="宋体"/>
                <w:b/>
                <w:bCs/>
                <w:spacing w:val="-6"/>
                <w:sz w:val="24"/>
                <w:lang w:val="en-US" w:eastAsia="zh-CN"/>
              </w:rPr>
              <w:t>23</w:t>
            </w:r>
          </w:p>
        </w:tc>
        <w:tc>
          <w:tcPr>
            <w:tcW w:w="1347" w:type="dxa"/>
            <w:tcBorders>
              <w:top w:val="single" w:color="auto" w:sz="4" w:space="0"/>
              <w:left w:val="single" w:color="auto" w:sz="4" w:space="0"/>
              <w:bottom w:val="single" w:color="auto" w:sz="4" w:space="0"/>
              <w:right w:val="single" w:color="auto" w:sz="4" w:space="0"/>
            </w:tcBorders>
            <w:vAlign w:val="center"/>
          </w:tcPr>
          <w:p w14:paraId="329E70FC">
            <w:pPr>
              <w:spacing w:line="360" w:lineRule="auto"/>
              <w:jc w:val="center"/>
              <w:rPr>
                <w:rFonts w:hint="eastAsia" w:ascii="宋体" w:hAnsi="宋体" w:cs="宋体"/>
                <w:b/>
                <w:color w:val="auto"/>
                <w:sz w:val="24"/>
              </w:rPr>
            </w:pPr>
            <w:r>
              <w:rPr>
                <w:rFonts w:hint="eastAsia" w:ascii="宋体" w:hAnsi="宋体" w:cs="宋体"/>
                <w:b/>
                <w:bCs/>
                <w:color w:val="auto"/>
                <w:spacing w:val="-6"/>
                <w:sz w:val="24"/>
              </w:rPr>
              <w:t>合同签订说明</w:t>
            </w:r>
          </w:p>
        </w:tc>
        <w:tc>
          <w:tcPr>
            <w:tcW w:w="7753" w:type="dxa"/>
            <w:tcBorders>
              <w:top w:val="single" w:color="auto" w:sz="4" w:space="0"/>
              <w:left w:val="single" w:color="auto" w:sz="4" w:space="0"/>
              <w:bottom w:val="single" w:color="auto" w:sz="4" w:space="0"/>
              <w:right w:val="single" w:color="auto" w:sz="4" w:space="0"/>
            </w:tcBorders>
            <w:vAlign w:val="center"/>
          </w:tcPr>
          <w:p w14:paraId="03614CA4">
            <w:pPr>
              <w:pStyle w:val="66"/>
              <w:shd w:val="clear" w:color="auto" w:fill="FFFFFF" w:themeFill="background1"/>
              <w:spacing w:after="0" w:line="360" w:lineRule="auto"/>
              <w:ind w:firstLine="0" w:firstLineChars="0"/>
              <w:rPr>
                <w:rFonts w:hint="eastAsia" w:ascii="宋体" w:hAnsi="宋体" w:cs="宋体"/>
                <w:color w:val="auto"/>
                <w:sz w:val="24"/>
                <w:szCs w:val="24"/>
              </w:rPr>
            </w:pPr>
            <w:r>
              <w:rPr>
                <w:rFonts w:hint="eastAsia" w:ascii="宋体" w:hAnsi="宋体" w:cs="宋体"/>
                <w:color w:val="auto"/>
                <w:sz w:val="24"/>
              </w:rPr>
              <w:t>本项目为统招分签项目，中标后中标人与各需求单位分别签订合同。</w:t>
            </w:r>
          </w:p>
        </w:tc>
      </w:tr>
      <w:tr w14:paraId="7C178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451B47F">
            <w:pPr>
              <w:adjustRightInd w:val="0"/>
              <w:spacing w:line="360" w:lineRule="auto"/>
              <w:jc w:val="center"/>
              <w:rPr>
                <w:rFonts w:hint="eastAsia" w:ascii="宋体" w:hAnsi="宋体" w:cs="宋体"/>
                <w:b/>
                <w:bCs/>
                <w:spacing w:val="-6"/>
                <w:sz w:val="24"/>
              </w:rPr>
            </w:pPr>
            <w:r>
              <w:rPr>
                <w:rFonts w:hint="eastAsia" w:ascii="宋体" w:hAnsi="宋体" w:cs="宋体"/>
                <w:b/>
                <w:bCs/>
                <w:spacing w:val="-6"/>
                <w:sz w:val="24"/>
                <w:lang w:val="en-US" w:eastAsia="zh-CN"/>
              </w:rPr>
              <w:t>24</w:t>
            </w:r>
          </w:p>
        </w:tc>
        <w:tc>
          <w:tcPr>
            <w:tcW w:w="1347" w:type="dxa"/>
            <w:tcBorders>
              <w:top w:val="single" w:color="auto" w:sz="4" w:space="0"/>
              <w:left w:val="single" w:color="auto" w:sz="4" w:space="0"/>
              <w:bottom w:val="single" w:color="auto" w:sz="4" w:space="0"/>
              <w:right w:val="single" w:color="auto" w:sz="4" w:space="0"/>
            </w:tcBorders>
            <w:vAlign w:val="center"/>
          </w:tcPr>
          <w:p w14:paraId="4D862349">
            <w:pPr>
              <w:spacing w:line="360" w:lineRule="auto"/>
              <w:jc w:val="center"/>
              <w:rPr>
                <w:rFonts w:hint="eastAsia" w:ascii="宋体" w:hAnsi="宋体" w:cs="宋体"/>
                <w:b/>
                <w:bCs/>
                <w:spacing w:val="-6"/>
                <w:sz w:val="24"/>
              </w:rPr>
            </w:pPr>
            <w:r>
              <w:rPr>
                <w:rFonts w:hint="eastAsia" w:ascii="宋体" w:hAnsi="宋体" w:cs="宋体"/>
                <w:b/>
                <w:bCs/>
                <w:spacing w:val="-6"/>
                <w:sz w:val="24"/>
              </w:rPr>
              <w:t>解释</w:t>
            </w:r>
          </w:p>
        </w:tc>
        <w:tc>
          <w:tcPr>
            <w:tcW w:w="7753" w:type="dxa"/>
            <w:tcBorders>
              <w:top w:val="single" w:color="auto" w:sz="4" w:space="0"/>
              <w:left w:val="single" w:color="auto" w:sz="4" w:space="0"/>
              <w:bottom w:val="single" w:color="auto" w:sz="4" w:space="0"/>
              <w:right w:val="single" w:color="auto" w:sz="4" w:space="0"/>
            </w:tcBorders>
            <w:vAlign w:val="center"/>
          </w:tcPr>
          <w:p w14:paraId="2E04755F">
            <w:pPr>
              <w:spacing w:line="360" w:lineRule="auto"/>
              <w:rPr>
                <w:rFonts w:hint="eastAsia" w:ascii="宋体" w:hAnsi="宋体" w:cs="宋体"/>
                <w:spacing w:val="-6"/>
                <w:sz w:val="24"/>
              </w:rPr>
            </w:pPr>
            <w:r>
              <w:rPr>
                <w:rFonts w:hint="eastAsia" w:ascii="宋体" w:hAnsi="宋体" w:cs="宋体"/>
                <w:sz w:val="24"/>
              </w:rPr>
              <w:t>本招标文件的解释权属于采购人和采购代理机构。</w:t>
            </w:r>
          </w:p>
        </w:tc>
      </w:tr>
    </w:tbl>
    <w:p w14:paraId="2E80DB9A">
      <w:pPr>
        <w:pStyle w:val="3"/>
        <w:snapToGrid w:val="0"/>
        <w:spacing w:beforeLines="0" w:afterLines="0" w:line="360" w:lineRule="exact"/>
        <w:rPr>
          <w:rFonts w:hint="eastAsia" w:hAnsi="宋体" w:cs="宋体"/>
          <w:spacing w:val="-6"/>
        </w:rPr>
      </w:pPr>
      <w:r>
        <w:rPr>
          <w:rFonts w:hint="eastAsia" w:hAnsi="宋体" w:cs="宋体"/>
          <w:spacing w:val="-6"/>
        </w:rPr>
        <w:t>注：以上内容如有变化将另行书面通知。另行通知中未提及事项不作变动。</w:t>
      </w:r>
    </w:p>
    <w:p w14:paraId="20758208">
      <w:pPr>
        <w:widowControl/>
        <w:jc w:val="left"/>
      </w:pPr>
      <w:r>
        <w:br w:type="page"/>
      </w:r>
    </w:p>
    <w:p w14:paraId="570A33A3"/>
    <w:p w14:paraId="3D6BE00A">
      <w:pPr>
        <w:pStyle w:val="4"/>
        <w:rPr>
          <w:rFonts w:hint="eastAsia"/>
        </w:rPr>
      </w:pPr>
      <w:bookmarkStart w:id="5" w:name="_Toc9624375"/>
      <w:r>
        <w:rPr>
          <w:rFonts w:hint="eastAsia"/>
        </w:rPr>
        <w:t>一、总  则</w:t>
      </w:r>
      <w:bookmarkEnd w:id="5"/>
    </w:p>
    <w:p w14:paraId="6E7EA1B8">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（一） 适用范围</w:t>
      </w:r>
    </w:p>
    <w:p w14:paraId="0B0EF1A1">
      <w:pPr>
        <w:spacing w:line="360" w:lineRule="auto"/>
        <w:ind w:firstLine="480" w:firstLineChars="200"/>
        <w:jc w:val="left"/>
        <w:rPr>
          <w:rFonts w:hint="eastAsia" w:ascii="宋体" w:hAnsi="宋体" w:cs="宋体"/>
          <w:sz w:val="24"/>
        </w:rPr>
      </w:pPr>
      <w:r>
        <w:rPr>
          <w:rFonts w:hint="eastAsia" w:ascii="宋体" w:hAnsi="宋体" w:cs="宋体"/>
          <w:sz w:val="24"/>
        </w:rPr>
        <w:t>本招标文件适用于本次采购项目的招标、投标、评标、定标、验收、合同履约、付款等行为（法律法规另有规定的，从其规定）。</w:t>
      </w:r>
    </w:p>
    <w:p w14:paraId="5758629D">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（二）定义</w:t>
      </w:r>
    </w:p>
    <w:p w14:paraId="74CBF28E">
      <w:pPr>
        <w:spacing w:line="360" w:lineRule="auto"/>
        <w:ind w:firstLine="480" w:firstLineChars="200"/>
        <w:jc w:val="left"/>
        <w:rPr>
          <w:rFonts w:hint="eastAsia" w:ascii="宋体" w:hAnsi="宋体" w:cs="宋体"/>
          <w:sz w:val="24"/>
        </w:rPr>
      </w:pPr>
      <w:r>
        <w:rPr>
          <w:rFonts w:hint="eastAsia" w:ascii="宋体" w:hAnsi="宋体" w:cs="宋体"/>
          <w:sz w:val="24"/>
        </w:rPr>
        <w:t>1.招标采购单位：系指组织本次招标的代理机构和采购人。</w:t>
      </w:r>
    </w:p>
    <w:p w14:paraId="4F252367">
      <w:pPr>
        <w:spacing w:line="360" w:lineRule="auto"/>
        <w:ind w:firstLine="480" w:firstLineChars="200"/>
        <w:jc w:val="left"/>
        <w:rPr>
          <w:rFonts w:hint="eastAsia" w:ascii="宋体" w:hAnsi="宋体" w:cs="宋体"/>
          <w:sz w:val="24"/>
        </w:rPr>
      </w:pPr>
      <w:r>
        <w:rPr>
          <w:rFonts w:hint="eastAsia" w:ascii="宋体" w:hAnsi="宋体" w:cs="宋体"/>
          <w:sz w:val="24"/>
        </w:rPr>
        <w:t>2.投标人：系指购买了招标文件并向招标采购单位提交投标文件的单位或个人，也称作供应商。</w:t>
      </w:r>
    </w:p>
    <w:p w14:paraId="5ECBFCF5">
      <w:pPr>
        <w:spacing w:line="360" w:lineRule="auto"/>
        <w:ind w:firstLine="480" w:firstLineChars="200"/>
        <w:jc w:val="left"/>
        <w:rPr>
          <w:rFonts w:hint="eastAsia" w:ascii="宋体" w:hAnsi="宋体" w:cs="宋体"/>
          <w:sz w:val="24"/>
        </w:rPr>
      </w:pPr>
      <w:r>
        <w:rPr>
          <w:rFonts w:hint="eastAsia" w:ascii="宋体" w:hAnsi="宋体" w:cs="宋体"/>
          <w:sz w:val="24"/>
        </w:rPr>
        <w:t>3.投标人代表：是指参加本项目投标活动的供应商法定代表人或法定代表人授权代表。</w:t>
      </w:r>
    </w:p>
    <w:p w14:paraId="52B43B57">
      <w:pPr>
        <w:spacing w:line="360" w:lineRule="auto"/>
        <w:ind w:firstLine="480" w:firstLineChars="200"/>
        <w:jc w:val="left"/>
        <w:rPr>
          <w:rFonts w:hint="eastAsia" w:ascii="宋体" w:hAnsi="宋体" w:cs="宋体"/>
          <w:sz w:val="24"/>
        </w:rPr>
      </w:pPr>
      <w:r>
        <w:rPr>
          <w:rFonts w:hint="eastAsia" w:ascii="宋体" w:hAnsi="宋体" w:cs="宋体"/>
          <w:sz w:val="24"/>
        </w:rPr>
        <w:t>4.联合体：是指两个以上供应商组成联合体，以一个供应商的身份参加投标。</w:t>
      </w:r>
    </w:p>
    <w:p w14:paraId="67554781">
      <w:pPr>
        <w:spacing w:line="360" w:lineRule="auto"/>
        <w:ind w:firstLine="480" w:firstLineChars="200"/>
        <w:jc w:val="left"/>
        <w:rPr>
          <w:rFonts w:hint="eastAsia" w:ascii="宋体" w:hAnsi="宋体" w:cs="宋体"/>
          <w:sz w:val="24"/>
        </w:rPr>
      </w:pPr>
      <w:r>
        <w:rPr>
          <w:rFonts w:hint="eastAsia" w:ascii="宋体" w:hAnsi="宋体" w:cs="宋体"/>
          <w:sz w:val="24"/>
        </w:rPr>
        <w:t>5.甲方：是指合同签订的一方，一般与采购人、招标人、用户相同。</w:t>
      </w:r>
    </w:p>
    <w:p w14:paraId="4DA503F8">
      <w:pPr>
        <w:spacing w:line="360" w:lineRule="auto"/>
        <w:ind w:firstLine="480" w:firstLineChars="200"/>
        <w:jc w:val="left"/>
        <w:rPr>
          <w:rFonts w:hint="eastAsia" w:ascii="宋体" w:hAnsi="宋体" w:cs="宋体"/>
          <w:sz w:val="24"/>
        </w:rPr>
      </w:pPr>
      <w:r>
        <w:rPr>
          <w:rFonts w:hint="eastAsia" w:ascii="宋体" w:hAnsi="宋体" w:cs="宋体"/>
          <w:sz w:val="24"/>
        </w:rPr>
        <w:t>6.乙方：是指合同签订的另一方，与中标人相同。</w:t>
      </w:r>
    </w:p>
    <w:p w14:paraId="4E960E58">
      <w:pPr>
        <w:spacing w:line="360" w:lineRule="auto"/>
        <w:ind w:firstLine="480" w:firstLineChars="200"/>
        <w:jc w:val="left"/>
        <w:rPr>
          <w:rFonts w:hint="eastAsia" w:ascii="宋体" w:hAnsi="宋体" w:cs="宋体"/>
          <w:sz w:val="24"/>
        </w:rPr>
      </w:pPr>
      <w:r>
        <w:rPr>
          <w:rFonts w:hint="eastAsia" w:ascii="宋体" w:hAnsi="宋体" w:cs="宋体"/>
          <w:sz w:val="24"/>
        </w:rPr>
        <w:t>7.“产品”系指供方按招标文件规定，须向采购人提供的一切设备、保险、税金、备品备件、工具、手册及其他有关技术资料和材料。</w:t>
      </w:r>
    </w:p>
    <w:p w14:paraId="6DB12A38">
      <w:pPr>
        <w:spacing w:line="360" w:lineRule="auto"/>
        <w:ind w:firstLine="480" w:firstLineChars="200"/>
        <w:jc w:val="left"/>
        <w:rPr>
          <w:rFonts w:hint="eastAsia" w:ascii="宋体" w:hAnsi="宋体" w:cs="宋体"/>
          <w:sz w:val="24"/>
        </w:rPr>
      </w:pPr>
      <w:r>
        <w:rPr>
          <w:rFonts w:hint="eastAsia" w:ascii="宋体" w:hAnsi="宋体" w:cs="宋体"/>
          <w:sz w:val="24"/>
        </w:rPr>
        <w:t>8.“服务”系指招标文件规定投标人须承担的安装、调试、技术协助、校准、培训、技术指导以及其他类似的义务。</w:t>
      </w:r>
    </w:p>
    <w:p w14:paraId="40ADA7E5">
      <w:pPr>
        <w:spacing w:line="360" w:lineRule="auto"/>
        <w:ind w:firstLine="480" w:firstLineChars="200"/>
        <w:jc w:val="left"/>
        <w:rPr>
          <w:rFonts w:hint="eastAsia" w:ascii="宋体" w:hAnsi="宋体" w:cs="宋体"/>
          <w:sz w:val="24"/>
        </w:rPr>
      </w:pPr>
      <w:r>
        <w:rPr>
          <w:rFonts w:hint="eastAsia" w:ascii="宋体" w:hAnsi="宋体" w:cs="宋体"/>
          <w:sz w:val="24"/>
        </w:rPr>
        <w:t>9.“项目”系指投标人按招标文件规定向采购人提供的产品和服务。</w:t>
      </w:r>
    </w:p>
    <w:p w14:paraId="610ED847">
      <w:pPr>
        <w:spacing w:line="360" w:lineRule="auto"/>
        <w:ind w:firstLine="480" w:firstLineChars="200"/>
        <w:jc w:val="left"/>
        <w:rPr>
          <w:rFonts w:hint="eastAsia" w:ascii="宋体" w:hAnsi="宋体" w:cs="宋体"/>
          <w:color w:val="auto"/>
          <w:sz w:val="24"/>
        </w:rPr>
      </w:pPr>
      <w:r>
        <w:rPr>
          <w:rFonts w:hint="eastAsia" w:ascii="宋体" w:hAnsi="宋体" w:cs="宋体"/>
          <w:sz w:val="24"/>
        </w:rPr>
        <w:t>10.“书面形式”包</w:t>
      </w:r>
      <w:r>
        <w:rPr>
          <w:rFonts w:hint="eastAsia" w:ascii="宋体" w:hAnsi="宋体" w:cs="宋体"/>
          <w:color w:val="auto"/>
          <w:sz w:val="24"/>
        </w:rPr>
        <w:t>括信函、传真、电报等。</w:t>
      </w:r>
    </w:p>
    <w:p w14:paraId="118BFEB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11.“</w:t>
      </w:r>
      <w:r>
        <w:rPr>
          <w:rFonts w:hint="eastAsia" w:ascii="宋体" w:hAnsi="宋体" w:cs="宋体"/>
          <w:b/>
          <w:bCs/>
          <w:color w:val="auto"/>
          <w:szCs w:val="21"/>
        </w:rPr>
        <w:t>▲</w:t>
      </w:r>
      <w:r>
        <w:rPr>
          <w:rFonts w:hint="eastAsia" w:ascii="宋体" w:hAnsi="宋体" w:cs="宋体"/>
          <w:color w:val="auto"/>
          <w:sz w:val="24"/>
        </w:rPr>
        <w:t>”系指实质性条款，负偏离做无效标处理。</w:t>
      </w:r>
    </w:p>
    <w:p w14:paraId="42B6E9E0">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（三）招标方式</w:t>
      </w:r>
    </w:p>
    <w:p w14:paraId="7E370FD6">
      <w:pPr>
        <w:spacing w:line="360" w:lineRule="auto"/>
        <w:ind w:firstLine="480" w:firstLineChars="200"/>
        <w:jc w:val="left"/>
        <w:rPr>
          <w:rFonts w:hint="eastAsia" w:ascii="宋体" w:hAnsi="宋体" w:cs="宋体"/>
          <w:sz w:val="24"/>
        </w:rPr>
      </w:pPr>
      <w:r>
        <w:rPr>
          <w:rFonts w:hint="eastAsia" w:ascii="宋体" w:hAnsi="宋体" w:cs="宋体"/>
          <w:sz w:val="24"/>
        </w:rPr>
        <w:t>本次招标采用公开招标方式进行。</w:t>
      </w:r>
    </w:p>
    <w:p w14:paraId="2167804D">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（四）投标委托</w:t>
      </w:r>
    </w:p>
    <w:p w14:paraId="1AB1D1AE">
      <w:pPr>
        <w:spacing w:line="360" w:lineRule="auto"/>
        <w:ind w:firstLine="480" w:firstLineChars="200"/>
        <w:jc w:val="left"/>
        <w:rPr>
          <w:rFonts w:hint="eastAsia" w:ascii="宋体" w:hAnsi="宋体" w:cs="宋体"/>
          <w:sz w:val="24"/>
        </w:rPr>
      </w:pPr>
      <w:r>
        <w:rPr>
          <w:rFonts w:hint="eastAsia" w:ascii="宋体" w:hAnsi="宋体" w:cs="宋体"/>
          <w:sz w:val="24"/>
        </w:rPr>
        <w:t>投标人代表参加开标活动时应当持有效期内本人身份证或公安机关出具的临时身份证明或港澳台胞证或护照原件或户口本原件（其他诸如驾驶证、市民卡等一律视为未提供有效的身份证明）和法定代表人出具的授权委托书。若是法定代表人参加，须携提供法定代表人身份证明书（格式见第六部分）。</w:t>
      </w:r>
    </w:p>
    <w:p w14:paraId="32C5D388">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（五）投标费用</w:t>
      </w:r>
    </w:p>
    <w:p w14:paraId="6A50E1A5">
      <w:pPr>
        <w:spacing w:line="360" w:lineRule="auto"/>
        <w:ind w:firstLine="480" w:firstLineChars="200"/>
        <w:jc w:val="left"/>
        <w:rPr>
          <w:rFonts w:hint="eastAsia" w:ascii="宋体" w:hAnsi="宋体" w:cs="宋体"/>
          <w:sz w:val="24"/>
        </w:rPr>
      </w:pPr>
      <w:r>
        <w:rPr>
          <w:rFonts w:hint="eastAsia" w:ascii="宋体" w:hAnsi="宋体" w:cs="宋体"/>
          <w:sz w:val="24"/>
        </w:rPr>
        <w:t>不论投标结果如何，投标人均应自行承担所有与投标有关的全部费用。</w:t>
      </w:r>
    </w:p>
    <w:p w14:paraId="3BED5D98">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（六）联合体投标</w:t>
      </w:r>
    </w:p>
    <w:p w14:paraId="1C2C6437">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本项目不接受联合体参加投标</w:t>
      </w:r>
    </w:p>
    <w:p w14:paraId="6E0D5D35">
      <w:pPr>
        <w:spacing w:line="360" w:lineRule="auto"/>
        <w:ind w:firstLine="482" w:firstLineChars="200"/>
        <w:jc w:val="left"/>
        <w:outlineLvl w:val="2"/>
        <w:rPr>
          <w:rFonts w:hint="eastAsia" w:ascii="宋体" w:hAnsi="宋体" w:cs="宋体"/>
          <w:b/>
          <w:kern w:val="0"/>
          <w:sz w:val="24"/>
        </w:rPr>
      </w:pPr>
      <w:r>
        <w:rPr>
          <w:rFonts w:hint="eastAsia" w:ascii="宋体" w:hAnsi="宋体" w:cs="宋体"/>
          <w:b/>
          <w:sz w:val="24"/>
        </w:rPr>
        <w:t>（七）</w:t>
      </w:r>
      <w:r>
        <w:rPr>
          <w:rFonts w:hint="eastAsia" w:ascii="宋体" w:hAnsi="宋体" w:cs="宋体"/>
          <w:b/>
          <w:kern w:val="0"/>
          <w:sz w:val="24"/>
        </w:rPr>
        <w:t>转包与分包</w:t>
      </w:r>
    </w:p>
    <w:p w14:paraId="11BDA22F">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1.本项目不允许转包。</w:t>
      </w:r>
    </w:p>
    <w:p w14:paraId="33039627">
      <w:pPr>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w:t>
      </w:r>
      <w:r>
        <w:rPr>
          <w:rFonts w:hint="eastAsia" w:ascii="宋体" w:hAnsi="宋体" w:cs="宋体"/>
          <w:kern w:val="0"/>
          <w:sz w:val="24"/>
        </w:rPr>
        <w:t>本项目不允许分包。</w:t>
      </w:r>
    </w:p>
    <w:p w14:paraId="2BA42F09">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 xml:space="preserve">（八）特别说明 </w:t>
      </w:r>
    </w:p>
    <w:p w14:paraId="54AD3014">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1.招标文件中指出的工艺、材料、设备、服务等标准以及推荐、参照的品牌或型号仅起说明作用，并没有任何限制性。投标人在投标中可以选用替代标准、品牌或型号，但这些替代要实质上满足或超过招标文件的要求。</w:t>
      </w:r>
    </w:p>
    <w:p w14:paraId="131A57DE">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2.除招标文件另有说明外，投标人投标所使用的资格、信誉、荣誉、业绩与企业认证证书必须为该投标人所拥有。</w:t>
      </w:r>
    </w:p>
    <w:p w14:paraId="74A9A900">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3.投标人应仔细阅读招标文件的所有内容，按照招标文件的要求提交投标文件，并对所提供的全部资料的真实性承担法律责任。</w:t>
      </w:r>
    </w:p>
    <w:p w14:paraId="2BC55E89">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（九）质疑和投诉</w:t>
      </w:r>
    </w:p>
    <w:p w14:paraId="4DC87939">
      <w:pPr>
        <w:spacing w:line="360" w:lineRule="auto"/>
        <w:ind w:firstLine="464" w:firstLineChars="200"/>
        <w:jc w:val="left"/>
        <w:rPr>
          <w:rFonts w:hint="eastAsia" w:ascii="宋体" w:hAnsi="宋体" w:cs="宋体"/>
          <w:sz w:val="24"/>
        </w:rPr>
      </w:pPr>
      <w:r>
        <w:rPr>
          <w:rFonts w:hint="eastAsia" w:ascii="宋体" w:hAnsi="宋体" w:cs="宋体"/>
          <w:bCs/>
          <w:spacing w:val="-4"/>
          <w:sz w:val="24"/>
        </w:rPr>
        <w:t>投标人认为招标文件、招标过程或中标结果使自己的合法权益受到损害的，应当在知道或者应知其权益受到损害之日起七个工作日内，以书面形式一次性向采购人、采购代理机构提出质疑。</w:t>
      </w:r>
      <w:r>
        <w:rPr>
          <w:rFonts w:hint="eastAsia" w:ascii="宋体" w:hAnsi="宋体" w:cs="宋体"/>
          <w:spacing w:val="-4"/>
          <w:sz w:val="24"/>
        </w:rPr>
        <w:t>投标人对</w:t>
      </w:r>
      <w:r>
        <w:rPr>
          <w:rFonts w:hint="eastAsia" w:ascii="宋体" w:hAnsi="宋体" w:cs="宋体"/>
          <w:bCs/>
          <w:spacing w:val="-4"/>
          <w:sz w:val="24"/>
        </w:rPr>
        <w:t>采购人、采购代理机构</w:t>
      </w:r>
      <w:r>
        <w:rPr>
          <w:rFonts w:hint="eastAsia" w:ascii="宋体" w:hAnsi="宋体" w:cs="宋体"/>
          <w:spacing w:val="-4"/>
          <w:sz w:val="24"/>
        </w:rPr>
        <w:t>的质疑答复不满意或者</w:t>
      </w:r>
      <w:r>
        <w:rPr>
          <w:rFonts w:hint="eastAsia" w:ascii="宋体" w:hAnsi="宋体" w:cs="宋体"/>
          <w:bCs/>
          <w:spacing w:val="-4"/>
          <w:sz w:val="24"/>
        </w:rPr>
        <w:t>采购人、采购代理机构</w:t>
      </w:r>
      <w:r>
        <w:rPr>
          <w:rFonts w:hint="eastAsia" w:ascii="宋体" w:hAnsi="宋体" w:cs="宋体"/>
          <w:spacing w:val="-4"/>
          <w:sz w:val="24"/>
        </w:rPr>
        <w:t>未在规定时间内作出答复的，</w:t>
      </w:r>
      <w:r>
        <w:rPr>
          <w:rFonts w:hint="eastAsia" w:ascii="宋体" w:hAnsi="宋体" w:cs="宋体"/>
          <w:sz w:val="24"/>
        </w:rPr>
        <w:t>可以在答复期满后十五个工作日内向采购人监管部门投诉。</w:t>
      </w:r>
    </w:p>
    <w:p w14:paraId="1EDF562D">
      <w:pPr>
        <w:pStyle w:val="4"/>
        <w:rPr>
          <w:rFonts w:hint="eastAsia"/>
        </w:rPr>
      </w:pPr>
      <w:bookmarkStart w:id="6" w:name="_Toc9624376"/>
      <w:r>
        <w:rPr>
          <w:rFonts w:hint="eastAsia"/>
        </w:rPr>
        <w:t>二、招标文件</w:t>
      </w:r>
      <w:bookmarkEnd w:id="6"/>
    </w:p>
    <w:p w14:paraId="78F9C759">
      <w:pPr>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（一）招标文件的构成。</w:t>
      </w:r>
    </w:p>
    <w:p w14:paraId="21619AB8">
      <w:pPr>
        <w:snapToGrid w:val="0"/>
        <w:spacing w:line="360" w:lineRule="auto"/>
        <w:ind w:firstLine="482" w:firstLineChars="200"/>
        <w:jc w:val="left"/>
        <w:rPr>
          <w:rFonts w:hint="eastAsia" w:ascii="宋体" w:hAnsi="宋体" w:cs="宋体"/>
          <w:b/>
          <w:sz w:val="24"/>
        </w:rPr>
      </w:pPr>
      <w:r>
        <w:rPr>
          <w:rFonts w:hint="eastAsia" w:ascii="宋体" w:hAnsi="宋体" w:cs="宋体"/>
          <w:b/>
          <w:sz w:val="24"/>
        </w:rPr>
        <w:t>本招标文件由以下部分组成：</w:t>
      </w:r>
    </w:p>
    <w:p w14:paraId="38794236">
      <w:pPr>
        <w:snapToGrid w:val="0"/>
        <w:spacing w:line="360" w:lineRule="auto"/>
        <w:ind w:firstLine="480" w:firstLineChars="200"/>
        <w:jc w:val="left"/>
        <w:rPr>
          <w:rFonts w:hint="eastAsia" w:ascii="宋体" w:hAnsi="宋体" w:cs="宋体"/>
          <w:sz w:val="24"/>
        </w:rPr>
      </w:pPr>
      <w:r>
        <w:rPr>
          <w:rFonts w:hint="eastAsia" w:ascii="宋体" w:hAnsi="宋体" w:cs="宋体"/>
          <w:sz w:val="24"/>
        </w:rPr>
        <w:t>1.招标公告</w:t>
      </w:r>
    </w:p>
    <w:p w14:paraId="1EEDE264">
      <w:pPr>
        <w:snapToGrid w:val="0"/>
        <w:spacing w:line="360" w:lineRule="auto"/>
        <w:ind w:firstLine="480" w:firstLineChars="200"/>
        <w:jc w:val="left"/>
        <w:rPr>
          <w:rFonts w:hint="eastAsia" w:ascii="宋体" w:hAnsi="宋体" w:cs="宋体"/>
          <w:sz w:val="24"/>
        </w:rPr>
      </w:pPr>
      <w:r>
        <w:rPr>
          <w:rFonts w:hint="eastAsia" w:ascii="宋体" w:hAnsi="宋体" w:cs="宋体"/>
          <w:sz w:val="24"/>
        </w:rPr>
        <w:t>2.投标人须知</w:t>
      </w:r>
    </w:p>
    <w:p w14:paraId="2712E8D3">
      <w:pPr>
        <w:snapToGrid w:val="0"/>
        <w:spacing w:line="360" w:lineRule="auto"/>
        <w:ind w:firstLine="480" w:firstLineChars="200"/>
        <w:jc w:val="left"/>
        <w:rPr>
          <w:rFonts w:hint="eastAsia" w:ascii="宋体" w:hAnsi="宋体" w:cs="宋体"/>
          <w:sz w:val="24"/>
        </w:rPr>
      </w:pPr>
      <w:r>
        <w:rPr>
          <w:rFonts w:hint="eastAsia" w:ascii="宋体" w:hAnsi="宋体" w:cs="宋体"/>
          <w:sz w:val="24"/>
        </w:rPr>
        <w:t>3.采购需求</w:t>
      </w:r>
    </w:p>
    <w:p w14:paraId="1B7ABFF8">
      <w:pPr>
        <w:snapToGrid w:val="0"/>
        <w:spacing w:line="360" w:lineRule="auto"/>
        <w:ind w:firstLine="480" w:firstLineChars="200"/>
        <w:rPr>
          <w:rFonts w:hint="eastAsia" w:ascii="宋体" w:hAnsi="宋体" w:cs="宋体"/>
          <w:sz w:val="24"/>
        </w:rPr>
      </w:pPr>
      <w:r>
        <w:rPr>
          <w:rFonts w:hint="eastAsia" w:ascii="宋体" w:hAnsi="宋体" w:cs="宋体"/>
          <w:sz w:val="24"/>
        </w:rPr>
        <w:t>4.评标办法及评分标准</w:t>
      </w:r>
    </w:p>
    <w:p w14:paraId="4F23545A">
      <w:pPr>
        <w:snapToGrid w:val="0"/>
        <w:spacing w:line="360" w:lineRule="auto"/>
        <w:ind w:firstLine="480" w:firstLineChars="200"/>
        <w:jc w:val="left"/>
        <w:rPr>
          <w:rFonts w:hint="eastAsia" w:ascii="宋体" w:hAnsi="宋体" w:cs="宋体"/>
          <w:sz w:val="24"/>
        </w:rPr>
      </w:pPr>
      <w:r>
        <w:rPr>
          <w:rFonts w:hint="eastAsia" w:ascii="宋体" w:hAnsi="宋体" w:cs="宋体"/>
          <w:sz w:val="24"/>
        </w:rPr>
        <w:t>5.合同主要条款</w:t>
      </w:r>
    </w:p>
    <w:p w14:paraId="1967D092">
      <w:pPr>
        <w:snapToGrid w:val="0"/>
        <w:spacing w:line="360" w:lineRule="auto"/>
        <w:ind w:firstLine="480" w:firstLineChars="200"/>
        <w:jc w:val="left"/>
        <w:rPr>
          <w:rFonts w:hint="eastAsia" w:ascii="宋体" w:hAnsi="宋体" w:cs="宋体"/>
          <w:sz w:val="24"/>
        </w:rPr>
      </w:pPr>
      <w:r>
        <w:rPr>
          <w:rFonts w:hint="eastAsia" w:ascii="宋体" w:hAnsi="宋体" w:cs="宋体"/>
          <w:sz w:val="24"/>
        </w:rPr>
        <w:t>6.投标文件格式</w:t>
      </w:r>
    </w:p>
    <w:p w14:paraId="3EB93CA4">
      <w:pPr>
        <w:snapToGrid w:val="0"/>
        <w:spacing w:line="360" w:lineRule="auto"/>
        <w:ind w:firstLine="480" w:firstLineChars="200"/>
        <w:jc w:val="left"/>
        <w:rPr>
          <w:rFonts w:hint="eastAsia" w:ascii="宋体" w:hAnsi="宋体" w:cs="宋体"/>
          <w:sz w:val="24"/>
        </w:rPr>
      </w:pPr>
      <w:r>
        <w:rPr>
          <w:rFonts w:hint="eastAsia" w:ascii="宋体" w:hAnsi="宋体" w:cs="宋体"/>
          <w:sz w:val="24"/>
        </w:rPr>
        <w:t>7.本项目招标文件的澄清、修改内容（如有）</w:t>
      </w:r>
    </w:p>
    <w:p w14:paraId="635843FB">
      <w:pPr>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（二）投标人的风险</w:t>
      </w:r>
    </w:p>
    <w:p w14:paraId="4C34DD4F">
      <w:pPr>
        <w:pStyle w:val="27"/>
        <w:spacing w:after="0" w:line="360" w:lineRule="auto"/>
        <w:ind w:left="0" w:leftChars="0" w:firstLine="480" w:firstLineChars="200"/>
        <w:rPr>
          <w:rFonts w:hint="eastAsia"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投标人没有按照招标文件要求提供全部资料，或者投标人没有对招标文件在各方面作出实质性响应是投标人的风险，并可能导致其投标无效。</w:t>
      </w:r>
    </w:p>
    <w:p w14:paraId="231AF379">
      <w:pPr>
        <w:pStyle w:val="8"/>
        <w:widowControl w:val="0"/>
        <w:numPr>
          <w:ilvl w:val="0"/>
          <w:numId w:val="0"/>
        </w:numPr>
        <w:snapToGrid w:val="0"/>
        <w:spacing w:afterLines="0" w:line="360" w:lineRule="auto"/>
        <w:ind w:firstLine="482" w:firstLineChars="200"/>
        <w:outlineLvl w:val="2"/>
        <w:rPr>
          <w:rFonts w:hint="eastAsia" w:ascii="宋体" w:hAnsi="宋体" w:cs="宋体"/>
          <w:b/>
          <w:szCs w:val="24"/>
        </w:rPr>
      </w:pPr>
      <w:r>
        <w:rPr>
          <w:rFonts w:hint="eastAsia" w:ascii="宋体" w:hAnsi="宋体" w:cs="宋体"/>
          <w:b/>
          <w:szCs w:val="24"/>
        </w:rPr>
        <w:t xml:space="preserve">（三）招标文件的澄清与修改 </w:t>
      </w:r>
    </w:p>
    <w:p w14:paraId="5BFB1F47">
      <w:pPr>
        <w:pStyle w:val="3"/>
        <w:snapToGrid w:val="0"/>
        <w:spacing w:beforeLines="0" w:afterLines="0" w:line="360" w:lineRule="auto"/>
        <w:ind w:firstLine="480" w:firstLineChars="200"/>
        <w:rPr>
          <w:rFonts w:hint="eastAsia" w:hAnsi="宋体" w:cs="宋体"/>
        </w:rPr>
      </w:pPr>
      <w:r>
        <w:rPr>
          <w:rFonts w:hint="eastAsia" w:hAnsi="宋体" w:cs="宋体"/>
        </w:rPr>
        <w:t>1.招标采购单位对已发出的招标文件进行必要澄清、修改的内容可能影响投标文件编制的，应当在招标文件要求提交投标文件截止时间</w:t>
      </w:r>
      <w:r>
        <w:rPr>
          <w:rFonts w:hint="eastAsia" w:hAnsi="宋体" w:cs="宋体"/>
          <w:b/>
        </w:rPr>
        <w:t>十五</w:t>
      </w:r>
      <w:r>
        <w:rPr>
          <w:rFonts w:hint="eastAsia" w:hAnsi="宋体" w:cs="宋体"/>
        </w:rPr>
        <w:t>日前，在财政部门指定的政府采购信息发布媒体上发布更正公告，并以邮箱发送电子文件通知所有招标文件收受人。</w:t>
      </w:r>
    </w:p>
    <w:p w14:paraId="4BEBDB15">
      <w:pPr>
        <w:pStyle w:val="3"/>
        <w:snapToGrid w:val="0"/>
        <w:spacing w:beforeLines="0" w:afterLines="0" w:line="360" w:lineRule="auto"/>
        <w:ind w:firstLine="480" w:firstLineChars="200"/>
        <w:rPr>
          <w:rFonts w:hint="eastAsia" w:hAnsi="宋体" w:cs="宋体"/>
        </w:rPr>
      </w:pPr>
      <w:r>
        <w:rPr>
          <w:rFonts w:hint="eastAsia" w:hAnsi="宋体" w:cs="宋体"/>
        </w:rPr>
        <w:t>2.招标文件澄清、修改的内容为招标文件的组成部分。当招标文件与招标文件的澄清、修改通知就同一内容的表述不一致时，以最后发出的书面文件为准。</w:t>
      </w:r>
    </w:p>
    <w:p w14:paraId="32408ADF">
      <w:pPr>
        <w:pStyle w:val="3"/>
        <w:snapToGrid w:val="0"/>
        <w:spacing w:beforeLines="0" w:afterLines="0" w:line="360" w:lineRule="auto"/>
        <w:ind w:firstLine="480" w:firstLineChars="200"/>
        <w:rPr>
          <w:rFonts w:hint="eastAsia" w:hAnsi="宋体" w:cs="宋体"/>
        </w:rPr>
      </w:pPr>
      <w:r>
        <w:rPr>
          <w:rFonts w:hint="eastAsia" w:hAnsi="宋体" w:cs="宋体"/>
        </w:rPr>
        <w:t>3.招标文件的澄清、修改都应该通过本代理机构发布。</w:t>
      </w:r>
    </w:p>
    <w:p w14:paraId="711C6978">
      <w:pPr>
        <w:pStyle w:val="3"/>
        <w:snapToGrid w:val="0"/>
        <w:spacing w:beforeLines="0" w:afterLines="0"/>
        <w:ind w:firstLine="480" w:firstLineChars="200"/>
        <w:rPr>
          <w:rFonts w:hint="eastAsia" w:hAnsi="宋体" w:cs="宋体"/>
        </w:rPr>
      </w:pPr>
    </w:p>
    <w:p w14:paraId="6A072657">
      <w:pPr>
        <w:pStyle w:val="4"/>
        <w:rPr>
          <w:rFonts w:hint="eastAsia"/>
        </w:rPr>
      </w:pPr>
      <w:bookmarkStart w:id="7" w:name="_Toc9624377"/>
      <w:r>
        <w:rPr>
          <w:rFonts w:hint="eastAsia"/>
        </w:rPr>
        <w:t>三、投标文件的编制</w:t>
      </w:r>
      <w:bookmarkEnd w:id="7"/>
    </w:p>
    <w:p w14:paraId="2F56BA4A">
      <w:pPr>
        <w:spacing w:line="360" w:lineRule="auto"/>
        <w:ind w:firstLine="482" w:firstLineChars="200"/>
        <w:outlineLvl w:val="2"/>
        <w:rPr>
          <w:rFonts w:hint="eastAsia" w:ascii="宋体" w:hAnsi="宋体" w:cs="宋体"/>
          <w:b/>
          <w:sz w:val="24"/>
        </w:rPr>
      </w:pPr>
      <w:r>
        <w:rPr>
          <w:rFonts w:hint="eastAsia" w:ascii="宋体" w:hAnsi="宋体" w:cs="宋体"/>
          <w:b/>
          <w:sz w:val="24"/>
        </w:rPr>
        <w:t>（一）投标文件的组成</w:t>
      </w:r>
    </w:p>
    <w:p w14:paraId="2D3564D4">
      <w:pPr>
        <w:spacing w:line="360" w:lineRule="auto"/>
        <w:ind w:firstLine="480" w:firstLineChars="200"/>
        <w:jc w:val="left"/>
        <w:rPr>
          <w:rFonts w:hint="eastAsia" w:ascii="宋体" w:hAnsi="宋体" w:cs="宋体"/>
          <w:sz w:val="24"/>
        </w:rPr>
      </w:pPr>
      <w:r>
        <w:rPr>
          <w:rFonts w:hint="eastAsia" w:ascii="宋体" w:hAnsi="宋体" w:cs="宋体"/>
          <w:sz w:val="24"/>
        </w:rPr>
        <w:t>各标项投标文件由资格证明文件、商务技术文件、报价文件三部分组成。（资格证明文件、商务技术文件装订在一册）</w:t>
      </w:r>
    </w:p>
    <w:p w14:paraId="7469D87A">
      <w:pPr>
        <w:spacing w:line="360" w:lineRule="auto"/>
        <w:ind w:firstLine="472" w:firstLineChars="196"/>
        <w:jc w:val="left"/>
        <w:rPr>
          <w:rFonts w:hint="eastAsia" w:ascii="宋体" w:hAnsi="宋体" w:cs="宋体"/>
          <w:b/>
          <w:sz w:val="24"/>
        </w:rPr>
      </w:pPr>
      <w:r>
        <w:rPr>
          <w:rFonts w:hint="eastAsia" w:ascii="宋体" w:hAnsi="宋体" w:cs="宋体"/>
          <w:b/>
          <w:sz w:val="24"/>
        </w:rPr>
        <w:t>1.资格证明文件：</w:t>
      </w:r>
    </w:p>
    <w:p w14:paraId="1BA2BAC1">
      <w:pPr>
        <w:spacing w:line="360" w:lineRule="auto"/>
        <w:ind w:firstLine="480" w:firstLineChars="200"/>
        <w:jc w:val="left"/>
        <w:rPr>
          <w:rFonts w:hint="eastAsia" w:ascii="宋体" w:hAnsi="宋体" w:cs="宋体"/>
          <w:sz w:val="24"/>
        </w:rPr>
      </w:pPr>
      <w:r>
        <w:rPr>
          <w:rFonts w:hint="eastAsia" w:ascii="宋体" w:hAnsi="宋体" w:cs="宋体"/>
          <w:sz w:val="24"/>
        </w:rPr>
        <w:t>（1）符合参加政府采购活动应当具备的一般条件的承诺函(格式见附件)；</w:t>
      </w:r>
    </w:p>
    <w:p w14:paraId="4CE35076">
      <w:pPr>
        <w:spacing w:line="360" w:lineRule="auto"/>
        <w:ind w:firstLine="480" w:firstLineChars="200"/>
        <w:jc w:val="left"/>
        <w:rPr>
          <w:rFonts w:hint="eastAsia" w:ascii="宋体" w:hAnsi="宋体" w:cs="宋体"/>
          <w:sz w:val="24"/>
        </w:rPr>
      </w:pPr>
      <w:r>
        <w:rPr>
          <w:rFonts w:hint="eastAsia" w:ascii="宋体" w:hAnsi="宋体" w:cs="宋体"/>
          <w:sz w:val="24"/>
        </w:rPr>
        <w:t>（2）法人或者其他组织的营业执照等证明文件复印件加盖公章（如投标人为自然人，则应提供自然人的身份证明）；</w:t>
      </w:r>
    </w:p>
    <w:p w14:paraId="47928A3F">
      <w:pPr>
        <w:spacing w:line="360" w:lineRule="auto"/>
        <w:ind w:firstLine="480" w:firstLineChars="200"/>
        <w:jc w:val="left"/>
        <w:rPr>
          <w:rFonts w:hint="eastAsia" w:ascii="宋体" w:hAnsi="宋体" w:cs="宋体"/>
          <w:sz w:val="24"/>
        </w:rPr>
      </w:pPr>
      <w:r>
        <w:rPr>
          <w:rFonts w:hint="eastAsia" w:ascii="宋体" w:hAnsi="宋体" w:cs="宋体"/>
          <w:sz w:val="24"/>
        </w:rPr>
        <w:t>（3）投标声明书；</w:t>
      </w:r>
    </w:p>
    <w:p w14:paraId="5BCE6262">
      <w:pPr>
        <w:spacing w:line="360" w:lineRule="auto"/>
        <w:ind w:firstLine="480" w:firstLineChars="200"/>
        <w:jc w:val="left"/>
        <w:rPr>
          <w:rFonts w:hint="eastAsia" w:ascii="宋体" w:hAnsi="宋体" w:cs="宋体"/>
          <w:kern w:val="0"/>
          <w:sz w:val="24"/>
        </w:rPr>
      </w:pPr>
      <w:r>
        <w:rPr>
          <w:rFonts w:hint="eastAsia" w:ascii="宋体" w:hAnsi="宋体" w:cs="宋体"/>
          <w:sz w:val="24"/>
        </w:rPr>
        <w:t>（4）投标人资格条件中要求的其他材料（如：中小企业声明函、残疾人福利性单位声明函（如有）及监狱企业声明函（如有））</w:t>
      </w:r>
    </w:p>
    <w:p w14:paraId="17A13F18">
      <w:pPr>
        <w:spacing w:line="360" w:lineRule="auto"/>
        <w:ind w:firstLine="472" w:firstLineChars="196"/>
        <w:jc w:val="left"/>
        <w:rPr>
          <w:rFonts w:hint="eastAsia" w:ascii="宋体" w:hAnsi="宋体" w:cs="宋体"/>
          <w:b/>
          <w:bCs/>
          <w:sz w:val="24"/>
        </w:rPr>
      </w:pPr>
      <w:r>
        <w:rPr>
          <w:rFonts w:hint="eastAsia" w:ascii="宋体" w:hAnsi="宋体" w:cs="宋体"/>
          <w:b/>
          <w:bCs/>
          <w:sz w:val="24"/>
        </w:rPr>
        <w:t>2.商务技术文件</w:t>
      </w:r>
    </w:p>
    <w:p w14:paraId="1FFE2801">
      <w:pPr>
        <w:spacing w:line="360" w:lineRule="auto"/>
        <w:ind w:firstLine="468" w:firstLineChars="195"/>
        <w:jc w:val="left"/>
        <w:rPr>
          <w:rFonts w:hint="eastAsia" w:ascii="宋体" w:hAnsi="宋体" w:cs="宋体"/>
          <w:sz w:val="24"/>
        </w:rPr>
      </w:pPr>
      <w:r>
        <w:rPr>
          <w:rFonts w:hint="eastAsia" w:ascii="宋体" w:hAnsi="宋体" w:cs="宋体"/>
          <w:sz w:val="24"/>
        </w:rPr>
        <w:t xml:space="preserve">（1）法定代表人授权委托书(格式见第六部分)； </w:t>
      </w:r>
    </w:p>
    <w:p w14:paraId="74516F40">
      <w:pPr>
        <w:spacing w:line="360" w:lineRule="auto"/>
        <w:ind w:firstLine="468" w:firstLineChars="195"/>
        <w:jc w:val="left"/>
        <w:rPr>
          <w:rFonts w:hint="eastAsia" w:ascii="宋体" w:hAnsi="宋体" w:cs="宋体"/>
          <w:sz w:val="24"/>
        </w:rPr>
      </w:pPr>
      <w:r>
        <w:rPr>
          <w:rFonts w:hint="eastAsia" w:ascii="宋体" w:hAnsi="宋体" w:cs="宋体"/>
          <w:sz w:val="24"/>
        </w:rPr>
        <w:t>（2）投标人情况介绍（格式自拟）；</w:t>
      </w:r>
    </w:p>
    <w:p w14:paraId="7325CFA0">
      <w:pPr>
        <w:spacing w:line="360" w:lineRule="auto"/>
        <w:ind w:firstLine="468" w:firstLineChars="195"/>
        <w:jc w:val="left"/>
        <w:rPr>
          <w:rFonts w:hint="eastAsia" w:ascii="宋体" w:hAnsi="宋体" w:cs="宋体"/>
          <w:sz w:val="24"/>
        </w:rPr>
      </w:pPr>
      <w:r>
        <w:rPr>
          <w:rFonts w:hint="eastAsia" w:ascii="宋体" w:hAnsi="宋体" w:cs="宋体"/>
          <w:sz w:val="24"/>
        </w:rPr>
        <w:t>（3）投标人、投标人法定代表人及本次投标的授权代表违法犯罪情况表；</w:t>
      </w:r>
    </w:p>
    <w:p w14:paraId="0C9B2431">
      <w:pPr>
        <w:spacing w:line="360" w:lineRule="auto"/>
        <w:ind w:firstLine="468" w:firstLineChars="195"/>
        <w:jc w:val="left"/>
        <w:rPr>
          <w:rFonts w:hint="eastAsia" w:ascii="宋体" w:hAnsi="宋体" w:cs="宋体"/>
          <w:sz w:val="24"/>
        </w:rPr>
      </w:pPr>
      <w:r>
        <w:rPr>
          <w:rFonts w:hint="eastAsia" w:ascii="宋体" w:hAnsi="宋体" w:cs="宋体"/>
          <w:sz w:val="24"/>
        </w:rPr>
        <w:t>（4）投标产品清单及所用材质等明细（品牌、产地、规格、参数）；</w:t>
      </w:r>
    </w:p>
    <w:p w14:paraId="36C8110B">
      <w:pPr>
        <w:spacing w:line="360" w:lineRule="auto"/>
        <w:ind w:firstLine="468" w:firstLineChars="195"/>
        <w:jc w:val="left"/>
        <w:rPr>
          <w:rFonts w:hint="eastAsia" w:ascii="宋体" w:hAnsi="宋体" w:cs="宋体"/>
          <w:sz w:val="24"/>
        </w:rPr>
      </w:pPr>
      <w:r>
        <w:rPr>
          <w:rFonts w:hint="eastAsia" w:ascii="宋体" w:hAnsi="宋体" w:cs="宋体"/>
          <w:sz w:val="24"/>
        </w:rPr>
        <w:t>（5）商务响应表（格式见第六部分）；</w:t>
      </w:r>
    </w:p>
    <w:p w14:paraId="3442910A">
      <w:pPr>
        <w:spacing w:line="360" w:lineRule="auto"/>
        <w:ind w:firstLine="468" w:firstLineChars="195"/>
        <w:jc w:val="left"/>
        <w:rPr>
          <w:rFonts w:hint="eastAsia" w:ascii="宋体" w:hAnsi="宋体" w:cs="宋体"/>
          <w:sz w:val="24"/>
        </w:rPr>
      </w:pPr>
      <w:r>
        <w:rPr>
          <w:rFonts w:hint="eastAsia" w:ascii="宋体" w:hAnsi="宋体" w:cs="宋体"/>
          <w:sz w:val="24"/>
        </w:rPr>
        <w:t xml:space="preserve">（6）同类项目业绩（格式见第六部分）； </w:t>
      </w:r>
    </w:p>
    <w:p w14:paraId="78C2EF64">
      <w:pPr>
        <w:spacing w:line="360" w:lineRule="auto"/>
        <w:ind w:firstLine="468" w:firstLineChars="195"/>
        <w:jc w:val="left"/>
        <w:rPr>
          <w:rFonts w:hint="eastAsia" w:ascii="宋体" w:hAnsi="宋体" w:cs="宋体"/>
          <w:sz w:val="24"/>
        </w:rPr>
      </w:pPr>
      <w:r>
        <w:rPr>
          <w:rFonts w:hint="eastAsia" w:ascii="宋体" w:hAnsi="宋体" w:cs="宋体"/>
          <w:sz w:val="24"/>
        </w:rPr>
        <w:t>（7）技术偏离表（格式见附件）；</w:t>
      </w:r>
    </w:p>
    <w:p w14:paraId="6966C976">
      <w:pPr>
        <w:spacing w:line="360" w:lineRule="auto"/>
        <w:ind w:firstLine="468" w:firstLineChars="195"/>
        <w:jc w:val="left"/>
        <w:rPr>
          <w:rFonts w:hint="eastAsia" w:ascii="宋体" w:hAnsi="宋体" w:cs="宋体"/>
          <w:sz w:val="24"/>
        </w:rPr>
      </w:pPr>
      <w:r>
        <w:rPr>
          <w:rFonts w:hint="eastAsia" w:ascii="宋体" w:hAnsi="宋体" w:cs="宋体"/>
          <w:sz w:val="24"/>
        </w:rPr>
        <w:t>（8）评标办法评分内容要求的其他相关评分用资料、技术方案等；</w:t>
      </w:r>
    </w:p>
    <w:p w14:paraId="274B90B5">
      <w:pPr>
        <w:spacing w:line="360" w:lineRule="auto"/>
        <w:ind w:firstLine="468" w:firstLineChars="195"/>
        <w:jc w:val="left"/>
        <w:rPr>
          <w:rFonts w:hint="eastAsia" w:ascii="宋体" w:hAnsi="宋体" w:cs="宋体"/>
          <w:sz w:val="24"/>
        </w:rPr>
      </w:pPr>
      <w:r>
        <w:rPr>
          <w:rFonts w:hint="eastAsia" w:ascii="宋体" w:hAnsi="宋体" w:cs="宋体"/>
          <w:sz w:val="24"/>
        </w:rPr>
        <w:t>（9）供应商提出的对本项目的实质性优惠条件和承诺情况；</w:t>
      </w:r>
    </w:p>
    <w:p w14:paraId="18FB2541">
      <w:pPr>
        <w:spacing w:line="360" w:lineRule="auto"/>
        <w:ind w:firstLine="468" w:firstLineChars="195"/>
        <w:jc w:val="left"/>
        <w:rPr>
          <w:rFonts w:hint="eastAsia" w:ascii="宋体" w:hAnsi="宋体" w:cs="宋体"/>
          <w:kern w:val="0"/>
          <w:sz w:val="24"/>
        </w:rPr>
      </w:pPr>
      <w:r>
        <w:rPr>
          <w:rFonts w:hint="eastAsia" w:ascii="宋体" w:hAnsi="宋体" w:cs="宋体"/>
          <w:sz w:val="24"/>
        </w:rPr>
        <w:t>（10）供应商认为需要说明的其他文件和资料（请结合评标办法自行添加相应内容）。</w:t>
      </w:r>
    </w:p>
    <w:p w14:paraId="75D0FC9C">
      <w:pPr>
        <w:spacing w:line="360" w:lineRule="auto"/>
        <w:ind w:firstLine="472" w:firstLineChars="196"/>
        <w:jc w:val="left"/>
        <w:rPr>
          <w:rFonts w:hint="eastAsia" w:ascii="宋体" w:hAnsi="宋体" w:cs="宋体"/>
          <w:b/>
          <w:sz w:val="24"/>
        </w:rPr>
      </w:pPr>
      <w:r>
        <w:rPr>
          <w:rFonts w:hint="eastAsia" w:ascii="宋体" w:hAnsi="宋体" w:cs="宋体"/>
          <w:b/>
          <w:sz w:val="24"/>
        </w:rPr>
        <w:t>3.报价文件：</w:t>
      </w:r>
    </w:p>
    <w:p w14:paraId="6D77F03E">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 xml:space="preserve">（1）投标函（格式见附件）； </w:t>
      </w:r>
    </w:p>
    <w:p w14:paraId="2D48793B">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（2）开标一览表（格式见附件）；</w:t>
      </w:r>
    </w:p>
    <w:p w14:paraId="505F85E7">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（3）投标报价明细表（格式见附件）；</w:t>
      </w:r>
    </w:p>
    <w:p w14:paraId="7BA0D4F8">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（4）投标人针对报价需要说明的其他文件和说明。</w:t>
      </w:r>
    </w:p>
    <w:p w14:paraId="64171711">
      <w:pPr>
        <w:spacing w:line="360" w:lineRule="auto"/>
        <w:ind w:firstLine="470" w:firstLineChars="195"/>
        <w:jc w:val="left"/>
        <w:rPr>
          <w:rFonts w:hint="eastAsia" w:ascii="宋体" w:hAnsi="宋体" w:cs="宋体"/>
          <w:b/>
          <w:bCs/>
          <w:kern w:val="0"/>
          <w:sz w:val="24"/>
        </w:rPr>
      </w:pPr>
      <w:r>
        <w:rPr>
          <w:rFonts w:hint="eastAsia" w:ascii="宋体" w:hAnsi="宋体" w:cs="宋体"/>
          <w:b/>
          <w:bCs/>
          <w:kern w:val="0"/>
          <w:sz w:val="24"/>
        </w:rPr>
        <w:t>以上所需的各种证书、证件、证明、执照若系复印件，须在复印件上盖上有效的投标人公章。</w:t>
      </w:r>
    </w:p>
    <w:p w14:paraId="64DCD372">
      <w:pPr>
        <w:spacing w:line="360" w:lineRule="auto"/>
        <w:ind w:firstLine="482" w:firstLineChars="200"/>
        <w:jc w:val="left"/>
        <w:rPr>
          <w:rFonts w:hint="eastAsia" w:ascii="宋体" w:hAnsi="宋体" w:cs="宋体"/>
          <w:b/>
          <w:bCs/>
          <w:sz w:val="24"/>
        </w:rPr>
      </w:pPr>
      <w:r>
        <w:rPr>
          <w:rFonts w:hint="eastAsia" w:ascii="宋体" w:hAnsi="宋体" w:cs="宋体"/>
          <w:b/>
          <w:bCs/>
          <w:sz w:val="24"/>
        </w:rPr>
        <w:t>4.样品（本项目无需提供样品）</w:t>
      </w:r>
    </w:p>
    <w:p w14:paraId="06A8A851">
      <w:pPr>
        <w:pStyle w:val="18"/>
        <w:spacing w:line="360" w:lineRule="auto"/>
        <w:ind w:left="0"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（1）须提供样品的标项未提供样品、样品不全或样品与采购要求或投标文件中不相符的样品评分为0分，无需样品比对测试的标项不需提供样品。</w:t>
      </w:r>
    </w:p>
    <w:p w14:paraId="0F4DCE1F">
      <w:pPr>
        <w:pStyle w:val="18"/>
        <w:spacing w:line="360" w:lineRule="auto"/>
        <w:ind w:left="0" w:leftChars="0"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（2）</w:t>
      </w:r>
      <w:r>
        <w:rPr>
          <w:rFonts w:hint="eastAsia" w:ascii="宋体" w:hAnsi="宋体" w:eastAsia="宋体" w:cs="宋体"/>
          <w:b/>
          <w:bCs/>
          <w:sz w:val="24"/>
          <w:szCs w:val="24"/>
        </w:rPr>
        <w:t>本项目样品采用暗标评审方式进行，所提供样品的外形或包装上以及随样品的检测报告均不得出现任何能反映品牌或公司信息的标识，如在递交样品之后仍发现的，样品得分为0分。</w:t>
      </w:r>
    </w:p>
    <w:p w14:paraId="36E9328F">
      <w:pPr>
        <w:pStyle w:val="18"/>
        <w:spacing w:line="360" w:lineRule="auto"/>
        <w:ind w:left="0"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（3）供应商应仔细核对并确保参与标项及递交样品的一致性，避免造成参与标项但未提供样品（坚持参与但不提供样品的应提前说明）或不参与标项仍提供样品的情形及样品分得0分的风险。</w:t>
      </w:r>
    </w:p>
    <w:p w14:paraId="2B4573BD">
      <w:pPr>
        <w:pStyle w:val="18"/>
        <w:spacing w:line="360" w:lineRule="auto"/>
        <w:ind w:left="0"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4）样品提交要求：递交的样品需基本完成组装可基本满足样品测试要求（所有配件需提供清单明细并附彩色照片）。递交样品时需同时递交投标样品清单（样品清单须包含正面、背面、左侧面45度角清晰照片三张）、递交样品登记表（表格见附件）。 </w:t>
      </w:r>
    </w:p>
    <w:p w14:paraId="2275E0B2">
      <w:pPr>
        <w:pStyle w:val="18"/>
        <w:spacing w:line="360" w:lineRule="auto"/>
        <w:ind w:left="0"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（5）样品递交：因标项较多，于202  年  月  日10：00-16：00接收样品，递交的样品应包装完整、牢固不易脱落，若因包装问题在移动、搬运过程中造成遗失或破损的，由投标人承担。须确保在截止时间前送达，未按时送达的按未提供样品认定。  </w:t>
      </w:r>
    </w:p>
    <w:p w14:paraId="1F39C7A3">
      <w:pPr>
        <w:pStyle w:val="18"/>
        <w:spacing w:line="360" w:lineRule="auto"/>
        <w:ind w:left="0"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（6）样品递交地址：；联系人：；联系电话：。</w:t>
      </w:r>
    </w:p>
    <w:p w14:paraId="06AC69D2">
      <w:pPr>
        <w:spacing w:line="360" w:lineRule="auto"/>
        <w:ind w:firstLine="424" w:firstLineChars="176"/>
        <w:outlineLvl w:val="2"/>
        <w:rPr>
          <w:rFonts w:hint="eastAsia" w:ascii="宋体" w:hAnsi="宋体" w:cs="宋体"/>
          <w:b/>
          <w:sz w:val="24"/>
        </w:rPr>
      </w:pPr>
      <w:r>
        <w:rPr>
          <w:rFonts w:hint="eastAsia" w:ascii="宋体" w:hAnsi="宋体" w:cs="宋体"/>
          <w:b/>
          <w:sz w:val="24"/>
        </w:rPr>
        <w:t>（二）投标文件的语言及计量</w:t>
      </w:r>
    </w:p>
    <w:p w14:paraId="1F645A35">
      <w:pPr>
        <w:spacing w:line="360" w:lineRule="auto"/>
        <w:ind w:firstLine="422" w:firstLineChars="176"/>
        <w:jc w:val="left"/>
        <w:rPr>
          <w:rFonts w:hint="eastAsia" w:ascii="宋体" w:hAnsi="宋体" w:cs="宋体"/>
          <w:sz w:val="24"/>
        </w:rPr>
      </w:pPr>
      <w:r>
        <w:rPr>
          <w:rFonts w:hint="eastAsia" w:ascii="宋体" w:hAnsi="宋体" w:cs="宋体"/>
          <w:sz w:val="24"/>
        </w:rPr>
        <w:t xml:space="preserve">1.投标文件以及投标人与招标方就有关投标事宜的所有来往函电，均应以中文汉语书写。除签名、盖章、专用名称等特殊情形外，以中文汉语以外的文字表述的投标文件视同未提供。 </w:t>
      </w:r>
    </w:p>
    <w:p w14:paraId="67E57094">
      <w:pPr>
        <w:spacing w:line="360" w:lineRule="auto"/>
        <w:ind w:firstLine="422" w:firstLineChars="176"/>
        <w:jc w:val="left"/>
        <w:rPr>
          <w:rFonts w:hint="eastAsia"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14:paraId="681CC8FC">
      <w:pPr>
        <w:spacing w:line="360" w:lineRule="auto"/>
        <w:ind w:firstLine="424" w:firstLineChars="176"/>
        <w:outlineLvl w:val="2"/>
        <w:rPr>
          <w:rFonts w:hint="eastAsia" w:ascii="宋体" w:hAnsi="宋体" w:cs="宋体"/>
          <w:b/>
          <w:sz w:val="24"/>
        </w:rPr>
      </w:pPr>
      <w:r>
        <w:rPr>
          <w:rFonts w:hint="eastAsia" w:ascii="宋体" w:hAnsi="宋体" w:cs="宋体"/>
          <w:b/>
          <w:sz w:val="24"/>
        </w:rPr>
        <w:t>（三）投标报价</w:t>
      </w:r>
    </w:p>
    <w:p w14:paraId="335768FA">
      <w:pPr>
        <w:tabs>
          <w:tab w:val="left" w:pos="0"/>
        </w:tabs>
        <w:spacing w:line="360" w:lineRule="auto"/>
        <w:ind w:firstLine="424" w:firstLineChars="176"/>
        <w:rPr>
          <w:rFonts w:hint="eastAsia" w:ascii="宋体" w:hAnsi="宋体" w:cs="宋体"/>
          <w:b/>
          <w:bCs/>
          <w:sz w:val="24"/>
        </w:rPr>
      </w:pPr>
      <w:r>
        <w:rPr>
          <w:rFonts w:hint="eastAsia" w:ascii="宋体" w:hAnsi="宋体" w:cs="宋体"/>
          <w:b/>
          <w:bCs/>
          <w:sz w:val="24"/>
        </w:rPr>
        <w:t>1.投标报价应按招标文件中相关附表格式填写。</w:t>
      </w:r>
    </w:p>
    <w:p w14:paraId="3B631B35">
      <w:pPr>
        <w:tabs>
          <w:tab w:val="left" w:pos="0"/>
        </w:tabs>
        <w:spacing w:line="360" w:lineRule="auto"/>
        <w:ind w:firstLine="424" w:firstLineChars="176"/>
        <w:rPr>
          <w:rFonts w:hint="eastAsia" w:ascii="宋体" w:hAnsi="宋体" w:cs="宋体"/>
          <w:b/>
          <w:bCs/>
          <w:sz w:val="24"/>
        </w:rPr>
      </w:pPr>
      <w:r>
        <w:rPr>
          <w:rFonts w:hint="eastAsia" w:ascii="宋体" w:hAnsi="宋体" w:cs="宋体"/>
          <w:b/>
          <w:bCs/>
          <w:sz w:val="24"/>
        </w:rPr>
        <w:t>2.投标综合单价应当包括履行合同的全部价格，包括但不限于货款、标准附件、备品备件、专用工具、包装、运输、装卸、保险、税金、货到就位以及安装、调试、培训、保修、税金、代理服务费等一切费用。</w:t>
      </w:r>
    </w:p>
    <w:p w14:paraId="641798AB">
      <w:pPr>
        <w:tabs>
          <w:tab w:val="left" w:pos="0"/>
        </w:tabs>
        <w:spacing w:line="360" w:lineRule="auto"/>
        <w:ind w:firstLine="424" w:firstLineChars="176"/>
        <w:rPr>
          <w:rFonts w:hint="eastAsia" w:ascii="宋体" w:hAnsi="宋体" w:cs="宋体"/>
          <w:b/>
          <w:bCs/>
          <w:sz w:val="24"/>
        </w:rPr>
      </w:pPr>
      <w:r>
        <w:rPr>
          <w:rFonts w:hint="eastAsia" w:ascii="宋体" w:hAnsi="宋体" w:cs="宋体"/>
          <w:b/>
          <w:bCs/>
          <w:sz w:val="24"/>
        </w:rPr>
        <w:t>3</w:t>
      </w:r>
      <w:r>
        <w:rPr>
          <w:rFonts w:hint="eastAsia" w:ascii="宋体" w:hAnsi="宋体" w:cs="宋体"/>
          <w:sz w:val="24"/>
        </w:rPr>
        <w:t>.</w:t>
      </w:r>
      <w:r>
        <w:rPr>
          <w:rFonts w:hint="eastAsia" w:ascii="宋体" w:hAnsi="宋体" w:cs="宋体"/>
          <w:b/>
          <w:bCs/>
          <w:sz w:val="24"/>
        </w:rPr>
        <w:t>投标人的投标报价应在最高限价之内，超出最高限价的投标文件按无效标处理。</w:t>
      </w:r>
    </w:p>
    <w:p w14:paraId="7848BED8">
      <w:pPr>
        <w:tabs>
          <w:tab w:val="left" w:pos="0"/>
        </w:tabs>
        <w:spacing w:line="360" w:lineRule="auto"/>
        <w:ind w:firstLine="422" w:firstLineChars="176"/>
        <w:rPr>
          <w:rFonts w:hint="eastAsia" w:ascii="宋体" w:hAnsi="宋体" w:cs="宋体"/>
          <w:bCs/>
          <w:sz w:val="24"/>
        </w:rPr>
      </w:pPr>
      <w:r>
        <w:rPr>
          <w:rFonts w:hint="eastAsia" w:ascii="宋体" w:hAnsi="宋体" w:cs="宋体"/>
          <w:sz w:val="24"/>
        </w:rPr>
        <w:t>4.</w:t>
      </w:r>
      <w:r>
        <w:rPr>
          <w:rFonts w:hint="eastAsia" w:ascii="宋体" w:hAnsi="宋体" w:cs="宋体"/>
          <w:bCs/>
          <w:sz w:val="24"/>
        </w:rPr>
        <w:t>不论采购结果如何，投标人均应自行承担所有与此次投标有关的全部费用。</w:t>
      </w:r>
    </w:p>
    <w:p w14:paraId="19CE65CC">
      <w:pPr>
        <w:tabs>
          <w:tab w:val="left" w:pos="0"/>
        </w:tabs>
        <w:spacing w:line="360" w:lineRule="auto"/>
        <w:ind w:firstLine="422" w:firstLineChars="176"/>
        <w:rPr>
          <w:rFonts w:hint="eastAsia" w:ascii="宋体" w:hAnsi="宋体" w:cs="宋体"/>
          <w:sz w:val="24"/>
        </w:rPr>
      </w:pPr>
      <w:r>
        <w:rPr>
          <w:rFonts w:hint="eastAsia" w:ascii="宋体" w:hAnsi="宋体" w:cs="宋体"/>
          <w:sz w:val="24"/>
        </w:rPr>
        <w:t>5.投标报价是指一次性报出不得修改的价格，投标报价应按招标文件中相关附表格式填写。</w:t>
      </w:r>
    </w:p>
    <w:p w14:paraId="1E240A5E">
      <w:pPr>
        <w:tabs>
          <w:tab w:val="left" w:pos="0"/>
        </w:tabs>
        <w:spacing w:line="360" w:lineRule="auto"/>
        <w:ind w:firstLine="422" w:firstLineChars="176"/>
        <w:rPr>
          <w:rFonts w:hint="eastAsia" w:ascii="宋体" w:hAnsi="宋体" w:cs="宋体"/>
          <w:sz w:val="24"/>
        </w:rPr>
      </w:pPr>
      <w:r>
        <w:rPr>
          <w:rFonts w:hint="eastAsia" w:ascii="宋体" w:hAnsi="宋体" w:cs="宋体"/>
          <w:sz w:val="24"/>
        </w:rPr>
        <w:t xml:space="preserve">6.投标报价是履行合同的最终价格，应包括完成所有产品供货及履行所有规定服务所产生的全部费用。 </w:t>
      </w:r>
    </w:p>
    <w:p w14:paraId="67AE8805">
      <w:pPr>
        <w:tabs>
          <w:tab w:val="left" w:pos="0"/>
        </w:tabs>
        <w:spacing w:line="360" w:lineRule="auto"/>
        <w:ind w:firstLine="422" w:firstLineChars="176"/>
        <w:rPr>
          <w:rFonts w:hint="eastAsia" w:ascii="宋体" w:hAnsi="宋体" w:cs="宋体"/>
          <w:sz w:val="24"/>
        </w:rPr>
      </w:pPr>
      <w:r>
        <w:rPr>
          <w:rFonts w:hint="eastAsia" w:ascii="宋体" w:hAnsi="宋体" w:cs="宋体"/>
          <w:sz w:val="24"/>
        </w:rPr>
        <w:t>7.投标文件只允许有一个报价，有选择或有条件的报价将不予接受，其投标无效。</w:t>
      </w:r>
    </w:p>
    <w:p w14:paraId="2DA519C9">
      <w:pPr>
        <w:pStyle w:val="8"/>
        <w:widowControl w:val="0"/>
        <w:numPr>
          <w:ilvl w:val="0"/>
          <w:numId w:val="0"/>
        </w:numPr>
        <w:spacing w:afterLines="0" w:line="360" w:lineRule="auto"/>
        <w:ind w:firstLine="424" w:firstLineChars="176"/>
        <w:outlineLvl w:val="2"/>
        <w:rPr>
          <w:rFonts w:hint="eastAsia" w:ascii="宋体" w:hAnsi="宋体" w:cs="宋体"/>
          <w:b/>
          <w:szCs w:val="24"/>
        </w:rPr>
      </w:pPr>
      <w:r>
        <w:rPr>
          <w:rFonts w:hint="eastAsia" w:ascii="宋体" w:hAnsi="宋体" w:cs="宋体"/>
          <w:b/>
          <w:szCs w:val="24"/>
        </w:rPr>
        <w:t>（四）投标文件的有效期</w:t>
      </w:r>
    </w:p>
    <w:p w14:paraId="31DAF210">
      <w:pPr>
        <w:pStyle w:val="8"/>
        <w:widowControl w:val="0"/>
        <w:numPr>
          <w:ilvl w:val="0"/>
          <w:numId w:val="0"/>
        </w:numPr>
        <w:spacing w:afterLines="0" w:line="360" w:lineRule="auto"/>
        <w:ind w:firstLine="422" w:firstLineChars="176"/>
        <w:rPr>
          <w:rFonts w:hint="eastAsia" w:ascii="宋体" w:hAnsi="宋体" w:cs="宋体"/>
          <w:szCs w:val="24"/>
        </w:rPr>
      </w:pPr>
      <w:r>
        <w:rPr>
          <w:rFonts w:hint="eastAsia" w:ascii="宋体" w:hAnsi="宋体" w:cs="宋体"/>
          <w:szCs w:val="24"/>
        </w:rPr>
        <w:t>1.自投标截止日起并在投标有效期内投标文件应保持有效，投标有效期详见《第二部分  投标人须知》前附表。有效期不足的投标文件将被视为无效。</w:t>
      </w:r>
    </w:p>
    <w:p w14:paraId="37851293">
      <w:pPr>
        <w:pStyle w:val="8"/>
        <w:widowControl w:val="0"/>
        <w:numPr>
          <w:ilvl w:val="0"/>
          <w:numId w:val="0"/>
        </w:numPr>
        <w:spacing w:afterLines="0" w:line="360" w:lineRule="auto"/>
        <w:ind w:firstLine="422" w:firstLineChars="176"/>
        <w:rPr>
          <w:rFonts w:hint="eastAsia" w:ascii="宋体" w:hAnsi="宋体" w:cs="宋体"/>
          <w:szCs w:val="24"/>
        </w:rPr>
      </w:pPr>
      <w:r>
        <w:rPr>
          <w:rFonts w:hint="eastAsia" w:ascii="宋体" w:hAnsi="宋体" w:cs="宋体"/>
          <w:szCs w:val="24"/>
        </w:rPr>
        <w:t>2.在特殊情况下，招标人可与投标人协商延长投标书的有效期，这种要求和答复均以书面形式进行。</w:t>
      </w:r>
    </w:p>
    <w:p w14:paraId="0726652D">
      <w:pPr>
        <w:pStyle w:val="8"/>
        <w:widowControl w:val="0"/>
        <w:numPr>
          <w:ilvl w:val="0"/>
          <w:numId w:val="0"/>
        </w:numPr>
        <w:spacing w:afterLines="0" w:line="360" w:lineRule="auto"/>
        <w:ind w:firstLine="422" w:firstLineChars="176"/>
        <w:rPr>
          <w:rFonts w:hint="eastAsia" w:ascii="宋体" w:hAnsi="宋体" w:cs="宋体"/>
          <w:szCs w:val="24"/>
        </w:rPr>
      </w:pPr>
      <w:r>
        <w:rPr>
          <w:rFonts w:hint="eastAsia" w:ascii="宋体" w:hAnsi="宋体" w:cs="宋体"/>
          <w:szCs w:val="24"/>
        </w:rPr>
        <w:t>3.中标人的投标文件自开标之日起至合同履行完毕之日均应保持有效。</w:t>
      </w:r>
    </w:p>
    <w:p w14:paraId="670425AB">
      <w:pPr>
        <w:pStyle w:val="8"/>
        <w:widowControl w:val="0"/>
        <w:numPr>
          <w:ilvl w:val="0"/>
          <w:numId w:val="0"/>
        </w:numPr>
        <w:spacing w:afterLines="0" w:line="360" w:lineRule="auto"/>
        <w:ind w:firstLine="424" w:firstLineChars="176"/>
        <w:rPr>
          <w:rFonts w:hint="eastAsia" w:ascii="宋体" w:hAnsi="宋体" w:cs="宋体"/>
          <w:b/>
          <w:bCs/>
          <w:szCs w:val="24"/>
        </w:rPr>
      </w:pPr>
      <w:r>
        <w:rPr>
          <w:rFonts w:hint="eastAsia" w:ascii="宋体" w:hAnsi="宋体" w:cs="宋体"/>
          <w:b/>
          <w:bCs/>
          <w:szCs w:val="24"/>
        </w:rPr>
        <w:t>（五）投标文件的装订、签署和份数</w:t>
      </w:r>
    </w:p>
    <w:p w14:paraId="25260569">
      <w:pPr>
        <w:pStyle w:val="8"/>
        <w:widowControl w:val="0"/>
        <w:numPr>
          <w:ilvl w:val="0"/>
          <w:numId w:val="0"/>
        </w:numPr>
        <w:spacing w:afterLines="0" w:line="360" w:lineRule="auto"/>
        <w:ind w:firstLine="422" w:firstLineChars="176"/>
        <w:rPr>
          <w:rFonts w:hint="eastAsia" w:ascii="宋体" w:hAnsi="宋体" w:cs="宋体"/>
        </w:rPr>
      </w:pPr>
      <w:r>
        <w:rPr>
          <w:rFonts w:hint="eastAsia" w:ascii="宋体" w:hAnsi="宋体" w:cs="宋体"/>
          <w:szCs w:val="24"/>
        </w:rPr>
        <w:t>1.投标人应按本招标文件规定的格式和顺序编制、装订投标文件并标注页码，投标文件内容不完整、编排混乱导致投标文件被误读、漏</w:t>
      </w:r>
      <w:r>
        <w:rPr>
          <w:rFonts w:hint="eastAsia" w:ascii="宋体" w:hAnsi="宋体" w:cs="宋体"/>
        </w:rPr>
        <w:t>读或者查找不到相关内容的，是投标人的责任。</w:t>
      </w:r>
    </w:p>
    <w:p w14:paraId="3EAA6363">
      <w:pPr>
        <w:spacing w:line="360" w:lineRule="auto"/>
        <w:ind w:firstLine="422" w:firstLineChars="176"/>
        <w:rPr>
          <w:rFonts w:hint="eastAsia" w:ascii="宋体" w:hAnsi="宋体" w:cs="宋体"/>
          <w:sz w:val="24"/>
        </w:rPr>
      </w:pPr>
      <w:r>
        <w:rPr>
          <w:rFonts w:hint="eastAsia" w:ascii="宋体" w:hAnsi="宋体" w:cs="宋体"/>
          <w:sz w:val="24"/>
        </w:rPr>
        <w:t>2.投标人按资格证明文件、商务技术文件合并装订成一册，报价文件单独装订。正本各1份，副本数量按前附表要求。投标文件的封面应注明“正本”、“副本”字样。采用活页装订的投标文件将被拒绝，开标时由现场工作人员退还投标人代表。</w:t>
      </w:r>
    </w:p>
    <w:p w14:paraId="29B3A96E">
      <w:pPr>
        <w:spacing w:line="360" w:lineRule="auto"/>
        <w:ind w:firstLine="422" w:firstLineChars="176"/>
        <w:rPr>
          <w:rFonts w:hint="eastAsia" w:ascii="宋体" w:hAnsi="宋体" w:cs="宋体"/>
          <w:sz w:val="24"/>
        </w:rPr>
      </w:pPr>
      <w:r>
        <w:rPr>
          <w:rFonts w:hint="eastAsia" w:ascii="宋体" w:hAnsi="宋体" w:cs="宋体"/>
          <w:sz w:val="24"/>
        </w:rPr>
        <w:t>3.投标文件的正本需打印或用不褪色的墨水填写，副本可为正本的复印件。</w:t>
      </w:r>
    </w:p>
    <w:p w14:paraId="6C7799FB">
      <w:pPr>
        <w:spacing w:line="360" w:lineRule="auto"/>
        <w:ind w:firstLine="422" w:firstLineChars="176"/>
        <w:rPr>
          <w:rFonts w:hint="eastAsia" w:ascii="宋体" w:hAnsi="宋体" w:cs="宋体"/>
          <w:sz w:val="24"/>
        </w:rPr>
      </w:pPr>
      <w:r>
        <w:rPr>
          <w:rFonts w:hint="eastAsia" w:ascii="宋体" w:hAnsi="宋体" w:cs="宋体"/>
          <w:sz w:val="24"/>
        </w:rPr>
        <w:t>4.投标文件须由投标人在规定位置盖章并由法定代表人或法定代表人的授权委托人签署，投标人应写全称。</w:t>
      </w:r>
    </w:p>
    <w:p w14:paraId="435B14CA">
      <w:pPr>
        <w:spacing w:line="360" w:lineRule="auto"/>
        <w:ind w:firstLine="422" w:firstLineChars="176"/>
        <w:rPr>
          <w:rFonts w:hint="eastAsia" w:ascii="宋体" w:hAnsi="宋体" w:cs="宋体"/>
          <w:sz w:val="24"/>
        </w:rPr>
      </w:pPr>
      <w:r>
        <w:rPr>
          <w:rFonts w:hint="eastAsia" w:ascii="宋体" w:hAnsi="宋体" w:cs="宋体"/>
          <w:sz w:val="24"/>
        </w:rPr>
        <w:t>5.投标文件不得涂改，若有修改错漏处，须加盖单位公章或者法定代表人或授权委托人签字或盖章。投标文件因字迹潦草或表达不清所引起的后果由投标人负责。</w:t>
      </w:r>
    </w:p>
    <w:p w14:paraId="183964B9">
      <w:pPr>
        <w:spacing w:line="360" w:lineRule="auto"/>
        <w:ind w:firstLine="424" w:firstLineChars="176"/>
        <w:outlineLvl w:val="2"/>
        <w:rPr>
          <w:rFonts w:hint="eastAsia" w:ascii="宋体" w:hAnsi="宋体" w:cs="宋体"/>
          <w:b/>
          <w:sz w:val="24"/>
        </w:rPr>
      </w:pPr>
      <w:r>
        <w:rPr>
          <w:rFonts w:hint="eastAsia" w:ascii="宋体" w:hAnsi="宋体" w:cs="宋体"/>
          <w:b/>
          <w:sz w:val="24"/>
        </w:rPr>
        <w:t>（六）投标文件的制作装订包装、密封、修改和撤回</w:t>
      </w:r>
    </w:p>
    <w:p w14:paraId="6CD9D0CA">
      <w:pPr>
        <w:spacing w:line="360" w:lineRule="auto"/>
        <w:ind w:firstLine="422" w:firstLineChars="176"/>
        <w:rPr>
          <w:rFonts w:hint="eastAsia" w:ascii="宋体" w:hAnsi="宋体" w:cs="宋体"/>
          <w:b/>
          <w:bCs/>
          <w:sz w:val="24"/>
        </w:rPr>
      </w:pPr>
      <w:r>
        <w:rPr>
          <w:rFonts w:hint="eastAsia" w:ascii="宋体" w:hAnsi="宋体" w:cs="宋体"/>
          <w:sz w:val="24"/>
        </w:rPr>
        <w:t>1.投标人应按资格证明文件、商务技术文件、报价文件三部分。</w:t>
      </w:r>
    </w:p>
    <w:p w14:paraId="7B2BCF70">
      <w:pPr>
        <w:shd w:val="clear" w:color="auto" w:fill="FFFFFF" w:themeFill="background1"/>
        <w:autoSpaceDE w:val="0"/>
        <w:autoSpaceDN w:val="0"/>
        <w:adjustRightInd w:val="0"/>
        <w:spacing w:line="360" w:lineRule="auto"/>
        <w:ind w:firstLine="458" w:firstLineChars="200"/>
        <w:jc w:val="left"/>
        <w:rPr>
          <w:rFonts w:hint="eastAsia" w:ascii="宋体" w:hAnsi="宋体" w:cs="宋体"/>
          <w:b/>
          <w:bCs/>
          <w:spacing w:val="-6"/>
          <w:sz w:val="24"/>
        </w:rPr>
      </w:pPr>
      <w:r>
        <w:rPr>
          <w:rFonts w:hint="eastAsia" w:ascii="宋体" w:hAnsi="宋体" w:cs="宋体"/>
          <w:b/>
          <w:bCs/>
          <w:spacing w:val="-6"/>
          <w:sz w:val="24"/>
        </w:rPr>
        <w:t>注：投标文件（包括</w:t>
      </w:r>
      <w:r>
        <w:rPr>
          <w:rFonts w:hint="eastAsia" w:ascii="宋体" w:hAnsi="宋体" w:cs="宋体"/>
          <w:b/>
          <w:bCs/>
          <w:sz w:val="24"/>
        </w:rPr>
        <w:t>资格商务技术文件、报价文件）</w:t>
      </w:r>
      <w:r>
        <w:rPr>
          <w:rFonts w:hint="eastAsia" w:ascii="宋体" w:hAnsi="宋体" w:cs="宋体"/>
          <w:b/>
          <w:bCs/>
          <w:spacing w:val="-6"/>
          <w:sz w:val="24"/>
        </w:rPr>
        <w:t>封面后的第一页必</w:t>
      </w:r>
      <w:r>
        <w:rPr>
          <w:rFonts w:hint="eastAsia" w:ascii="宋体" w:hAnsi="宋体" w:cs="宋体"/>
          <w:b/>
          <w:bCs/>
          <w:sz w:val="24"/>
        </w:rPr>
        <w:t>须制作评标</w:t>
      </w:r>
      <w:r>
        <w:rPr>
          <w:rFonts w:hint="eastAsia" w:ascii="宋体" w:hAnsi="宋体" w:cs="宋体"/>
          <w:b/>
          <w:bCs/>
          <w:spacing w:val="-6"/>
          <w:sz w:val="24"/>
        </w:rPr>
        <w:t>索引目录，标明提交满足招标文件要求的对应投标材料所在页码供现场工作人员及评委会查阅。</w:t>
      </w:r>
    </w:p>
    <w:p w14:paraId="5AC1F7D8">
      <w:pPr>
        <w:autoSpaceDE w:val="0"/>
        <w:autoSpaceDN w:val="0"/>
        <w:adjustRightInd w:val="0"/>
        <w:spacing w:line="360" w:lineRule="auto"/>
        <w:ind w:firstLine="482" w:firstLineChars="200"/>
        <w:rPr>
          <w:rFonts w:hint="eastAsia" w:ascii="宋体" w:hAnsi="宋体" w:cs="宋体"/>
          <w:sz w:val="24"/>
        </w:rPr>
      </w:pPr>
      <w:r>
        <w:rPr>
          <w:rFonts w:hint="eastAsia" w:ascii="宋体" w:hAnsi="宋体" w:cs="宋体"/>
          <w:b/>
          <w:bCs/>
          <w:sz w:val="24"/>
        </w:rPr>
        <w:t>资格证明文件、商务技术文件可</w:t>
      </w:r>
      <w:r>
        <w:rPr>
          <w:rFonts w:hint="eastAsia" w:ascii="宋体" w:hAnsi="宋体" w:cs="宋体"/>
          <w:b/>
          <w:bCs/>
          <w:spacing w:val="-6"/>
          <w:sz w:val="24"/>
        </w:rPr>
        <w:t>合并成一册装订</w:t>
      </w:r>
      <w:r>
        <w:rPr>
          <w:rFonts w:hint="eastAsia" w:ascii="宋体" w:hAnsi="宋体" w:cs="宋体"/>
          <w:spacing w:val="-6"/>
          <w:sz w:val="24"/>
        </w:rPr>
        <w:t>（</w:t>
      </w:r>
      <w:r>
        <w:rPr>
          <w:rFonts w:hint="eastAsia" w:ascii="宋体" w:hAnsi="宋体" w:cs="宋体"/>
          <w:b/>
          <w:bCs/>
          <w:sz w:val="24"/>
        </w:rPr>
        <w:t>报价文件须单独装订</w:t>
      </w:r>
      <w:r>
        <w:rPr>
          <w:rFonts w:hint="eastAsia" w:ascii="宋体" w:hAnsi="宋体" w:cs="宋体"/>
          <w:sz w:val="24"/>
        </w:rPr>
        <w:t>），采用胶装，不得采用活页装订。采用活页装订的投标文件由现场工作人员退还投标人代表。</w:t>
      </w:r>
    </w:p>
    <w:p w14:paraId="5E4DF28F">
      <w:pPr>
        <w:spacing w:line="360" w:lineRule="auto"/>
        <w:ind w:firstLine="424" w:firstLineChars="176"/>
        <w:rPr>
          <w:rFonts w:hint="eastAsia" w:ascii="宋体" w:hAnsi="宋体" w:cs="宋体"/>
          <w:sz w:val="24"/>
        </w:rPr>
      </w:pPr>
      <w:r>
        <w:rPr>
          <w:rFonts w:hint="eastAsia" w:ascii="宋体" w:hAnsi="宋体" w:cs="宋体"/>
          <w:b/>
          <w:sz w:val="24"/>
        </w:rPr>
        <w:t>所有投标文件的封面必须注明所投标项</w:t>
      </w:r>
      <w:r>
        <w:rPr>
          <w:rFonts w:hint="eastAsia" w:ascii="宋体" w:hAnsi="宋体" w:cs="宋体"/>
          <w:bCs/>
          <w:sz w:val="24"/>
        </w:rPr>
        <w:t>。副本的封面应加盖公章，副本的其他部分可以是正本的复印件，文本内容清晰可见。其中</w:t>
      </w:r>
      <w:r>
        <w:rPr>
          <w:rFonts w:hint="eastAsia" w:ascii="宋体" w:hAnsi="宋体" w:cs="宋体"/>
          <w:b/>
          <w:sz w:val="24"/>
        </w:rPr>
        <w:t>正本1份，副本4份。</w:t>
      </w:r>
    </w:p>
    <w:p w14:paraId="6F5F30A9">
      <w:pPr>
        <w:spacing w:line="360" w:lineRule="auto"/>
        <w:ind w:firstLine="422" w:firstLineChars="176"/>
        <w:rPr>
          <w:rFonts w:hint="eastAsia" w:ascii="宋体" w:hAnsi="宋体" w:cs="宋体"/>
          <w:sz w:val="24"/>
        </w:rPr>
      </w:pPr>
      <w:r>
        <w:rPr>
          <w:rFonts w:hint="eastAsia" w:ascii="宋体" w:hAnsi="宋体" w:cs="宋体"/>
          <w:sz w:val="24"/>
        </w:rPr>
        <w:t>2.投标文件的包装封面上应注明投标人名称、投标文件名称（资格证明文件、商务技术文件、报价文件）、投标项目名称、项目编号、标项及“在  年  月  日  时  分之前不得启封”字样，并加盖投标人公章。</w:t>
      </w:r>
    </w:p>
    <w:p w14:paraId="31DAC5FF">
      <w:pPr>
        <w:spacing w:line="360" w:lineRule="auto"/>
        <w:ind w:firstLine="422" w:firstLineChars="176"/>
        <w:rPr>
          <w:rFonts w:hint="eastAsia" w:ascii="宋体" w:hAnsi="宋体" w:cs="宋体"/>
          <w:sz w:val="24"/>
        </w:rPr>
      </w:pPr>
      <w:r>
        <w:rPr>
          <w:rFonts w:hint="eastAsia" w:ascii="宋体" w:hAnsi="宋体" w:cs="宋体"/>
          <w:sz w:val="24"/>
        </w:rPr>
        <w:t>3.投标文件纸质版和电子版分开密封。</w:t>
      </w:r>
      <w:r>
        <w:rPr>
          <w:rFonts w:hint="eastAsia" w:ascii="宋体" w:hAnsi="宋体" w:cs="宋体"/>
          <w:b/>
          <w:bCs/>
          <w:sz w:val="24"/>
        </w:rPr>
        <w:t>（每个标项须单独密封）</w:t>
      </w:r>
      <w:r>
        <w:rPr>
          <w:rFonts w:hint="eastAsia" w:ascii="宋体" w:hAnsi="宋体" w:cs="宋体"/>
          <w:sz w:val="24"/>
        </w:rPr>
        <w:t>。</w:t>
      </w:r>
    </w:p>
    <w:p w14:paraId="30EA9231">
      <w:pPr>
        <w:spacing w:line="360" w:lineRule="auto"/>
        <w:ind w:firstLine="422" w:firstLineChars="176"/>
        <w:rPr>
          <w:rFonts w:hint="eastAsia" w:ascii="宋体" w:hAnsi="宋体" w:cs="宋体"/>
          <w:sz w:val="24"/>
        </w:rPr>
      </w:pPr>
      <w:r>
        <w:rPr>
          <w:rFonts w:hint="eastAsia" w:ascii="宋体" w:hAnsi="宋体" w:cs="宋体"/>
          <w:sz w:val="24"/>
        </w:rPr>
        <w:t>4.未密封的投标文件将被拒绝接收，并由现场工作人员退还投标人代表。</w:t>
      </w:r>
    </w:p>
    <w:p w14:paraId="31F73160">
      <w:pPr>
        <w:spacing w:line="360" w:lineRule="auto"/>
        <w:ind w:firstLine="422" w:firstLineChars="176"/>
        <w:rPr>
          <w:rFonts w:hint="eastAsia" w:ascii="宋体" w:hAnsi="宋体" w:cs="宋体"/>
          <w:sz w:val="24"/>
        </w:rPr>
      </w:pPr>
      <w:r>
        <w:rPr>
          <w:rFonts w:hint="eastAsia" w:ascii="宋体" w:hAnsi="宋体" w:cs="宋体"/>
          <w:sz w:val="24"/>
        </w:rPr>
        <w:t>5.投标人在投标截止时间之前，可以对已提交的投标文件进行修改或撤回，并书面通知招标采购单位；投标截止时间后，投标人不得撤回、修改投标文件。修改后重新递交的投标文件应当按本招标文件的要求签署、盖章、包装和密封。</w:t>
      </w:r>
    </w:p>
    <w:p w14:paraId="732E05F7">
      <w:pPr>
        <w:spacing w:line="360" w:lineRule="exact"/>
        <w:ind w:firstLine="424" w:firstLineChars="176"/>
        <w:rPr>
          <w:rFonts w:hint="eastAsia" w:ascii="宋体" w:hAnsi="宋体" w:cs="宋体"/>
          <w:b/>
          <w:snapToGrid w:val="0"/>
          <w:sz w:val="24"/>
        </w:rPr>
      </w:pPr>
    </w:p>
    <w:p w14:paraId="47A7C99E">
      <w:pPr>
        <w:pStyle w:val="4"/>
        <w:rPr>
          <w:rFonts w:hint="eastAsia"/>
        </w:rPr>
      </w:pPr>
      <w:bookmarkStart w:id="8" w:name="_Toc9624378"/>
      <w:r>
        <w:rPr>
          <w:rFonts w:hint="eastAsia"/>
        </w:rPr>
        <w:t>四、开标</w:t>
      </w:r>
      <w:bookmarkEnd w:id="8"/>
    </w:p>
    <w:p w14:paraId="0AEE9A07">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（一）开标准备</w:t>
      </w:r>
    </w:p>
    <w:p w14:paraId="7E97BA08">
      <w:pPr>
        <w:spacing w:line="360" w:lineRule="auto"/>
        <w:ind w:firstLine="480" w:firstLineChars="200"/>
        <w:jc w:val="left"/>
        <w:rPr>
          <w:rFonts w:hint="eastAsia" w:ascii="宋体" w:hAnsi="宋体" w:cs="宋体"/>
          <w:sz w:val="24"/>
        </w:rPr>
      </w:pPr>
      <w:r>
        <w:rPr>
          <w:rFonts w:hint="eastAsia" w:ascii="宋体" w:hAnsi="宋体" w:cs="宋体"/>
          <w:sz w:val="24"/>
        </w:rPr>
        <w:t>采购代理机构将在规定的时间和地点进行开标，投标人的法定代表人或其授权代表应准时参加开标会并签到。</w:t>
      </w:r>
      <w:r>
        <w:rPr>
          <w:rFonts w:hint="eastAsia" w:ascii="宋体" w:hAnsi="宋体" w:cs="宋体"/>
          <w:kern w:val="0"/>
          <w:sz w:val="24"/>
        </w:rPr>
        <w:t>参加开标活动时</w:t>
      </w:r>
      <w:r>
        <w:rPr>
          <w:rFonts w:hint="eastAsia" w:ascii="宋体" w:hAnsi="宋体" w:cs="宋体"/>
          <w:sz w:val="24"/>
        </w:rPr>
        <w:t>应当持有效期内本人身份证或公安机关出具的临时身份证明或港澳台胞证或护照原件或户口本原件（其他诸如驾驶证、市民卡等一律视为未提供有效的身份证明）和法定代表人出具的授权委托书。若是法定代表人参加，须携提供法定代表人身份证明书（格式见第六部分）。投标人的法定代表人或其授权代表未按时签到的，视同放弃开标监督权利、认可开标结果。</w:t>
      </w:r>
    </w:p>
    <w:p w14:paraId="1DC8CDA7">
      <w:pPr>
        <w:spacing w:line="360" w:lineRule="auto"/>
        <w:ind w:firstLine="482" w:firstLineChars="200"/>
        <w:jc w:val="left"/>
        <w:rPr>
          <w:rFonts w:hint="eastAsia" w:ascii="宋体" w:hAnsi="宋体" w:cs="宋体"/>
          <w:sz w:val="24"/>
        </w:rPr>
      </w:pPr>
      <w:r>
        <w:rPr>
          <w:rFonts w:hint="eastAsia" w:ascii="宋体" w:hAnsi="宋体" w:cs="宋体"/>
          <w:b/>
          <w:bCs/>
          <w:sz w:val="24"/>
        </w:rPr>
        <w:t>投标文件递交有效（投标文件递交有效性以纸质投标文件递交时间为准，下同），而投标人法定代表人或其委托代理人未能参加开标或未能携带上述资料的，视同其未参加开标，不得对开标提出异议，不影响开标结果，也不作为否决其投标的评审因素。</w:t>
      </w:r>
    </w:p>
    <w:p w14:paraId="3B86462D">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（二）开标程序</w:t>
      </w:r>
    </w:p>
    <w:p w14:paraId="293F0344">
      <w:pPr>
        <w:spacing w:line="360" w:lineRule="auto"/>
        <w:ind w:firstLine="480" w:firstLineChars="200"/>
        <w:jc w:val="left"/>
        <w:rPr>
          <w:rFonts w:hint="eastAsia" w:ascii="宋体" w:hAnsi="宋体" w:cs="宋体"/>
          <w:sz w:val="24"/>
        </w:rPr>
      </w:pPr>
      <w:r>
        <w:rPr>
          <w:rFonts w:hint="eastAsia" w:ascii="宋体" w:hAnsi="宋体" w:cs="宋体"/>
          <w:sz w:val="24"/>
        </w:rPr>
        <w:t>1．开标会由采购代理机构主持，主持人宣布开标会议开始。</w:t>
      </w:r>
    </w:p>
    <w:p w14:paraId="716D1626">
      <w:pPr>
        <w:spacing w:line="360" w:lineRule="auto"/>
        <w:ind w:firstLine="480" w:firstLineChars="200"/>
        <w:jc w:val="left"/>
        <w:rPr>
          <w:rFonts w:hint="eastAsia" w:ascii="宋体" w:hAnsi="宋体" w:cs="宋体"/>
          <w:sz w:val="24"/>
        </w:rPr>
      </w:pPr>
      <w:r>
        <w:rPr>
          <w:rFonts w:hint="eastAsia" w:ascii="宋体" w:hAnsi="宋体" w:cs="宋体"/>
          <w:sz w:val="24"/>
        </w:rPr>
        <w:t>2．主持人介绍参加开标会的人员名单，宣布开标纪律，告知应当回避的情形，提请有关人员回避。</w:t>
      </w:r>
    </w:p>
    <w:p w14:paraId="00F7B6D4">
      <w:pPr>
        <w:spacing w:line="360" w:lineRule="auto"/>
        <w:ind w:firstLine="480" w:firstLineChars="200"/>
        <w:jc w:val="left"/>
        <w:rPr>
          <w:rFonts w:hint="eastAsia" w:ascii="宋体" w:hAnsi="宋体" w:cs="宋体"/>
          <w:sz w:val="24"/>
          <w:highlight w:val="none"/>
        </w:rPr>
      </w:pPr>
      <w:r>
        <w:rPr>
          <w:rFonts w:hint="eastAsia" w:ascii="宋体" w:hAnsi="宋体" w:cs="宋体"/>
          <w:sz w:val="24"/>
        </w:rPr>
        <w:t>3．投标人或其当场推荐的代表检查投标文件密</w:t>
      </w:r>
      <w:r>
        <w:rPr>
          <w:rFonts w:hint="eastAsia" w:ascii="宋体" w:hAnsi="宋体" w:cs="宋体"/>
          <w:sz w:val="24"/>
          <w:highlight w:val="none"/>
        </w:rPr>
        <w:t>封的完整性并签字确认。</w:t>
      </w:r>
    </w:p>
    <w:p w14:paraId="3A2DA2C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4．按各投标人提交投标文件时间的先后顺序打开资格、商务技术文件外包装，清点投标文件正本、副本数量。采用活页装订</w:t>
      </w:r>
      <w:r>
        <w:rPr>
          <w:rFonts w:hint="eastAsia" w:ascii="宋体" w:hAnsi="宋体" w:cs="宋体"/>
          <w:b/>
          <w:bCs/>
          <w:sz w:val="24"/>
          <w:highlight w:val="none"/>
        </w:rPr>
        <w:t>（是指用卡条、抽杆夹等形式装订，使标书可以拆卸或者在翻动过程中易脱落的一种装订方式）</w:t>
      </w:r>
      <w:r>
        <w:rPr>
          <w:rFonts w:hint="eastAsia" w:ascii="宋体" w:hAnsi="宋体" w:cs="宋体"/>
          <w:sz w:val="24"/>
          <w:highlight w:val="none"/>
        </w:rPr>
        <w:t>的投标文件将被当场退还投标人。</w:t>
      </w:r>
    </w:p>
    <w:p w14:paraId="4BB1E00E">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cs="宋体"/>
          <w:sz w:val="24"/>
          <w:highlight w:val="none"/>
        </w:rPr>
        <w:t>资格、商务技术文件</w:t>
      </w:r>
      <w:r>
        <w:rPr>
          <w:rFonts w:hint="eastAsia" w:hAnsi="宋体" w:cs="Arial"/>
          <w:sz w:val="24"/>
          <w:szCs w:val="24"/>
          <w:highlight w:val="none"/>
        </w:rPr>
        <w:t>评审</w:t>
      </w:r>
      <w:r>
        <w:rPr>
          <w:rFonts w:hAnsi="宋体" w:cs="Arial"/>
          <w:sz w:val="24"/>
          <w:szCs w:val="24"/>
          <w:highlight w:val="none"/>
        </w:rPr>
        <w:t>结束后，由主持人公布无效投标的投标人名单、投标无效的原因及其他有效投标的评分结果</w:t>
      </w:r>
      <w:r>
        <w:rPr>
          <w:rFonts w:hint="eastAsia" w:hAnsi="宋体" w:cs="Arial"/>
          <w:sz w:val="24"/>
          <w:szCs w:val="24"/>
          <w:highlight w:val="none"/>
          <w:lang w:eastAsia="zh-CN"/>
        </w:rPr>
        <w:t>。</w:t>
      </w:r>
    </w:p>
    <w:p w14:paraId="03CA9C3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打开报价文件外包装，</w:t>
      </w:r>
      <w:r>
        <w:rPr>
          <w:rFonts w:hint="eastAsia" w:ascii="宋体" w:hAnsi="宋体" w:cs="宋体"/>
          <w:sz w:val="24"/>
          <w:highlight w:val="none"/>
        </w:rPr>
        <w:t>按先后顺序开标唱标，由唱标人宣读《开标一览表》中的投标人名称及在其投标文件中承诺的投标报价，以及采购代理机构认为有必要宣读的其他内容。</w:t>
      </w:r>
    </w:p>
    <w:p w14:paraId="0ED89D5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采购代理机构做开标记录，投标人代表对开标记录进行当场校核及勘误，并签字确认；同时由记录人、监督人当场签字确认。投标人代表未到场签字确认或者拒绝签字确认的，视同默认开标结果，不影响开标过程。</w:t>
      </w:r>
    </w:p>
    <w:p w14:paraId="5F8721F5">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．开标会议结束，</w:t>
      </w:r>
      <w:r>
        <w:rPr>
          <w:rFonts w:hint="eastAsia" w:ascii="宋体" w:hAnsi="宋体" w:cs="宋体"/>
          <w:sz w:val="24"/>
          <w:highlight w:val="none"/>
          <w:lang w:val="en-US" w:eastAsia="zh-CN"/>
        </w:rPr>
        <w:t>报价</w:t>
      </w:r>
      <w:r>
        <w:rPr>
          <w:rFonts w:hint="eastAsia" w:ascii="宋体" w:hAnsi="宋体" w:cs="宋体"/>
          <w:sz w:val="24"/>
          <w:highlight w:val="none"/>
        </w:rPr>
        <w:t>文件并送评标室评审。</w:t>
      </w:r>
    </w:p>
    <w:p w14:paraId="2718C98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9. 评审结束后宣读各投标单位综合得分及中标候选人名单。</w:t>
      </w:r>
      <w:r>
        <w:rPr>
          <w:rFonts w:hint="eastAsia" w:ascii="宋体" w:hAnsi="宋体" w:cs="宋体"/>
          <w:sz w:val="24"/>
          <w:highlight w:val="none"/>
        </w:rPr>
        <w:t xml:space="preserve">  </w:t>
      </w:r>
    </w:p>
    <w:p w14:paraId="7CF81F59">
      <w:pPr>
        <w:pStyle w:val="4"/>
        <w:rPr>
          <w:rFonts w:hint="eastAsia"/>
        </w:rPr>
      </w:pPr>
      <w:bookmarkStart w:id="9" w:name="_Toc9624379"/>
      <w:r>
        <w:rPr>
          <w:rFonts w:hint="eastAsia"/>
        </w:rPr>
        <w:t>五、评标</w:t>
      </w:r>
      <w:bookmarkEnd w:id="9"/>
    </w:p>
    <w:p w14:paraId="55D79B55">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（一）组建评标委员会</w:t>
      </w:r>
    </w:p>
    <w:p w14:paraId="4B6EEB69">
      <w:pPr>
        <w:spacing w:line="360" w:lineRule="auto"/>
        <w:ind w:firstLine="480" w:firstLineChars="200"/>
        <w:jc w:val="left"/>
        <w:rPr>
          <w:rFonts w:hint="eastAsia" w:ascii="宋体" w:hAnsi="宋体" w:cs="宋体"/>
          <w:sz w:val="24"/>
        </w:rPr>
      </w:pPr>
      <w:r>
        <w:rPr>
          <w:rFonts w:hint="eastAsia" w:ascii="宋体" w:hAnsi="宋体" w:cs="宋体"/>
          <w:sz w:val="24"/>
        </w:rPr>
        <w:t>本项目评标委员会</w:t>
      </w:r>
      <w:r>
        <w:rPr>
          <w:rFonts w:hint="eastAsia" w:ascii="宋体" w:hAnsi="宋体" w:cs="宋体"/>
          <w:sz w:val="24"/>
          <w:lang w:val="en-US" w:eastAsia="zh-CN"/>
        </w:rPr>
        <w:t>由采购人代表和评审专家组成，共5人</w:t>
      </w:r>
      <w:r>
        <w:rPr>
          <w:rFonts w:hint="eastAsia" w:ascii="宋体" w:hAnsi="宋体" w:cs="宋体"/>
          <w:sz w:val="24"/>
        </w:rPr>
        <w:t>，其中政府采购专家人数不少于成员总数的三分之二。</w:t>
      </w:r>
    </w:p>
    <w:p w14:paraId="794A0BAF">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（二）评标程序</w:t>
      </w:r>
    </w:p>
    <w:p w14:paraId="28AF3209">
      <w:pPr>
        <w:spacing w:line="360" w:lineRule="auto"/>
        <w:ind w:firstLine="480" w:firstLineChars="200"/>
        <w:jc w:val="left"/>
        <w:rPr>
          <w:rFonts w:hint="eastAsia" w:ascii="宋体" w:hAnsi="宋体" w:cs="宋体"/>
          <w:sz w:val="24"/>
        </w:rPr>
      </w:pPr>
      <w:r>
        <w:rPr>
          <w:rFonts w:hint="eastAsia" w:ascii="宋体" w:hAnsi="宋体" w:cs="宋体"/>
          <w:sz w:val="24"/>
        </w:rPr>
        <w:t>1.在评审专家中推选评审小组组长。</w:t>
      </w:r>
    </w:p>
    <w:p w14:paraId="641F47AD">
      <w:pPr>
        <w:spacing w:line="360" w:lineRule="auto"/>
        <w:ind w:firstLine="480" w:firstLineChars="200"/>
        <w:jc w:val="left"/>
        <w:rPr>
          <w:rFonts w:hint="eastAsia" w:ascii="宋体" w:hAnsi="宋体" w:cs="宋体"/>
          <w:sz w:val="24"/>
        </w:rPr>
      </w:pPr>
      <w:r>
        <w:rPr>
          <w:rFonts w:hint="eastAsia" w:ascii="宋体" w:hAnsi="宋体" w:cs="宋体"/>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F0DB1D5">
      <w:pPr>
        <w:spacing w:line="360" w:lineRule="auto"/>
        <w:ind w:firstLine="480" w:firstLineChars="200"/>
        <w:jc w:val="left"/>
        <w:rPr>
          <w:rFonts w:hint="eastAsia" w:ascii="宋体" w:hAnsi="宋体" w:cs="宋体"/>
          <w:sz w:val="24"/>
        </w:rPr>
      </w:pPr>
      <w:r>
        <w:rPr>
          <w:rFonts w:hint="eastAsia" w:ascii="宋体" w:hAnsi="宋体" w:cs="宋体"/>
          <w:sz w:val="24"/>
        </w:rPr>
        <w:t>3.招标人或者招标代理机构对各投标人的资格进行审查，投标人资格条件不符合招标文件要求的投标无效，</w:t>
      </w:r>
      <w:r>
        <w:rPr>
          <w:rFonts w:hint="eastAsia" w:ascii="宋体" w:hAnsi="宋体" w:cs="宋体"/>
          <w:bCs/>
          <w:sz w:val="24"/>
        </w:rPr>
        <w:t>不再进入符合性审查。</w:t>
      </w:r>
    </w:p>
    <w:p w14:paraId="6B6C0720">
      <w:pPr>
        <w:spacing w:line="360" w:lineRule="auto"/>
        <w:ind w:firstLine="480" w:firstLineChars="200"/>
        <w:jc w:val="left"/>
        <w:rPr>
          <w:rFonts w:hint="eastAsia" w:ascii="宋体" w:hAnsi="宋体" w:cs="宋体"/>
          <w:sz w:val="24"/>
        </w:rPr>
      </w:pPr>
      <w:r>
        <w:rPr>
          <w:rFonts w:hint="eastAsia" w:ascii="宋体" w:hAnsi="宋体" w:cs="宋体"/>
          <w:sz w:val="24"/>
        </w:rPr>
        <w:t>4.评审小组对各投标文件的符合性进行审查，确定是否对招标文件作出了实质性响应。</w:t>
      </w:r>
      <w:r>
        <w:rPr>
          <w:rFonts w:hint="eastAsia" w:ascii="宋体" w:hAnsi="宋体" w:cs="宋体"/>
          <w:bCs/>
          <w:sz w:val="24"/>
        </w:rPr>
        <w:t>实质上没有响应招标文件要求的投标将被视为无效投标，不再进入下一阶段的评审。</w:t>
      </w:r>
    </w:p>
    <w:p w14:paraId="2A5A5328">
      <w:pPr>
        <w:spacing w:line="360" w:lineRule="auto"/>
        <w:ind w:firstLine="480" w:firstLineChars="200"/>
        <w:jc w:val="left"/>
        <w:rPr>
          <w:rFonts w:hint="eastAsia" w:ascii="宋体" w:hAnsi="宋体" w:cs="宋体"/>
          <w:sz w:val="24"/>
        </w:rPr>
      </w:pPr>
      <w:r>
        <w:rPr>
          <w:rFonts w:hint="eastAsia" w:ascii="宋体" w:hAnsi="宋体" w:cs="宋体"/>
          <w:sz w:val="24"/>
        </w:rPr>
        <w:t>5.评审人员按招标文件规定的评审方法和评审标准，依法独立对供应商投标文件进行评估、比较，并给予评价或打分，不受任何单位和个人的干预。</w:t>
      </w:r>
    </w:p>
    <w:p w14:paraId="6634FB2C">
      <w:pPr>
        <w:spacing w:line="360" w:lineRule="auto"/>
        <w:ind w:firstLine="480" w:firstLineChars="200"/>
        <w:jc w:val="left"/>
        <w:rPr>
          <w:rFonts w:hint="eastAsia" w:ascii="宋体" w:hAnsi="宋体" w:cs="宋体"/>
          <w:sz w:val="24"/>
        </w:rPr>
      </w:pPr>
      <w:r>
        <w:rPr>
          <w:rFonts w:hint="eastAsia" w:ascii="宋体" w:hAnsi="宋体" w:cs="宋体"/>
          <w:sz w:val="24"/>
        </w:rPr>
        <w:t>6.各投标人的得分为所有评委的有效评分的算术平均数，由指定专人进行计算复核。</w:t>
      </w:r>
    </w:p>
    <w:p w14:paraId="1994B86E">
      <w:pPr>
        <w:spacing w:line="360" w:lineRule="auto"/>
        <w:ind w:firstLine="480" w:firstLineChars="200"/>
        <w:jc w:val="left"/>
        <w:rPr>
          <w:rFonts w:hint="eastAsia" w:ascii="宋体" w:hAnsi="宋体" w:cs="宋体"/>
          <w:sz w:val="24"/>
        </w:rPr>
      </w:pPr>
      <w:r>
        <w:rPr>
          <w:rFonts w:hint="eastAsia" w:ascii="宋体" w:hAnsi="宋体" w:cs="宋体"/>
          <w:sz w:val="24"/>
        </w:rPr>
        <w:t>7.评标委员会完成评标后,评委对各部分得分汇总,计算出本项目最终得分。评标委员会按评标原则推荐中标候选人，同时起草评标报告。</w:t>
      </w:r>
    </w:p>
    <w:p w14:paraId="79740795">
      <w:pPr>
        <w:spacing w:line="360" w:lineRule="auto"/>
        <w:ind w:firstLine="480" w:firstLineChars="200"/>
        <w:jc w:val="left"/>
        <w:rPr>
          <w:rFonts w:hint="eastAsia" w:ascii="宋体" w:hAnsi="宋体" w:cs="宋体"/>
          <w:sz w:val="24"/>
        </w:rPr>
      </w:pPr>
      <w:r>
        <w:rPr>
          <w:rFonts w:hint="eastAsia" w:ascii="宋体" w:hAnsi="宋体" w:cs="宋体"/>
          <w:sz w:val="24"/>
        </w:rPr>
        <w:t>8.实质上响应招标文件要求的投标人</w:t>
      </w:r>
      <w:r>
        <w:rPr>
          <w:rFonts w:hint="eastAsia" w:ascii="宋体" w:hAnsi="宋体" w:cs="宋体"/>
          <w:bCs/>
          <w:sz w:val="24"/>
        </w:rPr>
        <w:t>不足三家的，除财政部门另有规定外，应当作废标处理。</w:t>
      </w:r>
    </w:p>
    <w:p w14:paraId="7353E519">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（三）澄清问题的形式</w:t>
      </w:r>
    </w:p>
    <w:p w14:paraId="7488E797">
      <w:pPr>
        <w:spacing w:line="360" w:lineRule="auto"/>
        <w:ind w:firstLine="480" w:firstLineChars="200"/>
        <w:jc w:val="left"/>
        <w:rPr>
          <w:rFonts w:hint="eastAsia"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3298145">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（四）错误修正</w:t>
      </w:r>
    </w:p>
    <w:p w14:paraId="2A50FFD2">
      <w:pPr>
        <w:spacing w:line="360" w:lineRule="auto"/>
        <w:ind w:firstLine="480" w:firstLineChars="200"/>
        <w:jc w:val="left"/>
        <w:rPr>
          <w:rFonts w:hint="eastAsia" w:ascii="宋体" w:hAnsi="宋体" w:cs="宋体"/>
          <w:sz w:val="24"/>
        </w:rPr>
      </w:pPr>
      <w:r>
        <w:rPr>
          <w:rFonts w:hint="eastAsia" w:ascii="宋体" w:hAnsi="宋体" w:cs="宋体"/>
          <w:sz w:val="24"/>
        </w:rPr>
        <w:t>投标文件如果出现计算或表达上的错误，修正错误的原则如下：</w:t>
      </w:r>
    </w:p>
    <w:p w14:paraId="0072E745">
      <w:pPr>
        <w:spacing w:line="360" w:lineRule="auto"/>
        <w:ind w:firstLine="480" w:firstLineChars="200"/>
        <w:jc w:val="left"/>
        <w:rPr>
          <w:rFonts w:hint="eastAsia" w:ascii="宋体" w:hAnsi="宋体" w:cs="宋体"/>
          <w:sz w:val="24"/>
        </w:rPr>
      </w:pPr>
      <w:r>
        <w:rPr>
          <w:rFonts w:hint="eastAsia" w:ascii="宋体" w:hAnsi="宋体" w:cs="宋体"/>
          <w:sz w:val="24"/>
        </w:rPr>
        <w:t>1.投标文件中开标一览表内容与投标文件中相应内容不一致的，以开标一览表为准；</w:t>
      </w:r>
    </w:p>
    <w:p w14:paraId="531EFC96">
      <w:pPr>
        <w:spacing w:line="360" w:lineRule="auto"/>
        <w:ind w:firstLine="480" w:firstLineChars="200"/>
        <w:jc w:val="left"/>
        <w:rPr>
          <w:rFonts w:hint="eastAsia" w:ascii="宋体" w:hAnsi="宋体" w:cs="宋体"/>
          <w:sz w:val="24"/>
        </w:rPr>
      </w:pPr>
      <w:r>
        <w:rPr>
          <w:rFonts w:hint="eastAsia" w:ascii="宋体" w:hAnsi="宋体" w:cs="宋体"/>
          <w:sz w:val="24"/>
        </w:rPr>
        <w:t>2.大写金额和小写金额不一致的，以大写金额为准；</w:t>
      </w:r>
    </w:p>
    <w:p w14:paraId="66CCDB03">
      <w:pPr>
        <w:spacing w:line="360" w:lineRule="auto"/>
        <w:ind w:firstLine="480" w:firstLineChars="200"/>
        <w:jc w:val="left"/>
        <w:rPr>
          <w:rFonts w:hint="eastAsia" w:ascii="宋体" w:hAnsi="宋体" w:cs="宋体"/>
          <w:sz w:val="24"/>
        </w:rPr>
      </w:pPr>
      <w:r>
        <w:rPr>
          <w:rFonts w:hint="eastAsia" w:ascii="宋体" w:hAnsi="宋体" w:cs="宋体"/>
          <w:sz w:val="24"/>
        </w:rPr>
        <w:t>3.单价金额小数点或者百分比有明显错位的，以开标一览表的总价为准，并修改单价；</w:t>
      </w:r>
    </w:p>
    <w:p w14:paraId="5BFAE332">
      <w:pPr>
        <w:spacing w:line="360" w:lineRule="auto"/>
        <w:ind w:firstLine="480" w:firstLineChars="200"/>
        <w:jc w:val="left"/>
        <w:rPr>
          <w:rFonts w:hint="eastAsia" w:ascii="宋体" w:hAnsi="宋体" w:cs="宋体"/>
          <w:sz w:val="24"/>
        </w:rPr>
      </w:pPr>
      <w:r>
        <w:rPr>
          <w:rFonts w:hint="eastAsia" w:ascii="宋体" w:hAnsi="宋体" w:cs="宋体"/>
          <w:sz w:val="24"/>
        </w:rPr>
        <w:t>4.总价金额与按单价汇总金额不一致的，以单价金额计算结果为准。</w:t>
      </w:r>
    </w:p>
    <w:p w14:paraId="42EADE97">
      <w:pPr>
        <w:spacing w:line="360" w:lineRule="auto"/>
        <w:ind w:firstLine="480" w:firstLineChars="200"/>
        <w:jc w:val="left"/>
        <w:rPr>
          <w:rFonts w:hint="eastAsia" w:ascii="宋体" w:hAnsi="宋体" w:cs="宋体"/>
          <w:sz w:val="24"/>
        </w:rPr>
      </w:pPr>
      <w:r>
        <w:rPr>
          <w:rFonts w:hint="eastAsia" w:ascii="宋体" w:hAnsi="宋体" w:cs="宋体"/>
          <w:sz w:val="24"/>
        </w:rPr>
        <w:t>同时出现两种以上不一致的，按照前款规定的顺序修正。评标委员会应当以书面形式要求投标人对修正后的报价予以确认并对投标人产生约束力。投标人不予确认的，其投标无效。</w:t>
      </w:r>
    </w:p>
    <w:p w14:paraId="476A1023">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（五）评标原则和评标办法</w:t>
      </w:r>
    </w:p>
    <w:p w14:paraId="4AF9DAEB">
      <w:pPr>
        <w:spacing w:line="360" w:lineRule="auto"/>
        <w:ind w:firstLine="480" w:firstLineChars="200"/>
        <w:jc w:val="left"/>
        <w:rPr>
          <w:rFonts w:hint="eastAsia" w:ascii="宋体" w:hAnsi="宋体" w:cs="宋体"/>
          <w:sz w:val="24"/>
        </w:rPr>
      </w:pPr>
      <w:r>
        <w:rPr>
          <w:rFonts w:hint="eastAsia" w:ascii="宋体" w:hAnsi="宋体" w:cs="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E5038CB">
      <w:pPr>
        <w:spacing w:line="360" w:lineRule="auto"/>
        <w:ind w:firstLine="480" w:firstLineChars="200"/>
        <w:jc w:val="left"/>
        <w:rPr>
          <w:rFonts w:hint="eastAsia" w:ascii="宋体" w:hAnsi="宋体" w:cs="宋体"/>
          <w:sz w:val="24"/>
        </w:rPr>
      </w:pPr>
      <w:r>
        <w:rPr>
          <w:rFonts w:hint="eastAsia" w:ascii="宋体" w:hAnsi="宋体" w:cs="宋体"/>
          <w:sz w:val="24"/>
        </w:rPr>
        <w:t xml:space="preserve">2.本项目评标办法是综合评分法，具体评标内容及评分标准等详见《第四部分：评标办法》。 </w:t>
      </w:r>
    </w:p>
    <w:p w14:paraId="169FB245">
      <w:pPr>
        <w:spacing w:line="360" w:lineRule="auto"/>
        <w:ind w:firstLine="480" w:firstLineChars="200"/>
        <w:jc w:val="left"/>
        <w:rPr>
          <w:rFonts w:hint="eastAsia" w:ascii="宋体" w:hAnsi="宋体" w:cs="宋体"/>
          <w:sz w:val="24"/>
        </w:rPr>
      </w:pPr>
      <w:r>
        <w:rPr>
          <w:rFonts w:hint="eastAsia" w:ascii="宋体" w:hAnsi="宋体" w:cs="宋体"/>
          <w:kern w:val="0"/>
          <w:sz w:val="24"/>
        </w:rPr>
        <w:t>3.</w:t>
      </w:r>
      <w:r>
        <w:rPr>
          <w:rFonts w:hint="eastAsia" w:ascii="宋体" w:hAnsi="宋体" w:cs="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采取“评审总得分相同的，投标报价低者优先；评审总得分且投标报价相同的，技术分高者优先；评审总得分、投标报价相同且技术分相同的，则采取随机抽取方式” 的原则确定一个投标人获得中标人推荐资格，其他同品牌投标人不作为中标候选人。</w:t>
      </w:r>
    </w:p>
    <w:p w14:paraId="0786B18C">
      <w:pPr>
        <w:spacing w:line="360" w:lineRule="auto"/>
        <w:ind w:firstLine="480" w:firstLineChars="200"/>
        <w:jc w:val="left"/>
        <w:rPr>
          <w:rFonts w:hint="eastAsia" w:ascii="宋体" w:hAnsi="宋体" w:cs="宋体"/>
          <w:sz w:val="24"/>
        </w:rPr>
      </w:pPr>
      <w:r>
        <w:rPr>
          <w:rFonts w:hint="eastAsia" w:ascii="宋体" w:hAnsi="宋体" w:cs="宋体"/>
          <w:sz w:val="24"/>
        </w:rPr>
        <w:t>多家投标人提供的核心产品品牌相同的，按前款规定处理。</w:t>
      </w:r>
    </w:p>
    <w:p w14:paraId="55560F57">
      <w:pPr>
        <w:spacing w:line="360" w:lineRule="auto"/>
        <w:ind w:firstLine="482" w:firstLineChars="200"/>
        <w:jc w:val="left"/>
        <w:outlineLvl w:val="2"/>
        <w:rPr>
          <w:rFonts w:hint="eastAsia" w:ascii="宋体" w:hAnsi="宋体" w:cs="宋体"/>
          <w:b/>
          <w:sz w:val="24"/>
        </w:rPr>
      </w:pPr>
      <w:bookmarkStart w:id="10" w:name="_Toc9624380"/>
      <w:r>
        <w:rPr>
          <w:rFonts w:hint="eastAsia" w:ascii="宋体" w:hAnsi="宋体" w:cs="宋体"/>
          <w:b/>
          <w:sz w:val="24"/>
        </w:rPr>
        <w:t>（六）有下列情况之一者，投标文件无效（中标后查实的取消中标资格）</w:t>
      </w:r>
    </w:p>
    <w:p w14:paraId="61976162">
      <w:pPr>
        <w:spacing w:line="360" w:lineRule="auto"/>
        <w:ind w:firstLine="480" w:firstLineChars="200"/>
        <w:jc w:val="left"/>
        <w:rPr>
          <w:rFonts w:hint="eastAsia" w:ascii="宋体" w:hAnsi="宋体" w:cs="宋体"/>
          <w:sz w:val="24"/>
        </w:rPr>
      </w:pPr>
      <w:r>
        <w:rPr>
          <w:rFonts w:hint="eastAsia" w:ascii="宋体" w:hAnsi="宋体" w:cs="宋体"/>
          <w:sz w:val="24"/>
        </w:rPr>
        <w:t>1.未按要求提供中小企业声明函的；</w:t>
      </w:r>
    </w:p>
    <w:p w14:paraId="077FD235">
      <w:pPr>
        <w:spacing w:line="360" w:lineRule="auto"/>
        <w:ind w:firstLine="480" w:firstLineChars="200"/>
        <w:jc w:val="left"/>
        <w:rPr>
          <w:rFonts w:hint="eastAsia" w:ascii="宋体" w:hAnsi="宋体" w:cs="宋体"/>
          <w:sz w:val="24"/>
        </w:rPr>
      </w:pPr>
      <w:r>
        <w:rPr>
          <w:rFonts w:hint="eastAsia" w:ascii="宋体" w:hAnsi="宋体" w:cs="宋体"/>
          <w:sz w:val="24"/>
        </w:rPr>
        <w:t>2.报价超过最高限价的（报价包括投标报价明细表中的单价、单项报价，以上所有报价均不得超过招标文件第一部分标明的对应最高限价），投标文件出现多个报价的；</w:t>
      </w:r>
    </w:p>
    <w:p w14:paraId="4DAFFA6B">
      <w:pPr>
        <w:spacing w:line="360" w:lineRule="auto"/>
        <w:ind w:firstLine="480" w:firstLineChars="200"/>
        <w:jc w:val="left"/>
        <w:rPr>
          <w:rFonts w:hint="eastAsia" w:ascii="宋体" w:hAnsi="宋体" w:cs="宋体"/>
          <w:sz w:val="24"/>
        </w:rPr>
      </w:pPr>
      <w:r>
        <w:rPr>
          <w:rFonts w:hint="eastAsia" w:ascii="宋体" w:hAnsi="宋体" w:cs="宋体"/>
          <w:sz w:val="24"/>
        </w:rPr>
        <w:t>3.评标委员会认为其报价明显低于其他通过符合性审查投标人的报价，且投标人不能证明其报价合理性，有可能影响产品质量或者不能诚信履约的；</w:t>
      </w:r>
    </w:p>
    <w:p w14:paraId="7326B96E">
      <w:pPr>
        <w:spacing w:line="360" w:lineRule="auto"/>
        <w:ind w:firstLine="480" w:firstLineChars="200"/>
        <w:jc w:val="left"/>
        <w:rPr>
          <w:rFonts w:hint="eastAsia" w:ascii="宋体" w:hAnsi="宋体" w:cs="宋体"/>
          <w:sz w:val="24"/>
        </w:rPr>
      </w:pPr>
      <w:r>
        <w:rPr>
          <w:rFonts w:hint="eastAsia" w:ascii="宋体" w:hAnsi="宋体" w:cs="宋体"/>
          <w:sz w:val="24"/>
        </w:rPr>
        <w:t>4.投标人未实质性响应响应招标文件要求的；</w:t>
      </w:r>
    </w:p>
    <w:p w14:paraId="2FA493A5">
      <w:pPr>
        <w:spacing w:line="360" w:lineRule="auto"/>
        <w:ind w:firstLine="480" w:firstLineChars="200"/>
        <w:jc w:val="left"/>
        <w:rPr>
          <w:rFonts w:hint="eastAsia" w:ascii="宋体" w:hAnsi="宋体" w:cs="宋体"/>
          <w:sz w:val="24"/>
        </w:rPr>
      </w:pPr>
      <w:r>
        <w:rPr>
          <w:rFonts w:hint="eastAsia" w:ascii="宋体" w:hAnsi="宋体" w:cs="宋体"/>
          <w:sz w:val="24"/>
        </w:rPr>
        <w:t>5.投标有效期不足招标文件要求的；</w:t>
      </w:r>
    </w:p>
    <w:p w14:paraId="57C0DCF5">
      <w:pPr>
        <w:spacing w:line="360" w:lineRule="auto"/>
        <w:ind w:firstLine="480" w:firstLineChars="200"/>
        <w:jc w:val="left"/>
        <w:rPr>
          <w:rFonts w:hint="eastAsia" w:ascii="宋体" w:hAnsi="宋体" w:cs="宋体"/>
          <w:sz w:val="24"/>
        </w:rPr>
      </w:pPr>
      <w:r>
        <w:rPr>
          <w:rFonts w:hint="eastAsia" w:ascii="宋体" w:hAnsi="宋体" w:cs="宋体"/>
          <w:sz w:val="24"/>
        </w:rPr>
        <w:t>6.投标人资格条件不符合招标文件要求的</w:t>
      </w:r>
    </w:p>
    <w:p w14:paraId="1CE98FCD">
      <w:pPr>
        <w:spacing w:line="360" w:lineRule="auto"/>
        <w:ind w:firstLine="480" w:firstLineChars="200"/>
        <w:jc w:val="left"/>
        <w:rPr>
          <w:rFonts w:hint="eastAsia" w:ascii="宋体" w:hAnsi="宋体" w:cs="宋体"/>
          <w:sz w:val="24"/>
        </w:rPr>
      </w:pPr>
      <w:r>
        <w:rPr>
          <w:rFonts w:hint="eastAsia" w:ascii="宋体" w:hAnsi="宋体" w:cs="宋体"/>
          <w:sz w:val="24"/>
        </w:rPr>
        <w:t>7.同时出现两种以上不一致报价的，按照前款规定的顺序修正。评标委员会应当以书面形式要求投标人对修正后的报价予以确认并对投标人产生约束力。投标人对书面要求不予确认的；</w:t>
      </w:r>
    </w:p>
    <w:p w14:paraId="473E7B6C">
      <w:pPr>
        <w:spacing w:line="360" w:lineRule="auto"/>
        <w:ind w:firstLine="480" w:firstLineChars="200"/>
        <w:jc w:val="left"/>
        <w:rPr>
          <w:rFonts w:hint="eastAsia" w:ascii="宋体" w:hAnsi="宋体" w:cs="宋体"/>
          <w:sz w:val="24"/>
        </w:rPr>
      </w:pPr>
      <w:r>
        <w:rPr>
          <w:rFonts w:hint="eastAsia" w:ascii="宋体" w:hAnsi="宋体" w:cs="宋体"/>
          <w:sz w:val="24"/>
        </w:rPr>
        <w:t>8.评标委员会认为投标报价出现异常时，投标人不能证明其投标报价合理、完整、无重大错漏项的；</w:t>
      </w:r>
    </w:p>
    <w:p w14:paraId="4311B0CE">
      <w:pPr>
        <w:spacing w:line="360" w:lineRule="auto"/>
        <w:ind w:firstLine="480" w:firstLineChars="200"/>
        <w:jc w:val="left"/>
        <w:rPr>
          <w:rFonts w:hint="eastAsia" w:ascii="宋体" w:hAnsi="宋体" w:cs="宋体"/>
          <w:sz w:val="24"/>
        </w:rPr>
      </w:pPr>
      <w:r>
        <w:rPr>
          <w:rFonts w:hint="eastAsia" w:ascii="宋体" w:hAnsi="宋体" w:cs="宋体"/>
          <w:sz w:val="24"/>
        </w:rPr>
        <w:t>9.经评标委员会半数以上成员认定有串通投标嫌疑的；</w:t>
      </w:r>
    </w:p>
    <w:p w14:paraId="18B8AF1F">
      <w:pPr>
        <w:spacing w:line="360" w:lineRule="auto"/>
        <w:ind w:firstLine="480" w:firstLineChars="200"/>
        <w:jc w:val="left"/>
        <w:rPr>
          <w:rFonts w:hint="eastAsia" w:ascii="宋体" w:hAnsi="宋体" w:cs="宋体"/>
          <w:sz w:val="24"/>
        </w:rPr>
      </w:pPr>
      <w:r>
        <w:rPr>
          <w:rFonts w:hint="eastAsia" w:ascii="宋体" w:hAnsi="宋体" w:cs="宋体"/>
          <w:sz w:val="24"/>
        </w:rPr>
        <w:t>10.中标人经违法犯罪档案查询存在违法犯罪记录的；</w:t>
      </w:r>
    </w:p>
    <w:p w14:paraId="0022FB67">
      <w:pPr>
        <w:spacing w:line="360" w:lineRule="auto"/>
        <w:ind w:firstLine="480" w:firstLineChars="200"/>
        <w:jc w:val="left"/>
        <w:rPr>
          <w:rFonts w:hint="eastAsia" w:ascii="宋体" w:hAnsi="宋体" w:cs="宋体"/>
          <w:sz w:val="24"/>
        </w:rPr>
      </w:pPr>
      <w:r>
        <w:rPr>
          <w:rFonts w:hint="eastAsia" w:ascii="宋体" w:hAnsi="宋体" w:cs="宋体"/>
          <w:sz w:val="24"/>
        </w:rPr>
        <w:t>11.出现投标响应函中规定情形的；</w:t>
      </w:r>
    </w:p>
    <w:p w14:paraId="5913484D">
      <w:pPr>
        <w:spacing w:line="360" w:lineRule="auto"/>
        <w:ind w:firstLine="480" w:firstLineChars="200"/>
        <w:jc w:val="left"/>
        <w:rPr>
          <w:rFonts w:hint="eastAsia" w:ascii="宋体" w:hAnsi="宋体" w:cs="宋体"/>
          <w:sz w:val="24"/>
        </w:rPr>
      </w:pPr>
      <w:r>
        <w:rPr>
          <w:rFonts w:hint="eastAsia" w:ascii="宋体" w:hAnsi="宋体" w:cs="宋体"/>
          <w:sz w:val="24"/>
        </w:rPr>
        <w:t>12.报价涂改后未加盖单位公章或者由法定代表人或授权代表签字的。</w:t>
      </w:r>
    </w:p>
    <w:p w14:paraId="53C9A06B">
      <w:pPr>
        <w:snapToGrid w:val="0"/>
        <w:spacing w:line="360" w:lineRule="auto"/>
        <w:ind w:firstLine="420" w:firstLineChars="200"/>
        <w:jc w:val="center"/>
      </w:pPr>
    </w:p>
    <w:p w14:paraId="791C070E">
      <w:pPr>
        <w:pStyle w:val="4"/>
        <w:rPr>
          <w:rFonts w:hint="eastAsia"/>
        </w:rPr>
      </w:pPr>
      <w:r>
        <w:rPr>
          <w:rFonts w:hint="eastAsia"/>
        </w:rPr>
        <w:t>六、定标</w:t>
      </w:r>
      <w:bookmarkEnd w:id="10"/>
    </w:p>
    <w:p w14:paraId="43478A4A">
      <w:pPr>
        <w:spacing w:line="360" w:lineRule="auto"/>
        <w:ind w:firstLine="482" w:firstLineChars="200"/>
        <w:jc w:val="left"/>
        <w:outlineLvl w:val="2"/>
        <w:rPr>
          <w:rFonts w:hint="eastAsia" w:ascii="宋体" w:hAnsi="宋体" w:cs="宋体"/>
          <w:b/>
          <w:bCs/>
          <w:sz w:val="24"/>
        </w:rPr>
      </w:pPr>
      <w:r>
        <w:rPr>
          <w:rFonts w:hint="eastAsia" w:ascii="宋体" w:hAnsi="宋体" w:cs="宋体"/>
          <w:b/>
          <w:bCs/>
          <w:sz w:val="24"/>
        </w:rPr>
        <w:t>（一）确定中标人</w:t>
      </w:r>
    </w:p>
    <w:p w14:paraId="2A91096F">
      <w:pPr>
        <w:spacing w:line="360" w:lineRule="auto"/>
        <w:ind w:firstLine="456" w:firstLineChars="200"/>
        <w:jc w:val="left"/>
        <w:rPr>
          <w:rFonts w:hint="eastAsia" w:ascii="宋体" w:hAnsi="宋体" w:cs="宋体"/>
          <w:spacing w:val="-6"/>
          <w:sz w:val="24"/>
        </w:rPr>
      </w:pPr>
      <w:r>
        <w:rPr>
          <w:rFonts w:hint="eastAsia" w:ascii="宋体" w:hAnsi="宋体" w:cs="宋体"/>
          <w:spacing w:val="-6"/>
          <w:sz w:val="24"/>
        </w:rPr>
        <w:t>1.本项目由评标委员会推荐中标候选人，采购结果由采购人确认。</w:t>
      </w:r>
    </w:p>
    <w:p w14:paraId="1923A4EB">
      <w:pPr>
        <w:spacing w:line="360" w:lineRule="auto"/>
        <w:ind w:firstLine="480" w:firstLineChars="200"/>
        <w:jc w:val="left"/>
        <w:rPr>
          <w:rFonts w:hint="eastAsia" w:ascii="宋体" w:hAnsi="宋体" w:cs="宋体"/>
          <w:sz w:val="24"/>
        </w:rPr>
      </w:pPr>
      <w:r>
        <w:rPr>
          <w:rFonts w:hint="eastAsia" w:ascii="宋体" w:hAnsi="宋体" w:cs="宋体"/>
          <w:sz w:val="24"/>
        </w:rPr>
        <w:t>2.采购人依法确定中标人后2个工作日内，采购代理机构以书面形式发出《中标通知书》,并同时在公告媒体上发布中标公告。</w:t>
      </w:r>
    </w:p>
    <w:p w14:paraId="077A8AB0">
      <w:pPr>
        <w:pStyle w:val="3"/>
        <w:snapToGrid w:val="0"/>
        <w:spacing w:beforeLines="0" w:afterLines="0" w:line="360" w:lineRule="auto"/>
        <w:jc w:val="center"/>
        <w:rPr>
          <w:rFonts w:hint="eastAsia" w:hAnsi="宋体" w:cs="宋体"/>
          <w:b/>
          <w:sz w:val="28"/>
          <w:szCs w:val="28"/>
        </w:rPr>
      </w:pPr>
      <w:r>
        <w:rPr>
          <w:rFonts w:hint="eastAsia" w:hAnsi="宋体" w:cs="宋体"/>
          <w:b/>
          <w:sz w:val="28"/>
          <w:szCs w:val="28"/>
        </w:rPr>
        <w:t xml:space="preserve"> </w:t>
      </w:r>
    </w:p>
    <w:p w14:paraId="03274813">
      <w:pPr>
        <w:pStyle w:val="4"/>
        <w:rPr>
          <w:rFonts w:hint="eastAsia"/>
        </w:rPr>
      </w:pPr>
      <w:r>
        <w:rPr>
          <w:rFonts w:hint="eastAsia"/>
        </w:rPr>
        <w:t>七、合同授予</w:t>
      </w:r>
    </w:p>
    <w:p w14:paraId="1504B4FB">
      <w:pPr>
        <w:spacing w:line="360" w:lineRule="auto"/>
        <w:ind w:firstLine="482" w:firstLineChars="200"/>
        <w:jc w:val="left"/>
        <w:outlineLvl w:val="2"/>
        <w:rPr>
          <w:rFonts w:hint="eastAsia" w:ascii="宋体" w:hAnsi="宋体" w:cs="宋体"/>
          <w:b/>
          <w:bCs/>
          <w:sz w:val="24"/>
        </w:rPr>
      </w:pPr>
      <w:r>
        <w:rPr>
          <w:rFonts w:hint="eastAsia" w:ascii="宋体" w:hAnsi="宋体" w:cs="宋体"/>
          <w:b/>
          <w:bCs/>
          <w:sz w:val="24"/>
        </w:rPr>
        <w:t>（一）签订合同</w:t>
      </w:r>
    </w:p>
    <w:p w14:paraId="709FBDE0">
      <w:pPr>
        <w:spacing w:line="360" w:lineRule="auto"/>
        <w:ind w:firstLine="480" w:firstLineChars="200"/>
        <w:jc w:val="left"/>
        <w:rPr>
          <w:rFonts w:hint="eastAsia" w:ascii="宋体" w:hAnsi="宋体" w:cs="宋体"/>
          <w:sz w:val="24"/>
        </w:rPr>
      </w:pPr>
      <w:r>
        <w:rPr>
          <w:rFonts w:hint="eastAsia" w:ascii="宋体" w:hAnsi="宋体" w:cs="宋体"/>
          <w:sz w:val="24"/>
        </w:rPr>
        <w:t>1.采购人与中标人应当在《中标通知书》发出之日起30日内签订政府采购合同。</w:t>
      </w:r>
    </w:p>
    <w:p w14:paraId="3B44302A">
      <w:pPr>
        <w:spacing w:line="360" w:lineRule="auto"/>
        <w:ind w:firstLine="480" w:firstLineChars="200"/>
        <w:jc w:val="left"/>
        <w:rPr>
          <w:rFonts w:hint="eastAsia" w:ascii="宋体" w:hAnsi="宋体" w:cs="宋体"/>
          <w:sz w:val="24"/>
        </w:rPr>
      </w:pPr>
      <w:r>
        <w:rPr>
          <w:rFonts w:hint="eastAsia" w:ascii="宋体" w:hAnsi="宋体" w:cs="宋体"/>
          <w:sz w:val="24"/>
        </w:rPr>
        <w:t>2.中标人拖延、拒签合同的,将被取消中标资格。</w:t>
      </w:r>
    </w:p>
    <w:p w14:paraId="41F8836A">
      <w:pPr>
        <w:spacing w:line="360" w:lineRule="auto"/>
        <w:ind w:firstLine="482" w:firstLineChars="200"/>
        <w:jc w:val="left"/>
        <w:outlineLvl w:val="2"/>
        <w:rPr>
          <w:rFonts w:hint="eastAsia" w:ascii="宋体" w:hAnsi="宋体" w:cs="宋体"/>
          <w:b/>
          <w:sz w:val="24"/>
        </w:rPr>
      </w:pPr>
      <w:r>
        <w:rPr>
          <w:rFonts w:hint="eastAsia" w:ascii="宋体" w:hAnsi="宋体" w:cs="宋体"/>
          <w:b/>
          <w:sz w:val="24"/>
        </w:rPr>
        <w:t>（二）履约保证金</w:t>
      </w:r>
    </w:p>
    <w:p w14:paraId="75D65046">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shd w:val="clear" w:color="auto" w:fill="FFFFFF" w:themeFill="background1"/>
        </w:rPr>
        <w:t>无要求</w:t>
      </w:r>
      <w:r>
        <w:rPr>
          <w:rFonts w:hint="eastAsia" w:ascii="宋体" w:hAnsi="宋体" w:cs="宋体"/>
          <w:sz w:val="24"/>
          <w:shd w:val="clear" w:color="auto" w:fill="FFFFFF" w:themeFill="background1"/>
          <w:lang w:eastAsia="zh-CN"/>
        </w:rPr>
        <w:t>。</w:t>
      </w:r>
    </w:p>
    <w:p w14:paraId="39D2744F"/>
    <w:p w14:paraId="59C4BD4F">
      <w:pPr>
        <w:pStyle w:val="4"/>
        <w:rPr>
          <w:rFonts w:hint="eastAsia"/>
        </w:rPr>
      </w:pPr>
      <w:r>
        <w:rPr>
          <w:rFonts w:hint="eastAsia"/>
        </w:rPr>
        <w:t>八、其他</w:t>
      </w:r>
    </w:p>
    <w:p w14:paraId="6B9F6BE5">
      <w:pPr>
        <w:spacing w:line="360" w:lineRule="auto"/>
        <w:ind w:firstLine="458" w:firstLineChars="200"/>
        <w:jc w:val="left"/>
        <w:rPr>
          <w:rFonts w:hint="eastAsia" w:ascii="宋体" w:hAnsi="宋体" w:cs="宋体"/>
          <w:b/>
          <w:spacing w:val="-6"/>
          <w:sz w:val="24"/>
        </w:rPr>
      </w:pPr>
      <w:r>
        <w:rPr>
          <w:rFonts w:hint="eastAsia" w:ascii="宋体" w:hAnsi="宋体" w:cs="宋体"/>
          <w:b/>
          <w:spacing w:val="-6"/>
          <w:sz w:val="24"/>
        </w:rPr>
        <w:t>（一）采购代理服务费</w:t>
      </w:r>
    </w:p>
    <w:p w14:paraId="5DFB151E">
      <w:pPr>
        <w:spacing w:line="360" w:lineRule="auto"/>
        <w:ind w:firstLine="422" w:firstLineChars="176"/>
        <w:rPr>
          <w:rFonts w:hint="eastAsia" w:ascii="宋体" w:hAnsi="宋体" w:cs="宋体"/>
          <w:sz w:val="24"/>
        </w:rPr>
      </w:pPr>
      <w:r>
        <w:rPr>
          <w:rFonts w:hint="eastAsia" w:ascii="宋体" w:hAnsi="宋体" w:cs="宋体"/>
          <w:sz w:val="24"/>
        </w:rPr>
        <w:t>由中标人支付。收费标准及支付方式详见《前附表》。</w:t>
      </w:r>
    </w:p>
    <w:p w14:paraId="04661384">
      <w:pPr>
        <w:spacing w:line="360" w:lineRule="auto"/>
        <w:ind w:firstLine="424" w:firstLineChars="176"/>
        <w:rPr>
          <w:rFonts w:hint="eastAsia" w:ascii="宋体" w:hAnsi="宋体" w:cs="宋体"/>
          <w:b/>
          <w:bCs/>
          <w:sz w:val="24"/>
        </w:rPr>
      </w:pPr>
      <w:bookmarkStart w:id="11" w:name="_Toc32093"/>
      <w:r>
        <w:rPr>
          <w:rFonts w:hint="eastAsia" w:ascii="宋体" w:hAnsi="宋体" w:cs="宋体"/>
          <w:b/>
          <w:bCs/>
          <w:sz w:val="24"/>
        </w:rPr>
        <w:t>（二）人员回避</w:t>
      </w:r>
    </w:p>
    <w:p w14:paraId="5B076CD8">
      <w:pPr>
        <w:spacing w:line="360" w:lineRule="auto"/>
        <w:ind w:firstLine="422" w:firstLineChars="176"/>
      </w:pPr>
      <w:r>
        <w:rPr>
          <w:rFonts w:hint="eastAsia" w:ascii="宋体" w:hAnsi="宋体" w:cs="宋体"/>
          <w:sz w:val="24"/>
        </w:rPr>
        <w:t>投标人认为招标人及其相关人员有法律法规所列与其他投标人有利害关系的，可以向招标人或招标代理机构书面提出回避申请，并说明理由。</w:t>
      </w:r>
    </w:p>
    <w:bookmarkEnd w:id="11"/>
    <w:p w14:paraId="17C1C470">
      <w:pPr>
        <w:pStyle w:val="2"/>
        <w:spacing w:before="156" w:after="156"/>
        <w:rPr>
          <w:rFonts w:hint="eastAsia"/>
        </w:rPr>
      </w:pPr>
      <w:bookmarkStart w:id="12" w:name="_Toc20346"/>
      <w:bookmarkStart w:id="13" w:name="_Toc30508"/>
      <w:bookmarkStart w:id="14" w:name="_Toc7488"/>
      <w:bookmarkStart w:id="15" w:name="_Toc9186"/>
      <w:bookmarkStart w:id="16" w:name="_Toc5762"/>
      <w:r>
        <w:rPr>
          <w:rFonts w:hint="eastAsia"/>
        </w:rPr>
        <w:t>第三部分  采购需求</w:t>
      </w:r>
      <w:bookmarkEnd w:id="12"/>
    </w:p>
    <w:p w14:paraId="01EA48B6">
      <w:pPr>
        <w:pStyle w:val="67"/>
        <w:rPr>
          <w:rFonts w:hint="eastAsia"/>
        </w:rPr>
      </w:pPr>
      <w:r>
        <w:rPr>
          <w:rFonts w:hint="eastAsia"/>
        </w:rPr>
        <w:t>一、</w:t>
      </w:r>
      <w:bookmarkEnd w:id="13"/>
      <w:bookmarkEnd w:id="14"/>
      <w:bookmarkEnd w:id="15"/>
      <w:r>
        <w:rPr>
          <w:rFonts w:hint="eastAsia"/>
        </w:rPr>
        <w:t>商务要求</w:t>
      </w:r>
    </w:p>
    <w:tbl>
      <w:tblPr>
        <w:tblStyle w:val="35"/>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8069"/>
      </w:tblGrid>
      <w:tr w14:paraId="6E17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34DC3B6A">
            <w:pPr>
              <w:spacing w:line="360" w:lineRule="auto"/>
              <w:jc w:val="center"/>
              <w:rPr>
                <w:rFonts w:hint="eastAsia" w:ascii="宋体" w:hAnsi="宋体" w:cs="宋体"/>
                <w:b/>
                <w:szCs w:val="21"/>
              </w:rPr>
            </w:pPr>
            <w:r>
              <w:rPr>
                <w:rFonts w:ascii="宋体" w:hAnsi="宋体" w:cs="宋体"/>
                <w:b/>
                <w:szCs w:val="21"/>
              </w:rPr>
              <w:t>商务内容</w:t>
            </w:r>
          </w:p>
        </w:tc>
        <w:tc>
          <w:tcPr>
            <w:tcW w:w="8069" w:type="dxa"/>
            <w:vAlign w:val="center"/>
          </w:tcPr>
          <w:p w14:paraId="10F69644">
            <w:pPr>
              <w:spacing w:line="360" w:lineRule="auto"/>
              <w:jc w:val="center"/>
              <w:rPr>
                <w:rFonts w:hint="eastAsia" w:ascii="宋体" w:hAnsi="宋体" w:cs="宋体"/>
                <w:b/>
                <w:szCs w:val="21"/>
              </w:rPr>
            </w:pPr>
            <w:r>
              <w:rPr>
                <w:rFonts w:ascii="宋体" w:hAnsi="宋体" w:cs="宋体"/>
                <w:b/>
                <w:szCs w:val="21"/>
              </w:rPr>
              <w:t>具体商务要求</w:t>
            </w:r>
          </w:p>
        </w:tc>
      </w:tr>
      <w:tr w14:paraId="5F76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12349389">
            <w:pPr>
              <w:spacing w:line="360" w:lineRule="auto"/>
              <w:jc w:val="center"/>
              <w:rPr>
                <w:rFonts w:hint="eastAsia" w:ascii="宋体" w:hAnsi="宋体" w:cs="宋体"/>
                <w:b/>
                <w:szCs w:val="21"/>
              </w:rPr>
            </w:pPr>
            <w:r>
              <w:rPr>
                <w:rFonts w:hint="eastAsia" w:ascii="宋体" w:hAnsi="宋体" w:cs="宋体"/>
                <w:b/>
                <w:szCs w:val="21"/>
              </w:rPr>
              <w:t>▲质保期</w:t>
            </w:r>
          </w:p>
        </w:tc>
        <w:tc>
          <w:tcPr>
            <w:tcW w:w="8069" w:type="dxa"/>
            <w:vAlign w:val="center"/>
          </w:tcPr>
          <w:p w14:paraId="236E4DE3">
            <w:pPr>
              <w:spacing w:line="360" w:lineRule="auto"/>
              <w:rPr>
                <w:rFonts w:hint="eastAsia" w:ascii="宋体" w:hAnsi="宋体" w:cs="宋体"/>
                <w:b/>
                <w:szCs w:val="21"/>
              </w:rPr>
            </w:pPr>
            <w:r>
              <w:rPr>
                <w:rFonts w:hint="eastAsia" w:ascii="宋体" w:hAnsi="宋体" w:cs="宋体"/>
                <w:b/>
                <w:szCs w:val="21"/>
              </w:rPr>
              <w:t>验收合格后不少于24个月。</w:t>
            </w:r>
          </w:p>
        </w:tc>
      </w:tr>
      <w:tr w14:paraId="38B6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7242BA44">
            <w:pPr>
              <w:spacing w:line="360" w:lineRule="auto"/>
              <w:jc w:val="center"/>
              <w:rPr>
                <w:rFonts w:hint="eastAsia" w:ascii="宋体" w:hAnsi="宋体" w:cs="宋体"/>
                <w:spacing w:val="-6"/>
                <w:szCs w:val="21"/>
              </w:rPr>
            </w:pPr>
            <w:r>
              <w:rPr>
                <w:rFonts w:hint="eastAsia" w:ascii="宋体" w:hAnsi="宋体" w:cs="宋体"/>
                <w:spacing w:val="-6"/>
                <w:szCs w:val="21"/>
              </w:rPr>
              <w:t>质量保证及售后服务要求</w:t>
            </w:r>
          </w:p>
          <w:p w14:paraId="67A9A9F0">
            <w:pPr>
              <w:spacing w:line="360" w:lineRule="auto"/>
              <w:jc w:val="center"/>
              <w:rPr>
                <w:rFonts w:hint="eastAsia" w:ascii="宋体" w:hAnsi="宋体" w:cs="宋体"/>
                <w:szCs w:val="21"/>
              </w:rPr>
            </w:pPr>
          </w:p>
        </w:tc>
        <w:tc>
          <w:tcPr>
            <w:tcW w:w="8069" w:type="dxa"/>
            <w:vAlign w:val="center"/>
          </w:tcPr>
          <w:p w14:paraId="51146265">
            <w:pPr>
              <w:spacing w:line="360" w:lineRule="auto"/>
              <w:ind w:firstLine="396" w:firstLineChars="200"/>
              <w:rPr>
                <w:rFonts w:hint="eastAsia" w:ascii="宋体" w:hAnsi="宋体" w:cs="宋体"/>
                <w:spacing w:val="-6"/>
                <w:szCs w:val="21"/>
              </w:rPr>
            </w:pPr>
            <w:r>
              <w:rPr>
                <w:rFonts w:hint="eastAsia" w:ascii="宋体" w:hAnsi="宋体" w:cs="宋体"/>
                <w:spacing w:val="-6"/>
                <w:szCs w:val="21"/>
              </w:rPr>
              <w:t>1.质量要求：所供产品是符合国家技术规范和质量标准的合格产品，且未曾使用，制造标准、安装标准及技术规范要求必须符合我国相关标准和使用方认可的有关国际标准，并符合采购人的采购要求。</w:t>
            </w:r>
          </w:p>
          <w:p w14:paraId="132375BB">
            <w:pPr>
              <w:spacing w:line="360" w:lineRule="auto"/>
              <w:ind w:firstLine="396" w:firstLineChars="200"/>
              <w:rPr>
                <w:rFonts w:hint="eastAsia" w:ascii="宋体" w:hAnsi="宋体" w:cs="宋体"/>
                <w:spacing w:val="-6"/>
                <w:szCs w:val="21"/>
              </w:rPr>
            </w:pPr>
            <w:r>
              <w:rPr>
                <w:rFonts w:hint="eastAsia" w:ascii="宋体" w:hAnsi="宋体" w:cs="宋体"/>
                <w:spacing w:val="-6"/>
                <w:szCs w:val="21"/>
              </w:rPr>
              <w:t>2.包装要求：所有产品货物外包装按相关规定执行，不得有破损和霉烂。运输、安装过程中发生的货物损毁、人身伤害的，一切法律责任由乙方承担。</w:t>
            </w:r>
          </w:p>
          <w:p w14:paraId="1F011136">
            <w:pPr>
              <w:spacing w:line="360" w:lineRule="auto"/>
              <w:ind w:firstLine="396" w:firstLineChars="200"/>
              <w:rPr>
                <w:rFonts w:hint="eastAsia" w:ascii="宋体" w:hAnsi="宋体" w:cs="宋体"/>
                <w:spacing w:val="-6"/>
                <w:szCs w:val="21"/>
              </w:rPr>
            </w:pPr>
            <w:r>
              <w:rPr>
                <w:rFonts w:hint="eastAsia" w:ascii="宋体" w:hAnsi="宋体" w:cs="宋体"/>
                <w:spacing w:val="-6"/>
                <w:szCs w:val="21"/>
              </w:rPr>
              <w:t>3.费用：中标人负责产品的包装、运输、装卸、安装、调试、验收等工作，产品正式交付采购人使用前进行安装、调试和质保期内设备正常运行所需一切必要耗材及其费用均由中标人负责。</w:t>
            </w:r>
          </w:p>
          <w:p w14:paraId="172B13E8">
            <w:pPr>
              <w:spacing w:line="360" w:lineRule="auto"/>
              <w:ind w:firstLine="396" w:firstLineChars="200"/>
              <w:rPr>
                <w:rFonts w:hint="eastAsia" w:ascii="宋体" w:hAnsi="宋体" w:cs="宋体"/>
                <w:spacing w:val="-6"/>
                <w:szCs w:val="21"/>
              </w:rPr>
            </w:pPr>
            <w:r>
              <w:rPr>
                <w:rFonts w:hint="eastAsia" w:ascii="宋体" w:hAnsi="宋体" w:cs="宋体"/>
                <w:spacing w:val="-6"/>
                <w:szCs w:val="21"/>
              </w:rPr>
              <w:t>4.保修要求：产品从采购人验收后合格之日起，保修按厂家规定标准执行。</w:t>
            </w:r>
          </w:p>
          <w:p w14:paraId="0661BADA">
            <w:pPr>
              <w:spacing w:line="360" w:lineRule="auto"/>
              <w:ind w:firstLine="396" w:firstLineChars="200"/>
              <w:rPr>
                <w:b/>
                <w:szCs w:val="21"/>
              </w:rPr>
            </w:pPr>
            <w:r>
              <w:rPr>
                <w:rFonts w:ascii="宋体" w:hAnsi="宋体" w:cs="宋体"/>
                <w:spacing w:val="-6"/>
                <w:szCs w:val="21"/>
              </w:rPr>
              <w:t>5.质保期：本项目质保期</w:t>
            </w:r>
            <w:r>
              <w:rPr>
                <w:rFonts w:hint="eastAsia" w:ascii="宋体" w:hAnsi="宋体" w:cs="宋体"/>
                <w:spacing w:val="-6"/>
                <w:szCs w:val="21"/>
              </w:rPr>
              <w:t>按“</w:t>
            </w:r>
            <w:r>
              <w:rPr>
                <w:rFonts w:hint="eastAsia" w:ascii="宋体" w:hAnsi="宋体" w:cs="宋体"/>
                <w:b/>
                <w:szCs w:val="21"/>
              </w:rPr>
              <w:t>商务要求</w:t>
            </w:r>
            <w:r>
              <w:rPr>
                <w:rFonts w:hint="eastAsia" w:ascii="宋体" w:hAnsi="宋体" w:cs="宋体"/>
                <w:spacing w:val="-6"/>
                <w:szCs w:val="21"/>
              </w:rPr>
              <w:t>”中规定的质保期要求执行，时间自货物测试完毕及采购人验收合格之日起。（</w:t>
            </w:r>
            <w:r>
              <w:rPr>
                <w:rFonts w:hint="eastAsia" w:ascii="宋体" w:hAnsi="宋体" w:cs="宋体"/>
                <w:b/>
                <w:spacing w:val="-6"/>
                <w:szCs w:val="21"/>
              </w:rPr>
              <w:t>若参数中质保期大于“</w:t>
            </w:r>
            <w:r>
              <w:rPr>
                <w:rFonts w:hint="eastAsia" w:ascii="宋体" w:hAnsi="宋体" w:cs="宋体"/>
                <w:b/>
                <w:szCs w:val="21"/>
              </w:rPr>
              <w:t>商务要求</w:t>
            </w:r>
            <w:r>
              <w:rPr>
                <w:rFonts w:hint="eastAsia" w:ascii="宋体" w:hAnsi="宋体" w:cs="宋体"/>
                <w:b/>
                <w:spacing w:val="-6"/>
                <w:szCs w:val="21"/>
              </w:rPr>
              <w:t>”中规定的质保期要求的，以参数中明确的为准</w:t>
            </w:r>
            <w:r>
              <w:rPr>
                <w:rFonts w:hint="eastAsia" w:ascii="宋体" w:hAnsi="宋体" w:cs="宋体"/>
                <w:spacing w:val="-6"/>
                <w:szCs w:val="21"/>
              </w:rPr>
              <w:t>）在质保期内如发现质量问题，实行包修、包换、包退，直至产品符合质量要求。投标人应保证货物为全新、未使用过的原装正品，保证所提供的货物的外观和内在质量都无任何问题。如质量出现问题，中标人负责“三包”，费用由中标人负责。</w:t>
            </w:r>
          </w:p>
          <w:p w14:paraId="61F8A26B">
            <w:pPr>
              <w:spacing w:line="360" w:lineRule="auto"/>
              <w:ind w:firstLine="396" w:firstLineChars="200"/>
              <w:rPr>
                <w:rFonts w:hint="eastAsia" w:ascii="宋体" w:hAnsi="宋体" w:cs="宋体"/>
                <w:spacing w:val="-6"/>
                <w:szCs w:val="21"/>
              </w:rPr>
            </w:pPr>
            <w:r>
              <w:rPr>
                <w:rFonts w:hint="eastAsia" w:ascii="宋体" w:hAnsi="宋体" w:cs="宋体"/>
                <w:spacing w:val="-6"/>
                <w:szCs w:val="21"/>
              </w:rPr>
              <w:t>6.中标人在产品保质期内，售后服务商应每半年不少于1次的主动回访，以便及时了解采购人的意见，迅速改变服务的不足之处。每年不少于1次实地巡检，及时掌握货物使用情况，以及货物的故障、缺陷情况，及时给予维修保养，并建立预警系统，保证售后服务及时性。</w:t>
            </w:r>
          </w:p>
          <w:p w14:paraId="6C0183B2">
            <w:pPr>
              <w:spacing w:line="360" w:lineRule="auto"/>
              <w:ind w:firstLine="396" w:firstLineChars="200"/>
              <w:rPr>
                <w:rFonts w:hint="eastAsia" w:ascii="宋体" w:hAnsi="宋体" w:cs="宋体"/>
                <w:spacing w:val="-6"/>
                <w:szCs w:val="21"/>
              </w:rPr>
            </w:pPr>
            <w:r>
              <w:rPr>
                <w:rFonts w:hint="eastAsia" w:ascii="宋体" w:hAnsi="宋体" w:cs="宋体"/>
                <w:spacing w:val="-6"/>
                <w:szCs w:val="21"/>
              </w:rPr>
              <w:t>7.维修响应：中标人保证所供产品在质保期内因设备本身缺陷造成各种故障应由中标人免费提供技术服务和维修，若出现产品质量问题应能够在72小时内派维修人员到达现场完成维修，对于维修期间超过10天的产品应提供备用产品供采购人使用。若中标人未能按时响应并完成维修的，采购人有权自行委托第三方维修或更换，采购人由此产生的费用由中标人全额承担，采购人并有权直接在未付中标人的款项中予以扣除。质保期满后，应提供售后维修支持。</w:t>
            </w:r>
          </w:p>
          <w:p w14:paraId="08136DCF">
            <w:pPr>
              <w:spacing w:line="360" w:lineRule="auto"/>
              <w:ind w:firstLine="396" w:firstLineChars="200"/>
              <w:rPr>
                <w:rFonts w:hint="eastAsia" w:ascii="宋体" w:hAnsi="宋体" w:cs="宋体"/>
                <w:spacing w:val="-6"/>
                <w:szCs w:val="21"/>
              </w:rPr>
            </w:pPr>
            <w:r>
              <w:rPr>
                <w:rFonts w:ascii="宋体" w:hAnsi="宋体" w:cs="宋体"/>
                <w:spacing w:val="-6"/>
                <w:szCs w:val="21"/>
              </w:rPr>
              <w:t>8.投标人须在投标文件中对报修、维修响应和项目组成员做出承诺，保修、维修响应和项目组成员未按投标承诺履约的，每次按5000元或合同总价的2%向采购人支付违约金，两者金额相冲突的，以金额高的为准。</w:t>
            </w:r>
          </w:p>
          <w:p w14:paraId="5E4CD188">
            <w:pPr>
              <w:spacing w:line="360" w:lineRule="auto"/>
              <w:ind w:firstLine="396" w:firstLineChars="200"/>
              <w:rPr>
                <w:rFonts w:hint="eastAsia" w:ascii="宋体" w:hAnsi="宋体" w:cs="宋体"/>
                <w:spacing w:val="-6"/>
                <w:szCs w:val="21"/>
              </w:rPr>
            </w:pPr>
            <w:r>
              <w:rPr>
                <w:rFonts w:ascii="宋体" w:hAnsi="宋体" w:cs="宋体"/>
                <w:spacing w:val="-6"/>
                <w:szCs w:val="21"/>
              </w:rPr>
              <w:t>9.所提供的器材装备（包括核心</w:t>
            </w:r>
            <w:r>
              <w:rPr>
                <w:rFonts w:ascii="宋体" w:hAnsi="宋体" w:cs="宋体"/>
                <w:color w:val="auto"/>
                <w:spacing w:val="-6"/>
                <w:szCs w:val="21"/>
              </w:rPr>
              <w:t>部件）生产日期不得早于合同签订日期6个月以上。</w:t>
            </w:r>
          </w:p>
          <w:p w14:paraId="573D8CFF">
            <w:pPr>
              <w:pStyle w:val="34"/>
              <w:spacing w:after="0" w:line="360" w:lineRule="auto"/>
              <w:ind w:left="0" w:leftChars="0" w:firstLine="396" w:firstLineChars="200"/>
              <w:rPr>
                <w:rFonts w:hint="eastAsia" w:ascii="宋体" w:hAnsi="宋体" w:cs="宋体"/>
                <w:spacing w:val="-6"/>
                <w:szCs w:val="21"/>
              </w:rPr>
            </w:pPr>
            <w:r>
              <w:rPr>
                <w:rFonts w:hint="eastAsia" w:ascii="宋体" w:hAnsi="宋体" w:cs="宋体"/>
                <w:spacing w:val="-6"/>
                <w:szCs w:val="21"/>
              </w:rPr>
              <w:t>10.在质保期内，供应商负责为设备提供免费维修、保养。（此处所称维修保养，仅指供应商所供货物正常使用的保养或因本身质量缺陷造成维修，如因车辆交通事故或不可抗力造成的维修不在本条所列）</w:t>
            </w:r>
          </w:p>
          <w:p w14:paraId="3D22AADD">
            <w:pPr>
              <w:spacing w:line="360" w:lineRule="auto"/>
              <w:ind w:firstLine="420" w:firstLineChars="200"/>
              <w:rPr>
                <w:rFonts w:hint="eastAsia" w:ascii="宋体" w:hAnsi="宋体" w:cs="宋体"/>
              </w:rPr>
            </w:pPr>
            <w:r>
              <w:rPr>
                <w:rFonts w:hint="eastAsia" w:ascii="宋体" w:hAnsi="宋体" w:cs="宋体"/>
              </w:rPr>
              <w:t>11.质保期外定期进行免费维护保养，服务商应提供制造商的服务技术规范，采购人可获得有关维修等级、所需时间、工时计算项目、配件价格的信息。如设备损坏需要更换配件，只收取配件成本费用，免工程师维修费和差旅等人工费。</w:t>
            </w:r>
          </w:p>
          <w:p w14:paraId="5285BCF6">
            <w:pPr>
              <w:spacing w:line="360" w:lineRule="auto"/>
              <w:ind w:firstLine="420" w:firstLineChars="200"/>
              <w:rPr>
                <w:rFonts w:hint="eastAsia" w:ascii="宋体" w:hAnsi="宋体" w:cs="宋体"/>
              </w:rPr>
            </w:pPr>
            <w:r>
              <w:rPr>
                <w:rFonts w:hint="eastAsia" w:ascii="宋体" w:hAnsi="宋体" w:cs="宋体"/>
              </w:rPr>
              <w:t>12.供应商应提供24小时的电话服务，支持工程师提供专业技术服务。公开售后服务商的联系方式、公司名称、公司地址、邮政编码、公司主页、电子邮件、联系电话及传真，不断完善服务管理和拓展新的服务模式，接受采购人的监督和批评。</w:t>
            </w:r>
          </w:p>
          <w:p w14:paraId="575AE3A3">
            <w:pPr>
              <w:spacing w:line="360" w:lineRule="auto"/>
              <w:ind w:firstLine="420" w:firstLineChars="200"/>
              <w:rPr>
                <w:rFonts w:hint="eastAsia" w:ascii="宋体" w:hAnsi="宋体" w:cs="宋体"/>
              </w:rPr>
            </w:pPr>
            <w:r>
              <w:rPr>
                <w:rFonts w:hint="eastAsia" w:ascii="宋体" w:hAnsi="宋体" w:cs="宋体"/>
              </w:rPr>
              <w:t>13.售后服务商应认真、完整、真实地填写保养、保修、维修记录，并经采购人盖章确认。采购人有权查阅保养、保修、维修记录。</w:t>
            </w:r>
          </w:p>
          <w:p w14:paraId="07A9A70F">
            <w:pPr>
              <w:pStyle w:val="34"/>
              <w:spacing w:after="0" w:line="360" w:lineRule="auto"/>
              <w:ind w:left="0" w:leftChars="0" w:firstLine="396" w:firstLineChars="200"/>
              <w:rPr>
                <w:rFonts w:hint="eastAsia" w:ascii="宋体" w:hAnsi="宋体" w:cs="宋体"/>
                <w:szCs w:val="21"/>
              </w:rPr>
            </w:pPr>
            <w:r>
              <w:rPr>
                <w:rFonts w:ascii="宋体" w:hAnsi="宋体" w:cs="宋体"/>
                <w:spacing w:val="-6"/>
                <w:szCs w:val="21"/>
              </w:rPr>
              <w:t>1</w:t>
            </w:r>
            <w:r>
              <w:rPr>
                <w:rFonts w:hint="eastAsia" w:ascii="宋体" w:hAnsi="宋体" w:cs="宋体"/>
                <w:spacing w:val="-6"/>
                <w:szCs w:val="21"/>
              </w:rPr>
              <w:t>4</w:t>
            </w:r>
            <w:r>
              <w:rPr>
                <w:rFonts w:ascii="宋体" w:hAnsi="宋体" w:cs="宋体"/>
                <w:spacing w:val="-6"/>
                <w:szCs w:val="21"/>
              </w:rPr>
              <w:t>.</w:t>
            </w:r>
            <w:r>
              <w:rPr>
                <w:rFonts w:hint="eastAsia" w:ascii="宋体" w:hAnsi="宋体" w:cs="宋体"/>
                <w:szCs w:val="21"/>
              </w:rPr>
              <w:t>投标人应在投标文件中提供针对本项目的售后服务方案，服务方案内容至少包括服务承诺、服务体系、售后机构、响应时间等。</w:t>
            </w:r>
          </w:p>
        </w:tc>
      </w:tr>
      <w:tr w14:paraId="515A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0935A755">
            <w:pPr>
              <w:spacing w:line="360" w:lineRule="auto"/>
              <w:jc w:val="center"/>
              <w:rPr>
                <w:rFonts w:hint="eastAsia" w:ascii="宋体" w:hAnsi="宋体" w:cs="宋体"/>
                <w:szCs w:val="21"/>
              </w:rPr>
            </w:pPr>
            <w:r>
              <w:rPr>
                <w:rFonts w:hint="eastAsia" w:ascii="宋体" w:hAnsi="宋体" w:cs="宋体"/>
                <w:szCs w:val="21"/>
              </w:rPr>
              <w:t>培训要求</w:t>
            </w:r>
          </w:p>
        </w:tc>
        <w:tc>
          <w:tcPr>
            <w:tcW w:w="8069" w:type="dxa"/>
            <w:vAlign w:val="center"/>
          </w:tcPr>
          <w:p w14:paraId="17CF2EA8">
            <w:pPr>
              <w:spacing w:line="360" w:lineRule="auto"/>
              <w:ind w:firstLine="420" w:firstLineChars="200"/>
              <w:rPr>
                <w:rFonts w:hint="eastAsia" w:ascii="宋体" w:hAnsi="宋体" w:cs="宋体"/>
                <w:szCs w:val="21"/>
              </w:rPr>
            </w:pPr>
            <w:r>
              <w:rPr>
                <w:rFonts w:hint="eastAsia" w:ascii="宋体" w:hAnsi="宋体" w:cs="宋体"/>
                <w:szCs w:val="21"/>
              </w:rPr>
              <w:t>1.验收之前，如有必要，供应商应在供货后一个月内安排不少于两天时间为采购人提供使用培训和日常维管培训。</w:t>
            </w:r>
          </w:p>
          <w:p w14:paraId="1054796E">
            <w:pPr>
              <w:spacing w:line="360" w:lineRule="auto"/>
              <w:ind w:firstLine="420" w:firstLineChars="200"/>
              <w:rPr>
                <w:rFonts w:hint="eastAsia" w:ascii="宋体" w:hAnsi="宋体" w:cs="宋体"/>
                <w:szCs w:val="21"/>
              </w:rPr>
            </w:pPr>
            <w:r>
              <w:rPr>
                <w:rFonts w:hint="eastAsia" w:ascii="宋体" w:hAnsi="宋体" w:cs="宋体"/>
                <w:szCs w:val="21"/>
              </w:rPr>
              <w:t>2.设备软件如有升级，供应商应安排免费专项培训保证采购人能继续正常使用。</w:t>
            </w:r>
          </w:p>
          <w:p w14:paraId="7DFE755A">
            <w:pPr>
              <w:spacing w:line="360" w:lineRule="auto"/>
              <w:ind w:firstLine="420" w:firstLineChars="200"/>
              <w:rPr>
                <w:rFonts w:hint="eastAsia" w:ascii="宋体" w:hAnsi="宋体" w:cs="宋体"/>
                <w:szCs w:val="21"/>
              </w:rPr>
            </w:pPr>
            <w:r>
              <w:rPr>
                <w:rFonts w:hint="eastAsia" w:ascii="宋体" w:hAnsi="宋体" w:cs="宋体"/>
                <w:szCs w:val="21"/>
              </w:rPr>
              <w:t>3．供应商每年开展的例行性免费培训不得少于1次，培训地点、形式由采购人确定，并做到在整个货物使用寿命期间的技术咨询。</w:t>
            </w:r>
          </w:p>
          <w:p w14:paraId="241FA9B9">
            <w:pPr>
              <w:spacing w:line="360" w:lineRule="auto"/>
              <w:ind w:firstLine="420" w:firstLineChars="200"/>
              <w:rPr>
                <w:rFonts w:hint="eastAsia" w:ascii="宋体" w:hAnsi="宋体" w:cs="宋体"/>
                <w:szCs w:val="21"/>
              </w:rPr>
            </w:pPr>
            <w:r>
              <w:rPr>
                <w:rFonts w:hint="eastAsia" w:ascii="宋体" w:hAnsi="宋体" w:cs="宋体"/>
                <w:szCs w:val="21"/>
              </w:rPr>
              <w:t>4.投标人须对培训或售后服务做出承诺，承诺内容包括但不仅限于以下方面：负责提供采购人操作人员的使用培训，提供技术咨询，并在供货后一个月内组织人员对产品的使用、维护等方面进行现场指导，所产生的一切费用由投标人支付。若中标人违约，每次按5000元或合同总价的2%向采购人支付违约金，两者金额相冲突的，以金额高的为准。</w:t>
            </w:r>
          </w:p>
          <w:p w14:paraId="42B726B7">
            <w:pPr>
              <w:spacing w:line="360" w:lineRule="auto"/>
              <w:ind w:firstLine="420" w:firstLineChars="200"/>
              <w:rPr>
                <w:rFonts w:hint="eastAsia" w:ascii="宋体" w:hAnsi="宋体" w:cs="宋体"/>
                <w:szCs w:val="21"/>
              </w:rPr>
            </w:pPr>
            <w:r>
              <w:rPr>
                <w:rFonts w:hint="eastAsia" w:ascii="宋体" w:hAnsi="宋体" w:cs="宋体"/>
                <w:szCs w:val="21"/>
              </w:rPr>
              <w:t>5.投标人应在投标文件中提供针对本项目的培训方案。</w:t>
            </w:r>
          </w:p>
        </w:tc>
      </w:tr>
      <w:tr w14:paraId="08D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3B7A6ACF">
            <w:pPr>
              <w:spacing w:line="360" w:lineRule="auto"/>
              <w:jc w:val="center"/>
              <w:rPr>
                <w:rFonts w:hint="eastAsia" w:ascii="宋体" w:hAnsi="宋体" w:cs="宋体"/>
                <w:szCs w:val="21"/>
              </w:rPr>
            </w:pPr>
            <w:r>
              <w:rPr>
                <w:rFonts w:hint="eastAsia" w:ascii="宋体" w:hAnsi="宋体" w:cs="宋体"/>
                <w:szCs w:val="21"/>
              </w:rPr>
              <w:t>交货时间</w:t>
            </w:r>
          </w:p>
          <w:p w14:paraId="4E240E0A">
            <w:pPr>
              <w:spacing w:line="360" w:lineRule="auto"/>
              <w:jc w:val="center"/>
              <w:rPr>
                <w:rFonts w:hint="eastAsia" w:ascii="宋体" w:hAnsi="宋体" w:cs="宋体"/>
                <w:szCs w:val="21"/>
              </w:rPr>
            </w:pPr>
            <w:r>
              <w:rPr>
                <w:rFonts w:hint="eastAsia" w:ascii="宋体" w:hAnsi="宋体" w:cs="宋体"/>
                <w:szCs w:val="21"/>
              </w:rPr>
              <w:t>及地点</w:t>
            </w:r>
          </w:p>
        </w:tc>
        <w:tc>
          <w:tcPr>
            <w:tcW w:w="8069" w:type="dxa"/>
          </w:tcPr>
          <w:p w14:paraId="1207F2CA">
            <w:pPr>
              <w:spacing w:line="360" w:lineRule="auto"/>
              <w:ind w:firstLine="422" w:firstLineChars="200"/>
              <w:rPr>
                <w:rFonts w:hint="eastAsia" w:ascii="宋体" w:hAnsi="宋体" w:cs="宋体"/>
                <w:b/>
                <w:szCs w:val="21"/>
              </w:rPr>
            </w:pPr>
            <w:r>
              <w:rPr>
                <w:rFonts w:hint="eastAsia" w:ascii="宋体" w:hAnsi="宋体" w:cs="宋体"/>
                <w:b/>
                <w:bCs/>
                <w:szCs w:val="21"/>
              </w:rPr>
              <w:t>▲</w:t>
            </w:r>
            <w:r>
              <w:rPr>
                <w:rFonts w:hint="eastAsia" w:ascii="宋体" w:hAnsi="宋体" w:cs="宋体"/>
                <w:b/>
                <w:szCs w:val="21"/>
              </w:rPr>
              <w:t>交货时间</w:t>
            </w:r>
            <w:r>
              <w:rPr>
                <w:rFonts w:hint="eastAsia" w:ascii="宋体" w:hAnsi="宋体" w:cs="宋体"/>
                <w:b/>
                <w:color w:val="auto"/>
                <w:szCs w:val="21"/>
              </w:rPr>
              <w:t>：合同签订生效之日起60天内完成供货。</w:t>
            </w:r>
          </w:p>
          <w:p w14:paraId="3AD7AFFB">
            <w:pPr>
              <w:spacing w:line="360" w:lineRule="auto"/>
              <w:ind w:firstLine="420" w:firstLineChars="200"/>
              <w:rPr>
                <w:rFonts w:hint="eastAsia" w:ascii="宋体" w:hAnsi="宋体" w:cs="宋体"/>
                <w:szCs w:val="21"/>
              </w:rPr>
            </w:pPr>
            <w:r>
              <w:rPr>
                <w:rFonts w:hint="eastAsia" w:ascii="宋体" w:hAnsi="宋体" w:cs="宋体"/>
                <w:szCs w:val="21"/>
              </w:rPr>
              <w:t xml:space="preserve">地点：采购人指定地点（以合同为准）。 </w:t>
            </w:r>
          </w:p>
        </w:tc>
      </w:tr>
      <w:tr w14:paraId="3038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77645B19">
            <w:pPr>
              <w:spacing w:line="360" w:lineRule="auto"/>
              <w:jc w:val="center"/>
              <w:rPr>
                <w:rFonts w:hint="eastAsia" w:ascii="宋体" w:hAnsi="宋体" w:cs="宋体"/>
                <w:bCs/>
                <w:snapToGrid w:val="0"/>
                <w:kern w:val="0"/>
                <w:szCs w:val="21"/>
              </w:rPr>
            </w:pPr>
            <w:r>
              <w:rPr>
                <w:rFonts w:hint="eastAsia" w:ascii="宋体" w:hAnsi="宋体" w:cs="宋体"/>
                <w:bCs/>
                <w:szCs w:val="21"/>
              </w:rPr>
              <w:t>履约保证金</w:t>
            </w:r>
          </w:p>
        </w:tc>
        <w:tc>
          <w:tcPr>
            <w:tcW w:w="8069" w:type="dxa"/>
            <w:vAlign w:val="center"/>
          </w:tcPr>
          <w:p w14:paraId="57CEF668">
            <w:pPr>
              <w:spacing w:line="360" w:lineRule="auto"/>
              <w:ind w:firstLine="396" w:firstLineChars="200"/>
              <w:rPr>
                <w:rFonts w:hint="eastAsia" w:ascii="宋体" w:hAnsi="宋体" w:cs="宋体"/>
                <w:bCs/>
                <w:snapToGrid w:val="0"/>
                <w:kern w:val="0"/>
                <w:szCs w:val="21"/>
              </w:rPr>
            </w:pPr>
            <w:r>
              <w:rPr>
                <w:rFonts w:hint="eastAsia" w:ascii="宋体" w:hAnsi="宋体" w:cs="宋体"/>
                <w:bCs/>
                <w:spacing w:val="-6"/>
                <w:szCs w:val="21"/>
              </w:rPr>
              <w:t>无要求</w:t>
            </w:r>
          </w:p>
        </w:tc>
      </w:tr>
      <w:tr w14:paraId="5F44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7A02E2E3">
            <w:pPr>
              <w:spacing w:line="360" w:lineRule="auto"/>
              <w:jc w:val="center"/>
              <w:rPr>
                <w:rFonts w:hint="eastAsia" w:ascii="宋体" w:hAnsi="宋体" w:cs="宋体"/>
                <w:b/>
                <w:szCs w:val="21"/>
              </w:rPr>
            </w:pPr>
            <w:r>
              <w:rPr>
                <w:rFonts w:hint="eastAsia" w:ascii="宋体" w:hAnsi="宋体" w:cs="宋体"/>
                <w:b/>
                <w:bCs/>
                <w:szCs w:val="21"/>
              </w:rPr>
              <w:t>▲</w:t>
            </w:r>
            <w:r>
              <w:rPr>
                <w:rFonts w:hint="eastAsia" w:ascii="宋体" w:hAnsi="宋体" w:cs="宋体"/>
                <w:b/>
                <w:szCs w:val="21"/>
              </w:rPr>
              <w:t>付款条件</w:t>
            </w:r>
          </w:p>
        </w:tc>
        <w:tc>
          <w:tcPr>
            <w:tcW w:w="8069" w:type="dxa"/>
          </w:tcPr>
          <w:p w14:paraId="7F42EEA3">
            <w:pPr>
              <w:spacing w:line="360" w:lineRule="auto"/>
              <w:ind w:firstLine="398" w:firstLineChars="200"/>
              <w:rPr>
                <w:rFonts w:hint="eastAsia" w:ascii="宋体" w:hAnsi="宋体" w:cs="宋体"/>
                <w:b/>
                <w:szCs w:val="21"/>
              </w:rPr>
            </w:pPr>
            <w:r>
              <w:rPr>
                <w:rFonts w:hint="eastAsia" w:ascii="宋体" w:hAnsi="宋体" w:cs="宋体"/>
                <w:b/>
                <w:spacing w:val="-6"/>
                <w:szCs w:val="21"/>
              </w:rPr>
              <w:t>本合同签订且在收到乙方根据甲方要求为甲方或甲方相关预算单位开具的等额有效发票后</w:t>
            </w:r>
            <w:bookmarkStart w:id="17" w:name="_Hlk188349196"/>
            <w:r>
              <w:rPr>
                <w:rFonts w:hint="eastAsia" w:ascii="宋体" w:hAnsi="宋体" w:cs="宋体"/>
                <w:b/>
                <w:spacing w:val="-6"/>
                <w:szCs w:val="21"/>
              </w:rPr>
              <w:t>25个工作日内</w:t>
            </w:r>
            <w:bookmarkEnd w:id="17"/>
            <w:r>
              <w:rPr>
                <w:rFonts w:hint="eastAsia" w:ascii="宋体" w:hAnsi="宋体" w:cs="宋体"/>
                <w:b/>
                <w:spacing w:val="-6"/>
                <w:szCs w:val="21"/>
              </w:rPr>
              <w:t>，甲方或甲方相关预算单位向乙方预付合同总金额的40%作为预付款；全部货物交货、经采购人验收合格并经采购人委托的第三方审价机构审计完成,凭《装备验收单》和审计意见支付剩余合同金额。采购人凭中标人提供的等额有效发票进行付款。</w:t>
            </w:r>
          </w:p>
        </w:tc>
      </w:tr>
      <w:tr w14:paraId="6AFF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6C3EB0E4">
            <w:pPr>
              <w:spacing w:line="360" w:lineRule="auto"/>
              <w:jc w:val="center"/>
              <w:rPr>
                <w:rFonts w:hint="eastAsia" w:ascii="宋体" w:hAnsi="宋体" w:cs="宋体"/>
                <w:szCs w:val="21"/>
              </w:rPr>
            </w:pPr>
            <w:r>
              <w:rPr>
                <w:rFonts w:hint="eastAsia" w:ascii="宋体" w:hAnsi="宋体" w:cs="宋体"/>
                <w:szCs w:val="21"/>
              </w:rPr>
              <w:t>验收方案</w:t>
            </w:r>
          </w:p>
          <w:p w14:paraId="67893909">
            <w:pPr>
              <w:spacing w:line="360" w:lineRule="auto"/>
              <w:jc w:val="center"/>
              <w:rPr>
                <w:rFonts w:hint="eastAsia" w:ascii="宋体" w:hAnsi="宋体" w:cs="宋体"/>
                <w:szCs w:val="21"/>
              </w:rPr>
            </w:pPr>
            <w:r>
              <w:rPr>
                <w:rFonts w:hint="eastAsia" w:ascii="宋体" w:hAnsi="宋体" w:cs="宋体"/>
                <w:szCs w:val="21"/>
              </w:rPr>
              <w:t>及要求</w:t>
            </w:r>
          </w:p>
        </w:tc>
        <w:tc>
          <w:tcPr>
            <w:tcW w:w="8069" w:type="dxa"/>
            <w:vAlign w:val="center"/>
          </w:tcPr>
          <w:p w14:paraId="7571C538">
            <w:pPr>
              <w:spacing w:line="360" w:lineRule="auto"/>
              <w:ind w:firstLine="420" w:firstLineChars="200"/>
              <w:rPr>
                <w:rFonts w:hint="eastAsia" w:ascii="宋体" w:hAnsi="宋体" w:cs="宋体"/>
                <w:szCs w:val="21"/>
              </w:rPr>
            </w:pPr>
            <w:r>
              <w:rPr>
                <w:rFonts w:hint="eastAsia" w:ascii="宋体" w:hAnsi="宋体" w:cs="宋体"/>
                <w:szCs w:val="21"/>
              </w:rPr>
              <w:t>本项目将严格按照政府采购相关法律法规、行业管理规定的要求进行验收，投标人应在投标文件中提供针对本项目的验收方案。对产品技术性能指标验收不合格的（包含所供货物与合同约定不一致的），采购人应督促中标人限期整改，整改期限原则上不超过30天，整改完成后进行复验，复验不合格的，采购人有权终止合同并</w:t>
            </w:r>
            <w:bookmarkStart w:id="18" w:name="_Hlk188348942"/>
            <w:r>
              <w:rPr>
                <w:rFonts w:hint="eastAsia" w:ascii="宋体" w:hAnsi="宋体" w:cs="宋体"/>
                <w:szCs w:val="21"/>
              </w:rPr>
              <w:t>要求投标人赔偿损失</w:t>
            </w:r>
            <w:bookmarkEnd w:id="18"/>
            <w:r>
              <w:rPr>
                <w:rFonts w:hint="eastAsia" w:ascii="宋体" w:hAnsi="宋体" w:cs="宋体"/>
                <w:szCs w:val="21"/>
              </w:rPr>
              <w:t>。</w:t>
            </w:r>
          </w:p>
        </w:tc>
      </w:tr>
      <w:tr w14:paraId="5366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078F789F">
            <w:pPr>
              <w:spacing w:line="360" w:lineRule="auto"/>
              <w:jc w:val="center"/>
              <w:rPr>
                <w:rFonts w:hint="eastAsia" w:ascii="宋体" w:hAnsi="宋体" w:cs="宋体"/>
                <w:b/>
                <w:szCs w:val="21"/>
              </w:rPr>
            </w:pPr>
            <w:r>
              <w:rPr>
                <w:rFonts w:hint="eastAsia" w:ascii="宋体" w:hAnsi="宋体" w:cs="宋体"/>
                <w:b/>
                <w:bCs/>
                <w:szCs w:val="21"/>
              </w:rPr>
              <w:t>▲</w:t>
            </w:r>
            <w:r>
              <w:rPr>
                <w:rFonts w:hint="eastAsia" w:ascii="宋体" w:hAnsi="宋体" w:cs="宋体"/>
                <w:b/>
                <w:szCs w:val="21"/>
              </w:rPr>
              <w:t>制作RFID数字管理标签</w:t>
            </w:r>
          </w:p>
        </w:tc>
        <w:tc>
          <w:tcPr>
            <w:tcW w:w="8069" w:type="dxa"/>
            <w:vAlign w:val="center"/>
          </w:tcPr>
          <w:p w14:paraId="0CB59342">
            <w:pPr>
              <w:spacing w:line="360" w:lineRule="auto"/>
              <w:ind w:firstLine="422" w:firstLineChars="200"/>
              <w:rPr>
                <w:rFonts w:hint="eastAsia" w:ascii="宋体" w:hAnsi="宋体" w:cs="宋体"/>
                <w:b/>
                <w:szCs w:val="21"/>
              </w:rPr>
            </w:pPr>
            <w:r>
              <w:rPr>
                <w:rFonts w:hint="eastAsia" w:ascii="宋体" w:hAnsi="宋体" w:cs="宋体"/>
                <w:b/>
                <w:szCs w:val="21"/>
              </w:rPr>
              <w:t>交货前，所有器材供货厂家须在应急管理部消防救援局消防装备物资信息采集系统（http://xfzb.119.gov.cn）录入符合本次招标采购要求的装备信息（包括车辆以及随车器材），根据本次招标要求的装备信息申请编码，并按照国家消防救援局和浙江省消防救援总队要求，制作RFID数字管理标签。中标人提供产品（包括车辆以及随车器材）要正确安装RFID标签并预先填写系统分配的RFID编码。由此所产生的费用必须包含在投标报价内。</w:t>
            </w:r>
            <w:r>
              <w:rPr>
                <w:rFonts w:ascii="宋体" w:hAnsi="宋体" w:cs="宋体"/>
                <w:b/>
                <w:szCs w:val="21"/>
              </w:rPr>
              <w:t>RFID标签的安装方案请联系浙江省消防救援装备物资综合保障平台客服人员，无法申请部局编码的产品也需要申请浙江消防救援装备物资综合保障平台编码。客服电话：13361648122，13022636979</w:t>
            </w:r>
            <w:r>
              <w:rPr>
                <w:rFonts w:hint="eastAsia" w:ascii="宋体" w:hAnsi="宋体" w:cs="宋体"/>
                <w:b/>
                <w:szCs w:val="21"/>
              </w:rPr>
              <w:t>。</w:t>
            </w:r>
          </w:p>
        </w:tc>
      </w:tr>
      <w:tr w14:paraId="2DF4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9" w:type="dxa"/>
            <w:vAlign w:val="center"/>
          </w:tcPr>
          <w:p w14:paraId="0FB267F7">
            <w:pPr>
              <w:spacing w:line="360" w:lineRule="auto"/>
              <w:jc w:val="center"/>
              <w:rPr>
                <w:rFonts w:hint="eastAsia" w:ascii="宋体" w:hAnsi="宋体" w:cs="宋体"/>
                <w:b/>
                <w:bCs/>
                <w:szCs w:val="21"/>
              </w:rPr>
            </w:pPr>
            <w:r>
              <w:rPr>
                <w:rFonts w:hint="eastAsia" w:ascii="宋体" w:hAnsi="宋体" w:cs="宋体"/>
                <w:b/>
                <w:bCs/>
                <w:szCs w:val="21"/>
              </w:rPr>
              <w:t>其他要求</w:t>
            </w:r>
          </w:p>
        </w:tc>
        <w:tc>
          <w:tcPr>
            <w:tcW w:w="8069" w:type="dxa"/>
            <w:vAlign w:val="center"/>
          </w:tcPr>
          <w:p w14:paraId="4A9494A5">
            <w:pPr>
              <w:spacing w:line="360" w:lineRule="auto"/>
              <w:ind w:firstLine="420" w:firstLineChars="200"/>
              <w:rPr>
                <w:rFonts w:hint="eastAsia" w:ascii="宋体" w:hAnsi="宋体" w:cs="宋体"/>
                <w:szCs w:val="21"/>
              </w:rPr>
            </w:pPr>
            <w:r>
              <w:rPr>
                <w:rFonts w:hint="eastAsia" w:ascii="宋体" w:hAnsi="宋体" w:cs="宋体"/>
                <w:szCs w:val="21"/>
              </w:rPr>
              <w:t>1.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w:t>
            </w:r>
          </w:p>
          <w:p w14:paraId="11DDC0AD">
            <w:pPr>
              <w:spacing w:line="360" w:lineRule="auto"/>
              <w:ind w:firstLine="420" w:firstLineChars="200"/>
              <w:rPr>
                <w:rFonts w:hint="eastAsia" w:ascii="宋体" w:hAnsi="宋体" w:cs="宋体"/>
                <w:szCs w:val="21"/>
              </w:rPr>
            </w:pPr>
            <w:r>
              <w:rPr>
                <w:rFonts w:hint="eastAsia" w:ascii="宋体" w:hAnsi="宋体" w:cs="宋体"/>
                <w:szCs w:val="21"/>
              </w:rPr>
              <w:t>2.所投产品须承诺不侵犯他人知识产权或专利，若侵犯他人知识产权或专利等所有法律问题，均由中标人负责。</w:t>
            </w:r>
          </w:p>
          <w:p w14:paraId="32AA9B9B">
            <w:pPr>
              <w:spacing w:line="360" w:lineRule="auto"/>
              <w:ind w:firstLine="422" w:firstLineChars="200"/>
              <w:rPr>
                <w:b/>
                <w:szCs w:val="21"/>
              </w:rPr>
            </w:pPr>
            <w:r>
              <w:rPr>
                <w:rFonts w:hint="eastAsia" w:ascii="宋体" w:hAnsi="宋体"/>
                <w:b/>
                <w:szCs w:val="21"/>
              </w:rPr>
              <w:t>3.▲对列入强制性认证产品目录中的产品须提供强制性认证证书（CCC证书）。</w:t>
            </w:r>
          </w:p>
        </w:tc>
      </w:tr>
    </w:tbl>
    <w:p w14:paraId="59A6153D">
      <w:pPr>
        <w:pStyle w:val="67"/>
        <w:rPr>
          <w:rFonts w:hint="eastAsia"/>
        </w:rPr>
      </w:pPr>
      <w:bookmarkStart w:id="19" w:name="_Toc26119"/>
      <w:bookmarkStart w:id="20" w:name="_Toc7704"/>
      <w:bookmarkStart w:id="21" w:name="_Toc26956"/>
      <w:r>
        <w:rPr>
          <w:rFonts w:hint="eastAsia"/>
        </w:rPr>
        <w:t>二、</w:t>
      </w:r>
      <w:bookmarkEnd w:id="19"/>
      <w:bookmarkEnd w:id="20"/>
      <w:bookmarkEnd w:id="21"/>
      <w:r>
        <w:rPr>
          <w:rFonts w:hint="eastAsia"/>
        </w:rPr>
        <w:t>采购清单及技术要求</w:t>
      </w:r>
    </w:p>
    <w:p w14:paraId="760DB8F8">
      <w:pPr>
        <w:widowControl/>
        <w:spacing w:line="360" w:lineRule="exact"/>
        <w:ind w:firstLine="482" w:firstLineChars="200"/>
        <w:jc w:val="left"/>
        <w:rPr>
          <w:color w:val="auto"/>
        </w:rPr>
      </w:pPr>
      <w:bookmarkStart w:id="22" w:name="_Hlk99005394"/>
      <w:r>
        <w:rPr>
          <w:rFonts w:hint="eastAsia" w:ascii="宋体" w:hAnsi="宋体" w:cs="宋体"/>
          <w:b/>
          <w:bCs/>
          <w:sz w:val="24"/>
        </w:rPr>
        <w:t>（一）采购清</w:t>
      </w:r>
      <w:r>
        <w:rPr>
          <w:rFonts w:hint="eastAsia" w:ascii="宋体" w:hAnsi="宋体" w:cs="宋体"/>
          <w:b/>
          <w:bCs/>
          <w:color w:val="auto"/>
          <w:sz w:val="24"/>
        </w:rPr>
        <w:t>单（标‘●’为核心产品）</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819"/>
        <w:gridCol w:w="655"/>
        <w:gridCol w:w="3855"/>
        <w:gridCol w:w="1871"/>
        <w:gridCol w:w="1200"/>
      </w:tblGrid>
      <w:tr w14:paraId="239F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9" w:hRule="atLeast"/>
          <w:jc w:val="center"/>
        </w:trPr>
        <w:tc>
          <w:tcPr>
            <w:tcW w:w="1819" w:type="dxa"/>
            <w:shd w:val="clear" w:color="auto" w:fill="FFFFFF"/>
            <w:noWrap/>
            <w:vAlign w:val="center"/>
          </w:tcPr>
          <w:p w14:paraId="531AAAAF">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标项号及名称</w:t>
            </w:r>
          </w:p>
        </w:tc>
        <w:tc>
          <w:tcPr>
            <w:tcW w:w="655" w:type="dxa"/>
            <w:shd w:val="clear" w:color="auto" w:fill="FFFFFF"/>
            <w:noWrap/>
            <w:vAlign w:val="center"/>
          </w:tcPr>
          <w:p w14:paraId="6F80685A">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序号</w:t>
            </w:r>
          </w:p>
        </w:tc>
        <w:tc>
          <w:tcPr>
            <w:tcW w:w="3855" w:type="dxa"/>
            <w:shd w:val="clear" w:color="auto" w:fill="FFFFFF"/>
            <w:vAlign w:val="center"/>
          </w:tcPr>
          <w:p w14:paraId="5EEB11A3">
            <w:pPr>
              <w:widowControl/>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内容</w:t>
            </w:r>
          </w:p>
        </w:tc>
        <w:tc>
          <w:tcPr>
            <w:tcW w:w="1871" w:type="dxa"/>
            <w:shd w:val="clear" w:color="auto" w:fill="FFFFFF"/>
            <w:vAlign w:val="center"/>
          </w:tcPr>
          <w:p w14:paraId="0C39F380">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数量</w:t>
            </w:r>
            <w:r>
              <w:rPr>
                <w:rFonts w:hint="eastAsia" w:cs="Times New Roman"/>
                <w:kern w:val="0"/>
                <w:szCs w:val="21"/>
                <w:lang w:eastAsia="zh-CN" w:bidi="ar"/>
              </w:rPr>
              <w:t>（</w:t>
            </w:r>
            <w:r>
              <w:rPr>
                <w:rFonts w:hint="eastAsia" w:ascii="Times New Roman" w:hAnsi="Times New Roman" w:cs="Times New Roman"/>
                <w:kern w:val="0"/>
                <w:szCs w:val="21"/>
                <w:lang w:bidi="ar"/>
              </w:rPr>
              <w:t>个、件、套</w:t>
            </w:r>
            <w:r>
              <w:rPr>
                <w:rFonts w:hint="eastAsia" w:cs="Times New Roman"/>
                <w:kern w:val="0"/>
                <w:szCs w:val="21"/>
                <w:lang w:eastAsia="zh-CN" w:bidi="ar"/>
              </w:rPr>
              <w:t>）</w:t>
            </w:r>
          </w:p>
        </w:tc>
        <w:tc>
          <w:tcPr>
            <w:tcW w:w="1200" w:type="dxa"/>
            <w:shd w:val="clear" w:color="auto" w:fill="FFFFFF"/>
            <w:vAlign w:val="center"/>
          </w:tcPr>
          <w:p w14:paraId="07871656">
            <w:pPr>
              <w:widowControl/>
              <w:jc w:val="center"/>
              <w:textAlignment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最高限价（万元）</w:t>
            </w:r>
          </w:p>
        </w:tc>
      </w:tr>
      <w:tr w14:paraId="165D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restart"/>
            <w:shd w:val="clear" w:color="auto" w:fill="FFFFFF"/>
            <w:noWrap/>
            <w:vAlign w:val="center"/>
          </w:tcPr>
          <w:p w14:paraId="1CF9EAF5">
            <w:pPr>
              <w:widowControl/>
              <w:jc w:val="center"/>
              <w:textAlignment w:val="center"/>
              <w:rPr>
                <w:rFonts w:hint="default" w:ascii="Times New Roman" w:hAnsi="Times New Roman" w:cs="Times New Roman"/>
                <w:szCs w:val="21"/>
                <w:highlight w:val="none"/>
              </w:rPr>
            </w:pPr>
            <w:r>
              <w:rPr>
                <w:rFonts w:hint="default" w:ascii="Times New Roman" w:hAnsi="Times New Roman" w:cs="Times New Roman"/>
                <w:szCs w:val="21"/>
                <w:highlight w:val="none"/>
              </w:rPr>
              <w:t>一、</w:t>
            </w:r>
            <w:r>
              <w:rPr>
                <w:rFonts w:hint="default" w:ascii="Times New Roman" w:hAnsi="Times New Roman" w:cs="Times New Roman"/>
                <w:kern w:val="0"/>
                <w:szCs w:val="21"/>
                <w:highlight w:val="none"/>
                <w:lang w:bidi="ar"/>
              </w:rPr>
              <w:t>破拆类二</w:t>
            </w:r>
          </w:p>
        </w:tc>
        <w:tc>
          <w:tcPr>
            <w:tcW w:w="655" w:type="dxa"/>
            <w:shd w:val="clear" w:color="auto" w:fill="FFFFFF"/>
            <w:noWrap/>
            <w:vAlign w:val="center"/>
          </w:tcPr>
          <w:p w14:paraId="07BFEEE7">
            <w:pPr>
              <w:widowControl/>
              <w:jc w:val="center"/>
              <w:textAlignment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1</w:t>
            </w:r>
          </w:p>
        </w:tc>
        <w:tc>
          <w:tcPr>
            <w:tcW w:w="3855" w:type="dxa"/>
            <w:shd w:val="clear" w:color="auto" w:fill="FFFFFF"/>
            <w:vAlign w:val="center"/>
          </w:tcPr>
          <w:p w14:paraId="318EAE78">
            <w:pPr>
              <w:keepNext w:val="0"/>
              <w:keepLines w:val="0"/>
              <w:widowControl/>
              <w:suppressLineNumbers w:val="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环锯</w:t>
            </w:r>
          </w:p>
        </w:tc>
        <w:tc>
          <w:tcPr>
            <w:tcW w:w="1871" w:type="dxa"/>
            <w:shd w:val="clear" w:color="auto" w:fill="FFFFFF"/>
            <w:vAlign w:val="center"/>
          </w:tcPr>
          <w:p w14:paraId="7D45B5AA">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00" w:type="dxa"/>
            <w:vMerge w:val="restart"/>
            <w:shd w:val="clear" w:color="auto" w:fill="FFFFFF"/>
            <w:vAlign w:val="center"/>
          </w:tcPr>
          <w:p w14:paraId="0A8A3A26">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130.187</w:t>
            </w:r>
          </w:p>
        </w:tc>
      </w:tr>
      <w:tr w14:paraId="5C0A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3732CD74">
            <w:pPr>
              <w:jc w:val="center"/>
              <w:textAlignment w:val="center"/>
              <w:rPr>
                <w:rFonts w:hint="default" w:ascii="Times New Roman" w:hAnsi="Times New Roman" w:cs="Times New Roman"/>
                <w:szCs w:val="21"/>
              </w:rPr>
            </w:pPr>
          </w:p>
        </w:tc>
        <w:tc>
          <w:tcPr>
            <w:tcW w:w="655" w:type="dxa"/>
            <w:shd w:val="clear" w:color="auto" w:fill="FFFFFF"/>
            <w:noWrap/>
            <w:vAlign w:val="center"/>
          </w:tcPr>
          <w:p w14:paraId="3E7B02DA">
            <w:pPr>
              <w:widowControl/>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p>
        </w:tc>
        <w:tc>
          <w:tcPr>
            <w:tcW w:w="3855" w:type="dxa"/>
            <w:shd w:val="clear" w:color="auto" w:fill="FFFFFF"/>
            <w:vAlign w:val="center"/>
          </w:tcPr>
          <w:p w14:paraId="3496937B">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机动链锯</w:t>
            </w:r>
          </w:p>
        </w:tc>
        <w:tc>
          <w:tcPr>
            <w:tcW w:w="1871" w:type="dxa"/>
            <w:shd w:val="clear" w:color="auto" w:fill="FFFFFF"/>
            <w:vAlign w:val="center"/>
          </w:tcPr>
          <w:p w14:paraId="598E2C2F">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00" w:type="dxa"/>
            <w:vMerge w:val="continue"/>
            <w:shd w:val="clear" w:color="auto" w:fill="FFFFFF"/>
            <w:vAlign w:val="center"/>
          </w:tcPr>
          <w:p w14:paraId="56258797">
            <w:pPr>
              <w:widowControl/>
              <w:jc w:val="center"/>
              <w:textAlignment w:val="center"/>
              <w:rPr>
                <w:rFonts w:hint="default" w:ascii="Times New Roman" w:hAnsi="Times New Roman" w:cs="Times New Roman"/>
                <w:szCs w:val="21"/>
              </w:rPr>
            </w:pPr>
          </w:p>
        </w:tc>
      </w:tr>
      <w:tr w14:paraId="196E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23038ECC">
            <w:pPr>
              <w:widowControl/>
              <w:jc w:val="center"/>
              <w:textAlignment w:val="center"/>
              <w:rPr>
                <w:rFonts w:hint="default" w:ascii="Times New Roman" w:hAnsi="Times New Roman" w:cs="Times New Roman"/>
                <w:szCs w:val="21"/>
                <w:highlight w:val="none"/>
              </w:rPr>
            </w:pPr>
          </w:p>
        </w:tc>
        <w:tc>
          <w:tcPr>
            <w:tcW w:w="655" w:type="dxa"/>
            <w:shd w:val="clear" w:color="auto" w:fill="FFFFFF"/>
            <w:noWrap/>
            <w:vAlign w:val="center"/>
          </w:tcPr>
          <w:p w14:paraId="5782F67B">
            <w:pPr>
              <w:widowControl/>
              <w:jc w:val="center"/>
              <w:textAlignment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3</w:t>
            </w:r>
          </w:p>
        </w:tc>
        <w:tc>
          <w:tcPr>
            <w:tcW w:w="3855" w:type="dxa"/>
            <w:shd w:val="clear" w:color="auto" w:fill="FFFFFF"/>
            <w:vAlign w:val="center"/>
          </w:tcPr>
          <w:p w14:paraId="6B6ABB12">
            <w:pPr>
              <w:keepNext w:val="0"/>
              <w:keepLines w:val="0"/>
              <w:widowControl/>
              <w:suppressLineNumbers w:val="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无齿锯</w:t>
            </w:r>
          </w:p>
        </w:tc>
        <w:tc>
          <w:tcPr>
            <w:tcW w:w="1871" w:type="dxa"/>
            <w:shd w:val="clear" w:color="auto" w:fill="FFFFFF"/>
            <w:vAlign w:val="center"/>
          </w:tcPr>
          <w:p w14:paraId="00DA7F40">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00" w:type="dxa"/>
            <w:vMerge w:val="continue"/>
            <w:shd w:val="clear" w:color="auto" w:fill="FFFFFF"/>
            <w:vAlign w:val="center"/>
          </w:tcPr>
          <w:p w14:paraId="4E2138B5">
            <w:pPr>
              <w:widowControl/>
              <w:jc w:val="center"/>
              <w:textAlignment w:val="center"/>
              <w:rPr>
                <w:rFonts w:hint="default" w:ascii="Times New Roman" w:hAnsi="Times New Roman" w:cs="Times New Roman"/>
                <w:szCs w:val="21"/>
              </w:rPr>
            </w:pPr>
          </w:p>
        </w:tc>
      </w:tr>
      <w:tr w14:paraId="3ACC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41264C86">
            <w:pPr>
              <w:jc w:val="center"/>
              <w:rPr>
                <w:rFonts w:hint="default" w:ascii="Times New Roman" w:hAnsi="Times New Roman" w:cs="Times New Roman"/>
                <w:szCs w:val="21"/>
                <w:highlight w:val="none"/>
              </w:rPr>
            </w:pPr>
          </w:p>
        </w:tc>
        <w:tc>
          <w:tcPr>
            <w:tcW w:w="655" w:type="dxa"/>
            <w:shd w:val="clear" w:color="auto" w:fill="FFFFFF"/>
            <w:noWrap/>
            <w:vAlign w:val="center"/>
          </w:tcPr>
          <w:p w14:paraId="69A8D1C3">
            <w:pPr>
              <w:widowControl/>
              <w:jc w:val="center"/>
              <w:textAlignment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4</w:t>
            </w:r>
          </w:p>
        </w:tc>
        <w:tc>
          <w:tcPr>
            <w:tcW w:w="3855" w:type="dxa"/>
            <w:shd w:val="clear" w:color="auto" w:fill="FFFFFF"/>
            <w:vAlign w:val="center"/>
          </w:tcPr>
          <w:p w14:paraId="2C8D7C76">
            <w:pPr>
              <w:keepNext w:val="0"/>
              <w:keepLines w:val="0"/>
              <w:widowControl/>
              <w:suppressLineNumbers w:val="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油锯</w:t>
            </w:r>
          </w:p>
        </w:tc>
        <w:tc>
          <w:tcPr>
            <w:tcW w:w="1871" w:type="dxa"/>
            <w:shd w:val="clear" w:color="auto" w:fill="FFFFFF"/>
            <w:vAlign w:val="center"/>
          </w:tcPr>
          <w:p w14:paraId="1ECB507B">
            <w:pPr>
              <w:keepNext w:val="0"/>
              <w:keepLines w:val="0"/>
              <w:widowControl/>
              <w:suppressLineNumbers w:val="0"/>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00" w:type="dxa"/>
            <w:vMerge w:val="continue"/>
            <w:shd w:val="clear" w:color="auto" w:fill="FFFFFF"/>
            <w:vAlign w:val="center"/>
          </w:tcPr>
          <w:p w14:paraId="55836EAC">
            <w:pPr>
              <w:widowControl/>
              <w:jc w:val="center"/>
              <w:textAlignment w:val="center"/>
              <w:rPr>
                <w:rFonts w:hint="default" w:ascii="Times New Roman" w:hAnsi="Times New Roman" w:cs="Times New Roman"/>
                <w:szCs w:val="21"/>
              </w:rPr>
            </w:pPr>
          </w:p>
        </w:tc>
      </w:tr>
      <w:tr w14:paraId="4B6E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30A610A4">
            <w:pPr>
              <w:jc w:val="center"/>
              <w:rPr>
                <w:rFonts w:hint="default" w:ascii="Times New Roman" w:hAnsi="Times New Roman" w:cs="Times New Roman"/>
                <w:szCs w:val="21"/>
              </w:rPr>
            </w:pPr>
          </w:p>
        </w:tc>
        <w:tc>
          <w:tcPr>
            <w:tcW w:w="655" w:type="dxa"/>
            <w:shd w:val="clear" w:color="auto" w:fill="FFFFFF"/>
            <w:noWrap/>
            <w:vAlign w:val="center"/>
          </w:tcPr>
          <w:p w14:paraId="0E598D27">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5</w:t>
            </w:r>
          </w:p>
        </w:tc>
        <w:tc>
          <w:tcPr>
            <w:tcW w:w="3855" w:type="dxa"/>
            <w:shd w:val="clear" w:color="auto" w:fill="FFFFFF"/>
            <w:vAlign w:val="center"/>
          </w:tcPr>
          <w:p w14:paraId="6831A954">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电动无齿锯</w:t>
            </w:r>
          </w:p>
        </w:tc>
        <w:tc>
          <w:tcPr>
            <w:tcW w:w="1871" w:type="dxa"/>
            <w:shd w:val="clear" w:color="auto" w:fill="FFFFFF"/>
            <w:vAlign w:val="center"/>
          </w:tcPr>
          <w:p w14:paraId="7BBE4679">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00" w:type="dxa"/>
            <w:vMerge w:val="continue"/>
            <w:shd w:val="clear" w:color="auto" w:fill="FFFFFF"/>
            <w:vAlign w:val="center"/>
          </w:tcPr>
          <w:p w14:paraId="33BE8D05">
            <w:pPr>
              <w:widowControl/>
              <w:jc w:val="center"/>
              <w:textAlignment w:val="center"/>
              <w:rPr>
                <w:rFonts w:hint="default" w:ascii="Times New Roman" w:hAnsi="Times New Roman" w:cs="Times New Roman"/>
                <w:szCs w:val="21"/>
              </w:rPr>
            </w:pPr>
          </w:p>
        </w:tc>
      </w:tr>
      <w:tr w14:paraId="576C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3044295F">
            <w:pPr>
              <w:jc w:val="center"/>
              <w:rPr>
                <w:rFonts w:hint="default" w:ascii="Times New Roman" w:hAnsi="Times New Roman" w:cs="Times New Roman"/>
                <w:szCs w:val="21"/>
              </w:rPr>
            </w:pPr>
          </w:p>
        </w:tc>
        <w:tc>
          <w:tcPr>
            <w:tcW w:w="655" w:type="dxa"/>
            <w:shd w:val="clear" w:color="auto" w:fill="FFFFFF"/>
            <w:noWrap/>
            <w:vAlign w:val="center"/>
          </w:tcPr>
          <w:p w14:paraId="68B41E32">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6</w:t>
            </w:r>
          </w:p>
        </w:tc>
        <w:tc>
          <w:tcPr>
            <w:tcW w:w="3855" w:type="dxa"/>
            <w:shd w:val="clear" w:color="auto" w:fill="FFFFFF"/>
            <w:vAlign w:val="center"/>
          </w:tcPr>
          <w:p w14:paraId="44852B97">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电动机动链锯</w:t>
            </w:r>
          </w:p>
        </w:tc>
        <w:tc>
          <w:tcPr>
            <w:tcW w:w="1871" w:type="dxa"/>
            <w:shd w:val="clear" w:color="auto" w:fill="FFFFFF"/>
            <w:vAlign w:val="center"/>
          </w:tcPr>
          <w:p w14:paraId="146B5B05">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00" w:type="dxa"/>
            <w:vMerge w:val="continue"/>
            <w:shd w:val="clear" w:color="auto" w:fill="FFFFFF"/>
            <w:vAlign w:val="center"/>
          </w:tcPr>
          <w:p w14:paraId="17F7E7DE">
            <w:pPr>
              <w:widowControl/>
              <w:jc w:val="center"/>
              <w:textAlignment w:val="center"/>
              <w:rPr>
                <w:rFonts w:hint="default" w:ascii="Times New Roman" w:hAnsi="Times New Roman" w:cs="Times New Roman"/>
                <w:szCs w:val="21"/>
              </w:rPr>
            </w:pPr>
          </w:p>
        </w:tc>
      </w:tr>
      <w:tr w14:paraId="1F67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7A43E283">
            <w:pPr>
              <w:jc w:val="center"/>
              <w:rPr>
                <w:rFonts w:hint="default" w:ascii="Times New Roman" w:hAnsi="Times New Roman" w:cs="Times New Roman"/>
                <w:szCs w:val="21"/>
                <w:highlight w:val="none"/>
              </w:rPr>
            </w:pPr>
          </w:p>
        </w:tc>
        <w:tc>
          <w:tcPr>
            <w:tcW w:w="655" w:type="dxa"/>
            <w:shd w:val="clear" w:color="auto" w:fill="FFFFFF"/>
            <w:noWrap/>
            <w:vAlign w:val="center"/>
          </w:tcPr>
          <w:p w14:paraId="4719B0C9">
            <w:pPr>
              <w:widowControl/>
              <w:jc w:val="center"/>
              <w:textAlignment w:val="center"/>
              <w:rPr>
                <w:rFonts w:hint="default" w:ascii="Times New Roman" w:hAnsi="Times New Roman" w:eastAsia="宋体" w:cs="Times New Roman"/>
                <w:kern w:val="0"/>
                <w:szCs w:val="21"/>
                <w:highlight w:val="none"/>
                <w:lang w:val="en-US" w:eastAsia="zh-CN" w:bidi="ar"/>
              </w:rPr>
            </w:pPr>
            <w:r>
              <w:rPr>
                <w:rFonts w:hint="default" w:ascii="Times New Roman" w:hAnsi="Times New Roman" w:cs="Times New Roman"/>
                <w:kern w:val="0"/>
                <w:szCs w:val="21"/>
                <w:highlight w:val="none"/>
                <w:lang w:val="en-US" w:eastAsia="zh-CN" w:bidi="ar"/>
              </w:rPr>
              <w:t>7</w:t>
            </w:r>
          </w:p>
        </w:tc>
        <w:tc>
          <w:tcPr>
            <w:tcW w:w="3855" w:type="dxa"/>
            <w:shd w:val="clear" w:color="auto" w:fill="FFFFFF"/>
            <w:vAlign w:val="center"/>
          </w:tcPr>
          <w:p w14:paraId="57D0FCF6">
            <w:pPr>
              <w:keepNext w:val="0"/>
              <w:keepLines w:val="0"/>
              <w:widowControl/>
              <w:suppressLineNumbers w:val="0"/>
              <w:jc w:val="left"/>
              <w:textAlignment w:val="center"/>
              <w:rPr>
                <w:rFonts w:hint="default" w:ascii="Times New Roman" w:hAnsi="Times New Roman"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电动剪扩钳</w:t>
            </w:r>
          </w:p>
        </w:tc>
        <w:tc>
          <w:tcPr>
            <w:tcW w:w="1871" w:type="dxa"/>
            <w:shd w:val="clear" w:color="auto" w:fill="FFFFFF"/>
            <w:vAlign w:val="center"/>
          </w:tcPr>
          <w:p w14:paraId="727289CF">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00" w:type="dxa"/>
            <w:vMerge w:val="continue"/>
            <w:shd w:val="clear" w:color="auto" w:fill="FFFFFF"/>
            <w:vAlign w:val="center"/>
          </w:tcPr>
          <w:p w14:paraId="3925F02B">
            <w:pPr>
              <w:widowControl/>
              <w:jc w:val="center"/>
              <w:textAlignment w:val="center"/>
              <w:rPr>
                <w:rFonts w:hint="default" w:ascii="Times New Roman" w:hAnsi="Times New Roman" w:cs="Times New Roman"/>
                <w:szCs w:val="21"/>
              </w:rPr>
            </w:pPr>
          </w:p>
        </w:tc>
      </w:tr>
      <w:tr w14:paraId="78A5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6ED695FF">
            <w:pPr>
              <w:jc w:val="center"/>
              <w:rPr>
                <w:rFonts w:hint="default" w:ascii="Times New Roman" w:hAnsi="Times New Roman" w:cs="Times New Roman"/>
                <w:szCs w:val="21"/>
              </w:rPr>
            </w:pPr>
          </w:p>
        </w:tc>
        <w:tc>
          <w:tcPr>
            <w:tcW w:w="655" w:type="dxa"/>
            <w:shd w:val="clear" w:color="auto" w:fill="FFFFFF"/>
            <w:noWrap/>
            <w:vAlign w:val="center"/>
          </w:tcPr>
          <w:p w14:paraId="3266D69C">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8</w:t>
            </w:r>
          </w:p>
        </w:tc>
        <w:tc>
          <w:tcPr>
            <w:tcW w:w="3855" w:type="dxa"/>
            <w:shd w:val="clear" w:color="auto" w:fill="FFFFFF"/>
            <w:vAlign w:val="center"/>
          </w:tcPr>
          <w:p w14:paraId="310C8919">
            <w:pPr>
              <w:keepNext w:val="0"/>
              <w:keepLines w:val="0"/>
              <w:widowControl/>
              <w:suppressLineNumbers w:val="0"/>
              <w:jc w:val="left"/>
              <w:textAlignment w:val="center"/>
              <w:rPr>
                <w:rFonts w:hint="default" w:ascii="Times New Roman" w:hAnsi="Times New Roman" w:cs="Times New Roman"/>
                <w:color w:val="auto"/>
                <w:sz w:val="21"/>
                <w:szCs w:val="21"/>
              </w:rPr>
            </w:pPr>
            <w:r>
              <w:rPr>
                <w:rFonts w:hint="eastAsia" w:ascii="宋体" w:hAnsi="宋体" w:cs="宋体"/>
                <w:b/>
                <w:bCs/>
                <w:color w:val="auto"/>
                <w:sz w:val="24"/>
              </w:rPr>
              <w:t>●</w:t>
            </w:r>
            <w:r>
              <w:rPr>
                <w:rFonts w:hint="default" w:ascii="Times New Roman" w:hAnsi="Times New Roman" w:eastAsia="宋体" w:cs="Times New Roman"/>
                <w:i w:val="0"/>
                <w:iCs w:val="0"/>
                <w:color w:val="auto"/>
                <w:kern w:val="0"/>
                <w:sz w:val="21"/>
                <w:szCs w:val="21"/>
                <w:u w:val="none"/>
                <w:lang w:val="en-US" w:eastAsia="zh-CN" w:bidi="ar"/>
              </w:rPr>
              <w:t>高频破拆工具组（含圆锯、链锯、钻孔功能）</w:t>
            </w:r>
          </w:p>
        </w:tc>
        <w:tc>
          <w:tcPr>
            <w:tcW w:w="1871" w:type="dxa"/>
            <w:shd w:val="clear" w:color="auto" w:fill="FFFFFF"/>
            <w:vAlign w:val="center"/>
          </w:tcPr>
          <w:p w14:paraId="2B8E7B27">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00" w:type="dxa"/>
            <w:vMerge w:val="continue"/>
            <w:shd w:val="clear" w:color="auto" w:fill="FFFFFF"/>
            <w:vAlign w:val="center"/>
          </w:tcPr>
          <w:p w14:paraId="353C4C1C">
            <w:pPr>
              <w:widowControl/>
              <w:jc w:val="center"/>
              <w:textAlignment w:val="center"/>
              <w:rPr>
                <w:rFonts w:hint="default" w:ascii="Times New Roman" w:hAnsi="Times New Roman" w:cs="Times New Roman"/>
                <w:szCs w:val="21"/>
              </w:rPr>
            </w:pPr>
          </w:p>
        </w:tc>
      </w:tr>
      <w:tr w14:paraId="3F75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1A5ECF90">
            <w:pPr>
              <w:jc w:val="center"/>
              <w:rPr>
                <w:rFonts w:hint="default" w:ascii="Times New Roman" w:hAnsi="Times New Roman" w:cs="Times New Roman"/>
                <w:szCs w:val="21"/>
              </w:rPr>
            </w:pPr>
          </w:p>
        </w:tc>
        <w:tc>
          <w:tcPr>
            <w:tcW w:w="655" w:type="dxa"/>
            <w:shd w:val="clear" w:color="auto" w:fill="FFFFFF"/>
            <w:noWrap/>
            <w:vAlign w:val="center"/>
          </w:tcPr>
          <w:p w14:paraId="5202CDAE">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9</w:t>
            </w:r>
          </w:p>
        </w:tc>
        <w:tc>
          <w:tcPr>
            <w:tcW w:w="3855" w:type="dxa"/>
            <w:shd w:val="clear" w:color="auto" w:fill="FFFFFF"/>
            <w:vAlign w:val="center"/>
          </w:tcPr>
          <w:p w14:paraId="32BB3987">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混凝土液压破拆工具组</w:t>
            </w:r>
          </w:p>
        </w:tc>
        <w:tc>
          <w:tcPr>
            <w:tcW w:w="1871" w:type="dxa"/>
            <w:shd w:val="clear" w:color="auto" w:fill="FFFFFF"/>
            <w:vAlign w:val="center"/>
          </w:tcPr>
          <w:p w14:paraId="105BA5D3">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00" w:type="dxa"/>
            <w:vMerge w:val="continue"/>
            <w:shd w:val="clear" w:color="auto" w:fill="FFFFFF"/>
            <w:vAlign w:val="center"/>
          </w:tcPr>
          <w:p w14:paraId="6E77F0EA">
            <w:pPr>
              <w:widowControl/>
              <w:jc w:val="center"/>
              <w:textAlignment w:val="center"/>
              <w:rPr>
                <w:rFonts w:hint="default" w:ascii="Times New Roman" w:hAnsi="Times New Roman" w:cs="Times New Roman"/>
                <w:szCs w:val="21"/>
              </w:rPr>
            </w:pPr>
          </w:p>
        </w:tc>
      </w:tr>
      <w:tr w14:paraId="1467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01FF8B69">
            <w:pPr>
              <w:jc w:val="center"/>
              <w:rPr>
                <w:rFonts w:hint="default" w:ascii="Times New Roman" w:hAnsi="Times New Roman" w:cs="Times New Roman"/>
                <w:szCs w:val="21"/>
              </w:rPr>
            </w:pPr>
          </w:p>
        </w:tc>
        <w:tc>
          <w:tcPr>
            <w:tcW w:w="655" w:type="dxa"/>
            <w:shd w:val="clear" w:color="auto" w:fill="FFFFFF"/>
            <w:noWrap/>
            <w:vAlign w:val="center"/>
          </w:tcPr>
          <w:p w14:paraId="633C1AC7">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10</w:t>
            </w:r>
          </w:p>
        </w:tc>
        <w:tc>
          <w:tcPr>
            <w:tcW w:w="3855" w:type="dxa"/>
            <w:shd w:val="clear" w:color="auto" w:fill="FFFFFF"/>
            <w:vAlign w:val="center"/>
          </w:tcPr>
          <w:p w14:paraId="076B029F">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双轮异向切割锯</w:t>
            </w:r>
          </w:p>
        </w:tc>
        <w:tc>
          <w:tcPr>
            <w:tcW w:w="1871" w:type="dxa"/>
            <w:shd w:val="clear" w:color="auto" w:fill="FFFFFF"/>
            <w:vAlign w:val="center"/>
          </w:tcPr>
          <w:p w14:paraId="2ABF8C48">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00" w:type="dxa"/>
            <w:vMerge w:val="continue"/>
            <w:shd w:val="clear" w:color="auto" w:fill="FFFFFF"/>
            <w:vAlign w:val="center"/>
          </w:tcPr>
          <w:p w14:paraId="50B341CE">
            <w:pPr>
              <w:widowControl/>
              <w:jc w:val="center"/>
              <w:textAlignment w:val="center"/>
              <w:rPr>
                <w:rFonts w:hint="default" w:ascii="Times New Roman" w:hAnsi="Times New Roman" w:cs="Times New Roman"/>
                <w:szCs w:val="21"/>
              </w:rPr>
            </w:pPr>
          </w:p>
        </w:tc>
      </w:tr>
      <w:tr w14:paraId="436D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7F291BF7">
            <w:pPr>
              <w:jc w:val="center"/>
              <w:rPr>
                <w:rFonts w:hint="default" w:ascii="Times New Roman" w:hAnsi="Times New Roman" w:cs="Times New Roman"/>
                <w:szCs w:val="21"/>
              </w:rPr>
            </w:pPr>
          </w:p>
        </w:tc>
        <w:tc>
          <w:tcPr>
            <w:tcW w:w="655" w:type="dxa"/>
            <w:shd w:val="clear" w:color="auto" w:fill="FFFFFF"/>
            <w:noWrap/>
            <w:vAlign w:val="center"/>
          </w:tcPr>
          <w:p w14:paraId="1630271E">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11</w:t>
            </w:r>
          </w:p>
        </w:tc>
        <w:tc>
          <w:tcPr>
            <w:tcW w:w="3855" w:type="dxa"/>
            <w:shd w:val="clear" w:color="auto" w:fill="FFFFFF"/>
            <w:vAlign w:val="center"/>
          </w:tcPr>
          <w:p w14:paraId="537C790A">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凿岩机</w:t>
            </w:r>
          </w:p>
        </w:tc>
        <w:tc>
          <w:tcPr>
            <w:tcW w:w="1871" w:type="dxa"/>
            <w:shd w:val="clear" w:color="auto" w:fill="FFFFFF"/>
            <w:vAlign w:val="center"/>
          </w:tcPr>
          <w:p w14:paraId="4F95C73A">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00" w:type="dxa"/>
            <w:vMerge w:val="continue"/>
            <w:shd w:val="clear" w:color="auto" w:fill="FFFFFF"/>
            <w:vAlign w:val="center"/>
          </w:tcPr>
          <w:p w14:paraId="4E31A627">
            <w:pPr>
              <w:widowControl/>
              <w:jc w:val="center"/>
              <w:textAlignment w:val="center"/>
              <w:rPr>
                <w:rFonts w:hint="default" w:ascii="Times New Roman" w:hAnsi="Times New Roman" w:cs="Times New Roman"/>
                <w:szCs w:val="21"/>
              </w:rPr>
            </w:pPr>
          </w:p>
        </w:tc>
      </w:tr>
      <w:tr w14:paraId="0647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1287C0A7">
            <w:pPr>
              <w:jc w:val="center"/>
              <w:rPr>
                <w:rFonts w:hint="default" w:ascii="Times New Roman" w:hAnsi="Times New Roman" w:cs="Times New Roman"/>
                <w:szCs w:val="21"/>
              </w:rPr>
            </w:pPr>
          </w:p>
        </w:tc>
        <w:tc>
          <w:tcPr>
            <w:tcW w:w="655" w:type="dxa"/>
            <w:shd w:val="clear" w:color="auto" w:fill="FFFFFF"/>
            <w:noWrap/>
            <w:vAlign w:val="center"/>
          </w:tcPr>
          <w:p w14:paraId="51832C5E">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12</w:t>
            </w:r>
          </w:p>
        </w:tc>
        <w:tc>
          <w:tcPr>
            <w:tcW w:w="3855" w:type="dxa"/>
            <w:shd w:val="clear" w:color="auto" w:fill="FFFFFF"/>
            <w:vAlign w:val="center"/>
          </w:tcPr>
          <w:p w14:paraId="5EAEA300">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玻璃破碎器</w:t>
            </w:r>
          </w:p>
        </w:tc>
        <w:tc>
          <w:tcPr>
            <w:tcW w:w="1871" w:type="dxa"/>
            <w:shd w:val="clear" w:color="auto" w:fill="FFFFFF"/>
            <w:vAlign w:val="center"/>
          </w:tcPr>
          <w:p w14:paraId="657C85B1">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00" w:type="dxa"/>
            <w:vMerge w:val="continue"/>
            <w:shd w:val="clear" w:color="auto" w:fill="FFFFFF"/>
            <w:vAlign w:val="center"/>
          </w:tcPr>
          <w:p w14:paraId="665CD2A7">
            <w:pPr>
              <w:widowControl/>
              <w:jc w:val="center"/>
              <w:textAlignment w:val="center"/>
              <w:rPr>
                <w:rFonts w:hint="default" w:ascii="Times New Roman" w:hAnsi="Times New Roman" w:cs="Times New Roman"/>
                <w:szCs w:val="21"/>
              </w:rPr>
            </w:pPr>
          </w:p>
        </w:tc>
      </w:tr>
      <w:tr w14:paraId="5BD3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1D7CEB62">
            <w:pPr>
              <w:jc w:val="center"/>
              <w:rPr>
                <w:rFonts w:hint="default" w:ascii="Times New Roman" w:hAnsi="Times New Roman" w:cs="Times New Roman"/>
                <w:szCs w:val="21"/>
              </w:rPr>
            </w:pPr>
          </w:p>
        </w:tc>
        <w:tc>
          <w:tcPr>
            <w:tcW w:w="655" w:type="dxa"/>
            <w:shd w:val="clear" w:color="auto" w:fill="FFFFFF"/>
            <w:noWrap/>
            <w:vAlign w:val="center"/>
          </w:tcPr>
          <w:p w14:paraId="4BEF9358">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13</w:t>
            </w:r>
          </w:p>
        </w:tc>
        <w:tc>
          <w:tcPr>
            <w:tcW w:w="3855" w:type="dxa"/>
            <w:shd w:val="clear" w:color="auto" w:fill="FFFFFF"/>
            <w:vAlign w:val="center"/>
          </w:tcPr>
          <w:p w14:paraId="0F2FF719">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手持式钢筋速断器</w:t>
            </w:r>
          </w:p>
        </w:tc>
        <w:tc>
          <w:tcPr>
            <w:tcW w:w="1871" w:type="dxa"/>
            <w:shd w:val="clear" w:color="auto" w:fill="FFFFFF"/>
            <w:vAlign w:val="center"/>
          </w:tcPr>
          <w:p w14:paraId="00AC0B92">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00" w:type="dxa"/>
            <w:vMerge w:val="continue"/>
            <w:shd w:val="clear" w:color="auto" w:fill="FFFFFF"/>
            <w:vAlign w:val="center"/>
          </w:tcPr>
          <w:p w14:paraId="69142F13">
            <w:pPr>
              <w:widowControl/>
              <w:jc w:val="center"/>
              <w:textAlignment w:val="center"/>
              <w:rPr>
                <w:rFonts w:hint="default" w:ascii="Times New Roman" w:hAnsi="Times New Roman" w:cs="Times New Roman"/>
                <w:szCs w:val="21"/>
              </w:rPr>
            </w:pPr>
          </w:p>
        </w:tc>
      </w:tr>
      <w:tr w14:paraId="5B07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136636EF">
            <w:pPr>
              <w:jc w:val="center"/>
              <w:rPr>
                <w:rFonts w:hint="default" w:ascii="Times New Roman" w:hAnsi="Times New Roman" w:cs="Times New Roman"/>
                <w:szCs w:val="21"/>
              </w:rPr>
            </w:pPr>
          </w:p>
        </w:tc>
        <w:tc>
          <w:tcPr>
            <w:tcW w:w="655" w:type="dxa"/>
            <w:shd w:val="clear" w:color="auto" w:fill="FFFFFF"/>
            <w:noWrap/>
            <w:vAlign w:val="center"/>
          </w:tcPr>
          <w:p w14:paraId="17D54AE4">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14</w:t>
            </w:r>
          </w:p>
        </w:tc>
        <w:tc>
          <w:tcPr>
            <w:tcW w:w="3855" w:type="dxa"/>
            <w:shd w:val="clear" w:color="auto" w:fill="FFFFFF"/>
            <w:vAlign w:val="center"/>
          </w:tcPr>
          <w:p w14:paraId="75782F9C">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液压开门器</w:t>
            </w:r>
          </w:p>
        </w:tc>
        <w:tc>
          <w:tcPr>
            <w:tcW w:w="1871" w:type="dxa"/>
            <w:shd w:val="clear" w:color="auto" w:fill="FFFFFF"/>
            <w:vAlign w:val="center"/>
          </w:tcPr>
          <w:p w14:paraId="06AB87AE">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00" w:type="dxa"/>
            <w:vMerge w:val="continue"/>
            <w:shd w:val="clear" w:color="auto" w:fill="FFFFFF"/>
            <w:vAlign w:val="center"/>
          </w:tcPr>
          <w:p w14:paraId="6BE48CDF">
            <w:pPr>
              <w:widowControl/>
              <w:jc w:val="center"/>
              <w:textAlignment w:val="center"/>
              <w:rPr>
                <w:rFonts w:hint="default" w:ascii="Times New Roman" w:hAnsi="Times New Roman" w:cs="Times New Roman"/>
                <w:szCs w:val="21"/>
              </w:rPr>
            </w:pPr>
          </w:p>
        </w:tc>
      </w:tr>
      <w:tr w14:paraId="11B2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71EEB2B8">
            <w:pPr>
              <w:jc w:val="center"/>
              <w:rPr>
                <w:rFonts w:hint="default" w:ascii="Times New Roman" w:hAnsi="Times New Roman" w:cs="Times New Roman"/>
                <w:szCs w:val="21"/>
              </w:rPr>
            </w:pPr>
          </w:p>
        </w:tc>
        <w:tc>
          <w:tcPr>
            <w:tcW w:w="655" w:type="dxa"/>
            <w:shd w:val="clear" w:color="auto" w:fill="FFFFFF"/>
            <w:noWrap/>
            <w:vAlign w:val="center"/>
          </w:tcPr>
          <w:p w14:paraId="75C5951E">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15</w:t>
            </w:r>
          </w:p>
        </w:tc>
        <w:tc>
          <w:tcPr>
            <w:tcW w:w="3855" w:type="dxa"/>
            <w:shd w:val="clear" w:color="auto" w:fill="FFFFFF"/>
            <w:vAlign w:val="center"/>
          </w:tcPr>
          <w:p w14:paraId="4D2FD850">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毁锁器</w:t>
            </w:r>
          </w:p>
        </w:tc>
        <w:tc>
          <w:tcPr>
            <w:tcW w:w="1871" w:type="dxa"/>
            <w:shd w:val="clear" w:color="auto" w:fill="FFFFFF"/>
            <w:vAlign w:val="center"/>
          </w:tcPr>
          <w:p w14:paraId="4A6000C7">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00" w:type="dxa"/>
            <w:vMerge w:val="continue"/>
            <w:shd w:val="clear" w:color="auto" w:fill="FFFFFF"/>
            <w:vAlign w:val="center"/>
          </w:tcPr>
          <w:p w14:paraId="69306B7D">
            <w:pPr>
              <w:widowControl/>
              <w:jc w:val="center"/>
              <w:textAlignment w:val="center"/>
              <w:rPr>
                <w:rFonts w:hint="default" w:ascii="Times New Roman" w:hAnsi="Times New Roman" w:cs="Times New Roman"/>
                <w:szCs w:val="21"/>
              </w:rPr>
            </w:pPr>
          </w:p>
        </w:tc>
      </w:tr>
      <w:tr w14:paraId="103E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5DA5B306">
            <w:pPr>
              <w:jc w:val="center"/>
              <w:rPr>
                <w:rFonts w:hint="default" w:ascii="Times New Roman" w:hAnsi="Times New Roman" w:cs="Times New Roman"/>
                <w:szCs w:val="21"/>
              </w:rPr>
            </w:pPr>
          </w:p>
        </w:tc>
        <w:tc>
          <w:tcPr>
            <w:tcW w:w="655" w:type="dxa"/>
            <w:shd w:val="clear" w:color="auto" w:fill="FFFFFF"/>
            <w:noWrap/>
            <w:vAlign w:val="center"/>
          </w:tcPr>
          <w:p w14:paraId="5595DDD7">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16</w:t>
            </w:r>
          </w:p>
        </w:tc>
        <w:tc>
          <w:tcPr>
            <w:tcW w:w="3855" w:type="dxa"/>
            <w:shd w:val="clear" w:color="auto" w:fill="FFFFFF"/>
            <w:vAlign w:val="center"/>
          </w:tcPr>
          <w:p w14:paraId="017D45C4">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多功能挠钩</w:t>
            </w:r>
          </w:p>
        </w:tc>
        <w:tc>
          <w:tcPr>
            <w:tcW w:w="1871" w:type="dxa"/>
            <w:shd w:val="clear" w:color="auto" w:fill="FFFFFF"/>
            <w:vAlign w:val="center"/>
          </w:tcPr>
          <w:p w14:paraId="6B220175">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00" w:type="dxa"/>
            <w:vMerge w:val="continue"/>
            <w:shd w:val="clear" w:color="auto" w:fill="FFFFFF"/>
            <w:vAlign w:val="center"/>
          </w:tcPr>
          <w:p w14:paraId="3AE03D9B">
            <w:pPr>
              <w:widowControl/>
              <w:jc w:val="center"/>
              <w:textAlignment w:val="center"/>
              <w:rPr>
                <w:rFonts w:hint="default" w:ascii="Times New Roman" w:hAnsi="Times New Roman" w:cs="Times New Roman"/>
                <w:szCs w:val="21"/>
              </w:rPr>
            </w:pPr>
          </w:p>
        </w:tc>
      </w:tr>
      <w:tr w14:paraId="19DB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2A699AA2">
            <w:pPr>
              <w:jc w:val="center"/>
              <w:rPr>
                <w:rFonts w:hint="default" w:ascii="Times New Roman" w:hAnsi="Times New Roman" w:cs="Times New Roman"/>
                <w:szCs w:val="21"/>
              </w:rPr>
            </w:pPr>
          </w:p>
        </w:tc>
        <w:tc>
          <w:tcPr>
            <w:tcW w:w="655" w:type="dxa"/>
            <w:shd w:val="clear" w:color="auto" w:fill="FFFFFF"/>
            <w:noWrap/>
            <w:vAlign w:val="center"/>
          </w:tcPr>
          <w:p w14:paraId="11493793">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17</w:t>
            </w:r>
          </w:p>
        </w:tc>
        <w:tc>
          <w:tcPr>
            <w:tcW w:w="3855" w:type="dxa"/>
            <w:shd w:val="clear" w:color="auto" w:fill="FFFFFF"/>
            <w:vAlign w:val="center"/>
          </w:tcPr>
          <w:p w14:paraId="45FFF7B1">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绝缘剪断钳</w:t>
            </w:r>
          </w:p>
        </w:tc>
        <w:tc>
          <w:tcPr>
            <w:tcW w:w="1871" w:type="dxa"/>
            <w:shd w:val="clear" w:color="auto" w:fill="FFFFFF"/>
            <w:vAlign w:val="center"/>
          </w:tcPr>
          <w:p w14:paraId="2C584E34">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200" w:type="dxa"/>
            <w:vMerge w:val="continue"/>
            <w:shd w:val="clear" w:color="auto" w:fill="FFFFFF"/>
            <w:vAlign w:val="center"/>
          </w:tcPr>
          <w:p w14:paraId="6EBA629A">
            <w:pPr>
              <w:widowControl/>
              <w:jc w:val="center"/>
              <w:textAlignment w:val="center"/>
              <w:rPr>
                <w:rFonts w:hint="default" w:ascii="Times New Roman" w:hAnsi="Times New Roman" w:cs="Times New Roman"/>
                <w:szCs w:val="21"/>
              </w:rPr>
            </w:pPr>
          </w:p>
        </w:tc>
      </w:tr>
      <w:tr w14:paraId="14CB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3DD7736B">
            <w:pPr>
              <w:jc w:val="center"/>
              <w:rPr>
                <w:rFonts w:hint="default" w:ascii="Times New Roman" w:hAnsi="Times New Roman" w:cs="Times New Roman"/>
                <w:szCs w:val="21"/>
              </w:rPr>
            </w:pPr>
          </w:p>
        </w:tc>
        <w:tc>
          <w:tcPr>
            <w:tcW w:w="655" w:type="dxa"/>
            <w:shd w:val="clear" w:color="auto" w:fill="FFFFFF"/>
            <w:noWrap/>
            <w:vAlign w:val="center"/>
          </w:tcPr>
          <w:p w14:paraId="43D28214">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18</w:t>
            </w:r>
          </w:p>
        </w:tc>
        <w:tc>
          <w:tcPr>
            <w:tcW w:w="3855" w:type="dxa"/>
            <w:shd w:val="clear" w:color="auto" w:fill="FFFFFF"/>
            <w:vAlign w:val="center"/>
          </w:tcPr>
          <w:p w14:paraId="06E102EE">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14寸拉杆斜切锯</w:t>
            </w:r>
          </w:p>
        </w:tc>
        <w:tc>
          <w:tcPr>
            <w:tcW w:w="1871" w:type="dxa"/>
            <w:shd w:val="clear" w:color="auto" w:fill="FFFFFF"/>
            <w:vAlign w:val="center"/>
          </w:tcPr>
          <w:p w14:paraId="5C88FD9A">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00" w:type="dxa"/>
            <w:vMerge w:val="continue"/>
            <w:shd w:val="clear" w:color="auto" w:fill="FFFFFF"/>
            <w:vAlign w:val="center"/>
          </w:tcPr>
          <w:p w14:paraId="07716D8E">
            <w:pPr>
              <w:widowControl/>
              <w:jc w:val="center"/>
              <w:textAlignment w:val="center"/>
              <w:rPr>
                <w:rFonts w:hint="default" w:ascii="Times New Roman" w:hAnsi="Times New Roman" w:cs="Times New Roman"/>
                <w:szCs w:val="21"/>
              </w:rPr>
            </w:pPr>
          </w:p>
        </w:tc>
      </w:tr>
      <w:tr w14:paraId="484F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7EA0C58D">
            <w:pPr>
              <w:jc w:val="center"/>
              <w:rPr>
                <w:rFonts w:hint="default" w:ascii="Times New Roman" w:hAnsi="Times New Roman" w:cs="Times New Roman"/>
                <w:szCs w:val="21"/>
              </w:rPr>
            </w:pPr>
          </w:p>
        </w:tc>
        <w:tc>
          <w:tcPr>
            <w:tcW w:w="655" w:type="dxa"/>
            <w:shd w:val="clear" w:color="auto" w:fill="FFFFFF"/>
            <w:noWrap/>
            <w:vAlign w:val="center"/>
          </w:tcPr>
          <w:p w14:paraId="1CBC76F6">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19</w:t>
            </w:r>
          </w:p>
        </w:tc>
        <w:tc>
          <w:tcPr>
            <w:tcW w:w="3855" w:type="dxa"/>
            <w:shd w:val="clear" w:color="auto" w:fill="FFFFFF"/>
            <w:vAlign w:val="center"/>
          </w:tcPr>
          <w:p w14:paraId="45CE0C4C">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冲击钻</w:t>
            </w:r>
          </w:p>
        </w:tc>
        <w:tc>
          <w:tcPr>
            <w:tcW w:w="1871" w:type="dxa"/>
            <w:shd w:val="clear" w:color="auto" w:fill="FFFFFF"/>
            <w:vAlign w:val="center"/>
          </w:tcPr>
          <w:p w14:paraId="5C390C62">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00" w:type="dxa"/>
            <w:vMerge w:val="continue"/>
            <w:shd w:val="clear" w:color="auto" w:fill="FFFFFF"/>
            <w:vAlign w:val="center"/>
          </w:tcPr>
          <w:p w14:paraId="639DB7F7">
            <w:pPr>
              <w:widowControl/>
              <w:jc w:val="center"/>
              <w:textAlignment w:val="center"/>
              <w:rPr>
                <w:rFonts w:hint="default" w:ascii="Times New Roman" w:hAnsi="Times New Roman" w:cs="Times New Roman"/>
                <w:szCs w:val="21"/>
              </w:rPr>
            </w:pPr>
          </w:p>
        </w:tc>
      </w:tr>
      <w:tr w14:paraId="5BD6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2DC7540D">
            <w:pPr>
              <w:jc w:val="center"/>
              <w:rPr>
                <w:rFonts w:hint="default" w:ascii="Times New Roman" w:hAnsi="Times New Roman" w:cs="Times New Roman"/>
                <w:szCs w:val="21"/>
              </w:rPr>
            </w:pPr>
          </w:p>
        </w:tc>
        <w:tc>
          <w:tcPr>
            <w:tcW w:w="655" w:type="dxa"/>
            <w:shd w:val="clear" w:color="auto" w:fill="FFFFFF"/>
            <w:noWrap/>
            <w:vAlign w:val="center"/>
          </w:tcPr>
          <w:p w14:paraId="2256676D">
            <w:pPr>
              <w:widowControl/>
              <w:jc w:val="center"/>
              <w:textAlignment w:val="center"/>
              <w:rPr>
                <w:rFonts w:hint="default" w:ascii="Times New Roman" w:hAnsi="Times New Roman" w:eastAsia="宋体" w:cs="Times New Roman"/>
                <w:kern w:val="0"/>
                <w:szCs w:val="21"/>
                <w:lang w:val="en-US" w:eastAsia="zh-CN" w:bidi="ar"/>
              </w:rPr>
            </w:pPr>
            <w:r>
              <w:rPr>
                <w:rFonts w:hint="default" w:ascii="Times New Roman" w:hAnsi="Times New Roman" w:cs="Times New Roman"/>
                <w:kern w:val="0"/>
                <w:szCs w:val="21"/>
                <w:lang w:val="en-US" w:eastAsia="zh-CN" w:bidi="ar"/>
              </w:rPr>
              <w:t>20</w:t>
            </w:r>
          </w:p>
        </w:tc>
        <w:tc>
          <w:tcPr>
            <w:tcW w:w="3855" w:type="dxa"/>
            <w:shd w:val="clear" w:color="auto" w:fill="FFFFFF"/>
            <w:vAlign w:val="center"/>
          </w:tcPr>
          <w:p w14:paraId="3F074B4E">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哈里根</w:t>
            </w:r>
          </w:p>
        </w:tc>
        <w:tc>
          <w:tcPr>
            <w:tcW w:w="1871" w:type="dxa"/>
            <w:shd w:val="clear" w:color="auto" w:fill="FFFFFF"/>
            <w:vAlign w:val="center"/>
          </w:tcPr>
          <w:p w14:paraId="01C6C900">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200" w:type="dxa"/>
            <w:vMerge w:val="continue"/>
            <w:shd w:val="clear" w:color="auto" w:fill="FFFFFF"/>
            <w:vAlign w:val="center"/>
          </w:tcPr>
          <w:p w14:paraId="711E03BF">
            <w:pPr>
              <w:widowControl/>
              <w:jc w:val="center"/>
              <w:textAlignment w:val="center"/>
              <w:rPr>
                <w:rFonts w:hint="default" w:ascii="Times New Roman" w:hAnsi="Times New Roman" w:cs="Times New Roman"/>
                <w:szCs w:val="21"/>
              </w:rPr>
            </w:pPr>
          </w:p>
        </w:tc>
      </w:tr>
      <w:tr w14:paraId="7A62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01933E7E">
            <w:pPr>
              <w:jc w:val="center"/>
              <w:rPr>
                <w:rFonts w:hint="default" w:ascii="Times New Roman" w:hAnsi="Times New Roman" w:cs="Times New Roman"/>
                <w:szCs w:val="21"/>
              </w:rPr>
            </w:pPr>
          </w:p>
        </w:tc>
        <w:tc>
          <w:tcPr>
            <w:tcW w:w="655" w:type="dxa"/>
            <w:shd w:val="clear" w:color="auto" w:fill="FFFFFF"/>
            <w:noWrap/>
            <w:vAlign w:val="center"/>
          </w:tcPr>
          <w:p w14:paraId="18F9FB13">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21</w:t>
            </w:r>
          </w:p>
        </w:tc>
        <w:tc>
          <w:tcPr>
            <w:tcW w:w="3855" w:type="dxa"/>
            <w:shd w:val="clear" w:color="auto" w:fill="FFFFFF"/>
            <w:vAlign w:val="center"/>
          </w:tcPr>
          <w:p w14:paraId="271DF53F">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双轮异向切割锯锯片</w:t>
            </w:r>
          </w:p>
        </w:tc>
        <w:tc>
          <w:tcPr>
            <w:tcW w:w="1871" w:type="dxa"/>
            <w:shd w:val="clear" w:color="auto" w:fill="FFFFFF"/>
            <w:vAlign w:val="center"/>
          </w:tcPr>
          <w:p w14:paraId="6235A233">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200" w:type="dxa"/>
            <w:vMerge w:val="continue"/>
            <w:shd w:val="clear" w:color="auto" w:fill="FFFFFF"/>
            <w:vAlign w:val="center"/>
          </w:tcPr>
          <w:p w14:paraId="7AEFEA71">
            <w:pPr>
              <w:widowControl/>
              <w:jc w:val="center"/>
              <w:textAlignment w:val="center"/>
              <w:rPr>
                <w:rFonts w:hint="default" w:ascii="Times New Roman" w:hAnsi="Times New Roman" w:cs="Times New Roman"/>
                <w:szCs w:val="21"/>
              </w:rPr>
            </w:pPr>
          </w:p>
        </w:tc>
      </w:tr>
      <w:tr w14:paraId="555E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3A165595">
            <w:pPr>
              <w:jc w:val="center"/>
              <w:rPr>
                <w:rFonts w:hint="default" w:ascii="Times New Roman" w:hAnsi="Times New Roman" w:cs="Times New Roman"/>
                <w:szCs w:val="21"/>
              </w:rPr>
            </w:pPr>
          </w:p>
        </w:tc>
        <w:tc>
          <w:tcPr>
            <w:tcW w:w="655" w:type="dxa"/>
            <w:shd w:val="clear" w:color="auto" w:fill="FFFFFF"/>
            <w:noWrap/>
            <w:vAlign w:val="center"/>
          </w:tcPr>
          <w:p w14:paraId="467078AB">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22</w:t>
            </w:r>
          </w:p>
        </w:tc>
        <w:tc>
          <w:tcPr>
            <w:tcW w:w="3855" w:type="dxa"/>
            <w:shd w:val="clear" w:color="auto" w:fill="FFFFFF"/>
            <w:vAlign w:val="center"/>
          </w:tcPr>
          <w:p w14:paraId="24F9E6AD">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K1270无齿锯锯片</w:t>
            </w:r>
          </w:p>
        </w:tc>
        <w:tc>
          <w:tcPr>
            <w:tcW w:w="1871" w:type="dxa"/>
            <w:shd w:val="clear" w:color="auto" w:fill="FFFFFF"/>
            <w:vAlign w:val="center"/>
          </w:tcPr>
          <w:p w14:paraId="02455389">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200" w:type="dxa"/>
            <w:vMerge w:val="continue"/>
            <w:shd w:val="clear" w:color="auto" w:fill="FFFFFF"/>
            <w:vAlign w:val="center"/>
          </w:tcPr>
          <w:p w14:paraId="6634A292">
            <w:pPr>
              <w:widowControl/>
              <w:jc w:val="center"/>
              <w:textAlignment w:val="center"/>
              <w:rPr>
                <w:rFonts w:hint="default" w:ascii="Times New Roman" w:hAnsi="Times New Roman" w:cs="Times New Roman"/>
                <w:szCs w:val="21"/>
              </w:rPr>
            </w:pPr>
          </w:p>
        </w:tc>
      </w:tr>
      <w:tr w14:paraId="70B9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1" w:hRule="atLeast"/>
          <w:jc w:val="center"/>
        </w:trPr>
        <w:tc>
          <w:tcPr>
            <w:tcW w:w="1819" w:type="dxa"/>
            <w:vMerge w:val="continue"/>
            <w:shd w:val="clear" w:color="auto" w:fill="FFFFFF"/>
            <w:noWrap/>
            <w:vAlign w:val="center"/>
          </w:tcPr>
          <w:p w14:paraId="0B187F89">
            <w:pPr>
              <w:jc w:val="center"/>
              <w:rPr>
                <w:rFonts w:hint="default" w:ascii="Times New Roman" w:hAnsi="Times New Roman" w:cs="Times New Roman"/>
                <w:szCs w:val="21"/>
              </w:rPr>
            </w:pPr>
          </w:p>
        </w:tc>
        <w:tc>
          <w:tcPr>
            <w:tcW w:w="655" w:type="dxa"/>
            <w:shd w:val="clear" w:color="auto" w:fill="FFFFFF"/>
            <w:noWrap/>
            <w:vAlign w:val="center"/>
          </w:tcPr>
          <w:p w14:paraId="250148FD">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23</w:t>
            </w:r>
          </w:p>
        </w:tc>
        <w:tc>
          <w:tcPr>
            <w:tcW w:w="3855" w:type="dxa"/>
            <w:shd w:val="clear" w:color="auto" w:fill="FFFFFF"/>
            <w:vAlign w:val="center"/>
          </w:tcPr>
          <w:p w14:paraId="2BC06D55">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机动链锯链条</w:t>
            </w:r>
          </w:p>
        </w:tc>
        <w:tc>
          <w:tcPr>
            <w:tcW w:w="1871" w:type="dxa"/>
            <w:shd w:val="clear" w:color="auto" w:fill="FFFFFF"/>
            <w:vAlign w:val="center"/>
          </w:tcPr>
          <w:p w14:paraId="4B5EACDC">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200" w:type="dxa"/>
            <w:vMerge w:val="continue"/>
            <w:shd w:val="clear" w:color="auto" w:fill="FFFFFF"/>
            <w:vAlign w:val="center"/>
          </w:tcPr>
          <w:p w14:paraId="4C6A3AC1">
            <w:pPr>
              <w:widowControl/>
              <w:jc w:val="center"/>
              <w:textAlignment w:val="center"/>
              <w:rPr>
                <w:rFonts w:hint="default" w:ascii="Times New Roman" w:hAnsi="Times New Roman" w:cs="Times New Roman"/>
                <w:szCs w:val="21"/>
              </w:rPr>
            </w:pPr>
          </w:p>
        </w:tc>
      </w:tr>
      <w:tr w14:paraId="01A7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jc w:val="center"/>
        </w:trPr>
        <w:tc>
          <w:tcPr>
            <w:tcW w:w="1819" w:type="dxa"/>
            <w:vMerge w:val="continue"/>
            <w:shd w:val="clear" w:color="auto" w:fill="FFFFFF"/>
            <w:noWrap/>
            <w:vAlign w:val="center"/>
          </w:tcPr>
          <w:p w14:paraId="130E7E04">
            <w:pPr>
              <w:jc w:val="center"/>
              <w:rPr>
                <w:rFonts w:hint="default" w:ascii="Times New Roman" w:hAnsi="Times New Roman" w:cs="Times New Roman"/>
                <w:szCs w:val="21"/>
              </w:rPr>
            </w:pPr>
          </w:p>
        </w:tc>
        <w:tc>
          <w:tcPr>
            <w:tcW w:w="655" w:type="dxa"/>
            <w:shd w:val="clear" w:color="auto" w:fill="FFFFFF"/>
            <w:noWrap/>
            <w:vAlign w:val="center"/>
          </w:tcPr>
          <w:p w14:paraId="0AB25B2D">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24</w:t>
            </w:r>
          </w:p>
        </w:tc>
        <w:tc>
          <w:tcPr>
            <w:tcW w:w="3855" w:type="dxa"/>
            <w:shd w:val="clear" w:color="auto" w:fill="FFFFFF"/>
            <w:vAlign w:val="center"/>
          </w:tcPr>
          <w:p w14:paraId="15D340C7">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消防锤</w:t>
            </w:r>
          </w:p>
        </w:tc>
        <w:tc>
          <w:tcPr>
            <w:tcW w:w="1871" w:type="dxa"/>
            <w:shd w:val="clear" w:color="auto" w:fill="FFFFFF"/>
            <w:vAlign w:val="center"/>
          </w:tcPr>
          <w:p w14:paraId="0532DB39">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00" w:type="dxa"/>
            <w:vMerge w:val="continue"/>
            <w:shd w:val="clear" w:color="auto" w:fill="FFFFFF"/>
            <w:vAlign w:val="center"/>
          </w:tcPr>
          <w:p w14:paraId="37933C81">
            <w:pPr>
              <w:widowControl/>
              <w:jc w:val="center"/>
              <w:textAlignment w:val="center"/>
              <w:rPr>
                <w:rFonts w:hint="default" w:ascii="Times New Roman" w:hAnsi="Times New Roman" w:cs="Times New Roman"/>
                <w:szCs w:val="21"/>
              </w:rPr>
            </w:pPr>
          </w:p>
        </w:tc>
      </w:tr>
      <w:tr w14:paraId="4744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jc w:val="center"/>
        </w:trPr>
        <w:tc>
          <w:tcPr>
            <w:tcW w:w="1819" w:type="dxa"/>
            <w:vMerge w:val="continue"/>
            <w:shd w:val="clear" w:color="auto" w:fill="FFFFFF"/>
            <w:noWrap/>
            <w:vAlign w:val="center"/>
          </w:tcPr>
          <w:p w14:paraId="1566AA64">
            <w:pPr>
              <w:jc w:val="center"/>
              <w:rPr>
                <w:rFonts w:hint="default" w:ascii="Times New Roman" w:hAnsi="Times New Roman" w:cs="Times New Roman"/>
                <w:szCs w:val="21"/>
              </w:rPr>
            </w:pPr>
          </w:p>
        </w:tc>
        <w:tc>
          <w:tcPr>
            <w:tcW w:w="655" w:type="dxa"/>
            <w:shd w:val="clear" w:color="auto" w:fill="FFFFFF"/>
            <w:noWrap/>
            <w:vAlign w:val="center"/>
          </w:tcPr>
          <w:p w14:paraId="29178ACF">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25</w:t>
            </w:r>
          </w:p>
        </w:tc>
        <w:tc>
          <w:tcPr>
            <w:tcW w:w="3855" w:type="dxa"/>
            <w:shd w:val="clear" w:color="auto" w:fill="FFFFFF"/>
            <w:vAlign w:val="center"/>
          </w:tcPr>
          <w:p w14:paraId="20ACA0D7">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撬棍</w:t>
            </w:r>
          </w:p>
        </w:tc>
        <w:tc>
          <w:tcPr>
            <w:tcW w:w="1871" w:type="dxa"/>
            <w:shd w:val="clear" w:color="auto" w:fill="FFFFFF"/>
            <w:vAlign w:val="center"/>
          </w:tcPr>
          <w:p w14:paraId="7E9B8FC5">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200" w:type="dxa"/>
            <w:vMerge w:val="continue"/>
            <w:shd w:val="clear" w:color="auto" w:fill="FFFFFF"/>
            <w:vAlign w:val="center"/>
          </w:tcPr>
          <w:p w14:paraId="4D97831C">
            <w:pPr>
              <w:widowControl/>
              <w:jc w:val="center"/>
              <w:textAlignment w:val="center"/>
              <w:rPr>
                <w:rFonts w:hint="default" w:ascii="Times New Roman" w:hAnsi="Times New Roman" w:cs="Times New Roman"/>
                <w:szCs w:val="21"/>
              </w:rPr>
            </w:pPr>
          </w:p>
        </w:tc>
      </w:tr>
      <w:tr w14:paraId="08F4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jc w:val="center"/>
        </w:trPr>
        <w:tc>
          <w:tcPr>
            <w:tcW w:w="1819" w:type="dxa"/>
            <w:vMerge w:val="continue"/>
            <w:shd w:val="clear" w:color="auto" w:fill="FFFFFF"/>
            <w:noWrap/>
            <w:vAlign w:val="center"/>
          </w:tcPr>
          <w:p w14:paraId="218725F3">
            <w:pPr>
              <w:jc w:val="center"/>
              <w:rPr>
                <w:rFonts w:hint="default" w:ascii="Times New Roman" w:hAnsi="Times New Roman" w:cs="Times New Roman"/>
                <w:szCs w:val="21"/>
              </w:rPr>
            </w:pPr>
          </w:p>
        </w:tc>
        <w:tc>
          <w:tcPr>
            <w:tcW w:w="655" w:type="dxa"/>
            <w:shd w:val="clear" w:color="auto" w:fill="FFFFFF"/>
            <w:noWrap/>
            <w:vAlign w:val="center"/>
          </w:tcPr>
          <w:p w14:paraId="5197CF1C">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26</w:t>
            </w:r>
          </w:p>
        </w:tc>
        <w:tc>
          <w:tcPr>
            <w:tcW w:w="3855" w:type="dxa"/>
            <w:shd w:val="clear" w:color="auto" w:fill="FFFFFF"/>
            <w:vAlign w:val="center"/>
          </w:tcPr>
          <w:p w14:paraId="32DB980C">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消防斧</w:t>
            </w:r>
          </w:p>
        </w:tc>
        <w:tc>
          <w:tcPr>
            <w:tcW w:w="1871" w:type="dxa"/>
            <w:shd w:val="clear" w:color="auto" w:fill="FFFFFF"/>
            <w:vAlign w:val="center"/>
          </w:tcPr>
          <w:p w14:paraId="53FC272F">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00" w:type="dxa"/>
            <w:vMerge w:val="continue"/>
            <w:shd w:val="clear" w:color="auto" w:fill="FFFFFF"/>
            <w:vAlign w:val="center"/>
          </w:tcPr>
          <w:p w14:paraId="2B4E1E94">
            <w:pPr>
              <w:widowControl/>
              <w:jc w:val="center"/>
              <w:textAlignment w:val="center"/>
              <w:rPr>
                <w:rFonts w:hint="default" w:ascii="Times New Roman" w:hAnsi="Times New Roman" w:cs="Times New Roman"/>
                <w:szCs w:val="21"/>
              </w:rPr>
            </w:pPr>
          </w:p>
        </w:tc>
      </w:tr>
      <w:tr w14:paraId="46CF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0" w:hRule="atLeast"/>
          <w:jc w:val="center"/>
        </w:trPr>
        <w:tc>
          <w:tcPr>
            <w:tcW w:w="1819" w:type="dxa"/>
            <w:vMerge w:val="continue"/>
            <w:shd w:val="clear" w:color="auto" w:fill="FFFFFF"/>
            <w:noWrap/>
            <w:vAlign w:val="center"/>
          </w:tcPr>
          <w:p w14:paraId="799EE45A">
            <w:pPr>
              <w:jc w:val="center"/>
              <w:rPr>
                <w:rFonts w:hint="default" w:ascii="Times New Roman" w:hAnsi="Times New Roman" w:cs="Times New Roman"/>
                <w:szCs w:val="21"/>
              </w:rPr>
            </w:pPr>
          </w:p>
        </w:tc>
        <w:tc>
          <w:tcPr>
            <w:tcW w:w="655" w:type="dxa"/>
            <w:shd w:val="clear" w:color="auto" w:fill="FFFFFF"/>
            <w:noWrap/>
            <w:vAlign w:val="center"/>
          </w:tcPr>
          <w:p w14:paraId="7257B9DD">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27</w:t>
            </w:r>
          </w:p>
        </w:tc>
        <w:tc>
          <w:tcPr>
            <w:tcW w:w="3855" w:type="dxa"/>
            <w:shd w:val="clear" w:color="auto" w:fill="FFFFFF"/>
            <w:vAlign w:val="center"/>
          </w:tcPr>
          <w:p w14:paraId="0729D792">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强动力锂电池电锤（2电）</w:t>
            </w:r>
          </w:p>
        </w:tc>
        <w:tc>
          <w:tcPr>
            <w:tcW w:w="1871" w:type="dxa"/>
            <w:shd w:val="clear" w:color="auto" w:fill="FFFFFF"/>
            <w:vAlign w:val="center"/>
          </w:tcPr>
          <w:p w14:paraId="69094D3E">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00" w:type="dxa"/>
            <w:vMerge w:val="continue"/>
            <w:shd w:val="clear" w:color="auto" w:fill="FFFFFF"/>
            <w:vAlign w:val="center"/>
          </w:tcPr>
          <w:p w14:paraId="5BB6ED82">
            <w:pPr>
              <w:widowControl/>
              <w:jc w:val="center"/>
              <w:textAlignment w:val="center"/>
              <w:rPr>
                <w:rFonts w:hint="default" w:ascii="Times New Roman" w:hAnsi="Times New Roman" w:cs="Times New Roman"/>
                <w:szCs w:val="21"/>
              </w:rPr>
            </w:pPr>
          </w:p>
        </w:tc>
      </w:tr>
      <w:tr w14:paraId="644D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19" w:type="dxa"/>
            <w:vMerge w:val="continue"/>
            <w:shd w:val="clear" w:color="auto" w:fill="FFFFFF"/>
            <w:noWrap/>
            <w:vAlign w:val="center"/>
          </w:tcPr>
          <w:p w14:paraId="10AD37EB">
            <w:pPr>
              <w:jc w:val="center"/>
              <w:rPr>
                <w:rFonts w:hint="default" w:ascii="Times New Roman" w:hAnsi="Times New Roman" w:cs="Times New Roman"/>
                <w:szCs w:val="21"/>
              </w:rPr>
            </w:pPr>
          </w:p>
        </w:tc>
        <w:tc>
          <w:tcPr>
            <w:tcW w:w="655" w:type="dxa"/>
            <w:shd w:val="clear" w:color="auto" w:fill="FFFFFF"/>
            <w:noWrap/>
            <w:vAlign w:val="center"/>
          </w:tcPr>
          <w:p w14:paraId="43B2BD5A">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28</w:t>
            </w:r>
          </w:p>
        </w:tc>
        <w:tc>
          <w:tcPr>
            <w:tcW w:w="3855" w:type="dxa"/>
            <w:shd w:val="clear" w:color="auto" w:fill="FFFFFF"/>
            <w:vAlign w:val="center"/>
          </w:tcPr>
          <w:p w14:paraId="76DA5389">
            <w:pPr>
              <w:keepNext w:val="0"/>
              <w:keepLines w:val="0"/>
              <w:widowControl/>
              <w:suppressLineNumbers w:val="0"/>
              <w:jc w:val="left"/>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花岗岩四坑四刃地冲击钻头（10cm-16cm）</w:t>
            </w:r>
          </w:p>
        </w:tc>
        <w:tc>
          <w:tcPr>
            <w:tcW w:w="1871" w:type="dxa"/>
            <w:shd w:val="clear" w:color="auto" w:fill="FFFFFF"/>
            <w:vAlign w:val="center"/>
          </w:tcPr>
          <w:p w14:paraId="4DF2A320">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00" w:type="dxa"/>
            <w:vMerge w:val="continue"/>
            <w:shd w:val="clear" w:color="auto" w:fill="FFFFFF"/>
            <w:vAlign w:val="center"/>
          </w:tcPr>
          <w:p w14:paraId="54A0972F">
            <w:pPr>
              <w:widowControl/>
              <w:jc w:val="center"/>
              <w:textAlignment w:val="center"/>
              <w:rPr>
                <w:rFonts w:hint="default" w:ascii="Times New Roman" w:hAnsi="Times New Roman" w:cs="Times New Roman"/>
                <w:szCs w:val="21"/>
              </w:rPr>
            </w:pPr>
          </w:p>
        </w:tc>
      </w:tr>
      <w:tr w14:paraId="659A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0" w:hRule="atLeast"/>
          <w:jc w:val="center"/>
        </w:trPr>
        <w:tc>
          <w:tcPr>
            <w:tcW w:w="1819" w:type="dxa"/>
            <w:vMerge w:val="continue"/>
            <w:shd w:val="clear" w:color="auto" w:fill="FFFFFF"/>
            <w:noWrap/>
            <w:vAlign w:val="center"/>
          </w:tcPr>
          <w:p w14:paraId="7EBA0EB1">
            <w:pPr>
              <w:jc w:val="center"/>
              <w:rPr>
                <w:rFonts w:hint="default" w:ascii="Times New Roman" w:hAnsi="Times New Roman" w:cs="Times New Roman"/>
                <w:szCs w:val="21"/>
              </w:rPr>
            </w:pPr>
          </w:p>
        </w:tc>
        <w:tc>
          <w:tcPr>
            <w:tcW w:w="655" w:type="dxa"/>
            <w:shd w:val="clear" w:color="auto" w:fill="FFFFFF"/>
            <w:noWrap/>
            <w:vAlign w:val="center"/>
          </w:tcPr>
          <w:p w14:paraId="2BA67335">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29</w:t>
            </w:r>
          </w:p>
        </w:tc>
        <w:tc>
          <w:tcPr>
            <w:tcW w:w="3855" w:type="dxa"/>
            <w:shd w:val="clear" w:color="auto" w:fill="FFFFFF"/>
            <w:vAlign w:val="center"/>
          </w:tcPr>
          <w:p w14:paraId="194B881A">
            <w:pPr>
              <w:keepNext w:val="0"/>
              <w:keepLines w:val="0"/>
              <w:widowControl/>
              <w:suppressLineNumbers w:val="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地震建筑坍塌开缝器</w:t>
            </w:r>
          </w:p>
        </w:tc>
        <w:tc>
          <w:tcPr>
            <w:tcW w:w="1871" w:type="dxa"/>
            <w:shd w:val="clear" w:color="auto" w:fill="FFFFFF"/>
            <w:vAlign w:val="center"/>
          </w:tcPr>
          <w:p w14:paraId="5AF18D24">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00" w:type="dxa"/>
            <w:vMerge w:val="continue"/>
            <w:shd w:val="clear" w:color="auto" w:fill="FFFFFF"/>
            <w:vAlign w:val="center"/>
          </w:tcPr>
          <w:p w14:paraId="50136724">
            <w:pPr>
              <w:widowControl/>
              <w:jc w:val="center"/>
              <w:textAlignment w:val="center"/>
              <w:rPr>
                <w:rFonts w:hint="default" w:ascii="Times New Roman" w:hAnsi="Times New Roman" w:cs="Times New Roman"/>
                <w:szCs w:val="21"/>
              </w:rPr>
            </w:pPr>
          </w:p>
        </w:tc>
      </w:tr>
      <w:tr w14:paraId="4CF2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1819" w:type="dxa"/>
            <w:vMerge w:val="continue"/>
            <w:shd w:val="clear" w:color="auto" w:fill="FFFFFF"/>
            <w:noWrap/>
            <w:vAlign w:val="center"/>
          </w:tcPr>
          <w:p w14:paraId="3AF88609">
            <w:pPr>
              <w:jc w:val="center"/>
              <w:rPr>
                <w:rFonts w:hint="default" w:ascii="Times New Roman" w:hAnsi="Times New Roman" w:cs="Times New Roman"/>
                <w:szCs w:val="21"/>
              </w:rPr>
            </w:pPr>
          </w:p>
        </w:tc>
        <w:tc>
          <w:tcPr>
            <w:tcW w:w="655" w:type="dxa"/>
            <w:shd w:val="clear" w:color="auto" w:fill="FFFFFF"/>
            <w:noWrap/>
            <w:vAlign w:val="center"/>
          </w:tcPr>
          <w:p w14:paraId="06009424">
            <w:pPr>
              <w:widowControl/>
              <w:jc w:val="center"/>
              <w:textAlignment w:val="center"/>
              <w:rPr>
                <w:rFonts w:hint="default" w:ascii="Times New Roman" w:hAnsi="Times New Roman" w:cs="Times New Roman"/>
                <w:kern w:val="0"/>
                <w:szCs w:val="21"/>
                <w:lang w:val="en-US" w:eastAsia="zh-CN" w:bidi="ar"/>
              </w:rPr>
            </w:pPr>
            <w:r>
              <w:rPr>
                <w:rFonts w:hint="default" w:ascii="Times New Roman" w:hAnsi="Times New Roman" w:cs="Times New Roman"/>
                <w:kern w:val="0"/>
                <w:szCs w:val="21"/>
                <w:lang w:val="en-US" w:eastAsia="zh-CN" w:bidi="ar"/>
              </w:rPr>
              <w:t>30</w:t>
            </w:r>
          </w:p>
        </w:tc>
        <w:tc>
          <w:tcPr>
            <w:tcW w:w="3855" w:type="dxa"/>
            <w:shd w:val="clear" w:color="auto" w:fill="FFFFFF"/>
            <w:vAlign w:val="center"/>
          </w:tcPr>
          <w:p w14:paraId="0C11ACF5">
            <w:pPr>
              <w:keepNext w:val="0"/>
              <w:keepLines w:val="0"/>
              <w:widowControl/>
              <w:suppressLineNumbers w:val="0"/>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等离子切焊机</w:t>
            </w:r>
          </w:p>
        </w:tc>
        <w:tc>
          <w:tcPr>
            <w:tcW w:w="1871" w:type="dxa"/>
            <w:shd w:val="clear" w:color="auto" w:fill="FFFFFF"/>
            <w:vAlign w:val="center"/>
          </w:tcPr>
          <w:p w14:paraId="2CFCB5CA">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00" w:type="dxa"/>
            <w:vMerge w:val="continue"/>
            <w:shd w:val="clear" w:color="auto" w:fill="FFFFFF"/>
            <w:vAlign w:val="center"/>
          </w:tcPr>
          <w:p w14:paraId="3D54ED4E">
            <w:pPr>
              <w:widowControl/>
              <w:jc w:val="center"/>
              <w:textAlignment w:val="center"/>
              <w:rPr>
                <w:rFonts w:hint="default" w:ascii="Times New Roman" w:hAnsi="Times New Roman" w:cs="Times New Roman"/>
                <w:szCs w:val="21"/>
              </w:rPr>
            </w:pPr>
          </w:p>
        </w:tc>
      </w:tr>
    </w:tbl>
    <w:p w14:paraId="5427E4D8">
      <w:pPr>
        <w:spacing w:line="360" w:lineRule="exact"/>
        <w:jc w:val="left"/>
        <w:rPr>
          <w:rFonts w:hint="eastAsia" w:ascii="宋体" w:hAnsi="宋体" w:cs="宋体"/>
          <w:b/>
          <w:bCs/>
          <w:sz w:val="24"/>
        </w:rPr>
      </w:pPr>
      <w:r>
        <w:rPr>
          <w:rFonts w:hint="eastAsia" w:ascii="宋体" w:hAnsi="宋体" w:cs="宋体"/>
          <w:b/>
          <w:bCs/>
          <w:sz w:val="24"/>
        </w:rPr>
        <w:t>（二）技术参数等要求</w:t>
      </w:r>
    </w:p>
    <w:bookmarkEnd w:id="22"/>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30"/>
        <w:gridCol w:w="1069"/>
        <w:gridCol w:w="5224"/>
      </w:tblGrid>
      <w:tr w14:paraId="0D36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vMerge w:val="restart"/>
            <w:vAlign w:val="center"/>
          </w:tcPr>
          <w:p w14:paraId="50B5E8FB">
            <w:pPr>
              <w:jc w:val="center"/>
              <w:rPr>
                <w:b/>
                <w:bCs/>
              </w:rPr>
            </w:pPr>
            <w:r>
              <w:rPr>
                <w:rFonts w:hint="eastAsia"/>
                <w:b/>
                <w:bCs/>
              </w:rPr>
              <w:t>序号</w:t>
            </w:r>
          </w:p>
        </w:tc>
        <w:tc>
          <w:tcPr>
            <w:tcW w:w="1530" w:type="dxa"/>
            <w:vMerge w:val="restart"/>
            <w:vAlign w:val="center"/>
          </w:tcPr>
          <w:p w14:paraId="164C8F1F">
            <w:pPr>
              <w:rPr>
                <w:b/>
                <w:bCs/>
              </w:rPr>
            </w:pPr>
            <w:r>
              <w:rPr>
                <w:rFonts w:hint="eastAsia"/>
                <w:b/>
                <w:bCs/>
              </w:rPr>
              <w:t>内容</w:t>
            </w:r>
          </w:p>
        </w:tc>
        <w:tc>
          <w:tcPr>
            <w:tcW w:w="1069" w:type="dxa"/>
            <w:vMerge w:val="restart"/>
            <w:vAlign w:val="center"/>
          </w:tcPr>
          <w:p w14:paraId="2E236D1C">
            <w:pPr>
              <w:jc w:val="center"/>
              <w:rPr>
                <w:b/>
                <w:bCs/>
              </w:rPr>
            </w:pPr>
            <w:r>
              <w:rPr>
                <w:rFonts w:hint="eastAsia"/>
                <w:b/>
                <w:bCs/>
              </w:rPr>
              <w:t>数量(个、件、套)</w:t>
            </w:r>
          </w:p>
        </w:tc>
        <w:tc>
          <w:tcPr>
            <w:tcW w:w="5224" w:type="dxa"/>
            <w:vMerge w:val="restart"/>
            <w:vAlign w:val="center"/>
          </w:tcPr>
          <w:p w14:paraId="43EBBCDF">
            <w:pPr>
              <w:rPr>
                <w:b/>
                <w:bCs/>
              </w:rPr>
            </w:pPr>
            <w:r>
              <w:rPr>
                <w:rFonts w:hint="eastAsia"/>
                <w:b/>
                <w:bCs/>
              </w:rPr>
              <w:t>性能参数</w:t>
            </w:r>
          </w:p>
        </w:tc>
      </w:tr>
      <w:tr w14:paraId="57FF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vMerge w:val="continue"/>
            <w:vAlign w:val="center"/>
          </w:tcPr>
          <w:p w14:paraId="313412D1">
            <w:pPr>
              <w:jc w:val="center"/>
              <w:rPr>
                <w:b/>
                <w:bCs/>
              </w:rPr>
            </w:pPr>
          </w:p>
        </w:tc>
        <w:tc>
          <w:tcPr>
            <w:tcW w:w="1530" w:type="dxa"/>
            <w:vMerge w:val="continue"/>
            <w:vAlign w:val="center"/>
          </w:tcPr>
          <w:p w14:paraId="3D52BB18">
            <w:pPr>
              <w:rPr>
                <w:b/>
                <w:bCs/>
              </w:rPr>
            </w:pPr>
          </w:p>
        </w:tc>
        <w:tc>
          <w:tcPr>
            <w:tcW w:w="1069" w:type="dxa"/>
            <w:vMerge w:val="continue"/>
            <w:vAlign w:val="center"/>
          </w:tcPr>
          <w:p w14:paraId="5837D4FE">
            <w:pPr>
              <w:jc w:val="center"/>
              <w:rPr>
                <w:b/>
                <w:bCs/>
              </w:rPr>
            </w:pPr>
          </w:p>
        </w:tc>
        <w:tc>
          <w:tcPr>
            <w:tcW w:w="5224" w:type="dxa"/>
            <w:vMerge w:val="continue"/>
            <w:vAlign w:val="center"/>
          </w:tcPr>
          <w:p w14:paraId="3C8F7CFF">
            <w:pPr>
              <w:rPr>
                <w:b/>
                <w:bCs/>
              </w:rPr>
            </w:pPr>
          </w:p>
        </w:tc>
      </w:tr>
      <w:tr w14:paraId="332F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699" w:type="dxa"/>
            <w:noWrap/>
            <w:vAlign w:val="center"/>
          </w:tcPr>
          <w:p w14:paraId="6C483358">
            <w:pPr>
              <w:jc w:val="center"/>
            </w:pPr>
            <w:r>
              <w:rPr>
                <w:rFonts w:hint="eastAsia"/>
              </w:rPr>
              <w:t>1</w:t>
            </w:r>
          </w:p>
        </w:tc>
        <w:tc>
          <w:tcPr>
            <w:tcW w:w="1530" w:type="dxa"/>
            <w:vAlign w:val="center"/>
          </w:tcPr>
          <w:p w14:paraId="76944EAB">
            <w:r>
              <w:rPr>
                <w:rFonts w:hint="eastAsia"/>
              </w:rPr>
              <w:t>环锯</w:t>
            </w:r>
          </w:p>
        </w:tc>
        <w:tc>
          <w:tcPr>
            <w:tcW w:w="1069" w:type="dxa"/>
            <w:vAlign w:val="center"/>
          </w:tcPr>
          <w:p w14:paraId="672F139D">
            <w:pPr>
              <w:jc w:val="center"/>
            </w:pPr>
            <w:r>
              <w:rPr>
                <w:rFonts w:hint="eastAsia"/>
              </w:rPr>
              <w:t>2</w:t>
            </w:r>
          </w:p>
        </w:tc>
        <w:tc>
          <w:tcPr>
            <w:tcW w:w="5224" w:type="dxa"/>
            <w:vAlign w:val="center"/>
          </w:tcPr>
          <w:p w14:paraId="750CC24D">
            <w:pPr>
              <w:numPr>
                <w:ilvl w:val="0"/>
                <w:numId w:val="4"/>
              </w:numPr>
              <w:rPr>
                <w:rFonts w:hint="eastAsia" w:ascii="宋体" w:hAnsi="宋体"/>
                <w:color w:val="auto"/>
                <w:highlight w:val="none"/>
              </w:rPr>
            </w:pPr>
            <w:r>
              <w:rPr>
                <w:rFonts w:hint="eastAsia" w:ascii="宋体" w:hAnsi="宋体"/>
                <w:color w:val="auto"/>
                <w:highlight w:val="none"/>
              </w:rPr>
              <w:t>总体性能符合GB32460-2015《消防应急救援装备破拆机具通用技术条件》的要求，提供国家认证认可检测机构出具的与所投产品型号一致、完整有效的检验检测报告。出具报告的检验检测机构应取得市场监督管理部门的资质认定，一并提供资质认定证明文件。</w:t>
            </w:r>
          </w:p>
          <w:p w14:paraId="4363956C">
            <w:pPr>
              <w:numPr>
                <w:ilvl w:val="0"/>
                <w:numId w:val="0"/>
              </w:numPr>
              <w:rPr>
                <w:rFonts w:hint="eastAsia" w:ascii="宋体" w:hAnsi="宋体"/>
                <w:color w:val="auto"/>
                <w:highlight w:val="none"/>
              </w:rPr>
            </w:pPr>
            <w:r>
              <w:rPr>
                <w:rFonts w:hint="eastAsia" w:ascii="宋体" w:hAnsi="宋体"/>
                <w:color w:val="auto"/>
                <w:highlight w:val="none"/>
              </w:rPr>
              <w:t>2.用以切割金属、混泥土等材料；</w:t>
            </w:r>
          </w:p>
          <w:p w14:paraId="7A641302">
            <w:pPr>
              <w:rPr>
                <w:rFonts w:hint="eastAsia" w:ascii="宋体" w:hAnsi="宋体"/>
                <w:color w:val="auto"/>
                <w:highlight w:val="none"/>
              </w:rPr>
            </w:pPr>
            <w:r>
              <w:rPr>
                <w:rFonts w:hint="eastAsia" w:ascii="宋体" w:hAnsi="宋体"/>
                <w:color w:val="auto"/>
                <w:highlight w:val="none"/>
              </w:rPr>
              <w:t>3.引擎：风冷二冲程；</w:t>
            </w:r>
          </w:p>
          <w:p w14:paraId="6530C919">
            <w:pPr>
              <w:rPr>
                <w:rFonts w:hint="eastAsia" w:ascii="宋体" w:hAnsi="宋体"/>
                <w:color w:val="auto"/>
                <w:highlight w:val="none"/>
              </w:rPr>
            </w:pPr>
            <w:r>
              <w:rPr>
                <w:rFonts w:hint="eastAsia" w:ascii="宋体" w:hAnsi="宋体"/>
                <w:color w:val="auto"/>
                <w:highlight w:val="none"/>
              </w:rPr>
              <w:t>4.功率≥4.5kw；</w:t>
            </w:r>
          </w:p>
          <w:p w14:paraId="6F5F5D3B">
            <w:pPr>
              <w:rPr>
                <w:rFonts w:hint="eastAsia" w:ascii="宋体" w:hAnsi="宋体"/>
                <w:color w:val="auto"/>
                <w:highlight w:val="none"/>
              </w:rPr>
            </w:pPr>
            <w:r>
              <w:rPr>
                <w:rFonts w:hint="eastAsia" w:ascii="宋体" w:hAnsi="宋体"/>
                <w:color w:val="auto"/>
                <w:highlight w:val="none"/>
              </w:rPr>
              <w:t>5.锯片直径≥ 350mm；</w:t>
            </w:r>
          </w:p>
          <w:p w14:paraId="3364E8C9">
            <w:pPr>
              <w:rPr>
                <w:rFonts w:hint="eastAsia" w:ascii="宋体" w:hAnsi="宋体"/>
                <w:color w:val="auto"/>
                <w:highlight w:val="none"/>
              </w:rPr>
            </w:pPr>
            <w:r>
              <w:rPr>
                <w:rFonts w:hint="eastAsia" w:ascii="宋体" w:hAnsi="宋体" w:cs="宋体"/>
                <w:color w:val="auto"/>
                <w:highlight w:val="none"/>
                <w:lang w:eastAsia="zh-CN"/>
              </w:rPr>
              <w:t>★</w:t>
            </w:r>
            <w:r>
              <w:rPr>
                <w:rFonts w:hint="eastAsia" w:ascii="宋体" w:hAnsi="宋体"/>
                <w:color w:val="auto"/>
                <w:highlight w:val="none"/>
              </w:rPr>
              <w:t>6.重量（不包括切割设备）≤15kg；</w:t>
            </w:r>
          </w:p>
          <w:p w14:paraId="640E2B67">
            <w:pPr>
              <w:rPr>
                <w:rFonts w:hint="eastAsia" w:ascii="宋体" w:hAnsi="宋体"/>
                <w:color w:val="auto"/>
                <w:highlight w:val="none"/>
              </w:rPr>
            </w:pPr>
            <w:r>
              <w:rPr>
                <w:rFonts w:hint="eastAsia" w:ascii="宋体" w:hAnsi="宋体" w:cs="宋体"/>
                <w:color w:val="auto"/>
                <w:highlight w:val="none"/>
                <w:lang w:eastAsia="zh-CN"/>
              </w:rPr>
              <w:t>★</w:t>
            </w:r>
            <w:r>
              <w:rPr>
                <w:rFonts w:hint="eastAsia" w:ascii="宋体" w:hAnsi="宋体"/>
                <w:color w:val="auto"/>
                <w:highlight w:val="none"/>
              </w:rPr>
              <w:t>7.最大切割深度≥250mm；</w:t>
            </w:r>
          </w:p>
          <w:p w14:paraId="41AC8172">
            <w:pPr>
              <w:rPr>
                <w:rFonts w:hint="eastAsia" w:ascii="宋体" w:hAnsi="宋体"/>
                <w:color w:val="auto"/>
                <w:highlight w:val="none"/>
              </w:rPr>
            </w:pPr>
            <w:r>
              <w:rPr>
                <w:rFonts w:hint="eastAsia" w:ascii="宋体" w:hAnsi="宋体"/>
                <w:color w:val="auto"/>
                <w:highlight w:val="none"/>
              </w:rPr>
              <w:t>8.噪音≤115dB(A)；</w:t>
            </w:r>
          </w:p>
          <w:p w14:paraId="19BBE204">
            <w:pPr>
              <w:rPr>
                <w:rFonts w:hint="eastAsia" w:ascii="宋体" w:hAnsi="宋体"/>
                <w:color w:val="auto"/>
                <w:highlight w:val="none"/>
              </w:rPr>
            </w:pPr>
            <w:r>
              <w:rPr>
                <w:rFonts w:hint="eastAsia" w:ascii="宋体" w:hAnsi="宋体"/>
                <w:color w:val="auto"/>
                <w:highlight w:val="none"/>
              </w:rPr>
              <w:t>9.排量≥90cm³。</w:t>
            </w:r>
          </w:p>
          <w:p w14:paraId="2A8CB6A6">
            <w:pPr>
              <w:rPr>
                <w:rFonts w:hint="eastAsia" w:eastAsia="宋体"/>
                <w:color w:val="auto"/>
                <w:highlight w:val="none"/>
                <w:lang w:eastAsia="zh-CN"/>
              </w:rPr>
            </w:pPr>
            <w:r>
              <w:rPr>
                <w:rFonts w:hint="eastAsia" w:ascii="宋体" w:hAnsi="宋体"/>
                <w:color w:val="auto"/>
                <w:highlight w:val="none"/>
              </w:rPr>
              <w:t>10.并配备锯片2片，专用工具，加油比例桶</w:t>
            </w:r>
            <w:r>
              <w:rPr>
                <w:rFonts w:hint="eastAsia" w:ascii="宋体" w:hAnsi="宋体"/>
                <w:color w:val="auto"/>
                <w:highlight w:val="none"/>
                <w:lang w:eastAsia="zh-CN"/>
              </w:rPr>
              <w:t>，供水水壶连接导管</w:t>
            </w:r>
            <w:r>
              <w:rPr>
                <w:rFonts w:hint="eastAsia" w:ascii="宋体" w:hAnsi="宋体"/>
                <w:color w:val="auto"/>
                <w:highlight w:val="none"/>
              </w:rPr>
              <w:t>等</w:t>
            </w:r>
            <w:r>
              <w:rPr>
                <w:rFonts w:hint="eastAsia" w:ascii="宋体" w:hAnsi="宋体"/>
                <w:color w:val="auto"/>
                <w:highlight w:val="none"/>
                <w:lang w:eastAsia="zh-CN"/>
              </w:rPr>
              <w:t>。</w:t>
            </w:r>
          </w:p>
        </w:tc>
      </w:tr>
      <w:tr w14:paraId="7CC8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noWrap/>
            <w:vAlign w:val="center"/>
          </w:tcPr>
          <w:p w14:paraId="69B75EB6">
            <w:pPr>
              <w:jc w:val="center"/>
              <w:rPr>
                <w:rFonts w:hint="eastAsia" w:eastAsia="宋体"/>
                <w:lang w:val="en-US" w:eastAsia="zh-CN"/>
              </w:rPr>
            </w:pPr>
            <w:r>
              <w:rPr>
                <w:rFonts w:hint="eastAsia"/>
                <w:lang w:val="en-US" w:eastAsia="zh-CN"/>
              </w:rPr>
              <w:t>2</w:t>
            </w:r>
          </w:p>
        </w:tc>
        <w:tc>
          <w:tcPr>
            <w:tcW w:w="1530" w:type="dxa"/>
            <w:vAlign w:val="center"/>
          </w:tcPr>
          <w:p w14:paraId="3DD6D7F5">
            <w:r>
              <w:rPr>
                <w:rFonts w:hint="eastAsia"/>
              </w:rPr>
              <w:t>机动链锯</w:t>
            </w:r>
          </w:p>
        </w:tc>
        <w:tc>
          <w:tcPr>
            <w:tcW w:w="1069" w:type="dxa"/>
            <w:vAlign w:val="center"/>
          </w:tcPr>
          <w:p w14:paraId="62C21CA5">
            <w:pPr>
              <w:jc w:val="center"/>
            </w:pPr>
            <w:r>
              <w:rPr>
                <w:rFonts w:hint="eastAsia"/>
              </w:rPr>
              <w:t>7</w:t>
            </w:r>
          </w:p>
        </w:tc>
        <w:tc>
          <w:tcPr>
            <w:tcW w:w="5224" w:type="dxa"/>
            <w:vAlign w:val="center"/>
          </w:tcPr>
          <w:p w14:paraId="204FEBAB">
            <w:pPr>
              <w:rPr>
                <w:rFonts w:hint="eastAsia"/>
                <w:color w:val="auto"/>
                <w:highlight w:val="none"/>
              </w:rPr>
            </w:pPr>
            <w:r>
              <w:rPr>
                <w:rFonts w:hint="eastAsia"/>
                <w:color w:val="auto"/>
                <w:highlight w:val="none"/>
              </w:rPr>
              <w:t xml:space="preserve"> 1、总体性能符合GB32460-2015《消防应急救援装备破拆机具通用技术条件》的要求，提供国家认证认可检测机构出具的与所投产品型号一致、完整有效的检验检测报告。出具报告的检验检测机构应取得市场监督管理部门的资质认定，一并提供资质认定证明文件。</w:t>
            </w:r>
          </w:p>
          <w:p w14:paraId="54257D0D">
            <w:pPr>
              <w:rPr>
                <w:rFonts w:hint="eastAsia"/>
                <w:color w:val="auto"/>
                <w:highlight w:val="none"/>
              </w:rPr>
            </w:pPr>
            <w:r>
              <w:rPr>
                <w:rFonts w:hint="eastAsia"/>
                <w:color w:val="auto"/>
                <w:highlight w:val="none"/>
              </w:rPr>
              <w:t xml:space="preserve">2、用于切割各类木质结构障碍物，可切割木头、石膏板等；                            </w:t>
            </w:r>
          </w:p>
          <w:p w14:paraId="3075A5EC">
            <w:pPr>
              <w:rPr>
                <w:rFonts w:hint="eastAsia"/>
                <w:color w:val="auto"/>
                <w:highlight w:val="none"/>
              </w:rPr>
            </w:pPr>
            <w:r>
              <w:rPr>
                <w:rFonts w:hint="eastAsia"/>
                <w:color w:val="auto"/>
                <w:highlight w:val="none"/>
              </w:rPr>
              <w:t>3、配置要求：链条1根，专用工具，加油比例桶，1副备用链条等；</w:t>
            </w:r>
          </w:p>
          <w:p w14:paraId="3C88D939">
            <w:pPr>
              <w:rPr>
                <w:rFonts w:hint="eastAsia"/>
                <w:color w:val="auto"/>
                <w:highlight w:val="none"/>
              </w:rPr>
            </w:pPr>
            <w:r>
              <w:rPr>
                <w:rFonts w:hint="eastAsia" w:ascii="宋体" w:hAnsi="宋体" w:cs="宋体"/>
                <w:color w:val="auto"/>
                <w:highlight w:val="none"/>
                <w:lang w:eastAsia="zh-CN"/>
              </w:rPr>
              <w:t>★</w:t>
            </w:r>
            <w:r>
              <w:rPr>
                <w:rFonts w:hint="eastAsia"/>
                <w:color w:val="auto"/>
                <w:highlight w:val="none"/>
              </w:rPr>
              <w:t>4、功率≥3.4kW；</w:t>
            </w:r>
          </w:p>
          <w:p w14:paraId="54C443C6">
            <w:pPr>
              <w:rPr>
                <w:rFonts w:hint="eastAsia"/>
                <w:color w:val="auto"/>
                <w:highlight w:val="none"/>
              </w:rPr>
            </w:pPr>
            <w:r>
              <w:rPr>
                <w:rFonts w:hint="eastAsia" w:ascii="宋体" w:hAnsi="宋体" w:cs="宋体"/>
                <w:color w:val="auto"/>
                <w:highlight w:val="none"/>
                <w:lang w:eastAsia="zh-CN"/>
              </w:rPr>
              <w:t>★</w:t>
            </w:r>
            <w:r>
              <w:rPr>
                <w:rFonts w:hint="eastAsia"/>
                <w:color w:val="auto"/>
                <w:highlight w:val="none"/>
              </w:rPr>
              <w:t>5、重量（不含导板链条）≤7.0kg；</w:t>
            </w:r>
          </w:p>
          <w:p w14:paraId="5158CD99">
            <w:pPr>
              <w:rPr>
                <w:color w:val="auto"/>
                <w:highlight w:val="none"/>
              </w:rPr>
            </w:pPr>
            <w:r>
              <w:rPr>
                <w:rFonts w:hint="eastAsia"/>
                <w:color w:val="auto"/>
                <w:highlight w:val="none"/>
              </w:rPr>
              <w:t>6、导板长度≥55cm。</w:t>
            </w:r>
          </w:p>
        </w:tc>
      </w:tr>
      <w:tr w14:paraId="7139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jc w:val="center"/>
        </w:trPr>
        <w:tc>
          <w:tcPr>
            <w:tcW w:w="699" w:type="dxa"/>
            <w:noWrap/>
            <w:vAlign w:val="center"/>
          </w:tcPr>
          <w:p w14:paraId="32DF3996">
            <w:pPr>
              <w:jc w:val="center"/>
              <w:rPr>
                <w:rFonts w:hint="eastAsia" w:eastAsia="宋体"/>
                <w:lang w:val="en-US" w:eastAsia="zh-CN"/>
              </w:rPr>
            </w:pPr>
            <w:r>
              <w:rPr>
                <w:rFonts w:hint="eastAsia"/>
                <w:lang w:val="en-US" w:eastAsia="zh-CN"/>
              </w:rPr>
              <w:t>3</w:t>
            </w:r>
          </w:p>
        </w:tc>
        <w:tc>
          <w:tcPr>
            <w:tcW w:w="1530" w:type="dxa"/>
            <w:vAlign w:val="center"/>
          </w:tcPr>
          <w:p w14:paraId="4C0CFF75">
            <w:r>
              <w:rPr>
                <w:rFonts w:hint="eastAsia"/>
              </w:rPr>
              <w:t>无齿锯</w:t>
            </w:r>
          </w:p>
        </w:tc>
        <w:tc>
          <w:tcPr>
            <w:tcW w:w="1069" w:type="dxa"/>
            <w:vAlign w:val="center"/>
          </w:tcPr>
          <w:p w14:paraId="3608F950">
            <w:pPr>
              <w:jc w:val="center"/>
            </w:pPr>
            <w:r>
              <w:rPr>
                <w:rFonts w:hint="eastAsia"/>
              </w:rPr>
              <w:t>6</w:t>
            </w:r>
          </w:p>
        </w:tc>
        <w:tc>
          <w:tcPr>
            <w:tcW w:w="5224" w:type="dxa"/>
            <w:vAlign w:val="center"/>
          </w:tcPr>
          <w:p w14:paraId="69205032">
            <w:pPr>
              <w:rPr>
                <w:rFonts w:hint="eastAsia"/>
                <w:color w:val="auto"/>
                <w:highlight w:val="none"/>
              </w:rPr>
            </w:pPr>
            <w:r>
              <w:rPr>
                <w:rFonts w:hint="eastAsia"/>
                <w:color w:val="auto"/>
                <w:highlight w:val="none"/>
              </w:rPr>
              <w:t>1、总体性能符合GB32460-2015《消防应急救援装备破拆机具通用技术条件》的要求，提供国家认证认可检测机构出具的与所投产品型号一致、完整有效的检验检测报告。出具报告的检验检测机构应取得市场监督管理部门的资质认定，一并提供资质认定证明文件。</w:t>
            </w:r>
          </w:p>
          <w:p w14:paraId="4288B1D1">
            <w:pPr>
              <w:rPr>
                <w:rFonts w:hint="eastAsia"/>
                <w:color w:val="auto"/>
                <w:highlight w:val="none"/>
              </w:rPr>
            </w:pPr>
            <w:r>
              <w:rPr>
                <w:rFonts w:hint="eastAsia"/>
                <w:color w:val="auto"/>
                <w:highlight w:val="none"/>
              </w:rPr>
              <w:t xml:space="preserve">2、用于火灾救援现场快速切割金属器材及钢筋混凝土材料；                          </w:t>
            </w:r>
          </w:p>
          <w:p w14:paraId="4E0B00E7">
            <w:pPr>
              <w:rPr>
                <w:rFonts w:hint="eastAsia"/>
                <w:color w:val="auto"/>
                <w:highlight w:val="none"/>
              </w:rPr>
            </w:pPr>
            <w:r>
              <w:rPr>
                <w:rFonts w:hint="eastAsia"/>
                <w:color w:val="auto"/>
                <w:highlight w:val="none"/>
              </w:rPr>
              <w:t>3、配置要求：不少于1套合金钢锯片、1套金钢石锯片、5片砂轮片，1套专用工具，加油比例桶，水壶2个等；</w:t>
            </w:r>
          </w:p>
          <w:p w14:paraId="49A274E8">
            <w:pPr>
              <w:rPr>
                <w:rFonts w:hint="eastAsia"/>
                <w:color w:val="auto"/>
                <w:highlight w:val="none"/>
              </w:rPr>
            </w:pPr>
            <w:r>
              <w:rPr>
                <w:rFonts w:hint="eastAsia" w:ascii="宋体" w:hAnsi="宋体" w:cs="宋体"/>
                <w:color w:val="auto"/>
                <w:highlight w:val="none"/>
                <w:lang w:eastAsia="zh-CN"/>
              </w:rPr>
              <w:t>★</w:t>
            </w:r>
            <w:r>
              <w:rPr>
                <w:rFonts w:hint="eastAsia"/>
                <w:color w:val="auto"/>
                <w:highlight w:val="none"/>
              </w:rPr>
              <w:t>4、功率≥ 5.5kW；</w:t>
            </w:r>
          </w:p>
          <w:p w14:paraId="10E79C26">
            <w:pPr>
              <w:rPr>
                <w:rFonts w:hint="eastAsia"/>
                <w:color w:val="auto"/>
                <w:highlight w:val="none"/>
              </w:rPr>
            </w:pPr>
            <w:r>
              <w:rPr>
                <w:rFonts w:hint="eastAsia"/>
                <w:color w:val="auto"/>
                <w:highlight w:val="none"/>
              </w:rPr>
              <w:t xml:space="preserve">5、油箱容量≥1L；                                                                                                                                                           </w:t>
            </w:r>
          </w:p>
          <w:p w14:paraId="0951D04A">
            <w:pPr>
              <w:rPr>
                <w:rFonts w:hint="eastAsia"/>
                <w:color w:val="auto"/>
                <w:highlight w:val="none"/>
              </w:rPr>
            </w:pPr>
            <w:r>
              <w:rPr>
                <w:rFonts w:hint="eastAsia" w:ascii="宋体" w:hAnsi="宋体" w:cs="宋体"/>
                <w:color w:val="auto"/>
                <w:highlight w:val="none"/>
                <w:lang w:eastAsia="zh-CN"/>
              </w:rPr>
              <w:t>★</w:t>
            </w:r>
            <w:r>
              <w:rPr>
                <w:rFonts w:hint="eastAsia"/>
                <w:color w:val="auto"/>
                <w:highlight w:val="none"/>
              </w:rPr>
              <w:t>6、动力切割机（不带切割锯片或燃油 ) ≤15kg；</w:t>
            </w:r>
          </w:p>
          <w:p w14:paraId="26B0953B">
            <w:pPr>
              <w:rPr>
                <w:color w:val="auto"/>
                <w:highlight w:val="none"/>
              </w:rPr>
            </w:pPr>
            <w:r>
              <w:rPr>
                <w:rFonts w:hint="eastAsia" w:ascii="宋体" w:hAnsi="宋体" w:cs="宋体"/>
                <w:color w:val="auto"/>
                <w:highlight w:val="none"/>
                <w:lang w:eastAsia="zh-CN"/>
              </w:rPr>
              <w:t>★</w:t>
            </w:r>
            <w:r>
              <w:rPr>
                <w:rFonts w:hint="eastAsia"/>
                <w:color w:val="auto"/>
                <w:highlight w:val="none"/>
              </w:rPr>
              <w:t>7、最大切割深度≥</w:t>
            </w:r>
            <w:r>
              <w:rPr>
                <w:rFonts w:hint="eastAsia"/>
                <w:color w:val="auto"/>
                <w:highlight w:val="none"/>
                <w:lang w:val="en-US" w:eastAsia="zh-CN"/>
              </w:rPr>
              <w:t>130</w:t>
            </w:r>
            <w:r>
              <w:rPr>
                <w:rFonts w:hint="eastAsia"/>
                <w:color w:val="auto"/>
                <w:highlight w:val="none"/>
              </w:rPr>
              <w:t>mm，锯片直径≥400mm。</w:t>
            </w:r>
          </w:p>
        </w:tc>
      </w:tr>
      <w:tr w14:paraId="6BC4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685DA80C">
            <w:pPr>
              <w:jc w:val="center"/>
              <w:rPr>
                <w:rFonts w:hint="eastAsia" w:eastAsia="宋体"/>
                <w:lang w:val="en-US" w:eastAsia="zh-CN"/>
              </w:rPr>
            </w:pPr>
            <w:r>
              <w:rPr>
                <w:rFonts w:hint="eastAsia"/>
                <w:lang w:val="en-US" w:eastAsia="zh-CN"/>
              </w:rPr>
              <w:t>4</w:t>
            </w:r>
          </w:p>
        </w:tc>
        <w:tc>
          <w:tcPr>
            <w:tcW w:w="1530" w:type="dxa"/>
            <w:vAlign w:val="center"/>
          </w:tcPr>
          <w:p w14:paraId="2D7EF0BF">
            <w:r>
              <w:rPr>
                <w:rFonts w:hint="eastAsia"/>
              </w:rPr>
              <w:t>油锯</w:t>
            </w:r>
          </w:p>
        </w:tc>
        <w:tc>
          <w:tcPr>
            <w:tcW w:w="1069" w:type="dxa"/>
            <w:vAlign w:val="center"/>
          </w:tcPr>
          <w:p w14:paraId="21753750">
            <w:pPr>
              <w:jc w:val="center"/>
            </w:pPr>
            <w:r>
              <w:rPr>
                <w:rFonts w:hint="eastAsia"/>
              </w:rPr>
              <w:t>2</w:t>
            </w:r>
          </w:p>
        </w:tc>
        <w:tc>
          <w:tcPr>
            <w:tcW w:w="5224" w:type="dxa"/>
            <w:vAlign w:val="center"/>
          </w:tcPr>
          <w:p w14:paraId="6A81D49D">
            <w:pPr>
              <w:rPr>
                <w:rFonts w:hint="eastAsia"/>
              </w:rPr>
            </w:pPr>
            <w:r>
              <w:rPr>
                <w:rFonts w:hint="eastAsia"/>
              </w:rPr>
              <w:t>1、总体性能符合GB32460-2015《消防应急救援装备破拆机具通用技术条件》的要求</w:t>
            </w:r>
          </w:p>
          <w:p w14:paraId="12C7610E">
            <w:pPr>
              <w:rPr>
                <w:rFonts w:hint="eastAsia"/>
              </w:rPr>
            </w:pPr>
            <w:r>
              <w:rPr>
                <w:rFonts w:hint="eastAsia"/>
              </w:rPr>
              <w:t xml:space="preserve">2、用于切割各类木质结构障碍物，可切割木头、石膏板等；                            </w:t>
            </w:r>
          </w:p>
          <w:p w14:paraId="2F8E2213">
            <w:pPr>
              <w:rPr>
                <w:rFonts w:hint="eastAsia"/>
              </w:rPr>
            </w:pPr>
            <w:r>
              <w:rPr>
                <w:rFonts w:hint="eastAsia"/>
              </w:rPr>
              <w:t>3、配置要求：链条1根，专用工具，加油比例桶，1副备用链条等；</w:t>
            </w:r>
          </w:p>
          <w:p w14:paraId="5C11908A">
            <w:pPr>
              <w:rPr>
                <w:rFonts w:hint="eastAsia" w:eastAsia="宋体"/>
                <w:lang w:eastAsia="zh-CN"/>
              </w:rPr>
            </w:pPr>
            <w:r>
              <w:rPr>
                <w:rFonts w:hint="eastAsia" w:ascii="宋体" w:hAnsi="宋体" w:cs="宋体"/>
                <w:lang w:eastAsia="zh-CN"/>
              </w:rPr>
              <w:t>★</w:t>
            </w:r>
            <w:r>
              <w:rPr>
                <w:rFonts w:hint="eastAsia"/>
              </w:rPr>
              <w:t>4、功率  ≥5kW</w:t>
            </w:r>
            <w:r>
              <w:rPr>
                <w:rFonts w:hint="eastAsia"/>
                <w:lang w:eastAsia="zh-CN"/>
              </w:rPr>
              <w:t>；</w:t>
            </w:r>
          </w:p>
          <w:p w14:paraId="3FD78168">
            <w:pPr>
              <w:rPr>
                <w:rFonts w:hint="eastAsia" w:eastAsia="宋体"/>
                <w:lang w:eastAsia="zh-CN"/>
              </w:rPr>
            </w:pPr>
            <w:r>
              <w:rPr>
                <w:rFonts w:hint="eastAsia"/>
              </w:rPr>
              <w:t>5、动力重量比（千克/千瓦）≤1.4</w:t>
            </w:r>
            <w:r>
              <w:rPr>
                <w:rFonts w:hint="eastAsia"/>
                <w:lang w:eastAsia="zh-CN"/>
              </w:rPr>
              <w:t>；</w:t>
            </w:r>
          </w:p>
          <w:p w14:paraId="5FF7D410">
            <w:pPr>
              <w:rPr>
                <w:rFonts w:hint="eastAsia" w:eastAsia="宋体"/>
                <w:lang w:eastAsia="zh-CN"/>
              </w:rPr>
            </w:pPr>
            <w:r>
              <w:rPr>
                <w:rFonts w:hint="eastAsia"/>
              </w:rPr>
              <w:t>6、导板长度≥ 630mm</w:t>
            </w:r>
            <w:r>
              <w:rPr>
                <w:rFonts w:hint="eastAsia"/>
                <w:lang w:eastAsia="zh-CN"/>
              </w:rPr>
              <w:t>；</w:t>
            </w:r>
          </w:p>
          <w:p w14:paraId="16172365">
            <w:pPr>
              <w:rPr>
                <w:rFonts w:hint="eastAsia" w:eastAsia="宋体"/>
                <w:lang w:eastAsia="zh-CN"/>
              </w:rPr>
            </w:pPr>
            <w:r>
              <w:rPr>
                <w:rFonts w:hint="eastAsia" w:ascii="宋体" w:hAnsi="宋体" w:cs="宋体"/>
                <w:lang w:eastAsia="zh-CN"/>
              </w:rPr>
              <w:t>★</w:t>
            </w:r>
            <w:r>
              <w:rPr>
                <w:rFonts w:hint="eastAsia"/>
              </w:rPr>
              <w:t>7、重量 ≤7.5kg</w:t>
            </w:r>
            <w:r>
              <w:rPr>
                <w:rFonts w:hint="eastAsia"/>
                <w:lang w:eastAsia="zh-CN"/>
              </w:rPr>
              <w:t>。</w:t>
            </w:r>
          </w:p>
        </w:tc>
      </w:tr>
      <w:tr w14:paraId="5D3A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99" w:type="dxa"/>
            <w:noWrap/>
            <w:vAlign w:val="center"/>
          </w:tcPr>
          <w:p w14:paraId="7E1291F8">
            <w:pPr>
              <w:jc w:val="center"/>
              <w:rPr>
                <w:rFonts w:hint="eastAsia" w:eastAsia="宋体"/>
                <w:lang w:val="en-US" w:eastAsia="zh-CN"/>
              </w:rPr>
            </w:pPr>
            <w:r>
              <w:rPr>
                <w:rFonts w:hint="eastAsia"/>
                <w:lang w:val="en-US" w:eastAsia="zh-CN"/>
              </w:rPr>
              <w:t>5</w:t>
            </w:r>
          </w:p>
        </w:tc>
        <w:tc>
          <w:tcPr>
            <w:tcW w:w="1530" w:type="dxa"/>
            <w:vAlign w:val="center"/>
          </w:tcPr>
          <w:p w14:paraId="1598F443">
            <w:r>
              <w:rPr>
                <w:rFonts w:hint="eastAsia"/>
              </w:rPr>
              <w:t>电动无齿锯</w:t>
            </w:r>
          </w:p>
        </w:tc>
        <w:tc>
          <w:tcPr>
            <w:tcW w:w="1069" w:type="dxa"/>
            <w:vAlign w:val="center"/>
          </w:tcPr>
          <w:p w14:paraId="3675F040">
            <w:pPr>
              <w:jc w:val="center"/>
            </w:pPr>
            <w:r>
              <w:rPr>
                <w:rFonts w:hint="eastAsia"/>
              </w:rPr>
              <w:t>4</w:t>
            </w:r>
          </w:p>
        </w:tc>
        <w:tc>
          <w:tcPr>
            <w:tcW w:w="5224" w:type="dxa"/>
            <w:vAlign w:val="center"/>
          </w:tcPr>
          <w:p w14:paraId="0C4271A7">
            <w:pPr>
              <w:rPr>
                <w:rFonts w:hint="eastAsia"/>
                <w:highlight w:val="none"/>
              </w:rPr>
            </w:pPr>
            <w:r>
              <w:rPr>
                <w:rFonts w:hint="eastAsia"/>
                <w:highlight w:val="none"/>
              </w:rPr>
              <w:t>1、总体性能符合GB32460-2015《消防应急救援装备破拆机具通用技术条件》的要求，提供国家认证认可检测机构出具的与所投产品型号一致、完整有效的检验检测报告。出具报告的检验检测机构应取得市场监督管理部门的资质认定，一并提供资质认定证明文件。</w:t>
            </w:r>
          </w:p>
          <w:p w14:paraId="4CBC9C66">
            <w:pPr>
              <w:rPr>
                <w:rFonts w:hint="eastAsia"/>
                <w:highlight w:val="none"/>
              </w:rPr>
            </w:pPr>
            <w:r>
              <w:rPr>
                <w:rFonts w:hint="eastAsia"/>
                <w:highlight w:val="none"/>
              </w:rPr>
              <w:t xml:space="preserve">2、用于火灾救援现场快速切割金属器材及钢筋混凝土材料；                                                                                           </w:t>
            </w:r>
          </w:p>
          <w:p w14:paraId="6EBE3393">
            <w:pPr>
              <w:rPr>
                <w:rFonts w:hint="eastAsia"/>
                <w:highlight w:val="none"/>
              </w:rPr>
            </w:pPr>
            <w:r>
              <w:rPr>
                <w:rFonts w:hint="eastAsia"/>
                <w:highlight w:val="none"/>
              </w:rPr>
              <w:t xml:space="preserve">3、驱动方式：电机驱动，配2块锂电池，轻巧便携，操作简单，易启动，能适应复杂情况下的切割作业；                                                                                                                         </w:t>
            </w:r>
          </w:p>
          <w:p w14:paraId="7A57CF3E">
            <w:pPr>
              <w:rPr>
                <w:rFonts w:hint="eastAsia"/>
                <w:highlight w:val="none"/>
              </w:rPr>
            </w:pPr>
            <w:r>
              <w:rPr>
                <w:rFonts w:hint="eastAsia" w:ascii="宋体" w:hAnsi="宋体" w:cs="宋体"/>
                <w:highlight w:val="none"/>
                <w:lang w:eastAsia="zh-CN"/>
              </w:rPr>
              <w:t>★</w:t>
            </w:r>
            <w:r>
              <w:rPr>
                <w:rFonts w:hint="eastAsia"/>
                <w:highlight w:val="none"/>
              </w:rPr>
              <w:t xml:space="preserve">4、额定直流电压：≥60V，电池容量：≥6Ah，连续工作时间≥30min；锂电池充电时间(0-100%电量)：≤120min；电池电量指示器：电池配备电量指示器，显示电池剩余电量。                                                                                                                                                              </w:t>
            </w:r>
          </w:p>
          <w:p w14:paraId="33C2B623">
            <w:pPr>
              <w:rPr>
                <w:rFonts w:hint="eastAsia"/>
                <w:highlight w:val="none"/>
              </w:rPr>
            </w:pPr>
            <w:r>
              <w:rPr>
                <w:rFonts w:hint="eastAsia"/>
                <w:highlight w:val="none"/>
              </w:rPr>
              <w:t xml:space="preserve">5、质量：≤5.5kg ；                                                                                                                                                         </w:t>
            </w:r>
          </w:p>
          <w:p w14:paraId="7475D00B">
            <w:pPr>
              <w:rPr>
                <w:rFonts w:hint="eastAsia"/>
                <w:highlight w:val="none"/>
              </w:rPr>
            </w:pPr>
            <w:r>
              <w:rPr>
                <w:rFonts w:hint="eastAsia" w:ascii="宋体" w:hAnsi="宋体" w:cs="宋体"/>
                <w:highlight w:val="none"/>
                <w:lang w:eastAsia="zh-CN"/>
              </w:rPr>
              <w:t>★</w:t>
            </w:r>
            <w:r>
              <w:rPr>
                <w:rFonts w:hint="eastAsia"/>
                <w:highlight w:val="none"/>
              </w:rPr>
              <w:t>6、锯片尺寸≥230mm，配2张金刚石锯片、供水水壶，切割深度≥80mm。</w:t>
            </w:r>
          </w:p>
          <w:p w14:paraId="61295961">
            <w:pPr>
              <w:rPr>
                <w:highlight w:val="none"/>
              </w:rPr>
            </w:pPr>
            <w:r>
              <w:rPr>
                <w:rFonts w:hint="eastAsia"/>
                <w:highlight w:val="none"/>
              </w:rPr>
              <w:t>7、锯片紧急制动功能：当锯片被卡或因切割操作不当发生机身反弹时，切割机具备锯片紧急制动功能，锯片完全刹停时间小于0.5s。</w:t>
            </w:r>
          </w:p>
        </w:tc>
      </w:tr>
      <w:tr w14:paraId="3EB7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699" w:type="dxa"/>
            <w:noWrap/>
            <w:vAlign w:val="center"/>
          </w:tcPr>
          <w:p w14:paraId="2D7870F1">
            <w:pPr>
              <w:jc w:val="center"/>
              <w:rPr>
                <w:rFonts w:hint="eastAsia" w:eastAsia="宋体"/>
                <w:lang w:val="en-US" w:eastAsia="zh-CN"/>
              </w:rPr>
            </w:pPr>
            <w:r>
              <w:rPr>
                <w:rFonts w:hint="eastAsia"/>
                <w:lang w:val="en-US" w:eastAsia="zh-CN"/>
              </w:rPr>
              <w:t>6</w:t>
            </w:r>
          </w:p>
        </w:tc>
        <w:tc>
          <w:tcPr>
            <w:tcW w:w="1530" w:type="dxa"/>
            <w:vAlign w:val="center"/>
          </w:tcPr>
          <w:p w14:paraId="7963F416">
            <w:r>
              <w:rPr>
                <w:rFonts w:hint="eastAsia"/>
              </w:rPr>
              <w:t>电动机动链锯</w:t>
            </w:r>
          </w:p>
        </w:tc>
        <w:tc>
          <w:tcPr>
            <w:tcW w:w="1069" w:type="dxa"/>
            <w:vAlign w:val="center"/>
          </w:tcPr>
          <w:p w14:paraId="40ABDED1">
            <w:pPr>
              <w:jc w:val="center"/>
            </w:pPr>
            <w:r>
              <w:rPr>
                <w:rFonts w:hint="eastAsia"/>
              </w:rPr>
              <w:t>3</w:t>
            </w:r>
          </w:p>
        </w:tc>
        <w:tc>
          <w:tcPr>
            <w:tcW w:w="5224" w:type="dxa"/>
            <w:vAlign w:val="center"/>
          </w:tcPr>
          <w:p w14:paraId="485FEB05">
            <w:pPr>
              <w:rPr>
                <w:rFonts w:hint="eastAsia" w:eastAsia="宋体"/>
                <w:highlight w:val="none"/>
                <w:lang w:eastAsia="zh-CN"/>
              </w:rPr>
            </w:pPr>
            <w:r>
              <w:rPr>
                <w:rFonts w:hint="eastAsia"/>
                <w:highlight w:val="none"/>
              </w:rPr>
              <w:t>1、提供国家认证认可检测机构出具的与所投产品型号一致、完整有效的检验检测报告。出具报告的检验检测机构应取得市场监督管理部门的资质认定，一并提供资质认定证明文件</w:t>
            </w:r>
            <w:r>
              <w:rPr>
                <w:rFonts w:hint="eastAsia"/>
                <w:color w:val="auto"/>
                <w:highlight w:val="none"/>
                <w:lang w:eastAsia="zh-CN"/>
              </w:rPr>
              <w:t>。</w:t>
            </w:r>
          </w:p>
          <w:p w14:paraId="2AAC7AE1">
            <w:pPr>
              <w:rPr>
                <w:rFonts w:hint="eastAsia"/>
                <w:highlight w:val="none"/>
              </w:rPr>
            </w:pPr>
            <w:r>
              <w:rPr>
                <w:rFonts w:hint="eastAsia"/>
                <w:highlight w:val="none"/>
              </w:rPr>
              <w:t>2、用于火灾救援现场石膏板、木料的快速切割；</w:t>
            </w:r>
          </w:p>
          <w:p w14:paraId="5249E112">
            <w:pPr>
              <w:rPr>
                <w:rFonts w:hint="eastAsia"/>
                <w:highlight w:val="none"/>
              </w:rPr>
            </w:pPr>
            <w:r>
              <w:rPr>
                <w:rFonts w:hint="eastAsia"/>
                <w:highlight w:val="none"/>
              </w:rPr>
              <w:t>3、驱动方式：电机驱动，配2块锂电池，轻巧便携，操作简单，易启动，能适应复杂情况下的切割作业；</w:t>
            </w:r>
          </w:p>
          <w:p w14:paraId="12B7B0DE">
            <w:pPr>
              <w:rPr>
                <w:rFonts w:hint="eastAsia"/>
                <w:highlight w:val="none"/>
              </w:rPr>
            </w:pPr>
            <w:r>
              <w:rPr>
                <w:rFonts w:hint="eastAsia" w:ascii="宋体" w:hAnsi="宋体" w:cs="宋体"/>
                <w:highlight w:val="none"/>
                <w:lang w:eastAsia="zh-CN"/>
              </w:rPr>
              <w:t>★</w:t>
            </w:r>
            <w:r>
              <w:rPr>
                <w:rFonts w:hint="eastAsia"/>
                <w:highlight w:val="none"/>
              </w:rPr>
              <w:t>4.电池电压≥40V，电池连续工作时间≥20min</w:t>
            </w:r>
          </w:p>
          <w:p w14:paraId="0ADB9E5A">
            <w:pPr>
              <w:rPr>
                <w:rFonts w:hint="eastAsia"/>
                <w:highlight w:val="none"/>
              </w:rPr>
            </w:pPr>
            <w:r>
              <w:rPr>
                <w:rFonts w:hint="eastAsia"/>
                <w:highlight w:val="none"/>
              </w:rPr>
              <w:t>5.重量（不含电池、链锯、导板）≤4.5kg</w:t>
            </w:r>
          </w:p>
          <w:p w14:paraId="334522CC">
            <w:pPr>
              <w:rPr>
                <w:rFonts w:hint="eastAsia"/>
                <w:highlight w:val="none"/>
              </w:rPr>
            </w:pPr>
            <w:r>
              <w:rPr>
                <w:rFonts w:hint="eastAsia"/>
                <w:highlight w:val="none"/>
              </w:rPr>
              <w:t>6.导板长度≥40cm；切深≥305mm</w:t>
            </w:r>
          </w:p>
          <w:p w14:paraId="3004D966">
            <w:pPr>
              <w:rPr>
                <w:highlight w:val="none"/>
              </w:rPr>
            </w:pPr>
            <w:r>
              <w:rPr>
                <w:rFonts w:hint="eastAsia"/>
                <w:highlight w:val="none"/>
              </w:rPr>
              <w:t>7.链条最大速度≥12m/s</w:t>
            </w:r>
          </w:p>
        </w:tc>
      </w:tr>
      <w:tr w14:paraId="73BD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1CF572DB">
            <w:pPr>
              <w:jc w:val="center"/>
              <w:rPr>
                <w:rFonts w:hint="eastAsia" w:eastAsia="宋体"/>
                <w:color w:val="auto"/>
                <w:lang w:val="en-US" w:eastAsia="zh-CN"/>
              </w:rPr>
            </w:pPr>
            <w:r>
              <w:rPr>
                <w:rFonts w:hint="eastAsia"/>
                <w:color w:val="auto"/>
                <w:lang w:val="en-US" w:eastAsia="zh-CN"/>
              </w:rPr>
              <w:t>7</w:t>
            </w:r>
          </w:p>
        </w:tc>
        <w:tc>
          <w:tcPr>
            <w:tcW w:w="1530" w:type="dxa"/>
            <w:vAlign w:val="center"/>
          </w:tcPr>
          <w:p w14:paraId="615E3309">
            <w:pPr>
              <w:rPr>
                <w:color w:val="auto"/>
              </w:rPr>
            </w:pPr>
            <w:r>
              <w:rPr>
                <w:rFonts w:hint="eastAsia"/>
                <w:color w:val="auto"/>
              </w:rPr>
              <w:t>电动剪扩钳</w:t>
            </w:r>
          </w:p>
        </w:tc>
        <w:tc>
          <w:tcPr>
            <w:tcW w:w="1069" w:type="dxa"/>
            <w:vAlign w:val="center"/>
          </w:tcPr>
          <w:p w14:paraId="5A2E2167">
            <w:pPr>
              <w:jc w:val="center"/>
              <w:rPr>
                <w:color w:val="auto"/>
              </w:rPr>
            </w:pPr>
            <w:r>
              <w:rPr>
                <w:rFonts w:hint="eastAsia"/>
                <w:color w:val="auto"/>
              </w:rPr>
              <w:t>3</w:t>
            </w:r>
          </w:p>
        </w:tc>
        <w:tc>
          <w:tcPr>
            <w:tcW w:w="5224" w:type="dxa"/>
            <w:vAlign w:val="center"/>
          </w:tcPr>
          <w:p w14:paraId="1801F5F2">
            <w:pPr>
              <w:rPr>
                <w:rFonts w:hint="eastAsia"/>
                <w:color w:val="auto"/>
              </w:rPr>
            </w:pPr>
            <w:r>
              <w:rPr>
                <w:rFonts w:hint="eastAsia"/>
                <w:color w:val="auto"/>
              </w:rPr>
              <w:t>1、总体性能符合GB/T17906-2021《消防应急救援装备液压破拆工具通用技术条件》技术标准</w:t>
            </w:r>
          </w:p>
          <w:p w14:paraId="15142461">
            <w:pPr>
              <w:rPr>
                <w:rFonts w:hint="eastAsia"/>
                <w:color w:val="auto"/>
              </w:rPr>
            </w:pPr>
            <w:r>
              <w:rPr>
                <w:rFonts w:hint="eastAsia"/>
                <w:color w:val="auto"/>
              </w:rPr>
              <w:t>2、工作压力：≥70Mpa</w:t>
            </w:r>
          </w:p>
          <w:p w14:paraId="21F68E2E">
            <w:pPr>
              <w:rPr>
                <w:rFonts w:hint="eastAsia"/>
                <w:color w:val="auto"/>
              </w:rPr>
            </w:pPr>
            <w:r>
              <w:rPr>
                <w:rFonts w:hint="eastAsia"/>
                <w:color w:val="auto"/>
              </w:rPr>
              <w:t>3、扩张距离≥370mm</w:t>
            </w:r>
          </w:p>
          <w:p w14:paraId="597A785C">
            <w:pPr>
              <w:rPr>
                <w:rFonts w:hint="eastAsia"/>
                <w:color w:val="auto"/>
              </w:rPr>
            </w:pPr>
            <w:r>
              <w:rPr>
                <w:rFonts w:hint="eastAsia"/>
                <w:color w:val="auto"/>
              </w:rPr>
              <w:t>4、扩张力：≥100kN</w:t>
            </w:r>
          </w:p>
          <w:p w14:paraId="7CDE5B17">
            <w:pPr>
              <w:rPr>
                <w:rFonts w:hint="eastAsia"/>
                <w:color w:val="auto"/>
              </w:rPr>
            </w:pPr>
            <w:r>
              <w:rPr>
                <w:rFonts w:hint="eastAsia"/>
                <w:color w:val="auto"/>
              </w:rPr>
              <w:t>5.剪切能力≥Ф35mm圆钢20mm板材（Q235）</w:t>
            </w:r>
          </w:p>
          <w:p w14:paraId="27636F80">
            <w:pPr>
              <w:rPr>
                <w:rFonts w:hint="eastAsia"/>
                <w:color w:val="auto"/>
              </w:rPr>
            </w:pPr>
            <w:r>
              <w:rPr>
                <w:rFonts w:hint="eastAsia"/>
                <w:color w:val="auto"/>
              </w:rPr>
              <w:t>6.牵拉力≥51.4KN</w:t>
            </w:r>
          </w:p>
          <w:p w14:paraId="129CD3DC">
            <w:pPr>
              <w:rPr>
                <w:rFonts w:hint="eastAsia"/>
                <w:color w:val="auto"/>
              </w:rPr>
            </w:pPr>
            <w:r>
              <w:rPr>
                <w:rFonts w:hint="eastAsia"/>
                <w:color w:val="auto"/>
              </w:rPr>
              <w:t>7.夜间照明系统，配有电量显示功能，电量低于20%时显示报警(红色)，控制阀门为星形手柄，用单手拇指即可操作。手柄具备旋转功能，能沿机身中心轴切面方向360°旋转且每隔90°能定位。</w:t>
            </w:r>
          </w:p>
          <w:p w14:paraId="301ACA9C">
            <w:pPr>
              <w:rPr>
                <w:rFonts w:hint="eastAsia" w:eastAsia="宋体"/>
                <w:color w:val="auto"/>
                <w:lang w:eastAsia="zh-CN"/>
              </w:rPr>
            </w:pPr>
            <w:r>
              <w:rPr>
                <w:rFonts w:hint="eastAsia"/>
                <w:color w:val="auto"/>
                <w:lang w:val="en-US" w:eastAsia="zh-CN"/>
              </w:rPr>
              <w:t>8</w:t>
            </w:r>
            <w:r>
              <w:rPr>
                <w:rFonts w:hint="eastAsia"/>
                <w:color w:val="auto"/>
              </w:rPr>
              <w:t>、驱动方式：电机驱动，配2块锂电池，轻巧便携，操作简单，易启动，能适应复杂情况下的切割作业</w:t>
            </w:r>
            <w:r>
              <w:rPr>
                <w:rFonts w:hint="eastAsia"/>
                <w:color w:val="auto"/>
                <w:lang w:eastAsia="zh-CN"/>
              </w:rPr>
              <w:t>。</w:t>
            </w:r>
          </w:p>
        </w:tc>
      </w:tr>
      <w:tr w14:paraId="14E1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4FF9D4FF">
            <w:pPr>
              <w:jc w:val="center"/>
              <w:rPr>
                <w:rFonts w:hint="default"/>
                <w:color w:val="auto"/>
                <w:highlight w:val="none"/>
                <w:lang w:val="en-US" w:eastAsia="zh-CN"/>
              </w:rPr>
            </w:pPr>
            <w:r>
              <w:rPr>
                <w:rFonts w:hint="eastAsia"/>
                <w:color w:val="auto"/>
                <w:highlight w:val="none"/>
                <w:lang w:val="en-US" w:eastAsia="zh-CN"/>
              </w:rPr>
              <w:t>8</w:t>
            </w:r>
          </w:p>
        </w:tc>
        <w:tc>
          <w:tcPr>
            <w:tcW w:w="1530" w:type="dxa"/>
            <w:vAlign w:val="center"/>
          </w:tcPr>
          <w:p w14:paraId="16CA12E3">
            <w:pPr>
              <w:rPr>
                <w:rFonts w:hint="eastAsia"/>
                <w:color w:val="auto"/>
                <w:highlight w:val="none"/>
              </w:rPr>
            </w:pPr>
            <w:r>
              <w:rPr>
                <w:rFonts w:hint="eastAsia"/>
                <w:color w:val="auto"/>
                <w:highlight w:val="none"/>
              </w:rPr>
              <w:t>高频破拆工具组</w:t>
            </w:r>
          </w:p>
          <w:p w14:paraId="48BD8D19">
            <w:pPr>
              <w:rPr>
                <w:color w:val="auto"/>
                <w:highlight w:val="none"/>
              </w:rPr>
            </w:pPr>
            <w:r>
              <w:rPr>
                <w:rFonts w:hint="eastAsia"/>
                <w:color w:val="auto"/>
                <w:highlight w:val="none"/>
              </w:rPr>
              <w:t>（含圆锯、链锯、钻孔功能）</w:t>
            </w:r>
          </w:p>
        </w:tc>
        <w:tc>
          <w:tcPr>
            <w:tcW w:w="1069" w:type="dxa"/>
            <w:vAlign w:val="center"/>
          </w:tcPr>
          <w:p w14:paraId="2D1A52C6">
            <w:pPr>
              <w:jc w:val="center"/>
              <w:rPr>
                <w:color w:val="auto"/>
                <w:highlight w:val="none"/>
              </w:rPr>
            </w:pPr>
            <w:r>
              <w:rPr>
                <w:rFonts w:hint="eastAsia"/>
                <w:color w:val="auto"/>
                <w:highlight w:val="none"/>
              </w:rPr>
              <w:t>1</w:t>
            </w:r>
          </w:p>
        </w:tc>
        <w:tc>
          <w:tcPr>
            <w:tcW w:w="5224" w:type="dxa"/>
            <w:vAlign w:val="center"/>
          </w:tcPr>
          <w:p w14:paraId="44BA638F">
            <w:pPr>
              <w:rPr>
                <w:rFonts w:hint="eastAsia"/>
                <w:color w:val="auto"/>
                <w:highlight w:val="none"/>
              </w:rPr>
            </w:pPr>
            <w:r>
              <w:rPr>
                <w:rFonts w:hint="eastAsia"/>
                <w:color w:val="auto"/>
                <w:highlight w:val="none"/>
              </w:rPr>
              <w:t>用于地震救援或建筑物坍塌现场的钢筋混凝土切割破拆工作，密闭、狭小空间内破拆，无污染、噪音低，适合长时间、连续救援。高频电动破拆工具组由连接线缆、变频器、驱动头、破拆工具头（包括环锯头、链锯头、钻孔机头）和冷却水系统组成，驱动头能连接并驱动任一破拆工具头。</w:t>
            </w:r>
          </w:p>
          <w:p w14:paraId="17D1439A">
            <w:pPr>
              <w:rPr>
                <w:rFonts w:hint="eastAsia"/>
                <w:color w:val="auto"/>
                <w:highlight w:val="none"/>
              </w:rPr>
            </w:pPr>
            <w:r>
              <w:rPr>
                <w:rFonts w:hint="eastAsia"/>
                <w:color w:val="auto"/>
                <w:highlight w:val="none"/>
              </w:rPr>
              <w:t>1、变频器：在220V和380V的电压下均能正常工作。</w:t>
            </w:r>
            <w:r>
              <w:rPr>
                <w:rFonts w:hint="eastAsia" w:ascii="宋体" w:hAnsi="宋体" w:cs="宋体"/>
                <w:color w:val="auto"/>
                <w:highlight w:val="none"/>
                <w:lang w:eastAsia="zh-CN"/>
              </w:rPr>
              <w:t>★</w:t>
            </w:r>
            <w:r>
              <w:rPr>
                <w:rFonts w:hint="eastAsia"/>
                <w:color w:val="auto"/>
                <w:highlight w:val="none"/>
              </w:rPr>
              <w:t>变频器具备自诊断功能并设有故障码显示窗口。变频器发生故障时，能自诊断后在故障码显示窗口处显示3位故障代码，且变频器外壳的一侧面板上贴有全部19种故障代码的对照变。变频器设有数据输出端口，能通过其输出变频器所连接驱动头的转速、温度和负载电流。变频器设有急停开关和调速旋钮。</w:t>
            </w:r>
            <w:r>
              <w:rPr>
                <w:rFonts w:hint="eastAsia" w:ascii="宋体" w:hAnsi="宋体" w:cs="宋体"/>
                <w:color w:val="auto"/>
                <w:highlight w:val="none"/>
                <w:lang w:eastAsia="zh-CN"/>
              </w:rPr>
              <w:t>★</w:t>
            </w:r>
            <w:r>
              <w:rPr>
                <w:rFonts w:hint="eastAsia"/>
                <w:color w:val="auto"/>
                <w:highlight w:val="none"/>
              </w:rPr>
              <w:t>变频器具备负载指示及过载保护功能。机器重量：≤17kg。</w:t>
            </w:r>
            <w:r>
              <w:rPr>
                <w:rFonts w:hint="eastAsia" w:ascii="宋体" w:hAnsi="宋体" w:cs="宋体"/>
                <w:color w:val="auto"/>
                <w:highlight w:val="none"/>
                <w:lang w:eastAsia="zh-CN"/>
              </w:rPr>
              <w:t>★</w:t>
            </w:r>
            <w:r>
              <w:rPr>
                <w:rFonts w:hint="eastAsia"/>
                <w:color w:val="auto"/>
                <w:highlight w:val="none"/>
              </w:rPr>
              <w:t>变频器防护等级不低于IP65。</w:t>
            </w:r>
          </w:p>
          <w:p w14:paraId="39CDEEBE">
            <w:pPr>
              <w:rPr>
                <w:rFonts w:hint="eastAsia"/>
                <w:color w:val="auto"/>
                <w:highlight w:val="none"/>
              </w:rPr>
            </w:pPr>
            <w:r>
              <w:rPr>
                <w:rFonts w:hint="eastAsia"/>
                <w:color w:val="auto"/>
                <w:highlight w:val="none"/>
              </w:rPr>
              <w:t>2、驱动头：防护等级等于或者高于IP66。在不使用机械工具的情况下，能在16秒内完成驱动头和单个破拆工具头的组合或者拆卸。</w:t>
            </w:r>
            <w:r>
              <w:rPr>
                <w:rFonts w:hint="eastAsia" w:ascii="宋体" w:hAnsi="宋体" w:cs="宋体"/>
                <w:color w:val="auto"/>
                <w:highlight w:val="none"/>
                <w:lang w:eastAsia="zh-CN"/>
              </w:rPr>
              <w:t>★</w:t>
            </w:r>
            <w:r>
              <w:rPr>
                <w:rFonts w:hint="eastAsia"/>
                <w:color w:val="auto"/>
                <w:highlight w:val="none"/>
              </w:rPr>
              <w:t>驱动头可多方位操作，驱动头前提把手可180度旋转并能固定锁止于0°和180°位置，操作手柄可以360度无极旋转调节并能固定锁止于90°、180°、270°、360°位置。</w:t>
            </w:r>
            <w:r>
              <w:rPr>
                <w:rFonts w:hint="eastAsia" w:ascii="宋体" w:hAnsi="宋体" w:cs="宋体"/>
                <w:color w:val="auto"/>
                <w:highlight w:val="none"/>
                <w:lang w:eastAsia="zh-CN"/>
              </w:rPr>
              <w:t>★</w:t>
            </w:r>
            <w:r>
              <w:rPr>
                <w:rFonts w:hint="eastAsia"/>
                <w:color w:val="auto"/>
                <w:highlight w:val="none"/>
              </w:rPr>
              <w:t>驱动主机具有反转功能；</w:t>
            </w:r>
            <w:r>
              <w:rPr>
                <w:rFonts w:hint="eastAsia" w:ascii="宋体" w:hAnsi="宋体" w:cs="宋体"/>
                <w:color w:val="auto"/>
                <w:highlight w:val="none"/>
                <w:lang w:eastAsia="zh-CN"/>
              </w:rPr>
              <w:t>★</w:t>
            </w:r>
            <w:r>
              <w:rPr>
                <w:rFonts w:hint="eastAsia"/>
                <w:color w:val="auto"/>
                <w:highlight w:val="none"/>
              </w:rPr>
              <w:t>重量不大于9kg。</w:t>
            </w:r>
            <w:r>
              <w:rPr>
                <w:rFonts w:hint="eastAsia" w:ascii="宋体" w:hAnsi="宋体" w:cs="宋体"/>
                <w:color w:val="auto"/>
                <w:highlight w:val="none"/>
                <w:lang w:eastAsia="zh-CN"/>
              </w:rPr>
              <w:t>★</w:t>
            </w:r>
            <w:r>
              <w:rPr>
                <w:rFonts w:hint="eastAsia"/>
                <w:color w:val="auto"/>
                <w:highlight w:val="none"/>
              </w:rPr>
              <w:t>工具组经持续3H的连续工作性能试验后，驱动头和手柄表面的温度均不大于71℃。</w:t>
            </w:r>
          </w:p>
          <w:p w14:paraId="3895A3AC">
            <w:pPr>
              <w:rPr>
                <w:rFonts w:hint="eastAsia"/>
                <w:color w:val="auto"/>
                <w:highlight w:val="none"/>
              </w:rPr>
            </w:pPr>
            <w:r>
              <w:rPr>
                <w:rFonts w:hint="eastAsia"/>
                <w:color w:val="auto"/>
                <w:highlight w:val="none"/>
              </w:rPr>
              <w:t>3、环锯头：最大安装锯片尺寸：≥395mm。</w:t>
            </w:r>
            <w:r>
              <w:rPr>
                <w:rFonts w:hint="eastAsia" w:ascii="宋体" w:hAnsi="宋体" w:cs="宋体"/>
                <w:color w:val="auto"/>
                <w:highlight w:val="none"/>
                <w:lang w:eastAsia="zh-CN"/>
              </w:rPr>
              <w:t>★</w:t>
            </w:r>
            <w:r>
              <w:rPr>
                <w:rFonts w:hint="eastAsia"/>
                <w:color w:val="auto"/>
                <w:highlight w:val="none"/>
              </w:rPr>
              <w:t>最大切割深度：≥295mm。</w:t>
            </w:r>
            <w:r>
              <w:rPr>
                <w:rFonts w:hint="eastAsia" w:ascii="宋体" w:hAnsi="宋体" w:cs="宋体"/>
                <w:color w:val="auto"/>
                <w:highlight w:val="none"/>
                <w:lang w:eastAsia="zh-CN"/>
              </w:rPr>
              <w:t>★</w:t>
            </w:r>
            <w:r>
              <w:rPr>
                <w:rFonts w:hint="eastAsia"/>
                <w:color w:val="auto"/>
                <w:highlight w:val="none"/>
              </w:rPr>
              <w:t>环锯头重量（含锯片）：≤6kg。</w:t>
            </w:r>
            <w:r>
              <w:rPr>
                <w:rFonts w:hint="eastAsia" w:ascii="宋体" w:hAnsi="宋体" w:cs="宋体"/>
                <w:color w:val="auto"/>
                <w:highlight w:val="none"/>
                <w:lang w:eastAsia="zh-CN"/>
              </w:rPr>
              <w:t>★</w:t>
            </w:r>
            <w:r>
              <w:rPr>
                <w:rFonts w:hint="eastAsia"/>
                <w:color w:val="auto"/>
                <w:highlight w:val="none"/>
              </w:rPr>
              <w:t>锯片最大转速：≥18</w:t>
            </w:r>
            <w:r>
              <w:rPr>
                <w:rFonts w:hint="eastAsia"/>
                <w:color w:val="auto"/>
                <w:highlight w:val="none"/>
                <w:lang w:val="en-US" w:eastAsia="zh-CN"/>
              </w:rPr>
              <w:t>00</w:t>
            </w:r>
            <w:r>
              <w:rPr>
                <w:rFonts w:hint="eastAsia"/>
                <w:color w:val="auto"/>
                <w:highlight w:val="none"/>
              </w:rPr>
              <w:t>转/分钟。</w:t>
            </w:r>
            <w:r>
              <w:rPr>
                <w:rFonts w:hint="eastAsia" w:ascii="宋体" w:hAnsi="宋体" w:cs="宋体"/>
                <w:color w:val="auto"/>
                <w:highlight w:val="none"/>
                <w:lang w:eastAsia="zh-CN"/>
              </w:rPr>
              <w:t>★</w:t>
            </w:r>
            <w:r>
              <w:rPr>
                <w:rFonts w:hint="eastAsia"/>
                <w:color w:val="auto"/>
                <w:highlight w:val="none"/>
              </w:rPr>
              <w:t>防护等级等于或者高于IP66。</w:t>
            </w:r>
          </w:p>
          <w:p w14:paraId="79CDE631">
            <w:pPr>
              <w:rPr>
                <w:rFonts w:hint="eastAsia"/>
                <w:color w:val="auto"/>
                <w:highlight w:val="none"/>
              </w:rPr>
            </w:pPr>
            <w:r>
              <w:rPr>
                <w:rFonts w:hint="eastAsia"/>
                <w:color w:val="auto"/>
                <w:highlight w:val="none"/>
              </w:rPr>
              <w:t>4、链锯头：导板长度：≥490mm；</w:t>
            </w:r>
            <w:r>
              <w:rPr>
                <w:rFonts w:hint="eastAsia" w:ascii="宋体" w:hAnsi="宋体" w:cs="宋体"/>
                <w:color w:val="auto"/>
                <w:highlight w:val="none"/>
                <w:lang w:eastAsia="zh-CN"/>
              </w:rPr>
              <w:t>★</w:t>
            </w:r>
            <w:r>
              <w:rPr>
                <w:rFonts w:hint="eastAsia"/>
                <w:color w:val="auto"/>
                <w:highlight w:val="none"/>
              </w:rPr>
              <w:t>最大切割深度：≥520mm；</w:t>
            </w:r>
            <w:r>
              <w:rPr>
                <w:rFonts w:hint="eastAsia" w:ascii="宋体" w:hAnsi="宋体" w:cs="宋体"/>
                <w:color w:val="auto"/>
                <w:highlight w:val="none"/>
                <w:lang w:eastAsia="zh-CN"/>
              </w:rPr>
              <w:t>★</w:t>
            </w:r>
            <w:r>
              <w:rPr>
                <w:rFonts w:hint="eastAsia"/>
                <w:color w:val="auto"/>
                <w:highlight w:val="none"/>
              </w:rPr>
              <w:t>链锯头重量（含锯条）：≤5.5kg；链锯最大转速：≥900转/分钟。</w:t>
            </w:r>
            <w:r>
              <w:rPr>
                <w:rFonts w:hint="eastAsia" w:ascii="宋体" w:hAnsi="宋体" w:cs="宋体"/>
                <w:color w:val="auto"/>
                <w:highlight w:val="none"/>
                <w:lang w:eastAsia="zh-CN"/>
              </w:rPr>
              <w:t>★</w:t>
            </w:r>
            <w:r>
              <w:rPr>
                <w:rFonts w:hint="eastAsia"/>
                <w:color w:val="auto"/>
                <w:highlight w:val="none"/>
              </w:rPr>
              <w:t>防护等级等于或者高于IP66。</w:t>
            </w:r>
          </w:p>
          <w:p w14:paraId="449F8276">
            <w:pPr>
              <w:rPr>
                <w:rFonts w:hint="eastAsia"/>
                <w:color w:val="auto"/>
                <w:highlight w:val="none"/>
              </w:rPr>
            </w:pPr>
            <w:r>
              <w:rPr>
                <w:rFonts w:hint="eastAsia"/>
                <w:color w:val="auto"/>
                <w:highlight w:val="none"/>
              </w:rPr>
              <w:t>5、钻孔机头：集成中心孔出水，搭配不同的差速器和钻头，可实现60-100mm直径的钻孔需求；配置两种规格钻头：100mm*450mm，60mm*450mm；</w:t>
            </w:r>
            <w:r>
              <w:rPr>
                <w:rFonts w:hint="eastAsia" w:ascii="宋体" w:hAnsi="宋体" w:cs="宋体"/>
                <w:color w:val="auto"/>
                <w:highlight w:val="none"/>
                <w:lang w:eastAsia="zh-CN"/>
              </w:rPr>
              <w:t>★</w:t>
            </w:r>
            <w:r>
              <w:rPr>
                <w:rFonts w:hint="eastAsia"/>
                <w:color w:val="auto"/>
                <w:highlight w:val="none"/>
              </w:rPr>
              <w:t>钻孔机头重量（含60mm钻头）：≤3.5kg。</w:t>
            </w:r>
            <w:r>
              <w:rPr>
                <w:rFonts w:hint="eastAsia" w:ascii="宋体" w:hAnsi="宋体" w:cs="宋体"/>
                <w:color w:val="auto"/>
                <w:highlight w:val="none"/>
                <w:lang w:eastAsia="zh-CN"/>
              </w:rPr>
              <w:t>★</w:t>
            </w:r>
            <w:r>
              <w:rPr>
                <w:rFonts w:hint="eastAsia"/>
                <w:color w:val="auto"/>
                <w:highlight w:val="none"/>
              </w:rPr>
              <w:t>机械式减速器重量：≤1.5kg。防护等级等于或者高于IP66。</w:t>
            </w:r>
          </w:p>
          <w:p w14:paraId="190944A2">
            <w:pPr>
              <w:rPr>
                <w:rFonts w:hint="eastAsia"/>
                <w:color w:val="auto"/>
                <w:highlight w:val="none"/>
              </w:rPr>
            </w:pPr>
            <w:r>
              <w:rPr>
                <w:rFonts w:hint="eastAsia"/>
                <w:color w:val="auto"/>
                <w:highlight w:val="none"/>
              </w:rPr>
              <w:t>6、冷却水系统：由动力源、冷却水输出管、水泵和水箱组成。可为所有工具头稳定地供水，达到水润滑、排屑、降温、降尘等作用。配置充电式锂电池两块，充电器一个，锂电池电压≥17V，锂电池容量≥4.8Ah。</w:t>
            </w:r>
            <w:r>
              <w:rPr>
                <w:rFonts w:hint="eastAsia" w:ascii="宋体" w:hAnsi="宋体" w:cs="宋体"/>
                <w:color w:val="auto"/>
                <w:highlight w:val="none"/>
                <w:lang w:eastAsia="zh-CN"/>
              </w:rPr>
              <w:t>★</w:t>
            </w:r>
            <w:r>
              <w:rPr>
                <w:rFonts w:hint="eastAsia"/>
                <w:color w:val="auto"/>
                <w:highlight w:val="none"/>
              </w:rPr>
              <w:t>水泵流量≥6.4升/分钟。</w:t>
            </w:r>
            <w:r>
              <w:rPr>
                <w:rFonts w:hint="eastAsia" w:ascii="宋体" w:hAnsi="宋体" w:cs="宋体"/>
                <w:color w:val="auto"/>
                <w:highlight w:val="none"/>
                <w:lang w:eastAsia="zh-CN"/>
              </w:rPr>
              <w:t>★</w:t>
            </w:r>
            <w:r>
              <w:rPr>
                <w:rFonts w:hint="eastAsia"/>
                <w:color w:val="auto"/>
                <w:highlight w:val="none"/>
              </w:rPr>
              <w:t>水箱容积≥41升</w:t>
            </w:r>
            <w:r>
              <w:rPr>
                <w:rFonts w:hint="eastAsia"/>
                <w:color w:val="auto"/>
                <w:highlight w:val="none"/>
                <w:lang w:eastAsia="zh-CN"/>
              </w:rPr>
              <w:t>。</w:t>
            </w:r>
          </w:p>
          <w:p w14:paraId="4B1DD4D4">
            <w:pPr>
              <w:rPr>
                <w:color w:val="auto"/>
                <w:highlight w:val="none"/>
              </w:rPr>
            </w:pPr>
            <w:r>
              <w:rPr>
                <w:rFonts w:hint="eastAsia"/>
                <w:color w:val="auto"/>
                <w:highlight w:val="none"/>
              </w:rPr>
              <w:t xml:space="preserve"> 带</w:t>
            </w:r>
            <w:r>
              <w:rPr>
                <w:rFonts w:hint="eastAsia" w:ascii="宋体" w:hAnsi="宋体" w:cs="宋体"/>
                <w:color w:val="auto"/>
                <w:highlight w:val="none"/>
                <w:lang w:eastAsia="zh-CN"/>
              </w:rPr>
              <w:t>★</w:t>
            </w:r>
            <w:r>
              <w:rPr>
                <w:rFonts w:hint="eastAsia"/>
                <w:color w:val="auto"/>
                <w:highlight w:val="none"/>
              </w:rPr>
              <w:t>项参数必须提供国家认证认可检测机构出具的与所投产品型号一致、完整有效的检验检测报告</w:t>
            </w:r>
            <w:r>
              <w:rPr>
                <w:rFonts w:hint="eastAsia"/>
                <w:color w:val="auto"/>
                <w:highlight w:val="none"/>
                <w:lang w:eastAsia="zh-CN"/>
              </w:rPr>
              <w:t>，</w:t>
            </w:r>
            <w:r>
              <w:rPr>
                <w:rFonts w:hint="eastAsia"/>
                <w:color w:val="auto"/>
                <w:highlight w:val="none"/>
              </w:rPr>
              <w:t>报告里未体现视为该项不满足。出具报告的检验检测机构应取得市场监督管理部门的资质认定，一并提供资质认定证明文件。</w:t>
            </w:r>
          </w:p>
        </w:tc>
      </w:tr>
      <w:tr w14:paraId="5D67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3756847F">
            <w:pPr>
              <w:jc w:val="center"/>
              <w:rPr>
                <w:rFonts w:hint="default"/>
                <w:lang w:val="en-US" w:eastAsia="zh-CN"/>
              </w:rPr>
            </w:pPr>
            <w:r>
              <w:rPr>
                <w:rFonts w:hint="eastAsia"/>
                <w:lang w:val="en-US" w:eastAsia="zh-CN"/>
              </w:rPr>
              <w:t>9</w:t>
            </w:r>
          </w:p>
        </w:tc>
        <w:tc>
          <w:tcPr>
            <w:tcW w:w="1530" w:type="dxa"/>
            <w:vAlign w:val="center"/>
          </w:tcPr>
          <w:p w14:paraId="43888EF2">
            <w:r>
              <w:rPr>
                <w:rFonts w:hint="eastAsia"/>
              </w:rPr>
              <w:t>混凝土液压破拆工具组</w:t>
            </w:r>
          </w:p>
        </w:tc>
        <w:tc>
          <w:tcPr>
            <w:tcW w:w="1069" w:type="dxa"/>
            <w:vAlign w:val="center"/>
          </w:tcPr>
          <w:p w14:paraId="544EE1DE">
            <w:pPr>
              <w:jc w:val="center"/>
            </w:pPr>
            <w:r>
              <w:rPr>
                <w:rFonts w:hint="eastAsia"/>
              </w:rPr>
              <w:t>1</w:t>
            </w:r>
          </w:p>
        </w:tc>
        <w:tc>
          <w:tcPr>
            <w:tcW w:w="5224" w:type="dxa"/>
            <w:vAlign w:val="center"/>
          </w:tcPr>
          <w:p w14:paraId="537F7DEC">
            <w:pPr>
              <w:rPr>
                <w:rFonts w:hint="eastAsia"/>
                <w:color w:val="auto"/>
                <w:highlight w:val="none"/>
              </w:rPr>
            </w:pPr>
            <w:r>
              <w:rPr>
                <w:rFonts w:hint="eastAsia"/>
                <w:color w:val="auto"/>
                <w:highlight w:val="none"/>
              </w:rPr>
              <w:t>1、提供国家认证认可检测机构出具的与所投产品型号一致、完整有效的检验检测报告。出具报告的检验检测机构应取得市场监督管理部门的资质认定，一并提供资质认定证明文件。</w:t>
            </w:r>
          </w:p>
          <w:p w14:paraId="4E6888CC">
            <w:pPr>
              <w:rPr>
                <w:rFonts w:hint="eastAsia"/>
                <w:color w:val="auto"/>
                <w:highlight w:val="none"/>
              </w:rPr>
            </w:pPr>
            <w:r>
              <w:rPr>
                <w:rFonts w:hint="eastAsia"/>
                <w:color w:val="auto"/>
                <w:highlight w:val="none"/>
              </w:rPr>
              <w:t xml:space="preserve">2、用于建筑倒塌灾害事故现场破拆作业；                                                                                                         </w:t>
            </w:r>
          </w:p>
          <w:p w14:paraId="685EE03C">
            <w:pPr>
              <w:rPr>
                <w:rFonts w:hint="eastAsia"/>
                <w:color w:val="auto"/>
                <w:highlight w:val="none"/>
              </w:rPr>
            </w:pPr>
            <w:r>
              <w:rPr>
                <w:rFonts w:hint="eastAsia"/>
                <w:color w:val="auto"/>
                <w:highlight w:val="none"/>
              </w:rPr>
              <w:t xml:space="preserve">3、配置要求：液压机动泵、金刚石链锯、圆盘锯、破碎镐、环锯等组成，具备切、割、破碎等功能；                                                                                               </w:t>
            </w:r>
          </w:p>
          <w:p w14:paraId="277ACDD6">
            <w:pPr>
              <w:rPr>
                <w:rFonts w:hint="eastAsia"/>
                <w:color w:val="auto"/>
                <w:highlight w:val="none"/>
              </w:rPr>
            </w:pPr>
            <w:r>
              <w:rPr>
                <w:rFonts w:hint="eastAsia"/>
                <w:color w:val="auto"/>
                <w:highlight w:val="none"/>
              </w:rPr>
              <w:t xml:space="preserve">4、液压机动泵功率≥9.5马力，液压快速接头；                                                                                                                                   </w:t>
            </w:r>
          </w:p>
          <w:p w14:paraId="6CA4D8EF">
            <w:pPr>
              <w:rPr>
                <w:rFonts w:hint="eastAsia"/>
                <w:color w:val="auto"/>
                <w:highlight w:val="none"/>
              </w:rPr>
            </w:pPr>
            <w:r>
              <w:rPr>
                <w:rFonts w:hint="eastAsia" w:ascii="宋体" w:hAnsi="宋体" w:cs="宋体"/>
                <w:color w:val="auto"/>
                <w:highlight w:val="none"/>
                <w:lang w:eastAsia="zh-CN"/>
              </w:rPr>
              <w:t>★</w:t>
            </w:r>
            <w:r>
              <w:rPr>
                <w:rFonts w:hint="eastAsia"/>
                <w:color w:val="auto"/>
                <w:highlight w:val="none"/>
              </w:rPr>
              <w:t xml:space="preserve">5、液压破碎镐冲击能量≥85J，冲击频率≥1400次/min；                                                                                                                                 </w:t>
            </w:r>
          </w:p>
          <w:p w14:paraId="68CFA28A">
            <w:pPr>
              <w:rPr>
                <w:rFonts w:hint="eastAsia"/>
                <w:color w:val="auto"/>
                <w:highlight w:val="none"/>
              </w:rPr>
            </w:pPr>
            <w:r>
              <w:rPr>
                <w:rFonts w:hint="eastAsia"/>
                <w:color w:val="auto"/>
                <w:highlight w:val="none"/>
              </w:rPr>
              <w:t xml:space="preserve">6、圆盘锯切割深度≥120mm，内置供水阀，配3个供水壶；                                                                                                                                             </w:t>
            </w:r>
          </w:p>
          <w:p w14:paraId="29F11218">
            <w:pPr>
              <w:rPr>
                <w:rFonts w:hint="eastAsia"/>
                <w:color w:val="auto"/>
                <w:highlight w:val="none"/>
              </w:rPr>
            </w:pPr>
            <w:r>
              <w:rPr>
                <w:rFonts w:hint="eastAsia"/>
                <w:color w:val="auto"/>
                <w:highlight w:val="none"/>
              </w:rPr>
              <w:t xml:space="preserve">7、金刚石链锯链板长度≥30cm；   </w:t>
            </w:r>
          </w:p>
          <w:p w14:paraId="714D0F37">
            <w:pPr>
              <w:rPr>
                <w:rFonts w:hint="eastAsia"/>
                <w:color w:val="auto"/>
                <w:highlight w:val="none"/>
              </w:rPr>
            </w:pPr>
            <w:r>
              <w:rPr>
                <w:rFonts w:hint="eastAsia"/>
                <w:color w:val="auto"/>
                <w:highlight w:val="none"/>
              </w:rPr>
              <w:t>8、环锯锯片尺寸≥350mm、切割深度≥ 250mm，重量≤</w:t>
            </w:r>
            <w:r>
              <w:rPr>
                <w:rFonts w:hint="eastAsia"/>
                <w:color w:val="auto"/>
                <w:highlight w:val="none"/>
                <w:lang w:val="en-US" w:eastAsia="zh-CN"/>
              </w:rPr>
              <w:t>12</w:t>
            </w:r>
            <w:r>
              <w:rPr>
                <w:rFonts w:hint="eastAsia"/>
                <w:color w:val="auto"/>
                <w:highlight w:val="none"/>
              </w:rPr>
              <w:t xml:space="preserve">kg，内置供水阀；                                                                                                                                </w:t>
            </w:r>
          </w:p>
          <w:p w14:paraId="5F35AAF7">
            <w:pPr>
              <w:rPr>
                <w:color w:val="auto"/>
                <w:highlight w:val="none"/>
              </w:rPr>
            </w:pPr>
            <w:r>
              <w:rPr>
                <w:rFonts w:hint="eastAsia"/>
                <w:color w:val="auto"/>
                <w:highlight w:val="none"/>
              </w:rPr>
              <w:t>9、液压油管，长度≥6m，液压快速接头。</w:t>
            </w:r>
          </w:p>
        </w:tc>
      </w:tr>
      <w:tr w14:paraId="210F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43065A52">
            <w:pPr>
              <w:jc w:val="center"/>
              <w:rPr>
                <w:rFonts w:hint="default"/>
                <w:lang w:val="en-US" w:eastAsia="zh-CN"/>
              </w:rPr>
            </w:pPr>
            <w:r>
              <w:rPr>
                <w:rFonts w:hint="eastAsia"/>
                <w:lang w:val="en-US" w:eastAsia="zh-CN"/>
              </w:rPr>
              <w:t>10</w:t>
            </w:r>
          </w:p>
        </w:tc>
        <w:tc>
          <w:tcPr>
            <w:tcW w:w="1530" w:type="dxa"/>
            <w:vAlign w:val="center"/>
          </w:tcPr>
          <w:p w14:paraId="4E48796F">
            <w:r>
              <w:rPr>
                <w:rFonts w:hint="eastAsia"/>
              </w:rPr>
              <w:t>双轮异向切割锯</w:t>
            </w:r>
          </w:p>
        </w:tc>
        <w:tc>
          <w:tcPr>
            <w:tcW w:w="1069" w:type="dxa"/>
            <w:vAlign w:val="center"/>
          </w:tcPr>
          <w:p w14:paraId="7D92805E">
            <w:pPr>
              <w:jc w:val="center"/>
            </w:pPr>
            <w:r>
              <w:rPr>
                <w:rFonts w:hint="eastAsia"/>
              </w:rPr>
              <w:t>5</w:t>
            </w:r>
          </w:p>
        </w:tc>
        <w:tc>
          <w:tcPr>
            <w:tcW w:w="5224" w:type="dxa"/>
            <w:vAlign w:val="center"/>
          </w:tcPr>
          <w:p w14:paraId="0E0E8706">
            <w:pPr>
              <w:rPr>
                <w:rFonts w:hint="eastAsia"/>
                <w:color w:val="auto"/>
                <w:highlight w:val="none"/>
              </w:rPr>
            </w:pPr>
            <w:r>
              <w:rPr>
                <w:rFonts w:hint="eastAsia"/>
                <w:color w:val="auto"/>
                <w:highlight w:val="none"/>
              </w:rPr>
              <w:t>1、总体性能符合GB32460-2015《消防应急救援装备破拆机具通用技术条件》的要求，提供国家认证认可检测机构出具的与所投产品型号一致、完整有效的检验检测报告。出具报告的检验检测机构应取得市场监督管理部门的资质认定，一并提供资质认定证明文件。</w:t>
            </w:r>
          </w:p>
          <w:p w14:paraId="3F9CA182">
            <w:pPr>
              <w:rPr>
                <w:rFonts w:hint="eastAsia"/>
                <w:color w:val="auto"/>
                <w:highlight w:val="none"/>
              </w:rPr>
            </w:pPr>
            <w:r>
              <w:rPr>
                <w:rFonts w:hint="eastAsia"/>
                <w:color w:val="auto"/>
                <w:highlight w:val="none"/>
              </w:rPr>
              <w:t xml:space="preserve">2、主要用于钢材、钢管、电缆、铝材、木材、墙板、塑料、玻璃等材料的切割；                                                                                                                                                                                </w:t>
            </w:r>
          </w:p>
          <w:p w14:paraId="467423BB">
            <w:pPr>
              <w:rPr>
                <w:rFonts w:hint="eastAsia"/>
                <w:color w:val="auto"/>
                <w:highlight w:val="none"/>
              </w:rPr>
            </w:pPr>
            <w:r>
              <w:rPr>
                <w:rFonts w:hint="eastAsia"/>
                <w:color w:val="auto"/>
                <w:highlight w:val="none"/>
              </w:rPr>
              <w:t xml:space="preserve">3、配置要求：发动机、2付锯片、油箱、专用工具箱、护目镜、专用工具、比例加油桶等部件；                                                                                                     </w:t>
            </w:r>
          </w:p>
          <w:p w14:paraId="588A5C69">
            <w:pPr>
              <w:rPr>
                <w:rFonts w:hint="eastAsia"/>
                <w:color w:val="auto"/>
                <w:highlight w:val="none"/>
              </w:rPr>
            </w:pPr>
            <w:r>
              <w:rPr>
                <w:rFonts w:hint="eastAsia"/>
                <w:color w:val="auto"/>
                <w:highlight w:val="none"/>
              </w:rPr>
              <w:t xml:space="preserve">4、功率≥4kW； </w:t>
            </w:r>
          </w:p>
          <w:p w14:paraId="1014BD53">
            <w:pPr>
              <w:rPr>
                <w:rFonts w:hint="eastAsia"/>
                <w:color w:val="auto"/>
                <w:highlight w:val="none"/>
              </w:rPr>
            </w:pPr>
            <w:r>
              <w:rPr>
                <w:rFonts w:hint="eastAsia"/>
                <w:color w:val="auto"/>
                <w:highlight w:val="none"/>
              </w:rPr>
              <w:t xml:space="preserve">5、锯片直径≥315mm、切割深度≥110mm；                                                                                                                                       </w:t>
            </w:r>
          </w:p>
          <w:p w14:paraId="6F162EAE">
            <w:pPr>
              <w:rPr>
                <w:color w:val="auto"/>
                <w:highlight w:val="none"/>
              </w:rPr>
            </w:pPr>
            <w:r>
              <w:rPr>
                <w:rFonts w:hint="eastAsia"/>
                <w:color w:val="auto"/>
                <w:highlight w:val="none"/>
              </w:rPr>
              <w:t>6、噪声（空载最高转速时）≤105dB；重量 （不含锯片和燃油）≤15kg。</w:t>
            </w:r>
          </w:p>
        </w:tc>
      </w:tr>
      <w:tr w14:paraId="2F5D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2B0504E9">
            <w:pPr>
              <w:jc w:val="center"/>
              <w:rPr>
                <w:rFonts w:hint="default"/>
                <w:lang w:val="en-US" w:eastAsia="zh-CN"/>
              </w:rPr>
            </w:pPr>
            <w:r>
              <w:rPr>
                <w:rFonts w:hint="eastAsia"/>
                <w:lang w:val="en-US" w:eastAsia="zh-CN"/>
              </w:rPr>
              <w:t>11</w:t>
            </w:r>
          </w:p>
        </w:tc>
        <w:tc>
          <w:tcPr>
            <w:tcW w:w="1530" w:type="dxa"/>
            <w:vAlign w:val="center"/>
          </w:tcPr>
          <w:p w14:paraId="1791A399">
            <w:r>
              <w:rPr>
                <w:rFonts w:hint="eastAsia"/>
              </w:rPr>
              <w:t>凿岩机</w:t>
            </w:r>
          </w:p>
        </w:tc>
        <w:tc>
          <w:tcPr>
            <w:tcW w:w="1069" w:type="dxa"/>
            <w:vAlign w:val="center"/>
          </w:tcPr>
          <w:p w14:paraId="6B5C224C">
            <w:pPr>
              <w:jc w:val="center"/>
            </w:pPr>
            <w:r>
              <w:rPr>
                <w:rFonts w:hint="eastAsia"/>
              </w:rPr>
              <w:t>1</w:t>
            </w:r>
          </w:p>
        </w:tc>
        <w:tc>
          <w:tcPr>
            <w:tcW w:w="5224" w:type="dxa"/>
            <w:vAlign w:val="center"/>
          </w:tcPr>
          <w:p w14:paraId="56680ED7">
            <w:pPr>
              <w:rPr>
                <w:rFonts w:hint="eastAsia"/>
                <w:color w:val="auto"/>
                <w:highlight w:val="none"/>
              </w:rPr>
            </w:pPr>
            <w:r>
              <w:rPr>
                <w:rFonts w:hint="eastAsia"/>
                <w:color w:val="auto"/>
                <w:highlight w:val="none"/>
              </w:rPr>
              <w:t>1、提供国家认证认可检测机构出具的与所投产品型号一致、完整有效的检验检测报告。出具报告的检验检测机构应取得市场监督管理部门的资质认定，一并提供资质认定证明文件。</w:t>
            </w:r>
          </w:p>
          <w:p w14:paraId="0AD87C81">
            <w:pPr>
              <w:rPr>
                <w:rFonts w:hint="eastAsia"/>
                <w:color w:val="auto"/>
                <w:highlight w:val="none"/>
              </w:rPr>
            </w:pPr>
            <w:r>
              <w:rPr>
                <w:rFonts w:hint="eastAsia"/>
                <w:color w:val="auto"/>
                <w:highlight w:val="none"/>
              </w:rPr>
              <w:t>2、风动式，用于破拆岩石、塌方土石或钢筋混凝土；</w:t>
            </w:r>
          </w:p>
          <w:p w14:paraId="4F598068">
            <w:pPr>
              <w:rPr>
                <w:rFonts w:hint="eastAsia"/>
                <w:color w:val="auto"/>
                <w:highlight w:val="none"/>
              </w:rPr>
            </w:pPr>
            <w:r>
              <w:rPr>
                <w:rFonts w:hint="eastAsia"/>
                <w:color w:val="auto"/>
                <w:highlight w:val="none"/>
              </w:rPr>
              <w:t>3、单缸、风冷、两冲程发动机；</w:t>
            </w:r>
          </w:p>
          <w:p w14:paraId="4B8A3746">
            <w:pPr>
              <w:rPr>
                <w:rFonts w:hint="eastAsia"/>
                <w:color w:val="auto"/>
                <w:highlight w:val="none"/>
              </w:rPr>
            </w:pPr>
            <w:r>
              <w:rPr>
                <w:rFonts w:hint="eastAsia"/>
                <w:color w:val="auto"/>
                <w:highlight w:val="none"/>
              </w:rPr>
              <w:t>4、最大功率≥1.5kw；</w:t>
            </w:r>
          </w:p>
          <w:p w14:paraId="2E2BB704">
            <w:pPr>
              <w:rPr>
                <w:rFonts w:hint="eastAsia"/>
                <w:color w:val="auto"/>
                <w:highlight w:val="none"/>
              </w:rPr>
            </w:pPr>
            <w:r>
              <w:rPr>
                <w:rFonts w:hint="eastAsia"/>
                <w:color w:val="auto"/>
                <w:highlight w:val="none"/>
              </w:rPr>
              <w:t>5、冲击频率≥1300N/min；</w:t>
            </w:r>
          </w:p>
          <w:p w14:paraId="63D227B2">
            <w:pPr>
              <w:rPr>
                <w:rFonts w:hint="eastAsia"/>
                <w:color w:val="auto"/>
                <w:highlight w:val="none"/>
              </w:rPr>
            </w:pPr>
            <w:r>
              <w:rPr>
                <w:rFonts w:hint="eastAsia"/>
                <w:color w:val="auto"/>
                <w:highlight w:val="none"/>
              </w:rPr>
              <w:t>6、最大冲击能≥55J；</w:t>
            </w:r>
          </w:p>
          <w:p w14:paraId="7E0E1AAB">
            <w:pPr>
              <w:rPr>
                <w:rFonts w:hint="eastAsia"/>
                <w:color w:val="auto"/>
                <w:highlight w:val="none"/>
              </w:rPr>
            </w:pPr>
            <w:r>
              <w:rPr>
                <w:rFonts w:hint="eastAsia"/>
                <w:color w:val="auto"/>
                <w:highlight w:val="none"/>
              </w:rPr>
              <w:t>7、重量≤25kg；</w:t>
            </w:r>
          </w:p>
          <w:p w14:paraId="06BA2632">
            <w:pPr>
              <w:rPr>
                <w:rFonts w:hint="eastAsia"/>
                <w:color w:val="auto"/>
                <w:highlight w:val="none"/>
              </w:rPr>
            </w:pPr>
            <w:r>
              <w:rPr>
                <w:rFonts w:hint="eastAsia"/>
                <w:color w:val="auto"/>
                <w:highlight w:val="none"/>
              </w:rPr>
              <w:t>8、油箱容积≥1.8L；</w:t>
            </w:r>
          </w:p>
          <w:p w14:paraId="28DF7ACD">
            <w:pPr>
              <w:rPr>
                <w:color w:val="auto"/>
                <w:highlight w:val="none"/>
              </w:rPr>
            </w:pPr>
            <w:r>
              <w:rPr>
                <w:rFonts w:hint="eastAsia"/>
                <w:color w:val="auto"/>
                <w:highlight w:val="none"/>
              </w:rPr>
              <w:t>9、总震动加速值≤9m/s²。</w:t>
            </w:r>
          </w:p>
        </w:tc>
      </w:tr>
      <w:tr w14:paraId="038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7BA46E3C">
            <w:pPr>
              <w:jc w:val="center"/>
              <w:rPr>
                <w:rFonts w:hint="default"/>
                <w:lang w:val="en-US" w:eastAsia="zh-CN"/>
              </w:rPr>
            </w:pPr>
            <w:r>
              <w:rPr>
                <w:rFonts w:hint="eastAsia"/>
                <w:lang w:val="en-US" w:eastAsia="zh-CN"/>
              </w:rPr>
              <w:t>12</w:t>
            </w:r>
          </w:p>
        </w:tc>
        <w:tc>
          <w:tcPr>
            <w:tcW w:w="1530" w:type="dxa"/>
            <w:vAlign w:val="center"/>
          </w:tcPr>
          <w:p w14:paraId="2BC7ACF8">
            <w:r>
              <w:rPr>
                <w:rFonts w:hint="eastAsia"/>
              </w:rPr>
              <w:t>玻璃破碎器</w:t>
            </w:r>
          </w:p>
        </w:tc>
        <w:tc>
          <w:tcPr>
            <w:tcW w:w="1069" w:type="dxa"/>
            <w:vAlign w:val="center"/>
          </w:tcPr>
          <w:p w14:paraId="5E1717A4">
            <w:pPr>
              <w:jc w:val="center"/>
            </w:pPr>
            <w:r>
              <w:rPr>
                <w:rFonts w:hint="eastAsia"/>
              </w:rPr>
              <w:t>6</w:t>
            </w:r>
          </w:p>
        </w:tc>
        <w:tc>
          <w:tcPr>
            <w:tcW w:w="5224" w:type="dxa"/>
            <w:vAlign w:val="center"/>
          </w:tcPr>
          <w:p w14:paraId="7DE68CFE">
            <w:pPr>
              <w:rPr>
                <w:rFonts w:hint="eastAsia"/>
                <w:color w:val="auto"/>
                <w:highlight w:val="none"/>
              </w:rPr>
            </w:pPr>
            <w:r>
              <w:rPr>
                <w:rFonts w:hint="eastAsia"/>
                <w:color w:val="auto"/>
                <w:highlight w:val="none"/>
              </w:rPr>
              <w:t>1、提供国家认证认可检测机构出具的与所投产品型号一致、完整有效的检验检测报告。出具报告的检验检测机构应取得市场监督管理部门的资质认定，一并提供资质认定证明文件。</w:t>
            </w:r>
          </w:p>
          <w:p w14:paraId="1F202CA4">
            <w:pPr>
              <w:rPr>
                <w:rFonts w:hint="eastAsia"/>
                <w:color w:val="auto"/>
                <w:highlight w:val="none"/>
              </w:rPr>
            </w:pPr>
            <w:r>
              <w:rPr>
                <w:rFonts w:hint="eastAsia"/>
                <w:color w:val="auto"/>
                <w:highlight w:val="none"/>
              </w:rPr>
              <w:t>2、主要功能：用于破碎和切割交通工具或玻璃幕墙上的玻璃。</w:t>
            </w:r>
          </w:p>
          <w:p w14:paraId="7D00B272">
            <w:pPr>
              <w:rPr>
                <w:rFonts w:hint="eastAsia"/>
                <w:color w:val="auto"/>
                <w:highlight w:val="none"/>
              </w:rPr>
            </w:pPr>
            <w:r>
              <w:rPr>
                <w:rFonts w:hint="eastAsia"/>
                <w:color w:val="auto"/>
                <w:highlight w:val="none"/>
              </w:rPr>
              <w:t>3、配置（包含但不限于）：玻璃切割机1台、玻璃切割片3片、充电式电钻1台、大理石玻璃钻头：（100mm≥1个，50mm≥2个，25mm≥3个）、玻璃强力钳1把、单抓玻璃吸盘1个、自控注油玻璃刀1个、金刚石玻璃圆锉1把、金刚石玻璃平锉1把、玻璃破碎锤1把、充电锂电池2块、充电器：1个。</w:t>
            </w:r>
          </w:p>
          <w:p w14:paraId="191633B3">
            <w:pPr>
              <w:rPr>
                <w:rFonts w:hint="eastAsia"/>
                <w:color w:val="auto"/>
                <w:highlight w:val="none"/>
              </w:rPr>
            </w:pPr>
            <w:r>
              <w:rPr>
                <w:rFonts w:hint="eastAsia"/>
                <w:color w:val="auto"/>
                <w:highlight w:val="none"/>
              </w:rPr>
              <w:t>4、切割机功率≥1600W，最大切割深度≥30mm；</w:t>
            </w:r>
          </w:p>
          <w:p w14:paraId="17159911">
            <w:pPr>
              <w:rPr>
                <w:color w:val="auto"/>
                <w:highlight w:val="none"/>
              </w:rPr>
            </w:pPr>
            <w:r>
              <w:rPr>
                <w:rFonts w:hint="eastAsia"/>
                <w:color w:val="auto"/>
                <w:highlight w:val="none"/>
              </w:rPr>
              <w:t>5、电钻电池≥12V；最大转速≥1200转/分；</w:t>
            </w:r>
          </w:p>
        </w:tc>
      </w:tr>
      <w:tr w14:paraId="2371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noWrap/>
            <w:vAlign w:val="center"/>
          </w:tcPr>
          <w:p w14:paraId="1BF16B00">
            <w:pPr>
              <w:jc w:val="center"/>
              <w:rPr>
                <w:rFonts w:hint="default"/>
                <w:lang w:val="en-US" w:eastAsia="zh-CN"/>
              </w:rPr>
            </w:pPr>
            <w:r>
              <w:rPr>
                <w:rFonts w:hint="eastAsia"/>
                <w:lang w:val="en-US" w:eastAsia="zh-CN"/>
              </w:rPr>
              <w:t>13</w:t>
            </w:r>
          </w:p>
        </w:tc>
        <w:tc>
          <w:tcPr>
            <w:tcW w:w="1530" w:type="dxa"/>
            <w:vAlign w:val="center"/>
          </w:tcPr>
          <w:p w14:paraId="43C5FBFF">
            <w:r>
              <w:rPr>
                <w:rFonts w:hint="eastAsia"/>
              </w:rPr>
              <w:t>手持式钢筋速断器</w:t>
            </w:r>
          </w:p>
        </w:tc>
        <w:tc>
          <w:tcPr>
            <w:tcW w:w="1069" w:type="dxa"/>
            <w:vAlign w:val="center"/>
          </w:tcPr>
          <w:p w14:paraId="05F98F23">
            <w:pPr>
              <w:jc w:val="center"/>
            </w:pPr>
            <w:r>
              <w:rPr>
                <w:rFonts w:hint="eastAsia"/>
              </w:rPr>
              <w:t>3</w:t>
            </w:r>
          </w:p>
        </w:tc>
        <w:tc>
          <w:tcPr>
            <w:tcW w:w="5224" w:type="dxa"/>
            <w:vAlign w:val="center"/>
          </w:tcPr>
          <w:p w14:paraId="16D0AB7B">
            <w:pPr>
              <w:rPr>
                <w:rFonts w:hint="eastAsia"/>
                <w:color w:val="auto"/>
                <w:highlight w:val="none"/>
              </w:rPr>
            </w:pPr>
            <w:r>
              <w:rPr>
                <w:rFonts w:hint="eastAsia"/>
                <w:color w:val="auto"/>
                <w:highlight w:val="none"/>
              </w:rPr>
              <w:t>1、总体性能符合《消防应急救援装备破拆机具通用技术条件》GB32460-2015的要求，提供国家认证认可检测机构出具的与所投产品型号一致、完整有效的检验检测报告。出具报告的检验检测机构应取得市场监督管理部门的资质认定，一并提供资质认定证明文件。</w:t>
            </w:r>
          </w:p>
          <w:p w14:paraId="5134F6AD">
            <w:pPr>
              <w:rPr>
                <w:rFonts w:hint="eastAsia"/>
                <w:color w:val="auto"/>
                <w:highlight w:val="none"/>
              </w:rPr>
            </w:pPr>
            <w:r>
              <w:rPr>
                <w:rFonts w:hint="eastAsia"/>
                <w:color w:val="auto"/>
                <w:highlight w:val="none"/>
              </w:rPr>
              <w:t>2、对钢筋、护网快速切，使用充电锂电池，使用场地不受限制，便于单手操作，切断刀刃四面可用；</w:t>
            </w:r>
          </w:p>
          <w:p w14:paraId="78C72054">
            <w:pPr>
              <w:rPr>
                <w:rFonts w:hint="eastAsia"/>
                <w:color w:val="auto"/>
                <w:highlight w:val="none"/>
              </w:rPr>
            </w:pPr>
            <w:r>
              <w:rPr>
                <w:rFonts w:hint="eastAsia"/>
                <w:color w:val="auto"/>
                <w:highlight w:val="none"/>
              </w:rPr>
              <w:t>3、连续工作时间≥30min，配备备用电池；</w:t>
            </w:r>
          </w:p>
          <w:p w14:paraId="62475A2C">
            <w:pPr>
              <w:rPr>
                <w:color w:val="auto"/>
                <w:highlight w:val="none"/>
              </w:rPr>
            </w:pPr>
            <w:r>
              <w:rPr>
                <w:rFonts w:hint="eastAsia"/>
                <w:color w:val="auto"/>
                <w:highlight w:val="none"/>
              </w:rPr>
              <w:t>4、切割头可做360°自由旋转，切割力≥10T，最大切割圆钢直径20mm，最小切割直径不大于4mm。</w:t>
            </w:r>
          </w:p>
        </w:tc>
      </w:tr>
      <w:tr w14:paraId="370A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9" w:type="dxa"/>
            <w:noWrap/>
            <w:vAlign w:val="center"/>
          </w:tcPr>
          <w:p w14:paraId="5D3A6033">
            <w:pPr>
              <w:jc w:val="center"/>
              <w:rPr>
                <w:rFonts w:hint="default"/>
                <w:lang w:val="en-US" w:eastAsia="zh-CN"/>
              </w:rPr>
            </w:pPr>
            <w:r>
              <w:rPr>
                <w:rFonts w:hint="eastAsia"/>
                <w:lang w:val="en-US" w:eastAsia="zh-CN"/>
              </w:rPr>
              <w:t>14</w:t>
            </w:r>
          </w:p>
        </w:tc>
        <w:tc>
          <w:tcPr>
            <w:tcW w:w="1530" w:type="dxa"/>
            <w:vAlign w:val="center"/>
          </w:tcPr>
          <w:p w14:paraId="11BC80AE">
            <w:r>
              <w:rPr>
                <w:rFonts w:hint="eastAsia"/>
              </w:rPr>
              <w:t>液压开门器</w:t>
            </w:r>
          </w:p>
        </w:tc>
        <w:tc>
          <w:tcPr>
            <w:tcW w:w="1069" w:type="dxa"/>
            <w:vAlign w:val="center"/>
          </w:tcPr>
          <w:p w14:paraId="7C0F93BD">
            <w:pPr>
              <w:jc w:val="center"/>
            </w:pPr>
            <w:r>
              <w:rPr>
                <w:rFonts w:hint="eastAsia"/>
              </w:rPr>
              <w:t>1</w:t>
            </w:r>
          </w:p>
        </w:tc>
        <w:tc>
          <w:tcPr>
            <w:tcW w:w="5224" w:type="dxa"/>
            <w:vAlign w:val="center"/>
          </w:tcPr>
          <w:p w14:paraId="2C622888">
            <w:pPr>
              <w:rPr>
                <w:rFonts w:hint="eastAsia"/>
                <w:color w:val="auto"/>
                <w:highlight w:val="none"/>
              </w:rPr>
            </w:pPr>
            <w:r>
              <w:rPr>
                <w:rFonts w:hint="eastAsia"/>
                <w:color w:val="auto"/>
                <w:highlight w:val="none"/>
              </w:rPr>
              <w:t>1、总体性能符合GB/T17906-2021《消防应急救援装备液压破拆工具通用技术条件》相关要求，提供国家认证认可检测机构出具的与所投产品型号一致、完整有效的检验检测报告。出具报告的检验检测机构应取得市场监督管理部门的资质认定，一并提供资质认定证明文件。</w:t>
            </w:r>
          </w:p>
          <w:p w14:paraId="0353734E">
            <w:pPr>
              <w:rPr>
                <w:rFonts w:hint="eastAsia"/>
                <w:color w:val="auto"/>
                <w:highlight w:val="none"/>
              </w:rPr>
            </w:pPr>
            <w:r>
              <w:rPr>
                <w:rFonts w:hint="eastAsia"/>
                <w:color w:val="auto"/>
                <w:highlight w:val="none"/>
              </w:rPr>
              <w:t>2、主要用于卷帘门、金属防盗门的破拆业；</w:t>
            </w:r>
          </w:p>
          <w:p w14:paraId="181D5B9C">
            <w:pPr>
              <w:rPr>
                <w:rFonts w:hint="eastAsia"/>
                <w:color w:val="auto"/>
                <w:highlight w:val="none"/>
              </w:rPr>
            </w:pPr>
            <w:r>
              <w:rPr>
                <w:rFonts w:hint="eastAsia"/>
                <w:color w:val="auto"/>
                <w:highlight w:val="none"/>
              </w:rPr>
              <w:t>3、由超轻手泵、超长破门器、微型扩张器、宽柄撬棍和快接软管5件工具组成，每件≤4公斤；</w:t>
            </w:r>
          </w:p>
          <w:p w14:paraId="7DD1D344">
            <w:pPr>
              <w:rPr>
                <w:rFonts w:hint="eastAsia"/>
                <w:color w:val="auto"/>
                <w:highlight w:val="none"/>
              </w:rPr>
            </w:pPr>
            <w:r>
              <w:rPr>
                <w:rFonts w:hint="eastAsia"/>
                <w:color w:val="auto"/>
                <w:highlight w:val="none"/>
              </w:rPr>
              <w:t>4、开门器最大开启力≥60KN，最大开启距离≥180mm。扩张器，最大开启力≥30KN,最大开启距离≥100mm；</w:t>
            </w:r>
          </w:p>
          <w:p w14:paraId="6666A882">
            <w:pPr>
              <w:rPr>
                <w:color w:val="auto"/>
                <w:highlight w:val="none"/>
              </w:rPr>
            </w:pPr>
            <w:r>
              <w:rPr>
                <w:rFonts w:hint="eastAsia"/>
                <w:color w:val="auto"/>
                <w:highlight w:val="none"/>
              </w:rPr>
              <w:t>5、配有≥2.5米独立快接软管2根。</w:t>
            </w:r>
          </w:p>
        </w:tc>
      </w:tr>
      <w:tr w14:paraId="75D2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579997F4">
            <w:pPr>
              <w:jc w:val="center"/>
              <w:rPr>
                <w:rFonts w:hint="default"/>
                <w:lang w:val="en-US" w:eastAsia="zh-CN"/>
              </w:rPr>
            </w:pPr>
            <w:r>
              <w:rPr>
                <w:rFonts w:hint="eastAsia"/>
                <w:lang w:val="en-US" w:eastAsia="zh-CN"/>
              </w:rPr>
              <w:t>15</w:t>
            </w:r>
          </w:p>
        </w:tc>
        <w:tc>
          <w:tcPr>
            <w:tcW w:w="1530" w:type="dxa"/>
            <w:vAlign w:val="center"/>
          </w:tcPr>
          <w:p w14:paraId="0EB4C1A9">
            <w:r>
              <w:rPr>
                <w:rFonts w:hint="eastAsia"/>
              </w:rPr>
              <w:t>毁锁器</w:t>
            </w:r>
          </w:p>
        </w:tc>
        <w:tc>
          <w:tcPr>
            <w:tcW w:w="1069" w:type="dxa"/>
            <w:vAlign w:val="center"/>
          </w:tcPr>
          <w:p w14:paraId="6F08185A">
            <w:pPr>
              <w:jc w:val="center"/>
            </w:pPr>
            <w:r>
              <w:rPr>
                <w:rFonts w:hint="eastAsia"/>
              </w:rPr>
              <w:t>2</w:t>
            </w:r>
          </w:p>
        </w:tc>
        <w:tc>
          <w:tcPr>
            <w:tcW w:w="5224" w:type="dxa"/>
            <w:vAlign w:val="center"/>
          </w:tcPr>
          <w:p w14:paraId="11525374">
            <w:pPr>
              <w:rPr>
                <w:rFonts w:hint="eastAsia"/>
                <w:color w:val="auto"/>
                <w:highlight w:val="none"/>
              </w:rPr>
            </w:pPr>
            <w:r>
              <w:rPr>
                <w:rFonts w:hint="eastAsia"/>
                <w:color w:val="auto"/>
                <w:highlight w:val="none"/>
              </w:rPr>
              <w:t>1、提供国家认证认可检测机构出具的与所投产品型号一致、完整有效的检验检测报告。出具报告的检验检测机构应取得市场监督管理部门的资质认定，一并提供资质认定证明文件。</w:t>
            </w:r>
          </w:p>
          <w:p w14:paraId="678C2594">
            <w:pPr>
              <w:rPr>
                <w:rFonts w:hint="eastAsia"/>
                <w:color w:val="auto"/>
                <w:highlight w:val="none"/>
              </w:rPr>
            </w:pPr>
            <w:r>
              <w:rPr>
                <w:rFonts w:hint="eastAsia"/>
                <w:color w:val="auto"/>
                <w:highlight w:val="none"/>
              </w:rPr>
              <w:t>2、用于防盗门及汽车锁等快速破拆；</w:t>
            </w:r>
          </w:p>
          <w:p w14:paraId="0E02C709">
            <w:pPr>
              <w:rPr>
                <w:color w:val="auto"/>
                <w:highlight w:val="none"/>
              </w:rPr>
            </w:pPr>
            <w:r>
              <w:rPr>
                <w:rFonts w:hint="eastAsia"/>
                <w:color w:val="auto"/>
                <w:highlight w:val="none"/>
              </w:rPr>
              <w:t>3、配置要求：特种钻头螺丝、锁芯拔除器、锁芯切断器、换向扳手、专用电钻（含电池和充电器）、锁舌转动器等器材和工具箱。</w:t>
            </w:r>
          </w:p>
        </w:tc>
      </w:tr>
      <w:tr w14:paraId="48CC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0913A1AE">
            <w:pPr>
              <w:jc w:val="center"/>
              <w:rPr>
                <w:rFonts w:hint="default"/>
                <w:lang w:val="en-US" w:eastAsia="zh-CN"/>
              </w:rPr>
            </w:pPr>
            <w:r>
              <w:rPr>
                <w:rFonts w:hint="eastAsia"/>
                <w:lang w:val="en-US" w:eastAsia="zh-CN"/>
              </w:rPr>
              <w:t>16</w:t>
            </w:r>
          </w:p>
        </w:tc>
        <w:tc>
          <w:tcPr>
            <w:tcW w:w="1530" w:type="dxa"/>
            <w:vAlign w:val="center"/>
          </w:tcPr>
          <w:p w14:paraId="5B464C8E">
            <w:r>
              <w:rPr>
                <w:rFonts w:hint="eastAsia"/>
              </w:rPr>
              <w:t>多功能挠钩</w:t>
            </w:r>
          </w:p>
        </w:tc>
        <w:tc>
          <w:tcPr>
            <w:tcW w:w="1069" w:type="dxa"/>
            <w:vAlign w:val="center"/>
          </w:tcPr>
          <w:p w14:paraId="437D7CF7">
            <w:pPr>
              <w:jc w:val="center"/>
            </w:pPr>
            <w:r>
              <w:rPr>
                <w:rFonts w:hint="eastAsia"/>
              </w:rPr>
              <w:t>5</w:t>
            </w:r>
          </w:p>
        </w:tc>
        <w:tc>
          <w:tcPr>
            <w:tcW w:w="5224" w:type="dxa"/>
            <w:vAlign w:val="center"/>
          </w:tcPr>
          <w:p w14:paraId="10A241CD">
            <w:pPr>
              <w:rPr>
                <w:rFonts w:hint="eastAsia"/>
                <w:color w:val="auto"/>
                <w:highlight w:val="none"/>
              </w:rPr>
            </w:pPr>
            <w:r>
              <w:rPr>
                <w:rFonts w:hint="eastAsia"/>
                <w:color w:val="auto"/>
                <w:highlight w:val="none"/>
              </w:rPr>
              <w:t>1、总体性能符合GB32459-2015《消防应急救援装备手动破拆工具通用技术条件》的要求，提供国家认证认可检测机构出具的与所投产品型号一致、完整有效的检验检测报告。出具报告的检验检测机构应取得市场监督管理部门的资质认定，一并提供资质认定证明文件。</w:t>
            </w:r>
          </w:p>
          <w:p w14:paraId="202DEFCC">
            <w:pPr>
              <w:rPr>
                <w:rFonts w:hint="eastAsia"/>
                <w:color w:val="auto"/>
                <w:highlight w:val="none"/>
              </w:rPr>
            </w:pPr>
            <w:r>
              <w:rPr>
                <w:rFonts w:hint="eastAsia"/>
                <w:color w:val="auto"/>
                <w:highlight w:val="none"/>
              </w:rPr>
              <w:t>2、用于事故现场小型障碍清除，火源寻找或灾后清理；</w:t>
            </w:r>
          </w:p>
          <w:p w14:paraId="31E08408">
            <w:pPr>
              <w:rPr>
                <w:rFonts w:hint="eastAsia"/>
                <w:color w:val="auto"/>
                <w:highlight w:val="none"/>
              </w:rPr>
            </w:pPr>
            <w:r>
              <w:rPr>
                <w:rFonts w:hint="eastAsia"/>
                <w:color w:val="auto"/>
                <w:highlight w:val="none"/>
              </w:rPr>
              <w:t>3、金属制杆头不少于10种功能，杆头与杆柄的连接牢固且不易松动、开裂，挠杆不少于2根，连接杆螺纹处配有锁定装置；</w:t>
            </w:r>
          </w:p>
          <w:p w14:paraId="329A3CC7">
            <w:pPr>
              <w:rPr>
                <w:color w:val="auto"/>
                <w:highlight w:val="none"/>
              </w:rPr>
            </w:pPr>
            <w:r>
              <w:rPr>
                <w:rFonts w:hint="eastAsia"/>
                <w:color w:val="auto"/>
                <w:highlight w:val="none"/>
              </w:rPr>
              <w:t>4、连接后最长≥6米，可连接加长，采用绝缘材料。</w:t>
            </w:r>
          </w:p>
        </w:tc>
      </w:tr>
      <w:tr w14:paraId="5B58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3FB29F82">
            <w:pPr>
              <w:jc w:val="center"/>
              <w:rPr>
                <w:rFonts w:hint="default"/>
                <w:lang w:val="en-US" w:eastAsia="zh-CN"/>
              </w:rPr>
            </w:pPr>
            <w:r>
              <w:rPr>
                <w:rFonts w:hint="eastAsia"/>
                <w:lang w:val="en-US" w:eastAsia="zh-CN"/>
              </w:rPr>
              <w:t>17</w:t>
            </w:r>
          </w:p>
        </w:tc>
        <w:tc>
          <w:tcPr>
            <w:tcW w:w="1530" w:type="dxa"/>
            <w:vAlign w:val="center"/>
          </w:tcPr>
          <w:p w14:paraId="26A86CA2">
            <w:r>
              <w:rPr>
                <w:rFonts w:hint="eastAsia"/>
              </w:rPr>
              <w:t>绝缘剪断钳</w:t>
            </w:r>
          </w:p>
        </w:tc>
        <w:tc>
          <w:tcPr>
            <w:tcW w:w="1069" w:type="dxa"/>
            <w:vAlign w:val="center"/>
          </w:tcPr>
          <w:p w14:paraId="030D709B">
            <w:pPr>
              <w:jc w:val="center"/>
            </w:pPr>
            <w:r>
              <w:rPr>
                <w:rFonts w:hint="eastAsia"/>
              </w:rPr>
              <w:t>9</w:t>
            </w:r>
          </w:p>
        </w:tc>
        <w:tc>
          <w:tcPr>
            <w:tcW w:w="5224" w:type="dxa"/>
            <w:vAlign w:val="center"/>
          </w:tcPr>
          <w:p w14:paraId="6D7EAC26">
            <w:pPr>
              <w:rPr>
                <w:rFonts w:hint="eastAsia"/>
                <w:color w:val="auto"/>
                <w:highlight w:val="none"/>
              </w:rPr>
            </w:pPr>
            <w:r>
              <w:rPr>
                <w:rFonts w:hint="eastAsia"/>
                <w:color w:val="auto"/>
                <w:highlight w:val="none"/>
              </w:rPr>
              <w:t>1、提供国家认证认可检测机构出具的与所投产品型号一致、完整有效的检验检测报告。出具报告的检验检测机构应取得市场监督管理部门的资质认定，一并提供资质认定证明文件。</w:t>
            </w:r>
          </w:p>
          <w:p w14:paraId="1BCD6E24">
            <w:pPr>
              <w:rPr>
                <w:rFonts w:hint="eastAsia"/>
                <w:color w:val="auto"/>
                <w:highlight w:val="none"/>
              </w:rPr>
            </w:pPr>
            <w:r>
              <w:rPr>
                <w:rFonts w:hint="eastAsia"/>
                <w:color w:val="auto"/>
                <w:highlight w:val="none"/>
              </w:rPr>
              <w:t>2、用于切断灾害现场的电源，避免易燃易爆物品发生二次事故；最大剪切≥线缆 20mm；</w:t>
            </w:r>
          </w:p>
          <w:p w14:paraId="4651D53D">
            <w:pPr>
              <w:rPr>
                <w:rFonts w:hint="eastAsia"/>
                <w:color w:val="auto"/>
                <w:highlight w:val="none"/>
              </w:rPr>
            </w:pPr>
            <w:r>
              <w:rPr>
                <w:rFonts w:hint="eastAsia"/>
                <w:color w:val="auto"/>
                <w:highlight w:val="none"/>
              </w:rPr>
              <w:t>3、剪柄(橡胶)耐电压≥5000V；</w:t>
            </w:r>
          </w:p>
          <w:p w14:paraId="46198C56">
            <w:pPr>
              <w:rPr>
                <w:rFonts w:hint="eastAsia"/>
                <w:color w:val="auto"/>
                <w:highlight w:val="none"/>
              </w:rPr>
            </w:pPr>
            <w:r>
              <w:rPr>
                <w:rFonts w:hint="eastAsia"/>
                <w:color w:val="auto"/>
                <w:highlight w:val="none"/>
              </w:rPr>
              <w:t>4、剪刃口硬度HRC≥53；</w:t>
            </w:r>
          </w:p>
          <w:p w14:paraId="554D3B72">
            <w:pPr>
              <w:rPr>
                <w:rFonts w:hint="eastAsia"/>
                <w:color w:val="auto"/>
                <w:highlight w:val="none"/>
              </w:rPr>
            </w:pPr>
            <w:r>
              <w:rPr>
                <w:rFonts w:hint="eastAsia"/>
                <w:color w:val="auto"/>
                <w:highlight w:val="none"/>
              </w:rPr>
              <w:t>5、长度≥900mm；</w:t>
            </w:r>
          </w:p>
          <w:p w14:paraId="7A3A8876">
            <w:pPr>
              <w:rPr>
                <w:color w:val="auto"/>
                <w:highlight w:val="none"/>
              </w:rPr>
            </w:pPr>
            <w:r>
              <w:rPr>
                <w:rFonts w:hint="eastAsia"/>
                <w:color w:val="auto"/>
                <w:highlight w:val="none"/>
              </w:rPr>
              <w:t>6、螺栓、压板、中心轴硬度≥HRC33—40。</w:t>
            </w:r>
          </w:p>
        </w:tc>
      </w:tr>
      <w:tr w14:paraId="6A32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9" w:type="dxa"/>
            <w:noWrap/>
            <w:vAlign w:val="center"/>
          </w:tcPr>
          <w:p w14:paraId="0198B014">
            <w:pPr>
              <w:jc w:val="center"/>
              <w:rPr>
                <w:rFonts w:hint="default"/>
                <w:lang w:val="en-US" w:eastAsia="zh-CN"/>
              </w:rPr>
            </w:pPr>
            <w:r>
              <w:rPr>
                <w:rFonts w:hint="eastAsia"/>
                <w:lang w:val="en-US" w:eastAsia="zh-CN"/>
              </w:rPr>
              <w:t>18</w:t>
            </w:r>
          </w:p>
        </w:tc>
        <w:tc>
          <w:tcPr>
            <w:tcW w:w="1530" w:type="dxa"/>
            <w:vAlign w:val="center"/>
          </w:tcPr>
          <w:p w14:paraId="466CFE19">
            <w:r>
              <w:rPr>
                <w:rFonts w:hint="eastAsia"/>
              </w:rPr>
              <w:t>14寸拉杆斜切锯</w:t>
            </w:r>
          </w:p>
        </w:tc>
        <w:tc>
          <w:tcPr>
            <w:tcW w:w="1069" w:type="dxa"/>
            <w:vAlign w:val="center"/>
          </w:tcPr>
          <w:p w14:paraId="4330B1C6">
            <w:pPr>
              <w:jc w:val="center"/>
            </w:pPr>
            <w:r>
              <w:rPr>
                <w:rFonts w:hint="eastAsia"/>
              </w:rPr>
              <w:t>1</w:t>
            </w:r>
          </w:p>
        </w:tc>
        <w:tc>
          <w:tcPr>
            <w:tcW w:w="5224" w:type="dxa"/>
            <w:vAlign w:val="center"/>
          </w:tcPr>
          <w:p w14:paraId="6EE62939">
            <w:pPr>
              <w:numPr>
                <w:ilvl w:val="0"/>
                <w:numId w:val="5"/>
              </w:numPr>
              <w:rPr>
                <w:rFonts w:hint="eastAsia"/>
                <w:color w:val="auto"/>
                <w:highlight w:val="none"/>
              </w:rPr>
            </w:pPr>
            <w:r>
              <w:rPr>
                <w:rFonts w:hint="eastAsia"/>
                <w:color w:val="auto"/>
                <w:highlight w:val="none"/>
              </w:rPr>
              <w:t>总体性能符合GB32459-2015《消防应急救援装备手动破拆工具通用技术条件》的要求，提供国家认证认可检测机构出具的与所投产品型号一致、完整有效的检验检测报告。出具报告的检验检测机构应取得市场监督管理部门的资质认定，一并提供资质认定证明文件。</w:t>
            </w:r>
          </w:p>
          <w:p w14:paraId="5260F945">
            <w:pPr>
              <w:numPr>
                <w:ilvl w:val="0"/>
                <w:numId w:val="0"/>
              </w:numPr>
              <w:rPr>
                <w:rFonts w:hint="eastAsia"/>
                <w:color w:val="auto"/>
                <w:highlight w:val="none"/>
              </w:rPr>
            </w:pPr>
            <w:r>
              <w:rPr>
                <w:rFonts w:hint="eastAsia"/>
                <w:color w:val="auto"/>
                <w:highlight w:val="none"/>
              </w:rPr>
              <w:t>2、可切割多种材料，木材、铝材、塑料、不锈钢等；</w:t>
            </w:r>
          </w:p>
          <w:p w14:paraId="6486D48E">
            <w:pPr>
              <w:rPr>
                <w:rFonts w:hint="eastAsia"/>
                <w:color w:val="auto"/>
                <w:highlight w:val="none"/>
              </w:rPr>
            </w:pPr>
            <w:r>
              <w:rPr>
                <w:rFonts w:hint="eastAsia"/>
                <w:color w:val="auto"/>
                <w:highlight w:val="none"/>
              </w:rPr>
              <w:t>3、机头升起≥600mm；</w:t>
            </w:r>
          </w:p>
          <w:p w14:paraId="2F02FC3E">
            <w:pPr>
              <w:rPr>
                <w:rFonts w:hint="eastAsia"/>
                <w:color w:val="auto"/>
                <w:highlight w:val="none"/>
              </w:rPr>
            </w:pPr>
            <w:r>
              <w:rPr>
                <w:rFonts w:hint="eastAsia"/>
                <w:color w:val="auto"/>
                <w:highlight w:val="none"/>
              </w:rPr>
              <w:t>4、机头压下≤500mm；</w:t>
            </w:r>
          </w:p>
          <w:p w14:paraId="13EFC004">
            <w:pPr>
              <w:rPr>
                <w:rFonts w:hint="eastAsia"/>
                <w:color w:val="auto"/>
                <w:highlight w:val="none"/>
              </w:rPr>
            </w:pPr>
            <w:r>
              <w:rPr>
                <w:rFonts w:hint="eastAsia"/>
                <w:color w:val="auto"/>
                <w:highlight w:val="none"/>
              </w:rPr>
              <w:t>5、切割高度≥100mm；</w:t>
            </w:r>
          </w:p>
          <w:p w14:paraId="5E6E659E">
            <w:pPr>
              <w:rPr>
                <w:rFonts w:hint="eastAsia"/>
                <w:color w:val="auto"/>
                <w:highlight w:val="none"/>
              </w:rPr>
            </w:pPr>
            <w:r>
              <w:rPr>
                <w:rFonts w:hint="eastAsia"/>
                <w:color w:val="auto"/>
                <w:highlight w:val="none"/>
              </w:rPr>
              <w:t>6、额定电压：220V~50Hz；</w:t>
            </w:r>
          </w:p>
          <w:p w14:paraId="4178B1BB">
            <w:pPr>
              <w:rPr>
                <w:rFonts w:hint="eastAsia"/>
                <w:color w:val="auto"/>
                <w:highlight w:val="none"/>
              </w:rPr>
            </w:pPr>
            <w:r>
              <w:rPr>
                <w:rFonts w:hint="eastAsia"/>
                <w:color w:val="auto"/>
                <w:highlight w:val="none"/>
              </w:rPr>
              <w:t>7、额定功率≥2800W，全铜电机；</w:t>
            </w:r>
          </w:p>
          <w:p w14:paraId="2580189F">
            <w:pPr>
              <w:rPr>
                <w:rFonts w:hint="eastAsia"/>
                <w:color w:val="auto"/>
                <w:highlight w:val="none"/>
              </w:rPr>
            </w:pPr>
            <w:r>
              <w:rPr>
                <w:rFonts w:hint="eastAsia"/>
                <w:color w:val="auto"/>
                <w:highlight w:val="none"/>
              </w:rPr>
              <w:t>8、空载转速≥4200r/min；</w:t>
            </w:r>
          </w:p>
          <w:p w14:paraId="19021736">
            <w:pPr>
              <w:rPr>
                <w:rFonts w:hint="eastAsia"/>
                <w:color w:val="auto"/>
                <w:highlight w:val="none"/>
              </w:rPr>
            </w:pPr>
            <w:r>
              <w:rPr>
                <w:rFonts w:hint="eastAsia"/>
                <w:color w:val="auto"/>
                <w:highlight w:val="none"/>
              </w:rPr>
              <w:t>9、锯片直径≥350mm;</w:t>
            </w:r>
          </w:p>
          <w:p w14:paraId="66D8C5C7">
            <w:pPr>
              <w:rPr>
                <w:rFonts w:hint="eastAsia"/>
                <w:color w:val="auto"/>
                <w:highlight w:val="none"/>
              </w:rPr>
            </w:pPr>
            <w:r>
              <w:rPr>
                <w:rFonts w:hint="eastAsia"/>
                <w:color w:val="auto"/>
                <w:highlight w:val="none"/>
              </w:rPr>
              <w:t>10、切割能力：</w:t>
            </w:r>
          </w:p>
          <w:p w14:paraId="3F4811C3">
            <w:pPr>
              <w:rPr>
                <w:rFonts w:hint="eastAsia"/>
                <w:color w:val="auto"/>
                <w:highlight w:val="none"/>
              </w:rPr>
            </w:pPr>
            <w:r>
              <w:rPr>
                <w:rFonts w:hint="eastAsia"/>
                <w:color w:val="auto"/>
                <w:highlight w:val="none"/>
              </w:rPr>
              <w:t>（1）台面0°*机头0°：≥12x14cm/11x20cm；</w:t>
            </w:r>
          </w:p>
          <w:p w14:paraId="35BD93A8">
            <w:pPr>
              <w:rPr>
                <w:rFonts w:hint="eastAsia"/>
                <w:color w:val="auto"/>
                <w:highlight w:val="none"/>
              </w:rPr>
            </w:pPr>
            <w:r>
              <w:rPr>
                <w:rFonts w:hint="eastAsia"/>
                <w:color w:val="auto"/>
                <w:highlight w:val="none"/>
              </w:rPr>
              <w:t>（2）台面45°*机头0°：≥12x10cm/11x14cm；</w:t>
            </w:r>
          </w:p>
          <w:p w14:paraId="3C1358A8">
            <w:pPr>
              <w:rPr>
                <w:rFonts w:hint="eastAsia"/>
                <w:color w:val="auto"/>
                <w:highlight w:val="none"/>
              </w:rPr>
            </w:pPr>
            <w:r>
              <w:rPr>
                <w:rFonts w:hint="eastAsia"/>
                <w:color w:val="auto"/>
                <w:highlight w:val="none"/>
              </w:rPr>
              <w:t>（3）台面0°*机头45°：≥7x20cm；</w:t>
            </w:r>
          </w:p>
          <w:p w14:paraId="0A78ACDA">
            <w:pPr>
              <w:rPr>
                <w:color w:val="auto"/>
                <w:highlight w:val="none"/>
              </w:rPr>
            </w:pPr>
            <w:r>
              <w:rPr>
                <w:rFonts w:hint="eastAsia"/>
                <w:color w:val="auto"/>
                <w:highlight w:val="none"/>
              </w:rPr>
              <w:t>（4）台面45°*机头45°：≥5x14cm；</w:t>
            </w:r>
          </w:p>
        </w:tc>
      </w:tr>
      <w:tr w14:paraId="3DE0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48ADFE29">
            <w:pPr>
              <w:jc w:val="center"/>
              <w:rPr>
                <w:rFonts w:hint="default"/>
                <w:lang w:val="en-US" w:eastAsia="zh-CN"/>
              </w:rPr>
            </w:pPr>
            <w:r>
              <w:rPr>
                <w:rFonts w:hint="eastAsia"/>
                <w:lang w:val="en-US" w:eastAsia="zh-CN"/>
              </w:rPr>
              <w:t>19</w:t>
            </w:r>
          </w:p>
        </w:tc>
        <w:tc>
          <w:tcPr>
            <w:tcW w:w="1530" w:type="dxa"/>
            <w:vAlign w:val="center"/>
          </w:tcPr>
          <w:p w14:paraId="736B25DF">
            <w:r>
              <w:rPr>
                <w:rFonts w:hint="eastAsia"/>
              </w:rPr>
              <w:t>冲击钻</w:t>
            </w:r>
          </w:p>
        </w:tc>
        <w:tc>
          <w:tcPr>
            <w:tcW w:w="1069" w:type="dxa"/>
            <w:vAlign w:val="center"/>
          </w:tcPr>
          <w:p w14:paraId="73D0FB33">
            <w:pPr>
              <w:jc w:val="center"/>
            </w:pPr>
            <w:r>
              <w:rPr>
                <w:rFonts w:hint="eastAsia"/>
              </w:rPr>
              <w:t>1</w:t>
            </w:r>
          </w:p>
        </w:tc>
        <w:tc>
          <w:tcPr>
            <w:tcW w:w="5224" w:type="dxa"/>
            <w:vAlign w:val="center"/>
          </w:tcPr>
          <w:p w14:paraId="1CEF8695">
            <w:pPr>
              <w:rPr>
                <w:rFonts w:hint="eastAsia"/>
                <w:color w:val="auto"/>
                <w:highlight w:val="none"/>
              </w:rPr>
            </w:pPr>
            <w:r>
              <w:rPr>
                <w:rFonts w:hint="eastAsia"/>
                <w:color w:val="auto"/>
                <w:highlight w:val="none"/>
              </w:rPr>
              <w:t>1、提供国家认证认可检测机构出具的与所投产品型号一致、完整有效的检验检测报告。出具报告的检验检测机构应取得市场监督管理部门的资质认定，一并提供资质认定证明文件。</w:t>
            </w:r>
          </w:p>
          <w:p w14:paraId="163153D6">
            <w:pPr>
              <w:rPr>
                <w:rFonts w:hint="eastAsia"/>
                <w:color w:val="auto"/>
                <w:highlight w:val="none"/>
              </w:rPr>
            </w:pPr>
            <w:r>
              <w:rPr>
                <w:rFonts w:hint="eastAsia"/>
                <w:color w:val="auto"/>
                <w:highlight w:val="none"/>
              </w:rPr>
              <w:t>2、额定输入功率≥1kW。</w:t>
            </w:r>
          </w:p>
          <w:p w14:paraId="70F67DEC">
            <w:pPr>
              <w:rPr>
                <w:rFonts w:hint="eastAsia"/>
                <w:color w:val="auto"/>
                <w:highlight w:val="none"/>
              </w:rPr>
            </w:pPr>
            <w:r>
              <w:rPr>
                <w:rFonts w:hint="eastAsia"/>
                <w:color w:val="auto"/>
                <w:highlight w:val="none"/>
              </w:rPr>
              <w:t>3、单次锤击力≥7J；</w:t>
            </w:r>
          </w:p>
          <w:p w14:paraId="1DA40772">
            <w:pPr>
              <w:rPr>
                <w:rFonts w:hint="eastAsia"/>
                <w:color w:val="auto"/>
                <w:highlight w:val="none"/>
              </w:rPr>
            </w:pPr>
            <w:r>
              <w:rPr>
                <w:rFonts w:hint="eastAsia"/>
                <w:color w:val="auto"/>
                <w:highlight w:val="none"/>
              </w:rPr>
              <w:t>4、额定转速时的冲击率≥2900bpm；</w:t>
            </w:r>
          </w:p>
          <w:p w14:paraId="5F75EBED">
            <w:pPr>
              <w:rPr>
                <w:rFonts w:hint="eastAsia"/>
                <w:color w:val="auto"/>
                <w:highlight w:val="none"/>
              </w:rPr>
            </w:pPr>
            <w:r>
              <w:rPr>
                <w:rFonts w:hint="eastAsia"/>
                <w:color w:val="auto"/>
                <w:highlight w:val="none"/>
              </w:rPr>
              <w:t>5、额定转速≥320rpm；</w:t>
            </w:r>
          </w:p>
          <w:p w14:paraId="7ADDCC4E">
            <w:pPr>
              <w:rPr>
                <w:rFonts w:hint="eastAsia"/>
                <w:color w:val="auto"/>
                <w:highlight w:val="none"/>
              </w:rPr>
            </w:pPr>
            <w:r>
              <w:rPr>
                <w:rFonts w:hint="eastAsia"/>
                <w:color w:val="auto"/>
                <w:highlight w:val="none"/>
              </w:rPr>
              <w:t>6、长度450mm±10mm，高度250mm±10mm；</w:t>
            </w:r>
          </w:p>
          <w:p w14:paraId="2AAE7336">
            <w:pPr>
              <w:rPr>
                <w:rFonts w:hint="eastAsia"/>
                <w:color w:val="auto"/>
                <w:highlight w:val="none"/>
              </w:rPr>
            </w:pPr>
            <w:r>
              <w:rPr>
                <w:rFonts w:hint="eastAsia"/>
                <w:color w:val="auto"/>
                <w:highlight w:val="none"/>
              </w:rPr>
              <w:t>7、夹头：六角凹口；</w:t>
            </w:r>
          </w:p>
          <w:p w14:paraId="30502B46">
            <w:pPr>
              <w:rPr>
                <w:rFonts w:hint="eastAsia"/>
                <w:color w:val="auto"/>
                <w:highlight w:val="none"/>
              </w:rPr>
            </w:pPr>
            <w:r>
              <w:rPr>
                <w:rFonts w:hint="eastAsia"/>
                <w:color w:val="auto"/>
                <w:highlight w:val="none"/>
              </w:rPr>
              <w:t>8、钻孔范围：在混凝土中的钻孔直径，锤钻钻头12-38mm；</w:t>
            </w:r>
          </w:p>
          <w:p w14:paraId="47A5450B">
            <w:pPr>
              <w:rPr>
                <w:color w:val="auto"/>
                <w:highlight w:val="none"/>
              </w:rPr>
            </w:pPr>
            <w:r>
              <w:rPr>
                <w:rFonts w:hint="eastAsia"/>
                <w:color w:val="auto"/>
                <w:highlight w:val="none"/>
              </w:rPr>
              <w:t>9、包装内含：辅助手柄1把、深度尺1把，附件盒。</w:t>
            </w:r>
          </w:p>
        </w:tc>
      </w:tr>
      <w:tr w14:paraId="17D3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7BDE4085">
            <w:pPr>
              <w:jc w:val="center"/>
              <w:rPr>
                <w:rFonts w:hint="default"/>
                <w:lang w:val="en-US" w:eastAsia="zh-CN"/>
              </w:rPr>
            </w:pPr>
            <w:r>
              <w:rPr>
                <w:rFonts w:hint="eastAsia"/>
                <w:lang w:val="en-US" w:eastAsia="zh-CN"/>
              </w:rPr>
              <w:t>20</w:t>
            </w:r>
          </w:p>
        </w:tc>
        <w:tc>
          <w:tcPr>
            <w:tcW w:w="1530" w:type="dxa"/>
            <w:vAlign w:val="center"/>
          </w:tcPr>
          <w:p w14:paraId="4EA362FA">
            <w:r>
              <w:rPr>
                <w:rFonts w:hint="eastAsia"/>
              </w:rPr>
              <w:t>哈里根</w:t>
            </w:r>
          </w:p>
        </w:tc>
        <w:tc>
          <w:tcPr>
            <w:tcW w:w="1069" w:type="dxa"/>
            <w:vAlign w:val="center"/>
          </w:tcPr>
          <w:p w14:paraId="0DF0A516">
            <w:pPr>
              <w:jc w:val="center"/>
            </w:pPr>
            <w:r>
              <w:rPr>
                <w:rFonts w:hint="eastAsia"/>
              </w:rPr>
              <w:t>18</w:t>
            </w:r>
          </w:p>
        </w:tc>
        <w:tc>
          <w:tcPr>
            <w:tcW w:w="5224" w:type="dxa"/>
            <w:vAlign w:val="center"/>
          </w:tcPr>
          <w:p w14:paraId="2FE06AED">
            <w:pPr>
              <w:rPr>
                <w:rFonts w:hint="eastAsia"/>
                <w:color w:val="auto"/>
              </w:rPr>
            </w:pPr>
            <w:r>
              <w:rPr>
                <w:rFonts w:hint="eastAsia"/>
                <w:color w:val="auto"/>
              </w:rPr>
              <w:t>1.一种集羊角撬棍、尖镐和扁镐于一体的多功能消防铁铤，该工具包括钢制杆体，杆体一端设置有羊角撬头，另一端设有尖镐头和扁镐头，尖镐头和扁镐头固接为一体，杆体表面设置有防滑部件。具有撬、砸、刺、捣、绞、扭等功能的一体式铁铤；</w:t>
            </w:r>
          </w:p>
          <w:p w14:paraId="73C121B0">
            <w:pPr>
              <w:rPr>
                <w:rFonts w:hint="eastAsia"/>
                <w:color w:val="auto"/>
              </w:rPr>
            </w:pPr>
            <w:r>
              <w:rPr>
                <w:rFonts w:hint="eastAsia"/>
                <w:color w:val="auto"/>
              </w:rPr>
              <w:t>2.符合 GB 32459-2015 《消防应急救援装备手动破拆工具通用技术条件》要求。</w:t>
            </w:r>
          </w:p>
          <w:p w14:paraId="2D32EC79">
            <w:pPr>
              <w:rPr>
                <w:rFonts w:hint="eastAsia"/>
                <w:color w:val="auto"/>
              </w:rPr>
            </w:pPr>
            <w:r>
              <w:rPr>
                <w:rFonts w:hint="eastAsia"/>
                <w:color w:val="auto"/>
              </w:rPr>
              <w:t>3.铁铤总长≤1.2m；</w:t>
            </w:r>
          </w:p>
          <w:p w14:paraId="75FBC93E">
            <w:pPr>
              <w:rPr>
                <w:rFonts w:hint="eastAsia"/>
                <w:color w:val="auto"/>
              </w:rPr>
            </w:pPr>
            <w:r>
              <w:rPr>
                <w:rFonts w:hint="eastAsia"/>
                <w:color w:val="auto"/>
              </w:rPr>
              <w:t>4.材质采用45#碳钢或更优材质；</w:t>
            </w:r>
          </w:p>
          <w:p w14:paraId="664552E6">
            <w:pPr>
              <w:rPr>
                <w:color w:val="auto"/>
              </w:rPr>
            </w:pPr>
            <w:r>
              <w:rPr>
                <w:rFonts w:hint="eastAsia"/>
                <w:color w:val="auto"/>
              </w:rPr>
              <w:t>5.重量≤10kg；</w:t>
            </w:r>
          </w:p>
        </w:tc>
      </w:tr>
      <w:tr w14:paraId="68A1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99" w:type="dxa"/>
            <w:noWrap/>
            <w:vAlign w:val="center"/>
          </w:tcPr>
          <w:p w14:paraId="5EA0EC61">
            <w:pPr>
              <w:jc w:val="center"/>
              <w:rPr>
                <w:rFonts w:hint="default"/>
                <w:lang w:val="en-US" w:eastAsia="zh-CN"/>
              </w:rPr>
            </w:pPr>
            <w:r>
              <w:rPr>
                <w:rFonts w:hint="eastAsia"/>
                <w:lang w:val="en-US" w:eastAsia="zh-CN"/>
              </w:rPr>
              <w:t>21</w:t>
            </w:r>
          </w:p>
        </w:tc>
        <w:tc>
          <w:tcPr>
            <w:tcW w:w="1530" w:type="dxa"/>
            <w:vAlign w:val="center"/>
          </w:tcPr>
          <w:p w14:paraId="65648A67">
            <w:r>
              <w:rPr>
                <w:rFonts w:hint="eastAsia"/>
              </w:rPr>
              <w:t>双轮异向切割锯锯片</w:t>
            </w:r>
          </w:p>
        </w:tc>
        <w:tc>
          <w:tcPr>
            <w:tcW w:w="1069" w:type="dxa"/>
            <w:vAlign w:val="center"/>
          </w:tcPr>
          <w:p w14:paraId="6EEBCA0F">
            <w:pPr>
              <w:jc w:val="center"/>
            </w:pPr>
            <w:r>
              <w:rPr>
                <w:rFonts w:hint="eastAsia"/>
              </w:rPr>
              <w:t>13</w:t>
            </w:r>
          </w:p>
        </w:tc>
        <w:tc>
          <w:tcPr>
            <w:tcW w:w="5224" w:type="dxa"/>
            <w:vAlign w:val="center"/>
          </w:tcPr>
          <w:p w14:paraId="3902FA28">
            <w:pPr>
              <w:rPr>
                <w:rFonts w:hint="eastAsia"/>
              </w:rPr>
            </w:pPr>
            <w:r>
              <w:rPr>
                <w:rFonts w:hint="eastAsia"/>
              </w:rPr>
              <w:t>1、锯片采用特殊材料制做，可以对不同材质的材料进行快速切割，如钢材、钢管、电缆铝材、木材、墙板、塑料、汽车玻璃等材料；</w:t>
            </w:r>
          </w:p>
          <w:p w14:paraId="4F6FD95F">
            <w:pPr>
              <w:rPr>
                <w:rFonts w:hint="eastAsia"/>
              </w:rPr>
            </w:pPr>
            <w:r>
              <w:rPr>
                <w:rFonts w:hint="eastAsia"/>
              </w:rPr>
              <w:t>2、规格直径≥315mm。</w:t>
            </w:r>
          </w:p>
          <w:p w14:paraId="1DC6411B">
            <w:r>
              <w:rPr>
                <w:rFonts w:hint="eastAsia"/>
              </w:rPr>
              <w:t>3、切割深度 (mm) ≥110。</w:t>
            </w:r>
          </w:p>
        </w:tc>
      </w:tr>
      <w:tr w14:paraId="1854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699" w:type="dxa"/>
            <w:noWrap/>
            <w:vAlign w:val="center"/>
          </w:tcPr>
          <w:p w14:paraId="4D0B5DA8">
            <w:pPr>
              <w:jc w:val="center"/>
              <w:rPr>
                <w:rFonts w:hint="default"/>
                <w:lang w:val="en-US" w:eastAsia="zh-CN"/>
              </w:rPr>
            </w:pPr>
            <w:r>
              <w:rPr>
                <w:rFonts w:hint="eastAsia"/>
                <w:lang w:val="en-US" w:eastAsia="zh-CN"/>
              </w:rPr>
              <w:t>22</w:t>
            </w:r>
          </w:p>
        </w:tc>
        <w:tc>
          <w:tcPr>
            <w:tcW w:w="1530" w:type="dxa"/>
            <w:vAlign w:val="center"/>
          </w:tcPr>
          <w:p w14:paraId="2048BAA8">
            <w:r>
              <w:rPr>
                <w:rFonts w:hint="eastAsia"/>
              </w:rPr>
              <w:t>K1270无齿锯锯片</w:t>
            </w:r>
          </w:p>
        </w:tc>
        <w:tc>
          <w:tcPr>
            <w:tcW w:w="1069" w:type="dxa"/>
            <w:vAlign w:val="center"/>
          </w:tcPr>
          <w:p w14:paraId="163AE785">
            <w:pPr>
              <w:jc w:val="center"/>
            </w:pPr>
            <w:r>
              <w:rPr>
                <w:rFonts w:hint="eastAsia"/>
              </w:rPr>
              <w:t>37</w:t>
            </w:r>
          </w:p>
        </w:tc>
        <w:tc>
          <w:tcPr>
            <w:tcW w:w="5224" w:type="dxa"/>
            <w:vAlign w:val="center"/>
          </w:tcPr>
          <w:p w14:paraId="619E461F">
            <w:pPr>
              <w:rPr>
                <w:rFonts w:hint="eastAsia"/>
              </w:rPr>
            </w:pPr>
            <w:r>
              <w:rPr>
                <w:rFonts w:hint="eastAsia"/>
              </w:rPr>
              <w:t>1、适用于切割金属和混凝土材料的手持切割锯片，可以用水冲洗，适合各种恶劣环境中使用。</w:t>
            </w:r>
          </w:p>
          <w:p w14:paraId="4CE5E880">
            <w:pPr>
              <w:rPr>
                <w:rFonts w:hint="eastAsia"/>
              </w:rPr>
            </w:pPr>
            <w:r>
              <w:rPr>
                <w:rFonts w:hint="eastAsia"/>
              </w:rPr>
              <w:t>2、锯片直径mm：≥350</w:t>
            </w:r>
          </w:p>
          <w:p w14:paraId="3C312E11">
            <w:pPr>
              <w:rPr>
                <w:rFonts w:hint="eastAsia"/>
              </w:rPr>
            </w:pPr>
            <w:r>
              <w:rPr>
                <w:rFonts w:hint="eastAsia"/>
              </w:rPr>
              <w:t>3、切割深度mm：≥125</w:t>
            </w:r>
          </w:p>
          <w:p w14:paraId="311A27E3">
            <w:r>
              <w:rPr>
                <w:rFonts w:hint="eastAsia"/>
              </w:rPr>
              <w:t>4、锯片孔径mm：25.4</w:t>
            </w:r>
          </w:p>
        </w:tc>
      </w:tr>
      <w:tr w14:paraId="12D2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99" w:type="dxa"/>
            <w:noWrap/>
            <w:vAlign w:val="center"/>
          </w:tcPr>
          <w:p w14:paraId="42F3D661">
            <w:pPr>
              <w:jc w:val="center"/>
              <w:rPr>
                <w:rFonts w:hint="default"/>
                <w:lang w:val="en-US" w:eastAsia="zh-CN"/>
              </w:rPr>
            </w:pPr>
            <w:r>
              <w:rPr>
                <w:rFonts w:hint="eastAsia"/>
                <w:lang w:val="en-US" w:eastAsia="zh-CN"/>
              </w:rPr>
              <w:t>23</w:t>
            </w:r>
          </w:p>
        </w:tc>
        <w:tc>
          <w:tcPr>
            <w:tcW w:w="1530" w:type="dxa"/>
            <w:vAlign w:val="center"/>
          </w:tcPr>
          <w:p w14:paraId="2685F6A4">
            <w:r>
              <w:rPr>
                <w:rFonts w:hint="eastAsia"/>
              </w:rPr>
              <w:t>机动链锯链条</w:t>
            </w:r>
          </w:p>
        </w:tc>
        <w:tc>
          <w:tcPr>
            <w:tcW w:w="1069" w:type="dxa"/>
            <w:vAlign w:val="center"/>
          </w:tcPr>
          <w:p w14:paraId="314C5BC3">
            <w:pPr>
              <w:jc w:val="center"/>
            </w:pPr>
            <w:r>
              <w:rPr>
                <w:rFonts w:hint="eastAsia"/>
              </w:rPr>
              <w:t>13</w:t>
            </w:r>
          </w:p>
        </w:tc>
        <w:tc>
          <w:tcPr>
            <w:tcW w:w="5224" w:type="dxa"/>
            <w:vAlign w:val="center"/>
          </w:tcPr>
          <w:p w14:paraId="7432B9C4">
            <w:pPr>
              <w:rPr>
                <w:rFonts w:hint="eastAsia"/>
              </w:rPr>
            </w:pPr>
            <w:r>
              <w:rPr>
                <w:rFonts w:hint="eastAsia"/>
              </w:rPr>
              <w:t>1、可切割木头、石膏板时无明显断裂破损的链条。</w:t>
            </w:r>
          </w:p>
          <w:p w14:paraId="4B0EAA11">
            <w:pPr>
              <w:rPr>
                <w:rFonts w:hint="eastAsia"/>
              </w:rPr>
            </w:pPr>
            <w:r>
              <w:rPr>
                <w:rFonts w:hint="eastAsia"/>
              </w:rPr>
              <w:t>2、链条节距：330±10"，轴距：1.0±5mm</w:t>
            </w:r>
          </w:p>
          <w:p w14:paraId="3DC042E4">
            <w:pPr>
              <w:rPr>
                <w:rFonts w:hint="eastAsia"/>
              </w:rPr>
            </w:pPr>
            <w:r>
              <w:rPr>
                <w:rFonts w:hint="eastAsia"/>
              </w:rPr>
              <w:t>3、链条长：≤20"75节</w:t>
            </w:r>
          </w:p>
          <w:p w14:paraId="120D131A">
            <w:r>
              <w:rPr>
                <w:rFonts w:hint="eastAsia"/>
              </w:rPr>
              <w:t>4、材料：优质合金钢具有较高的硬度和耐磨性，能够承受链锯高速运转时的摩擦和冲击。</w:t>
            </w:r>
          </w:p>
        </w:tc>
      </w:tr>
      <w:tr w14:paraId="3F86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99" w:type="dxa"/>
            <w:noWrap/>
            <w:vAlign w:val="center"/>
          </w:tcPr>
          <w:p w14:paraId="240420D1">
            <w:pPr>
              <w:jc w:val="center"/>
              <w:rPr>
                <w:rFonts w:hint="default"/>
                <w:lang w:val="en-US" w:eastAsia="zh-CN"/>
              </w:rPr>
            </w:pPr>
            <w:r>
              <w:rPr>
                <w:rFonts w:hint="eastAsia"/>
                <w:lang w:val="en-US" w:eastAsia="zh-CN"/>
              </w:rPr>
              <w:t>24</w:t>
            </w:r>
          </w:p>
        </w:tc>
        <w:tc>
          <w:tcPr>
            <w:tcW w:w="1530" w:type="dxa"/>
            <w:vAlign w:val="center"/>
          </w:tcPr>
          <w:p w14:paraId="5912B530">
            <w:r>
              <w:rPr>
                <w:rFonts w:hint="eastAsia"/>
              </w:rPr>
              <w:t>消防锤</w:t>
            </w:r>
          </w:p>
        </w:tc>
        <w:tc>
          <w:tcPr>
            <w:tcW w:w="1069" w:type="dxa"/>
            <w:vAlign w:val="center"/>
          </w:tcPr>
          <w:p w14:paraId="29D2433A">
            <w:pPr>
              <w:jc w:val="center"/>
            </w:pPr>
            <w:r>
              <w:rPr>
                <w:rFonts w:hint="eastAsia"/>
              </w:rPr>
              <w:t>5</w:t>
            </w:r>
          </w:p>
        </w:tc>
        <w:tc>
          <w:tcPr>
            <w:tcW w:w="5224" w:type="dxa"/>
            <w:vAlign w:val="center"/>
          </w:tcPr>
          <w:p w14:paraId="0F923D29">
            <w:pPr>
              <w:rPr>
                <w:rFonts w:hint="eastAsia"/>
              </w:rPr>
            </w:pPr>
            <w:r>
              <w:rPr>
                <w:rFonts w:hint="eastAsia"/>
              </w:rPr>
              <w:t>1、手柄采用PPR材质并防滑保护套</w:t>
            </w:r>
          </w:p>
          <w:p w14:paraId="40858AFD">
            <w:pPr>
              <w:rPr>
                <w:rFonts w:hint="eastAsia"/>
              </w:rPr>
            </w:pPr>
            <w:r>
              <w:rPr>
                <w:rFonts w:hint="eastAsia"/>
              </w:rPr>
              <w:t>2、锤头长≥15cm，宽≥6cm</w:t>
            </w:r>
          </w:p>
          <w:p w14:paraId="77D8D735">
            <w:pPr>
              <w:rPr>
                <w:rFonts w:hint="eastAsia"/>
              </w:rPr>
            </w:pPr>
            <w:r>
              <w:rPr>
                <w:rFonts w:hint="eastAsia"/>
              </w:rPr>
              <w:t>3、总长≥90cm</w:t>
            </w:r>
          </w:p>
          <w:p w14:paraId="41022670">
            <w:r>
              <w:rPr>
                <w:rFonts w:hint="eastAsia"/>
              </w:rPr>
              <w:t>4、重量≥10KG</w:t>
            </w:r>
          </w:p>
        </w:tc>
      </w:tr>
      <w:tr w14:paraId="60BB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99" w:type="dxa"/>
            <w:noWrap/>
            <w:vAlign w:val="center"/>
          </w:tcPr>
          <w:p w14:paraId="3AAD2B8B">
            <w:pPr>
              <w:jc w:val="center"/>
              <w:rPr>
                <w:rFonts w:hint="default"/>
                <w:lang w:val="en-US" w:eastAsia="zh-CN"/>
              </w:rPr>
            </w:pPr>
            <w:r>
              <w:rPr>
                <w:rFonts w:hint="eastAsia"/>
                <w:lang w:val="en-US" w:eastAsia="zh-CN"/>
              </w:rPr>
              <w:t>25</w:t>
            </w:r>
          </w:p>
        </w:tc>
        <w:tc>
          <w:tcPr>
            <w:tcW w:w="1530" w:type="dxa"/>
            <w:vAlign w:val="center"/>
          </w:tcPr>
          <w:p w14:paraId="3A2F1BC3">
            <w:r>
              <w:rPr>
                <w:rFonts w:hint="eastAsia"/>
              </w:rPr>
              <w:t>撬棍</w:t>
            </w:r>
          </w:p>
        </w:tc>
        <w:tc>
          <w:tcPr>
            <w:tcW w:w="1069" w:type="dxa"/>
            <w:vAlign w:val="center"/>
          </w:tcPr>
          <w:p w14:paraId="6C18DFC0">
            <w:pPr>
              <w:jc w:val="center"/>
            </w:pPr>
            <w:r>
              <w:rPr>
                <w:rFonts w:hint="eastAsia"/>
              </w:rPr>
              <w:t>9</w:t>
            </w:r>
          </w:p>
        </w:tc>
        <w:tc>
          <w:tcPr>
            <w:tcW w:w="5224" w:type="dxa"/>
            <w:vAlign w:val="center"/>
          </w:tcPr>
          <w:p w14:paraId="6143C1D3">
            <w:pPr>
              <w:rPr>
                <w:rFonts w:hint="eastAsia"/>
              </w:rPr>
            </w:pPr>
            <w:r>
              <w:rPr>
                <w:rFonts w:hint="eastAsia"/>
              </w:rPr>
              <w:t>1.具有撬、砸、凿等功能的一体式撬棍、采用优质钢材一体成型、一头为羊角起钉器、一头为扁弯一字头</w:t>
            </w:r>
          </w:p>
          <w:p w14:paraId="3E426670">
            <w:pPr>
              <w:rPr>
                <w:rFonts w:hint="eastAsia"/>
              </w:rPr>
            </w:pPr>
            <w:r>
              <w:rPr>
                <w:rFonts w:hint="eastAsia"/>
              </w:rPr>
              <w:t>2.直径≥18mm</w:t>
            </w:r>
          </w:p>
          <w:p w14:paraId="18F02BD5">
            <w:pPr>
              <w:rPr>
                <w:rFonts w:hint="eastAsia"/>
              </w:rPr>
            </w:pPr>
            <w:r>
              <w:rPr>
                <w:rFonts w:hint="eastAsia"/>
              </w:rPr>
              <w:t>3.铁铤总长700mm；</w:t>
            </w:r>
          </w:p>
          <w:p w14:paraId="1421F8D4">
            <w:r>
              <w:rPr>
                <w:rFonts w:hint="eastAsia"/>
              </w:rPr>
              <w:t>5.重量≤1.5kg；</w:t>
            </w:r>
          </w:p>
        </w:tc>
      </w:tr>
      <w:tr w14:paraId="54F3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48AD94AC">
            <w:pPr>
              <w:jc w:val="center"/>
              <w:rPr>
                <w:rFonts w:hint="default"/>
                <w:lang w:val="en-US" w:eastAsia="zh-CN"/>
              </w:rPr>
            </w:pPr>
            <w:r>
              <w:rPr>
                <w:rFonts w:hint="eastAsia"/>
                <w:lang w:val="en-US" w:eastAsia="zh-CN"/>
              </w:rPr>
              <w:t>26</w:t>
            </w:r>
          </w:p>
        </w:tc>
        <w:tc>
          <w:tcPr>
            <w:tcW w:w="1530" w:type="dxa"/>
            <w:vAlign w:val="center"/>
          </w:tcPr>
          <w:p w14:paraId="01CC0145">
            <w:r>
              <w:rPr>
                <w:rFonts w:hint="eastAsia"/>
              </w:rPr>
              <w:t>消防斧</w:t>
            </w:r>
          </w:p>
        </w:tc>
        <w:tc>
          <w:tcPr>
            <w:tcW w:w="1069" w:type="dxa"/>
            <w:vAlign w:val="center"/>
          </w:tcPr>
          <w:p w14:paraId="1E2834A4">
            <w:pPr>
              <w:jc w:val="center"/>
            </w:pPr>
            <w:r>
              <w:rPr>
                <w:rFonts w:hint="eastAsia"/>
              </w:rPr>
              <w:t>7</w:t>
            </w:r>
          </w:p>
        </w:tc>
        <w:tc>
          <w:tcPr>
            <w:tcW w:w="5224" w:type="dxa"/>
            <w:vAlign w:val="center"/>
          </w:tcPr>
          <w:p w14:paraId="0EFE7542">
            <w:pPr>
              <w:rPr>
                <w:rFonts w:hint="eastAsia"/>
                <w:color w:val="auto"/>
                <w:highlight w:val="none"/>
              </w:rPr>
            </w:pPr>
            <w:r>
              <w:rPr>
                <w:rFonts w:hint="eastAsia"/>
                <w:color w:val="auto"/>
                <w:highlight w:val="none"/>
              </w:rPr>
              <w:t>★1、符合XF 138-2010《消防斧》标准要求，提供国家认证认可检测机构出具的与所投产品型号一致、完整有效的检验检测报告。出具报告的检验检测机构应取得市场监督管理部门的资质认定，一并提供资质认定证明文件。</w:t>
            </w:r>
          </w:p>
          <w:p w14:paraId="4667D50E">
            <w:pPr>
              <w:rPr>
                <w:rFonts w:hint="eastAsia"/>
                <w:color w:val="auto"/>
                <w:highlight w:val="none"/>
              </w:rPr>
            </w:pPr>
            <w:r>
              <w:rPr>
                <w:rFonts w:hint="eastAsia"/>
                <w:color w:val="auto"/>
                <w:highlight w:val="none"/>
              </w:rPr>
              <w:t>2、斧全长≥：810,</w:t>
            </w:r>
          </w:p>
          <w:p w14:paraId="05D45472">
            <w:pPr>
              <w:rPr>
                <w:rFonts w:hint="eastAsia"/>
                <w:color w:val="auto"/>
                <w:highlight w:val="none"/>
              </w:rPr>
            </w:pPr>
            <w:r>
              <w:rPr>
                <w:rFonts w:hint="eastAsia"/>
                <w:color w:val="auto"/>
                <w:highlight w:val="none"/>
              </w:rPr>
              <w:t>3、斧顶厚≥：25；</w:t>
            </w:r>
          </w:p>
          <w:p w14:paraId="445071AE">
            <w:pPr>
              <w:rPr>
                <w:rFonts w:hint="eastAsia"/>
                <w:color w:val="auto"/>
                <w:highlight w:val="none"/>
              </w:rPr>
            </w:pPr>
            <w:r>
              <w:rPr>
                <w:rFonts w:hint="eastAsia"/>
                <w:color w:val="auto"/>
                <w:highlight w:val="none"/>
              </w:rPr>
              <w:t>4、斧刃宽≥：110mm；</w:t>
            </w:r>
          </w:p>
          <w:p w14:paraId="7A1E491C">
            <w:pPr>
              <w:rPr>
                <w:rFonts w:hint="eastAsia"/>
                <w:color w:val="auto"/>
                <w:highlight w:val="none"/>
              </w:rPr>
            </w:pPr>
            <w:r>
              <w:rPr>
                <w:rFonts w:hint="eastAsia"/>
                <w:color w:val="auto"/>
                <w:highlight w:val="none"/>
              </w:rPr>
              <w:t>5、斧头长≥：180mm；</w:t>
            </w:r>
          </w:p>
          <w:p w14:paraId="1E517A2E">
            <w:pPr>
              <w:rPr>
                <w:rFonts w:hint="eastAsia"/>
                <w:color w:val="auto"/>
                <w:highlight w:val="none"/>
              </w:rPr>
            </w:pPr>
            <w:r>
              <w:rPr>
                <w:rFonts w:hint="eastAsia"/>
                <w:color w:val="auto"/>
                <w:highlight w:val="none"/>
              </w:rPr>
              <w:t>6、斧孔长≥：60mm；</w:t>
            </w:r>
          </w:p>
          <w:p w14:paraId="790C5D08">
            <w:pPr>
              <w:rPr>
                <w:rFonts w:hint="eastAsia"/>
                <w:color w:val="auto"/>
                <w:highlight w:val="none"/>
              </w:rPr>
            </w:pPr>
            <w:r>
              <w:rPr>
                <w:rFonts w:hint="eastAsia"/>
                <w:color w:val="auto"/>
                <w:highlight w:val="none"/>
              </w:rPr>
              <w:t>7、斧孔宽≥：18mm；</w:t>
            </w:r>
          </w:p>
          <w:p w14:paraId="5E964B56">
            <w:pPr>
              <w:rPr>
                <w:rFonts w:hint="eastAsia"/>
                <w:color w:val="auto"/>
                <w:highlight w:val="none"/>
              </w:rPr>
            </w:pPr>
            <w:r>
              <w:rPr>
                <w:rFonts w:hint="eastAsia"/>
                <w:color w:val="auto"/>
                <w:highlight w:val="none"/>
              </w:rPr>
              <w:t>8、孔位H：125mm</w:t>
            </w:r>
          </w:p>
          <w:p w14:paraId="62A6BBBF">
            <w:pPr>
              <w:rPr>
                <w:rFonts w:hint="eastAsia"/>
                <w:color w:val="auto"/>
                <w:highlight w:val="none"/>
              </w:rPr>
            </w:pPr>
            <w:r>
              <w:rPr>
                <w:rFonts w:hint="eastAsia"/>
                <w:color w:val="auto"/>
                <w:highlight w:val="none"/>
              </w:rPr>
              <w:t>9、质量≤:2.2kg；</w:t>
            </w:r>
          </w:p>
          <w:p w14:paraId="7E4CB9F1">
            <w:pPr>
              <w:rPr>
                <w:rFonts w:hint="eastAsia"/>
                <w:color w:val="auto"/>
                <w:highlight w:val="none"/>
              </w:rPr>
            </w:pPr>
            <w:r>
              <w:rPr>
                <w:rFonts w:hint="eastAsia"/>
                <w:color w:val="auto"/>
                <w:highlight w:val="none"/>
              </w:rPr>
              <w:t>10、消防斧斧刃硬度应在48HRC~ 56HRC范围内，</w:t>
            </w:r>
          </w:p>
          <w:p w14:paraId="778CB2B9">
            <w:pPr>
              <w:rPr>
                <w:rFonts w:hint="eastAsia" w:eastAsia="宋体"/>
                <w:color w:val="auto"/>
                <w:highlight w:val="none"/>
                <w:lang w:eastAsia="zh-CN"/>
              </w:rPr>
            </w:pPr>
            <w:r>
              <w:rPr>
                <w:rFonts w:hint="eastAsia"/>
                <w:color w:val="auto"/>
                <w:highlight w:val="none"/>
              </w:rPr>
              <w:t>11、斧孔壁硬度应不大于35HRC</w:t>
            </w:r>
            <w:r>
              <w:rPr>
                <w:rFonts w:hint="eastAsia"/>
                <w:color w:val="auto"/>
                <w:highlight w:val="none"/>
                <w:lang w:eastAsia="zh-CN"/>
              </w:rPr>
              <w:t>。</w:t>
            </w:r>
          </w:p>
        </w:tc>
      </w:tr>
      <w:tr w14:paraId="01EB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37C735B3">
            <w:pPr>
              <w:jc w:val="center"/>
              <w:rPr>
                <w:rFonts w:hint="default"/>
                <w:lang w:val="en-US" w:eastAsia="zh-CN"/>
              </w:rPr>
            </w:pPr>
            <w:r>
              <w:rPr>
                <w:rFonts w:hint="eastAsia"/>
                <w:lang w:val="en-US" w:eastAsia="zh-CN"/>
              </w:rPr>
              <w:t>27</w:t>
            </w:r>
          </w:p>
        </w:tc>
        <w:tc>
          <w:tcPr>
            <w:tcW w:w="1530" w:type="dxa"/>
            <w:vAlign w:val="center"/>
          </w:tcPr>
          <w:p w14:paraId="0D5DC9AB">
            <w:r>
              <w:rPr>
                <w:rFonts w:hint="eastAsia"/>
              </w:rPr>
              <w:t>强动力锂电池电锤（2电）</w:t>
            </w:r>
          </w:p>
        </w:tc>
        <w:tc>
          <w:tcPr>
            <w:tcW w:w="1069" w:type="dxa"/>
            <w:vAlign w:val="center"/>
          </w:tcPr>
          <w:p w14:paraId="4C8FA590">
            <w:pPr>
              <w:jc w:val="center"/>
            </w:pPr>
            <w:r>
              <w:rPr>
                <w:rFonts w:hint="eastAsia"/>
              </w:rPr>
              <w:t>2</w:t>
            </w:r>
          </w:p>
        </w:tc>
        <w:tc>
          <w:tcPr>
            <w:tcW w:w="5224" w:type="dxa"/>
            <w:vAlign w:val="center"/>
          </w:tcPr>
          <w:p w14:paraId="5E18DEA5">
            <w:pPr>
              <w:rPr>
                <w:rFonts w:hint="eastAsia"/>
                <w:color w:val="auto"/>
              </w:rPr>
            </w:pPr>
            <w:r>
              <w:rPr>
                <w:rFonts w:hint="eastAsia"/>
                <w:color w:val="auto"/>
              </w:rPr>
              <w:t>可快速破碎和钻孔混凝土、红砖墙、石材等，锂电池供电，即取即用。</w:t>
            </w:r>
          </w:p>
          <w:p w14:paraId="07D7CAA2">
            <w:pPr>
              <w:rPr>
                <w:rFonts w:hint="eastAsia"/>
                <w:color w:val="auto"/>
              </w:rPr>
            </w:pPr>
            <w:r>
              <w:rPr>
                <w:rFonts w:hint="eastAsia"/>
                <w:color w:val="auto"/>
              </w:rPr>
              <w:t xml:space="preserve">★1.使用电压：≥60V，    </w:t>
            </w:r>
          </w:p>
          <w:p w14:paraId="0EF4268C">
            <w:pPr>
              <w:rPr>
                <w:rFonts w:hint="eastAsia"/>
                <w:color w:val="auto"/>
              </w:rPr>
            </w:pPr>
            <w:r>
              <w:rPr>
                <w:rFonts w:hint="eastAsia"/>
                <w:color w:val="auto"/>
              </w:rPr>
              <w:t>★2.冲击频率1375 - 2705，冲击能量≥13.3j</w:t>
            </w:r>
          </w:p>
          <w:p w14:paraId="629EC812">
            <w:pPr>
              <w:rPr>
                <w:rFonts w:hint="eastAsia"/>
                <w:color w:val="auto"/>
              </w:rPr>
            </w:pPr>
            <w:r>
              <w:rPr>
                <w:rFonts w:hint="eastAsia"/>
                <w:color w:val="auto"/>
              </w:rPr>
              <w:t>★3.空载速度：177 - 355RPM，配置调速盘，速度调节档位≥7档</w:t>
            </w:r>
          </w:p>
          <w:p w14:paraId="4BD25927">
            <w:pPr>
              <w:rPr>
                <w:rFonts w:hint="eastAsia"/>
                <w:color w:val="auto"/>
              </w:rPr>
            </w:pPr>
            <w:r>
              <w:rPr>
                <w:rFonts w:hint="eastAsia"/>
                <w:color w:val="auto"/>
              </w:rPr>
              <w:t>4 .最大钻孔直径（混凝土）≥152mm。最大钻孔直径（钢材）≥22mm</w:t>
            </w:r>
          </w:p>
          <w:p w14:paraId="5C8BF407">
            <w:pPr>
              <w:rPr>
                <w:rFonts w:hint="eastAsia"/>
                <w:color w:val="auto"/>
              </w:rPr>
            </w:pPr>
            <w:r>
              <w:rPr>
                <w:rFonts w:hint="eastAsia"/>
                <w:color w:val="auto"/>
              </w:rPr>
              <w:t>5.带有智能E-CLUTCH® 系统可在锁死情况下关闭电源保护工具，电锤类型：卡盘型SDS MAX,五坑镐钎。恒速电子设备可在重负载下保持速度。</w:t>
            </w:r>
          </w:p>
          <w:p w14:paraId="6763306D">
            <w:pPr>
              <w:rPr>
                <w:color w:val="auto"/>
              </w:rPr>
            </w:pPr>
            <w:r>
              <w:rPr>
                <w:rFonts w:hint="eastAsia"/>
                <w:color w:val="auto"/>
              </w:rPr>
              <w:t>★6.重量：9.6±0.5kg</w:t>
            </w:r>
          </w:p>
        </w:tc>
      </w:tr>
      <w:tr w14:paraId="6E7A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5F2C3786">
            <w:pPr>
              <w:jc w:val="center"/>
              <w:rPr>
                <w:rFonts w:hint="default"/>
                <w:lang w:val="en-US" w:eastAsia="zh-CN"/>
              </w:rPr>
            </w:pPr>
            <w:r>
              <w:rPr>
                <w:rFonts w:hint="eastAsia"/>
                <w:lang w:val="en-US" w:eastAsia="zh-CN"/>
              </w:rPr>
              <w:t>28</w:t>
            </w:r>
          </w:p>
        </w:tc>
        <w:tc>
          <w:tcPr>
            <w:tcW w:w="1530" w:type="dxa"/>
            <w:vAlign w:val="center"/>
          </w:tcPr>
          <w:p w14:paraId="14FB614B">
            <w:r>
              <w:rPr>
                <w:rFonts w:hint="eastAsia"/>
              </w:rPr>
              <w:t>花岗岩四坑四刃地冲击钻头（10cm-16cm）</w:t>
            </w:r>
          </w:p>
        </w:tc>
        <w:tc>
          <w:tcPr>
            <w:tcW w:w="1069" w:type="dxa"/>
            <w:vAlign w:val="center"/>
          </w:tcPr>
          <w:p w14:paraId="7C8FFDC7">
            <w:pPr>
              <w:jc w:val="center"/>
            </w:pPr>
            <w:r>
              <w:rPr>
                <w:rFonts w:hint="eastAsia"/>
              </w:rPr>
              <w:t>5</w:t>
            </w:r>
          </w:p>
        </w:tc>
        <w:tc>
          <w:tcPr>
            <w:tcW w:w="5224" w:type="dxa"/>
            <w:vAlign w:val="center"/>
          </w:tcPr>
          <w:p w14:paraId="3B26500C">
            <w:pPr>
              <w:rPr>
                <w:rFonts w:hint="eastAsia"/>
              </w:rPr>
            </w:pPr>
            <w:r>
              <w:rPr>
                <w:rFonts w:hint="eastAsia"/>
              </w:rPr>
              <w:t>可以钻孔混凝土、红砖墙、石材等</w:t>
            </w:r>
          </w:p>
          <w:p w14:paraId="12701685">
            <w:pPr>
              <w:rPr>
                <w:rFonts w:hint="eastAsia"/>
              </w:rPr>
            </w:pPr>
            <w:r>
              <w:rPr>
                <w:rFonts w:hint="eastAsia"/>
              </w:rPr>
              <w:t>硬度高、耐磨损、排屑好、效率高</w:t>
            </w:r>
          </w:p>
          <w:p w14:paraId="3EDA9403">
            <w:pPr>
              <w:rPr>
                <w:rFonts w:hint="eastAsia"/>
              </w:rPr>
            </w:pPr>
            <w:r>
              <w:rPr>
                <w:rFonts w:hint="eastAsia"/>
              </w:rPr>
              <w:t>材质：40Cr钢</w:t>
            </w:r>
          </w:p>
          <w:p w14:paraId="5341E84C">
            <w:pPr>
              <w:rPr>
                <w:rFonts w:hint="eastAsia"/>
              </w:rPr>
            </w:pPr>
            <w:r>
              <w:rPr>
                <w:rFonts w:hint="eastAsia"/>
              </w:rPr>
              <w:t>1.直径≥10*长度350</w:t>
            </w:r>
          </w:p>
          <w:p w14:paraId="366A0383">
            <w:pPr>
              <w:rPr>
                <w:rFonts w:hint="eastAsia"/>
              </w:rPr>
            </w:pPr>
            <w:r>
              <w:rPr>
                <w:rFonts w:hint="eastAsia"/>
              </w:rPr>
              <w:t>2.直径≥12*长度350</w:t>
            </w:r>
          </w:p>
          <w:p w14:paraId="61A400BF">
            <w:pPr>
              <w:rPr>
                <w:rFonts w:hint="eastAsia"/>
              </w:rPr>
            </w:pPr>
            <w:r>
              <w:rPr>
                <w:rFonts w:hint="eastAsia"/>
              </w:rPr>
              <w:t>3.直径≥14*长度350</w:t>
            </w:r>
          </w:p>
          <w:p w14:paraId="7B310253">
            <w:r>
              <w:rPr>
                <w:rFonts w:hint="eastAsia"/>
              </w:rPr>
              <w:t>4.直径≥16*长度350</w:t>
            </w:r>
          </w:p>
        </w:tc>
      </w:tr>
      <w:tr w14:paraId="2E7B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260E8E1D">
            <w:pPr>
              <w:jc w:val="center"/>
              <w:rPr>
                <w:rFonts w:hint="default"/>
                <w:lang w:val="en-US" w:eastAsia="zh-CN"/>
              </w:rPr>
            </w:pPr>
            <w:r>
              <w:rPr>
                <w:rFonts w:hint="eastAsia"/>
                <w:lang w:val="en-US" w:eastAsia="zh-CN"/>
              </w:rPr>
              <w:t>29</w:t>
            </w:r>
          </w:p>
        </w:tc>
        <w:tc>
          <w:tcPr>
            <w:tcW w:w="1530" w:type="dxa"/>
            <w:vAlign w:val="center"/>
          </w:tcPr>
          <w:p w14:paraId="584814ED">
            <w:r>
              <w:rPr>
                <w:rFonts w:hint="eastAsia"/>
              </w:rPr>
              <w:t>地震建筑坍塌开缝器</w:t>
            </w:r>
          </w:p>
        </w:tc>
        <w:tc>
          <w:tcPr>
            <w:tcW w:w="1069" w:type="dxa"/>
            <w:vAlign w:val="center"/>
          </w:tcPr>
          <w:p w14:paraId="1BAFE8D0">
            <w:pPr>
              <w:jc w:val="center"/>
            </w:pPr>
            <w:r>
              <w:rPr>
                <w:rFonts w:hint="eastAsia"/>
              </w:rPr>
              <w:t>1</w:t>
            </w:r>
          </w:p>
        </w:tc>
        <w:tc>
          <w:tcPr>
            <w:tcW w:w="5224" w:type="dxa"/>
            <w:vAlign w:val="center"/>
          </w:tcPr>
          <w:p w14:paraId="1083DE58">
            <w:pPr>
              <w:rPr>
                <w:rFonts w:hint="eastAsia"/>
                <w:color w:val="auto"/>
                <w:highlight w:val="none"/>
              </w:rPr>
            </w:pPr>
            <w:r>
              <w:rPr>
                <w:rFonts w:hint="eastAsia"/>
              </w:rPr>
              <w:t>1</w:t>
            </w:r>
            <w:r>
              <w:rPr>
                <w:rFonts w:hint="eastAsia"/>
                <w:color w:val="auto"/>
                <w:highlight w:val="none"/>
              </w:rPr>
              <w:t>、提供国家认证认可检测机构出具的与所投产品型号一致、完整有效的检验检测报告。出具报告的检验检测机构应取得市场监督管理部门的资质认定，一并提供资质认定证明文件。</w:t>
            </w:r>
          </w:p>
          <w:p w14:paraId="152F5B58">
            <w:pPr>
              <w:rPr>
                <w:rFonts w:hint="eastAsia"/>
                <w:color w:val="auto"/>
                <w:highlight w:val="none"/>
              </w:rPr>
            </w:pPr>
            <w:r>
              <w:rPr>
                <w:rFonts w:hint="eastAsia"/>
                <w:color w:val="auto"/>
                <w:highlight w:val="none"/>
              </w:rPr>
              <w:t xml:space="preserve">2、电动泵技术要求： </w:t>
            </w:r>
          </w:p>
          <w:p w14:paraId="0C57FB99">
            <w:pPr>
              <w:rPr>
                <w:rFonts w:hint="eastAsia"/>
                <w:color w:val="auto"/>
                <w:highlight w:val="none"/>
              </w:rPr>
            </w:pPr>
            <w:r>
              <w:rPr>
                <w:rFonts w:hint="eastAsia"/>
                <w:color w:val="auto"/>
                <w:highlight w:val="none"/>
              </w:rPr>
              <w:t>额定工作压力 ≥70Mpa;</w:t>
            </w:r>
          </w:p>
          <w:p w14:paraId="72C39664">
            <w:pPr>
              <w:rPr>
                <w:rFonts w:hint="eastAsia" w:eastAsia="宋体"/>
                <w:color w:val="auto"/>
                <w:highlight w:val="none"/>
                <w:lang w:eastAsia="zh-CN"/>
              </w:rPr>
            </w:pPr>
            <w:r>
              <w:rPr>
                <w:rFonts w:hint="eastAsia"/>
                <w:color w:val="auto"/>
                <w:highlight w:val="none"/>
              </w:rPr>
              <w:t>电动电压/电流</w:t>
            </w:r>
            <w:r>
              <w:rPr>
                <w:rFonts w:hint="eastAsia"/>
                <w:color w:val="auto"/>
                <w:highlight w:val="none"/>
                <w:lang w:eastAsia="zh-CN"/>
              </w:rPr>
              <w:t>≥</w:t>
            </w:r>
            <w:r>
              <w:rPr>
                <w:rFonts w:hint="eastAsia"/>
                <w:color w:val="auto"/>
                <w:highlight w:val="none"/>
              </w:rPr>
              <w:t>25.2V/5.0Ah ;</w:t>
            </w:r>
          </w:p>
          <w:p w14:paraId="2DD915FC">
            <w:pPr>
              <w:rPr>
                <w:rFonts w:hint="eastAsia"/>
                <w:color w:val="auto"/>
                <w:highlight w:val="none"/>
              </w:rPr>
            </w:pPr>
            <w:r>
              <w:rPr>
                <w:rFonts w:hint="eastAsia"/>
                <w:color w:val="auto"/>
                <w:highlight w:val="none"/>
              </w:rPr>
              <w:t>额定流量≥0.5L/min;</w:t>
            </w:r>
          </w:p>
          <w:p w14:paraId="447C14F5">
            <w:pPr>
              <w:rPr>
                <w:rFonts w:hint="eastAsia"/>
                <w:color w:val="auto"/>
                <w:highlight w:val="none"/>
              </w:rPr>
            </w:pPr>
            <w:r>
              <w:rPr>
                <w:rFonts w:hint="eastAsia"/>
                <w:color w:val="auto"/>
                <w:highlight w:val="none"/>
              </w:rPr>
              <w:t>低压流量≥2.5L/min;</w:t>
            </w:r>
          </w:p>
          <w:p w14:paraId="73556316">
            <w:pPr>
              <w:rPr>
                <w:rFonts w:hint="eastAsia"/>
                <w:color w:val="auto"/>
                <w:highlight w:val="none"/>
              </w:rPr>
            </w:pPr>
            <w:r>
              <w:rPr>
                <w:rFonts w:hint="eastAsia"/>
                <w:color w:val="auto"/>
                <w:highlight w:val="none"/>
              </w:rPr>
              <w:t>油箱容积  ≥2.5L;</w:t>
            </w:r>
          </w:p>
          <w:p w14:paraId="0A8DD51A">
            <w:pPr>
              <w:rPr>
                <w:rFonts w:hint="eastAsia"/>
                <w:color w:val="auto"/>
                <w:highlight w:val="none"/>
              </w:rPr>
            </w:pPr>
            <w:r>
              <w:rPr>
                <w:rFonts w:hint="eastAsia"/>
                <w:color w:val="auto"/>
                <w:highlight w:val="none"/>
              </w:rPr>
              <w:t>重量： ≤10kg;</w:t>
            </w:r>
          </w:p>
          <w:p w14:paraId="1F995D64">
            <w:pPr>
              <w:rPr>
                <w:rFonts w:hint="eastAsia"/>
                <w:color w:val="auto"/>
                <w:highlight w:val="none"/>
              </w:rPr>
            </w:pPr>
            <w:r>
              <w:rPr>
                <w:rFonts w:hint="eastAsia"/>
                <w:color w:val="auto"/>
                <w:highlight w:val="none"/>
              </w:rPr>
              <w:t>外形尺寸（长*宽*高)≤ 400x200x265mm;</w:t>
            </w:r>
          </w:p>
          <w:p w14:paraId="0AFDF7C6">
            <w:pPr>
              <w:rPr>
                <w:rFonts w:hint="eastAsia"/>
                <w:color w:val="auto"/>
                <w:highlight w:val="none"/>
              </w:rPr>
            </w:pPr>
            <w:r>
              <w:rPr>
                <w:rFonts w:hint="eastAsia"/>
                <w:color w:val="auto"/>
                <w:highlight w:val="none"/>
              </w:rPr>
              <w:t>配置：10M平头轴心单管单接口软管1套、锂电池2块、充电器1个,220V交直流转换器1个、无线遥控器1个。</w:t>
            </w:r>
          </w:p>
          <w:p w14:paraId="10A4E9FE">
            <w:pPr>
              <w:rPr>
                <w:rFonts w:hint="eastAsia"/>
                <w:color w:val="auto"/>
                <w:highlight w:val="none"/>
              </w:rPr>
            </w:pPr>
            <w:r>
              <w:rPr>
                <w:rFonts w:hint="eastAsia"/>
                <w:color w:val="auto"/>
                <w:highlight w:val="none"/>
              </w:rPr>
              <w:t>3、开缝器技术要求</w:t>
            </w:r>
          </w:p>
          <w:p w14:paraId="7B46FB0E">
            <w:pPr>
              <w:rPr>
                <w:rFonts w:hint="eastAsia"/>
                <w:color w:val="auto"/>
                <w:highlight w:val="none"/>
              </w:rPr>
            </w:pPr>
            <w:r>
              <w:rPr>
                <w:rFonts w:hint="eastAsia"/>
                <w:color w:val="auto"/>
                <w:highlight w:val="none"/>
              </w:rPr>
              <w:t>无尾管、单管单接口设计。</w:t>
            </w:r>
          </w:p>
          <w:p w14:paraId="1C7F6A1D">
            <w:pPr>
              <w:rPr>
                <w:rFonts w:hint="eastAsia"/>
                <w:color w:val="auto"/>
                <w:highlight w:val="none"/>
              </w:rPr>
            </w:pPr>
            <w:r>
              <w:rPr>
                <w:rFonts w:hint="eastAsia"/>
                <w:color w:val="auto"/>
                <w:highlight w:val="none"/>
              </w:rPr>
              <w:t>接口为平头轴心单接口设计可带压操作，一按到位。</w:t>
            </w:r>
          </w:p>
          <w:p w14:paraId="41D2A9AA">
            <w:pPr>
              <w:rPr>
                <w:rFonts w:hint="eastAsia"/>
              </w:rPr>
            </w:pPr>
            <w:r>
              <w:rPr>
                <w:rFonts w:hint="eastAsia"/>
                <w:color w:val="auto"/>
                <w:highlight w:val="none"/>
              </w:rPr>
              <w:t>塑料防滑开关控制，不扎手、</w:t>
            </w:r>
            <w:r>
              <w:rPr>
                <w:rFonts w:hint="eastAsia"/>
              </w:rPr>
              <w:t>不粘手，使操作更精准。</w:t>
            </w:r>
          </w:p>
          <w:p w14:paraId="1FDE3C89">
            <w:pPr>
              <w:rPr>
                <w:rFonts w:hint="eastAsia"/>
              </w:rPr>
            </w:pPr>
            <w:r>
              <w:rPr>
                <w:rFonts w:hint="eastAsia"/>
              </w:rPr>
              <w:t>内部采用双向液压锁，工具泄压后具备自锁保压功能。</w:t>
            </w:r>
          </w:p>
          <w:p w14:paraId="1034E1A8">
            <w:pPr>
              <w:rPr>
                <w:rFonts w:hint="eastAsia"/>
              </w:rPr>
            </w:pPr>
            <w:r>
              <w:rPr>
                <w:rFonts w:hint="eastAsia"/>
              </w:rPr>
              <w:t>额定工作压力：≥72MPa</w:t>
            </w:r>
          </w:p>
          <w:p w14:paraId="7BEFFCC1">
            <w:pPr>
              <w:rPr>
                <w:rFonts w:hint="eastAsia"/>
              </w:rPr>
            </w:pPr>
            <w:r>
              <w:rPr>
                <w:rFonts w:hint="eastAsia"/>
              </w:rPr>
              <w:t>最大开启距离：≥52mm</w:t>
            </w:r>
          </w:p>
          <w:p w14:paraId="1F5B1E21">
            <w:pPr>
              <w:rPr>
                <w:rFonts w:hint="eastAsia"/>
              </w:rPr>
            </w:pPr>
            <w:r>
              <w:rPr>
                <w:rFonts w:hint="eastAsia"/>
              </w:rPr>
              <w:t>最大开启力：≥168KN</w:t>
            </w:r>
          </w:p>
          <w:p w14:paraId="3AF04113">
            <w:pPr>
              <w:rPr>
                <w:rFonts w:hint="eastAsia"/>
              </w:rPr>
            </w:pPr>
            <w:r>
              <w:rPr>
                <w:rFonts w:hint="eastAsia"/>
              </w:rPr>
              <w:t>最小楔入缝隙：≤5mm</w:t>
            </w:r>
          </w:p>
          <w:p w14:paraId="4E1DD506">
            <w:r>
              <w:rPr>
                <w:rFonts w:hint="eastAsia"/>
              </w:rPr>
              <w:t xml:space="preserve">重量：≤11kg </w:t>
            </w:r>
          </w:p>
        </w:tc>
      </w:tr>
      <w:tr w14:paraId="26FA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99" w:type="dxa"/>
            <w:noWrap/>
            <w:vAlign w:val="center"/>
          </w:tcPr>
          <w:p w14:paraId="5C5904FA">
            <w:pPr>
              <w:jc w:val="center"/>
              <w:rPr>
                <w:rFonts w:hint="default"/>
                <w:lang w:val="en-US" w:eastAsia="zh-CN"/>
              </w:rPr>
            </w:pPr>
            <w:r>
              <w:rPr>
                <w:rFonts w:hint="eastAsia"/>
                <w:lang w:val="en-US" w:eastAsia="zh-CN"/>
              </w:rPr>
              <w:t>30</w:t>
            </w:r>
          </w:p>
        </w:tc>
        <w:tc>
          <w:tcPr>
            <w:tcW w:w="1530" w:type="dxa"/>
            <w:vAlign w:val="center"/>
          </w:tcPr>
          <w:p w14:paraId="1C70A750">
            <w:r>
              <w:rPr>
                <w:rFonts w:hint="eastAsia"/>
              </w:rPr>
              <w:t>等离子切焊机</w:t>
            </w:r>
          </w:p>
        </w:tc>
        <w:tc>
          <w:tcPr>
            <w:tcW w:w="1069" w:type="dxa"/>
            <w:vAlign w:val="center"/>
          </w:tcPr>
          <w:p w14:paraId="3B5AFC20">
            <w:pPr>
              <w:jc w:val="center"/>
            </w:pPr>
            <w:r>
              <w:rPr>
                <w:rFonts w:hint="eastAsia"/>
              </w:rPr>
              <w:t>1</w:t>
            </w:r>
          </w:p>
        </w:tc>
        <w:tc>
          <w:tcPr>
            <w:tcW w:w="5224" w:type="dxa"/>
            <w:vAlign w:val="center"/>
          </w:tcPr>
          <w:p w14:paraId="57EEBFB4">
            <w:pPr>
              <w:rPr>
                <w:rFonts w:hint="eastAsia"/>
              </w:rPr>
            </w:pPr>
            <w:r>
              <w:rPr>
                <w:rFonts w:hint="eastAsia"/>
              </w:rPr>
              <w:t>1.额定功率≥3KW；</w:t>
            </w:r>
          </w:p>
          <w:p w14:paraId="5BFE6E0E">
            <w:pPr>
              <w:rPr>
                <w:rFonts w:hint="eastAsia"/>
              </w:rPr>
            </w:pPr>
            <w:r>
              <w:rPr>
                <w:rFonts w:hint="eastAsia"/>
              </w:rPr>
              <w:t>2.主机重量≤6.5kg；</w:t>
            </w:r>
          </w:p>
          <w:p w14:paraId="1CC1F492">
            <w:pPr>
              <w:rPr>
                <w:rFonts w:hint="eastAsia"/>
              </w:rPr>
            </w:pPr>
            <w:r>
              <w:rPr>
                <w:rFonts w:hint="eastAsia"/>
              </w:rPr>
              <w:t>3.火焰内部温度8000℃等离子高温束流；</w:t>
            </w:r>
          </w:p>
          <w:p w14:paraId="18FA9DE9">
            <w:pPr>
              <w:rPr>
                <w:rFonts w:hint="eastAsia"/>
              </w:rPr>
            </w:pPr>
            <w:r>
              <w:rPr>
                <w:rFonts w:hint="eastAsia"/>
              </w:rPr>
              <w:t>4.工作介质：水、酒精等；</w:t>
            </w:r>
          </w:p>
          <w:p w14:paraId="3353B0D4">
            <w:pPr>
              <w:rPr>
                <w:rFonts w:hint="eastAsia"/>
              </w:rPr>
            </w:pPr>
            <w:r>
              <w:rPr>
                <w:rFonts w:hint="eastAsia"/>
              </w:rPr>
              <w:t>5.转换方式：能切割，能焊接；</w:t>
            </w:r>
          </w:p>
          <w:p w14:paraId="1D9D1C18">
            <w:pPr>
              <w:rPr>
                <w:rFonts w:hint="eastAsia"/>
              </w:rPr>
            </w:pPr>
            <w:r>
              <w:rPr>
                <w:rFonts w:hint="eastAsia"/>
              </w:rPr>
              <w:t>6.切割：</w:t>
            </w:r>
          </w:p>
          <w:p w14:paraId="0EEEFE62">
            <w:pPr>
              <w:rPr>
                <w:rFonts w:hint="eastAsia"/>
              </w:rPr>
            </w:pPr>
            <w:r>
              <w:rPr>
                <w:rFonts w:hint="eastAsia"/>
              </w:rPr>
              <w:t>钢筋≥15mm、金属板≥10mm；</w:t>
            </w:r>
          </w:p>
          <w:p w14:paraId="70D3F51D">
            <w:pPr>
              <w:rPr>
                <w:rFonts w:hint="eastAsia"/>
              </w:rPr>
            </w:pPr>
            <w:r>
              <w:rPr>
                <w:rFonts w:hint="eastAsia"/>
              </w:rPr>
              <w:t>7.焊接：</w:t>
            </w:r>
          </w:p>
          <w:p w14:paraId="2F15A50C">
            <w:pPr>
              <w:rPr>
                <w:rFonts w:hint="eastAsia"/>
              </w:rPr>
            </w:pPr>
            <w:r>
              <w:rPr>
                <w:rFonts w:hint="eastAsia"/>
              </w:rPr>
              <w:t>金属板：≥10mm；</w:t>
            </w:r>
          </w:p>
          <w:p w14:paraId="5E3A5BF3">
            <w:r>
              <w:rPr>
                <w:rFonts w:hint="eastAsia"/>
              </w:rPr>
              <w:t>8.专用储运箱，防水、防尘、防撞击，中文使用维护保养说明书或U盘。</w:t>
            </w:r>
          </w:p>
        </w:tc>
      </w:tr>
    </w:tbl>
    <w:p w14:paraId="0E60EB5B">
      <w:r>
        <w:rPr>
          <w:rFonts w:hint="eastAsia"/>
        </w:rPr>
        <w:t>注：</w:t>
      </w:r>
      <w:r>
        <w:rPr>
          <w:rFonts w:hint="eastAsia" w:ascii="宋体" w:hAnsi="宋体"/>
        </w:rPr>
        <w:t>标有“▲”的为关键要求，不允许负偏离。</w:t>
      </w:r>
    </w:p>
    <w:p w14:paraId="5709B9E6"/>
    <w:p w14:paraId="2328E7AE"/>
    <w:p w14:paraId="2A6CDC2A"/>
    <w:p w14:paraId="2D46F06E">
      <w:pPr>
        <w:pStyle w:val="2"/>
        <w:spacing w:before="156" w:after="156"/>
        <w:rPr>
          <w:rFonts w:hint="eastAsia"/>
        </w:rPr>
      </w:pPr>
      <w:bookmarkStart w:id="23" w:name="_Toc16452"/>
      <w:r>
        <w:rPr>
          <w:rFonts w:hint="eastAsia"/>
        </w:rPr>
        <w:t>第四部分  评分办法及评分标准</w:t>
      </w:r>
      <w:bookmarkEnd w:id="16"/>
      <w:bookmarkEnd w:id="23"/>
    </w:p>
    <w:p w14:paraId="15827625">
      <w:pPr>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为公正、公平、科学地选择中标人，根据有关法律法规的规定，并结合本项目的实际，制定本办法。</w:t>
      </w:r>
    </w:p>
    <w:p w14:paraId="48FB162C">
      <w:pPr>
        <w:spacing w:line="360" w:lineRule="auto"/>
        <w:ind w:firstLine="458" w:firstLineChars="200"/>
        <w:rPr>
          <w:rFonts w:hint="eastAsia" w:ascii="宋体" w:hAnsi="宋体" w:cs="宋体"/>
          <w:b/>
          <w:spacing w:val="-6"/>
          <w:sz w:val="24"/>
        </w:rPr>
      </w:pPr>
      <w:r>
        <w:rPr>
          <w:rFonts w:hint="eastAsia" w:ascii="宋体" w:hAnsi="宋体" w:cs="宋体"/>
          <w:b/>
          <w:spacing w:val="-6"/>
          <w:sz w:val="24"/>
        </w:rPr>
        <w:t>一、总则</w:t>
      </w:r>
    </w:p>
    <w:p w14:paraId="638E80AE">
      <w:pPr>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本次评标采用</w:t>
      </w:r>
      <w:r>
        <w:rPr>
          <w:rFonts w:hint="eastAsia" w:ascii="宋体" w:hAnsi="宋体" w:cs="宋体"/>
          <w:b/>
          <w:spacing w:val="-6"/>
          <w:sz w:val="24"/>
        </w:rPr>
        <w:t>综合评分法</w:t>
      </w:r>
      <w:r>
        <w:rPr>
          <w:rFonts w:hint="eastAsia" w:ascii="宋体" w:hAnsi="宋体" w:cs="宋体"/>
          <w:bCs/>
          <w:spacing w:val="-6"/>
          <w:sz w:val="24"/>
        </w:rPr>
        <w:t>，总分为100分。合格投标人的评标得分为各项目汇总得分，中标候选资格按评标得分由高到低顺序排列，得分相同的，按投标报价得分由高到低顺序排列；得分且投标报价相同的，按技术得分由高到低顺序排列。排名第一的投标人为中标候选人。评分过程中采用四舍五入法，并保留小数2位。</w:t>
      </w:r>
    </w:p>
    <w:p w14:paraId="6CEB8639">
      <w:pPr>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技术、商务及价格分按照评标委员会成员的独立评分结果汇总后的算术平均分计算，计算公式为：</w:t>
      </w:r>
    </w:p>
    <w:p w14:paraId="228931F1">
      <w:pPr>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技术、商务及价格分=评标委员会所有成员评分合计数/评标委员会人数</w:t>
      </w:r>
    </w:p>
    <w:p w14:paraId="044DC07F">
      <w:pPr>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投标人评标综合得分=价格分+商务分+技术分</w:t>
      </w:r>
    </w:p>
    <w:p w14:paraId="35DE88BA">
      <w:pPr>
        <w:spacing w:line="360" w:lineRule="auto"/>
        <w:ind w:firstLine="458" w:firstLineChars="200"/>
        <w:rPr>
          <w:rFonts w:hint="eastAsia" w:ascii="宋体" w:hAnsi="宋体" w:cs="宋体"/>
          <w:b/>
          <w:spacing w:val="-6"/>
          <w:sz w:val="24"/>
        </w:rPr>
      </w:pPr>
      <w:r>
        <w:rPr>
          <w:rFonts w:hint="eastAsia" w:ascii="宋体" w:hAnsi="宋体" w:cs="宋体"/>
          <w:b/>
          <w:spacing w:val="-6"/>
          <w:sz w:val="24"/>
        </w:rPr>
        <w:t>二、评标内容及标准</w:t>
      </w:r>
    </w:p>
    <w:p w14:paraId="35301113">
      <w:pPr>
        <w:adjustRightInd w:val="0"/>
        <w:snapToGrid w:val="0"/>
        <w:spacing w:line="360" w:lineRule="auto"/>
        <w:ind w:firstLine="458" w:firstLineChars="200"/>
        <w:rPr>
          <w:rFonts w:hint="eastAsia" w:ascii="宋体" w:hAnsi="宋体" w:cs="宋体"/>
          <w:b/>
          <w:spacing w:val="-6"/>
          <w:sz w:val="24"/>
        </w:rPr>
      </w:pPr>
      <w:r>
        <w:rPr>
          <w:rFonts w:hint="eastAsia" w:ascii="宋体" w:hAnsi="宋体" w:cs="宋体"/>
          <w:b/>
          <w:spacing w:val="-6"/>
          <w:sz w:val="24"/>
        </w:rPr>
        <w:t>1.投标价格（30分）</w:t>
      </w:r>
    </w:p>
    <w:p w14:paraId="100BE703">
      <w:pPr>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报价的合理性：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bookmarkStart w:id="24" w:name="_Toc345320402"/>
      <w:r>
        <w:rPr>
          <w:rFonts w:hint="eastAsia" w:ascii="宋体" w:hAnsi="宋体" w:cs="宋体"/>
          <w:bCs/>
          <w:spacing w:val="-6"/>
          <w:sz w:val="24"/>
        </w:rPr>
        <w:t>；投标人不能证明其报价合理性的，评标委员会应当将其作为无效投标处理。</w:t>
      </w:r>
    </w:p>
    <w:p w14:paraId="33AA2127">
      <w:pPr>
        <w:adjustRightInd w:val="0"/>
        <w:snapToGrid w:val="0"/>
        <w:spacing w:line="360" w:lineRule="auto"/>
        <w:ind w:firstLine="458" w:firstLineChars="200"/>
        <w:rPr>
          <w:rFonts w:hint="eastAsia" w:ascii="宋体" w:hAnsi="宋体" w:cs="宋体"/>
          <w:b/>
          <w:spacing w:val="-6"/>
          <w:sz w:val="24"/>
        </w:rPr>
      </w:pPr>
      <w:r>
        <w:rPr>
          <w:rFonts w:hint="eastAsia" w:ascii="宋体" w:hAnsi="宋体" w:cs="宋体"/>
          <w:b/>
          <w:spacing w:val="-6"/>
          <w:sz w:val="24"/>
        </w:rPr>
        <w:t>2.商务技术</w:t>
      </w:r>
      <w:bookmarkEnd w:id="24"/>
      <w:r>
        <w:rPr>
          <w:rFonts w:hint="eastAsia" w:ascii="宋体" w:hAnsi="宋体" w:cs="宋体"/>
          <w:b/>
          <w:spacing w:val="-6"/>
          <w:sz w:val="24"/>
        </w:rPr>
        <w:t>（70分）</w:t>
      </w:r>
    </w:p>
    <w:p w14:paraId="20C69E73">
      <w:pPr>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该评分分值由评标委员会根据评审情况在分值范围内独立打分（具体分值设定详见表格），小数点后保留一位小数。每个投标人的最终得分为评标委员会打分汇总后的算术平均值（小数点后保留两位小数，第三位四舍五入）。</w:t>
      </w:r>
    </w:p>
    <w:tbl>
      <w:tblPr>
        <w:tblStyle w:val="3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710"/>
        <w:gridCol w:w="7368"/>
      </w:tblGrid>
      <w:tr w14:paraId="2B59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dxa"/>
            <w:vAlign w:val="center"/>
          </w:tcPr>
          <w:p w14:paraId="7EB96DFA">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评审因素</w:t>
            </w:r>
          </w:p>
        </w:tc>
        <w:tc>
          <w:tcPr>
            <w:tcW w:w="710" w:type="dxa"/>
            <w:vAlign w:val="center"/>
          </w:tcPr>
          <w:p w14:paraId="2ABD059C">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368" w:type="dxa"/>
            <w:vAlign w:val="center"/>
          </w:tcPr>
          <w:p w14:paraId="308CF9D4">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评分细则</w:t>
            </w:r>
          </w:p>
        </w:tc>
      </w:tr>
      <w:tr w14:paraId="108B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20" w:type="dxa"/>
            <w:gridSpan w:val="3"/>
            <w:vAlign w:val="center"/>
          </w:tcPr>
          <w:p w14:paraId="12E5AF89">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价格分</w:t>
            </w:r>
          </w:p>
        </w:tc>
      </w:tr>
      <w:tr w14:paraId="661C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60B5DE90">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投标报价</w:t>
            </w:r>
          </w:p>
        </w:tc>
        <w:tc>
          <w:tcPr>
            <w:tcW w:w="710" w:type="dxa"/>
            <w:tcBorders>
              <w:top w:val="single" w:color="auto" w:sz="4" w:space="0"/>
              <w:left w:val="single" w:color="auto" w:sz="4" w:space="0"/>
              <w:bottom w:val="single" w:color="auto" w:sz="4" w:space="0"/>
              <w:right w:val="single" w:color="auto" w:sz="4" w:space="0"/>
            </w:tcBorders>
            <w:vAlign w:val="center"/>
          </w:tcPr>
          <w:p w14:paraId="3C28235D">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0-30</w:t>
            </w:r>
          </w:p>
        </w:tc>
        <w:tc>
          <w:tcPr>
            <w:tcW w:w="7368" w:type="dxa"/>
            <w:tcBorders>
              <w:top w:val="single" w:color="auto" w:sz="4" w:space="0"/>
              <w:left w:val="single" w:color="auto" w:sz="4" w:space="0"/>
              <w:bottom w:val="single" w:color="auto" w:sz="4" w:space="0"/>
              <w:right w:val="single" w:color="auto" w:sz="4" w:space="0"/>
            </w:tcBorders>
            <w:vAlign w:val="center"/>
          </w:tcPr>
          <w:p w14:paraId="6AE17396">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报价分计算方法：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由采购机构当场统一计算)。</w:t>
            </w:r>
          </w:p>
        </w:tc>
      </w:tr>
      <w:tr w14:paraId="5F13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20" w:type="dxa"/>
            <w:gridSpan w:val="3"/>
            <w:vAlign w:val="center"/>
          </w:tcPr>
          <w:p w14:paraId="605CB186">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商务分</w:t>
            </w:r>
          </w:p>
        </w:tc>
      </w:tr>
      <w:tr w14:paraId="2079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dxa"/>
            <w:vAlign w:val="center"/>
          </w:tcPr>
          <w:p w14:paraId="7FDC4F1D">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质保期</w:t>
            </w:r>
          </w:p>
        </w:tc>
        <w:tc>
          <w:tcPr>
            <w:tcW w:w="710" w:type="dxa"/>
            <w:vAlign w:val="center"/>
          </w:tcPr>
          <w:p w14:paraId="41D40F69">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0-2</w:t>
            </w:r>
          </w:p>
        </w:tc>
        <w:tc>
          <w:tcPr>
            <w:tcW w:w="7368" w:type="dxa"/>
            <w:vAlign w:val="center"/>
          </w:tcPr>
          <w:p w14:paraId="7F5FFCFE">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质保期在招标文件要求的基础上，每增加半年得1分，最高得2分。</w:t>
            </w:r>
          </w:p>
        </w:tc>
      </w:tr>
      <w:tr w14:paraId="3C6D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Align w:val="center"/>
          </w:tcPr>
          <w:p w14:paraId="72DF7860">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业绩</w:t>
            </w:r>
          </w:p>
        </w:tc>
        <w:tc>
          <w:tcPr>
            <w:tcW w:w="710" w:type="dxa"/>
            <w:vAlign w:val="center"/>
          </w:tcPr>
          <w:p w14:paraId="0219E7D3">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0-3</w:t>
            </w:r>
          </w:p>
        </w:tc>
        <w:tc>
          <w:tcPr>
            <w:tcW w:w="7368" w:type="dxa"/>
            <w:vAlign w:val="center"/>
          </w:tcPr>
          <w:p w14:paraId="36DF4153">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szCs w:val="21"/>
              </w:rPr>
              <w:t>供应商</w:t>
            </w:r>
            <w:r>
              <w:rPr>
                <w:rFonts w:hint="default" w:ascii="Times New Roman" w:hAnsi="Times New Roman" w:cs="Times New Roman"/>
                <w:color w:val="auto"/>
              </w:rPr>
              <w:t>自2022年01月01</w:t>
            </w:r>
            <w:r>
              <w:rPr>
                <w:rFonts w:hint="eastAsia" w:cs="Times New Roman"/>
                <w:color w:val="auto"/>
                <w:lang w:val="en-US" w:eastAsia="zh-CN"/>
              </w:rPr>
              <w:t>日</w:t>
            </w:r>
            <w:r>
              <w:rPr>
                <w:rFonts w:hint="default" w:ascii="Times New Roman" w:hAnsi="Times New Roman" w:cs="Times New Roman"/>
                <w:color w:val="auto"/>
              </w:rPr>
              <w:t>以来承接过</w:t>
            </w:r>
            <w:r>
              <w:rPr>
                <w:rFonts w:hint="default" w:ascii="Times New Roman" w:hAnsi="Times New Roman" w:cs="Times New Roman"/>
                <w:color w:val="auto"/>
                <w:lang w:val="en-US" w:eastAsia="zh-CN"/>
              </w:rPr>
              <w:t>破拆类产品</w:t>
            </w:r>
            <w:r>
              <w:rPr>
                <w:rFonts w:hint="default" w:ascii="Times New Roman" w:hAnsi="Times New Roman" w:cs="Times New Roman"/>
                <w:color w:val="auto"/>
              </w:rPr>
              <w:t>（多产品的标项指核心产品）相关政府采购业绩（采购人是指依法进行政府采购的国家机关、事业单位、团体组织），每提供1个得</w:t>
            </w:r>
            <w:r>
              <w:rPr>
                <w:rFonts w:hint="eastAsia" w:cs="Times New Roman"/>
                <w:color w:val="auto"/>
                <w:lang w:val="en-US" w:eastAsia="zh-CN"/>
              </w:rPr>
              <w:t>1</w:t>
            </w:r>
            <w:r>
              <w:rPr>
                <w:rFonts w:hint="default" w:ascii="Times New Roman" w:hAnsi="Times New Roman" w:cs="Times New Roman"/>
                <w:color w:val="auto"/>
              </w:rPr>
              <w:t>分，最高得3分</w:t>
            </w:r>
            <w:r>
              <w:rPr>
                <w:rFonts w:hint="default" w:ascii="Times New Roman" w:hAnsi="Times New Roman" w:cs="Times New Roman"/>
                <w:color w:val="auto"/>
                <w:szCs w:val="21"/>
              </w:rPr>
              <w:t>。</w:t>
            </w:r>
            <w:r>
              <w:rPr>
                <w:rFonts w:hint="default" w:ascii="Times New Roman" w:hAnsi="Times New Roman" w:cs="Times New Roman"/>
                <w:color w:val="auto"/>
              </w:rPr>
              <w:t>（0-3分）</w:t>
            </w:r>
          </w:p>
          <w:p w14:paraId="2DD9E56C">
            <w:pPr>
              <w:spacing w:line="360" w:lineRule="auto"/>
              <w:rPr>
                <w:rFonts w:hint="default" w:ascii="Times New Roman" w:hAnsi="Times New Roman" w:cs="Times New Roman"/>
                <w:color w:val="auto"/>
                <w:szCs w:val="21"/>
              </w:rPr>
            </w:pPr>
            <w:r>
              <w:rPr>
                <w:rFonts w:hint="default" w:ascii="Times New Roman" w:hAnsi="Times New Roman" w:cs="Times New Roman"/>
                <w:color w:val="auto"/>
              </w:rPr>
              <w:t>注</w:t>
            </w:r>
            <w:r>
              <w:rPr>
                <w:rFonts w:hint="default" w:ascii="Times New Roman" w:hAnsi="Times New Roman" w:cs="Times New Roman"/>
                <w:color w:val="auto"/>
                <w:szCs w:val="21"/>
              </w:rPr>
              <w:t>： 1.需同时提供每个业绩的合同复印件以及投标人与合同需求方转账凭证复印件及发票复印件，否则不予认可。</w:t>
            </w:r>
          </w:p>
          <w:p w14:paraId="1B4329AB">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szCs w:val="21"/>
              </w:rPr>
              <w:t>2.统招分签的合同按</w:t>
            </w:r>
            <w:r>
              <w:rPr>
                <w:rFonts w:hint="default" w:ascii="Times New Roman" w:hAnsi="Times New Roman" w:cs="Times New Roman"/>
                <w:color w:val="auto"/>
              </w:rPr>
              <w:t>一个合同业绩计。</w:t>
            </w:r>
          </w:p>
          <w:p w14:paraId="7AA238E5">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szCs w:val="21"/>
              </w:rPr>
              <w:t>3.如一个标项中包含多个产品的，以提供核心产品的业绩为准。</w:t>
            </w:r>
          </w:p>
        </w:tc>
      </w:tr>
      <w:tr w14:paraId="40B8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Align w:val="center"/>
          </w:tcPr>
          <w:p w14:paraId="533C99B7">
            <w:pPr>
              <w:spacing w:line="360" w:lineRule="auto"/>
              <w:jc w:val="center"/>
              <w:rPr>
                <w:rFonts w:hint="default" w:ascii="Times New Roman" w:hAnsi="Times New Roman" w:cs="Times New Roman"/>
                <w:b/>
                <w:bCs/>
                <w:szCs w:val="21"/>
              </w:rPr>
            </w:pPr>
            <w:r>
              <w:rPr>
                <w:rFonts w:hint="default" w:ascii="Times New Roman" w:hAnsi="Times New Roman" w:cs="Times New Roman"/>
                <w:b/>
                <w:bCs/>
                <w:sz w:val="24"/>
              </w:rPr>
              <w:t>商务要求响应（满足）程度</w:t>
            </w:r>
          </w:p>
        </w:tc>
        <w:tc>
          <w:tcPr>
            <w:tcW w:w="710" w:type="dxa"/>
            <w:vAlign w:val="center"/>
          </w:tcPr>
          <w:p w14:paraId="56E1DF24">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0-4</w:t>
            </w:r>
          </w:p>
        </w:tc>
        <w:tc>
          <w:tcPr>
            <w:tcW w:w="7368" w:type="dxa"/>
            <w:vAlign w:val="center"/>
          </w:tcPr>
          <w:p w14:paraId="323A43DE">
            <w:pPr>
              <w:pStyle w:val="68"/>
              <w:tabs>
                <w:tab w:val="left" w:pos="2750"/>
              </w:tabs>
              <w:spacing w:after="0" w:line="360" w:lineRule="auto"/>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满足招标文件《第</w:t>
            </w:r>
            <w:r>
              <w:rPr>
                <w:rFonts w:hint="default" w:ascii="Times New Roman" w:hAnsi="Times New Roman" w:cs="Times New Roman"/>
                <w:color w:val="auto"/>
                <w:sz w:val="21"/>
                <w:szCs w:val="21"/>
                <w:lang w:val="en-US"/>
              </w:rPr>
              <w:t>三</w:t>
            </w:r>
            <w:r>
              <w:rPr>
                <w:rFonts w:hint="default" w:ascii="Times New Roman" w:hAnsi="Times New Roman" w:cs="Times New Roman"/>
                <w:color w:val="auto"/>
                <w:sz w:val="21"/>
                <w:szCs w:val="21"/>
              </w:rPr>
              <w:t>部分 采购需求》“</w:t>
            </w:r>
            <w:r>
              <w:rPr>
                <w:rFonts w:hint="default" w:ascii="Times New Roman" w:hAnsi="Times New Roman" w:cs="Times New Roman"/>
                <w:b/>
                <w:color w:val="auto"/>
                <w:sz w:val="21"/>
                <w:szCs w:val="21"/>
              </w:rPr>
              <w:t>商务要求</w:t>
            </w:r>
            <w:r>
              <w:rPr>
                <w:rFonts w:hint="default" w:ascii="Times New Roman" w:hAnsi="Times New Roman" w:cs="Times New Roman"/>
                <w:color w:val="auto"/>
                <w:sz w:val="21"/>
                <w:szCs w:val="21"/>
              </w:rPr>
              <w:t>”和《</w:t>
            </w:r>
            <w:r>
              <w:rPr>
                <w:rFonts w:hint="default" w:ascii="Times New Roman" w:hAnsi="Times New Roman" w:cs="Times New Roman"/>
                <w:b/>
                <w:bCs/>
                <w:color w:val="auto"/>
                <w:sz w:val="21"/>
                <w:szCs w:val="21"/>
              </w:rPr>
              <w:t>第</w:t>
            </w:r>
            <w:r>
              <w:rPr>
                <w:rFonts w:hint="default" w:ascii="Times New Roman" w:hAnsi="Times New Roman" w:cs="Times New Roman"/>
                <w:b/>
                <w:bCs/>
                <w:color w:val="auto"/>
                <w:sz w:val="21"/>
                <w:szCs w:val="21"/>
                <w:lang w:val="en-US"/>
              </w:rPr>
              <w:t>五</w:t>
            </w:r>
            <w:r>
              <w:rPr>
                <w:rFonts w:hint="default" w:ascii="Times New Roman" w:hAnsi="Times New Roman" w:cs="Times New Roman"/>
                <w:b/>
                <w:bCs/>
                <w:color w:val="auto"/>
                <w:sz w:val="21"/>
                <w:szCs w:val="21"/>
              </w:rPr>
              <w:t>章</w:t>
            </w:r>
            <w:r>
              <w:rPr>
                <w:rFonts w:hint="default" w:ascii="Times New Roman" w:hAnsi="Times New Roman" w:cs="Times New Roman"/>
                <w:b/>
                <w:bCs/>
                <w:color w:val="auto"/>
                <w:sz w:val="21"/>
                <w:szCs w:val="21"/>
                <w:lang w:val="en-US"/>
              </w:rPr>
              <w:t xml:space="preserve"> </w:t>
            </w:r>
            <w:r>
              <w:rPr>
                <w:rFonts w:hint="default" w:ascii="Times New Roman" w:hAnsi="Times New Roman" w:cs="Times New Roman"/>
                <w:b/>
                <w:color w:val="auto"/>
                <w:sz w:val="21"/>
                <w:szCs w:val="21"/>
              </w:rPr>
              <w:t>合同条款</w:t>
            </w:r>
            <w:r>
              <w:rPr>
                <w:rFonts w:hint="default" w:ascii="Times New Roman" w:hAnsi="Times New Roman" w:cs="Times New Roman"/>
                <w:color w:val="auto"/>
                <w:sz w:val="21"/>
                <w:szCs w:val="21"/>
              </w:rPr>
              <w:t>》中所有要求的得</w:t>
            </w:r>
            <w:r>
              <w:rPr>
                <w:rFonts w:hint="default" w:ascii="Times New Roman" w:hAnsi="Times New Roman" w:cs="Times New Roman"/>
                <w:color w:val="auto"/>
                <w:sz w:val="21"/>
                <w:szCs w:val="21"/>
                <w:lang w:val="en-US"/>
              </w:rPr>
              <w:t>4</w:t>
            </w:r>
            <w:r>
              <w:rPr>
                <w:rFonts w:hint="default" w:ascii="Times New Roman" w:hAnsi="Times New Roman" w:cs="Times New Roman"/>
                <w:color w:val="auto"/>
                <w:sz w:val="21"/>
                <w:szCs w:val="21"/>
              </w:rPr>
              <w:t>分，每负偏离一项扣</w:t>
            </w:r>
            <w:r>
              <w:rPr>
                <w:rFonts w:hint="eastAsia" w:ascii="Times New Roman" w:hAnsi="Times New Roman" w:eastAsia="宋体" w:cs="Times New Roman"/>
                <w:color w:val="auto"/>
                <w:kern w:val="2"/>
                <w:sz w:val="21"/>
                <w:szCs w:val="24"/>
                <w:lang w:val="en-US" w:eastAsia="zh-CN" w:bidi="ar-SA"/>
              </w:rPr>
              <w:t>0.2</w:t>
            </w:r>
            <w:r>
              <w:rPr>
                <w:rFonts w:hint="default" w:ascii="Times New Roman" w:hAnsi="Times New Roman" w:eastAsia="宋体" w:cs="Times New Roman"/>
                <w:color w:val="auto"/>
                <w:kern w:val="2"/>
                <w:sz w:val="21"/>
                <w:szCs w:val="24"/>
                <w:lang w:val="en-US" w:eastAsia="zh-CN" w:bidi="ar-SA"/>
              </w:rPr>
              <w:t>分</w:t>
            </w:r>
            <w:r>
              <w:rPr>
                <w:rFonts w:hint="default" w:ascii="Times New Roman" w:hAnsi="Times New Roman" w:cs="Times New Roman"/>
                <w:color w:val="auto"/>
                <w:sz w:val="21"/>
                <w:szCs w:val="21"/>
              </w:rPr>
              <w:t>，扣至 0 分为止。</w:t>
            </w:r>
          </w:p>
          <w:p w14:paraId="004A62AF">
            <w:pPr>
              <w:spacing w:line="360" w:lineRule="auto"/>
              <w:ind w:firstLine="422" w:firstLineChars="200"/>
              <w:rPr>
                <w:rFonts w:hint="default" w:ascii="Times New Roman" w:hAnsi="Times New Roman" w:cs="Times New Roman"/>
                <w:color w:val="auto"/>
                <w:szCs w:val="21"/>
              </w:rPr>
            </w:pPr>
            <w:r>
              <w:rPr>
                <w:rFonts w:hint="default" w:ascii="Times New Roman" w:hAnsi="Times New Roman" w:cs="Times New Roman"/>
                <w:b/>
                <w:color w:val="auto"/>
                <w:szCs w:val="21"/>
              </w:rPr>
              <w:t>注：</w:t>
            </w:r>
            <w:r>
              <w:rPr>
                <w:rFonts w:hint="default" w:ascii="Times New Roman" w:hAnsi="Times New Roman" w:cs="Times New Roman"/>
                <w:color w:val="auto"/>
                <w:szCs w:val="21"/>
              </w:rPr>
              <w:t>商务要求响应程度中未满足招标文件标注“▲”的实质性要求（条款）的，该供应商的投标文件将被视为无效；</w:t>
            </w:r>
          </w:p>
        </w:tc>
      </w:tr>
      <w:tr w14:paraId="799F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20" w:type="dxa"/>
            <w:gridSpan w:val="3"/>
            <w:vAlign w:val="center"/>
          </w:tcPr>
          <w:p w14:paraId="03414278">
            <w:pPr>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技术分</w:t>
            </w:r>
          </w:p>
        </w:tc>
      </w:tr>
      <w:tr w14:paraId="2B38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dxa"/>
            <w:vAlign w:val="center"/>
          </w:tcPr>
          <w:p w14:paraId="7AF8424D">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技术方案实施计划</w:t>
            </w:r>
          </w:p>
        </w:tc>
        <w:tc>
          <w:tcPr>
            <w:tcW w:w="710" w:type="dxa"/>
            <w:vAlign w:val="center"/>
          </w:tcPr>
          <w:p w14:paraId="21146E4C">
            <w:pPr>
              <w:spacing w:line="360" w:lineRule="auto"/>
              <w:jc w:val="center"/>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0-</w:t>
            </w:r>
            <w:r>
              <w:rPr>
                <w:rFonts w:hint="eastAsia" w:cs="Times New Roman"/>
                <w:b/>
                <w:bCs/>
                <w:szCs w:val="21"/>
                <w:lang w:val="en-US" w:eastAsia="zh-CN"/>
              </w:rPr>
              <w:t>38</w:t>
            </w:r>
          </w:p>
        </w:tc>
        <w:tc>
          <w:tcPr>
            <w:tcW w:w="7368" w:type="dxa"/>
            <w:vAlign w:val="center"/>
          </w:tcPr>
          <w:p w14:paraId="27D829DC">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技术偏离情况：</w:t>
            </w:r>
          </w:p>
          <w:p w14:paraId="2ACAA50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经评标委员会认定满足或明显优于招标文件明确的全部技术条款要求的得</w:t>
            </w:r>
            <w:r>
              <w:rPr>
                <w:rFonts w:hint="eastAsia" w:cs="Times New Roman"/>
                <w:color w:val="auto"/>
                <w:highlight w:val="none"/>
                <w:lang w:val="en-US" w:eastAsia="zh-CN"/>
              </w:rPr>
              <w:t>38</w:t>
            </w:r>
            <w:r>
              <w:rPr>
                <w:rFonts w:hint="default" w:ascii="Times New Roman" w:hAnsi="Times New Roman" w:cs="Times New Roman"/>
                <w:color w:val="auto"/>
                <w:highlight w:val="none"/>
              </w:rPr>
              <w:t>分，</w:t>
            </w:r>
            <w:r>
              <w:rPr>
                <w:rFonts w:hint="default" w:ascii="Times New Roman" w:hAnsi="Times New Roman" w:cs="Times New Roman"/>
                <w:color w:val="auto"/>
                <w:highlight w:val="none"/>
                <w:lang w:val="en-US" w:eastAsia="zh-CN"/>
              </w:rPr>
              <w:t>每</w:t>
            </w:r>
            <w:r>
              <w:rPr>
                <w:rFonts w:hint="default" w:ascii="Times New Roman" w:hAnsi="Times New Roman" w:cs="Times New Roman"/>
                <w:color w:val="auto"/>
                <w:highlight w:val="none"/>
              </w:rPr>
              <w:t>负偏离</w:t>
            </w:r>
            <w:r>
              <w:rPr>
                <w:rFonts w:hint="default" w:ascii="Times New Roman" w:hAnsi="Times New Roman" w:cs="Times New Roman"/>
                <w:color w:val="auto"/>
                <w:highlight w:val="none"/>
                <w:lang w:val="en-US" w:eastAsia="zh-CN"/>
              </w:rPr>
              <w:t>1条带</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项扣</w:t>
            </w:r>
            <w:r>
              <w:rPr>
                <w:rFonts w:hint="eastAsia" w:cs="Times New Roman"/>
                <w:color w:val="auto"/>
                <w:highlight w:val="none"/>
                <w:lang w:val="en-US" w:eastAsia="zh-CN"/>
              </w:rPr>
              <w:t>0.5</w:t>
            </w:r>
            <w:r>
              <w:rPr>
                <w:rFonts w:hint="default" w:ascii="Times New Roman" w:hAnsi="Times New Roman" w:cs="Times New Roman"/>
                <w:color w:val="auto"/>
                <w:highlight w:val="none"/>
                <w:lang w:val="en-US" w:eastAsia="zh-CN"/>
              </w:rPr>
              <w:t>分，其他条款每负偏离1项</w:t>
            </w:r>
            <w:r>
              <w:rPr>
                <w:rFonts w:hint="default" w:ascii="Times New Roman" w:hAnsi="Times New Roman" w:cs="Times New Roman"/>
                <w:color w:val="auto"/>
                <w:highlight w:val="none"/>
              </w:rPr>
              <w:t>扣</w:t>
            </w:r>
            <w:r>
              <w:rPr>
                <w:rFonts w:hint="eastAsia" w:cs="Times New Roman"/>
                <w:color w:val="auto"/>
                <w:highlight w:val="none"/>
                <w:lang w:val="en-US" w:eastAsia="zh-CN"/>
              </w:rPr>
              <w:t>0.3</w:t>
            </w:r>
            <w:r>
              <w:rPr>
                <w:rFonts w:hint="default" w:ascii="Times New Roman" w:hAnsi="Times New Roman" w:cs="Times New Roman"/>
                <w:color w:val="auto"/>
                <w:highlight w:val="none"/>
              </w:rPr>
              <w:t>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每条技术参数响应不得照抄采购需求，应明确本投标产品具体参数）</w:t>
            </w:r>
          </w:p>
          <w:p w14:paraId="3B28E72A">
            <w:pPr>
              <w:spacing w:line="360" w:lineRule="auto"/>
              <w:ind w:firstLine="422" w:firstLineChars="200"/>
              <w:rPr>
                <w:rFonts w:hint="default" w:ascii="Times New Roman" w:hAnsi="Times New Roman" w:cs="Times New Roman"/>
                <w:color w:val="auto"/>
                <w:szCs w:val="21"/>
                <w:highlight w:val="none"/>
              </w:rPr>
            </w:pPr>
            <w:r>
              <w:rPr>
                <w:rFonts w:hint="default" w:ascii="Times New Roman" w:hAnsi="Times New Roman" w:cs="Times New Roman"/>
                <w:b/>
                <w:bCs/>
                <w:color w:val="auto"/>
                <w:highlight w:val="none"/>
              </w:rPr>
              <w:t>备注：</w:t>
            </w:r>
            <w:r>
              <w:rPr>
                <w:rFonts w:hint="default" w:ascii="Times New Roman" w:hAnsi="Times New Roman" w:cs="Times New Roman"/>
                <w:color w:val="auto"/>
                <w:highlight w:val="none"/>
              </w:rPr>
              <w:t>凡标有序号的指标项即为一项技术条款</w:t>
            </w:r>
            <w:r>
              <w:rPr>
                <w:rFonts w:hint="eastAsia" w:cs="Times New Roman"/>
                <w:color w:val="auto"/>
                <w:highlight w:val="none"/>
                <w:lang w:eastAsia="zh-CN"/>
              </w:rPr>
              <w:t>（</w:t>
            </w:r>
            <w:r>
              <w:rPr>
                <w:rFonts w:hint="eastAsia" w:cs="Times New Roman"/>
                <w:color w:val="auto"/>
                <w:highlight w:val="none"/>
                <w:lang w:val="en-US" w:eastAsia="zh-CN"/>
              </w:rPr>
              <w:t>核心产品中每个“</w:t>
            </w:r>
            <w:r>
              <w:rPr>
                <w:rFonts w:hint="default" w:ascii="Times New Roman" w:hAnsi="Times New Roman" w:eastAsia="宋体" w:cs="Times New Roman"/>
                <w:color w:val="auto"/>
                <w:highlight w:val="none"/>
                <w:lang w:val="en-US" w:eastAsia="zh-CN"/>
              </w:rPr>
              <w:t>★</w:t>
            </w:r>
            <w:r>
              <w:rPr>
                <w:rFonts w:hint="eastAsia" w:cs="Times New Roman"/>
                <w:color w:val="auto"/>
                <w:highlight w:val="none"/>
                <w:lang w:val="en-US" w:eastAsia="zh-CN"/>
              </w:rPr>
              <w:t>”算1条</w:t>
            </w:r>
            <w:r>
              <w:rPr>
                <w:rFonts w:hint="eastAsia" w:cs="Times New Roman"/>
                <w:color w:val="auto"/>
                <w:highlight w:val="none"/>
                <w:lang w:eastAsia="zh-CN"/>
              </w:rPr>
              <w:t>）</w:t>
            </w:r>
            <w:r>
              <w:rPr>
                <w:rFonts w:hint="default" w:ascii="Times New Roman" w:hAnsi="Times New Roman" w:cs="Times New Roman"/>
                <w:color w:val="auto"/>
                <w:highlight w:val="none"/>
              </w:rPr>
              <w:t>，无论是否隶属于上一级编号。</w:t>
            </w:r>
          </w:p>
        </w:tc>
      </w:tr>
      <w:tr w14:paraId="68C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dxa"/>
            <w:vAlign w:val="center"/>
          </w:tcPr>
          <w:p w14:paraId="43FDE55A">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项目理解和分析</w:t>
            </w:r>
          </w:p>
        </w:tc>
        <w:tc>
          <w:tcPr>
            <w:tcW w:w="710" w:type="dxa"/>
            <w:vAlign w:val="center"/>
          </w:tcPr>
          <w:p w14:paraId="7E549671">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0-4</w:t>
            </w:r>
          </w:p>
        </w:tc>
        <w:tc>
          <w:tcPr>
            <w:tcW w:w="7368" w:type="dxa"/>
            <w:vAlign w:val="center"/>
          </w:tcPr>
          <w:p w14:paraId="0E1C6AB5">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针对本项目的特点，进行重点难点的理解和分析，并提供项目技术解决方案和措施。</w:t>
            </w:r>
          </w:p>
          <w:p w14:paraId="73366CC1">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1、重点难点内容理解和分析深入全面、贴近采购人需求的得2分，内容理解和分析深入较浅，基本符合采购需求的得1分；严重偏离项目实际或未提供的不得分。</w:t>
            </w:r>
          </w:p>
          <w:p w14:paraId="09F72180">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2、技术解决方案可行、可操作性强的得2分，技术解决方案基本可行、可操作性一般的得1分,解决方案不具备可行性或未提供的不得分。</w:t>
            </w:r>
          </w:p>
        </w:tc>
      </w:tr>
      <w:tr w14:paraId="761F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dxa"/>
            <w:vAlign w:val="center"/>
          </w:tcPr>
          <w:p w14:paraId="180E5D6D">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项目组织</w:t>
            </w:r>
          </w:p>
          <w:p w14:paraId="7A22CABA">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实施方案</w:t>
            </w:r>
          </w:p>
        </w:tc>
        <w:tc>
          <w:tcPr>
            <w:tcW w:w="710" w:type="dxa"/>
            <w:vAlign w:val="center"/>
          </w:tcPr>
          <w:p w14:paraId="23C84140">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0-4</w:t>
            </w:r>
          </w:p>
        </w:tc>
        <w:tc>
          <w:tcPr>
            <w:tcW w:w="7368" w:type="dxa"/>
            <w:vAlign w:val="center"/>
          </w:tcPr>
          <w:p w14:paraId="547BFB82">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产品的供货、验收、安装调试方案及配送承诺等方案。</w:t>
            </w:r>
          </w:p>
          <w:p w14:paraId="336C7A1A">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1、供货、验收等方案内容详实、计划明确、措施完善、方案科学合理的得4分；</w:t>
            </w:r>
          </w:p>
          <w:p w14:paraId="6395030C">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2、供货、验收等方案内容较明确，措施基本完整的得2分；</w:t>
            </w:r>
          </w:p>
          <w:p w14:paraId="66A2C7C3">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3、供货、验收等方案内容不详实、计划不明确、措施不完善、方案不科学的得1分；</w:t>
            </w:r>
          </w:p>
          <w:p w14:paraId="0DD66CF8">
            <w:pPr>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4、严重偏离项目实际或未提供的不得分。</w:t>
            </w:r>
          </w:p>
        </w:tc>
      </w:tr>
      <w:tr w14:paraId="4C9F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dxa"/>
            <w:vAlign w:val="center"/>
          </w:tcPr>
          <w:p w14:paraId="213BF230">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技术培训</w:t>
            </w:r>
          </w:p>
        </w:tc>
        <w:tc>
          <w:tcPr>
            <w:tcW w:w="710" w:type="dxa"/>
            <w:vAlign w:val="center"/>
          </w:tcPr>
          <w:p w14:paraId="13C6E971">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w:t>
            </w:r>
            <w:r>
              <w:rPr>
                <w:rFonts w:hint="eastAsia" w:cs="Times New Roman"/>
                <w:b/>
                <w:bCs/>
                <w:szCs w:val="21"/>
                <w:lang w:val="en-US" w:eastAsia="zh-CN"/>
              </w:rPr>
              <w:t>3</w:t>
            </w:r>
          </w:p>
        </w:tc>
        <w:tc>
          <w:tcPr>
            <w:tcW w:w="7368" w:type="dxa"/>
            <w:vAlign w:val="center"/>
          </w:tcPr>
          <w:p w14:paraId="50F64AE6">
            <w:pPr>
              <w:spacing w:line="360" w:lineRule="auto"/>
              <w:ind w:firstLine="420" w:firstLineChars="200"/>
              <w:rPr>
                <w:rFonts w:hint="default" w:ascii="Times New Roman" w:hAnsi="Times New Roman" w:cs="Times New Roman"/>
              </w:rPr>
            </w:pPr>
            <w:r>
              <w:rPr>
                <w:rFonts w:hint="default" w:ascii="Times New Roman" w:hAnsi="Times New Roman" w:cs="Times New Roman"/>
              </w:rPr>
              <w:t>针对项目特点结合采购人需求制定包括但不限于培训内容、培训方式、培训计划、培训对象、培训团队配备等技术培训方案：</w:t>
            </w:r>
          </w:p>
          <w:p w14:paraId="13A431E6">
            <w:pPr>
              <w:spacing w:line="360" w:lineRule="auto"/>
              <w:ind w:firstLine="420" w:firstLineChars="200"/>
              <w:rPr>
                <w:rFonts w:hint="default" w:ascii="Times New Roman" w:hAnsi="Times New Roman" w:cs="Times New Roman"/>
              </w:rPr>
            </w:pPr>
            <w:r>
              <w:rPr>
                <w:rFonts w:hint="default" w:ascii="Times New Roman" w:hAnsi="Times New Roman" w:cs="Times New Roman"/>
              </w:rPr>
              <w:t>1、方案内容关于上述要素阐述齐全、科学合理、操作性强、贴近采购人需求的得</w:t>
            </w:r>
            <w:r>
              <w:rPr>
                <w:rFonts w:hint="eastAsia" w:cs="Times New Roman"/>
                <w:lang w:val="en-US" w:eastAsia="zh-CN"/>
              </w:rPr>
              <w:t>3</w:t>
            </w:r>
            <w:r>
              <w:rPr>
                <w:rFonts w:hint="default" w:ascii="Times New Roman" w:hAnsi="Times New Roman" w:cs="Times New Roman"/>
              </w:rPr>
              <w:t>分；</w:t>
            </w:r>
          </w:p>
          <w:p w14:paraId="1D1AFDF4">
            <w:pPr>
              <w:spacing w:line="360" w:lineRule="auto"/>
              <w:ind w:firstLine="420" w:firstLineChars="200"/>
              <w:rPr>
                <w:rFonts w:hint="default" w:ascii="Times New Roman" w:hAnsi="Times New Roman" w:cs="Times New Roman"/>
              </w:rPr>
            </w:pPr>
            <w:r>
              <w:rPr>
                <w:rFonts w:hint="default" w:ascii="Times New Roman" w:hAnsi="Times New Roman" w:cs="Times New Roman"/>
              </w:rPr>
              <w:t>2、方案内容关于上述要素阐述齐全、较科学合理、操作性较强、基本符合项目实际的得2分；</w:t>
            </w:r>
          </w:p>
          <w:p w14:paraId="2F8D325D">
            <w:pPr>
              <w:spacing w:line="360" w:lineRule="auto"/>
              <w:ind w:firstLine="420" w:firstLineChars="200"/>
              <w:rPr>
                <w:rFonts w:hint="default" w:ascii="Times New Roman" w:hAnsi="Times New Roman" w:cs="Times New Roman"/>
              </w:rPr>
            </w:pPr>
            <w:r>
              <w:rPr>
                <w:rFonts w:hint="default" w:ascii="Times New Roman" w:hAnsi="Times New Roman" w:cs="Times New Roman"/>
              </w:rPr>
              <w:t>3、方案内容关于上述要素缺少或内容过于简单的得1分；</w:t>
            </w:r>
          </w:p>
          <w:p w14:paraId="56D1E084">
            <w:pPr>
              <w:spacing w:line="360" w:lineRule="auto"/>
              <w:ind w:firstLine="420" w:firstLineChars="20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szCs w:val="21"/>
              </w:rPr>
              <w:t>严重偏离项目实际或未提供的不得分。</w:t>
            </w:r>
          </w:p>
        </w:tc>
      </w:tr>
      <w:tr w14:paraId="5338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42" w:type="dxa"/>
            <w:vAlign w:val="center"/>
          </w:tcPr>
          <w:p w14:paraId="0DC67B62">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售后服务</w:t>
            </w:r>
          </w:p>
        </w:tc>
        <w:tc>
          <w:tcPr>
            <w:tcW w:w="710" w:type="dxa"/>
            <w:vAlign w:val="center"/>
          </w:tcPr>
          <w:p w14:paraId="12781A06">
            <w:pPr>
              <w:spacing w:line="360" w:lineRule="auto"/>
              <w:jc w:val="center"/>
              <w:rPr>
                <w:rFonts w:hint="eastAsia" w:ascii="Times New Roman" w:hAnsi="Times New Roman" w:eastAsia="宋体" w:cs="Times New Roman"/>
                <w:b/>
                <w:bCs/>
                <w:szCs w:val="21"/>
                <w:lang w:eastAsia="zh-CN"/>
              </w:rPr>
            </w:pPr>
            <w:r>
              <w:rPr>
                <w:rFonts w:hint="default" w:ascii="Times New Roman" w:hAnsi="Times New Roman" w:cs="Times New Roman"/>
                <w:b/>
                <w:bCs/>
                <w:szCs w:val="21"/>
              </w:rPr>
              <w:t>0-</w:t>
            </w:r>
            <w:r>
              <w:rPr>
                <w:rFonts w:hint="eastAsia" w:cs="Times New Roman"/>
                <w:b/>
                <w:bCs/>
                <w:szCs w:val="21"/>
                <w:lang w:val="en-US" w:eastAsia="zh-CN"/>
              </w:rPr>
              <w:t>3</w:t>
            </w:r>
          </w:p>
        </w:tc>
        <w:tc>
          <w:tcPr>
            <w:tcW w:w="7368" w:type="dxa"/>
            <w:vAlign w:val="center"/>
          </w:tcPr>
          <w:p w14:paraId="248B0D3B">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针对项目特点结合采购人需求制定包括但不限于服务承诺、服务体系、售后机构等售后服务方案</w:t>
            </w:r>
          </w:p>
          <w:p w14:paraId="05875AFE">
            <w:pPr>
              <w:spacing w:line="360" w:lineRule="auto"/>
              <w:ind w:firstLine="420" w:firstLineChars="200"/>
              <w:rPr>
                <w:rFonts w:hint="default" w:ascii="Times New Roman" w:hAnsi="Times New Roman" w:cs="Times New Roman"/>
              </w:rPr>
            </w:pPr>
            <w:r>
              <w:rPr>
                <w:rFonts w:hint="default" w:ascii="Times New Roman" w:hAnsi="Times New Roman" w:cs="Times New Roman"/>
              </w:rPr>
              <w:t>1、方案内容关于上述要素阐述齐全、科学合理、操作性强、贴近采购人需求的得</w:t>
            </w:r>
            <w:r>
              <w:rPr>
                <w:rFonts w:hint="eastAsia" w:cs="Times New Roman"/>
                <w:lang w:val="en-US" w:eastAsia="zh-CN"/>
              </w:rPr>
              <w:t>3</w:t>
            </w:r>
            <w:r>
              <w:rPr>
                <w:rFonts w:hint="default" w:ascii="Times New Roman" w:hAnsi="Times New Roman" w:cs="Times New Roman"/>
              </w:rPr>
              <w:t>分；</w:t>
            </w:r>
          </w:p>
          <w:p w14:paraId="34BA6B7C">
            <w:pPr>
              <w:spacing w:line="360" w:lineRule="auto"/>
              <w:ind w:firstLine="420" w:firstLineChars="200"/>
              <w:rPr>
                <w:rFonts w:hint="default" w:ascii="Times New Roman" w:hAnsi="Times New Roman" w:cs="Times New Roman"/>
              </w:rPr>
            </w:pPr>
            <w:r>
              <w:rPr>
                <w:rFonts w:hint="default" w:ascii="Times New Roman" w:hAnsi="Times New Roman" w:cs="Times New Roman"/>
              </w:rPr>
              <w:t>2、方案内容关于上述要素阐述齐全、较科学合理、操作性较强、基本符合项目实际的得2分；</w:t>
            </w:r>
          </w:p>
          <w:p w14:paraId="6EBA4A23">
            <w:pPr>
              <w:spacing w:line="360" w:lineRule="auto"/>
              <w:ind w:firstLine="420" w:firstLineChars="200"/>
              <w:rPr>
                <w:rFonts w:hint="default" w:ascii="Times New Roman" w:hAnsi="Times New Roman" w:cs="Times New Roman"/>
              </w:rPr>
            </w:pPr>
            <w:r>
              <w:rPr>
                <w:rFonts w:hint="default" w:ascii="Times New Roman" w:hAnsi="Times New Roman" w:cs="Times New Roman"/>
              </w:rPr>
              <w:t>3、方案内容关于上述要素缺少或内容过于简单的得1分；</w:t>
            </w:r>
          </w:p>
          <w:p w14:paraId="7BBB159A">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rPr>
              <w:t>4、</w:t>
            </w:r>
            <w:r>
              <w:rPr>
                <w:rFonts w:hint="default" w:ascii="Times New Roman" w:hAnsi="Times New Roman" w:cs="Times New Roman"/>
                <w:szCs w:val="21"/>
              </w:rPr>
              <w:t>严重偏离项目实际或未提供的不得分。</w:t>
            </w:r>
          </w:p>
        </w:tc>
      </w:tr>
      <w:tr w14:paraId="5A19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dxa"/>
            <w:vAlign w:val="center"/>
          </w:tcPr>
          <w:p w14:paraId="3DDB6EF9">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售后服务</w:t>
            </w:r>
          </w:p>
          <w:p w14:paraId="263D0972">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响应时间</w:t>
            </w:r>
          </w:p>
        </w:tc>
        <w:tc>
          <w:tcPr>
            <w:tcW w:w="710" w:type="dxa"/>
            <w:vAlign w:val="center"/>
          </w:tcPr>
          <w:p w14:paraId="0EA01CBB">
            <w:pPr>
              <w:spacing w:line="360" w:lineRule="auto"/>
              <w:jc w:val="center"/>
              <w:rPr>
                <w:rFonts w:hint="eastAsia" w:ascii="Times New Roman" w:hAnsi="Times New Roman" w:eastAsia="宋体" w:cs="Times New Roman"/>
                <w:b/>
                <w:bCs/>
                <w:szCs w:val="21"/>
                <w:lang w:eastAsia="zh-CN"/>
              </w:rPr>
            </w:pPr>
            <w:r>
              <w:rPr>
                <w:rFonts w:hint="default" w:ascii="Times New Roman" w:hAnsi="Times New Roman" w:cs="Times New Roman"/>
                <w:b/>
                <w:bCs/>
                <w:szCs w:val="21"/>
              </w:rPr>
              <w:t>0-</w:t>
            </w:r>
            <w:r>
              <w:rPr>
                <w:rFonts w:hint="eastAsia" w:cs="Times New Roman"/>
                <w:b/>
                <w:bCs/>
                <w:szCs w:val="21"/>
                <w:lang w:val="en-US" w:eastAsia="zh-CN"/>
              </w:rPr>
              <w:t>2</w:t>
            </w:r>
          </w:p>
        </w:tc>
        <w:tc>
          <w:tcPr>
            <w:tcW w:w="7368" w:type="dxa"/>
            <w:vAlign w:val="center"/>
          </w:tcPr>
          <w:p w14:paraId="2F7ADBE5">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中标人保证所供产品在质保期内出现产品质量问题应能够在72小时内派维修人员到达现场完成维修的得</w:t>
            </w:r>
            <w:r>
              <w:rPr>
                <w:rFonts w:hint="eastAsia" w:cs="Times New Roman"/>
                <w:szCs w:val="21"/>
                <w:lang w:val="en-US" w:eastAsia="zh-CN"/>
              </w:rPr>
              <w:t>0.5</w:t>
            </w:r>
            <w:r>
              <w:rPr>
                <w:rFonts w:hint="default" w:ascii="Times New Roman" w:hAnsi="Times New Roman" w:cs="Times New Roman"/>
                <w:szCs w:val="21"/>
              </w:rPr>
              <w:t>分；在48小时内派维修人员到达现场完成维修的得</w:t>
            </w:r>
            <w:r>
              <w:rPr>
                <w:rFonts w:hint="eastAsia" w:cs="Times New Roman"/>
                <w:szCs w:val="21"/>
                <w:lang w:val="en-US" w:eastAsia="zh-CN"/>
              </w:rPr>
              <w:t>1</w:t>
            </w:r>
            <w:r>
              <w:rPr>
                <w:rFonts w:hint="default" w:ascii="Times New Roman" w:hAnsi="Times New Roman" w:cs="Times New Roman"/>
                <w:szCs w:val="21"/>
              </w:rPr>
              <w:t>分；在24小时内派维修人员到达现场完成维修的得</w:t>
            </w:r>
            <w:r>
              <w:rPr>
                <w:rFonts w:hint="eastAsia" w:cs="Times New Roman"/>
                <w:szCs w:val="21"/>
                <w:lang w:val="en-US" w:eastAsia="zh-CN"/>
              </w:rPr>
              <w:t>2</w:t>
            </w:r>
            <w:r>
              <w:rPr>
                <w:rFonts w:hint="default" w:ascii="Times New Roman" w:hAnsi="Times New Roman" w:cs="Times New Roman"/>
                <w:szCs w:val="21"/>
              </w:rPr>
              <w:t>分，分数就高计取。</w:t>
            </w:r>
          </w:p>
          <w:p w14:paraId="1752AF3E">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注：提供单独承诺函（格式自拟），承诺函内容与投标文件中其他内容不一致的以承诺函为准，未提供不得分。</w:t>
            </w:r>
          </w:p>
        </w:tc>
      </w:tr>
      <w:tr w14:paraId="3EF6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dxa"/>
            <w:vAlign w:val="center"/>
          </w:tcPr>
          <w:p w14:paraId="257CF4E7">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应急预案</w:t>
            </w:r>
          </w:p>
        </w:tc>
        <w:tc>
          <w:tcPr>
            <w:tcW w:w="710" w:type="dxa"/>
            <w:vAlign w:val="center"/>
          </w:tcPr>
          <w:p w14:paraId="45CC008F">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w:t>
            </w:r>
            <w:r>
              <w:rPr>
                <w:rFonts w:hint="eastAsia" w:cs="Times New Roman"/>
                <w:b/>
                <w:bCs/>
                <w:szCs w:val="21"/>
                <w:lang w:val="en-US" w:eastAsia="zh-CN"/>
              </w:rPr>
              <w:t>3</w:t>
            </w:r>
          </w:p>
        </w:tc>
        <w:tc>
          <w:tcPr>
            <w:tcW w:w="7368" w:type="dxa"/>
            <w:vAlign w:val="center"/>
          </w:tcPr>
          <w:p w14:paraId="3E3E4218">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供应商应提供项目保障应急预案，其中应包括现场应急处理、技术支撑保障、易损件备品备件、专用工具清单等：</w:t>
            </w:r>
          </w:p>
          <w:p w14:paraId="757A6BE1">
            <w:pPr>
              <w:spacing w:line="360" w:lineRule="auto"/>
              <w:ind w:firstLine="420" w:firstLineChars="200"/>
              <w:rPr>
                <w:rFonts w:hint="default" w:ascii="Times New Roman" w:hAnsi="Times New Roman" w:cs="Times New Roman"/>
              </w:rPr>
            </w:pPr>
            <w:r>
              <w:rPr>
                <w:rFonts w:hint="default" w:ascii="Times New Roman" w:hAnsi="Times New Roman" w:cs="Times New Roman"/>
              </w:rPr>
              <w:t>1、方案内容关于上述要素阐述齐全、科学合理、操作性强、贴近采购人需求的得</w:t>
            </w:r>
            <w:r>
              <w:rPr>
                <w:rFonts w:hint="eastAsia" w:cs="Times New Roman"/>
                <w:lang w:val="en-US" w:eastAsia="zh-CN"/>
              </w:rPr>
              <w:t>3</w:t>
            </w:r>
            <w:r>
              <w:rPr>
                <w:rFonts w:hint="default" w:ascii="Times New Roman" w:hAnsi="Times New Roman" w:cs="Times New Roman"/>
              </w:rPr>
              <w:t>分；</w:t>
            </w:r>
          </w:p>
          <w:p w14:paraId="74899CC8">
            <w:pPr>
              <w:spacing w:line="360" w:lineRule="auto"/>
              <w:ind w:firstLine="420" w:firstLineChars="200"/>
              <w:rPr>
                <w:rFonts w:hint="default" w:ascii="Times New Roman" w:hAnsi="Times New Roman" w:cs="Times New Roman"/>
              </w:rPr>
            </w:pPr>
            <w:r>
              <w:rPr>
                <w:rFonts w:hint="default" w:ascii="Times New Roman" w:hAnsi="Times New Roman" w:cs="Times New Roman"/>
              </w:rPr>
              <w:t>2、方案内容关于上述要素阐述齐全、较科学合理、操作性较强、基本符合项目实际的得2分；</w:t>
            </w:r>
          </w:p>
          <w:p w14:paraId="5E50A335">
            <w:pPr>
              <w:spacing w:line="360" w:lineRule="auto"/>
              <w:ind w:firstLine="420" w:firstLineChars="200"/>
              <w:rPr>
                <w:rFonts w:hint="default" w:ascii="Times New Roman" w:hAnsi="Times New Roman" w:cs="Times New Roman"/>
              </w:rPr>
            </w:pPr>
            <w:r>
              <w:rPr>
                <w:rFonts w:hint="default" w:ascii="Times New Roman" w:hAnsi="Times New Roman" w:cs="Times New Roman"/>
              </w:rPr>
              <w:t>3、方案内容关于上述要素缺少或内容过于简单的得1分；</w:t>
            </w:r>
          </w:p>
          <w:p w14:paraId="56922083">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rPr>
              <w:t>4、</w:t>
            </w:r>
            <w:r>
              <w:rPr>
                <w:rFonts w:hint="default" w:ascii="Times New Roman" w:hAnsi="Times New Roman" w:cs="Times New Roman"/>
                <w:szCs w:val="21"/>
              </w:rPr>
              <w:t>严重偏离项目实际或未提供的不得分。</w:t>
            </w:r>
          </w:p>
        </w:tc>
      </w:tr>
      <w:tr w14:paraId="0834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42" w:type="dxa"/>
            <w:vAlign w:val="center"/>
          </w:tcPr>
          <w:p w14:paraId="0597D955">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政策分</w:t>
            </w:r>
          </w:p>
        </w:tc>
        <w:tc>
          <w:tcPr>
            <w:tcW w:w="710" w:type="dxa"/>
            <w:vAlign w:val="center"/>
          </w:tcPr>
          <w:p w14:paraId="2D793865">
            <w:pPr>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0-</w:t>
            </w:r>
            <w:r>
              <w:rPr>
                <w:rFonts w:hint="eastAsia" w:cs="Times New Roman"/>
                <w:b/>
                <w:bCs/>
                <w:szCs w:val="21"/>
                <w:lang w:val="en-US" w:eastAsia="zh-CN"/>
              </w:rPr>
              <w:t>1</w:t>
            </w:r>
          </w:p>
        </w:tc>
        <w:tc>
          <w:tcPr>
            <w:tcW w:w="7368" w:type="dxa"/>
            <w:vAlign w:val="center"/>
          </w:tcPr>
          <w:p w14:paraId="1E753C1B">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所投产品属于《节能产品政府采购品目清单》范围的且具有国家确定的认证机构出具的、处于有效期之内的节能产品认证证书的得</w:t>
            </w:r>
            <w:r>
              <w:rPr>
                <w:rFonts w:hint="eastAsia" w:cs="Times New Roman"/>
                <w:szCs w:val="21"/>
                <w:lang w:val="en-US" w:eastAsia="zh-CN"/>
              </w:rPr>
              <w:t>0.5</w:t>
            </w:r>
            <w:r>
              <w:rPr>
                <w:rFonts w:hint="default" w:ascii="Times New Roman" w:hAnsi="Times New Roman" w:cs="Times New Roman"/>
                <w:szCs w:val="21"/>
              </w:rPr>
              <w:t>分；</w:t>
            </w:r>
          </w:p>
          <w:p w14:paraId="128FA13E">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所投产品属于《环境标志产品政府采购品目清单》范围的且具有国家确定的认证机构出具的、处于有效期之内的环境标志产品认证证书的得</w:t>
            </w:r>
            <w:r>
              <w:rPr>
                <w:rFonts w:hint="eastAsia" w:cs="Times New Roman"/>
                <w:szCs w:val="21"/>
                <w:lang w:val="en-US" w:eastAsia="zh-CN"/>
              </w:rPr>
              <w:t>0.5</w:t>
            </w:r>
            <w:r>
              <w:rPr>
                <w:rFonts w:hint="default" w:ascii="Times New Roman" w:hAnsi="Times New Roman" w:cs="Times New Roman"/>
                <w:szCs w:val="21"/>
              </w:rPr>
              <w:t>分。</w:t>
            </w:r>
          </w:p>
          <w:p w14:paraId="2B297B4D">
            <w:pPr>
              <w:spacing w:line="360" w:lineRule="auto"/>
              <w:rPr>
                <w:rFonts w:hint="default" w:ascii="Times New Roman" w:hAnsi="Times New Roman" w:cs="Times New Roman"/>
                <w:szCs w:val="21"/>
              </w:rPr>
            </w:pPr>
            <w:r>
              <w:rPr>
                <w:rFonts w:hint="default" w:ascii="Times New Roman" w:hAnsi="Times New Roman" w:cs="Times New Roman"/>
                <w:szCs w:val="21"/>
              </w:rPr>
              <w:t>证明文件：</w:t>
            </w:r>
          </w:p>
          <w:p w14:paraId="716C0027">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提供政府采购品目清单相关内容页（并对相关内容作圈记），采购品目清单详见《关于印发环境标志产品政府采购品目清单的通知》（财库〔2019〕18号）、《关于印发节能产品政府采购品目清单的通知》（财库〔2019〕19号）。</w:t>
            </w:r>
          </w:p>
          <w:p w14:paraId="574EC76F">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（2）《市场监管总局关于发布参与实施政府采购节能产品、环境标志产品认证机构名录的公告》中的认证机构出具的、处于有效期之内的节能产品/环境标志产品认证证书复印件并加盖公章。</w:t>
            </w:r>
          </w:p>
          <w:p w14:paraId="0445E37D">
            <w:pPr>
              <w:spacing w:line="360" w:lineRule="auto"/>
              <w:rPr>
                <w:rFonts w:hint="default" w:ascii="Times New Roman" w:hAnsi="Times New Roman" w:cs="Times New Roman"/>
                <w:szCs w:val="21"/>
              </w:rPr>
            </w:pPr>
            <w:r>
              <w:rPr>
                <w:rFonts w:hint="default" w:ascii="Times New Roman" w:hAnsi="Times New Roman" w:cs="Times New Roman"/>
                <w:szCs w:val="21"/>
              </w:rPr>
              <w:t>（如一个标项中包含多个产品的，以提供核心产品的为准。）</w:t>
            </w:r>
          </w:p>
        </w:tc>
      </w:tr>
      <w:tr w14:paraId="5920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42" w:type="dxa"/>
            <w:vAlign w:val="center"/>
          </w:tcPr>
          <w:p w14:paraId="3BA5362C">
            <w:pPr>
              <w:spacing w:line="360" w:lineRule="auto"/>
              <w:jc w:val="center"/>
              <w:rPr>
                <w:rFonts w:hint="default" w:ascii="Times New Roman" w:hAnsi="Times New Roman" w:eastAsia="宋体" w:cs="Times New Roman"/>
                <w:b/>
                <w:bCs/>
                <w:szCs w:val="21"/>
                <w:lang w:val="en-US" w:eastAsia="zh-CN"/>
              </w:rPr>
            </w:pPr>
            <w:r>
              <w:rPr>
                <w:rFonts w:hint="eastAsia" w:cs="Times New Roman"/>
                <w:b/>
                <w:bCs/>
                <w:szCs w:val="21"/>
                <w:lang w:val="en-US" w:eastAsia="zh-CN"/>
              </w:rPr>
              <w:t>视频演示（核心产品）</w:t>
            </w:r>
          </w:p>
        </w:tc>
        <w:tc>
          <w:tcPr>
            <w:tcW w:w="710" w:type="dxa"/>
            <w:vAlign w:val="center"/>
          </w:tcPr>
          <w:p w14:paraId="35665228">
            <w:pPr>
              <w:spacing w:line="360" w:lineRule="auto"/>
              <w:jc w:val="center"/>
              <w:rPr>
                <w:rFonts w:hint="default" w:ascii="Times New Roman" w:hAnsi="Times New Roman" w:eastAsia="宋体" w:cs="Times New Roman"/>
                <w:b/>
                <w:bCs/>
                <w:szCs w:val="21"/>
                <w:lang w:val="en-US" w:eastAsia="zh-CN"/>
              </w:rPr>
            </w:pPr>
            <w:r>
              <w:rPr>
                <w:rFonts w:hint="eastAsia" w:cs="Times New Roman"/>
                <w:b/>
                <w:bCs/>
                <w:szCs w:val="21"/>
                <w:lang w:val="en-US" w:eastAsia="zh-CN"/>
              </w:rPr>
              <w:t>0-3</w:t>
            </w:r>
          </w:p>
        </w:tc>
        <w:tc>
          <w:tcPr>
            <w:tcW w:w="7368" w:type="dxa"/>
            <w:vAlign w:val="center"/>
          </w:tcPr>
          <w:p w14:paraId="0DE56E0D">
            <w:pPr>
              <w:widowControl/>
              <w:spacing w:line="360" w:lineRule="auto"/>
              <w:jc w:val="left"/>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视频演示（核心产品）</w:t>
            </w:r>
          </w:p>
          <w:p w14:paraId="166AB1FE">
            <w:pPr>
              <w:widowControl/>
              <w:spacing w:line="360" w:lineRule="auto"/>
              <w:jc w:val="left"/>
              <w:rPr>
                <w:rFonts w:hint="eastAsia" w:hAnsi="Times New Roman" w:cs="Times New Roman"/>
                <w:b w:val="0"/>
                <w:bCs w:val="0"/>
                <w:highlight w:val="none"/>
              </w:rPr>
            </w:pPr>
            <w:r>
              <w:rPr>
                <w:rFonts w:hint="eastAsia" w:ascii="宋体" w:hAnsi="宋体" w:eastAsia="宋体" w:cs="宋体"/>
                <w:b/>
                <w:bCs/>
                <w:szCs w:val="21"/>
                <w:highlight w:val="none"/>
              </w:rPr>
              <w:t>根据对需求功能的符合程度、功能先进性、操作便捷性、实用性、与消防救援实战需求的符合程度、工艺、结构设计合理性及整体产品质量情况综合评价。</w:t>
            </w:r>
          </w:p>
          <w:p w14:paraId="6F4FCF83">
            <w:pPr>
              <w:widowControl/>
              <w:spacing w:line="360" w:lineRule="auto"/>
              <w:jc w:val="left"/>
              <w:rPr>
                <w:rFonts w:hint="eastAsia" w:ascii="Times New Roman" w:hAnsi="Times New Roman" w:eastAsia="宋体" w:cs="Times New Roman"/>
                <w:b w:val="0"/>
                <w:bCs w:val="0"/>
                <w:snapToGrid/>
                <w:szCs w:val="21"/>
                <w:highlight w:val="none"/>
                <w:lang w:val="en-US"/>
              </w:rPr>
            </w:pPr>
            <w:r>
              <w:rPr>
                <w:rFonts w:hint="eastAsia" w:ascii="宋体" w:hAnsi="宋体" w:eastAsia="宋体" w:cs="宋体"/>
                <w:snapToGrid/>
                <w:szCs w:val="21"/>
                <w:highlight w:val="none"/>
                <w:lang w:val="en-US"/>
              </w:rPr>
              <w:t>1外表结</w:t>
            </w:r>
            <w:r>
              <w:rPr>
                <w:rFonts w:hint="default" w:ascii="Times New Roman" w:hAnsi="Times New Roman" w:eastAsia="宋体" w:cs="Times New Roman"/>
                <w:b w:val="0"/>
                <w:bCs w:val="0"/>
                <w:snapToGrid/>
                <w:szCs w:val="21"/>
                <w:highlight w:val="none"/>
                <w:lang w:val="en-US"/>
              </w:rPr>
              <w:t>合处缝隙，紧密程度，扎实程度，拼贴严密、平整程度等。</w:t>
            </w:r>
            <w:r>
              <w:rPr>
                <w:rFonts w:hint="default" w:ascii="Times New Roman" w:hAnsi="Times New Roman" w:eastAsia="宋体" w:cs="Times New Roman"/>
                <w:b w:val="0"/>
                <w:bCs w:val="0"/>
                <w:snapToGrid/>
                <w:szCs w:val="21"/>
                <w:highlight w:val="none"/>
                <w:lang w:val="en-US" w:eastAsia="zh-CN"/>
              </w:rPr>
              <w:t>1</w:t>
            </w:r>
            <w:r>
              <w:rPr>
                <w:rFonts w:hint="default" w:ascii="Times New Roman" w:hAnsi="Times New Roman" w:eastAsia="宋体" w:cs="Times New Roman"/>
                <w:b w:val="0"/>
                <w:bCs w:val="0"/>
                <w:snapToGrid/>
                <w:szCs w:val="21"/>
                <w:highlight w:val="none"/>
                <w:lang w:val="en-US"/>
              </w:rPr>
              <w:t>分</w:t>
            </w:r>
          </w:p>
          <w:p w14:paraId="5E3DFB96">
            <w:pPr>
              <w:widowControl/>
              <w:spacing w:line="360" w:lineRule="auto"/>
              <w:jc w:val="left"/>
              <w:rPr>
                <w:rFonts w:hint="eastAsia" w:ascii="Times New Roman" w:hAnsi="Times New Roman" w:eastAsia="宋体" w:cs="Times New Roman"/>
                <w:b w:val="0"/>
                <w:bCs w:val="0"/>
                <w:snapToGrid/>
                <w:szCs w:val="21"/>
                <w:highlight w:val="none"/>
                <w:lang w:val="en-US"/>
              </w:rPr>
            </w:pPr>
            <w:r>
              <w:rPr>
                <w:rFonts w:hint="default" w:ascii="Times New Roman" w:hAnsi="Times New Roman" w:eastAsia="宋体" w:cs="Times New Roman"/>
                <w:b w:val="0"/>
                <w:bCs w:val="0"/>
                <w:snapToGrid/>
                <w:szCs w:val="21"/>
                <w:highlight w:val="none"/>
                <w:lang w:val="en-US"/>
              </w:rPr>
              <w:t>1.2细节处理程度。</w:t>
            </w:r>
            <w:r>
              <w:rPr>
                <w:rFonts w:hint="default" w:ascii="Times New Roman" w:hAnsi="Times New Roman" w:eastAsia="宋体" w:cs="Times New Roman"/>
                <w:b w:val="0"/>
                <w:bCs w:val="0"/>
                <w:snapToGrid/>
                <w:szCs w:val="21"/>
                <w:highlight w:val="none"/>
                <w:lang w:val="en-US" w:eastAsia="zh-CN"/>
              </w:rPr>
              <w:t>0.5</w:t>
            </w:r>
            <w:r>
              <w:rPr>
                <w:rFonts w:hint="default" w:ascii="Times New Roman" w:hAnsi="Times New Roman" w:eastAsia="宋体" w:cs="Times New Roman"/>
                <w:b w:val="0"/>
                <w:bCs w:val="0"/>
                <w:snapToGrid/>
                <w:szCs w:val="21"/>
                <w:highlight w:val="none"/>
                <w:lang w:val="en-US"/>
              </w:rPr>
              <w:t>分</w:t>
            </w:r>
          </w:p>
          <w:p w14:paraId="397C0EB2">
            <w:pPr>
              <w:widowControl/>
              <w:spacing w:line="360" w:lineRule="auto"/>
              <w:jc w:val="left"/>
              <w:rPr>
                <w:rFonts w:hint="eastAsia" w:ascii="Times New Roman" w:hAnsi="Times New Roman" w:eastAsia="宋体" w:cs="Times New Roman"/>
                <w:b w:val="0"/>
                <w:bCs w:val="0"/>
                <w:snapToGrid/>
                <w:szCs w:val="21"/>
                <w:highlight w:val="none"/>
                <w:lang w:val="en-US"/>
              </w:rPr>
            </w:pPr>
            <w:r>
              <w:rPr>
                <w:rFonts w:hint="default" w:ascii="Times New Roman" w:hAnsi="Times New Roman" w:eastAsia="宋体" w:cs="Times New Roman"/>
                <w:b w:val="0"/>
                <w:bCs w:val="0"/>
                <w:snapToGrid/>
                <w:szCs w:val="21"/>
                <w:highlight w:val="none"/>
                <w:lang w:val="en-US"/>
              </w:rPr>
              <w:t>1.3加工工艺水平。</w:t>
            </w:r>
            <w:r>
              <w:rPr>
                <w:rFonts w:hint="default" w:ascii="Times New Roman" w:hAnsi="Times New Roman" w:eastAsia="宋体" w:cs="Times New Roman"/>
                <w:b w:val="0"/>
                <w:bCs w:val="0"/>
                <w:snapToGrid/>
                <w:szCs w:val="21"/>
                <w:highlight w:val="none"/>
                <w:lang w:val="en-US" w:eastAsia="zh-CN"/>
              </w:rPr>
              <w:t>0.5</w:t>
            </w:r>
            <w:r>
              <w:rPr>
                <w:rFonts w:hint="default" w:ascii="Times New Roman" w:hAnsi="Times New Roman" w:eastAsia="宋体" w:cs="Times New Roman"/>
                <w:b w:val="0"/>
                <w:bCs w:val="0"/>
                <w:snapToGrid/>
                <w:szCs w:val="21"/>
                <w:highlight w:val="none"/>
                <w:lang w:val="en-US"/>
              </w:rPr>
              <w:t>分</w:t>
            </w:r>
          </w:p>
          <w:p w14:paraId="32FECA7F">
            <w:pPr>
              <w:widowControl/>
              <w:spacing w:line="360" w:lineRule="auto"/>
              <w:jc w:val="left"/>
              <w:rPr>
                <w:rFonts w:hint="eastAsia" w:ascii="Times New Roman" w:hAnsi="Times New Roman" w:eastAsia="宋体" w:cs="Times New Roman"/>
                <w:b w:val="0"/>
                <w:bCs w:val="0"/>
                <w:snapToGrid/>
                <w:szCs w:val="21"/>
                <w:highlight w:val="none"/>
                <w:lang w:val="en-US"/>
              </w:rPr>
            </w:pPr>
            <w:r>
              <w:rPr>
                <w:rFonts w:hint="default" w:ascii="Times New Roman" w:hAnsi="Times New Roman" w:eastAsia="宋体" w:cs="Times New Roman"/>
                <w:b w:val="0"/>
                <w:bCs w:val="0"/>
                <w:snapToGrid/>
                <w:szCs w:val="21"/>
                <w:highlight w:val="none"/>
                <w:lang w:val="en-US"/>
              </w:rPr>
              <w:t>2.与消防救援实战需求的符合程度，包括</w:t>
            </w:r>
            <w:r>
              <w:rPr>
                <w:rFonts w:hint="default" w:ascii="Times New Roman" w:hAnsi="Times New Roman" w:eastAsia="宋体" w:cs="Times New Roman"/>
                <w:b w:val="0"/>
                <w:bCs w:val="0"/>
                <w:snapToGrid/>
                <w:szCs w:val="21"/>
                <w:highlight w:val="none"/>
                <w:lang w:val="en-US" w:eastAsia="zh-CN"/>
              </w:rPr>
              <w:t>产品</w:t>
            </w:r>
            <w:r>
              <w:rPr>
                <w:rFonts w:hint="default" w:ascii="Times New Roman" w:hAnsi="Times New Roman" w:eastAsia="宋体" w:cs="Times New Roman"/>
                <w:b w:val="0"/>
                <w:bCs w:val="0"/>
                <w:snapToGrid/>
                <w:szCs w:val="21"/>
                <w:highlight w:val="none"/>
                <w:lang w:val="en-US"/>
              </w:rPr>
              <w:t>的规格、功能、材质及五金件质量等方面，每个方面</w:t>
            </w:r>
            <w:r>
              <w:rPr>
                <w:rFonts w:hint="default" w:ascii="Times New Roman" w:hAnsi="Times New Roman" w:eastAsia="宋体" w:cs="Times New Roman"/>
                <w:b w:val="0"/>
                <w:bCs w:val="0"/>
                <w:snapToGrid/>
                <w:szCs w:val="21"/>
                <w:highlight w:val="none"/>
                <w:lang w:val="en-US" w:eastAsia="zh-CN"/>
              </w:rPr>
              <w:t>0.2</w:t>
            </w:r>
            <w:r>
              <w:rPr>
                <w:rFonts w:hint="default" w:ascii="Times New Roman" w:hAnsi="Times New Roman" w:eastAsia="宋体" w:cs="Times New Roman"/>
                <w:b w:val="0"/>
                <w:bCs w:val="0"/>
                <w:snapToGrid/>
                <w:szCs w:val="21"/>
                <w:highlight w:val="none"/>
                <w:lang w:val="en-US"/>
              </w:rPr>
              <w:t>分，最高得</w:t>
            </w:r>
            <w:r>
              <w:rPr>
                <w:rFonts w:hint="default" w:ascii="Times New Roman" w:hAnsi="Times New Roman" w:eastAsia="宋体" w:cs="Times New Roman"/>
                <w:b w:val="0"/>
                <w:bCs w:val="0"/>
                <w:snapToGrid/>
                <w:szCs w:val="21"/>
                <w:highlight w:val="none"/>
                <w:lang w:val="en-US" w:eastAsia="zh-CN"/>
              </w:rPr>
              <w:t>0.6</w:t>
            </w:r>
            <w:r>
              <w:rPr>
                <w:rFonts w:hint="default" w:ascii="Times New Roman" w:hAnsi="Times New Roman" w:eastAsia="宋体" w:cs="Times New Roman"/>
                <w:b w:val="0"/>
                <w:bCs w:val="0"/>
                <w:snapToGrid/>
                <w:szCs w:val="21"/>
                <w:highlight w:val="none"/>
                <w:lang w:val="en-US"/>
              </w:rPr>
              <w:t>分。</w:t>
            </w:r>
          </w:p>
          <w:p w14:paraId="121D0979">
            <w:pPr>
              <w:widowControl/>
              <w:spacing w:line="360" w:lineRule="auto"/>
              <w:jc w:val="left"/>
              <w:rPr>
                <w:rFonts w:hint="eastAsia" w:ascii="Times New Roman" w:hAnsi="Times New Roman" w:eastAsia="宋体" w:cs="Times New Roman"/>
                <w:b w:val="0"/>
                <w:bCs w:val="0"/>
                <w:snapToGrid/>
                <w:szCs w:val="21"/>
                <w:highlight w:val="none"/>
                <w:lang w:val="en-US"/>
              </w:rPr>
            </w:pPr>
            <w:r>
              <w:rPr>
                <w:rFonts w:hint="default" w:ascii="Times New Roman" w:hAnsi="Times New Roman" w:eastAsia="宋体" w:cs="Times New Roman"/>
                <w:b w:val="0"/>
                <w:bCs w:val="0"/>
                <w:snapToGrid/>
                <w:szCs w:val="21"/>
                <w:highlight w:val="none"/>
                <w:lang w:val="en-US"/>
              </w:rPr>
              <w:t>3.外观整体效果、美观实用性。</w:t>
            </w:r>
            <w:r>
              <w:rPr>
                <w:rFonts w:hint="default" w:ascii="Times New Roman" w:hAnsi="Times New Roman" w:eastAsia="宋体" w:cs="Times New Roman"/>
                <w:b w:val="0"/>
                <w:bCs w:val="0"/>
                <w:snapToGrid/>
                <w:szCs w:val="21"/>
                <w:highlight w:val="none"/>
                <w:lang w:val="en-US" w:eastAsia="zh-CN"/>
              </w:rPr>
              <w:t>0.2</w:t>
            </w:r>
            <w:r>
              <w:rPr>
                <w:rFonts w:hint="default" w:ascii="Times New Roman" w:hAnsi="Times New Roman" w:eastAsia="宋体" w:cs="Times New Roman"/>
                <w:b w:val="0"/>
                <w:bCs w:val="0"/>
                <w:snapToGrid/>
                <w:szCs w:val="21"/>
                <w:highlight w:val="none"/>
                <w:lang w:val="en-US"/>
              </w:rPr>
              <w:t>分</w:t>
            </w:r>
          </w:p>
          <w:p w14:paraId="7CC09FE7">
            <w:pPr>
              <w:widowControl/>
              <w:spacing w:line="360" w:lineRule="auto"/>
              <w:jc w:val="left"/>
              <w:rPr>
                <w:rFonts w:hint="eastAsia" w:ascii="Times New Roman" w:hAnsi="Times New Roman" w:eastAsia="宋体" w:cs="Times New Roman"/>
                <w:b w:val="0"/>
                <w:bCs w:val="0"/>
                <w:snapToGrid/>
                <w:szCs w:val="21"/>
                <w:highlight w:val="none"/>
                <w:lang w:val="en-US"/>
              </w:rPr>
            </w:pPr>
            <w:r>
              <w:rPr>
                <w:rFonts w:hint="default" w:ascii="Times New Roman" w:hAnsi="Times New Roman" w:eastAsia="宋体" w:cs="Times New Roman"/>
                <w:b w:val="0"/>
                <w:bCs w:val="0"/>
                <w:snapToGrid/>
                <w:szCs w:val="21"/>
                <w:highlight w:val="none"/>
                <w:lang w:val="en-US"/>
              </w:rPr>
              <w:t>4.结构设计合理性、舒适性。</w:t>
            </w:r>
            <w:r>
              <w:rPr>
                <w:rFonts w:hint="default" w:ascii="Times New Roman" w:hAnsi="Times New Roman" w:eastAsia="宋体" w:cs="Times New Roman"/>
                <w:b w:val="0"/>
                <w:bCs w:val="0"/>
                <w:snapToGrid/>
                <w:szCs w:val="21"/>
                <w:highlight w:val="none"/>
                <w:lang w:val="en-US" w:eastAsia="zh-CN"/>
              </w:rPr>
              <w:t>0.2</w:t>
            </w:r>
            <w:r>
              <w:rPr>
                <w:rFonts w:hint="default" w:ascii="Times New Roman" w:hAnsi="Times New Roman" w:eastAsia="宋体" w:cs="Times New Roman"/>
                <w:b w:val="0"/>
                <w:bCs w:val="0"/>
                <w:snapToGrid/>
                <w:szCs w:val="21"/>
                <w:highlight w:val="none"/>
                <w:lang w:val="en-US"/>
              </w:rPr>
              <w:t>分</w:t>
            </w:r>
          </w:p>
          <w:p w14:paraId="137A3014">
            <w:pPr>
              <w:widowControl/>
              <w:spacing w:line="360" w:lineRule="auto"/>
              <w:jc w:val="left"/>
              <w:rPr>
                <w:rFonts w:hint="default" w:ascii="Times New Roman" w:hAnsi="Times New Roman" w:eastAsia="宋体" w:cs="Times New Roman"/>
                <w:b w:val="0"/>
                <w:bCs w:val="0"/>
                <w:sz w:val="21"/>
                <w:szCs w:val="21"/>
                <w:highlight w:val="none"/>
              </w:rPr>
            </w:pPr>
            <w:r>
              <w:rPr>
                <w:rFonts w:hint="default" w:ascii="Times New Roman" w:hAnsi="Times New Roman" w:cs="Times New Roman"/>
                <w:b w:val="0"/>
                <w:bCs w:val="0"/>
                <w:sz w:val="21"/>
                <w:szCs w:val="21"/>
                <w:highlight w:val="none"/>
              </w:rPr>
              <w:t>5.投标</w:t>
            </w:r>
            <w:r>
              <w:rPr>
                <w:rFonts w:hint="default" w:ascii="Times New Roman" w:hAnsi="Times New Roman" w:cs="Times New Roman"/>
                <w:b w:val="0"/>
                <w:bCs w:val="0"/>
                <w:sz w:val="21"/>
                <w:szCs w:val="21"/>
                <w:highlight w:val="none"/>
                <w:lang w:val="en-US" w:eastAsia="zh-CN"/>
              </w:rPr>
              <w:t>产品</w:t>
            </w:r>
            <w:r>
              <w:rPr>
                <w:rFonts w:hint="default" w:ascii="Times New Roman" w:hAnsi="Times New Roman" w:cs="Times New Roman"/>
                <w:b w:val="0"/>
                <w:bCs w:val="0"/>
                <w:sz w:val="21"/>
                <w:szCs w:val="21"/>
                <w:highlight w:val="none"/>
              </w:rPr>
              <w:t>操作方便，符合采购需求，针对采购人的特殊工作性质及工作环境设计的。</w:t>
            </w:r>
            <w:r>
              <w:rPr>
                <w:rFonts w:hint="default" w:ascii="Times New Roman" w:hAnsi="Times New Roman" w:cs="Times New Roman"/>
                <w:b w:val="0"/>
                <w:bCs w:val="0"/>
                <w:sz w:val="21"/>
                <w:szCs w:val="21"/>
                <w:highlight w:val="none"/>
                <w:lang w:val="en-US" w:eastAsia="zh-CN"/>
              </w:rPr>
              <w:t>1</w:t>
            </w:r>
            <w:r>
              <w:rPr>
                <w:rFonts w:hint="default" w:ascii="Times New Roman" w:hAnsi="Times New Roman" w:cs="Times New Roman"/>
                <w:b w:val="0"/>
                <w:bCs w:val="0"/>
                <w:sz w:val="21"/>
                <w:szCs w:val="21"/>
                <w:highlight w:val="none"/>
              </w:rPr>
              <w:t>分</w:t>
            </w:r>
          </w:p>
          <w:p w14:paraId="40E78278">
            <w:pPr>
              <w:widowControl/>
              <w:spacing w:line="360" w:lineRule="auto"/>
              <w:jc w:val="left"/>
              <w:rPr>
                <w:rFonts w:hint="eastAsia" w:ascii="宋体" w:hAnsi="宋体" w:eastAsia="宋体" w:cs="宋体"/>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注：</w:t>
            </w:r>
            <w:r>
              <w:rPr>
                <w:rFonts w:hint="default" w:ascii="Times New Roman" w:hAnsi="Times New Roman" w:cs="Times New Roman"/>
                <w:b w:val="0"/>
                <w:bCs w:val="0"/>
                <w:color w:val="auto"/>
                <w:szCs w:val="21"/>
                <w:highlight w:val="none"/>
              </w:rPr>
              <w:t>（1）在评标时进行演示。</w:t>
            </w:r>
            <w:r>
              <w:rPr>
                <w:rFonts w:hint="default" w:cs="Times New Roman"/>
                <w:b w:val="0"/>
                <w:bCs w:val="0"/>
                <w:color w:val="auto"/>
                <w:szCs w:val="21"/>
                <w:highlight w:val="none"/>
                <w:lang w:val="en-US" w:eastAsia="zh-CN"/>
              </w:rPr>
              <w:t>由代理</w:t>
            </w:r>
            <w:r>
              <w:rPr>
                <w:rFonts w:hint="eastAsia" w:eastAsia="宋体" w:cs="Times New Roman"/>
                <w:b w:val="0"/>
                <w:bCs w:val="0"/>
                <w:szCs w:val="21"/>
                <w:highlight w:val="none"/>
                <w:lang w:val="en-US" w:eastAsia="zh-CN"/>
              </w:rPr>
              <w:t>工作</w:t>
            </w:r>
            <w:r>
              <w:rPr>
                <w:rFonts w:hint="default" w:cs="Times New Roman"/>
                <w:b w:val="0"/>
                <w:bCs w:val="0"/>
                <w:color w:val="auto"/>
                <w:szCs w:val="21"/>
                <w:highlight w:val="none"/>
                <w:lang w:val="en-US" w:eastAsia="zh-CN"/>
              </w:rPr>
              <w:t>人员按照投标文件递交的先后次序进行视频演示</w:t>
            </w:r>
            <w:r>
              <w:rPr>
                <w:rFonts w:hint="default" w:ascii="Times New Roman" w:hAnsi="Times New Roman" w:cs="Times New Roman"/>
                <w:b w:val="0"/>
                <w:bCs w:val="0"/>
                <w:color w:val="auto"/>
                <w:szCs w:val="21"/>
                <w:highlight w:val="none"/>
              </w:rPr>
              <w:t>。</w:t>
            </w:r>
          </w:p>
        </w:tc>
      </w:tr>
    </w:tbl>
    <w:p w14:paraId="72F64985">
      <w:pPr>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p w14:paraId="6D6F5C10">
      <w:pPr>
        <w:spacing w:line="360" w:lineRule="auto"/>
        <w:ind w:firstLine="200"/>
        <w:rPr>
          <w:rFonts w:hint="eastAsia" w:ascii="宋体" w:hAnsi="宋体" w:cs="宋体"/>
          <w:b/>
          <w:spacing w:val="-6"/>
          <w:sz w:val="24"/>
        </w:rPr>
      </w:pPr>
      <w:r>
        <w:rPr>
          <w:rFonts w:hint="eastAsia" w:ascii="宋体" w:hAnsi="宋体" w:cs="宋体"/>
          <w:b/>
          <w:spacing w:val="-6"/>
          <w:sz w:val="24"/>
        </w:rPr>
        <w:t>三、评标报告</w:t>
      </w:r>
      <w:r>
        <w:rPr>
          <w:rFonts w:hint="eastAsia" w:ascii="宋体" w:hAnsi="宋体" w:cs="宋体"/>
          <w:b/>
          <w:spacing w:val="-6"/>
          <w:sz w:val="24"/>
        </w:rPr>
        <w:tab/>
      </w:r>
    </w:p>
    <w:p w14:paraId="642BCF9D">
      <w:pPr>
        <w:adjustRightInd w:val="0"/>
        <w:snapToGrid w:val="0"/>
        <w:spacing w:line="360" w:lineRule="auto"/>
        <w:ind w:firstLine="433" w:firstLineChars="190"/>
        <w:rPr>
          <w:rFonts w:hint="eastAsia" w:ascii="宋体" w:hAnsi="宋体" w:cs="宋体"/>
          <w:bCs/>
          <w:spacing w:val="-6"/>
          <w:sz w:val="24"/>
        </w:rPr>
      </w:pPr>
      <w:r>
        <w:rPr>
          <w:rFonts w:hint="eastAsia" w:ascii="宋体" w:hAnsi="宋体" w:cs="宋体"/>
          <w:bCs/>
          <w:spacing w:val="-6"/>
          <w:sz w:val="24"/>
        </w:rPr>
        <w:t>1.评标委员会根据最终得分从高到低，推荐1名中标候选人。</w:t>
      </w:r>
    </w:p>
    <w:p w14:paraId="7FC8B956">
      <w:pPr>
        <w:adjustRightInd w:val="0"/>
        <w:snapToGrid w:val="0"/>
        <w:spacing w:line="360" w:lineRule="auto"/>
        <w:ind w:firstLine="433" w:firstLineChars="190"/>
        <w:rPr>
          <w:rFonts w:hint="eastAsia" w:ascii="宋体" w:hAnsi="宋体" w:cs="宋体"/>
          <w:bCs/>
          <w:spacing w:val="-6"/>
          <w:sz w:val="24"/>
        </w:rPr>
      </w:pPr>
      <w:r>
        <w:rPr>
          <w:rFonts w:hint="eastAsia" w:ascii="宋体" w:hAnsi="宋体" w:cs="宋体"/>
          <w:bCs/>
          <w:spacing w:val="-6"/>
          <w:sz w:val="24"/>
        </w:rPr>
        <w:t>2.评标委员会应根据评标情况和结果，向采购人提交评标报告。评标报告由评标委员会起草，按少数服从多数的原则通过。评标委员会全体成员应在评标报告上签字认可，评标专家如有保留意见可以在评标报告中阐明。</w:t>
      </w:r>
    </w:p>
    <w:p w14:paraId="527B0962">
      <w:pPr>
        <w:spacing w:line="360" w:lineRule="auto"/>
        <w:ind w:firstLine="200"/>
        <w:rPr>
          <w:rFonts w:hint="eastAsia" w:ascii="宋体" w:hAnsi="宋体" w:cs="宋体"/>
          <w:b/>
          <w:spacing w:val="-6"/>
          <w:sz w:val="24"/>
        </w:rPr>
      </w:pPr>
      <w:r>
        <w:rPr>
          <w:rFonts w:hint="eastAsia" w:ascii="宋体" w:hAnsi="宋体" w:cs="宋体"/>
          <w:b/>
          <w:spacing w:val="-6"/>
          <w:sz w:val="24"/>
        </w:rPr>
        <w:t>四、定标</w:t>
      </w:r>
    </w:p>
    <w:p w14:paraId="5523D93B">
      <w:pPr>
        <w:adjustRightInd w:val="0"/>
        <w:snapToGrid w:val="0"/>
        <w:spacing w:line="360" w:lineRule="auto"/>
        <w:ind w:firstLine="433" w:firstLineChars="190"/>
        <w:rPr>
          <w:rFonts w:hint="eastAsia" w:ascii="宋体" w:hAnsi="宋体" w:cs="宋体"/>
          <w:bCs/>
          <w:spacing w:val="-6"/>
          <w:sz w:val="24"/>
        </w:rPr>
      </w:pPr>
      <w:r>
        <w:rPr>
          <w:rFonts w:hint="eastAsia" w:ascii="宋体" w:hAnsi="宋体" w:cs="宋体"/>
          <w:bCs/>
          <w:spacing w:val="-6"/>
          <w:sz w:val="24"/>
        </w:rPr>
        <w:t>采购人根据评标委员会的评标结果和推荐的中标候选人，最终确定1名中标人。</w:t>
      </w:r>
    </w:p>
    <w:p w14:paraId="5B518419">
      <w:pPr>
        <w:spacing w:line="360" w:lineRule="auto"/>
        <w:ind w:firstLine="200"/>
        <w:rPr>
          <w:rFonts w:hint="eastAsia" w:ascii="宋体" w:hAnsi="宋体" w:cs="宋体"/>
          <w:b/>
          <w:spacing w:val="-6"/>
          <w:sz w:val="24"/>
        </w:rPr>
      </w:pPr>
      <w:r>
        <w:rPr>
          <w:rFonts w:hint="eastAsia" w:ascii="宋体" w:hAnsi="宋体" w:cs="宋体"/>
          <w:b/>
          <w:spacing w:val="-6"/>
          <w:sz w:val="24"/>
        </w:rPr>
        <w:t>五、其他</w:t>
      </w:r>
    </w:p>
    <w:p w14:paraId="6145A0DA">
      <w:pPr>
        <w:tabs>
          <w:tab w:val="left" w:pos="8820"/>
        </w:tabs>
        <w:adjustRightInd w:val="0"/>
        <w:snapToGrid w:val="0"/>
        <w:spacing w:line="360" w:lineRule="auto"/>
        <w:ind w:firstLine="433" w:firstLineChars="190"/>
        <w:rPr>
          <w:rFonts w:hint="eastAsia" w:ascii="宋体" w:hAnsi="宋体" w:cs="宋体"/>
          <w:bCs/>
          <w:spacing w:val="-6"/>
          <w:sz w:val="24"/>
        </w:rPr>
      </w:pPr>
      <w:r>
        <w:rPr>
          <w:rFonts w:hint="eastAsia" w:ascii="宋体" w:hAnsi="宋体" w:cs="宋体"/>
          <w:bCs/>
          <w:spacing w:val="-6"/>
          <w:sz w:val="24"/>
        </w:rPr>
        <w:t>各位评标人员应认真﹑客观﹑公正对待每个投标人，遵守评标纪律，不得泄露任何评标信息，如违规违纪者，将严肃查处。</w:t>
      </w:r>
    </w:p>
    <w:p w14:paraId="4738A901">
      <w:pPr>
        <w:tabs>
          <w:tab w:val="left" w:pos="8820"/>
        </w:tabs>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评标中，如发现有二份及以上投标文件的相互之间有相同或高度相似之处，且经询标澄清投标人无令人信服的理由和可靠证据证明其合理性的，经评标委员会半数以上成员认定有串通投标嫌疑的，其投标文件按无效标处理，予以废除，不再对其进行评审，也不影响招标继续评标。评标结束后，评标专家应将有串通投标嫌疑的投标文件以及相关评标分析材料及时移交采购人做进一步的调查处理，即使最终无法认定串通投标行为成立，也不影响对其按无效标处理的结果。</w:t>
      </w:r>
      <w:bookmarkStart w:id="25" w:name="_Toc171585790"/>
      <w:bookmarkEnd w:id="25"/>
      <w:bookmarkStart w:id="26" w:name="_Toc171585789"/>
      <w:bookmarkEnd w:id="26"/>
      <w:bookmarkStart w:id="27" w:name="_Toc171585531"/>
      <w:bookmarkEnd w:id="27"/>
      <w:bookmarkStart w:id="28" w:name="_Toc171585533"/>
      <w:bookmarkEnd w:id="28"/>
      <w:bookmarkStart w:id="29" w:name="_Toc171585530"/>
      <w:bookmarkEnd w:id="29"/>
      <w:bookmarkStart w:id="30" w:name="_Toc171585532"/>
      <w:bookmarkEnd w:id="30"/>
      <w:bookmarkStart w:id="31" w:name="_Toc172031724"/>
      <w:bookmarkEnd w:id="31"/>
      <w:bookmarkStart w:id="32" w:name="_Toc172031723"/>
      <w:bookmarkEnd w:id="32"/>
      <w:bookmarkStart w:id="33" w:name="_Toc171585791"/>
      <w:bookmarkEnd w:id="33"/>
      <w:bookmarkStart w:id="34" w:name="_Toc172031722"/>
      <w:bookmarkEnd w:id="34"/>
      <w:bookmarkStart w:id="35" w:name="_Toc171585792"/>
      <w:bookmarkEnd w:id="35"/>
      <w:bookmarkStart w:id="36" w:name="_Toc172031721"/>
      <w:bookmarkEnd w:id="36"/>
      <w:bookmarkStart w:id="37" w:name="_第八部分___评标办法"/>
      <w:bookmarkEnd w:id="37"/>
    </w:p>
    <w:p w14:paraId="63B87516">
      <w:pPr>
        <w:tabs>
          <w:tab w:val="left" w:pos="8820"/>
        </w:tabs>
        <w:adjustRightInd w:val="0"/>
        <w:snapToGrid w:val="0"/>
        <w:spacing w:line="360" w:lineRule="auto"/>
        <w:ind w:firstLine="456" w:firstLineChars="200"/>
        <w:rPr>
          <w:rFonts w:hint="eastAsia" w:ascii="宋体" w:hAnsi="宋体" w:cs="宋体"/>
          <w:bCs/>
          <w:spacing w:val="-6"/>
          <w:sz w:val="24"/>
        </w:rPr>
      </w:pPr>
      <w:r>
        <w:rPr>
          <w:rFonts w:hint="eastAsia" w:ascii="宋体" w:hAnsi="宋体" w:cs="宋体"/>
          <w:bCs/>
          <w:spacing w:val="-6"/>
          <w:sz w:val="24"/>
        </w:rPr>
        <w:t>中标结果在发布招标公告的同一网站公告1个工作日。投标人和其他利害关系人认为招标投标活动不符合法律法规和规章规定的，可按有关规定办理。</w:t>
      </w:r>
    </w:p>
    <w:p w14:paraId="3670B225">
      <w:pPr>
        <w:tabs>
          <w:tab w:val="left" w:pos="8820"/>
        </w:tabs>
        <w:adjustRightInd w:val="0"/>
        <w:snapToGrid w:val="0"/>
        <w:spacing w:line="360" w:lineRule="auto"/>
        <w:ind w:firstLine="480" w:firstLineChars="200"/>
        <w:rPr>
          <w:rFonts w:hint="eastAsia" w:ascii="宋体" w:hAnsi="宋体" w:cs="宋体"/>
          <w:sz w:val="24"/>
        </w:rPr>
      </w:pPr>
    </w:p>
    <w:p w14:paraId="1C6F1786">
      <w:pPr>
        <w:widowControl/>
        <w:jc w:val="left"/>
        <w:rPr>
          <w:rFonts w:hint="eastAsia" w:ascii="宋体" w:hAnsi="宋体" w:cs="宋体"/>
          <w:b/>
          <w:sz w:val="24"/>
        </w:rPr>
      </w:pPr>
      <w:bookmarkStart w:id="38" w:name="_Toc31754"/>
      <w:r>
        <w:rPr>
          <w:rFonts w:hint="eastAsia"/>
          <w:sz w:val="24"/>
        </w:rPr>
        <w:br w:type="page"/>
      </w:r>
    </w:p>
    <w:p w14:paraId="6CE6409A">
      <w:pPr>
        <w:pStyle w:val="2"/>
        <w:spacing w:before="156" w:after="156"/>
        <w:rPr>
          <w:rFonts w:hint="eastAsia"/>
        </w:rPr>
      </w:pPr>
      <w:bookmarkStart w:id="39" w:name="_Toc26648"/>
      <w:r>
        <w:rPr>
          <w:rFonts w:hint="eastAsia"/>
        </w:rPr>
        <w:t>第五部分  合同主要条款</w:t>
      </w:r>
      <w:bookmarkEnd w:id="38"/>
      <w:bookmarkEnd w:id="39"/>
    </w:p>
    <w:p w14:paraId="58493460">
      <w:pPr>
        <w:snapToGrid w:val="0"/>
        <w:spacing w:line="360" w:lineRule="exact"/>
        <w:jc w:val="center"/>
        <w:rPr>
          <w:rFonts w:hint="eastAsia" w:ascii="宋体" w:hAnsi="宋体" w:cs="宋体"/>
          <w:sz w:val="24"/>
        </w:rPr>
      </w:pPr>
      <w:r>
        <w:rPr>
          <w:rFonts w:hint="eastAsia" w:ascii="宋体" w:hAnsi="宋体" w:cs="宋体"/>
          <w:sz w:val="24"/>
        </w:rPr>
        <w:t>（本项目为统招分签项目，中标后中标人与各需求单位分别签订合同。）</w:t>
      </w:r>
    </w:p>
    <w:p w14:paraId="0B6B3E64">
      <w:pPr>
        <w:spacing w:line="360" w:lineRule="auto"/>
        <w:ind w:firstLine="480" w:firstLineChars="200"/>
        <w:jc w:val="right"/>
        <w:rPr>
          <w:rFonts w:hint="eastAsia" w:ascii="宋体" w:hAnsi="宋体" w:cs="宋体"/>
          <w:sz w:val="24"/>
        </w:rPr>
      </w:pPr>
      <w:r>
        <w:rPr>
          <w:rFonts w:hint="eastAsia" w:ascii="宋体" w:hAnsi="宋体" w:cs="宋体"/>
          <w:sz w:val="24"/>
        </w:rPr>
        <w:t xml:space="preserve">合同编号：             </w:t>
      </w:r>
    </w:p>
    <w:p w14:paraId="2C452AF1">
      <w:pPr>
        <w:spacing w:line="360" w:lineRule="auto"/>
        <w:ind w:firstLine="480" w:firstLineChars="200"/>
        <w:rPr>
          <w:rFonts w:hint="eastAsia" w:ascii="宋体" w:hAnsi="宋体" w:cs="宋体"/>
          <w:sz w:val="24"/>
        </w:rPr>
      </w:pPr>
      <w:r>
        <w:rPr>
          <w:rFonts w:hint="eastAsia" w:ascii="宋体" w:hAnsi="宋体" w:cs="宋体"/>
          <w:sz w:val="24"/>
        </w:rPr>
        <w:t>项目名称：</w:t>
      </w:r>
    </w:p>
    <w:p w14:paraId="748D2442">
      <w:pPr>
        <w:spacing w:line="360" w:lineRule="auto"/>
        <w:ind w:firstLine="480" w:firstLineChars="200"/>
        <w:rPr>
          <w:rFonts w:hint="eastAsia" w:ascii="宋体" w:hAnsi="宋体" w:cs="宋体"/>
          <w:sz w:val="24"/>
        </w:rPr>
      </w:pPr>
      <w:r>
        <w:rPr>
          <w:rFonts w:hint="eastAsia" w:ascii="宋体" w:hAnsi="宋体" w:cs="宋体"/>
          <w:sz w:val="24"/>
        </w:rPr>
        <w:t>项目编号：</w:t>
      </w:r>
    </w:p>
    <w:p w14:paraId="65B4E778">
      <w:pPr>
        <w:spacing w:line="360" w:lineRule="auto"/>
        <w:ind w:firstLine="480" w:firstLineChars="200"/>
        <w:rPr>
          <w:rFonts w:hint="eastAsia" w:ascii="宋体" w:hAnsi="宋体" w:cs="宋体"/>
          <w:sz w:val="24"/>
        </w:rPr>
      </w:pPr>
      <w:r>
        <w:rPr>
          <w:rFonts w:hint="eastAsia" w:ascii="宋体" w:hAnsi="宋体" w:cs="宋体"/>
          <w:sz w:val="24"/>
        </w:rPr>
        <w:t>标项：</w:t>
      </w:r>
    </w:p>
    <w:p w14:paraId="6820CB38">
      <w:pPr>
        <w:spacing w:line="360" w:lineRule="auto"/>
        <w:ind w:firstLine="480" w:firstLineChars="200"/>
        <w:rPr>
          <w:rFonts w:hint="eastAsia" w:ascii="宋体" w:hAnsi="宋体" w:cs="宋体"/>
          <w:sz w:val="24"/>
        </w:rPr>
      </w:pPr>
      <w:r>
        <w:rPr>
          <w:rFonts w:hint="eastAsia" w:ascii="宋体" w:hAnsi="宋体" w:cs="宋体"/>
          <w:sz w:val="24"/>
        </w:rPr>
        <w:t xml:space="preserve">甲方（全称）： </w:t>
      </w:r>
    </w:p>
    <w:p w14:paraId="4D21215F">
      <w:pPr>
        <w:spacing w:line="360" w:lineRule="auto"/>
        <w:ind w:firstLine="480" w:firstLineChars="200"/>
        <w:rPr>
          <w:rFonts w:hint="eastAsia" w:ascii="宋体" w:hAnsi="宋体" w:cs="宋体"/>
          <w:sz w:val="24"/>
        </w:rPr>
      </w:pPr>
      <w:r>
        <w:rPr>
          <w:rFonts w:hint="eastAsia" w:ascii="宋体" w:hAnsi="宋体" w:cs="宋体"/>
          <w:sz w:val="24"/>
        </w:rPr>
        <w:t xml:space="preserve">乙方（全称）： </w:t>
      </w:r>
    </w:p>
    <w:p w14:paraId="0B0A2749">
      <w:pPr>
        <w:spacing w:line="360" w:lineRule="auto"/>
        <w:ind w:firstLine="480" w:firstLineChars="200"/>
        <w:rPr>
          <w:rFonts w:hint="eastAsia" w:ascii="宋体" w:hAnsi="宋体" w:cs="宋体"/>
          <w:sz w:val="24"/>
        </w:rPr>
      </w:pPr>
      <w:r>
        <w:rPr>
          <w:rFonts w:hint="eastAsia" w:ascii="宋体" w:hAnsi="宋体" w:cs="宋体"/>
          <w:sz w:val="24"/>
        </w:rPr>
        <w:t>依照</w:t>
      </w:r>
      <w:r>
        <w:rPr>
          <w:rFonts w:hint="eastAsia" w:ascii="宋体" w:hAnsi="宋体" w:cs="宋体"/>
          <w:sz w:val="24"/>
          <w:lang w:val="zh-CN"/>
        </w:rPr>
        <w:t>《中华人民共和国民法典》《中华人民共和国政府采购法》</w:t>
      </w:r>
      <w:r>
        <w:rPr>
          <w:rFonts w:hint="eastAsia" w:ascii="宋体" w:hAnsi="宋体" w:cs="宋体"/>
          <w:sz w:val="24"/>
        </w:rPr>
        <w:t>及其他相关法律、行政法规，遵循平等、自愿、公平、诚实信用和绿色的原则，经甲乙双方协商一致，订立本合同。</w:t>
      </w:r>
    </w:p>
    <w:p w14:paraId="1F91D2F8">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一、合同货物、数量</w:t>
      </w:r>
    </w:p>
    <w:p w14:paraId="38573775">
      <w:pPr>
        <w:spacing w:line="360" w:lineRule="auto"/>
        <w:ind w:firstLine="480" w:firstLineChars="200"/>
        <w:rPr>
          <w:rFonts w:hint="eastAsia" w:ascii="宋体" w:hAnsi="宋体" w:cs="宋体"/>
          <w:sz w:val="24"/>
          <w:lang w:val="zh-CN"/>
        </w:rPr>
      </w:pPr>
      <w:r>
        <w:rPr>
          <w:rFonts w:hint="eastAsia" w:ascii="宋体" w:hAnsi="宋体" w:cs="宋体"/>
          <w:sz w:val="24"/>
          <w:lang w:val="zh-CN"/>
        </w:rPr>
        <w:t>本合同项下包含的货物及价格清单如下表：</w:t>
      </w:r>
    </w:p>
    <w:tbl>
      <w:tblPr>
        <w:tblStyle w:val="35"/>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251"/>
        <w:gridCol w:w="951"/>
        <w:gridCol w:w="750"/>
        <w:gridCol w:w="750"/>
        <w:gridCol w:w="795"/>
        <w:gridCol w:w="1304"/>
        <w:gridCol w:w="1216"/>
        <w:gridCol w:w="1246"/>
      </w:tblGrid>
      <w:tr w14:paraId="0974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4F7424C">
            <w:pPr>
              <w:spacing w:line="360" w:lineRule="auto"/>
              <w:jc w:val="center"/>
              <w:rPr>
                <w:rFonts w:hint="eastAsia" w:ascii="宋体" w:hAnsi="宋体" w:cs="宋体"/>
                <w:sz w:val="24"/>
                <w:lang w:val="zh-CN"/>
              </w:rPr>
            </w:pPr>
            <w:r>
              <w:rPr>
                <w:rFonts w:hint="eastAsia" w:ascii="宋体" w:hAnsi="宋体" w:cs="宋体"/>
                <w:sz w:val="24"/>
                <w:lang w:val="zh-CN"/>
              </w:rPr>
              <w:t>序号</w:t>
            </w:r>
          </w:p>
        </w:tc>
        <w:tc>
          <w:tcPr>
            <w:tcW w:w="2251" w:type="dxa"/>
            <w:tcBorders>
              <w:top w:val="single" w:color="auto" w:sz="4" w:space="0"/>
              <w:left w:val="single" w:color="auto" w:sz="4" w:space="0"/>
              <w:bottom w:val="single" w:color="auto" w:sz="4" w:space="0"/>
              <w:right w:val="single" w:color="auto" w:sz="4" w:space="0"/>
            </w:tcBorders>
            <w:vAlign w:val="center"/>
          </w:tcPr>
          <w:p w14:paraId="1CB71954">
            <w:pPr>
              <w:spacing w:line="360" w:lineRule="auto"/>
              <w:jc w:val="center"/>
              <w:rPr>
                <w:rFonts w:hint="eastAsia" w:ascii="宋体" w:hAnsi="宋体" w:cs="宋体"/>
                <w:sz w:val="24"/>
                <w:lang w:val="zh-CN"/>
              </w:rPr>
            </w:pPr>
            <w:r>
              <w:rPr>
                <w:rFonts w:hint="eastAsia" w:ascii="宋体" w:hAnsi="宋体" w:cs="宋体"/>
                <w:sz w:val="24"/>
                <w:lang w:val="zh-CN"/>
              </w:rPr>
              <w:t>产品名称</w:t>
            </w:r>
          </w:p>
        </w:tc>
        <w:tc>
          <w:tcPr>
            <w:tcW w:w="951" w:type="dxa"/>
            <w:tcBorders>
              <w:top w:val="single" w:color="auto" w:sz="4" w:space="0"/>
              <w:left w:val="single" w:color="auto" w:sz="4" w:space="0"/>
              <w:bottom w:val="single" w:color="auto" w:sz="4" w:space="0"/>
              <w:right w:val="single" w:color="auto" w:sz="4" w:space="0"/>
            </w:tcBorders>
            <w:vAlign w:val="center"/>
          </w:tcPr>
          <w:p w14:paraId="37537C70">
            <w:pPr>
              <w:spacing w:line="360" w:lineRule="auto"/>
              <w:jc w:val="center"/>
              <w:rPr>
                <w:rFonts w:hint="eastAsia" w:ascii="宋体" w:hAnsi="宋体" w:cs="宋体"/>
                <w:sz w:val="24"/>
              </w:rPr>
            </w:pPr>
            <w:r>
              <w:rPr>
                <w:rFonts w:hint="eastAsia" w:ascii="宋体" w:hAnsi="宋体" w:cs="宋体"/>
                <w:sz w:val="24"/>
                <w:lang w:val="zh-CN"/>
              </w:rPr>
              <w:t>品牌</w:t>
            </w:r>
          </w:p>
        </w:tc>
        <w:tc>
          <w:tcPr>
            <w:tcW w:w="750" w:type="dxa"/>
            <w:tcBorders>
              <w:top w:val="single" w:color="auto" w:sz="4" w:space="0"/>
              <w:left w:val="single" w:color="auto" w:sz="4" w:space="0"/>
              <w:bottom w:val="single" w:color="auto" w:sz="4" w:space="0"/>
              <w:right w:val="single" w:color="auto" w:sz="4" w:space="0"/>
            </w:tcBorders>
            <w:vAlign w:val="center"/>
          </w:tcPr>
          <w:p w14:paraId="18D9B51F">
            <w:pPr>
              <w:spacing w:line="360" w:lineRule="auto"/>
              <w:jc w:val="center"/>
              <w:rPr>
                <w:rFonts w:hint="eastAsia" w:ascii="宋体" w:hAnsi="宋体" w:cs="宋体"/>
                <w:sz w:val="24"/>
                <w:lang w:val="zh-CN"/>
              </w:rPr>
            </w:pPr>
            <w:r>
              <w:rPr>
                <w:rFonts w:hint="eastAsia" w:ascii="宋体" w:hAnsi="宋体" w:cs="宋体"/>
                <w:sz w:val="24"/>
              </w:rPr>
              <w:t>规格型号</w:t>
            </w:r>
          </w:p>
        </w:tc>
        <w:tc>
          <w:tcPr>
            <w:tcW w:w="750" w:type="dxa"/>
            <w:tcBorders>
              <w:top w:val="single" w:color="auto" w:sz="4" w:space="0"/>
              <w:left w:val="single" w:color="auto" w:sz="4" w:space="0"/>
              <w:bottom w:val="single" w:color="auto" w:sz="4" w:space="0"/>
              <w:right w:val="single" w:color="auto" w:sz="4" w:space="0"/>
            </w:tcBorders>
            <w:vAlign w:val="center"/>
          </w:tcPr>
          <w:p w14:paraId="73063755">
            <w:pPr>
              <w:spacing w:line="360" w:lineRule="auto"/>
              <w:jc w:val="center"/>
              <w:rPr>
                <w:rFonts w:hint="eastAsia" w:ascii="宋体" w:hAnsi="宋体" w:cs="宋体"/>
                <w:sz w:val="24"/>
                <w:lang w:val="zh-CN"/>
              </w:rPr>
            </w:pPr>
            <w:r>
              <w:rPr>
                <w:rFonts w:hint="eastAsia" w:ascii="宋体" w:hAnsi="宋体" w:cs="宋体"/>
                <w:sz w:val="24"/>
                <w:lang w:val="zh-CN"/>
              </w:rPr>
              <w:t>单位</w:t>
            </w:r>
          </w:p>
        </w:tc>
        <w:tc>
          <w:tcPr>
            <w:tcW w:w="795" w:type="dxa"/>
            <w:tcBorders>
              <w:top w:val="single" w:color="auto" w:sz="4" w:space="0"/>
              <w:left w:val="single" w:color="auto" w:sz="4" w:space="0"/>
              <w:bottom w:val="single" w:color="auto" w:sz="4" w:space="0"/>
              <w:right w:val="single" w:color="auto" w:sz="4" w:space="0"/>
            </w:tcBorders>
            <w:vAlign w:val="center"/>
          </w:tcPr>
          <w:p w14:paraId="5085A63F">
            <w:pPr>
              <w:spacing w:line="360" w:lineRule="auto"/>
              <w:jc w:val="center"/>
              <w:rPr>
                <w:rFonts w:hint="eastAsia" w:ascii="宋体" w:hAnsi="宋体" w:cs="宋体"/>
                <w:sz w:val="24"/>
                <w:lang w:val="zh-CN"/>
              </w:rPr>
            </w:pPr>
            <w:r>
              <w:rPr>
                <w:rFonts w:hint="eastAsia" w:ascii="宋体" w:hAnsi="宋体" w:cs="宋体"/>
                <w:sz w:val="24"/>
                <w:lang w:val="zh-CN"/>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3247AE28">
            <w:pPr>
              <w:spacing w:line="360" w:lineRule="auto"/>
              <w:jc w:val="center"/>
              <w:rPr>
                <w:rFonts w:hint="eastAsia" w:ascii="宋体" w:hAnsi="宋体" w:cs="宋体"/>
                <w:sz w:val="24"/>
                <w:lang w:val="zh-CN"/>
              </w:rPr>
            </w:pPr>
            <w:r>
              <w:rPr>
                <w:rFonts w:hint="eastAsia" w:ascii="宋体" w:hAnsi="宋体" w:cs="宋体"/>
                <w:sz w:val="24"/>
                <w:lang w:val="zh-CN"/>
              </w:rPr>
              <w:t>单价（元）</w:t>
            </w:r>
          </w:p>
        </w:tc>
        <w:tc>
          <w:tcPr>
            <w:tcW w:w="1216" w:type="dxa"/>
            <w:tcBorders>
              <w:top w:val="single" w:color="auto" w:sz="4" w:space="0"/>
              <w:left w:val="single" w:color="auto" w:sz="4" w:space="0"/>
              <w:bottom w:val="single" w:color="auto" w:sz="4" w:space="0"/>
              <w:right w:val="single" w:color="auto" w:sz="4" w:space="0"/>
            </w:tcBorders>
            <w:vAlign w:val="center"/>
          </w:tcPr>
          <w:p w14:paraId="02F10442">
            <w:pPr>
              <w:spacing w:line="360" w:lineRule="auto"/>
              <w:jc w:val="center"/>
              <w:rPr>
                <w:rFonts w:hint="eastAsia" w:ascii="宋体" w:hAnsi="宋体" w:cs="宋体"/>
                <w:sz w:val="24"/>
                <w:lang w:val="zh-CN"/>
              </w:rPr>
            </w:pPr>
            <w:r>
              <w:rPr>
                <w:rFonts w:hint="eastAsia" w:ascii="宋体" w:hAnsi="宋体" w:cs="宋体"/>
                <w:sz w:val="24"/>
                <w:lang w:val="zh-CN"/>
              </w:rPr>
              <w:t>总价（元）</w:t>
            </w:r>
          </w:p>
        </w:tc>
        <w:tc>
          <w:tcPr>
            <w:tcW w:w="1246" w:type="dxa"/>
            <w:tcBorders>
              <w:top w:val="single" w:color="auto" w:sz="4" w:space="0"/>
              <w:left w:val="single" w:color="auto" w:sz="4" w:space="0"/>
              <w:bottom w:val="single" w:color="auto" w:sz="4" w:space="0"/>
              <w:right w:val="single" w:color="auto" w:sz="4" w:space="0"/>
            </w:tcBorders>
            <w:vAlign w:val="center"/>
          </w:tcPr>
          <w:p w14:paraId="733D15A4">
            <w:pPr>
              <w:spacing w:line="360" w:lineRule="auto"/>
              <w:jc w:val="center"/>
              <w:rPr>
                <w:rFonts w:hint="eastAsia" w:ascii="宋体" w:hAnsi="宋体" w:cs="宋体"/>
                <w:sz w:val="24"/>
                <w:lang w:val="zh-CN"/>
              </w:rPr>
            </w:pPr>
            <w:r>
              <w:rPr>
                <w:rFonts w:hint="eastAsia" w:ascii="宋体" w:hAnsi="宋体" w:cs="宋体"/>
                <w:sz w:val="24"/>
                <w:lang w:val="zh-CN"/>
              </w:rPr>
              <w:t>备注</w:t>
            </w:r>
          </w:p>
        </w:tc>
      </w:tr>
      <w:tr w14:paraId="4ABA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472B8729">
            <w:pPr>
              <w:spacing w:line="360" w:lineRule="auto"/>
              <w:jc w:val="center"/>
              <w:rPr>
                <w:rFonts w:hint="eastAsia" w:ascii="宋体" w:hAnsi="宋体" w:cs="宋体"/>
                <w:sz w:val="24"/>
                <w:lang w:val="zh-CN"/>
              </w:rPr>
            </w:pPr>
            <w:r>
              <w:rPr>
                <w:rFonts w:hint="eastAsia" w:ascii="宋体" w:hAnsi="宋体" w:cs="宋体"/>
                <w:sz w:val="24"/>
                <w:lang w:val="zh-CN"/>
              </w:rPr>
              <w:t>1</w:t>
            </w:r>
          </w:p>
        </w:tc>
        <w:tc>
          <w:tcPr>
            <w:tcW w:w="2251" w:type="dxa"/>
            <w:tcBorders>
              <w:top w:val="single" w:color="auto" w:sz="4" w:space="0"/>
              <w:left w:val="single" w:color="auto" w:sz="4" w:space="0"/>
              <w:bottom w:val="single" w:color="auto" w:sz="4" w:space="0"/>
              <w:right w:val="single" w:color="auto" w:sz="4" w:space="0"/>
            </w:tcBorders>
            <w:vAlign w:val="center"/>
          </w:tcPr>
          <w:p w14:paraId="6BED089B">
            <w:pPr>
              <w:spacing w:line="360" w:lineRule="auto"/>
              <w:jc w:val="center"/>
              <w:rPr>
                <w:rFonts w:hint="eastAsia" w:ascii="宋体" w:hAnsi="宋体" w:cs="宋体"/>
                <w:sz w:val="24"/>
                <w:lang w:val="zh-CN"/>
              </w:rPr>
            </w:pPr>
          </w:p>
        </w:tc>
        <w:tc>
          <w:tcPr>
            <w:tcW w:w="951" w:type="dxa"/>
            <w:tcBorders>
              <w:top w:val="single" w:color="auto" w:sz="4" w:space="0"/>
              <w:left w:val="single" w:color="auto" w:sz="4" w:space="0"/>
              <w:bottom w:val="single" w:color="auto" w:sz="4" w:space="0"/>
              <w:right w:val="single" w:color="auto" w:sz="4" w:space="0"/>
            </w:tcBorders>
            <w:vAlign w:val="center"/>
          </w:tcPr>
          <w:p w14:paraId="7F7024E8">
            <w:pPr>
              <w:spacing w:line="360" w:lineRule="auto"/>
              <w:jc w:val="center"/>
              <w:rPr>
                <w:rFonts w:hint="eastAsia"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0C44C934">
            <w:pPr>
              <w:spacing w:line="360" w:lineRule="auto"/>
              <w:jc w:val="center"/>
              <w:rPr>
                <w:rFonts w:hint="eastAsia"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45E7792D">
            <w:pPr>
              <w:spacing w:line="360" w:lineRule="auto"/>
              <w:jc w:val="center"/>
              <w:rPr>
                <w:rFonts w:hint="eastAsia" w:ascii="宋体" w:hAnsi="宋体" w:cs="宋体"/>
                <w:sz w:val="24"/>
                <w:lang w:val="zh-CN"/>
              </w:rPr>
            </w:pPr>
          </w:p>
        </w:tc>
        <w:tc>
          <w:tcPr>
            <w:tcW w:w="795" w:type="dxa"/>
            <w:tcBorders>
              <w:top w:val="single" w:color="auto" w:sz="4" w:space="0"/>
              <w:left w:val="single" w:color="auto" w:sz="4" w:space="0"/>
              <w:bottom w:val="single" w:color="auto" w:sz="4" w:space="0"/>
              <w:right w:val="single" w:color="auto" w:sz="4" w:space="0"/>
            </w:tcBorders>
            <w:vAlign w:val="center"/>
          </w:tcPr>
          <w:p w14:paraId="5C209068">
            <w:pPr>
              <w:spacing w:line="360" w:lineRule="auto"/>
              <w:jc w:val="center"/>
              <w:rPr>
                <w:rFonts w:hint="eastAsia" w:ascii="宋体" w:hAnsi="宋体" w:cs="宋体"/>
                <w:sz w:val="24"/>
                <w:lang w:val="zh-CN"/>
              </w:rPr>
            </w:pPr>
          </w:p>
        </w:tc>
        <w:tc>
          <w:tcPr>
            <w:tcW w:w="1304" w:type="dxa"/>
            <w:tcBorders>
              <w:top w:val="single" w:color="auto" w:sz="4" w:space="0"/>
              <w:left w:val="single" w:color="auto" w:sz="4" w:space="0"/>
              <w:bottom w:val="single" w:color="auto" w:sz="4" w:space="0"/>
              <w:right w:val="single" w:color="auto" w:sz="4" w:space="0"/>
            </w:tcBorders>
            <w:vAlign w:val="center"/>
          </w:tcPr>
          <w:p w14:paraId="6850D68C">
            <w:pPr>
              <w:spacing w:line="360" w:lineRule="auto"/>
              <w:jc w:val="center"/>
              <w:rPr>
                <w:rFonts w:hint="eastAsia" w:ascii="宋体" w:hAnsi="宋体" w:cs="宋体"/>
                <w:sz w:val="24"/>
                <w:lang w:val="zh-CN"/>
              </w:rPr>
            </w:pPr>
          </w:p>
        </w:tc>
        <w:tc>
          <w:tcPr>
            <w:tcW w:w="1216" w:type="dxa"/>
            <w:tcBorders>
              <w:top w:val="single" w:color="auto" w:sz="4" w:space="0"/>
              <w:left w:val="single" w:color="auto" w:sz="4" w:space="0"/>
              <w:bottom w:val="single" w:color="auto" w:sz="4" w:space="0"/>
              <w:right w:val="single" w:color="auto" w:sz="4" w:space="0"/>
            </w:tcBorders>
            <w:vAlign w:val="center"/>
          </w:tcPr>
          <w:p w14:paraId="0043A0DD">
            <w:pPr>
              <w:spacing w:line="360" w:lineRule="auto"/>
              <w:jc w:val="center"/>
              <w:rPr>
                <w:rFonts w:hint="eastAsia" w:ascii="宋体" w:hAnsi="宋体" w:cs="宋体"/>
                <w:sz w:val="24"/>
                <w:lang w:val="zh-CN"/>
              </w:rPr>
            </w:pPr>
          </w:p>
        </w:tc>
        <w:tc>
          <w:tcPr>
            <w:tcW w:w="1246" w:type="dxa"/>
            <w:tcBorders>
              <w:top w:val="single" w:color="auto" w:sz="4" w:space="0"/>
              <w:left w:val="single" w:color="auto" w:sz="4" w:space="0"/>
              <w:bottom w:val="single" w:color="auto" w:sz="4" w:space="0"/>
              <w:right w:val="single" w:color="auto" w:sz="4" w:space="0"/>
            </w:tcBorders>
            <w:vAlign w:val="center"/>
          </w:tcPr>
          <w:p w14:paraId="3D7EF642">
            <w:pPr>
              <w:spacing w:line="360" w:lineRule="auto"/>
              <w:rPr>
                <w:rFonts w:hint="eastAsia" w:ascii="宋体" w:hAnsi="宋体" w:cs="宋体"/>
                <w:sz w:val="24"/>
                <w:lang w:val="zh-CN"/>
              </w:rPr>
            </w:pPr>
          </w:p>
        </w:tc>
      </w:tr>
      <w:tr w14:paraId="5406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5EFB35CE">
            <w:pPr>
              <w:spacing w:line="360" w:lineRule="auto"/>
              <w:jc w:val="center"/>
              <w:rPr>
                <w:rFonts w:hint="eastAsia" w:ascii="宋体" w:hAnsi="宋体" w:cs="宋体"/>
                <w:sz w:val="24"/>
                <w:lang w:val="zh-CN"/>
              </w:rPr>
            </w:pPr>
            <w:r>
              <w:rPr>
                <w:rFonts w:ascii="宋体" w:hAnsi="宋体" w:cs="宋体"/>
                <w:sz w:val="24"/>
                <w:szCs w:val="28"/>
                <w:lang w:val="zh-CN"/>
              </w:rPr>
              <w:t>…</w:t>
            </w:r>
          </w:p>
        </w:tc>
        <w:tc>
          <w:tcPr>
            <w:tcW w:w="2251" w:type="dxa"/>
            <w:tcBorders>
              <w:top w:val="single" w:color="auto" w:sz="4" w:space="0"/>
              <w:left w:val="single" w:color="auto" w:sz="4" w:space="0"/>
              <w:bottom w:val="single" w:color="auto" w:sz="4" w:space="0"/>
              <w:right w:val="single" w:color="auto" w:sz="4" w:space="0"/>
            </w:tcBorders>
            <w:vAlign w:val="center"/>
          </w:tcPr>
          <w:p w14:paraId="664BFFBE">
            <w:pPr>
              <w:spacing w:line="360" w:lineRule="auto"/>
              <w:jc w:val="center"/>
              <w:rPr>
                <w:rFonts w:hint="eastAsia" w:ascii="宋体" w:hAnsi="宋体" w:cs="宋体"/>
                <w:sz w:val="24"/>
                <w:lang w:val="zh-CN"/>
              </w:rPr>
            </w:pPr>
          </w:p>
        </w:tc>
        <w:tc>
          <w:tcPr>
            <w:tcW w:w="951" w:type="dxa"/>
            <w:tcBorders>
              <w:top w:val="single" w:color="auto" w:sz="4" w:space="0"/>
              <w:left w:val="single" w:color="auto" w:sz="4" w:space="0"/>
              <w:bottom w:val="single" w:color="auto" w:sz="4" w:space="0"/>
              <w:right w:val="single" w:color="auto" w:sz="4" w:space="0"/>
            </w:tcBorders>
            <w:vAlign w:val="center"/>
          </w:tcPr>
          <w:p w14:paraId="0C9F090C">
            <w:pPr>
              <w:spacing w:line="360" w:lineRule="auto"/>
              <w:jc w:val="center"/>
              <w:rPr>
                <w:rFonts w:hint="eastAsia"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4C2ACFD9">
            <w:pPr>
              <w:spacing w:line="360" w:lineRule="auto"/>
              <w:jc w:val="center"/>
              <w:rPr>
                <w:rFonts w:hint="eastAsia"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2174A468">
            <w:pPr>
              <w:spacing w:line="360" w:lineRule="auto"/>
              <w:jc w:val="center"/>
              <w:rPr>
                <w:rFonts w:hint="eastAsia" w:ascii="宋体" w:hAnsi="宋体" w:cs="宋体"/>
                <w:sz w:val="24"/>
                <w:lang w:val="zh-CN"/>
              </w:rPr>
            </w:pPr>
          </w:p>
        </w:tc>
        <w:tc>
          <w:tcPr>
            <w:tcW w:w="795" w:type="dxa"/>
            <w:tcBorders>
              <w:top w:val="single" w:color="auto" w:sz="4" w:space="0"/>
              <w:left w:val="single" w:color="auto" w:sz="4" w:space="0"/>
              <w:bottom w:val="single" w:color="auto" w:sz="4" w:space="0"/>
              <w:right w:val="single" w:color="auto" w:sz="4" w:space="0"/>
            </w:tcBorders>
            <w:vAlign w:val="center"/>
          </w:tcPr>
          <w:p w14:paraId="12D3E4D4">
            <w:pPr>
              <w:spacing w:line="360" w:lineRule="auto"/>
              <w:jc w:val="center"/>
              <w:rPr>
                <w:rFonts w:hint="eastAsia" w:ascii="宋体" w:hAnsi="宋体" w:cs="宋体"/>
                <w:sz w:val="24"/>
                <w:lang w:val="zh-CN"/>
              </w:rPr>
            </w:pPr>
          </w:p>
        </w:tc>
        <w:tc>
          <w:tcPr>
            <w:tcW w:w="1304" w:type="dxa"/>
            <w:tcBorders>
              <w:top w:val="single" w:color="auto" w:sz="4" w:space="0"/>
              <w:left w:val="single" w:color="auto" w:sz="4" w:space="0"/>
              <w:bottom w:val="single" w:color="auto" w:sz="4" w:space="0"/>
              <w:right w:val="single" w:color="auto" w:sz="4" w:space="0"/>
            </w:tcBorders>
            <w:vAlign w:val="center"/>
          </w:tcPr>
          <w:p w14:paraId="65FE5196">
            <w:pPr>
              <w:spacing w:line="360" w:lineRule="auto"/>
              <w:jc w:val="center"/>
              <w:rPr>
                <w:rFonts w:hint="eastAsia" w:ascii="宋体" w:hAnsi="宋体" w:cs="宋体"/>
                <w:sz w:val="24"/>
                <w:lang w:val="zh-CN"/>
              </w:rPr>
            </w:pPr>
          </w:p>
        </w:tc>
        <w:tc>
          <w:tcPr>
            <w:tcW w:w="1216" w:type="dxa"/>
            <w:tcBorders>
              <w:top w:val="single" w:color="auto" w:sz="4" w:space="0"/>
              <w:left w:val="single" w:color="auto" w:sz="4" w:space="0"/>
              <w:bottom w:val="single" w:color="auto" w:sz="4" w:space="0"/>
              <w:right w:val="single" w:color="auto" w:sz="4" w:space="0"/>
            </w:tcBorders>
            <w:vAlign w:val="center"/>
          </w:tcPr>
          <w:p w14:paraId="688CC6A6">
            <w:pPr>
              <w:spacing w:line="360" w:lineRule="auto"/>
              <w:jc w:val="center"/>
              <w:rPr>
                <w:rFonts w:hint="eastAsia" w:ascii="宋体" w:hAnsi="宋体" w:cs="宋体"/>
                <w:sz w:val="24"/>
                <w:lang w:val="zh-CN"/>
              </w:rPr>
            </w:pPr>
          </w:p>
        </w:tc>
        <w:tc>
          <w:tcPr>
            <w:tcW w:w="1246" w:type="dxa"/>
            <w:tcBorders>
              <w:top w:val="single" w:color="auto" w:sz="4" w:space="0"/>
              <w:left w:val="single" w:color="auto" w:sz="4" w:space="0"/>
              <w:bottom w:val="single" w:color="auto" w:sz="4" w:space="0"/>
              <w:right w:val="single" w:color="auto" w:sz="4" w:space="0"/>
            </w:tcBorders>
            <w:vAlign w:val="center"/>
          </w:tcPr>
          <w:p w14:paraId="7BADC25E">
            <w:pPr>
              <w:spacing w:line="360" w:lineRule="auto"/>
              <w:rPr>
                <w:rFonts w:hint="eastAsia" w:ascii="宋体" w:hAnsi="宋体" w:cs="宋体"/>
                <w:sz w:val="24"/>
                <w:lang w:val="zh-CN"/>
              </w:rPr>
            </w:pPr>
          </w:p>
        </w:tc>
      </w:tr>
      <w:tr w14:paraId="0E91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461" w:type="dxa"/>
            <w:gridSpan w:val="5"/>
            <w:vAlign w:val="center"/>
          </w:tcPr>
          <w:p w14:paraId="1730A8A9">
            <w:pPr>
              <w:spacing w:line="360" w:lineRule="auto"/>
              <w:jc w:val="center"/>
              <w:rPr>
                <w:rFonts w:hint="eastAsia" w:ascii="宋体" w:hAnsi="宋体" w:cs="宋体"/>
                <w:sz w:val="24"/>
                <w:lang w:val="zh-CN"/>
              </w:rPr>
            </w:pPr>
            <w:r>
              <w:rPr>
                <w:rFonts w:hint="eastAsia" w:ascii="宋体" w:hAnsi="宋体" w:cs="宋体"/>
                <w:sz w:val="24"/>
                <w:lang w:val="zh-CN"/>
              </w:rPr>
              <w:t>合计金额</w:t>
            </w:r>
          </w:p>
        </w:tc>
        <w:tc>
          <w:tcPr>
            <w:tcW w:w="4561" w:type="dxa"/>
            <w:gridSpan w:val="4"/>
            <w:vAlign w:val="center"/>
          </w:tcPr>
          <w:p w14:paraId="40C3134B">
            <w:pPr>
              <w:spacing w:line="360" w:lineRule="auto"/>
              <w:rPr>
                <w:rFonts w:hint="eastAsia" w:ascii="宋体" w:hAnsi="宋体" w:cs="宋体"/>
                <w:sz w:val="24"/>
                <w:lang w:val="zh-CN"/>
              </w:rPr>
            </w:pPr>
            <w:r>
              <w:rPr>
                <w:rFonts w:hint="eastAsia" w:ascii="宋体" w:hAnsi="宋体" w:cs="宋体"/>
                <w:sz w:val="24"/>
                <w:lang w:val="zh-CN"/>
              </w:rPr>
              <w:t>小写：</w:t>
            </w:r>
          </w:p>
          <w:p w14:paraId="16C7EB0E">
            <w:pPr>
              <w:spacing w:line="360" w:lineRule="auto"/>
              <w:rPr>
                <w:rFonts w:hint="eastAsia" w:ascii="宋体" w:hAnsi="宋体" w:cs="宋体"/>
                <w:sz w:val="24"/>
                <w:lang w:val="zh-CN"/>
              </w:rPr>
            </w:pPr>
            <w:r>
              <w:rPr>
                <w:rFonts w:hint="eastAsia" w:ascii="宋体" w:hAnsi="宋体" w:cs="宋体"/>
                <w:sz w:val="24"/>
                <w:lang w:val="zh-CN"/>
              </w:rPr>
              <w:t>大写：</w:t>
            </w:r>
            <w:r>
              <w:rPr>
                <w:rFonts w:hint="eastAsia" w:ascii="宋体" w:hAnsi="宋体" w:cs="宋体"/>
                <w:sz w:val="24"/>
              </w:rPr>
              <w:t xml:space="preserve">    </w:t>
            </w:r>
          </w:p>
        </w:tc>
      </w:tr>
    </w:tbl>
    <w:p w14:paraId="75FE39EA">
      <w:pPr>
        <w:numPr>
          <w:ilvl w:val="0"/>
          <w:numId w:val="6"/>
        </w:numPr>
        <w:spacing w:line="360" w:lineRule="auto"/>
        <w:ind w:firstLine="482" w:firstLineChars="200"/>
        <w:rPr>
          <w:rFonts w:hint="eastAsia" w:ascii="宋体" w:hAnsi="宋体" w:cs="宋体"/>
          <w:b/>
          <w:bCs/>
          <w:sz w:val="24"/>
        </w:rPr>
      </w:pPr>
      <w:r>
        <w:rPr>
          <w:rFonts w:hint="eastAsia" w:ascii="宋体" w:hAnsi="宋体" w:cs="宋体"/>
          <w:b/>
          <w:bCs/>
          <w:sz w:val="24"/>
        </w:rPr>
        <w:t>技术参数、配置清单及相关资料：</w:t>
      </w:r>
      <w:r>
        <w:rPr>
          <w:rFonts w:hint="eastAsia" w:ascii="宋体" w:hAnsi="宋体" w:cs="宋体"/>
          <w:sz w:val="24"/>
          <w:szCs w:val="28"/>
          <w:u w:val="single"/>
        </w:rPr>
        <w:t>详见投标文件</w:t>
      </w:r>
      <w:r>
        <w:rPr>
          <w:rFonts w:hint="eastAsia" w:ascii="宋体" w:hAnsi="宋体" w:cs="宋体"/>
          <w:sz w:val="24"/>
          <w:szCs w:val="28"/>
        </w:rPr>
        <w:t>。</w:t>
      </w:r>
    </w:p>
    <w:p w14:paraId="3500CE87">
      <w:pPr>
        <w:numPr>
          <w:ilvl w:val="0"/>
          <w:numId w:val="6"/>
        </w:num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合同金额</w:t>
      </w:r>
    </w:p>
    <w:p w14:paraId="7AFFE915">
      <w:pPr>
        <w:spacing w:line="360" w:lineRule="auto"/>
        <w:ind w:firstLine="480" w:firstLineChars="200"/>
        <w:rPr>
          <w:rFonts w:hint="eastAsia" w:ascii="宋体" w:hAnsi="宋体" w:cs="宋体"/>
          <w:sz w:val="24"/>
          <w:lang w:val="zh-CN"/>
        </w:rPr>
      </w:pPr>
      <w:r>
        <w:rPr>
          <w:rFonts w:hint="eastAsia" w:ascii="宋体" w:hAnsi="宋体" w:cs="宋体"/>
          <w:sz w:val="24"/>
          <w:lang w:val="zh-CN"/>
        </w:rPr>
        <w:t>本合同总价为人民币（</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lang w:val="zh-CN"/>
        </w:rPr>
        <w:t>元（¥</w:t>
      </w:r>
      <w:r>
        <w:rPr>
          <w:rFonts w:hint="eastAsia" w:ascii="宋体" w:hAnsi="宋体" w:cs="宋体"/>
          <w:sz w:val="24"/>
        </w:rPr>
        <w:t xml:space="preserve">     </w:t>
      </w:r>
      <w:r>
        <w:rPr>
          <w:rFonts w:hint="eastAsia" w:ascii="宋体" w:hAnsi="宋体" w:cs="宋体"/>
          <w:sz w:val="24"/>
          <w:lang w:val="zh-CN"/>
        </w:rPr>
        <w:t>）。本合同总价包括</w:t>
      </w:r>
      <w:r>
        <w:rPr>
          <w:rFonts w:hint="eastAsia" w:ascii="宋体" w:hAnsi="宋体" w:cs="宋体"/>
          <w:sz w:val="24"/>
        </w:rPr>
        <w:t>乙方提供</w:t>
      </w:r>
      <w:r>
        <w:rPr>
          <w:rFonts w:hint="eastAsia" w:ascii="宋体" w:hAnsi="宋体" w:cs="宋体"/>
          <w:sz w:val="24"/>
          <w:lang w:val="zh-CN"/>
        </w:rPr>
        <w:t>项目全部货物、服务的</w:t>
      </w:r>
      <w:r>
        <w:rPr>
          <w:rFonts w:hint="eastAsia" w:ascii="宋体" w:hAnsi="宋体" w:cs="宋体"/>
          <w:sz w:val="24"/>
        </w:rPr>
        <w:t>一切费用</w:t>
      </w:r>
      <w:r>
        <w:rPr>
          <w:rFonts w:hint="eastAsia" w:ascii="宋体" w:hAnsi="宋体" w:cs="宋体"/>
          <w:sz w:val="24"/>
          <w:lang w:val="zh-CN"/>
        </w:rPr>
        <w:t>（含货款、标准附件、备品备件、专用工具、包装、运输、装卸、保险、税金、货到就位以及安装、调试、培训、保修等一切税金和费用）。乙方负责提供本合同涉及的产品到甲方指定的实施地点。</w:t>
      </w:r>
    </w:p>
    <w:p w14:paraId="469DB4E1">
      <w:pPr>
        <w:adjustRightInd w:val="0"/>
        <w:spacing w:line="360" w:lineRule="auto"/>
        <w:ind w:firstLine="482" w:firstLineChars="200"/>
        <w:rPr>
          <w:rFonts w:hint="eastAsia" w:ascii="宋体" w:hAnsi="宋体" w:cs="宋体"/>
          <w:b/>
          <w:bCs/>
          <w:sz w:val="24"/>
          <w:lang w:val="zh-CN"/>
        </w:rPr>
      </w:pPr>
      <w:r>
        <w:rPr>
          <w:rFonts w:hint="eastAsia" w:ascii="宋体" w:hAnsi="宋体" w:cs="宋体"/>
          <w:b/>
          <w:bCs/>
          <w:sz w:val="24"/>
        </w:rPr>
        <w:t>四、</w:t>
      </w:r>
      <w:r>
        <w:rPr>
          <w:rFonts w:hint="eastAsia" w:ascii="宋体" w:hAnsi="宋体" w:cs="宋体"/>
          <w:b/>
          <w:bCs/>
          <w:sz w:val="24"/>
          <w:lang w:val="zh-CN"/>
        </w:rPr>
        <w:t>付款方式</w:t>
      </w:r>
    </w:p>
    <w:p w14:paraId="2B30E518">
      <w:pPr>
        <w:adjustRightInd w:val="0"/>
        <w:spacing w:line="360" w:lineRule="auto"/>
        <w:ind w:firstLine="480" w:firstLineChars="200"/>
        <w:jc w:val="left"/>
        <w:rPr>
          <w:rFonts w:hint="eastAsia" w:ascii="宋体" w:hAnsi="宋体" w:cs="宋体"/>
          <w:sz w:val="24"/>
        </w:rPr>
      </w:pPr>
      <w:r>
        <w:rPr>
          <w:rFonts w:hint="eastAsia" w:ascii="宋体" w:hAnsi="宋体" w:cs="宋体"/>
          <w:sz w:val="24"/>
        </w:rPr>
        <w:t>本合同签订且在收到乙方根据甲方要求为甲方或甲方相关预算单位开具的等额有效发票后25个工作日内，甲方或甲方相关预算单位向乙方预付合同总金额的40%作为预付款；全部货物交货、经采购人验收合格并经采购人委托的第三方审价机构审计完成,凭《装备验收单》和审计意见支付剩余合同金额。采购人凭中标人提供的等额有效发票进行付款。</w:t>
      </w:r>
    </w:p>
    <w:p w14:paraId="0DD19CE4">
      <w:pPr>
        <w:adjustRightInd w:val="0"/>
        <w:spacing w:line="360" w:lineRule="auto"/>
        <w:ind w:firstLine="482" w:firstLineChars="200"/>
        <w:rPr>
          <w:rFonts w:hint="eastAsia" w:ascii="宋体" w:hAnsi="宋体" w:cs="宋体"/>
          <w:b/>
          <w:bCs/>
          <w:sz w:val="24"/>
        </w:rPr>
      </w:pPr>
      <w:r>
        <w:rPr>
          <w:rFonts w:hint="eastAsia" w:ascii="宋体" w:hAnsi="宋体" w:cs="宋体"/>
          <w:b/>
          <w:bCs/>
          <w:sz w:val="24"/>
        </w:rPr>
        <w:t>五、</w:t>
      </w:r>
      <w:r>
        <w:rPr>
          <w:rFonts w:hint="eastAsia" w:ascii="宋体" w:hAnsi="宋体" w:cs="宋体"/>
          <w:b/>
          <w:sz w:val="24"/>
        </w:rPr>
        <w:t>质量保证及售后服务要求</w:t>
      </w:r>
    </w:p>
    <w:p w14:paraId="3D7CA222">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1.质量要求：所供产品是符合国家技术规范和质量标准的合格产品，且未曾使用，制造标准、安装标准及技术规范要求必须符合我国相关标准和使用方认可的有关国际标准，并符合甲方的采购要求。</w:t>
      </w:r>
    </w:p>
    <w:p w14:paraId="7164BAE1">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2.包装要求：所有产品货物外包装按相关规定执行，不得有破损和霉烂。运输、安装过程中发生的货物损毁、人身伤害的，一切法律责任由乙方承担。</w:t>
      </w:r>
    </w:p>
    <w:p w14:paraId="40624359">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3.费用：乙方负责产品的包装、运输、装卸、安装、调试、验收等工作，产品正式交付甲方使用前进行安装、调试和质保期内设备正常运行所需一切必要耗材及其费用均由乙方负责。</w:t>
      </w:r>
    </w:p>
    <w:p w14:paraId="14BE7FAE">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4.保修要求：产品从甲方验收后合格之日起，保修按厂家规定标准执行。</w:t>
      </w:r>
    </w:p>
    <w:p w14:paraId="6B350196">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5.质保期：本项目整体质保期为</w:t>
      </w:r>
      <w:r>
        <w:rPr>
          <w:rFonts w:hint="eastAsia" w:ascii="宋体" w:hAnsi="宋体" w:cs="宋体"/>
          <w:bCs/>
          <w:sz w:val="24"/>
          <w:u w:val="single"/>
        </w:rPr>
        <w:t xml:space="preserve">           </w:t>
      </w:r>
      <w:r>
        <w:rPr>
          <w:rFonts w:hint="eastAsia" w:ascii="宋体" w:hAnsi="宋体" w:cs="宋体"/>
          <w:bCs/>
          <w:sz w:val="24"/>
        </w:rPr>
        <w:t>，时间自货物测试完毕及甲方验收合格之日起。（若参数中质保期大于整体质保期要求的，以参数中明确的为准）在质保期内如发现质量问题，实行包修、包换、包退，直至产品符合质量要求。投标人应保证货物为全新、未使用过的原装正品，保证所提供的货物的外观和内在质量都无任何问题。如质量出现问题，乙方负责“三包”，费用由乙方负责。</w:t>
      </w:r>
    </w:p>
    <w:p w14:paraId="6B8ACD5A">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6.乙方在产品质保期内，售后服务商应每半年不少于1次的主动回访，以便及时了解甲方的意见，迅速改变服务的不足之处。每年不少于1次实地巡检，及时掌握货物使用情况，以及货物的故障、缺陷情况，及时给予维修保养，并建立预警系统，保证售后服务及时性。</w:t>
      </w:r>
    </w:p>
    <w:p w14:paraId="46F4EB42">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7.维修响应：乙方保证所供产品在质保期内因设备本身缺陷造成各种故障应由乙方免费提供技术服务和维修，若出现产品质量问题应能够在</w:t>
      </w:r>
      <w:r>
        <w:rPr>
          <w:rFonts w:hint="eastAsia" w:ascii="宋体" w:hAnsi="宋体" w:cs="宋体"/>
          <w:bCs/>
          <w:sz w:val="24"/>
          <w:u w:val="single"/>
        </w:rPr>
        <w:t xml:space="preserve">     </w:t>
      </w:r>
      <w:r>
        <w:rPr>
          <w:rFonts w:hint="eastAsia" w:ascii="宋体" w:hAnsi="宋体" w:cs="宋体"/>
          <w:bCs/>
          <w:sz w:val="24"/>
        </w:rPr>
        <w:t>小时内派维修人员到达现场完成维修，对于维修期间超过10天的产品应提供备用产品供甲方使用。若乙方未能按时响应并完成维修的，甲方有权自行委托第三方维修或更换，甲方由此产生的费用由乙方全额承担，甲方并有权直接在未付乙方的款项中予以扣除。质保期满后，应提供售后维修支持。</w:t>
      </w:r>
    </w:p>
    <w:p w14:paraId="3CF21CAB">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8.乙方对报修、维修响应的承诺：</w:t>
      </w:r>
      <w:r>
        <w:rPr>
          <w:rFonts w:hint="eastAsia" w:ascii="宋体" w:hAnsi="宋体" w:cs="宋体"/>
          <w:bCs/>
          <w:sz w:val="24"/>
          <w:u w:val="single"/>
        </w:rPr>
        <w:t xml:space="preserve">                         </w:t>
      </w:r>
      <w:r>
        <w:rPr>
          <w:rFonts w:hint="eastAsia" w:ascii="宋体" w:hAnsi="宋体" w:cs="宋体"/>
          <w:bCs/>
          <w:sz w:val="24"/>
        </w:rPr>
        <w:t>，保修、维修响应和项目组成员未按投标承诺履约的，每次按5000元或合同总价的2%向甲方支付违约金，两者金额相冲突的，以金额高的为准。</w:t>
      </w:r>
    </w:p>
    <w:p w14:paraId="2F428FDC">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9.所提供的器材装备（包括核心部件）生产日期不得早于合同签订日期6个月以上。</w:t>
      </w:r>
    </w:p>
    <w:p w14:paraId="2795A631">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10.在质保期内，乙方负责为设备提供免费维修、保养。（此处所称维修保养，仅指供应商所供货物正常使用的保养或因本身质量缺陷造成维修，如因车辆交通事故或不可抗力造成的维修不在本条所列）</w:t>
      </w:r>
    </w:p>
    <w:p w14:paraId="33157347">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11.质保期外定期进行免费维护保养（</w:t>
      </w:r>
      <w:r>
        <w:rPr>
          <w:rFonts w:hint="eastAsia" w:ascii="宋体" w:hAnsi="宋体" w:cs="宋体"/>
          <w:kern w:val="0"/>
          <w:sz w:val="24"/>
        </w:rPr>
        <w:t>质保期外定期免费维保频率按投标文件响应内容承诺执行</w:t>
      </w:r>
      <w:r>
        <w:rPr>
          <w:rFonts w:hint="eastAsia" w:ascii="宋体" w:hAnsi="宋体" w:cs="宋体"/>
          <w:bCs/>
          <w:sz w:val="24"/>
        </w:rPr>
        <w:t>），服务商应提供制造商的服务技术规范，甲方可获得有关维修等级、所需时间、工时计算项目、配件价格的信息。如设备损坏需要更换配件，只收取配件成本费用，免工程师维修费和差旅等人工费。</w:t>
      </w:r>
    </w:p>
    <w:p w14:paraId="58F43D96">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12.乙方应提供24小时的电话服务，支持工程师提供专业技术服务。公开售后服务商的联系方式、公司名称、公司地址、邮政编码、公司主页、电子邮件、联系电话及传真，不断完善服务管理和拓展新的服务模式，接受甲方的监督和批评。</w:t>
      </w:r>
    </w:p>
    <w:p w14:paraId="2CEB98AE">
      <w:pPr>
        <w:pStyle w:val="15"/>
        <w:spacing w:after="0" w:line="360" w:lineRule="auto"/>
        <w:ind w:left="0" w:leftChars="0" w:firstLine="480" w:firstLineChars="200"/>
        <w:rPr>
          <w:rFonts w:hint="eastAsia" w:ascii="宋体" w:hAnsi="宋体" w:cs="宋体"/>
          <w:bCs/>
          <w:sz w:val="24"/>
        </w:rPr>
      </w:pPr>
      <w:r>
        <w:rPr>
          <w:rFonts w:hint="eastAsia" w:ascii="宋体" w:hAnsi="宋体" w:cs="宋体"/>
          <w:bCs/>
          <w:sz w:val="24"/>
        </w:rPr>
        <w:t>13.售后服务商应认真、完整、真实地填写保养、保修、维修记录，并经甲方盖章确认。甲方有权查阅保养、保修、维修记录。</w:t>
      </w:r>
    </w:p>
    <w:p w14:paraId="654D2858">
      <w:pPr>
        <w:adjustRightInd w:val="0"/>
        <w:spacing w:line="360" w:lineRule="auto"/>
        <w:ind w:firstLine="482" w:firstLineChars="200"/>
        <w:rPr>
          <w:rFonts w:hint="eastAsia" w:ascii="宋体" w:hAnsi="宋体" w:cs="宋体"/>
          <w:b/>
          <w:bCs/>
          <w:sz w:val="24"/>
        </w:rPr>
      </w:pPr>
      <w:r>
        <w:rPr>
          <w:rFonts w:hint="eastAsia" w:ascii="宋体" w:hAnsi="宋体" w:cs="宋体"/>
          <w:b/>
          <w:bCs/>
          <w:sz w:val="24"/>
        </w:rPr>
        <w:t>六、供货及验收要求</w:t>
      </w:r>
    </w:p>
    <w:p w14:paraId="5C11AFB4">
      <w:pPr>
        <w:adjustRightInd w:val="0"/>
        <w:spacing w:line="360" w:lineRule="auto"/>
        <w:ind w:firstLine="480" w:firstLineChars="200"/>
        <w:rPr>
          <w:rFonts w:hint="eastAsia" w:ascii="宋体" w:hAnsi="宋体" w:cs="宋体"/>
          <w:bCs/>
          <w:sz w:val="24"/>
        </w:rPr>
      </w:pPr>
      <w:r>
        <w:rPr>
          <w:rFonts w:hint="eastAsia" w:ascii="宋体" w:hAnsi="宋体" w:cs="宋体"/>
          <w:bCs/>
          <w:sz w:val="24"/>
        </w:rPr>
        <w:t xml:space="preserve">1.供货时间： </w:t>
      </w:r>
    </w:p>
    <w:p w14:paraId="2D8E7046">
      <w:pPr>
        <w:adjustRightInd w:val="0"/>
        <w:spacing w:line="360" w:lineRule="auto"/>
        <w:ind w:firstLine="480" w:firstLineChars="200"/>
        <w:rPr>
          <w:rFonts w:hint="eastAsia" w:ascii="宋体" w:hAnsi="宋体" w:cs="宋体"/>
          <w:sz w:val="24"/>
        </w:rPr>
      </w:pPr>
      <w:r>
        <w:rPr>
          <w:rFonts w:hint="eastAsia" w:ascii="宋体" w:hAnsi="宋体" w:cs="宋体"/>
          <w:sz w:val="24"/>
        </w:rPr>
        <w:t xml:space="preserve">2.供货地点： </w:t>
      </w:r>
    </w:p>
    <w:p w14:paraId="4C75E5C6">
      <w:pPr>
        <w:adjustRightInd w:val="0"/>
        <w:spacing w:line="360" w:lineRule="auto"/>
        <w:ind w:firstLine="480" w:firstLineChars="200"/>
        <w:rPr>
          <w:rFonts w:hint="eastAsia" w:ascii="宋体" w:hAnsi="宋体" w:cs="宋体"/>
          <w:b/>
          <w:bCs/>
          <w:sz w:val="24"/>
        </w:rPr>
      </w:pPr>
      <w:r>
        <w:rPr>
          <w:rFonts w:hint="eastAsia" w:ascii="宋体" w:hAnsi="宋体" w:cs="宋体"/>
          <w:sz w:val="24"/>
        </w:rPr>
        <w:t>3.本项目将严格按照政府采购相关法律法规、行业管理规定的要求进行验收。对产品技术性能指标验收不合格的（包含所供货物与合同约定不一致的），采购人应督促乙方限期整改，整改期限原则上不超过30天，整改完成后进行复验，复验不合格的，甲方有权终止合同并要求投标人赔偿损失。</w:t>
      </w:r>
    </w:p>
    <w:p w14:paraId="61FCCD8C">
      <w:pPr>
        <w:spacing w:line="360" w:lineRule="auto"/>
        <w:ind w:firstLine="482" w:firstLineChars="200"/>
        <w:rPr>
          <w:rFonts w:hint="eastAsia" w:ascii="宋体" w:hAnsi="宋体" w:cs="宋体"/>
          <w:sz w:val="24"/>
          <w:lang w:val="zh-CN"/>
        </w:rPr>
      </w:pPr>
      <w:r>
        <w:rPr>
          <w:rFonts w:hint="eastAsia" w:ascii="宋体" w:hAnsi="宋体" w:cs="宋体"/>
          <w:b/>
          <w:bCs/>
          <w:sz w:val="24"/>
          <w:lang w:val="zh-CN"/>
        </w:rPr>
        <w:t>七、知识产权</w:t>
      </w:r>
      <w:r>
        <w:rPr>
          <w:rFonts w:hint="eastAsia" w:ascii="宋体" w:hAnsi="宋体" w:cs="宋体"/>
          <w:sz w:val="24"/>
          <w:lang w:val="zh-CN"/>
        </w:rPr>
        <w:t xml:space="preserve">  </w:t>
      </w:r>
    </w:p>
    <w:p w14:paraId="3A664DED">
      <w:pPr>
        <w:spacing w:line="360" w:lineRule="auto"/>
        <w:ind w:firstLine="480" w:firstLineChars="200"/>
        <w:rPr>
          <w:rFonts w:hint="eastAsia" w:ascii="宋体" w:hAnsi="宋体" w:cs="宋体"/>
          <w:sz w:val="24"/>
          <w:lang w:val="zh-CN"/>
        </w:rPr>
      </w:pPr>
      <w:r>
        <w:rPr>
          <w:rFonts w:hint="eastAsia" w:ascii="宋体" w:hAnsi="宋体" w:cs="宋体"/>
          <w:sz w:val="24"/>
          <w:lang w:val="zh-CN"/>
        </w:rPr>
        <w:t>乙方应保证，所供货物无任何抵押、查封等权属瑕疵，且甲方在中华人民共和国使用该货物或货物的任何一部分时，免受第三方提出的侵犯其知识产权的索赔或诉讼。</w:t>
      </w:r>
    </w:p>
    <w:p w14:paraId="01C83D51">
      <w:pPr>
        <w:spacing w:line="360" w:lineRule="auto"/>
        <w:ind w:firstLine="480" w:firstLineChars="200"/>
        <w:rPr>
          <w:rFonts w:hint="eastAsia" w:ascii="宋体" w:hAnsi="宋体" w:cs="宋体"/>
          <w:sz w:val="24"/>
          <w:lang w:val="zh-CN"/>
        </w:rPr>
      </w:pPr>
      <w:r>
        <w:rPr>
          <w:rFonts w:hint="eastAsia" w:ascii="宋体" w:hAnsi="宋体" w:cs="宋体"/>
          <w:sz w:val="24"/>
          <w:lang w:val="zh-CN"/>
        </w:rPr>
        <w:t>如果甲方在使用该货物或货物的任何一部分时被任何第三方诉称侵犯了该第三方知识产权或任何其他权利，甲方将立即通知乙方。乙方应负责处理</w:t>
      </w:r>
      <w:r>
        <w:rPr>
          <w:rFonts w:hint="eastAsia" w:ascii="宋体" w:hAnsi="宋体" w:cs="宋体"/>
          <w:sz w:val="24"/>
        </w:rPr>
        <w:t>相关纠纷</w:t>
      </w:r>
      <w:r>
        <w:rPr>
          <w:rFonts w:hint="eastAsia" w:ascii="宋体" w:hAnsi="宋体" w:cs="宋体"/>
          <w:sz w:val="24"/>
          <w:lang w:val="zh-CN"/>
        </w:rPr>
        <w:t>并应以乙方的名义自负费用向起诉方提出抗辩</w:t>
      </w:r>
      <w:r>
        <w:rPr>
          <w:rFonts w:hint="eastAsia" w:ascii="宋体" w:hAnsi="宋体" w:cs="宋体"/>
          <w:sz w:val="24"/>
        </w:rPr>
        <w:t>并承担最终的赔偿责任</w:t>
      </w:r>
      <w:r>
        <w:rPr>
          <w:rFonts w:hint="eastAsia" w:ascii="宋体" w:hAnsi="宋体" w:cs="宋体"/>
          <w:sz w:val="24"/>
          <w:lang w:val="zh-CN"/>
        </w:rPr>
        <w:t>。由此可能产生的一切法律责任和经济责任均由乙方承担；</w:t>
      </w:r>
      <w:r>
        <w:rPr>
          <w:rFonts w:hint="eastAsia" w:ascii="宋体" w:hAnsi="宋体" w:cs="宋体"/>
          <w:sz w:val="24"/>
        </w:rPr>
        <w:t>如造成甲方向第三方承担责任的，由乙方赔偿甲方全部损失</w:t>
      </w:r>
      <w:r>
        <w:rPr>
          <w:rFonts w:hint="eastAsia" w:ascii="宋体" w:hAnsi="宋体" w:cs="宋体"/>
          <w:sz w:val="24"/>
          <w:lang w:val="zh-CN"/>
        </w:rPr>
        <w:t>。甲方将尽可能地对乙方抗辩给予协助，由此发生的费用由乙方承担。</w:t>
      </w:r>
    </w:p>
    <w:p w14:paraId="79E4F316">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八、违约责任</w:t>
      </w:r>
    </w:p>
    <w:p w14:paraId="5F4E88B5">
      <w:pPr>
        <w:spacing w:line="360" w:lineRule="auto"/>
        <w:ind w:firstLine="480" w:firstLineChars="200"/>
        <w:rPr>
          <w:rFonts w:hint="eastAsia" w:ascii="宋体" w:hAnsi="宋体" w:cs="宋体"/>
          <w:sz w:val="24"/>
          <w:lang w:val="zh-CN"/>
        </w:rPr>
      </w:pPr>
      <w:r>
        <w:rPr>
          <w:rFonts w:hint="eastAsia" w:ascii="宋体" w:hAnsi="宋体" w:cs="宋体"/>
          <w:sz w:val="24"/>
          <w:lang w:val="zh-CN"/>
        </w:rPr>
        <w:t>1.乙方如不能按照合同规定的时限内供货，需承担违约责任并按</w:t>
      </w:r>
      <w:r>
        <w:rPr>
          <w:rFonts w:hint="eastAsia" w:ascii="宋体" w:hAnsi="宋体" w:cs="宋体"/>
          <w:sz w:val="24"/>
        </w:rPr>
        <w:t>以下约定向甲方支付</w:t>
      </w:r>
      <w:r>
        <w:rPr>
          <w:rFonts w:hint="eastAsia" w:ascii="宋体" w:hAnsi="宋体" w:cs="宋体"/>
          <w:sz w:val="24"/>
          <w:lang w:val="zh-CN"/>
        </w:rPr>
        <w:t>违约金：</w:t>
      </w:r>
      <w:r>
        <w:rPr>
          <w:rFonts w:hint="eastAsia" w:ascii="宋体" w:hAnsi="宋体" w:cs="宋体"/>
          <w:sz w:val="24"/>
        </w:rPr>
        <w:t>逾期30</w:t>
      </w:r>
      <w:r>
        <w:rPr>
          <w:rFonts w:hint="eastAsia" w:ascii="宋体" w:hAnsi="宋体" w:cs="宋体"/>
          <w:sz w:val="24"/>
          <w:lang w:val="zh-CN"/>
        </w:rPr>
        <w:t>天以内，每天支付合同总金额千分之一的违约金，</w:t>
      </w:r>
      <w:r>
        <w:rPr>
          <w:rFonts w:hint="eastAsia" w:ascii="宋体" w:hAnsi="宋体" w:cs="宋体"/>
          <w:sz w:val="24"/>
        </w:rPr>
        <w:t>该</w:t>
      </w:r>
      <w:r>
        <w:rPr>
          <w:rFonts w:hint="eastAsia" w:ascii="宋体" w:hAnsi="宋体" w:cs="宋体"/>
          <w:sz w:val="24"/>
          <w:lang w:val="zh-CN"/>
        </w:rPr>
        <w:t>违约金</w:t>
      </w:r>
      <w:r>
        <w:rPr>
          <w:rFonts w:hint="eastAsia" w:ascii="宋体" w:hAnsi="宋体" w:cs="宋体"/>
          <w:sz w:val="24"/>
        </w:rPr>
        <w:t>最高</w:t>
      </w:r>
      <w:r>
        <w:rPr>
          <w:rFonts w:hint="eastAsia" w:ascii="宋体" w:hAnsi="宋体" w:cs="宋体"/>
          <w:sz w:val="24"/>
          <w:lang w:val="zh-CN"/>
        </w:rPr>
        <w:t>为合同总金额的百分之五；逾期超过一个月的，甲方有权</w:t>
      </w:r>
      <w:r>
        <w:rPr>
          <w:rFonts w:hint="eastAsia" w:ascii="宋体" w:hAnsi="宋体" w:cs="宋体"/>
          <w:sz w:val="24"/>
        </w:rPr>
        <w:t>立即单方面</w:t>
      </w:r>
      <w:r>
        <w:rPr>
          <w:rFonts w:hint="eastAsia" w:ascii="宋体" w:hAnsi="宋体" w:cs="宋体"/>
          <w:sz w:val="24"/>
          <w:lang w:val="zh-CN"/>
        </w:rPr>
        <w:t>解除本合同</w:t>
      </w:r>
      <w:r>
        <w:rPr>
          <w:rFonts w:hint="eastAsia" w:ascii="宋体" w:hAnsi="宋体" w:cs="宋体"/>
          <w:sz w:val="24"/>
        </w:rPr>
        <w:t>,甲方未支付的款项无需支付，乙方应退还已收取甲方的全部款项，并由乙方承担甲方的一切损失</w:t>
      </w:r>
      <w:r>
        <w:rPr>
          <w:rFonts w:hint="eastAsia" w:ascii="宋体" w:hAnsi="宋体" w:cs="宋体"/>
          <w:sz w:val="24"/>
          <w:lang w:val="zh-CN"/>
        </w:rPr>
        <w:t>。</w:t>
      </w:r>
    </w:p>
    <w:p w14:paraId="62DF5FF1">
      <w:pPr>
        <w:spacing w:line="360" w:lineRule="auto"/>
        <w:ind w:firstLine="480" w:firstLineChars="200"/>
        <w:rPr>
          <w:rFonts w:hint="eastAsia" w:ascii="宋体" w:hAnsi="宋体" w:cs="宋体"/>
          <w:sz w:val="24"/>
          <w:lang w:val="zh-CN"/>
        </w:rPr>
      </w:pPr>
      <w:r>
        <w:rPr>
          <w:rFonts w:hint="eastAsia" w:ascii="宋体" w:hAnsi="宋体" w:cs="宋体"/>
          <w:sz w:val="24"/>
          <w:lang w:val="zh-CN"/>
        </w:rPr>
        <w:t>2.在履行合同过程中，如果乙方</w:t>
      </w:r>
      <w:r>
        <w:rPr>
          <w:rFonts w:hint="eastAsia" w:ascii="宋体" w:hAnsi="宋体" w:cs="宋体"/>
          <w:sz w:val="24"/>
        </w:rPr>
        <w:t>非因自身原因</w:t>
      </w:r>
      <w:r>
        <w:rPr>
          <w:rFonts w:hint="eastAsia" w:ascii="宋体" w:hAnsi="宋体" w:cs="宋体"/>
          <w:sz w:val="24"/>
          <w:lang w:val="zh-CN"/>
        </w:rPr>
        <w:t>遇到妨碍按时交货和提供服务的情况时，应及时以书面形式将拖延的事实、可能拖延的时间和原因通知甲方。甲方在收到乙方通知后，</w:t>
      </w:r>
      <w:r>
        <w:rPr>
          <w:rFonts w:hint="eastAsia" w:ascii="宋体" w:hAnsi="宋体" w:cs="宋体"/>
          <w:sz w:val="24"/>
        </w:rPr>
        <w:t>有权</w:t>
      </w:r>
      <w:r>
        <w:rPr>
          <w:rFonts w:hint="eastAsia" w:ascii="宋体" w:hAnsi="宋体" w:cs="宋体"/>
          <w:sz w:val="24"/>
          <w:lang w:val="zh-CN"/>
        </w:rPr>
        <w:t>确定是否酌情延长交货时间和提供服务。</w:t>
      </w:r>
      <w:r>
        <w:rPr>
          <w:rFonts w:hint="eastAsia" w:ascii="宋体" w:hAnsi="宋体" w:cs="宋体"/>
          <w:sz w:val="24"/>
        </w:rPr>
        <w:t>乙方在</w:t>
      </w:r>
      <w:r>
        <w:rPr>
          <w:rFonts w:hint="eastAsia" w:ascii="宋体" w:hAnsi="宋体" w:cs="宋体"/>
          <w:sz w:val="24"/>
          <w:lang w:val="zh-CN"/>
        </w:rPr>
        <w:t>经甲方</w:t>
      </w:r>
      <w:r>
        <w:rPr>
          <w:rFonts w:hint="eastAsia" w:ascii="宋体" w:hAnsi="宋体" w:cs="宋体"/>
          <w:sz w:val="24"/>
        </w:rPr>
        <w:t>书面</w:t>
      </w:r>
      <w:r>
        <w:rPr>
          <w:rFonts w:hint="eastAsia" w:ascii="宋体" w:hAnsi="宋体" w:cs="宋体"/>
          <w:sz w:val="24"/>
          <w:lang w:val="zh-CN"/>
        </w:rPr>
        <w:t>确认的延</w:t>
      </w:r>
      <w:r>
        <w:rPr>
          <w:rFonts w:hint="eastAsia" w:ascii="宋体" w:hAnsi="宋体" w:cs="宋体"/>
          <w:sz w:val="24"/>
        </w:rPr>
        <w:t>长</w:t>
      </w:r>
      <w:r>
        <w:rPr>
          <w:rFonts w:hint="eastAsia" w:ascii="宋体" w:hAnsi="宋体" w:cs="宋体"/>
          <w:sz w:val="24"/>
          <w:lang w:val="zh-CN"/>
        </w:rPr>
        <w:t>期</w:t>
      </w:r>
      <w:r>
        <w:rPr>
          <w:rFonts w:hint="eastAsia" w:ascii="宋体" w:hAnsi="宋体" w:cs="宋体"/>
          <w:sz w:val="24"/>
        </w:rPr>
        <w:t>内</w:t>
      </w:r>
      <w:r>
        <w:rPr>
          <w:rFonts w:hint="eastAsia" w:ascii="宋体" w:hAnsi="宋体" w:cs="宋体"/>
          <w:sz w:val="24"/>
          <w:lang w:val="zh-CN"/>
        </w:rPr>
        <w:t>交货和提供服务的，可不作为乙方的履约延误，可免交违约金。</w:t>
      </w:r>
    </w:p>
    <w:p w14:paraId="2E7098BD">
      <w:pPr>
        <w:tabs>
          <w:tab w:val="left" w:pos="1200"/>
        </w:tabs>
        <w:spacing w:line="360" w:lineRule="auto"/>
        <w:ind w:firstLine="480" w:firstLineChars="200"/>
        <w:rPr>
          <w:rFonts w:hint="eastAsia" w:ascii="宋体" w:hAnsi="宋体" w:cs="宋体"/>
          <w:sz w:val="24"/>
          <w:lang w:val="zh-CN"/>
        </w:rPr>
      </w:pPr>
      <w:r>
        <w:rPr>
          <w:rFonts w:hint="eastAsia" w:ascii="宋体" w:hAnsi="宋体" w:cs="宋体"/>
          <w:sz w:val="24"/>
          <w:lang w:val="zh-CN"/>
        </w:rPr>
        <w:t>3.乙方保修、维修响应和项目组成员未按投标承诺履约的，</w:t>
      </w:r>
      <w:r>
        <w:rPr>
          <w:rFonts w:hint="eastAsia" w:ascii="宋体" w:hAnsi="宋体" w:cs="宋体"/>
          <w:sz w:val="24"/>
        </w:rPr>
        <w:t>每次按5000元或合同总价的2%向甲方支付违约金，两者金额相冲突的，以金额高的为准。</w:t>
      </w:r>
    </w:p>
    <w:p w14:paraId="30A04BA0">
      <w:pPr>
        <w:tabs>
          <w:tab w:val="left" w:pos="1200"/>
        </w:tabs>
        <w:spacing w:line="360" w:lineRule="auto"/>
        <w:ind w:firstLine="480" w:firstLineChars="200"/>
        <w:rPr>
          <w:rFonts w:hint="eastAsia" w:ascii="宋体" w:hAnsi="宋体" w:cs="宋体"/>
          <w:sz w:val="24"/>
          <w:lang w:val="zh-CN"/>
        </w:rPr>
      </w:pPr>
      <w:r>
        <w:rPr>
          <w:rFonts w:hint="eastAsia" w:ascii="宋体" w:hAnsi="宋体" w:cs="宋体"/>
          <w:sz w:val="24"/>
          <w:lang w:val="zh-CN"/>
        </w:rPr>
        <w:t>培训或售后服务乙方</w:t>
      </w:r>
      <w:r>
        <w:rPr>
          <w:rFonts w:hint="eastAsia" w:ascii="宋体" w:hAnsi="宋体" w:cs="宋体"/>
          <w:sz w:val="24"/>
        </w:rPr>
        <w:t>须</w:t>
      </w:r>
      <w:r>
        <w:rPr>
          <w:rFonts w:hint="eastAsia" w:ascii="宋体" w:hAnsi="宋体" w:cs="宋体"/>
          <w:sz w:val="24"/>
          <w:lang w:val="zh-CN"/>
        </w:rPr>
        <w:t>按投标承诺执行，</w:t>
      </w:r>
      <w:r>
        <w:rPr>
          <w:rFonts w:hint="eastAsia" w:ascii="宋体" w:hAnsi="宋体" w:cs="宋体"/>
          <w:sz w:val="24"/>
        </w:rPr>
        <w:t>乙方</w:t>
      </w:r>
      <w:r>
        <w:rPr>
          <w:rFonts w:hint="eastAsia" w:ascii="宋体" w:hAnsi="宋体" w:cs="宋体"/>
          <w:sz w:val="24"/>
          <w:lang w:val="zh-CN"/>
        </w:rPr>
        <w:t>负责提供</w:t>
      </w:r>
      <w:r>
        <w:rPr>
          <w:rFonts w:hint="eastAsia" w:ascii="宋体" w:hAnsi="宋体" w:cs="宋体"/>
          <w:sz w:val="24"/>
        </w:rPr>
        <w:t>甲方</w:t>
      </w:r>
      <w:r>
        <w:rPr>
          <w:rFonts w:hint="eastAsia" w:ascii="宋体" w:hAnsi="宋体" w:cs="宋体"/>
          <w:sz w:val="24"/>
          <w:lang w:val="zh-CN"/>
        </w:rPr>
        <w:t>操作人员的使用培训，提供技术咨询，并在供货后一个月内组织人员对产品的使用、维护等方面进行现场指导，所产生的一切费用由</w:t>
      </w:r>
      <w:r>
        <w:rPr>
          <w:rFonts w:hint="eastAsia" w:ascii="宋体" w:hAnsi="宋体" w:cs="宋体"/>
          <w:sz w:val="24"/>
        </w:rPr>
        <w:t>乙方</w:t>
      </w:r>
      <w:r>
        <w:rPr>
          <w:rFonts w:hint="eastAsia" w:ascii="宋体" w:hAnsi="宋体" w:cs="宋体"/>
          <w:sz w:val="24"/>
          <w:lang w:val="zh-CN"/>
        </w:rPr>
        <w:t>支付。</w:t>
      </w:r>
      <w:r>
        <w:rPr>
          <w:rFonts w:hint="eastAsia" w:ascii="宋体" w:hAnsi="宋体" w:cs="宋体"/>
          <w:sz w:val="24"/>
        </w:rPr>
        <w:t>若乙方违约，每次按5000元或合同总价的2%向甲方支付违约金，两者金额相冲突的，以金额高的为准。</w:t>
      </w:r>
    </w:p>
    <w:p w14:paraId="1081FF1C">
      <w:pPr>
        <w:tabs>
          <w:tab w:val="left" w:pos="1200"/>
        </w:tabs>
        <w:spacing w:line="360" w:lineRule="auto"/>
        <w:ind w:firstLine="480" w:firstLineChars="200"/>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乙方不得部分转让或全部转让其应履行的合同义务。否则，乙方应向甲方支付合同总金额30%的违约金，甲方并有权</w:t>
      </w:r>
      <w:r>
        <w:rPr>
          <w:rFonts w:hint="eastAsia" w:ascii="宋体" w:hAnsi="宋体" w:cs="宋体"/>
          <w:sz w:val="24"/>
        </w:rPr>
        <w:t>立即单方</w:t>
      </w:r>
      <w:r>
        <w:rPr>
          <w:rFonts w:hint="eastAsia" w:ascii="宋体" w:hAnsi="宋体" w:cs="宋体"/>
          <w:sz w:val="24"/>
          <w:lang w:val="zh-CN"/>
        </w:rPr>
        <w:t>解除与乙方的合同。</w:t>
      </w:r>
    </w:p>
    <w:p w14:paraId="6624A1AC">
      <w:pPr>
        <w:tabs>
          <w:tab w:val="left" w:pos="1200"/>
        </w:tabs>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zh-CN"/>
        </w:rPr>
        <w:t>.验收：</w:t>
      </w:r>
      <w:bookmarkStart w:id="40" w:name="_Hlk188349045"/>
      <w:r>
        <w:rPr>
          <w:rFonts w:hint="eastAsia" w:ascii="宋体" w:hAnsi="宋体" w:cs="宋体"/>
          <w:sz w:val="24"/>
        </w:rPr>
        <w:t>由甲方组织验收，对产品技术性能指标验收不合格的（包含所供货物与合同约定不一致的），甲方应督促乙方限期整改，整改期限原则上不超过30天，整改完成后进行复验，复验不合格的，甲方有权终止合同并要求乙方赔偿损失。</w:t>
      </w:r>
      <w:bookmarkEnd w:id="40"/>
      <w:r>
        <w:rPr>
          <w:rFonts w:hint="eastAsia" w:ascii="宋体" w:hAnsi="宋体" w:cs="宋体"/>
          <w:sz w:val="24"/>
          <w:szCs w:val="28"/>
          <w:lang w:val="zh-CN"/>
        </w:rPr>
        <w:t>整改期限内不纳入违约计算范畴，在整改逾期30天以内，每天支付合同总金额千分之一的违约金，该违约金最高为合同总金额的百分之五，逾期超过一个月的，甲方有权立即单方面解除本合同，甲方未支付的款项无需支付，乙方应退还已收取</w:t>
      </w:r>
      <w:r>
        <w:rPr>
          <w:rFonts w:hint="eastAsia" w:ascii="宋体" w:hAnsi="宋体" w:cs="宋体"/>
          <w:sz w:val="24"/>
          <w:szCs w:val="28"/>
        </w:rPr>
        <w:t>甲</w:t>
      </w:r>
      <w:r>
        <w:rPr>
          <w:rFonts w:hint="eastAsia" w:ascii="宋体" w:hAnsi="宋体" w:cs="宋体"/>
          <w:sz w:val="24"/>
          <w:szCs w:val="28"/>
          <w:lang w:val="zh-CN"/>
        </w:rPr>
        <w:t>方的全部款项，并由乙方承担甲方的一切损失。</w:t>
      </w:r>
    </w:p>
    <w:p w14:paraId="265B2EC9">
      <w:pPr>
        <w:tabs>
          <w:tab w:val="left" w:pos="1200"/>
        </w:tabs>
        <w:spacing w:line="360" w:lineRule="auto"/>
        <w:ind w:firstLine="480" w:firstLineChars="200"/>
        <w:rPr>
          <w:rFonts w:hint="eastAsia" w:ascii="宋体" w:hAnsi="宋体" w:cs="宋体"/>
          <w:sz w:val="24"/>
          <w:lang w:val="zh-CN"/>
        </w:rPr>
      </w:pPr>
      <w:r>
        <w:rPr>
          <w:rFonts w:hint="eastAsia" w:ascii="宋体" w:hAnsi="宋体" w:cs="宋体"/>
          <w:sz w:val="24"/>
        </w:rPr>
        <w:t>6.</w:t>
      </w:r>
      <w:r>
        <w:rPr>
          <w:rFonts w:hint="eastAsia" w:ascii="宋体" w:hAnsi="宋体" w:cs="宋体"/>
          <w:sz w:val="24"/>
          <w:lang w:val="zh-CN"/>
        </w:rPr>
        <w:t>在项目实施过程中，严格遵守国家相关保密与安全法律法规，遵循甲方各项安全保密制度和规章；</w:t>
      </w:r>
      <w:r>
        <w:rPr>
          <w:rFonts w:hint="eastAsia" w:ascii="宋体" w:hAnsi="宋体" w:cs="宋体"/>
          <w:sz w:val="24"/>
        </w:rPr>
        <w:t>乙方</w:t>
      </w:r>
      <w:r>
        <w:rPr>
          <w:rFonts w:hint="eastAsia" w:ascii="宋体" w:hAnsi="宋体" w:cs="宋体"/>
          <w:sz w:val="24"/>
          <w:lang w:val="zh-CN"/>
        </w:rPr>
        <w:t>对工作中涉及到的</w:t>
      </w:r>
      <w:r>
        <w:rPr>
          <w:rFonts w:hint="eastAsia" w:ascii="宋体" w:hAnsi="宋体" w:cs="宋体"/>
          <w:sz w:val="24"/>
        </w:rPr>
        <w:t>甲方</w:t>
      </w:r>
      <w:r>
        <w:rPr>
          <w:rFonts w:hint="eastAsia" w:ascii="宋体" w:hAnsi="宋体" w:cs="宋体"/>
          <w:sz w:val="24"/>
          <w:lang w:val="zh-CN"/>
        </w:rPr>
        <w:t>的数据、文件等任何资料进行保密。因</w:t>
      </w:r>
      <w:r>
        <w:rPr>
          <w:rFonts w:hint="eastAsia" w:ascii="宋体" w:hAnsi="宋体" w:cs="宋体"/>
          <w:sz w:val="24"/>
        </w:rPr>
        <w:t>乙方</w:t>
      </w:r>
      <w:r>
        <w:rPr>
          <w:rFonts w:hint="eastAsia" w:ascii="宋体" w:hAnsi="宋体" w:cs="宋体"/>
          <w:sz w:val="24"/>
          <w:lang w:val="zh-CN"/>
        </w:rPr>
        <w:t>行为造成泄密等问题，</w:t>
      </w:r>
      <w:r>
        <w:rPr>
          <w:rFonts w:hint="eastAsia" w:ascii="宋体" w:hAnsi="宋体" w:cs="宋体"/>
          <w:sz w:val="24"/>
        </w:rPr>
        <w:t>乙方应</w:t>
      </w:r>
      <w:r>
        <w:rPr>
          <w:rFonts w:hint="eastAsia" w:ascii="宋体" w:hAnsi="宋体" w:cs="宋体"/>
          <w:sz w:val="24"/>
          <w:lang w:val="zh-CN"/>
        </w:rPr>
        <w:t>承担相应的</w:t>
      </w:r>
      <w:r>
        <w:rPr>
          <w:rFonts w:hint="eastAsia" w:ascii="宋体" w:hAnsi="宋体" w:cs="宋体"/>
          <w:sz w:val="24"/>
        </w:rPr>
        <w:t>经济和法律</w:t>
      </w:r>
      <w:r>
        <w:rPr>
          <w:rFonts w:hint="eastAsia" w:ascii="宋体" w:hAnsi="宋体" w:cs="宋体"/>
          <w:sz w:val="24"/>
          <w:lang w:val="zh-CN"/>
        </w:rPr>
        <w:t>责任。</w:t>
      </w:r>
    </w:p>
    <w:p w14:paraId="131E8CB2">
      <w:pPr>
        <w:pStyle w:val="43"/>
        <w:autoSpaceDE/>
        <w:autoSpaceDN/>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lang w:val="zh-CN"/>
        </w:rPr>
        <w:t>7.经结算审计发现货物有质量问题或不符合合同约定情况的，甲方有权拒绝支付全部货款并</w:t>
      </w:r>
      <w:r>
        <w:rPr>
          <w:rFonts w:hint="eastAsia" w:ascii="宋体" w:hAnsi="宋体" w:eastAsia="宋体" w:cs="宋体"/>
          <w:kern w:val="2"/>
          <w:szCs w:val="28"/>
        </w:rPr>
        <w:t>解除</w:t>
      </w:r>
      <w:r>
        <w:rPr>
          <w:rFonts w:hint="eastAsia" w:ascii="宋体" w:hAnsi="宋体" w:eastAsia="宋体" w:cs="宋体"/>
          <w:color w:val="auto"/>
          <w:lang w:val="zh-CN"/>
        </w:rPr>
        <w:t>合同。</w:t>
      </w:r>
    </w:p>
    <w:p w14:paraId="16083A92">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九、不可抗力</w:t>
      </w:r>
    </w:p>
    <w:p w14:paraId="54BBA577">
      <w:pPr>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14:paraId="3DC7A970">
      <w:pPr>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受阻一方应在不可抗力事件发生后尽快用电报、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14:paraId="2FBBF40C">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十、争端的解决</w:t>
      </w:r>
    </w:p>
    <w:p w14:paraId="588E3957">
      <w:pPr>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合同实施或与合同有关的一切争端应通过双方友好协商解决</w:t>
      </w:r>
      <w:r>
        <w:rPr>
          <w:rFonts w:hint="eastAsia" w:ascii="宋体" w:hAnsi="宋体" w:cs="宋体"/>
          <w:sz w:val="24"/>
          <w:szCs w:val="28"/>
          <w:lang w:val="zh-CN"/>
        </w:rPr>
        <w:t>，</w:t>
      </w:r>
      <w:r>
        <w:rPr>
          <w:rFonts w:hint="eastAsia" w:ascii="宋体" w:hAnsi="宋体" w:cs="宋体"/>
          <w:sz w:val="24"/>
        </w:rPr>
        <w:t>调解不成的</w:t>
      </w:r>
      <w:r>
        <w:rPr>
          <w:rFonts w:hint="eastAsia" w:ascii="宋体" w:hAnsi="宋体" w:cs="宋体"/>
          <w:sz w:val="24"/>
          <w:lang w:val="zh-CN"/>
        </w:rPr>
        <w:t>，可向</w:t>
      </w:r>
      <w:r>
        <w:rPr>
          <w:rFonts w:hint="eastAsia" w:ascii="宋体" w:hAnsi="宋体" w:cs="宋体"/>
          <w:sz w:val="24"/>
        </w:rPr>
        <w:t>甲方所在地</w:t>
      </w:r>
      <w:r>
        <w:rPr>
          <w:rFonts w:hint="eastAsia" w:ascii="宋体" w:hAnsi="宋体" w:cs="宋体"/>
          <w:sz w:val="24"/>
          <w:lang w:val="zh-CN"/>
        </w:rPr>
        <w:t>仲裁委员会申请仲裁。</w:t>
      </w:r>
    </w:p>
    <w:p w14:paraId="633A954C">
      <w:pPr>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仲裁裁决应为最终裁决，对双方均具有约束力。</w:t>
      </w:r>
    </w:p>
    <w:p w14:paraId="597E6484">
      <w:pPr>
        <w:spacing w:line="360" w:lineRule="auto"/>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律师费、差旅费等诉讼费用均应由败诉方负担。</w:t>
      </w:r>
    </w:p>
    <w:p w14:paraId="60E308F9">
      <w:pPr>
        <w:spacing w:line="360" w:lineRule="auto"/>
        <w:ind w:firstLine="480" w:firstLineChars="200"/>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在仲裁期间，除正在进行仲裁的部分外，本合同其他部分应继续执行。</w:t>
      </w:r>
    </w:p>
    <w:p w14:paraId="00DC1D51">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十一、合同生效</w:t>
      </w:r>
    </w:p>
    <w:p w14:paraId="175D4C46">
      <w:pPr>
        <w:spacing w:line="360" w:lineRule="auto"/>
        <w:ind w:firstLine="480" w:firstLineChars="200"/>
        <w:rPr>
          <w:rFonts w:hint="eastAsia" w:ascii="宋体" w:hAnsi="宋体" w:cs="宋体"/>
          <w:sz w:val="24"/>
          <w:lang w:val="zh-CN"/>
        </w:rPr>
      </w:pPr>
      <w:r>
        <w:rPr>
          <w:rFonts w:hint="eastAsia" w:ascii="宋体" w:hAnsi="宋体" w:cs="宋体"/>
          <w:sz w:val="24"/>
        </w:rPr>
        <w:t>1.本合同自双方授权代表签字并加盖公章后生效，合同有效期至甲乙双方权利义务履行完毕。</w:t>
      </w:r>
    </w:p>
    <w:p w14:paraId="7143D479">
      <w:pPr>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对本合同条款的任何补充、增添或修改应以书面方式进行，由双方授权代表签字盖章，作为合同不可分割的组成部分。</w:t>
      </w:r>
    </w:p>
    <w:p w14:paraId="523B1064">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十二、其他约定事项</w:t>
      </w:r>
    </w:p>
    <w:p w14:paraId="3EF0BA40">
      <w:pPr>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在本合同执行过程中，乙方应及时答复和解决与合同设备有关的技术问题，并负责提供相应的技术文件。</w:t>
      </w:r>
    </w:p>
    <w:p w14:paraId="3425EEA2">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双方的单位地址、邮编、开户行及账号、项目负责人、电话等若有变更，须及时书面通知对方。</w:t>
      </w:r>
      <w:r>
        <w:rPr>
          <w:rFonts w:hint="eastAsia" w:ascii="宋体" w:hAnsi="宋体" w:cs="宋体"/>
          <w:sz w:val="24"/>
        </w:rPr>
        <w:t xml:space="preserve"> </w:t>
      </w:r>
    </w:p>
    <w:p w14:paraId="2E409E56">
      <w:pPr>
        <w:spacing w:line="360" w:lineRule="auto"/>
        <w:ind w:firstLine="480" w:firstLineChars="200"/>
        <w:jc w:val="left"/>
        <w:rPr>
          <w:rFonts w:hint="eastAsia" w:ascii="宋体" w:hAnsi="宋体" w:cs="宋体"/>
          <w:sz w:val="24"/>
        </w:rPr>
      </w:pPr>
      <w:r>
        <w:rPr>
          <w:rFonts w:hint="eastAsia" w:ascii="宋体" w:hAnsi="宋体" w:cs="宋体"/>
          <w:sz w:val="24"/>
        </w:rPr>
        <w:t xml:space="preserve">3.其他约定事项： </w:t>
      </w:r>
      <w:r>
        <w:rPr>
          <w:rFonts w:hint="eastAsia" w:ascii="宋体" w:hAnsi="宋体" w:cs="宋体"/>
          <w:sz w:val="24"/>
          <w:u w:val="single"/>
        </w:rPr>
        <w:t xml:space="preserve">                                                                </w:t>
      </w:r>
      <w:r>
        <w:rPr>
          <w:rFonts w:hint="eastAsia" w:ascii="宋体" w:hAnsi="宋体" w:cs="宋体"/>
          <w:sz w:val="24"/>
        </w:rPr>
        <w:t>（添加乙方售后服务承诺函等其他事项）</w:t>
      </w:r>
    </w:p>
    <w:p w14:paraId="000708C9">
      <w:pPr>
        <w:spacing w:line="360" w:lineRule="auto"/>
        <w:ind w:firstLine="482" w:firstLineChars="200"/>
        <w:rPr>
          <w:rFonts w:hint="eastAsia" w:ascii="宋体" w:hAnsi="宋体" w:cs="宋体"/>
          <w:b/>
          <w:bCs/>
          <w:sz w:val="24"/>
        </w:rPr>
      </w:pPr>
      <w:r>
        <w:rPr>
          <w:rFonts w:hint="eastAsia" w:ascii="宋体" w:hAnsi="宋体" w:cs="宋体"/>
          <w:b/>
          <w:bCs/>
          <w:sz w:val="24"/>
        </w:rPr>
        <w:t>十三、附 则</w:t>
      </w:r>
    </w:p>
    <w:p w14:paraId="28E8BBB2">
      <w:pPr>
        <w:spacing w:line="360" w:lineRule="auto"/>
        <w:ind w:firstLine="480" w:firstLineChars="200"/>
        <w:rPr>
          <w:rFonts w:hint="eastAsia" w:ascii="宋体" w:hAnsi="宋体" w:cs="宋体"/>
          <w:sz w:val="24"/>
        </w:rPr>
      </w:pPr>
      <w:r>
        <w:rPr>
          <w:rFonts w:hint="eastAsia" w:ascii="宋体" w:hAnsi="宋体" w:cs="宋体"/>
          <w:sz w:val="24"/>
        </w:rPr>
        <w:t>1.本合同执行期间，如遇不可抗力，致使合同无法履行时，双方应按有关法律规定及时协商处理。</w:t>
      </w:r>
    </w:p>
    <w:p w14:paraId="037569BF">
      <w:pPr>
        <w:spacing w:line="360" w:lineRule="auto"/>
        <w:ind w:firstLine="480" w:firstLineChars="200"/>
        <w:rPr>
          <w:rFonts w:hint="eastAsia" w:ascii="宋体" w:hAnsi="宋体" w:cs="宋体"/>
          <w:sz w:val="24"/>
        </w:rPr>
      </w:pPr>
      <w:r>
        <w:rPr>
          <w:rFonts w:hint="eastAsia" w:ascii="宋体" w:hAnsi="宋体" w:cs="宋体"/>
          <w:sz w:val="24"/>
        </w:rPr>
        <w:t>2.本合同未尽事宜，按法律和国家有关部门的规定执行，无规定的，双方协商解决。</w:t>
      </w:r>
    </w:p>
    <w:p w14:paraId="55E943C9">
      <w:pPr>
        <w:spacing w:line="360" w:lineRule="auto"/>
        <w:ind w:firstLine="480" w:firstLineChars="200"/>
        <w:rPr>
          <w:rFonts w:hint="eastAsia" w:ascii="宋体" w:hAnsi="宋体" w:cs="宋体"/>
          <w:sz w:val="24"/>
        </w:rPr>
      </w:pPr>
      <w:r>
        <w:rPr>
          <w:rFonts w:hint="eastAsia" w:ascii="宋体" w:hAnsi="宋体" w:cs="宋体"/>
          <w:sz w:val="24"/>
        </w:rPr>
        <w:t>3.本合同正本</w:t>
      </w:r>
      <w:r>
        <w:rPr>
          <w:rFonts w:hint="eastAsia" w:ascii="宋体" w:hAnsi="宋体" w:cs="宋体"/>
          <w:sz w:val="24"/>
          <w:u w:val="single"/>
        </w:rPr>
        <w:t xml:space="preserve">  </w:t>
      </w:r>
      <w:r>
        <w:rPr>
          <w:rFonts w:hint="eastAsia" w:ascii="宋体" w:hAnsi="宋体" w:cs="宋体"/>
          <w:sz w:val="24"/>
        </w:rPr>
        <w:t>页，一式柒份，甲乙双方各执叁份，代理机构备案壹份。</w:t>
      </w:r>
    </w:p>
    <w:p w14:paraId="05BD13FD">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4.下列文件作为合同附件，与本合同具有同等法律效力：</w:t>
      </w:r>
    </w:p>
    <w:p w14:paraId="41B48E47">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1）甲方的招标文件与招标补充文件；</w:t>
      </w:r>
    </w:p>
    <w:p w14:paraId="46C30A91">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2）乙方投标文件；</w:t>
      </w:r>
    </w:p>
    <w:p w14:paraId="43792F2C">
      <w:pPr>
        <w:spacing w:line="360" w:lineRule="auto"/>
        <w:ind w:firstLine="480" w:firstLineChars="200"/>
        <w:rPr>
          <w:rFonts w:hint="eastAsia" w:ascii="宋体" w:hAnsi="宋体" w:cs="宋体"/>
          <w:sz w:val="24"/>
        </w:rPr>
      </w:pPr>
      <w:r>
        <w:rPr>
          <w:rFonts w:hint="eastAsia" w:ascii="宋体" w:hAnsi="宋体" w:cs="宋体"/>
          <w:sz w:val="24"/>
        </w:rPr>
        <w:t>3）中标通知书。</w:t>
      </w:r>
    </w:p>
    <w:p w14:paraId="1B13844D">
      <w:pPr>
        <w:spacing w:line="360" w:lineRule="auto"/>
        <w:ind w:firstLine="480" w:firstLineChars="200"/>
        <w:rPr>
          <w:rFonts w:hint="eastAsia" w:ascii="宋体" w:hAnsi="宋体" w:cs="宋体"/>
          <w:sz w:val="24"/>
        </w:rPr>
      </w:pPr>
      <w:r>
        <w:rPr>
          <w:rFonts w:hint="eastAsia" w:ascii="宋体" w:hAnsi="宋体" w:cs="宋体"/>
          <w:sz w:val="24"/>
        </w:rPr>
        <w:t>上述所指文件应认为是互相补充和解释的，但是有模棱两可或相互矛盾之处，按更优于甲方的标准执行。</w:t>
      </w:r>
    </w:p>
    <w:p w14:paraId="56C7453A">
      <w:pPr>
        <w:spacing w:line="360" w:lineRule="auto"/>
        <w:ind w:firstLine="480" w:firstLineChars="200"/>
        <w:rPr>
          <w:rFonts w:hint="eastAsia" w:ascii="宋体" w:hAnsi="宋体" w:cs="宋体"/>
          <w:sz w:val="24"/>
        </w:rPr>
      </w:pPr>
    </w:p>
    <w:p w14:paraId="35B7B84F">
      <w:pPr>
        <w:spacing w:line="360" w:lineRule="auto"/>
        <w:ind w:firstLine="480" w:firstLineChars="200"/>
        <w:rPr>
          <w:rFonts w:hint="eastAsia" w:ascii="宋体" w:hAnsi="宋体" w:cs="宋体"/>
          <w:sz w:val="24"/>
        </w:rPr>
      </w:pPr>
      <w:r>
        <w:rPr>
          <w:rFonts w:hint="eastAsia" w:ascii="宋体" w:hAnsi="宋体" w:cs="宋体"/>
          <w:sz w:val="24"/>
        </w:rPr>
        <w:t>甲方（盖章）：                     乙方（盖章）：</w:t>
      </w:r>
    </w:p>
    <w:p w14:paraId="64267A4D">
      <w:pPr>
        <w:spacing w:line="360" w:lineRule="auto"/>
        <w:ind w:firstLine="480" w:firstLineChars="200"/>
        <w:rPr>
          <w:rFonts w:hint="eastAsia" w:ascii="宋体" w:hAnsi="宋体" w:cs="宋体"/>
          <w:sz w:val="24"/>
        </w:rPr>
      </w:pPr>
      <w:r>
        <w:rPr>
          <w:rFonts w:hint="eastAsia" w:ascii="宋体" w:hAnsi="宋体" w:cs="宋体"/>
          <w:sz w:val="24"/>
        </w:rPr>
        <w:t>地址：                            地址：</w:t>
      </w:r>
    </w:p>
    <w:p w14:paraId="332EC061">
      <w:pPr>
        <w:spacing w:line="360" w:lineRule="auto"/>
        <w:ind w:firstLine="480" w:firstLineChars="200"/>
        <w:rPr>
          <w:rFonts w:hint="eastAsia" w:ascii="宋体" w:hAnsi="宋体" w:cs="宋体"/>
          <w:sz w:val="24"/>
        </w:rPr>
      </w:pPr>
    </w:p>
    <w:p w14:paraId="23970C00">
      <w:pPr>
        <w:spacing w:line="360" w:lineRule="auto"/>
        <w:ind w:firstLine="480" w:firstLineChars="200"/>
        <w:rPr>
          <w:rFonts w:hint="eastAsia" w:ascii="宋体" w:hAnsi="宋体" w:cs="宋体"/>
          <w:sz w:val="24"/>
        </w:rPr>
      </w:pPr>
      <w:r>
        <w:rPr>
          <w:rFonts w:hint="eastAsia" w:ascii="宋体" w:hAnsi="宋体" w:cs="宋体"/>
          <w:sz w:val="24"/>
        </w:rPr>
        <w:t>法定代表人或委托代理人：          法定代表人或委托代理人：</w:t>
      </w:r>
    </w:p>
    <w:p w14:paraId="74B42FC4">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3F997541">
      <w:pPr>
        <w:spacing w:line="360" w:lineRule="auto"/>
        <w:ind w:firstLine="480" w:firstLineChars="200"/>
        <w:rPr>
          <w:rFonts w:hint="eastAsia" w:ascii="宋体" w:hAnsi="宋体" w:cs="宋体"/>
          <w:sz w:val="24"/>
        </w:rPr>
      </w:pPr>
      <w:r>
        <w:rPr>
          <w:rFonts w:hint="eastAsia" w:ascii="宋体" w:hAnsi="宋体" w:cs="宋体"/>
          <w:sz w:val="24"/>
        </w:rPr>
        <w:t>电话：                            电话：</w:t>
      </w:r>
    </w:p>
    <w:p w14:paraId="7D340C9C">
      <w:pPr>
        <w:spacing w:line="360" w:lineRule="auto"/>
        <w:ind w:firstLine="480" w:firstLineChars="200"/>
        <w:rPr>
          <w:rFonts w:hint="eastAsia" w:ascii="宋体" w:hAnsi="宋体" w:cs="宋体"/>
          <w:sz w:val="24"/>
        </w:rPr>
      </w:pPr>
      <w:r>
        <w:rPr>
          <w:rFonts w:hint="eastAsia" w:ascii="宋体" w:hAnsi="宋体" w:cs="宋体"/>
          <w:sz w:val="24"/>
        </w:rPr>
        <w:t>传真：                            传真：</w:t>
      </w:r>
    </w:p>
    <w:p w14:paraId="50D4C03F">
      <w:pPr>
        <w:spacing w:line="360" w:lineRule="auto"/>
        <w:ind w:firstLine="480" w:firstLineChars="200"/>
        <w:rPr>
          <w:rFonts w:hint="eastAsia" w:ascii="宋体" w:hAnsi="宋体" w:cs="宋体"/>
          <w:sz w:val="24"/>
        </w:rPr>
      </w:pPr>
      <w:r>
        <w:rPr>
          <w:rFonts w:hint="eastAsia" w:ascii="宋体" w:hAnsi="宋体" w:cs="宋体"/>
          <w:sz w:val="24"/>
        </w:rPr>
        <w:t>邮政编码：                        邮政编码：</w:t>
      </w:r>
    </w:p>
    <w:p w14:paraId="0CE0093B">
      <w:pPr>
        <w:spacing w:line="360" w:lineRule="auto"/>
        <w:ind w:firstLine="480" w:firstLineChars="200"/>
        <w:rPr>
          <w:rFonts w:hint="eastAsia" w:ascii="宋体" w:hAnsi="宋体" w:cs="宋体"/>
          <w:sz w:val="24"/>
        </w:rPr>
      </w:pPr>
      <w:r>
        <w:rPr>
          <w:rFonts w:hint="eastAsia" w:ascii="宋体" w:hAnsi="宋体" w:cs="宋体"/>
          <w:sz w:val="24"/>
        </w:rPr>
        <w:t>开户银行：                        开户银行：</w:t>
      </w:r>
    </w:p>
    <w:p w14:paraId="09CED5D5">
      <w:pPr>
        <w:spacing w:line="360" w:lineRule="auto"/>
        <w:ind w:firstLine="480" w:firstLineChars="200"/>
        <w:rPr>
          <w:rFonts w:hint="eastAsia" w:ascii="宋体" w:hAnsi="宋体" w:cs="宋体"/>
          <w:sz w:val="24"/>
        </w:rPr>
      </w:pPr>
    </w:p>
    <w:p w14:paraId="5EEE0519">
      <w:pPr>
        <w:spacing w:line="360" w:lineRule="auto"/>
        <w:ind w:firstLine="480" w:firstLineChars="200"/>
        <w:rPr>
          <w:rFonts w:hint="eastAsia" w:ascii="宋体" w:hAnsi="宋体" w:cs="宋体"/>
          <w:sz w:val="24"/>
        </w:rPr>
      </w:pPr>
      <w:r>
        <w:rPr>
          <w:rFonts w:hint="eastAsia" w:ascii="宋体" w:hAnsi="宋体" w:cs="宋体"/>
          <w:sz w:val="24"/>
        </w:rPr>
        <w:t>账号：                            账号：</w:t>
      </w:r>
    </w:p>
    <w:p w14:paraId="6C467D2D">
      <w:pPr>
        <w:spacing w:line="360" w:lineRule="auto"/>
        <w:ind w:firstLine="480" w:firstLineChars="200"/>
        <w:rPr>
          <w:rFonts w:hint="eastAsia" w:ascii="宋体" w:hAnsi="宋体" w:cs="宋体"/>
          <w:sz w:val="24"/>
        </w:rPr>
      </w:pPr>
    </w:p>
    <w:p w14:paraId="673D132B">
      <w:pPr>
        <w:spacing w:line="360" w:lineRule="auto"/>
        <w:ind w:firstLine="480" w:firstLineChars="200"/>
        <w:rPr>
          <w:rFonts w:hint="eastAsia" w:ascii="宋体" w:hAnsi="宋体" w:cs="宋体"/>
          <w:sz w:val="24"/>
        </w:rPr>
      </w:pPr>
      <w:r>
        <w:rPr>
          <w:rFonts w:hint="eastAsia" w:ascii="宋体" w:hAnsi="宋体" w:cs="宋体"/>
          <w:sz w:val="24"/>
        </w:rPr>
        <w:t xml:space="preserve">    签订时间：</w:t>
      </w:r>
    </w:p>
    <w:p w14:paraId="2D154126">
      <w:pPr>
        <w:widowControl/>
        <w:jc w:val="left"/>
        <w:rPr>
          <w:rFonts w:hint="eastAsia" w:ascii="宋体" w:hAnsi="宋体" w:cs="宋体"/>
          <w:sz w:val="24"/>
        </w:rPr>
      </w:pPr>
      <w:r>
        <w:rPr>
          <w:rFonts w:hint="eastAsia" w:ascii="宋体" w:hAnsi="宋体" w:cs="宋体"/>
          <w:sz w:val="24"/>
        </w:rPr>
        <w:br w:type="page"/>
      </w:r>
    </w:p>
    <w:p w14:paraId="23711131">
      <w:pPr>
        <w:autoSpaceDE w:val="0"/>
        <w:autoSpaceDN w:val="0"/>
        <w:adjustRightInd w:val="0"/>
        <w:spacing w:line="360" w:lineRule="auto"/>
        <w:jc w:val="left"/>
        <w:rPr>
          <w:rFonts w:hint="eastAsia" w:ascii="宋体" w:hAnsi="宋体" w:cs="宋体"/>
          <w:b/>
          <w:sz w:val="28"/>
          <w:szCs w:val="28"/>
        </w:rPr>
      </w:pPr>
      <w:r>
        <w:rPr>
          <w:rFonts w:hint="eastAsia" w:ascii="宋体" w:hAnsi="宋体" w:cs="宋体"/>
          <w:b/>
          <w:sz w:val="28"/>
          <w:szCs w:val="28"/>
        </w:rPr>
        <w:t>附件1：</w:t>
      </w:r>
    </w:p>
    <w:p w14:paraId="361394F4">
      <w:pPr>
        <w:adjustRightInd w:val="0"/>
        <w:snapToGrid w:val="0"/>
        <w:spacing w:line="400" w:lineRule="exact"/>
        <w:ind w:firstLine="720" w:firstLineChars="300"/>
        <w:rPr>
          <w:rFonts w:hint="eastAsia" w:ascii="宋体" w:hAnsi="宋体" w:cs="宋体"/>
          <w:sz w:val="24"/>
        </w:rPr>
      </w:pPr>
    </w:p>
    <w:p w14:paraId="46B2F4A1">
      <w:pPr>
        <w:pStyle w:val="14"/>
        <w:spacing w:line="600" w:lineRule="exact"/>
        <w:jc w:val="center"/>
        <w:outlineLvl w:val="0"/>
        <w:rPr>
          <w:rFonts w:hint="default" w:ascii="Times New Roman" w:hAnsi="Times New Roman" w:eastAsia="方正小标宋简体" w:cs="Times New Roman"/>
          <w:bCs/>
          <w:kern w:val="0"/>
          <w:sz w:val="44"/>
          <w:szCs w:val="44"/>
          <w:lang w:val="en-US" w:eastAsia="zh-CN"/>
        </w:rPr>
      </w:pPr>
      <w:r>
        <w:rPr>
          <w:rFonts w:hint="eastAsia" w:ascii="Times New Roman" w:hAnsi="Times New Roman" w:eastAsia="方正小标宋简体" w:cs="Times New Roman"/>
          <w:bCs/>
          <w:kern w:val="0"/>
          <w:sz w:val="44"/>
          <w:szCs w:val="44"/>
          <w:lang w:val="en-US" w:eastAsia="zh-CN"/>
        </w:rPr>
        <w:t>消防救援</w:t>
      </w:r>
      <w:r>
        <w:rPr>
          <w:rFonts w:hint="default" w:ascii="Times New Roman" w:hAnsi="Times New Roman" w:eastAsia="方正小标宋简体" w:cs="Times New Roman"/>
          <w:bCs/>
          <w:kern w:val="0"/>
          <w:sz w:val="44"/>
          <w:szCs w:val="44"/>
        </w:rPr>
        <w:t>装备验收</w:t>
      </w:r>
      <w:r>
        <w:rPr>
          <w:rFonts w:hint="default" w:ascii="Times New Roman" w:hAnsi="Times New Roman" w:eastAsia="方正小标宋简体" w:cs="Times New Roman"/>
          <w:bCs/>
          <w:kern w:val="0"/>
          <w:sz w:val="44"/>
          <w:szCs w:val="44"/>
          <w:lang w:val="en-US" w:eastAsia="zh-CN"/>
        </w:rPr>
        <w:t>单</w:t>
      </w:r>
    </w:p>
    <w:p w14:paraId="26D79CB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楷体_GB2312" w:cs="Times New Roman"/>
          <w:bCs/>
          <w:sz w:val="32"/>
          <w:szCs w:val="32"/>
          <w:u w:val="none"/>
          <w:lang w:val="en-US" w:eastAsia="zh-CN"/>
        </w:rPr>
      </w:pPr>
      <w:r>
        <w:rPr>
          <w:rFonts w:hint="eastAsia" w:ascii="Times New Roman" w:hAnsi="Times New Roman" w:eastAsia="楷体_GB2312" w:cs="Times New Roman"/>
          <w:bCs/>
          <w:sz w:val="32"/>
          <w:szCs w:val="32"/>
          <w:u w:val="single"/>
          <w:lang w:val="en-US" w:eastAsia="zh-CN"/>
        </w:rPr>
        <w:t xml:space="preserve">    *********公司            </w:t>
      </w:r>
      <w:r>
        <w:rPr>
          <w:rFonts w:hint="default" w:ascii="Times New Roman" w:hAnsi="Times New Roman" w:eastAsia="楷体_GB2312" w:cs="Times New Roman"/>
          <w:bCs/>
          <w:sz w:val="32"/>
          <w:szCs w:val="32"/>
          <w:u w:val="none"/>
          <w:lang w:val="en-US" w:eastAsia="zh-CN"/>
        </w:rPr>
        <w:t xml:space="preserve"> ：</w:t>
      </w:r>
    </w:p>
    <w:p w14:paraId="34B15AEB">
      <w:pPr>
        <w:pStyle w:val="43"/>
        <w:keepNext w:val="0"/>
        <w:keepLines w:val="0"/>
        <w:pageBreakBefore w:val="0"/>
        <w:widowControl w:val="0"/>
        <w:kinsoku/>
        <w:wordWrap/>
        <w:overflowPunct/>
        <w:topLinePunct w:val="0"/>
        <w:bidi w:val="0"/>
        <w:adjustRightInd w:val="0"/>
        <w:spacing w:line="600" w:lineRule="exact"/>
        <w:textAlignment w:val="auto"/>
        <w:rPr>
          <w:rFonts w:hint="default" w:ascii="Times New Roman" w:hAnsi="Times New Roman" w:cs="Times New Roman"/>
          <w:lang w:val="en-US" w:eastAsia="zh-CN"/>
        </w:rPr>
      </w:pPr>
      <w:r>
        <w:rPr>
          <w:rFonts w:hint="default" w:ascii="Times New Roman" w:hAnsi="Times New Roman" w:eastAsia="楷体_GB2312" w:cs="Times New Roman"/>
          <w:bCs/>
          <w:sz w:val="32"/>
          <w:szCs w:val="32"/>
          <w:u w:val="none"/>
          <w:lang w:val="en-US" w:eastAsia="zh-CN"/>
        </w:rPr>
        <w:t xml:space="preserve">    </w:t>
      </w:r>
      <w:r>
        <w:rPr>
          <w:rFonts w:hint="default" w:ascii="Times New Roman" w:hAnsi="Times New Roman" w:eastAsia="仿宋_GB2312" w:cs="Times New Roman"/>
          <w:bCs/>
          <w:color w:val="auto"/>
          <w:kern w:val="2"/>
          <w:sz w:val="28"/>
          <w:szCs w:val="28"/>
          <w:lang w:val="en-US" w:eastAsia="zh-CN" w:bidi="ar-SA"/>
        </w:rPr>
        <w:t>根据你公司装备到货验收申请，我单位装备验收小组按照验收相关规定组织开展实地验收，具体情况如下：</w:t>
      </w:r>
    </w:p>
    <w:tbl>
      <w:tblPr>
        <w:tblStyle w:val="35"/>
        <w:tblW w:w="9329" w:type="dxa"/>
        <w:jc w:val="center"/>
        <w:tblLayout w:type="fixed"/>
        <w:tblCellMar>
          <w:top w:w="0" w:type="dxa"/>
          <w:left w:w="108" w:type="dxa"/>
          <w:bottom w:w="0" w:type="dxa"/>
          <w:right w:w="108" w:type="dxa"/>
        </w:tblCellMar>
      </w:tblPr>
      <w:tblGrid>
        <w:gridCol w:w="728"/>
        <w:gridCol w:w="2070"/>
        <w:gridCol w:w="1425"/>
        <w:gridCol w:w="1376"/>
        <w:gridCol w:w="870"/>
        <w:gridCol w:w="379"/>
        <w:gridCol w:w="600"/>
        <w:gridCol w:w="1080"/>
        <w:gridCol w:w="801"/>
      </w:tblGrid>
      <w:tr w14:paraId="2337E5F2">
        <w:tblPrEx>
          <w:tblCellMar>
            <w:top w:w="0" w:type="dxa"/>
            <w:left w:w="108" w:type="dxa"/>
            <w:bottom w:w="0" w:type="dxa"/>
            <w:right w:w="108" w:type="dxa"/>
          </w:tblCellMar>
        </w:tblPrEx>
        <w:trPr>
          <w:trHeight w:val="590" w:hRule="atLeast"/>
          <w:jc w:val="center"/>
        </w:trPr>
        <w:tc>
          <w:tcPr>
            <w:tcW w:w="9329" w:type="dxa"/>
            <w:gridSpan w:val="9"/>
            <w:tcBorders>
              <w:top w:val="single" w:color="auto" w:sz="4" w:space="0"/>
              <w:left w:val="single" w:color="auto" w:sz="4" w:space="0"/>
              <w:bottom w:val="single" w:color="auto" w:sz="4" w:space="0"/>
              <w:right w:val="single" w:color="000000" w:sz="4" w:space="0"/>
            </w:tcBorders>
            <w:noWrap w:val="0"/>
            <w:vAlign w:val="center"/>
          </w:tcPr>
          <w:p w14:paraId="1AAEA2EC">
            <w:pPr>
              <w:spacing w:line="600" w:lineRule="exact"/>
              <w:jc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eastAsia="方正小标宋简体" w:cs="Times New Roman"/>
                <w:b w:val="0"/>
                <w:bCs w:val="0"/>
                <w:kern w:val="0"/>
                <w:sz w:val="28"/>
                <w:szCs w:val="28"/>
                <w:lang w:val="en-US" w:eastAsia="zh-CN"/>
              </w:rPr>
              <w:t>装备</w:t>
            </w:r>
            <w:r>
              <w:rPr>
                <w:rFonts w:hint="eastAsia" w:ascii="Times New Roman" w:hAnsi="Times New Roman" w:eastAsia="方正小标宋简体" w:cs="Times New Roman"/>
                <w:b w:val="0"/>
                <w:bCs w:val="0"/>
                <w:kern w:val="0"/>
                <w:sz w:val="28"/>
                <w:szCs w:val="28"/>
                <w:lang w:val="en-US" w:eastAsia="zh-CN"/>
              </w:rPr>
              <w:t>基本信息</w:t>
            </w:r>
            <w:r>
              <w:rPr>
                <w:rFonts w:hint="default" w:ascii="Times New Roman" w:hAnsi="Times New Roman" w:eastAsia="方正小标宋简体" w:cs="Times New Roman"/>
                <w:b w:val="0"/>
                <w:bCs w:val="0"/>
                <w:kern w:val="0"/>
                <w:sz w:val="28"/>
                <w:szCs w:val="28"/>
                <w:lang w:val="en-US" w:eastAsia="zh-CN"/>
              </w:rPr>
              <w:t>情况</w:t>
            </w:r>
          </w:p>
        </w:tc>
      </w:tr>
      <w:tr w14:paraId="04532390">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119334DD">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lang w:val="en-US" w:eastAsia="zh-CN"/>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2C849A6">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合同编号</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65F5618">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装备名称</w:t>
            </w:r>
          </w:p>
        </w:tc>
        <w:tc>
          <w:tcPr>
            <w:tcW w:w="1376" w:type="dxa"/>
            <w:tcBorders>
              <w:top w:val="single" w:color="auto" w:sz="4" w:space="0"/>
              <w:left w:val="nil"/>
              <w:bottom w:val="single" w:color="auto" w:sz="4" w:space="0"/>
              <w:right w:val="single" w:color="auto" w:sz="4" w:space="0"/>
            </w:tcBorders>
            <w:noWrap w:val="0"/>
            <w:vAlign w:val="center"/>
          </w:tcPr>
          <w:p w14:paraId="4573D542">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lang w:val="en-US" w:eastAsia="zh-CN"/>
              </w:rPr>
              <w:t>规格型号</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D6DB349">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数量</w:t>
            </w: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4C138BEA">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单价</w:t>
            </w:r>
            <w:r>
              <w:rPr>
                <w:rFonts w:hint="eastAsia" w:ascii="黑体" w:hAnsi="黑体" w:eastAsia="黑体" w:cs="黑体"/>
                <w:bCs/>
                <w:sz w:val="24"/>
                <w:szCs w:val="24"/>
                <w:lang w:eastAsia="zh-CN"/>
              </w:rPr>
              <w:t>（</w:t>
            </w:r>
            <w:r>
              <w:rPr>
                <w:rFonts w:hint="eastAsia" w:ascii="黑体" w:hAnsi="黑体" w:eastAsia="黑体" w:cs="黑体"/>
                <w:bCs/>
                <w:sz w:val="24"/>
                <w:szCs w:val="24"/>
                <w:lang w:val="en-US" w:eastAsia="zh-CN"/>
              </w:rPr>
              <w:t>万</w:t>
            </w:r>
            <w:r>
              <w:rPr>
                <w:rFonts w:hint="eastAsia" w:ascii="黑体" w:hAnsi="黑体" w:eastAsia="黑体" w:cs="黑体"/>
                <w:bCs/>
                <w:sz w:val="24"/>
                <w:szCs w:val="24"/>
                <w:lang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F183DC">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总价</w:t>
            </w:r>
            <w:r>
              <w:rPr>
                <w:rFonts w:hint="eastAsia" w:ascii="黑体" w:hAnsi="黑体" w:eastAsia="黑体" w:cs="黑体"/>
                <w:bCs/>
                <w:sz w:val="24"/>
                <w:szCs w:val="24"/>
                <w:lang w:val="en-US" w:eastAsia="zh-CN"/>
              </w:rPr>
              <w:t>(万)</w:t>
            </w: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0A764B27">
            <w:pPr>
              <w:spacing w:line="600" w:lineRule="exact"/>
              <w:jc w:val="center"/>
              <w:rPr>
                <w:rFonts w:hint="eastAsia" w:ascii="黑体" w:hAnsi="黑体" w:eastAsia="黑体" w:cs="黑体"/>
                <w:bCs/>
                <w:kern w:val="2"/>
                <w:sz w:val="24"/>
                <w:szCs w:val="24"/>
                <w:lang w:val="en-US" w:eastAsia="zh-CN" w:bidi="ar-SA"/>
              </w:rPr>
            </w:pPr>
            <w:r>
              <w:rPr>
                <w:rFonts w:hint="eastAsia" w:ascii="黑体" w:hAnsi="黑体" w:eastAsia="黑体" w:cs="黑体"/>
                <w:bCs/>
                <w:sz w:val="24"/>
                <w:szCs w:val="24"/>
              </w:rPr>
              <w:t>备注</w:t>
            </w:r>
          </w:p>
        </w:tc>
      </w:tr>
      <w:tr w14:paraId="41B575A4">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60B7A3E3">
            <w:pPr>
              <w:widowControl/>
              <w:spacing w:line="600" w:lineRule="exact"/>
              <w:jc w:val="center"/>
              <w:rPr>
                <w:rFonts w:hint="eastAsia" w:ascii="Times New Roman" w:hAnsi="Times New Roman" w:eastAsia="仿宋_GB2312" w:cs="Times New Roman"/>
                <w:bCs/>
                <w:kern w:val="0"/>
                <w:sz w:val="28"/>
                <w:szCs w:val="28"/>
                <w:lang w:val="en-US" w:eastAsia="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5355D2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81D1DB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rPr>
            </w:pPr>
          </w:p>
        </w:tc>
        <w:tc>
          <w:tcPr>
            <w:tcW w:w="1376" w:type="dxa"/>
            <w:tcBorders>
              <w:top w:val="single" w:color="auto" w:sz="4" w:space="0"/>
              <w:left w:val="nil"/>
              <w:bottom w:val="single" w:color="auto" w:sz="4" w:space="0"/>
              <w:right w:val="single" w:color="auto" w:sz="4" w:space="0"/>
            </w:tcBorders>
            <w:noWrap w:val="0"/>
            <w:vAlign w:val="center"/>
          </w:tcPr>
          <w:p w14:paraId="70486BC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039A74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780397E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4077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439A7494">
            <w:pPr>
              <w:widowControl/>
              <w:spacing w:line="600" w:lineRule="exact"/>
              <w:jc w:val="center"/>
              <w:rPr>
                <w:rFonts w:hint="default" w:ascii="Times New Roman" w:hAnsi="Times New Roman" w:cs="Times New Roman"/>
                <w:sz w:val="15"/>
                <w:szCs w:val="15"/>
              </w:rPr>
            </w:pPr>
          </w:p>
        </w:tc>
      </w:tr>
      <w:tr w14:paraId="7007F7B0">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3C611B8D">
            <w:pPr>
              <w:widowControl/>
              <w:spacing w:line="600" w:lineRule="exact"/>
              <w:jc w:val="center"/>
              <w:rPr>
                <w:rFonts w:hint="eastAsia" w:ascii="Times New Roman" w:hAnsi="Times New Roman" w:cs="Times New Roman"/>
                <w:bCs/>
                <w:kern w:val="0"/>
                <w:sz w:val="28"/>
                <w:szCs w:val="28"/>
                <w:lang w:val="en-US" w:eastAsia="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6697CC1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DF6538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rPr>
            </w:pPr>
          </w:p>
        </w:tc>
        <w:tc>
          <w:tcPr>
            <w:tcW w:w="1376" w:type="dxa"/>
            <w:tcBorders>
              <w:top w:val="single" w:color="auto" w:sz="4" w:space="0"/>
              <w:left w:val="nil"/>
              <w:bottom w:val="single" w:color="auto" w:sz="4" w:space="0"/>
              <w:right w:val="single" w:color="auto" w:sz="4" w:space="0"/>
            </w:tcBorders>
            <w:noWrap w:val="0"/>
            <w:vAlign w:val="center"/>
          </w:tcPr>
          <w:p w14:paraId="6495704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972EFA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69DAEF7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F3452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4E2882DF">
            <w:pPr>
              <w:widowControl/>
              <w:spacing w:line="600" w:lineRule="exact"/>
              <w:jc w:val="center"/>
              <w:rPr>
                <w:rFonts w:hint="default" w:ascii="Times New Roman" w:hAnsi="Times New Roman" w:cs="Times New Roman"/>
                <w:sz w:val="15"/>
                <w:szCs w:val="15"/>
              </w:rPr>
            </w:pPr>
          </w:p>
        </w:tc>
      </w:tr>
      <w:tr w14:paraId="3BF04C4A">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7F5889D">
            <w:pPr>
              <w:widowControl/>
              <w:spacing w:line="600" w:lineRule="exact"/>
              <w:jc w:val="center"/>
              <w:rPr>
                <w:rFonts w:hint="eastAsia" w:ascii="Times New Roman" w:hAnsi="Times New Roman" w:cs="Times New Roman"/>
                <w:bCs/>
                <w:kern w:val="0"/>
                <w:sz w:val="28"/>
                <w:szCs w:val="28"/>
                <w:lang w:val="en-US" w:eastAsia="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2A8D938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lang w:val="en-US"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172AEF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kern w:val="0"/>
                <w:sz w:val="24"/>
                <w:szCs w:val="24"/>
              </w:rPr>
            </w:pPr>
          </w:p>
        </w:tc>
        <w:tc>
          <w:tcPr>
            <w:tcW w:w="1376" w:type="dxa"/>
            <w:tcBorders>
              <w:top w:val="single" w:color="auto" w:sz="4" w:space="0"/>
              <w:left w:val="nil"/>
              <w:bottom w:val="single" w:color="auto" w:sz="4" w:space="0"/>
              <w:right w:val="single" w:color="auto" w:sz="4" w:space="0"/>
            </w:tcBorders>
            <w:noWrap w:val="0"/>
            <w:vAlign w:val="center"/>
          </w:tcPr>
          <w:p w14:paraId="5F829F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2E4063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0E40FA4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CE747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lang w:val="en-US" w:eastAsia="zh-CN"/>
              </w:rPr>
            </w:pP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54867FB7">
            <w:pPr>
              <w:widowControl/>
              <w:spacing w:line="600" w:lineRule="exact"/>
              <w:jc w:val="center"/>
              <w:rPr>
                <w:rFonts w:hint="default" w:ascii="Times New Roman" w:hAnsi="Times New Roman" w:cs="Times New Roman"/>
                <w:sz w:val="15"/>
                <w:szCs w:val="15"/>
              </w:rPr>
            </w:pPr>
          </w:p>
        </w:tc>
      </w:tr>
      <w:tr w14:paraId="56337AE0">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07DEF8D">
            <w:pPr>
              <w:widowControl/>
              <w:spacing w:line="600" w:lineRule="exact"/>
              <w:jc w:val="center"/>
              <w:rPr>
                <w:rFonts w:hint="eastAsia" w:ascii="Times New Roman" w:hAnsi="Times New Roman" w:eastAsia="仿宋_GB2312" w:cs="Times New Roman"/>
                <w:bCs/>
                <w:kern w:val="0"/>
                <w:sz w:val="28"/>
                <w:szCs w:val="28"/>
                <w:lang w:val="en-US" w:eastAsia="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6BD71815">
            <w:pPr>
              <w:widowControl/>
              <w:spacing w:line="600" w:lineRule="exact"/>
              <w:jc w:val="center"/>
              <w:rPr>
                <w:rFonts w:hint="default" w:ascii="Times New Roman" w:hAnsi="Times New Roman" w:cs="Times New Roman"/>
                <w:bCs/>
                <w:kern w:val="0"/>
                <w:sz w:val="16"/>
                <w:szCs w:val="16"/>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F28161D">
            <w:pPr>
              <w:widowControl/>
              <w:spacing w:line="600" w:lineRule="exact"/>
              <w:jc w:val="center"/>
              <w:rPr>
                <w:rFonts w:hint="default" w:ascii="Times New Roman" w:hAnsi="Times New Roman" w:cs="Times New Roman"/>
                <w:bCs/>
                <w:kern w:val="0"/>
                <w:sz w:val="16"/>
                <w:szCs w:val="16"/>
              </w:rPr>
            </w:pPr>
          </w:p>
        </w:tc>
        <w:tc>
          <w:tcPr>
            <w:tcW w:w="1376" w:type="dxa"/>
            <w:tcBorders>
              <w:top w:val="single" w:color="auto" w:sz="4" w:space="0"/>
              <w:left w:val="nil"/>
              <w:bottom w:val="single" w:color="auto" w:sz="4" w:space="0"/>
              <w:right w:val="single" w:color="auto" w:sz="4" w:space="0"/>
            </w:tcBorders>
            <w:noWrap w:val="0"/>
            <w:vAlign w:val="center"/>
          </w:tcPr>
          <w:p w14:paraId="071037C1">
            <w:pPr>
              <w:widowControl/>
              <w:spacing w:line="600" w:lineRule="exact"/>
              <w:jc w:val="center"/>
              <w:rPr>
                <w:rFonts w:hint="default" w:ascii="Times New Roman" w:hAnsi="Times New Roman" w:cs="Times New Roman"/>
                <w:sz w:val="15"/>
                <w:szCs w:val="15"/>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8D65F5C">
            <w:pPr>
              <w:widowControl/>
              <w:spacing w:line="600" w:lineRule="exact"/>
              <w:jc w:val="center"/>
              <w:rPr>
                <w:rFonts w:hint="default" w:ascii="Times New Roman" w:hAnsi="Times New Roman" w:cs="Times New Roman"/>
                <w:sz w:val="15"/>
                <w:szCs w:val="15"/>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14:paraId="0652098F">
            <w:pPr>
              <w:widowControl/>
              <w:spacing w:line="600" w:lineRule="exact"/>
              <w:jc w:val="center"/>
              <w:rPr>
                <w:rFonts w:hint="default" w:ascii="Times New Roman" w:hAnsi="Times New Roman" w:cs="Times New Roman"/>
                <w:sz w:val="15"/>
                <w:szCs w:val="15"/>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9235D0">
            <w:pPr>
              <w:widowControl/>
              <w:spacing w:line="600" w:lineRule="exact"/>
              <w:jc w:val="center"/>
              <w:rPr>
                <w:rFonts w:hint="default" w:ascii="Times New Roman" w:hAnsi="Times New Roman" w:cs="Times New Roman"/>
                <w:sz w:val="15"/>
                <w:szCs w:val="15"/>
              </w:rPr>
            </w:pPr>
          </w:p>
        </w:tc>
        <w:tc>
          <w:tcPr>
            <w:tcW w:w="801" w:type="dxa"/>
            <w:tcBorders>
              <w:top w:val="single" w:color="auto" w:sz="4" w:space="0"/>
              <w:left w:val="single" w:color="auto" w:sz="4" w:space="0"/>
              <w:bottom w:val="single" w:color="auto" w:sz="4" w:space="0"/>
              <w:right w:val="single" w:color="000000" w:sz="4" w:space="0"/>
            </w:tcBorders>
            <w:noWrap w:val="0"/>
            <w:vAlign w:val="center"/>
          </w:tcPr>
          <w:p w14:paraId="4E8F0308">
            <w:pPr>
              <w:widowControl/>
              <w:spacing w:line="600" w:lineRule="exact"/>
              <w:jc w:val="center"/>
              <w:rPr>
                <w:rFonts w:hint="default" w:ascii="Times New Roman" w:hAnsi="Times New Roman" w:cs="Times New Roman"/>
                <w:sz w:val="15"/>
                <w:szCs w:val="15"/>
              </w:rPr>
            </w:pPr>
          </w:p>
        </w:tc>
      </w:tr>
      <w:tr w14:paraId="69013F7D">
        <w:tblPrEx>
          <w:tblCellMar>
            <w:top w:w="0" w:type="dxa"/>
            <w:left w:w="108" w:type="dxa"/>
            <w:bottom w:w="0" w:type="dxa"/>
            <w:right w:w="108" w:type="dxa"/>
          </w:tblCellMar>
        </w:tblPrEx>
        <w:trPr>
          <w:trHeight w:val="590" w:hRule="atLeast"/>
          <w:jc w:val="center"/>
        </w:trPr>
        <w:tc>
          <w:tcPr>
            <w:tcW w:w="9329" w:type="dxa"/>
            <w:gridSpan w:val="9"/>
            <w:tcBorders>
              <w:top w:val="single" w:color="auto" w:sz="4" w:space="0"/>
              <w:left w:val="single" w:color="auto" w:sz="4" w:space="0"/>
              <w:bottom w:val="single" w:color="auto" w:sz="4" w:space="0"/>
              <w:right w:val="single" w:color="auto" w:sz="4" w:space="0"/>
            </w:tcBorders>
            <w:noWrap w:val="0"/>
            <w:vAlign w:val="center"/>
          </w:tcPr>
          <w:p w14:paraId="688C7217">
            <w:pPr>
              <w:widowControl/>
              <w:spacing w:line="600" w:lineRule="exact"/>
              <w:jc w:val="center"/>
              <w:rPr>
                <w:rFonts w:hint="eastAsia" w:ascii="Times New Roman" w:hAnsi="Times New Roman" w:eastAsia="方正小标宋简体" w:cs="Times New Roman"/>
                <w:b w:val="0"/>
                <w:bCs w:val="0"/>
                <w:kern w:val="0"/>
                <w:sz w:val="28"/>
                <w:szCs w:val="28"/>
                <w:lang w:eastAsia="zh-CN"/>
              </w:rPr>
            </w:pPr>
            <w:r>
              <w:rPr>
                <w:rFonts w:hint="eastAsia" w:ascii="Times New Roman" w:hAnsi="Times New Roman" w:eastAsia="方正小标宋简体" w:cs="Times New Roman"/>
                <w:b w:val="0"/>
                <w:bCs w:val="0"/>
                <w:kern w:val="0"/>
                <w:sz w:val="28"/>
                <w:szCs w:val="28"/>
                <w:lang w:val="en-US" w:eastAsia="zh-CN"/>
              </w:rPr>
              <w:t>数量包装</w:t>
            </w:r>
            <w:r>
              <w:rPr>
                <w:rFonts w:hint="default" w:ascii="Times New Roman" w:hAnsi="Times New Roman" w:eastAsia="方正小标宋简体" w:cs="Times New Roman"/>
                <w:b w:val="0"/>
                <w:bCs w:val="0"/>
                <w:kern w:val="0"/>
                <w:sz w:val="28"/>
                <w:szCs w:val="28"/>
                <w:lang w:val="en-US" w:eastAsia="zh-CN"/>
              </w:rPr>
              <w:t>检查</w:t>
            </w:r>
            <w:r>
              <w:rPr>
                <w:rFonts w:hint="default" w:ascii="Times New Roman" w:hAnsi="Times New Roman" w:eastAsia="方正小标宋简体" w:cs="Times New Roman"/>
                <w:b w:val="0"/>
                <w:bCs w:val="0"/>
                <w:kern w:val="0"/>
                <w:sz w:val="28"/>
                <w:szCs w:val="28"/>
              </w:rPr>
              <w:t>情况</w:t>
            </w:r>
            <w:r>
              <w:rPr>
                <w:rFonts w:hint="eastAsia" w:ascii="Times New Roman" w:hAnsi="Times New Roman" w:eastAsia="方正小标宋简体" w:cs="Times New Roman"/>
                <w:b w:val="0"/>
                <w:bCs w:val="0"/>
                <w:kern w:val="0"/>
                <w:sz w:val="28"/>
                <w:szCs w:val="28"/>
                <w:lang w:eastAsia="zh-CN"/>
              </w:rPr>
              <w:t>（</w:t>
            </w:r>
            <w:r>
              <w:rPr>
                <w:rFonts w:hint="eastAsia" w:ascii="Times New Roman" w:hAnsi="Times New Roman" w:eastAsia="方正小标宋简体" w:cs="Times New Roman"/>
                <w:b w:val="0"/>
                <w:bCs w:val="0"/>
                <w:kern w:val="0"/>
                <w:sz w:val="28"/>
                <w:szCs w:val="28"/>
                <w:lang w:val="en-US" w:eastAsia="zh-CN"/>
              </w:rPr>
              <w:t>器材、车辆</w:t>
            </w:r>
            <w:r>
              <w:rPr>
                <w:rFonts w:hint="eastAsia" w:ascii="Times New Roman" w:hAnsi="Times New Roman" w:eastAsia="方正小标宋简体" w:cs="Times New Roman"/>
                <w:b w:val="0"/>
                <w:bCs w:val="0"/>
                <w:kern w:val="0"/>
                <w:sz w:val="28"/>
                <w:szCs w:val="28"/>
                <w:lang w:eastAsia="zh-CN"/>
              </w:rPr>
              <w:t>）</w:t>
            </w:r>
          </w:p>
        </w:tc>
      </w:tr>
      <w:tr w14:paraId="3C8E8BB9">
        <w:tblPrEx>
          <w:tblCellMar>
            <w:top w:w="0" w:type="dxa"/>
            <w:left w:w="108" w:type="dxa"/>
            <w:bottom w:w="0" w:type="dxa"/>
            <w:right w:w="108" w:type="dxa"/>
          </w:tblCellMar>
        </w:tblPrEx>
        <w:trPr>
          <w:trHeight w:val="747"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0EAB8601">
            <w:pPr>
              <w:spacing w:line="600" w:lineRule="exact"/>
              <w:jc w:val="center"/>
              <w:rPr>
                <w:rFonts w:hint="eastAsia" w:ascii="黑体" w:hAnsi="黑体" w:eastAsia="黑体" w:cs="黑体"/>
                <w:bCs/>
                <w:sz w:val="24"/>
                <w:szCs w:val="24"/>
                <w:lang w:val="en-US" w:eastAsia="zh-CN"/>
              </w:rPr>
            </w:pPr>
            <w:r>
              <w:rPr>
                <w:rFonts w:hint="default" w:ascii="黑体" w:hAnsi="黑体" w:eastAsia="黑体" w:cs="黑体"/>
                <w:bCs/>
                <w:sz w:val="24"/>
                <w:szCs w:val="24"/>
                <w:lang w:val="en-US" w:eastAsia="zh-CN"/>
              </w:rPr>
              <w:t>序号</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5689758A">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检查内容</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06A39674">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检查情况</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7FF1A9B0">
            <w:pPr>
              <w:spacing w:line="600" w:lineRule="exact"/>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验收人</w:t>
            </w:r>
          </w:p>
        </w:tc>
      </w:tr>
      <w:tr w14:paraId="0BEE4FB7">
        <w:tblPrEx>
          <w:tblCellMar>
            <w:top w:w="0" w:type="dxa"/>
            <w:left w:w="108" w:type="dxa"/>
            <w:bottom w:w="0" w:type="dxa"/>
            <w:right w:w="108" w:type="dxa"/>
          </w:tblCellMar>
        </w:tblPrEx>
        <w:trPr>
          <w:trHeight w:val="627"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09E80F3A">
            <w:pPr>
              <w:spacing w:line="6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35C6E813">
            <w:pPr>
              <w:spacing w:line="600" w:lineRule="exact"/>
              <w:jc w:val="center"/>
              <w:rPr>
                <w:rFonts w:hint="eastAsia" w:ascii="Times New Roman" w:hAnsi="Times New Roman" w:eastAsia="宋体" w:cs="Times New Roman"/>
                <w:color w:val="000000"/>
                <w:sz w:val="24"/>
                <w:lang w:eastAsia="zh-CN"/>
              </w:rPr>
            </w:pPr>
            <w:r>
              <w:rPr>
                <w:rFonts w:hint="default" w:ascii="Times New Roman" w:hAnsi="Times New Roman" w:eastAsia="宋体" w:cs="Times New Roman"/>
                <w:color w:val="000000"/>
                <w:sz w:val="24"/>
              </w:rPr>
              <w:t>数量</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外观</w:t>
            </w:r>
            <w:r>
              <w:rPr>
                <w:rFonts w:hint="eastAsia" w:ascii="Times New Roman" w:hAnsi="Times New Roman" w:eastAsia="宋体" w:cs="Times New Roman"/>
                <w:color w:val="000000"/>
                <w:sz w:val="24"/>
                <w:lang w:val="en-US" w:eastAsia="zh-CN"/>
              </w:rPr>
              <w:t>等</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54A27D4B">
            <w:pPr>
              <w:widowControl/>
              <w:spacing w:line="600" w:lineRule="exact"/>
              <w:jc w:val="center"/>
              <w:rPr>
                <w:rFonts w:hint="default" w:ascii="Times New Roman" w:hAnsi="Times New Roman" w:eastAsia="方正小标宋简体" w:cs="Times New Roman"/>
                <w:b w:val="0"/>
                <w:bCs w:val="0"/>
                <w:kern w:val="0"/>
                <w:sz w:val="28"/>
                <w:szCs w:val="28"/>
              </w:rPr>
            </w:pPr>
            <w:r>
              <w:rPr>
                <w:rFonts w:hint="eastAsia" w:eastAsia="宋体"/>
                <w:color w:val="000000"/>
                <w:sz w:val="21"/>
                <w:szCs w:val="21"/>
                <w:lang w:val="en-US" w:eastAsia="zh-CN"/>
              </w:rPr>
              <w:t>□合格  □限期整改  □不合格</w:t>
            </w:r>
          </w:p>
        </w:tc>
        <w:tc>
          <w:tcPr>
            <w:tcW w:w="1881" w:type="dxa"/>
            <w:gridSpan w:val="2"/>
            <w:vMerge w:val="restart"/>
            <w:tcBorders>
              <w:top w:val="single" w:color="auto" w:sz="4" w:space="0"/>
              <w:left w:val="single" w:color="auto" w:sz="4" w:space="0"/>
              <w:right w:val="single" w:color="auto" w:sz="4" w:space="0"/>
            </w:tcBorders>
            <w:noWrap w:val="0"/>
            <w:vAlign w:val="center"/>
          </w:tcPr>
          <w:p w14:paraId="061BF3E0">
            <w:pPr>
              <w:widowControl/>
              <w:spacing w:line="600" w:lineRule="exact"/>
              <w:jc w:val="center"/>
              <w:rPr>
                <w:rFonts w:hint="default" w:ascii="Times New Roman" w:hAnsi="Times New Roman" w:eastAsia="方正小标宋简体" w:cs="Times New Roman"/>
                <w:b w:val="0"/>
                <w:bCs w:val="0"/>
                <w:kern w:val="0"/>
                <w:sz w:val="28"/>
                <w:szCs w:val="28"/>
              </w:rPr>
            </w:pPr>
          </w:p>
        </w:tc>
      </w:tr>
      <w:tr w14:paraId="2650E4FD">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04D25A18">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2</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0B466374">
            <w:pPr>
              <w:spacing w:line="60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铭牌</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标识</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02743188">
            <w:pPr>
              <w:widowControl/>
              <w:spacing w:line="600" w:lineRule="exact"/>
              <w:jc w:val="center"/>
              <w:rPr>
                <w:rFonts w:hint="default" w:ascii="Times New Roman" w:hAnsi="Times New Roman" w:eastAsia="方正小标宋简体" w:cs="Times New Roman"/>
                <w:b w:val="0"/>
                <w:bCs w:val="0"/>
                <w:kern w:val="0"/>
                <w:sz w:val="28"/>
                <w:szCs w:val="28"/>
              </w:rPr>
            </w:pPr>
            <w:r>
              <w:rPr>
                <w:rFonts w:hint="eastAsia" w:eastAsia="宋体"/>
                <w:color w:val="000000"/>
                <w:sz w:val="21"/>
                <w:szCs w:val="21"/>
                <w:lang w:val="en-US" w:eastAsia="zh-CN"/>
              </w:rPr>
              <w:t>□合格  □限期整改  □不合格</w:t>
            </w:r>
          </w:p>
        </w:tc>
        <w:tc>
          <w:tcPr>
            <w:tcW w:w="1881" w:type="dxa"/>
            <w:gridSpan w:val="2"/>
            <w:vMerge w:val="continue"/>
            <w:tcBorders>
              <w:left w:val="single" w:color="auto" w:sz="4" w:space="0"/>
              <w:right w:val="single" w:color="auto" w:sz="4" w:space="0"/>
            </w:tcBorders>
            <w:noWrap w:val="0"/>
            <w:vAlign w:val="center"/>
          </w:tcPr>
          <w:p w14:paraId="309339C0">
            <w:pPr>
              <w:widowControl/>
              <w:spacing w:line="600" w:lineRule="exact"/>
              <w:jc w:val="center"/>
              <w:rPr>
                <w:rFonts w:hint="default" w:ascii="Times New Roman" w:hAnsi="Times New Roman" w:eastAsia="方正小标宋简体" w:cs="Times New Roman"/>
                <w:b w:val="0"/>
                <w:bCs w:val="0"/>
                <w:kern w:val="0"/>
                <w:sz w:val="28"/>
                <w:szCs w:val="28"/>
              </w:rPr>
            </w:pPr>
          </w:p>
        </w:tc>
      </w:tr>
      <w:tr w14:paraId="0444AC1B">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2987AB84">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3</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715F85E9">
            <w:pPr>
              <w:spacing w:line="60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RFID标签</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2FEBB538">
            <w:pPr>
              <w:widowControl/>
              <w:spacing w:line="600" w:lineRule="exact"/>
              <w:jc w:val="center"/>
              <w:rPr>
                <w:rFonts w:hint="default" w:ascii="Times New Roman" w:hAnsi="Times New Roman" w:eastAsia="方正小标宋简体" w:cs="Times New Roman"/>
                <w:b w:val="0"/>
                <w:bCs w:val="0"/>
                <w:kern w:val="0"/>
                <w:sz w:val="28"/>
                <w:szCs w:val="28"/>
              </w:rPr>
            </w:pPr>
            <w:r>
              <w:rPr>
                <w:rFonts w:hint="eastAsia" w:eastAsia="宋体"/>
                <w:color w:val="000000"/>
                <w:sz w:val="21"/>
                <w:szCs w:val="21"/>
                <w:lang w:val="en-US" w:eastAsia="zh-CN"/>
              </w:rPr>
              <w:t>□合格  □限期整改  □不合格</w:t>
            </w:r>
          </w:p>
        </w:tc>
        <w:tc>
          <w:tcPr>
            <w:tcW w:w="1881" w:type="dxa"/>
            <w:gridSpan w:val="2"/>
            <w:vMerge w:val="continue"/>
            <w:tcBorders>
              <w:left w:val="single" w:color="auto" w:sz="4" w:space="0"/>
              <w:right w:val="single" w:color="auto" w:sz="4" w:space="0"/>
            </w:tcBorders>
            <w:noWrap w:val="0"/>
            <w:vAlign w:val="center"/>
          </w:tcPr>
          <w:p w14:paraId="25EE72C1">
            <w:pPr>
              <w:widowControl/>
              <w:spacing w:line="600" w:lineRule="exact"/>
              <w:jc w:val="center"/>
              <w:rPr>
                <w:rFonts w:hint="default" w:ascii="Times New Roman" w:hAnsi="Times New Roman" w:eastAsia="方正小标宋简体" w:cs="Times New Roman"/>
                <w:b w:val="0"/>
                <w:bCs w:val="0"/>
                <w:kern w:val="0"/>
                <w:sz w:val="28"/>
                <w:szCs w:val="28"/>
              </w:rPr>
            </w:pPr>
          </w:p>
        </w:tc>
      </w:tr>
      <w:tr w14:paraId="1CC87286">
        <w:tblPrEx>
          <w:tblCellMar>
            <w:top w:w="0" w:type="dxa"/>
            <w:left w:w="108" w:type="dxa"/>
            <w:bottom w:w="0" w:type="dxa"/>
            <w:right w:w="108" w:type="dxa"/>
          </w:tblCellMar>
        </w:tblPrEx>
        <w:trPr>
          <w:trHeight w:val="5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728665C">
            <w:pPr>
              <w:spacing w:line="6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4</w:t>
            </w:r>
          </w:p>
        </w:tc>
        <w:tc>
          <w:tcPr>
            <w:tcW w:w="3495" w:type="dxa"/>
            <w:gridSpan w:val="2"/>
            <w:tcBorders>
              <w:top w:val="single" w:color="auto" w:sz="4" w:space="0"/>
              <w:left w:val="single" w:color="auto" w:sz="4" w:space="0"/>
              <w:bottom w:val="single" w:color="auto" w:sz="4" w:space="0"/>
              <w:right w:val="single" w:color="auto" w:sz="4" w:space="0"/>
            </w:tcBorders>
            <w:noWrap w:val="0"/>
            <w:vAlign w:val="center"/>
          </w:tcPr>
          <w:p w14:paraId="01853520">
            <w:pPr>
              <w:spacing w:line="600" w:lineRule="exact"/>
              <w:jc w:val="cente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其他</w:t>
            </w:r>
          </w:p>
        </w:tc>
        <w:tc>
          <w:tcPr>
            <w:tcW w:w="3225" w:type="dxa"/>
            <w:gridSpan w:val="4"/>
            <w:tcBorders>
              <w:top w:val="single" w:color="auto" w:sz="4" w:space="0"/>
              <w:left w:val="single" w:color="auto" w:sz="4" w:space="0"/>
              <w:bottom w:val="single" w:color="auto" w:sz="4" w:space="0"/>
              <w:right w:val="single" w:color="auto" w:sz="4" w:space="0"/>
            </w:tcBorders>
            <w:noWrap w:val="0"/>
            <w:vAlign w:val="center"/>
          </w:tcPr>
          <w:p w14:paraId="3695FC51">
            <w:pPr>
              <w:widowControl/>
              <w:spacing w:line="600" w:lineRule="exact"/>
              <w:jc w:val="center"/>
              <w:rPr>
                <w:rFonts w:hint="default" w:ascii="Times New Roman" w:hAnsi="Times New Roman" w:eastAsia="方正小标宋简体" w:cs="Times New Roman"/>
                <w:b w:val="0"/>
                <w:bCs w:val="0"/>
                <w:kern w:val="0"/>
                <w:sz w:val="28"/>
                <w:szCs w:val="28"/>
              </w:rPr>
            </w:pPr>
          </w:p>
        </w:tc>
        <w:tc>
          <w:tcPr>
            <w:tcW w:w="1881" w:type="dxa"/>
            <w:gridSpan w:val="2"/>
            <w:vMerge w:val="continue"/>
            <w:tcBorders>
              <w:left w:val="single" w:color="auto" w:sz="4" w:space="0"/>
              <w:bottom w:val="single" w:color="auto" w:sz="4" w:space="0"/>
              <w:right w:val="single" w:color="auto" w:sz="4" w:space="0"/>
            </w:tcBorders>
            <w:noWrap w:val="0"/>
            <w:vAlign w:val="center"/>
          </w:tcPr>
          <w:p w14:paraId="03EC3336">
            <w:pPr>
              <w:widowControl/>
              <w:spacing w:line="600" w:lineRule="exact"/>
              <w:jc w:val="center"/>
              <w:rPr>
                <w:rFonts w:hint="default" w:ascii="Times New Roman" w:hAnsi="Times New Roman" w:eastAsia="方正小标宋简体" w:cs="Times New Roman"/>
                <w:b w:val="0"/>
                <w:bCs w:val="0"/>
                <w:kern w:val="0"/>
                <w:sz w:val="28"/>
                <w:szCs w:val="28"/>
              </w:rPr>
            </w:pPr>
          </w:p>
        </w:tc>
      </w:tr>
      <w:tr w14:paraId="07DE0923">
        <w:tblPrEx>
          <w:tblCellMar>
            <w:top w:w="0" w:type="dxa"/>
            <w:left w:w="108" w:type="dxa"/>
            <w:bottom w:w="0" w:type="dxa"/>
            <w:right w:w="108" w:type="dxa"/>
          </w:tblCellMar>
        </w:tblPrEx>
        <w:trPr>
          <w:trHeight w:val="90" w:hRule="atLeast"/>
          <w:jc w:val="center"/>
        </w:trPr>
        <w:tc>
          <w:tcPr>
            <w:tcW w:w="9329" w:type="dxa"/>
            <w:gridSpan w:val="9"/>
            <w:tcBorders>
              <w:top w:val="single" w:color="auto" w:sz="4" w:space="0"/>
              <w:left w:val="single" w:color="auto" w:sz="4" w:space="0"/>
              <w:bottom w:val="single" w:color="auto" w:sz="4" w:space="0"/>
              <w:right w:val="single" w:color="auto" w:sz="4" w:space="0"/>
            </w:tcBorders>
            <w:noWrap w:val="0"/>
            <w:vAlign w:val="center"/>
          </w:tcPr>
          <w:p w14:paraId="24EDE1E4">
            <w:pPr>
              <w:widowControl/>
              <w:spacing w:line="600" w:lineRule="exact"/>
              <w:jc w:val="center"/>
              <w:rPr>
                <w:rFonts w:hint="eastAsia" w:ascii="Times New Roman" w:hAnsi="Times New Roman" w:eastAsia="方正小标宋简体" w:cs="Times New Roman"/>
                <w:b/>
                <w:bCs/>
                <w:kern w:val="0"/>
                <w:sz w:val="28"/>
                <w:szCs w:val="28"/>
                <w:lang w:eastAsia="zh-CN"/>
              </w:rPr>
            </w:pPr>
            <w:r>
              <w:rPr>
                <w:rFonts w:hint="default" w:ascii="Times New Roman" w:hAnsi="Times New Roman" w:eastAsia="方正小标宋简体" w:cs="Times New Roman"/>
                <w:b w:val="0"/>
                <w:bCs w:val="0"/>
                <w:kern w:val="0"/>
                <w:sz w:val="28"/>
                <w:szCs w:val="28"/>
              </w:rPr>
              <w:t>一致性</w:t>
            </w:r>
            <w:r>
              <w:rPr>
                <w:rFonts w:hint="default" w:ascii="Times New Roman" w:hAnsi="Times New Roman" w:eastAsia="方正小标宋简体" w:cs="Times New Roman"/>
                <w:b w:val="0"/>
                <w:bCs w:val="0"/>
                <w:kern w:val="0"/>
                <w:sz w:val="28"/>
                <w:szCs w:val="28"/>
                <w:lang w:val="en-US" w:eastAsia="zh-CN"/>
              </w:rPr>
              <w:t>检查</w:t>
            </w:r>
            <w:r>
              <w:rPr>
                <w:rFonts w:hint="default" w:ascii="Times New Roman" w:hAnsi="Times New Roman" w:eastAsia="方正小标宋简体" w:cs="Times New Roman"/>
                <w:b w:val="0"/>
                <w:bCs w:val="0"/>
                <w:kern w:val="0"/>
                <w:sz w:val="28"/>
                <w:szCs w:val="28"/>
              </w:rPr>
              <w:t>情况</w:t>
            </w:r>
            <w:r>
              <w:rPr>
                <w:rFonts w:hint="eastAsia" w:ascii="Times New Roman" w:hAnsi="Times New Roman" w:eastAsia="方正小标宋简体" w:cs="Times New Roman"/>
                <w:b w:val="0"/>
                <w:bCs w:val="0"/>
                <w:kern w:val="0"/>
                <w:sz w:val="28"/>
                <w:szCs w:val="28"/>
                <w:lang w:eastAsia="zh-CN"/>
              </w:rPr>
              <w:t>（</w:t>
            </w:r>
            <w:r>
              <w:rPr>
                <w:rFonts w:hint="eastAsia" w:ascii="Times New Roman" w:hAnsi="Times New Roman" w:eastAsia="方正小标宋简体" w:cs="Times New Roman"/>
                <w:b w:val="0"/>
                <w:bCs w:val="0"/>
                <w:kern w:val="0"/>
                <w:sz w:val="28"/>
                <w:szCs w:val="28"/>
                <w:lang w:val="en-US" w:eastAsia="zh-CN"/>
              </w:rPr>
              <w:t>器材</w:t>
            </w:r>
            <w:r>
              <w:rPr>
                <w:rFonts w:hint="eastAsia" w:ascii="Times New Roman" w:hAnsi="Times New Roman" w:eastAsia="方正小标宋简体" w:cs="Times New Roman"/>
                <w:b w:val="0"/>
                <w:bCs w:val="0"/>
                <w:kern w:val="0"/>
                <w:sz w:val="28"/>
                <w:szCs w:val="28"/>
                <w:lang w:eastAsia="zh-CN"/>
              </w:rPr>
              <w:t>）</w:t>
            </w:r>
          </w:p>
        </w:tc>
      </w:tr>
      <w:tr w14:paraId="3445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shd w:val="clear" w:color="auto" w:fill="auto"/>
            <w:noWrap w:val="0"/>
            <w:vAlign w:val="center"/>
          </w:tcPr>
          <w:p w14:paraId="53F12100">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序号</w:t>
            </w:r>
          </w:p>
        </w:tc>
        <w:tc>
          <w:tcPr>
            <w:tcW w:w="3495" w:type="dxa"/>
            <w:gridSpan w:val="2"/>
            <w:shd w:val="clear" w:color="auto" w:fill="FFFFFF"/>
            <w:noWrap w:val="0"/>
            <w:vAlign w:val="center"/>
          </w:tcPr>
          <w:p w14:paraId="6EA0E707">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检查内容</w:t>
            </w:r>
          </w:p>
        </w:tc>
        <w:tc>
          <w:tcPr>
            <w:tcW w:w="3225" w:type="dxa"/>
            <w:gridSpan w:val="4"/>
            <w:shd w:val="clear" w:color="auto" w:fill="FFFFFF"/>
            <w:noWrap w:val="0"/>
            <w:vAlign w:val="center"/>
          </w:tcPr>
          <w:p w14:paraId="742D668F">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检查情况</w:t>
            </w:r>
          </w:p>
        </w:tc>
        <w:tc>
          <w:tcPr>
            <w:tcW w:w="1881" w:type="dxa"/>
            <w:gridSpan w:val="2"/>
            <w:noWrap w:val="0"/>
            <w:vAlign w:val="center"/>
          </w:tcPr>
          <w:p w14:paraId="506022E2">
            <w:pPr>
              <w:spacing w:line="600" w:lineRule="exact"/>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验收人</w:t>
            </w:r>
          </w:p>
        </w:tc>
      </w:tr>
      <w:tr w14:paraId="1B88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456BABDA">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495" w:type="dxa"/>
            <w:gridSpan w:val="2"/>
            <w:noWrap w:val="0"/>
            <w:vAlign w:val="center"/>
          </w:tcPr>
          <w:p w14:paraId="6211A7A7">
            <w:pPr>
              <w:spacing w:line="60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资料审查</w:t>
            </w:r>
          </w:p>
        </w:tc>
        <w:tc>
          <w:tcPr>
            <w:tcW w:w="3225" w:type="dxa"/>
            <w:gridSpan w:val="4"/>
            <w:noWrap w:val="0"/>
            <w:vAlign w:val="center"/>
          </w:tcPr>
          <w:p w14:paraId="4365C92A">
            <w:pPr>
              <w:spacing w:line="600" w:lineRule="exact"/>
              <w:jc w:val="center"/>
              <w:rPr>
                <w:rFonts w:hint="default" w:ascii="Times New Roman" w:hAnsi="Times New Roman" w:eastAsia="仿宋_GB2312" w:cs="Times New Roman"/>
                <w:sz w:val="24"/>
                <w:szCs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30DE7E35">
            <w:pPr>
              <w:spacing w:line="600" w:lineRule="exact"/>
              <w:jc w:val="center"/>
              <w:rPr>
                <w:rFonts w:hint="default" w:ascii="Times New Roman" w:hAnsi="Times New Roman" w:eastAsia="仿宋_GB2312" w:cs="Times New Roman"/>
                <w:sz w:val="24"/>
                <w:szCs w:val="24"/>
              </w:rPr>
            </w:pPr>
          </w:p>
        </w:tc>
      </w:tr>
      <w:tr w14:paraId="5F93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7F99F5A4">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495" w:type="dxa"/>
            <w:gridSpan w:val="2"/>
            <w:noWrap w:val="0"/>
            <w:vAlign w:val="center"/>
          </w:tcPr>
          <w:p w14:paraId="06EDF759">
            <w:pPr>
              <w:spacing w:line="600" w:lineRule="exact"/>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rPr>
              <w:t>部件检查</w:t>
            </w:r>
          </w:p>
        </w:tc>
        <w:tc>
          <w:tcPr>
            <w:tcW w:w="3225" w:type="dxa"/>
            <w:gridSpan w:val="4"/>
            <w:noWrap w:val="0"/>
            <w:vAlign w:val="center"/>
          </w:tcPr>
          <w:p w14:paraId="10928671">
            <w:pPr>
              <w:spacing w:line="600" w:lineRule="exact"/>
              <w:jc w:val="center"/>
              <w:rPr>
                <w:rFonts w:hint="default" w:ascii="Times New Roman" w:hAnsi="Times New Roman" w:eastAsia="仿宋_GB2312" w:cs="Times New Roman"/>
                <w:sz w:val="24"/>
                <w:szCs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0EF2B5B2">
            <w:pPr>
              <w:spacing w:line="600" w:lineRule="exact"/>
              <w:jc w:val="center"/>
              <w:rPr>
                <w:rFonts w:hint="default" w:ascii="Times New Roman" w:hAnsi="Times New Roman" w:eastAsia="仿宋_GB2312" w:cs="Times New Roman"/>
                <w:sz w:val="24"/>
                <w:szCs w:val="24"/>
              </w:rPr>
            </w:pPr>
          </w:p>
        </w:tc>
      </w:tr>
      <w:tr w14:paraId="6F43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47A70C22">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495" w:type="dxa"/>
            <w:gridSpan w:val="2"/>
            <w:noWrap w:val="0"/>
            <w:vAlign w:val="center"/>
          </w:tcPr>
          <w:p w14:paraId="0A6037A0">
            <w:pPr>
              <w:spacing w:line="600" w:lineRule="exact"/>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履约时间核查</w:t>
            </w:r>
          </w:p>
        </w:tc>
        <w:tc>
          <w:tcPr>
            <w:tcW w:w="3225" w:type="dxa"/>
            <w:gridSpan w:val="4"/>
            <w:noWrap w:val="0"/>
            <w:vAlign w:val="center"/>
          </w:tcPr>
          <w:p w14:paraId="26A27766">
            <w:pPr>
              <w:spacing w:line="600" w:lineRule="exact"/>
              <w:jc w:val="center"/>
              <w:rPr>
                <w:rFonts w:hint="default" w:ascii="Times New Roman" w:hAnsi="Times New Roman" w:eastAsia="仿宋_GB2312" w:cs="Times New Roman"/>
                <w:sz w:val="24"/>
                <w:szCs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249ABDAB">
            <w:pPr>
              <w:spacing w:line="600" w:lineRule="exact"/>
              <w:rPr>
                <w:rFonts w:hint="default" w:ascii="Times New Roman" w:hAnsi="Times New Roman" w:eastAsia="仿宋_GB2312" w:cs="Times New Roman"/>
                <w:sz w:val="24"/>
                <w:szCs w:val="24"/>
              </w:rPr>
            </w:pPr>
          </w:p>
        </w:tc>
      </w:tr>
      <w:tr w14:paraId="42E1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9"/>
            <w:noWrap w:val="0"/>
            <w:vAlign w:val="center"/>
          </w:tcPr>
          <w:p w14:paraId="7B1594B4">
            <w:pPr>
              <w:widowControl/>
              <w:spacing w:line="600" w:lineRule="exact"/>
              <w:jc w:val="center"/>
              <w:rPr>
                <w:rFonts w:hint="eastAsia" w:ascii="Times New Roman" w:hAnsi="Times New Roman" w:eastAsia="方正小标宋简体" w:cs="Times New Roman"/>
                <w:b/>
                <w:bCs/>
                <w:kern w:val="0"/>
                <w:sz w:val="28"/>
                <w:szCs w:val="28"/>
                <w:lang w:eastAsia="zh-CN"/>
              </w:rPr>
            </w:pPr>
            <w:r>
              <w:rPr>
                <w:rFonts w:hint="default" w:ascii="Times New Roman" w:hAnsi="Times New Roman" w:eastAsia="方正小标宋简体" w:cs="Times New Roman"/>
                <w:b w:val="0"/>
                <w:bCs w:val="0"/>
                <w:kern w:val="0"/>
                <w:sz w:val="28"/>
                <w:szCs w:val="28"/>
              </w:rPr>
              <w:t>质量性能测试情况</w:t>
            </w:r>
            <w:r>
              <w:rPr>
                <w:rFonts w:hint="eastAsia" w:ascii="Times New Roman" w:hAnsi="Times New Roman" w:eastAsia="方正小标宋简体" w:cs="Times New Roman"/>
                <w:b w:val="0"/>
                <w:bCs w:val="0"/>
                <w:kern w:val="0"/>
                <w:sz w:val="28"/>
                <w:szCs w:val="28"/>
                <w:lang w:eastAsia="zh-CN"/>
              </w:rPr>
              <w:t>（</w:t>
            </w:r>
            <w:r>
              <w:rPr>
                <w:rFonts w:hint="eastAsia" w:ascii="Times New Roman" w:hAnsi="Times New Roman" w:eastAsia="方正小标宋简体" w:cs="Times New Roman"/>
                <w:b w:val="0"/>
                <w:bCs w:val="0"/>
                <w:kern w:val="0"/>
                <w:sz w:val="28"/>
                <w:szCs w:val="28"/>
                <w:lang w:val="en-US" w:eastAsia="zh-CN"/>
              </w:rPr>
              <w:t>器材</w:t>
            </w:r>
            <w:r>
              <w:rPr>
                <w:rFonts w:hint="eastAsia" w:ascii="Times New Roman" w:hAnsi="Times New Roman" w:eastAsia="方正小标宋简体" w:cs="Times New Roman"/>
                <w:b w:val="0"/>
                <w:bCs w:val="0"/>
                <w:kern w:val="0"/>
                <w:sz w:val="28"/>
                <w:szCs w:val="28"/>
                <w:lang w:eastAsia="zh-CN"/>
              </w:rPr>
              <w:t>）</w:t>
            </w:r>
          </w:p>
        </w:tc>
      </w:tr>
      <w:tr w14:paraId="0A4A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0EDEE064">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序号</w:t>
            </w:r>
          </w:p>
        </w:tc>
        <w:tc>
          <w:tcPr>
            <w:tcW w:w="3495" w:type="dxa"/>
            <w:gridSpan w:val="2"/>
            <w:noWrap w:val="0"/>
            <w:vAlign w:val="center"/>
          </w:tcPr>
          <w:p w14:paraId="56397D59">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测试内容</w:t>
            </w:r>
          </w:p>
        </w:tc>
        <w:tc>
          <w:tcPr>
            <w:tcW w:w="3225" w:type="dxa"/>
            <w:gridSpan w:val="4"/>
            <w:noWrap w:val="0"/>
            <w:vAlign w:val="center"/>
          </w:tcPr>
          <w:p w14:paraId="6C4A0751">
            <w:pPr>
              <w:spacing w:line="600" w:lineRule="exact"/>
              <w:jc w:val="center"/>
              <w:rPr>
                <w:rFonts w:hint="default" w:ascii="黑体" w:hAnsi="黑体" w:eastAsia="黑体" w:cs="黑体"/>
                <w:bCs/>
                <w:sz w:val="24"/>
                <w:szCs w:val="24"/>
                <w:lang w:val="en-US" w:eastAsia="zh-CN"/>
              </w:rPr>
            </w:pPr>
            <w:r>
              <w:rPr>
                <w:rFonts w:hint="default" w:ascii="黑体" w:hAnsi="黑体" w:eastAsia="黑体" w:cs="黑体"/>
                <w:bCs/>
                <w:sz w:val="24"/>
                <w:szCs w:val="24"/>
                <w:lang w:val="en-US" w:eastAsia="zh-CN"/>
              </w:rPr>
              <w:t>测试情况</w:t>
            </w:r>
          </w:p>
        </w:tc>
        <w:tc>
          <w:tcPr>
            <w:tcW w:w="1881" w:type="dxa"/>
            <w:gridSpan w:val="2"/>
            <w:noWrap w:val="0"/>
            <w:vAlign w:val="center"/>
          </w:tcPr>
          <w:p w14:paraId="0580C656">
            <w:pPr>
              <w:spacing w:line="600" w:lineRule="exact"/>
              <w:jc w:val="center"/>
              <w:rPr>
                <w:rFonts w:hint="default" w:ascii="黑体" w:hAnsi="黑体" w:eastAsia="黑体" w:cs="黑体"/>
                <w:bCs/>
                <w:sz w:val="24"/>
                <w:szCs w:val="24"/>
                <w:lang w:val="en-US" w:eastAsia="zh-CN"/>
              </w:rPr>
            </w:pPr>
            <w:r>
              <w:rPr>
                <w:rFonts w:hint="eastAsia" w:ascii="黑体" w:hAnsi="黑体" w:eastAsia="黑体" w:cs="黑体"/>
                <w:bCs/>
                <w:sz w:val="24"/>
                <w:szCs w:val="24"/>
                <w:lang w:val="en-US" w:eastAsia="zh-CN"/>
              </w:rPr>
              <w:t>验收人</w:t>
            </w:r>
          </w:p>
        </w:tc>
      </w:tr>
      <w:tr w14:paraId="3127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1A6522D6">
            <w:pPr>
              <w:spacing w:line="6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 xml:space="preserve">1 </w:t>
            </w:r>
          </w:p>
        </w:tc>
        <w:tc>
          <w:tcPr>
            <w:tcW w:w="3495" w:type="dxa"/>
            <w:gridSpan w:val="2"/>
            <w:noWrap w:val="0"/>
            <w:vAlign w:val="center"/>
          </w:tcPr>
          <w:p w14:paraId="012B1A94">
            <w:pPr>
              <w:spacing w:line="600" w:lineRule="exact"/>
              <w:rPr>
                <w:rFonts w:hint="default" w:ascii="Times New Roman" w:hAnsi="Times New Roman" w:cs="Times New Roman"/>
                <w:sz w:val="24"/>
                <w:lang w:val="en-US"/>
              </w:rPr>
            </w:pPr>
          </w:p>
        </w:tc>
        <w:tc>
          <w:tcPr>
            <w:tcW w:w="3225" w:type="dxa"/>
            <w:gridSpan w:val="4"/>
            <w:noWrap w:val="0"/>
            <w:vAlign w:val="center"/>
          </w:tcPr>
          <w:p w14:paraId="3C35EEF6">
            <w:pPr>
              <w:spacing w:line="600" w:lineRule="exact"/>
              <w:jc w:val="center"/>
              <w:rPr>
                <w:rFonts w:hint="default" w:ascii="Times New Roman" w:hAnsi="Times New Roman" w:cs="Times New Roman"/>
                <w:sz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60B44DDD">
            <w:pPr>
              <w:spacing w:line="600" w:lineRule="exact"/>
              <w:rPr>
                <w:rFonts w:hint="default" w:ascii="Times New Roman" w:hAnsi="Times New Roman" w:cs="Times New Roman"/>
                <w:sz w:val="24"/>
              </w:rPr>
            </w:pPr>
          </w:p>
        </w:tc>
      </w:tr>
      <w:tr w14:paraId="1649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5D087023">
            <w:pPr>
              <w:spacing w:line="600" w:lineRule="exact"/>
              <w:jc w:val="center"/>
              <w:rPr>
                <w:rFonts w:hint="default" w:ascii="Times New Roman" w:hAnsi="Times New Roman" w:eastAsia="仿宋_GB2312" w:cs="Times New Roman"/>
                <w:sz w:val="24"/>
                <w:lang w:eastAsia="zh-CN"/>
              </w:rPr>
            </w:pPr>
            <w:r>
              <w:rPr>
                <w:rFonts w:hint="default" w:ascii="Times New Roman" w:hAnsi="Times New Roman" w:cs="Times New Roman"/>
                <w:sz w:val="24"/>
                <w:lang w:val="en-US" w:eastAsia="zh-CN"/>
              </w:rPr>
              <w:t>2</w:t>
            </w:r>
          </w:p>
        </w:tc>
        <w:tc>
          <w:tcPr>
            <w:tcW w:w="3495" w:type="dxa"/>
            <w:gridSpan w:val="2"/>
            <w:noWrap w:val="0"/>
            <w:vAlign w:val="center"/>
          </w:tcPr>
          <w:p w14:paraId="44612B50">
            <w:pPr>
              <w:spacing w:line="600" w:lineRule="exact"/>
              <w:rPr>
                <w:rFonts w:hint="default" w:ascii="Times New Roman" w:hAnsi="Times New Roman" w:cs="Times New Roman"/>
                <w:sz w:val="24"/>
              </w:rPr>
            </w:pPr>
          </w:p>
        </w:tc>
        <w:tc>
          <w:tcPr>
            <w:tcW w:w="3225" w:type="dxa"/>
            <w:gridSpan w:val="4"/>
            <w:noWrap w:val="0"/>
            <w:vAlign w:val="center"/>
          </w:tcPr>
          <w:p w14:paraId="6AA45853">
            <w:pPr>
              <w:spacing w:line="600" w:lineRule="exact"/>
              <w:jc w:val="center"/>
              <w:rPr>
                <w:rFonts w:hint="default" w:ascii="Times New Roman" w:hAnsi="Times New Roman" w:cs="Times New Roman"/>
                <w:sz w:val="24"/>
              </w:rPr>
            </w:pPr>
            <w:r>
              <w:rPr>
                <w:rFonts w:hint="eastAsia" w:eastAsia="宋体"/>
                <w:color w:val="000000"/>
                <w:sz w:val="21"/>
                <w:szCs w:val="21"/>
                <w:lang w:val="en-US" w:eastAsia="zh-CN"/>
              </w:rPr>
              <w:t>□合格  □限期整改  □不合格</w:t>
            </w:r>
          </w:p>
        </w:tc>
        <w:tc>
          <w:tcPr>
            <w:tcW w:w="1881" w:type="dxa"/>
            <w:gridSpan w:val="2"/>
            <w:noWrap w:val="0"/>
            <w:vAlign w:val="center"/>
          </w:tcPr>
          <w:p w14:paraId="09152D50">
            <w:pPr>
              <w:spacing w:line="600" w:lineRule="exact"/>
              <w:rPr>
                <w:rFonts w:hint="default" w:ascii="Times New Roman" w:hAnsi="Times New Roman" w:cs="Times New Roman"/>
                <w:sz w:val="24"/>
              </w:rPr>
            </w:pPr>
          </w:p>
        </w:tc>
      </w:tr>
      <w:tr w14:paraId="7F67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14:paraId="7A49FC7D">
            <w:pPr>
              <w:spacing w:line="600" w:lineRule="exact"/>
              <w:jc w:val="center"/>
              <w:rPr>
                <w:rFonts w:hint="default" w:ascii="黑体" w:hAnsi="黑体" w:eastAsia="黑体" w:cs="黑体"/>
                <w:bCs/>
                <w:sz w:val="24"/>
                <w:szCs w:val="24"/>
                <w:lang w:val="en-US" w:eastAsia="zh-CN"/>
              </w:rPr>
            </w:pPr>
            <w:r>
              <w:rPr>
                <w:rFonts w:hint="eastAsia" w:ascii="黑体" w:hAnsi="黑体" w:eastAsia="黑体" w:cs="黑体"/>
                <w:bCs/>
                <w:sz w:val="24"/>
                <w:szCs w:val="24"/>
                <w:lang w:val="en-US" w:eastAsia="zh-CN"/>
              </w:rPr>
              <w:t>3</w:t>
            </w:r>
          </w:p>
        </w:tc>
        <w:tc>
          <w:tcPr>
            <w:tcW w:w="3495" w:type="dxa"/>
            <w:gridSpan w:val="2"/>
            <w:noWrap w:val="0"/>
            <w:vAlign w:val="center"/>
          </w:tcPr>
          <w:p w14:paraId="4495B2C3">
            <w:pPr>
              <w:spacing w:line="600" w:lineRule="exact"/>
              <w:jc w:val="center"/>
              <w:rPr>
                <w:rFonts w:hint="default" w:ascii="黑体" w:hAnsi="黑体" w:eastAsia="黑体" w:cs="黑体"/>
                <w:bCs/>
                <w:sz w:val="24"/>
                <w:szCs w:val="24"/>
                <w:lang w:val="en-US" w:eastAsia="zh-CN"/>
              </w:rPr>
            </w:pPr>
          </w:p>
        </w:tc>
        <w:tc>
          <w:tcPr>
            <w:tcW w:w="3225" w:type="dxa"/>
            <w:gridSpan w:val="4"/>
            <w:noWrap w:val="0"/>
            <w:vAlign w:val="center"/>
          </w:tcPr>
          <w:p w14:paraId="1196C441">
            <w:pPr>
              <w:spacing w:line="600" w:lineRule="exact"/>
              <w:jc w:val="center"/>
              <w:rPr>
                <w:rFonts w:hint="default" w:ascii="黑体" w:hAnsi="黑体" w:eastAsia="黑体" w:cs="黑体"/>
                <w:bCs/>
                <w:sz w:val="24"/>
                <w:szCs w:val="24"/>
                <w:lang w:val="en-US" w:eastAsia="zh-CN"/>
              </w:rPr>
            </w:pPr>
            <w:r>
              <w:rPr>
                <w:rFonts w:hint="eastAsia" w:eastAsia="宋体"/>
                <w:color w:val="000000"/>
                <w:sz w:val="21"/>
                <w:szCs w:val="21"/>
                <w:lang w:val="en-US" w:eastAsia="zh-CN"/>
              </w:rPr>
              <w:t>□合格  □限期整改  □不合格</w:t>
            </w:r>
          </w:p>
        </w:tc>
        <w:tc>
          <w:tcPr>
            <w:tcW w:w="1881" w:type="dxa"/>
            <w:gridSpan w:val="2"/>
            <w:noWrap w:val="0"/>
            <w:vAlign w:val="center"/>
          </w:tcPr>
          <w:p w14:paraId="48C42373">
            <w:pPr>
              <w:spacing w:line="600" w:lineRule="exact"/>
              <w:jc w:val="both"/>
              <w:rPr>
                <w:rFonts w:hint="default" w:ascii="黑体" w:hAnsi="黑体" w:eastAsia="黑体" w:cs="黑体"/>
                <w:bCs/>
                <w:sz w:val="24"/>
                <w:szCs w:val="24"/>
                <w:lang w:val="en-US" w:eastAsia="zh-CN"/>
              </w:rPr>
            </w:pPr>
          </w:p>
        </w:tc>
      </w:tr>
      <w:tr w14:paraId="023D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8" w:type="dxa"/>
            <w:vMerge w:val="restart"/>
            <w:noWrap w:val="0"/>
            <w:vAlign w:val="center"/>
          </w:tcPr>
          <w:p w14:paraId="341568EE">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验</w:t>
            </w:r>
          </w:p>
          <w:p w14:paraId="5EA43B8A">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p>
          <w:p w14:paraId="0B24B1BE">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收</w:t>
            </w:r>
          </w:p>
          <w:p w14:paraId="358BEA55">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p>
          <w:p w14:paraId="5C9799A8">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r>
              <w:rPr>
                <w:rFonts w:hint="eastAsia" w:ascii="黑体" w:hAnsi="黑体" w:eastAsia="黑体" w:cs="黑体"/>
                <w:b/>
                <w:bCs/>
                <w:color w:val="auto"/>
                <w:kern w:val="0"/>
                <w:sz w:val="28"/>
                <w:szCs w:val="28"/>
                <w:lang w:val="en-US" w:eastAsia="zh-CN" w:bidi="ar-SA"/>
              </w:rPr>
              <w:t>结</w:t>
            </w:r>
          </w:p>
          <w:p w14:paraId="56961E04">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黑体" w:hAnsi="黑体" w:eastAsia="黑体" w:cs="黑体"/>
                <w:b/>
                <w:bCs/>
                <w:color w:val="auto"/>
                <w:kern w:val="0"/>
                <w:sz w:val="28"/>
                <w:szCs w:val="28"/>
                <w:lang w:val="en-US" w:eastAsia="zh-CN" w:bidi="ar-SA"/>
              </w:rPr>
            </w:pPr>
          </w:p>
          <w:p w14:paraId="1E6DBBC7">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_GBK" w:cs="Times New Roman"/>
                <w:sz w:val="24"/>
                <w:lang w:val="en-US" w:eastAsia="zh-CN"/>
              </w:rPr>
            </w:pPr>
            <w:r>
              <w:rPr>
                <w:rFonts w:hint="eastAsia" w:ascii="黑体" w:hAnsi="黑体" w:eastAsia="黑体" w:cs="黑体"/>
                <w:b/>
                <w:bCs/>
                <w:color w:val="auto"/>
                <w:kern w:val="0"/>
                <w:sz w:val="28"/>
                <w:szCs w:val="28"/>
                <w:lang w:val="en-US" w:eastAsia="zh-CN" w:bidi="ar-SA"/>
              </w:rPr>
              <w:t>论</w:t>
            </w:r>
          </w:p>
        </w:tc>
        <w:tc>
          <w:tcPr>
            <w:tcW w:w="8601" w:type="dxa"/>
            <w:gridSpan w:val="8"/>
            <w:noWrap w:val="0"/>
            <w:vAlign w:val="center"/>
          </w:tcPr>
          <w:p w14:paraId="65885533">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default" w:ascii="Times New Roman" w:hAnsi="Times New Roman" w:cs="Times New Roman"/>
                <w:sz w:val="24"/>
              </w:rPr>
            </w:pPr>
            <w:r>
              <w:rPr>
                <w:rFonts w:hint="default" w:ascii="Times New Roman" w:hAnsi="Times New Roman" w:eastAsia="方正小标宋简体" w:cs="Times New Roman"/>
                <w:b w:val="0"/>
                <w:bCs w:val="0"/>
                <w:color w:val="auto"/>
                <w:kern w:val="0"/>
                <w:sz w:val="28"/>
                <w:szCs w:val="28"/>
                <w:lang w:val="en-US" w:eastAsia="zh-CN" w:bidi="ar-SA"/>
              </w:rPr>
              <w:t>经综合判定，该批装备验收</w:t>
            </w:r>
            <w:r>
              <w:rPr>
                <w:rFonts w:hint="eastAsia" w:ascii="Times New Roman" w:hAnsi="Times New Roman" w:eastAsia="仿宋_GB2312" w:cs="Times New Roman"/>
                <w:color w:val="auto"/>
                <w:kern w:val="2"/>
                <w:sz w:val="28"/>
                <w:szCs w:val="28"/>
                <w:u w:val="single"/>
                <w:lang w:val="en-US" w:eastAsia="zh-CN" w:bidi="ar-SA"/>
              </w:rPr>
              <w:t xml:space="preserve">           </w:t>
            </w:r>
            <w:r>
              <w:rPr>
                <w:rFonts w:hint="eastAsia" w:ascii="Times New Roman" w:hAnsi="Times New Roman" w:eastAsia="仿宋_GB2312" w:cs="Times New Roman"/>
                <w:color w:val="auto"/>
                <w:kern w:val="2"/>
                <w:sz w:val="28"/>
                <w:szCs w:val="28"/>
                <w:lang w:val="en-US" w:eastAsia="zh-CN" w:bidi="ar-SA"/>
              </w:rPr>
              <w:t>（合格、限期整改、不合格）</w:t>
            </w:r>
          </w:p>
        </w:tc>
      </w:tr>
      <w:tr w14:paraId="512F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7" w:hRule="atLeast"/>
          <w:jc w:val="center"/>
        </w:trPr>
        <w:tc>
          <w:tcPr>
            <w:tcW w:w="728" w:type="dxa"/>
            <w:vMerge w:val="continue"/>
            <w:tcBorders>
              <w:bottom w:val="single" w:color="auto" w:sz="4" w:space="0"/>
            </w:tcBorders>
            <w:noWrap w:val="0"/>
            <w:vAlign w:val="center"/>
          </w:tcPr>
          <w:p w14:paraId="2CD5344B">
            <w:pPr>
              <w:pStyle w:val="4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_GBK" w:cs="Times New Roman"/>
                <w:sz w:val="24"/>
                <w:lang w:val="en-US" w:eastAsia="zh-CN"/>
              </w:rPr>
            </w:pPr>
          </w:p>
        </w:tc>
        <w:tc>
          <w:tcPr>
            <w:tcW w:w="6120" w:type="dxa"/>
            <w:gridSpan w:val="5"/>
            <w:tcBorders>
              <w:bottom w:val="single" w:color="auto" w:sz="4" w:space="0"/>
            </w:tcBorders>
            <w:noWrap w:val="0"/>
            <w:vAlign w:val="center"/>
          </w:tcPr>
          <w:p w14:paraId="46188550">
            <w:pPr>
              <w:pStyle w:val="43"/>
              <w:spacing w:line="600" w:lineRule="exact"/>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履约验收组负责人</w:t>
            </w:r>
            <w:r>
              <w:rPr>
                <w:rFonts w:hint="default" w:ascii="Times New Roman" w:hAnsi="Times New Roman" w:eastAsia="仿宋_GB2312" w:cs="Times New Roman"/>
                <w:color w:val="auto"/>
                <w:kern w:val="2"/>
                <w:sz w:val="24"/>
                <w:szCs w:val="24"/>
                <w:lang w:val="en-US" w:eastAsia="zh-CN" w:bidi="ar-SA"/>
              </w:rPr>
              <w:t>：</w:t>
            </w:r>
          </w:p>
          <w:p w14:paraId="6AF73565">
            <w:pPr>
              <w:pStyle w:val="43"/>
              <w:spacing w:line="600" w:lineRule="exact"/>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验收小组组长</w:t>
            </w:r>
            <w:r>
              <w:rPr>
                <w:rFonts w:hint="default" w:ascii="Times New Roman" w:hAnsi="Times New Roman" w:eastAsia="仿宋_GB2312" w:cs="Times New Roman"/>
                <w:color w:val="auto"/>
                <w:kern w:val="2"/>
                <w:sz w:val="24"/>
                <w:szCs w:val="24"/>
                <w:lang w:val="en-US" w:eastAsia="zh-CN" w:bidi="ar-SA"/>
              </w:rPr>
              <w:t>：</w:t>
            </w:r>
          </w:p>
          <w:p w14:paraId="26CC550D">
            <w:pPr>
              <w:pStyle w:val="43"/>
              <w:spacing w:line="600" w:lineRule="exact"/>
              <w:rPr>
                <w:rFonts w:hint="eastAsia" w:ascii="Times New Roman" w:hAnsi="Times New Roman" w:eastAsia="仿宋_GB2312" w:cs="Times New Roman"/>
                <w:color w:val="auto"/>
                <w:kern w:val="2"/>
                <w:sz w:val="24"/>
                <w:szCs w:val="24"/>
                <w:lang w:val="en-US" w:eastAsia="zh-CN" w:bidi="ar-SA"/>
              </w:rPr>
            </w:pPr>
          </w:p>
          <w:p w14:paraId="17BDBC79">
            <w:pPr>
              <w:pStyle w:val="43"/>
              <w:spacing w:line="600" w:lineRule="exact"/>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4"/>
                <w:szCs w:val="24"/>
                <w:lang w:val="en-US" w:eastAsia="zh-CN" w:bidi="ar-SA"/>
              </w:rPr>
              <w:t>验收小组成员：</w:t>
            </w:r>
            <w:r>
              <w:rPr>
                <w:rFonts w:hint="default" w:ascii="Times New Roman" w:hAnsi="Times New Roman" w:eastAsia="仿宋_GB2312" w:cs="Times New Roman"/>
                <w:color w:val="auto"/>
                <w:kern w:val="2"/>
                <w:sz w:val="28"/>
                <w:szCs w:val="28"/>
                <w:lang w:val="en-US" w:eastAsia="zh-CN" w:bidi="ar-SA"/>
              </w:rPr>
              <w:t xml:space="preserve">    </w:t>
            </w:r>
          </w:p>
          <w:p w14:paraId="27E1B519">
            <w:pPr>
              <w:pStyle w:val="43"/>
              <w:spacing w:line="600" w:lineRule="exact"/>
              <w:rPr>
                <w:rFonts w:hint="eastAsia" w:ascii="Times New Roman" w:hAnsi="Times New Roman" w:eastAsia="仿宋_GB2312" w:cs="Times New Roman"/>
                <w:color w:val="auto"/>
                <w:kern w:val="2"/>
                <w:sz w:val="24"/>
                <w:szCs w:val="24"/>
                <w:lang w:val="en-US" w:eastAsia="zh-CN" w:bidi="ar-SA"/>
              </w:rPr>
            </w:pPr>
          </w:p>
          <w:p w14:paraId="1E9B879D">
            <w:pPr>
              <w:pStyle w:val="43"/>
              <w:spacing w:line="60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          </w:t>
            </w:r>
          </w:p>
          <w:p w14:paraId="213F0083">
            <w:pPr>
              <w:pStyle w:val="43"/>
              <w:spacing w:line="600" w:lineRule="exact"/>
              <w:ind w:firstLine="4080" w:firstLineChars="1700"/>
              <w:rPr>
                <w:rFonts w:hint="default" w:ascii="Times New Roman" w:hAnsi="Times New Roman" w:eastAsia="仿宋_GB2312" w:cs="Times New Roman"/>
                <w:color w:val="auto"/>
                <w:kern w:val="2"/>
                <w:sz w:val="24"/>
                <w:szCs w:val="24"/>
                <w:lang w:val="en-US" w:eastAsia="zh-CN" w:bidi="ar-SA"/>
              </w:rPr>
            </w:pPr>
          </w:p>
          <w:p w14:paraId="3DF070CB">
            <w:pPr>
              <w:pStyle w:val="43"/>
              <w:spacing w:line="600" w:lineRule="exact"/>
              <w:ind w:firstLine="4080" w:firstLineChars="17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w:t>
            </w:r>
            <w:r>
              <w:rPr>
                <w:rFonts w:hint="eastAsia" w:ascii="Times New Roman" w:hAnsi="Times New Roman" w:eastAsia="仿宋_GB2312" w:cs="Times New Roman"/>
                <w:color w:val="auto"/>
                <w:kern w:val="2"/>
                <w:sz w:val="24"/>
                <w:szCs w:val="24"/>
                <w:lang w:val="en-US" w:eastAsia="zh-CN" w:bidi="ar-SA"/>
              </w:rPr>
              <w:t xml:space="preserve"> </w:t>
            </w:r>
            <w:r>
              <w:rPr>
                <w:rFonts w:hint="default" w:ascii="Times New Roman" w:hAnsi="Times New Roman" w:eastAsia="仿宋_GB2312" w:cs="Times New Roman"/>
                <w:color w:val="auto"/>
                <w:kern w:val="2"/>
                <w:sz w:val="24"/>
                <w:szCs w:val="24"/>
                <w:lang w:val="en-US" w:eastAsia="zh-CN" w:bidi="ar-SA"/>
              </w:rPr>
              <w:t>（签字盖章）</w:t>
            </w:r>
          </w:p>
          <w:p w14:paraId="6D25954C">
            <w:pPr>
              <w:pStyle w:val="43"/>
              <w:spacing w:line="600" w:lineRule="exact"/>
              <w:ind w:firstLine="4560" w:firstLineChars="190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4"/>
                <w:szCs w:val="24"/>
                <w:lang w:val="en-US" w:eastAsia="zh-CN" w:bidi="ar-SA"/>
              </w:rPr>
              <w:t>年  月  日</w:t>
            </w:r>
          </w:p>
        </w:tc>
        <w:tc>
          <w:tcPr>
            <w:tcW w:w="2481" w:type="dxa"/>
            <w:gridSpan w:val="3"/>
            <w:noWrap w:val="0"/>
            <w:vAlign w:val="center"/>
          </w:tcPr>
          <w:p w14:paraId="319A3AEE">
            <w:pPr>
              <w:pStyle w:val="43"/>
              <w:spacing w:line="600" w:lineRule="exact"/>
              <w:rPr>
                <w:rFonts w:hint="default" w:ascii="Times New Roman" w:hAnsi="Times New Roman" w:eastAsia="仿宋_GB2312" w:cs="Times New Roman"/>
                <w:color w:val="auto"/>
                <w:kern w:val="2"/>
                <w:sz w:val="28"/>
                <w:szCs w:val="28"/>
                <w:lang w:val="en-US" w:eastAsia="zh-CN" w:bidi="ar-SA"/>
              </w:rPr>
            </w:pPr>
          </w:p>
          <w:p w14:paraId="6CB7ACF1">
            <w:pPr>
              <w:pStyle w:val="43"/>
              <w:spacing w:line="6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供应商：</w:t>
            </w:r>
          </w:p>
          <w:p w14:paraId="55891698">
            <w:pPr>
              <w:pStyle w:val="43"/>
              <w:spacing w:line="600" w:lineRule="exact"/>
              <w:rPr>
                <w:rFonts w:hint="default" w:ascii="Times New Roman" w:hAnsi="Times New Roman" w:eastAsia="仿宋_GB2312" w:cs="Times New Roman"/>
                <w:color w:val="auto"/>
                <w:kern w:val="2"/>
                <w:sz w:val="24"/>
                <w:szCs w:val="24"/>
                <w:lang w:val="en-US" w:eastAsia="zh-CN" w:bidi="ar-SA"/>
              </w:rPr>
            </w:pPr>
          </w:p>
          <w:p w14:paraId="35E83226">
            <w:pPr>
              <w:pStyle w:val="43"/>
              <w:spacing w:line="600" w:lineRule="exact"/>
              <w:rPr>
                <w:rFonts w:hint="default" w:ascii="Times New Roman" w:hAnsi="Times New Roman" w:eastAsia="仿宋_GB2312" w:cs="Times New Roman"/>
                <w:color w:val="auto"/>
                <w:kern w:val="2"/>
                <w:sz w:val="24"/>
                <w:szCs w:val="24"/>
                <w:lang w:val="en-US" w:eastAsia="zh-CN" w:bidi="ar-SA"/>
              </w:rPr>
            </w:pPr>
          </w:p>
          <w:p w14:paraId="38EE9A18">
            <w:pPr>
              <w:pStyle w:val="43"/>
              <w:spacing w:line="600" w:lineRule="exact"/>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（签字</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盖章）</w:t>
            </w:r>
          </w:p>
          <w:p w14:paraId="2BECE0F9">
            <w:pPr>
              <w:pStyle w:val="43"/>
              <w:spacing w:line="600" w:lineRule="exact"/>
              <w:ind w:firstLine="1440" w:firstLineChars="600"/>
              <w:rPr>
                <w:rFonts w:hint="default" w:ascii="Times New Roman" w:hAnsi="Times New Roman" w:eastAsia="仿宋_GB2312" w:cs="Times New Roman"/>
                <w:color w:val="auto"/>
                <w:kern w:val="2"/>
                <w:sz w:val="24"/>
                <w:szCs w:val="24"/>
                <w:lang w:val="en-US" w:eastAsia="zh-CN" w:bidi="ar-SA"/>
              </w:rPr>
            </w:pPr>
          </w:p>
          <w:p w14:paraId="67535EBF">
            <w:pPr>
              <w:pStyle w:val="43"/>
              <w:spacing w:line="600" w:lineRule="exact"/>
              <w:ind w:firstLine="1440" w:firstLineChars="600"/>
              <w:rPr>
                <w:rFonts w:hint="default" w:ascii="Times New Roman" w:hAnsi="Times New Roman" w:eastAsia="仿宋_GB2312" w:cs="Times New Roman"/>
                <w:color w:val="auto"/>
                <w:kern w:val="2"/>
                <w:sz w:val="24"/>
                <w:szCs w:val="24"/>
                <w:lang w:val="en-US" w:eastAsia="zh-CN" w:bidi="ar-SA"/>
              </w:rPr>
            </w:pPr>
          </w:p>
          <w:p w14:paraId="720E3433">
            <w:pPr>
              <w:pStyle w:val="43"/>
              <w:spacing w:line="600" w:lineRule="exact"/>
              <w:ind w:firstLine="1440" w:firstLineChars="600"/>
              <w:rPr>
                <w:rFonts w:hint="default" w:ascii="Times New Roman" w:hAnsi="Times New Roman" w:eastAsia="仿宋_GB2312" w:cs="Times New Roman"/>
                <w:color w:val="auto"/>
                <w:kern w:val="2"/>
                <w:sz w:val="24"/>
                <w:szCs w:val="24"/>
                <w:lang w:val="en-US" w:eastAsia="zh-CN" w:bidi="ar-SA"/>
              </w:rPr>
            </w:pPr>
          </w:p>
          <w:p w14:paraId="376D2D6E">
            <w:pPr>
              <w:pStyle w:val="43"/>
              <w:spacing w:line="600" w:lineRule="exact"/>
              <w:jc w:val="righ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4"/>
                <w:szCs w:val="24"/>
                <w:lang w:val="en-US" w:eastAsia="zh-CN" w:bidi="ar-SA"/>
              </w:rPr>
              <w:t>年  月  日</w:t>
            </w:r>
          </w:p>
        </w:tc>
      </w:tr>
    </w:tbl>
    <w:p w14:paraId="71F2510D">
      <w:pPr>
        <w:adjustRightInd w:val="0"/>
        <w:snapToGrid w:val="0"/>
        <w:spacing w:line="600" w:lineRule="exact"/>
        <w:ind w:firstLine="480"/>
        <w:rPr>
          <w:rFonts w:hint="default" w:ascii="Times New Roman" w:hAnsi="Times New Roman" w:cs="Times New Roman"/>
          <w:sz w:val="24"/>
        </w:rPr>
      </w:pPr>
      <w:r>
        <w:rPr>
          <w:rFonts w:hint="default" w:ascii="Times New Roman" w:hAnsi="Times New Roman" w:cs="Times New Roman"/>
          <w:sz w:val="24"/>
        </w:rPr>
        <w:t>备注：1.</w:t>
      </w:r>
      <w:r>
        <w:rPr>
          <w:rFonts w:hint="default" w:ascii="Times New Roman" w:hAnsi="Times New Roman" w:cs="Times New Roman"/>
          <w:sz w:val="24"/>
          <w:lang w:val="en-US" w:eastAsia="zh-CN"/>
        </w:rPr>
        <w:t>装备验收单一式三份，验收单位、使用单位和供应商，正反面打印</w:t>
      </w:r>
      <w:r>
        <w:rPr>
          <w:rFonts w:hint="default" w:ascii="Times New Roman" w:hAnsi="Times New Roman" w:cs="Times New Roman"/>
          <w:sz w:val="24"/>
        </w:rPr>
        <w:t>。</w:t>
      </w:r>
    </w:p>
    <w:p w14:paraId="5DF1152D">
      <w:pPr>
        <w:spacing w:line="360" w:lineRule="auto"/>
        <w:rPr>
          <w:rFonts w:hint="eastAsia" w:ascii="宋体" w:hAnsi="宋体" w:eastAsia="宋体" w:cs="宋体"/>
          <w:color w:val="auto"/>
        </w:rPr>
      </w:pPr>
      <w:r>
        <w:rPr>
          <w:rFonts w:hint="eastAsia" w:ascii="Times New Roman" w:hAnsi="Times New Roman" w:cs="Times New Roman"/>
          <w:sz w:val="24"/>
          <w:lang w:val="en-US" w:eastAsia="zh-CN"/>
        </w:rPr>
        <w:t>2.</w:t>
      </w:r>
      <w:r>
        <w:rPr>
          <w:rFonts w:hint="default" w:ascii="Times New Roman" w:hAnsi="Times New Roman" w:cs="Times New Roman"/>
          <w:sz w:val="24"/>
          <w:lang w:val="en-US" w:eastAsia="zh-CN"/>
        </w:rPr>
        <w:t>消防车辆验收</w:t>
      </w:r>
      <w:r>
        <w:rPr>
          <w:rFonts w:hint="eastAsia" w:ascii="Times New Roman" w:hAnsi="Times New Roman" w:cs="Times New Roman"/>
          <w:sz w:val="24"/>
          <w:lang w:val="en-US" w:eastAsia="zh-CN"/>
        </w:rPr>
        <w:t>同时需</w:t>
      </w:r>
      <w:r>
        <w:rPr>
          <w:rFonts w:hint="default" w:ascii="Times New Roman" w:hAnsi="Times New Roman" w:cs="Times New Roman"/>
          <w:sz w:val="24"/>
          <w:lang w:val="en-US" w:eastAsia="zh-CN"/>
        </w:rPr>
        <w:t>填写</w:t>
      </w:r>
      <w:r>
        <w:rPr>
          <w:rFonts w:hint="eastAsia" w:ascii="Times New Roman" w:hAnsi="Times New Roman" w:cs="Times New Roman"/>
          <w:sz w:val="24"/>
          <w:lang w:val="en-US" w:eastAsia="zh-CN"/>
        </w:rPr>
        <w:t>《</w:t>
      </w:r>
      <w:r>
        <w:rPr>
          <w:rFonts w:hint="eastAsia" w:ascii="Times New Roman" w:hAnsi="Times New Roman" w:cs="Times New Roman"/>
          <w:sz w:val="24"/>
        </w:rPr>
        <w:t>新购消防车辆检查验收报告</w:t>
      </w:r>
      <w:r>
        <w:rPr>
          <w:rFonts w:hint="eastAsia" w:ascii="Times New Roman" w:hAnsi="Times New Roman" w:cs="Times New Roman"/>
          <w:sz w:val="24"/>
          <w:lang w:val="en-US" w:eastAsia="zh-CN"/>
        </w:rPr>
        <w:t>》，消防车辆“</w:t>
      </w:r>
      <w:r>
        <w:rPr>
          <w:rFonts w:hint="default" w:ascii="Times New Roman" w:hAnsi="Times New Roman" w:cs="Times New Roman"/>
          <w:sz w:val="24"/>
          <w:lang w:val="en-US" w:eastAsia="zh-CN"/>
        </w:rPr>
        <w:t>一致性检查情况</w:t>
      </w:r>
      <w:r>
        <w:rPr>
          <w:rFonts w:hint="eastAsia" w:ascii="Times New Roman" w:hAnsi="Times New Roman" w:cs="Times New Roman"/>
          <w:sz w:val="24"/>
          <w:lang w:val="en-US" w:eastAsia="zh-CN"/>
        </w:rPr>
        <w:t>”和“</w:t>
      </w:r>
      <w:r>
        <w:rPr>
          <w:rFonts w:hint="default" w:ascii="Times New Roman" w:hAnsi="Times New Roman" w:cs="Times New Roman"/>
          <w:sz w:val="24"/>
          <w:lang w:val="en-US" w:eastAsia="zh-CN"/>
        </w:rPr>
        <w:t>质量性能测试情况</w:t>
      </w:r>
      <w:r>
        <w:rPr>
          <w:rFonts w:hint="eastAsia" w:ascii="Times New Roman" w:hAnsi="Times New Roman" w:cs="Times New Roman"/>
          <w:sz w:val="24"/>
          <w:lang w:val="en-US" w:eastAsia="zh-CN"/>
        </w:rPr>
        <w:t>”内容以《</w:t>
      </w:r>
      <w:r>
        <w:rPr>
          <w:rFonts w:hint="eastAsia" w:ascii="Times New Roman" w:hAnsi="Times New Roman" w:cs="Times New Roman"/>
          <w:sz w:val="24"/>
        </w:rPr>
        <w:t>消防救援车辆一致性比对报告</w:t>
      </w:r>
      <w:r>
        <w:rPr>
          <w:rFonts w:hint="eastAsia" w:ascii="Times New Roman" w:hAnsi="Times New Roman" w:cs="Times New Roman"/>
          <w:sz w:val="24"/>
          <w:lang w:val="en-US" w:eastAsia="zh-CN"/>
        </w:rPr>
        <w:t>》、《</w:t>
      </w:r>
      <w:r>
        <w:rPr>
          <w:rFonts w:hint="eastAsia" w:ascii="Times New Roman" w:hAnsi="Times New Roman" w:cs="Times New Roman"/>
          <w:sz w:val="24"/>
        </w:rPr>
        <w:t>新购消防车辆检查验收报告</w:t>
      </w:r>
      <w:r>
        <w:rPr>
          <w:rFonts w:hint="eastAsia" w:ascii="Times New Roman" w:hAnsi="Times New Roman" w:cs="Times New Roman"/>
          <w:sz w:val="24"/>
          <w:lang w:val="en-US" w:eastAsia="zh-CN"/>
        </w:rPr>
        <w:t>》为准，此表无需填写。</w:t>
      </w:r>
    </w:p>
    <w:p w14:paraId="4C221B6B">
      <w:pPr>
        <w:pStyle w:val="45"/>
        <w:rPr>
          <w:rFonts w:hint="eastAsia" w:ascii="宋体" w:hAnsi="宋体" w:cs="宋体"/>
          <w:sz w:val="24"/>
          <w:szCs w:val="24"/>
        </w:rPr>
      </w:pPr>
    </w:p>
    <w:p w14:paraId="5382C544">
      <w:pPr>
        <w:rPr>
          <w:sz w:val="24"/>
        </w:rPr>
      </w:pPr>
    </w:p>
    <w:p w14:paraId="1DC9E493">
      <w:pPr>
        <w:rPr>
          <w:rFonts w:hint="eastAsia" w:ascii="宋体" w:hAnsi="宋体" w:cs="宋体"/>
          <w:b/>
          <w:bCs/>
          <w:sz w:val="28"/>
          <w:szCs w:val="28"/>
        </w:rPr>
      </w:pPr>
      <w:bookmarkStart w:id="41" w:name="_Toc12849"/>
      <w:bookmarkStart w:id="42" w:name="_Toc19244"/>
      <w:r>
        <w:rPr>
          <w:rFonts w:hint="eastAsia" w:ascii="宋体" w:hAnsi="宋体" w:cs="宋体"/>
          <w:b/>
          <w:sz w:val="28"/>
          <w:szCs w:val="28"/>
        </w:rPr>
        <w:t>附件</w:t>
      </w:r>
      <w:r>
        <w:rPr>
          <w:rFonts w:hint="eastAsia" w:ascii="宋体" w:hAnsi="宋体" w:cs="宋体"/>
          <w:b/>
          <w:sz w:val="28"/>
          <w:szCs w:val="28"/>
          <w:lang w:val="en-US" w:eastAsia="zh-CN"/>
        </w:rPr>
        <w:t>2</w:t>
      </w:r>
      <w:r>
        <w:rPr>
          <w:rFonts w:hint="eastAsia" w:ascii="宋体" w:hAnsi="宋体" w:cs="宋体"/>
          <w:b/>
          <w:sz w:val="28"/>
          <w:szCs w:val="28"/>
        </w:rPr>
        <w:t>：</w:t>
      </w:r>
      <w:r>
        <w:rPr>
          <w:rFonts w:hint="eastAsia" w:ascii="宋体" w:hAnsi="宋体" w:cs="宋体"/>
          <w:b/>
          <w:bCs/>
          <w:sz w:val="28"/>
          <w:szCs w:val="28"/>
        </w:rPr>
        <w:t>承诺书</w:t>
      </w:r>
    </w:p>
    <w:p w14:paraId="65529CAA">
      <w:pPr>
        <w:rPr>
          <w:rFonts w:hint="eastAsia" w:ascii="宋体" w:hAnsi="宋体" w:cs="宋体"/>
          <w:b/>
          <w:bCs/>
          <w:sz w:val="24"/>
        </w:rPr>
      </w:pPr>
    </w:p>
    <w:p w14:paraId="2D51079E">
      <w:pPr>
        <w:rPr>
          <w:rFonts w:hint="eastAsia" w:ascii="宋体" w:hAnsi="宋体" w:cs="宋体"/>
          <w:b/>
          <w:bCs/>
          <w:sz w:val="24"/>
        </w:rPr>
      </w:pPr>
    </w:p>
    <w:p w14:paraId="189DF46B">
      <w:pPr>
        <w:spacing w:line="360" w:lineRule="exact"/>
        <w:jc w:val="left"/>
        <w:rPr>
          <w:rFonts w:hint="eastAsia"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14:paraId="5704E532">
      <w:pPr>
        <w:spacing w:line="360" w:lineRule="exact"/>
        <w:jc w:val="center"/>
        <w:rPr>
          <w:rFonts w:hint="eastAsia" w:ascii="宋体" w:hAnsi="宋体" w:cs="宋体"/>
          <w:b/>
          <w:bCs/>
          <w:sz w:val="24"/>
        </w:rPr>
      </w:pPr>
      <w:r>
        <w:rPr>
          <w:rFonts w:hint="eastAsia" w:ascii="宋体" w:hAnsi="宋体" w:cs="宋体"/>
          <w:b/>
          <w:bCs/>
          <w:sz w:val="24"/>
        </w:rPr>
        <w:t>《浙江省消防救援总队关于印发全省消防救援队伍消防救援装备验收管理规定的通知》</w:t>
      </w:r>
    </w:p>
    <w:p w14:paraId="31AC6E36">
      <w:pPr>
        <w:adjustRightInd w:val="0"/>
        <w:snapToGrid w:val="0"/>
        <w:spacing w:line="360" w:lineRule="exact"/>
        <w:ind w:firstLine="482" w:firstLineChars="200"/>
        <w:rPr>
          <w:rFonts w:hint="eastAsia" w:ascii="宋体" w:hAnsi="宋体" w:cs="宋体"/>
          <w:sz w:val="24"/>
        </w:rPr>
      </w:pPr>
      <w:r>
        <w:rPr>
          <w:rFonts w:hint="eastAsia" w:ascii="宋体" w:hAnsi="宋体" w:cs="宋体"/>
          <w:b/>
          <w:bCs/>
          <w:sz w:val="24"/>
        </w:rPr>
        <w:t>第一章  总  则</w:t>
      </w:r>
    </w:p>
    <w:p w14:paraId="5C823149">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第一条  为规范全省消防救援队伍消防救援装备验收工作，保证装备质量，保护采购当事人的合法权益，按照总队相关规定，结合全省消防救援队伍实际，制定本规定。</w:t>
      </w:r>
    </w:p>
    <w:p w14:paraId="3DAB8EDC">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第二条  本规定适用于全省消防救援队伍新购消防救援装备的验收工作。消防救援装备（以下统称“装备”）指《浙江省消防救援总队消防救援装备采购工作流程及职责》内涉及装备。</w:t>
      </w:r>
    </w:p>
    <w:p w14:paraId="21488EC0">
      <w:pPr>
        <w:adjustRightInd w:val="0"/>
        <w:snapToGrid w:val="0"/>
        <w:spacing w:line="360" w:lineRule="exact"/>
        <w:ind w:firstLine="480" w:firstLineChars="200"/>
        <w:rPr>
          <w:rFonts w:hint="eastAsia" w:ascii="宋体" w:hAnsi="宋体" w:cs="宋体"/>
          <w:b/>
          <w:bCs/>
          <w:sz w:val="24"/>
        </w:rPr>
      </w:pPr>
      <w:r>
        <w:rPr>
          <w:rFonts w:hint="eastAsia" w:ascii="宋体" w:hAnsi="宋体" w:cs="宋体"/>
          <w:sz w:val="24"/>
        </w:rPr>
        <w:t>第三条  本规定所指装备验收是指依据相关国家或行业标准以及采购合同、响应文件、补充协议等证明性文件进行的装备数量、规格型号、外观标识、检测报告或产品认证、质量性能等验收检查行为。</w:t>
      </w:r>
    </w:p>
    <w:p w14:paraId="38E13535">
      <w:pPr>
        <w:adjustRightInd w:val="0"/>
        <w:snapToGrid w:val="0"/>
        <w:spacing w:line="360" w:lineRule="exact"/>
        <w:ind w:firstLine="482" w:firstLineChars="200"/>
        <w:rPr>
          <w:rFonts w:hint="eastAsia" w:ascii="宋体" w:hAnsi="宋体" w:cs="宋体"/>
          <w:sz w:val="24"/>
        </w:rPr>
      </w:pPr>
      <w:r>
        <w:rPr>
          <w:rFonts w:hint="eastAsia" w:ascii="宋体" w:hAnsi="宋体" w:cs="宋体"/>
          <w:b/>
          <w:bCs/>
          <w:sz w:val="24"/>
        </w:rPr>
        <w:t>第二章  组织机构和权限</w:t>
      </w:r>
    </w:p>
    <w:p w14:paraId="2B457A37">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 xml:space="preserve">第四条  由总（支）队履约验收组牵头，在本级党委统一领导下，根据验收任务抽选本级消防救援装备人员库（以下简称“人员库”）成员组成现场验收小组。验收工作采用“背靠背”的模式开展，验收小组不少于两组，每组由1名组长，不少于4名成员组成，负责验收过程的组织、实施、监督及验收档案管理工作。  </w:t>
      </w:r>
    </w:p>
    <w:p w14:paraId="0C508C56">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第五条 总队作为采购主体的装备采购项目验收工作，由总队履约验收组牵头组织，抽选人员库相关业务人员组成验收小组，并根据待验装备特点有针对性的制定验收项目、流程及注意事项等，相关支队选派业务骨干共同开展。</w:t>
      </w:r>
    </w:p>
    <w:p w14:paraId="0ABAFAEE">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消防救援车辆验收：由总队集中组织开展消防救援车辆的一致性检查和水力性能测试工作，出具消防救援车辆一致性比对报告。由相关支队按照规定组织开展装备质量性能检测和功能性验收项目，并出具消防救援装备验收单及新购消防车辆检查验收报告上报总队履约验收组备案。</w:t>
      </w:r>
    </w:p>
    <w:p w14:paraId="5E4A48A2">
      <w:pPr>
        <w:widowControl/>
        <w:spacing w:line="360" w:lineRule="exact"/>
        <w:ind w:firstLine="480" w:firstLineChars="200"/>
        <w:jc w:val="left"/>
        <w:rPr>
          <w:rFonts w:hint="eastAsia" w:ascii="宋体" w:hAnsi="宋体" w:cs="宋体"/>
          <w:sz w:val="24"/>
        </w:rPr>
      </w:pPr>
      <w:r>
        <w:rPr>
          <w:rFonts w:hint="eastAsia" w:ascii="宋体" w:hAnsi="宋体" w:cs="宋体"/>
          <w:sz w:val="24"/>
        </w:rPr>
        <w:t>器材装备验收：部门集中采购目录内的器材装备由总队集中组织开展。支（大）队作为采购主体的装备采购项目，由支队履约验收组牵头制定验收方案，抽选本级人员库相关业务成员组织实施集中验收工作。</w:t>
      </w:r>
    </w:p>
    <w:p w14:paraId="051E1CC1">
      <w:pPr>
        <w:widowControl/>
        <w:numPr>
          <w:ilvl w:val="0"/>
          <w:numId w:val="7"/>
        </w:numPr>
        <w:spacing w:line="360" w:lineRule="exact"/>
        <w:ind w:firstLine="482" w:firstLineChars="200"/>
        <w:jc w:val="left"/>
        <w:rPr>
          <w:rFonts w:hint="eastAsia" w:ascii="宋体" w:hAnsi="宋体" w:cs="宋体"/>
          <w:b/>
          <w:bCs/>
          <w:sz w:val="24"/>
        </w:rPr>
      </w:pPr>
      <w:r>
        <w:rPr>
          <w:rFonts w:hint="eastAsia" w:ascii="宋体" w:hAnsi="宋体" w:cs="宋体"/>
          <w:b/>
          <w:bCs/>
          <w:sz w:val="24"/>
        </w:rPr>
        <w:t xml:space="preserve"> 验收程序和内容</w:t>
      </w:r>
    </w:p>
    <w:p w14:paraId="5C7FC5A0">
      <w:pPr>
        <w:widowControl/>
        <w:spacing w:line="360" w:lineRule="exact"/>
        <w:ind w:firstLine="480" w:firstLineChars="200"/>
        <w:jc w:val="left"/>
        <w:rPr>
          <w:rFonts w:hint="eastAsia" w:ascii="宋体" w:hAnsi="宋体" w:cs="宋体"/>
          <w:sz w:val="24"/>
        </w:rPr>
      </w:pPr>
      <w:r>
        <w:rPr>
          <w:rFonts w:hint="eastAsia" w:ascii="宋体" w:hAnsi="宋体" w:cs="宋体"/>
          <w:sz w:val="24"/>
        </w:rPr>
        <w:t>第六条  装备验收按照验收申请、验收准备、现场验收、抽样送检、验收结论等程序进行。参与该验收项目参数编制、样品测试或评标的人员不得作为该项目验收人员。验收工作可邀请第三方专业机构、外部专家共同参与，第三方专业机构、外部专家人员提供的意见作为验收评定参考意见。</w:t>
      </w:r>
    </w:p>
    <w:p w14:paraId="4E3D93CF">
      <w:pPr>
        <w:widowControl/>
        <w:spacing w:line="360" w:lineRule="exact"/>
        <w:ind w:firstLine="480" w:firstLineChars="200"/>
        <w:jc w:val="left"/>
        <w:rPr>
          <w:rFonts w:hint="eastAsia" w:ascii="宋体" w:hAnsi="宋体" w:cs="宋体"/>
          <w:sz w:val="24"/>
        </w:rPr>
      </w:pPr>
      <w:r>
        <w:rPr>
          <w:rFonts w:hint="eastAsia" w:ascii="宋体" w:hAnsi="宋体" w:cs="宋体"/>
          <w:sz w:val="24"/>
        </w:rPr>
        <w:t>第七条  验收申请。装备供应商按照合同约定将采购的装备运送至指定地点并做好资料整理、数量核对、性能自测等准备工作后，向总（支）队履约验收组提交验收申请，总（支）队履约验收组根据实际情况确定验收时间、地点，制定验收方案，并逐级向总（支）队主官报告，同意后方可组织实施。除不可抗力因素外，验收工作根据合同签订和装备实际到货时间统一或分批次组织验收，验收时间原则上为供应商提交申请30个工作日内，如需延长应提供情况说明。</w:t>
      </w:r>
    </w:p>
    <w:p w14:paraId="48A97BE9">
      <w:pPr>
        <w:widowControl/>
        <w:spacing w:line="360" w:lineRule="exact"/>
        <w:ind w:firstLine="480" w:firstLineChars="200"/>
        <w:jc w:val="left"/>
        <w:rPr>
          <w:rFonts w:hint="eastAsia" w:ascii="宋体" w:hAnsi="宋体" w:cs="宋体"/>
          <w:sz w:val="24"/>
        </w:rPr>
      </w:pPr>
      <w:r>
        <w:rPr>
          <w:rFonts w:hint="eastAsia" w:ascii="宋体" w:hAnsi="宋体" w:cs="宋体"/>
          <w:sz w:val="24"/>
        </w:rPr>
        <w:t>第八条 验收准备。验收前，履约验收组根据拟验收装备类别结合各单位实际，提前从人员库中随机抽取成员组成验收小组。验收小组依据《浙江省消防救援总队消防救援装备现场验收指导手册》等标准、规范性文件，准备验收所需设备、工具，对验收装备的采购合同、补充协议、招投标文件、测试样品和数据等进行熟悉。</w:t>
      </w:r>
    </w:p>
    <w:p w14:paraId="2FAF0A86">
      <w:pPr>
        <w:widowControl/>
        <w:spacing w:line="360" w:lineRule="exact"/>
        <w:ind w:firstLine="480" w:firstLineChars="200"/>
        <w:jc w:val="left"/>
        <w:rPr>
          <w:rFonts w:hint="eastAsia" w:ascii="宋体" w:hAnsi="宋体" w:cs="宋体"/>
          <w:sz w:val="24"/>
        </w:rPr>
      </w:pPr>
      <w:r>
        <w:rPr>
          <w:rFonts w:hint="eastAsia" w:ascii="宋体" w:hAnsi="宋体" w:cs="宋体"/>
          <w:sz w:val="24"/>
        </w:rPr>
        <w:t>第九条  现场验收。主要包括装备数量和包装检查、一致性检查和质量性能检测。现场验收时，验收装备供应商代表（如非法定代表人，须出具有效《委托书》）应在场，验收现场应组织严密，全程录像。</w:t>
      </w:r>
    </w:p>
    <w:p w14:paraId="14927B08">
      <w:pPr>
        <w:widowControl/>
        <w:spacing w:line="360" w:lineRule="exact"/>
        <w:ind w:firstLine="480" w:firstLineChars="200"/>
        <w:jc w:val="left"/>
        <w:rPr>
          <w:rFonts w:hint="eastAsia" w:ascii="宋体" w:hAnsi="宋体" w:cs="宋体"/>
          <w:sz w:val="24"/>
        </w:rPr>
      </w:pPr>
      <w:r>
        <w:rPr>
          <w:rFonts w:hint="eastAsia" w:ascii="宋体" w:hAnsi="宋体" w:cs="宋体"/>
          <w:sz w:val="24"/>
        </w:rPr>
        <w:t>数量和包装检查：1.检查装备数量、外观、永久性铭牌标识、装备编码等是否符合合同相关要求。2.检查RFID标签类型、可视信息、安装位置、安装方式是否规范；经扫码识别RFID标签信息是否正确。</w:t>
      </w:r>
    </w:p>
    <w:p w14:paraId="7F274AD4">
      <w:pPr>
        <w:widowControl/>
        <w:spacing w:line="360" w:lineRule="exact"/>
        <w:ind w:firstLine="480" w:firstLineChars="200"/>
        <w:jc w:val="left"/>
        <w:rPr>
          <w:rFonts w:hint="eastAsia" w:ascii="宋体" w:hAnsi="宋体" w:cs="宋体"/>
          <w:sz w:val="24"/>
        </w:rPr>
      </w:pPr>
      <w:r>
        <w:rPr>
          <w:rFonts w:hint="eastAsia" w:ascii="宋体" w:hAnsi="宋体" w:cs="宋体"/>
          <w:sz w:val="24"/>
        </w:rPr>
        <w:t>一致性检查内容：1.资料审查：检查装备产品认证证书、检验报告、产品合格证、车辆公告信息、进口装备报关资料、使用说明书等是否齐全、有效，是否与响应文件一致。2.产品信息检查：检查装备的产品名称、生产厂家、型号规格、商标、生产日期等产品信息是否与认证证书、检验报告一致。3.检验报告检查：检查检验报告中的检验项目是否包含响应文件中的内容，检验报告中的试验数据是否符合响应文件内容。4.部件检查：检查装备各组成部件是否齐全、规格型号是否与响应文件一致等。5.履约时间核查：对照合同约定的交货期限核算供应商是否按期交货。</w:t>
      </w:r>
    </w:p>
    <w:p w14:paraId="7FAB8E31">
      <w:pPr>
        <w:widowControl/>
        <w:spacing w:line="360" w:lineRule="exact"/>
        <w:ind w:firstLine="480" w:firstLineChars="200"/>
        <w:jc w:val="left"/>
        <w:rPr>
          <w:rFonts w:hint="eastAsia" w:ascii="宋体" w:hAnsi="宋体" w:cs="宋体"/>
          <w:sz w:val="24"/>
        </w:rPr>
      </w:pPr>
      <w:r>
        <w:rPr>
          <w:rFonts w:hint="eastAsia" w:ascii="宋体" w:hAnsi="宋体" w:cs="宋体"/>
          <w:sz w:val="24"/>
        </w:rPr>
        <w:t>装备质量性能检测内容：依据《浙江省消防救援总队消防救援装备现场验收指导手册》，国家或行业标准，规范性文件等，测试核对验收装备质量性能是否满足相关标准和投标响应文件技术性能参数要求。</w:t>
      </w:r>
    </w:p>
    <w:p w14:paraId="3D867B80">
      <w:pPr>
        <w:widowControl/>
        <w:spacing w:line="360" w:lineRule="exact"/>
        <w:ind w:firstLine="480" w:firstLineChars="200"/>
        <w:jc w:val="left"/>
        <w:rPr>
          <w:rFonts w:hint="eastAsia" w:ascii="宋体" w:hAnsi="宋体" w:cs="宋体"/>
          <w:sz w:val="24"/>
        </w:rPr>
      </w:pPr>
      <w:r>
        <w:rPr>
          <w:rFonts w:hint="eastAsia" w:ascii="宋体" w:hAnsi="宋体" w:cs="宋体"/>
          <w:sz w:val="24"/>
        </w:rPr>
        <w:t>现场验收采用全数验收和抽样验收的方式，对于单件中标价格高于2万元（含）的装备，应采用全数验收方式进行逐件验收。对于单件中标价格低于2万元的装备，一般采用抽样验收方式，每批次同类产品抽验率不得低于3%且不得少于5件。对于部分性能要求高、技术较为复杂但单件中标价格未超过2万元的装备宜采用全数验收方式。</w:t>
      </w:r>
    </w:p>
    <w:p w14:paraId="060A7C75">
      <w:pPr>
        <w:widowControl/>
        <w:spacing w:line="360" w:lineRule="exact"/>
        <w:ind w:firstLine="480" w:firstLineChars="200"/>
        <w:jc w:val="left"/>
        <w:rPr>
          <w:rFonts w:hint="eastAsia" w:ascii="宋体" w:hAnsi="宋体" w:cs="宋体"/>
          <w:sz w:val="24"/>
        </w:rPr>
      </w:pPr>
      <w:r>
        <w:rPr>
          <w:rFonts w:hint="eastAsia" w:ascii="宋体" w:hAnsi="宋体" w:cs="宋体"/>
          <w:sz w:val="24"/>
        </w:rPr>
        <w:t>第十条 验收结论。验收结论分为合格、限期整改、不合格等三种。验收情况应及时向履约验收组报告。履约验收组应逐级向总（支）队主官报告验收结论，并及时向供应商进行反馈，督促供应商按照合同及验收结论履行相关义务。</w:t>
      </w:r>
    </w:p>
    <w:p w14:paraId="406255F3">
      <w:pPr>
        <w:widowControl/>
        <w:spacing w:line="360" w:lineRule="exact"/>
        <w:ind w:firstLine="480" w:firstLineChars="200"/>
        <w:jc w:val="left"/>
        <w:rPr>
          <w:rFonts w:hint="eastAsia" w:ascii="宋体" w:hAnsi="宋体" w:cs="宋体"/>
          <w:sz w:val="24"/>
        </w:rPr>
      </w:pPr>
      <w:r>
        <w:rPr>
          <w:rFonts w:hint="eastAsia" w:ascii="宋体" w:hAnsi="宋体" w:cs="宋体"/>
          <w:sz w:val="24"/>
        </w:rPr>
        <w:t>第十一条 验收合格的装备，应及时配发至使用单位并在浙江省消防救援总队装备物资综合保障平台完成入库任务，由供应商对使用单位开展装备操作使用和维护保养培训。限期整改的装备，应督促供应商及时整改，整改期限原则上不宜超过30天，确需延长整改时限的需由供应商提出申请，经履约验收组同意后明确延长期限；整改完成后，供应商应再次申请进行复验，符合要求后配发至使用单位，由供应商开展培训。复验人员原则上不得更换调整，确需调整的应向履约验收组进行报备说明。复验不合格的装备，按照合同约定进行处理。</w:t>
      </w:r>
    </w:p>
    <w:p w14:paraId="72ADD4ED">
      <w:pPr>
        <w:widowControl/>
        <w:spacing w:line="360" w:lineRule="exact"/>
        <w:ind w:firstLine="480" w:firstLineChars="200"/>
        <w:jc w:val="left"/>
        <w:rPr>
          <w:rFonts w:hint="eastAsia" w:ascii="宋体" w:hAnsi="宋体" w:cs="宋体"/>
          <w:sz w:val="24"/>
        </w:rPr>
      </w:pPr>
      <w:r>
        <w:rPr>
          <w:rFonts w:hint="eastAsia" w:ascii="宋体" w:hAnsi="宋体" w:cs="宋体"/>
          <w:sz w:val="24"/>
        </w:rPr>
        <w:t>验收小组应根据装备验收检查测试情况，本着依法依规、客观公正的原则，综合判定验收结果，形成验收结论，填写装备验收单，验收小组人员和装备供应商代表共同签字确认。</w:t>
      </w:r>
    </w:p>
    <w:p w14:paraId="4129D4AA">
      <w:pPr>
        <w:pStyle w:val="43"/>
        <w:spacing w:line="360" w:lineRule="exact"/>
        <w:ind w:firstLine="480" w:firstLineChars="200"/>
        <w:jc w:val="both"/>
        <w:rPr>
          <w:rFonts w:hint="eastAsia" w:ascii="宋体" w:hAnsi="宋体" w:eastAsia="宋体" w:cs="宋体"/>
          <w:color w:val="auto"/>
          <w:kern w:val="2"/>
        </w:rPr>
      </w:pPr>
      <w:r>
        <w:rPr>
          <w:rFonts w:hint="eastAsia" w:ascii="宋体" w:hAnsi="宋体" w:cs="宋体"/>
          <w:sz w:val="24"/>
        </w:rPr>
        <w:t>第十二条  针对不合格的装备，应清查同批次产品的数量、流向并立即停用，同时将不合格产品使用及处理情况报总队后勤装备处。</w:t>
      </w:r>
    </w:p>
    <w:p w14:paraId="49982D80">
      <w:pPr>
        <w:widowControl/>
        <w:spacing w:line="360" w:lineRule="exact"/>
        <w:ind w:firstLine="482" w:firstLineChars="200"/>
        <w:jc w:val="left"/>
        <w:rPr>
          <w:rFonts w:hint="eastAsia" w:ascii="宋体" w:hAnsi="宋体" w:cs="宋体"/>
          <w:sz w:val="24"/>
        </w:rPr>
      </w:pPr>
      <w:r>
        <w:rPr>
          <w:rFonts w:hint="eastAsia" w:ascii="宋体" w:hAnsi="宋体" w:cs="宋体"/>
          <w:b/>
          <w:bCs/>
          <w:sz w:val="24"/>
        </w:rPr>
        <w:t>第四章  抽样送检</w:t>
      </w:r>
    </w:p>
    <w:p w14:paraId="7056A57E">
      <w:pPr>
        <w:widowControl/>
        <w:spacing w:line="360" w:lineRule="exact"/>
        <w:ind w:firstLine="480" w:firstLineChars="200"/>
        <w:jc w:val="left"/>
        <w:rPr>
          <w:rFonts w:hint="eastAsia" w:ascii="宋体" w:hAnsi="宋体" w:cs="宋体"/>
          <w:sz w:val="24"/>
        </w:rPr>
      </w:pPr>
      <w:r>
        <w:rPr>
          <w:rFonts w:hint="eastAsia" w:ascii="宋体" w:hAnsi="宋体" w:cs="宋体"/>
          <w:sz w:val="24"/>
        </w:rPr>
        <w:t>第十三条  需求单位应根据装备批次、数量、质量特性、安全隐患等实际需要开展抽样送检，并在制定采购文件时明确抽样送检的范围和数量。</w:t>
      </w:r>
    </w:p>
    <w:p w14:paraId="28142A57">
      <w:pPr>
        <w:widowControl/>
        <w:spacing w:line="360" w:lineRule="exact"/>
        <w:ind w:firstLine="480" w:firstLineChars="200"/>
        <w:jc w:val="left"/>
        <w:rPr>
          <w:rFonts w:hint="eastAsia" w:ascii="宋体" w:hAnsi="宋体" w:cs="宋体"/>
          <w:sz w:val="24"/>
        </w:rPr>
      </w:pPr>
      <w:r>
        <w:rPr>
          <w:rFonts w:hint="eastAsia" w:ascii="宋体" w:hAnsi="宋体" w:cs="宋体"/>
          <w:sz w:val="24"/>
        </w:rPr>
        <w:t>第十四条  抽样送检工作实行组长负责制。组长由该项目的验收小组组长兼任，组员除验收小组成员外应由火调技术处推荐消防产品质检岗位人员参与。</w:t>
      </w:r>
    </w:p>
    <w:p w14:paraId="7463F7AD">
      <w:pPr>
        <w:widowControl/>
        <w:spacing w:line="360" w:lineRule="exact"/>
        <w:ind w:firstLine="480" w:firstLineChars="200"/>
        <w:jc w:val="left"/>
        <w:rPr>
          <w:rFonts w:hint="eastAsia" w:ascii="宋体" w:hAnsi="宋体" w:cs="宋体"/>
          <w:sz w:val="24"/>
        </w:rPr>
      </w:pPr>
      <w:r>
        <w:rPr>
          <w:rFonts w:hint="eastAsia" w:ascii="宋体" w:hAnsi="宋体" w:cs="宋体"/>
          <w:sz w:val="24"/>
        </w:rPr>
        <w:t>第十五条  抽样送检工作应按照以下流程：</w:t>
      </w:r>
    </w:p>
    <w:p w14:paraId="1BB88DAB">
      <w:pPr>
        <w:widowControl/>
        <w:spacing w:line="360" w:lineRule="exact"/>
        <w:ind w:firstLine="480" w:firstLineChars="200"/>
        <w:jc w:val="left"/>
        <w:rPr>
          <w:rFonts w:hint="eastAsia" w:ascii="宋体" w:hAnsi="宋体" w:cs="宋体"/>
          <w:sz w:val="24"/>
        </w:rPr>
      </w:pPr>
      <w:r>
        <w:rPr>
          <w:rFonts w:hint="eastAsia" w:ascii="宋体" w:hAnsi="宋体" w:cs="宋体"/>
          <w:sz w:val="24"/>
        </w:rPr>
        <w:t>（一）根据装备验收抽查工作任务，明确抽查装备的类别、批次、样品和备用样品的数量。</w:t>
      </w:r>
    </w:p>
    <w:p w14:paraId="0D9CF9AA">
      <w:pPr>
        <w:widowControl/>
        <w:spacing w:line="360" w:lineRule="exact"/>
        <w:ind w:firstLine="480" w:firstLineChars="200"/>
        <w:jc w:val="left"/>
        <w:rPr>
          <w:rFonts w:hint="eastAsia" w:ascii="宋体" w:hAnsi="宋体" w:cs="宋体"/>
          <w:sz w:val="24"/>
        </w:rPr>
      </w:pPr>
      <w:r>
        <w:rPr>
          <w:rFonts w:hint="eastAsia" w:ascii="宋体" w:hAnsi="宋体" w:cs="宋体"/>
          <w:sz w:val="24"/>
        </w:rPr>
        <w:t>（二）根据工作实际，明确检验方案。</w:t>
      </w:r>
    </w:p>
    <w:p w14:paraId="6512523D">
      <w:pPr>
        <w:widowControl/>
        <w:spacing w:line="360" w:lineRule="exact"/>
        <w:ind w:firstLine="480" w:firstLineChars="200"/>
        <w:jc w:val="left"/>
        <w:rPr>
          <w:rFonts w:hint="eastAsia" w:ascii="宋体" w:hAnsi="宋体" w:cs="宋体"/>
          <w:sz w:val="24"/>
        </w:rPr>
      </w:pPr>
      <w:r>
        <w:rPr>
          <w:rFonts w:hint="eastAsia" w:ascii="宋体" w:hAnsi="宋体" w:cs="宋体"/>
          <w:sz w:val="24"/>
        </w:rPr>
        <w:t>（三）对接检验机构，签订委托检验合同。</w:t>
      </w:r>
    </w:p>
    <w:p w14:paraId="0A97E736">
      <w:pPr>
        <w:widowControl/>
        <w:spacing w:line="360" w:lineRule="exact"/>
        <w:ind w:firstLine="480" w:firstLineChars="200"/>
        <w:jc w:val="left"/>
        <w:rPr>
          <w:rFonts w:hint="eastAsia" w:ascii="宋体" w:hAnsi="宋体" w:cs="宋体"/>
          <w:sz w:val="24"/>
        </w:rPr>
      </w:pPr>
      <w:r>
        <w:rPr>
          <w:rFonts w:hint="eastAsia" w:ascii="宋体" w:hAnsi="宋体" w:cs="宋体"/>
          <w:sz w:val="24"/>
        </w:rPr>
        <w:t>（四）抽检小组在被抽查装备生产企业或供应商代表的见证下，直接在器材库内按照有关规定随机抽取尚未使用的样品和备样，抽取好的样品和备样应及时张贴封条，封条应加盖抽样单位公章，并有抽样人、供应商代表或委托人签名和抽样日期。抽样过程应全程录音录像。</w:t>
      </w:r>
    </w:p>
    <w:p w14:paraId="51C8FCD8">
      <w:pPr>
        <w:widowControl/>
        <w:spacing w:line="360" w:lineRule="exact"/>
        <w:ind w:firstLine="480" w:firstLineChars="200"/>
        <w:jc w:val="left"/>
        <w:rPr>
          <w:rFonts w:hint="eastAsia" w:ascii="宋体" w:hAnsi="宋体" w:cs="宋体"/>
          <w:sz w:val="24"/>
        </w:rPr>
      </w:pPr>
      <w:r>
        <w:rPr>
          <w:rFonts w:hint="eastAsia" w:ascii="宋体" w:hAnsi="宋体" w:cs="宋体"/>
          <w:sz w:val="24"/>
        </w:rPr>
        <w:t>（五）抽检单位统一将样品及《消防装备产品质量抽查抽样单》一并寄送至具有法定资质的检测机构，备样存放于库房内。寄送样品和备用样品应进行统一标记，避免需复检时样品出现不一致的情况。</w:t>
      </w:r>
    </w:p>
    <w:p w14:paraId="5EAD6DA4">
      <w:pPr>
        <w:widowControl/>
        <w:spacing w:line="360" w:lineRule="exact"/>
        <w:ind w:firstLine="480" w:firstLineChars="200"/>
        <w:jc w:val="left"/>
        <w:rPr>
          <w:rFonts w:hint="eastAsia" w:ascii="宋体" w:hAnsi="宋体" w:cs="宋体"/>
          <w:sz w:val="24"/>
        </w:rPr>
      </w:pPr>
      <w:r>
        <w:rPr>
          <w:rFonts w:hint="eastAsia" w:ascii="宋体" w:hAnsi="宋体" w:cs="宋体"/>
          <w:sz w:val="24"/>
        </w:rPr>
        <w:t>（六）消防船、工程机械等大型装备类产品由抽样送检小组人员赴现场，在生产企业或供应商代表见证下核查认证证书、检验报告等文件资料，并进行关键功能测试。</w:t>
      </w:r>
    </w:p>
    <w:p w14:paraId="11CC5AE0">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第十六条  异议处理。在收到检验结果之日起3日内，产品抽样单位应制作《消防产品质量检验结果通知书》，并送达生产企业或供应商；生产企业或供应商对产品检验结果有异议的，应当自收到检验结果之日起5日内向抽样单位提出书面复检申请；抽样单位受理复检申请后，应当场出具《消防产品复检受理凭证》，并书面通知检验机构采用备用样品进行复检，同时将备用样品寄送检验机构；检验机构将复检结果及时通知抽样单位后，抽样单位自收到复检结果之日起3日内，将复检结果告知申请人。</w:t>
      </w:r>
    </w:p>
    <w:p w14:paraId="0567BEBC">
      <w:pPr>
        <w:widowControl/>
        <w:spacing w:line="360" w:lineRule="exact"/>
        <w:ind w:firstLine="482" w:firstLineChars="200"/>
        <w:jc w:val="left"/>
        <w:rPr>
          <w:rFonts w:hint="eastAsia" w:ascii="宋体" w:hAnsi="宋体" w:cs="宋体"/>
          <w:b/>
          <w:bCs/>
          <w:sz w:val="24"/>
        </w:rPr>
      </w:pPr>
      <w:r>
        <w:rPr>
          <w:rFonts w:hint="eastAsia" w:ascii="宋体" w:hAnsi="宋体" w:cs="宋体"/>
          <w:b/>
          <w:bCs/>
          <w:sz w:val="24"/>
        </w:rPr>
        <w:t>第五章  附  则</w:t>
      </w:r>
    </w:p>
    <w:p w14:paraId="67649755">
      <w:pPr>
        <w:widowControl/>
        <w:spacing w:line="360" w:lineRule="exact"/>
        <w:ind w:firstLine="480" w:firstLineChars="200"/>
        <w:jc w:val="left"/>
        <w:rPr>
          <w:rFonts w:hint="eastAsia" w:ascii="宋体" w:hAnsi="宋体" w:cs="宋体"/>
          <w:sz w:val="24"/>
        </w:rPr>
      </w:pPr>
      <w:r>
        <w:rPr>
          <w:rFonts w:hint="eastAsia" w:ascii="宋体" w:hAnsi="宋体" w:cs="宋体"/>
          <w:sz w:val="24"/>
        </w:rPr>
        <w:t>第十七条  各单位在验收前应对抽取的验收人员开展廉政教育，签订廉政承诺书。</w:t>
      </w:r>
    </w:p>
    <w:p w14:paraId="459F0106">
      <w:pPr>
        <w:widowControl/>
        <w:spacing w:line="360" w:lineRule="exact"/>
        <w:ind w:firstLine="480" w:firstLineChars="200"/>
        <w:jc w:val="left"/>
        <w:rPr>
          <w:rFonts w:hint="eastAsia" w:ascii="宋体" w:hAnsi="宋体" w:cs="宋体"/>
          <w:sz w:val="24"/>
        </w:rPr>
      </w:pPr>
      <w:r>
        <w:rPr>
          <w:rFonts w:hint="eastAsia" w:ascii="宋体" w:hAnsi="宋体" w:cs="宋体"/>
          <w:sz w:val="24"/>
        </w:rPr>
        <w:t>第十八条  装备验收人员应严格遵守各项法律法规，保持廉洁自律，自觉接受各级单位监督。按照“谁验收谁负责、谁签字谁负责”原则，严格执行验收管理有关规定，不弄虚作假，不敷衍塞责，对发现有违法违纪违规等行为的实行责任倒查，并按相关规定和程序追究相关人员责任。对于工作认真负责，严格把好验收关口，有效维护单位利益的人员应予以褒奖。</w:t>
      </w:r>
    </w:p>
    <w:p w14:paraId="6996B217">
      <w:pPr>
        <w:widowControl/>
        <w:spacing w:line="360" w:lineRule="exact"/>
        <w:ind w:firstLine="480" w:firstLineChars="200"/>
        <w:jc w:val="left"/>
        <w:rPr>
          <w:rFonts w:hint="eastAsia" w:ascii="宋体" w:hAnsi="宋体" w:cs="宋体"/>
          <w:sz w:val="24"/>
        </w:rPr>
      </w:pPr>
      <w:r>
        <w:rPr>
          <w:rFonts w:hint="eastAsia" w:ascii="宋体" w:hAnsi="宋体" w:cs="宋体"/>
          <w:sz w:val="24"/>
        </w:rPr>
        <w:t>第十九条  本规定未尽事宜，按照国家相关法律法规执行。</w:t>
      </w:r>
    </w:p>
    <w:p w14:paraId="6009920A">
      <w:pPr>
        <w:widowControl/>
        <w:spacing w:line="360" w:lineRule="exact"/>
        <w:ind w:firstLine="480" w:firstLineChars="200"/>
        <w:jc w:val="left"/>
        <w:rPr>
          <w:rFonts w:hint="eastAsia" w:ascii="宋体" w:hAnsi="宋体" w:cs="宋体"/>
          <w:sz w:val="24"/>
        </w:rPr>
      </w:pPr>
      <w:r>
        <w:rPr>
          <w:rFonts w:hint="eastAsia" w:ascii="宋体" w:hAnsi="宋体" w:cs="宋体"/>
          <w:sz w:val="24"/>
        </w:rPr>
        <w:t>第二十条  本规定自颁布之日起施行，由浙江省消防救援总队后勤装备处负责解释。</w:t>
      </w:r>
    </w:p>
    <w:p w14:paraId="6A347993">
      <w:pPr>
        <w:spacing w:line="360" w:lineRule="exact"/>
        <w:rPr>
          <w:sz w:val="24"/>
        </w:rPr>
      </w:pPr>
    </w:p>
    <w:bookmarkEnd w:id="41"/>
    <w:bookmarkEnd w:id="42"/>
    <w:p w14:paraId="7A28E479">
      <w:pPr>
        <w:snapToGrid w:val="0"/>
        <w:spacing w:line="360" w:lineRule="auto"/>
        <w:jc w:val="center"/>
        <w:rPr>
          <w:rFonts w:hint="eastAsia" w:ascii="宋体" w:hAnsi="宋体" w:cs="宋体"/>
          <w:b/>
          <w:sz w:val="32"/>
          <w:szCs w:val="32"/>
        </w:rPr>
      </w:pPr>
      <w:bookmarkStart w:id="43" w:name="_Toc28239"/>
    </w:p>
    <w:p w14:paraId="0DD201A0">
      <w:pPr>
        <w:snapToGrid w:val="0"/>
        <w:spacing w:line="360" w:lineRule="auto"/>
        <w:jc w:val="center"/>
        <w:rPr>
          <w:rFonts w:hint="eastAsia" w:ascii="宋体" w:hAnsi="宋体" w:cs="宋体"/>
          <w:b/>
          <w:sz w:val="32"/>
          <w:szCs w:val="32"/>
        </w:rPr>
      </w:pPr>
    </w:p>
    <w:p w14:paraId="6BFE016C"/>
    <w:p w14:paraId="0A897CA1">
      <w:pPr>
        <w:pStyle w:val="2"/>
        <w:spacing w:before="156" w:after="156"/>
        <w:rPr>
          <w:rFonts w:hint="eastAsia"/>
          <w:bCs/>
        </w:rPr>
      </w:pPr>
      <w:bookmarkStart w:id="44" w:name="_Toc21621"/>
      <w:r>
        <w:rPr>
          <w:rFonts w:hint="eastAsia"/>
        </w:rPr>
        <w:t>第六部分  投标文件格式</w:t>
      </w:r>
      <w:bookmarkEnd w:id="43"/>
      <w:bookmarkEnd w:id="44"/>
    </w:p>
    <w:p w14:paraId="577EF1A5">
      <w:pPr>
        <w:snapToGrid w:val="0"/>
        <w:spacing w:line="400" w:lineRule="exact"/>
        <w:jc w:val="left"/>
        <w:rPr>
          <w:rFonts w:hint="eastAsia" w:ascii="宋体" w:hAnsi="宋体" w:cs="宋体"/>
          <w:sz w:val="24"/>
        </w:rPr>
      </w:pPr>
      <w:r>
        <w:rPr>
          <w:rFonts w:hint="eastAsia" w:ascii="宋体" w:hAnsi="宋体" w:cs="宋体"/>
          <w:sz w:val="24"/>
        </w:rPr>
        <w:t>说明：</w:t>
      </w:r>
    </w:p>
    <w:p w14:paraId="3C0939E2">
      <w:pPr>
        <w:snapToGrid w:val="0"/>
        <w:spacing w:line="400" w:lineRule="exact"/>
        <w:jc w:val="left"/>
        <w:rPr>
          <w:rFonts w:hint="eastAsia" w:ascii="宋体" w:hAnsi="宋体" w:cs="宋体"/>
          <w:sz w:val="24"/>
        </w:rPr>
      </w:pPr>
      <w:r>
        <w:rPr>
          <w:rFonts w:hint="eastAsia" w:ascii="宋体" w:hAnsi="宋体" w:cs="宋体"/>
          <w:sz w:val="24"/>
        </w:rPr>
        <w:t>1.投标文件由投标人根据招标文件要求参照附件格式编制。</w:t>
      </w:r>
    </w:p>
    <w:p w14:paraId="48FE5F01">
      <w:pPr>
        <w:snapToGrid w:val="0"/>
        <w:spacing w:line="400" w:lineRule="exact"/>
        <w:jc w:val="left"/>
        <w:rPr>
          <w:rFonts w:hint="eastAsia" w:ascii="宋体" w:hAnsi="宋体" w:cs="宋体"/>
          <w:sz w:val="24"/>
        </w:rPr>
      </w:pPr>
      <w:r>
        <w:rPr>
          <w:rFonts w:hint="eastAsia" w:ascii="宋体" w:hAnsi="宋体" w:cs="宋体"/>
          <w:sz w:val="24"/>
        </w:rPr>
        <w:t>2.投标人根据实际情况填写。</w:t>
      </w:r>
    </w:p>
    <w:p w14:paraId="618F8347">
      <w:pPr>
        <w:snapToGrid w:val="0"/>
        <w:spacing w:line="400" w:lineRule="exact"/>
        <w:jc w:val="left"/>
        <w:rPr>
          <w:rFonts w:hint="eastAsia" w:ascii="宋体" w:hAnsi="宋体" w:cs="宋体"/>
          <w:sz w:val="24"/>
        </w:rPr>
      </w:pPr>
      <w:r>
        <w:rPr>
          <w:rFonts w:hint="eastAsia" w:ascii="宋体" w:hAnsi="宋体" w:cs="宋体"/>
          <w:sz w:val="24"/>
        </w:rPr>
        <w:t>3.招标文件中没有参考格式的，由投标人自行编制。</w:t>
      </w:r>
    </w:p>
    <w:p w14:paraId="59AC136F">
      <w:pPr>
        <w:snapToGrid w:val="0"/>
        <w:spacing w:line="400" w:lineRule="exact"/>
        <w:jc w:val="left"/>
        <w:rPr>
          <w:rFonts w:hint="eastAsia" w:ascii="宋体" w:hAnsi="宋体" w:cs="宋体"/>
          <w:sz w:val="24"/>
        </w:rPr>
      </w:pPr>
    </w:p>
    <w:p w14:paraId="39725E98">
      <w:pPr>
        <w:snapToGrid w:val="0"/>
        <w:spacing w:line="360" w:lineRule="auto"/>
        <w:rPr>
          <w:rFonts w:hint="eastAsia" w:ascii="宋体" w:hAnsi="宋体" w:cs="宋体"/>
        </w:rPr>
      </w:pPr>
    </w:p>
    <w:p w14:paraId="73A3BBD1">
      <w:pPr>
        <w:snapToGrid w:val="0"/>
        <w:spacing w:line="360" w:lineRule="auto"/>
        <w:rPr>
          <w:rFonts w:hint="eastAsia" w:ascii="宋体" w:hAnsi="宋体" w:cs="宋体"/>
        </w:rPr>
      </w:pPr>
    </w:p>
    <w:p w14:paraId="6B692F85">
      <w:pPr>
        <w:snapToGrid w:val="0"/>
        <w:spacing w:line="360" w:lineRule="auto"/>
        <w:rPr>
          <w:rFonts w:hint="eastAsia" w:ascii="宋体" w:hAnsi="宋体" w:cs="宋体"/>
        </w:rPr>
      </w:pPr>
    </w:p>
    <w:p w14:paraId="3D50DF0D">
      <w:pPr>
        <w:snapToGrid w:val="0"/>
        <w:spacing w:line="360" w:lineRule="auto"/>
        <w:rPr>
          <w:rFonts w:hint="eastAsia" w:ascii="宋体" w:hAnsi="宋体" w:cs="宋体"/>
        </w:rPr>
      </w:pPr>
    </w:p>
    <w:p w14:paraId="6289D88D">
      <w:pPr>
        <w:snapToGrid w:val="0"/>
        <w:spacing w:line="360" w:lineRule="auto"/>
        <w:rPr>
          <w:rFonts w:hint="eastAsia" w:ascii="宋体" w:hAnsi="宋体" w:cs="宋体"/>
        </w:rPr>
      </w:pPr>
    </w:p>
    <w:p w14:paraId="5D458977">
      <w:pPr>
        <w:snapToGrid w:val="0"/>
        <w:spacing w:line="360" w:lineRule="auto"/>
        <w:rPr>
          <w:rFonts w:hint="eastAsia" w:ascii="宋体" w:hAnsi="宋体" w:cs="宋体"/>
        </w:rPr>
      </w:pPr>
    </w:p>
    <w:p w14:paraId="4FB777D1">
      <w:pPr>
        <w:snapToGrid w:val="0"/>
        <w:spacing w:line="360" w:lineRule="auto"/>
        <w:rPr>
          <w:rFonts w:hint="eastAsia" w:ascii="宋体" w:hAnsi="宋体" w:cs="宋体"/>
        </w:rPr>
      </w:pPr>
    </w:p>
    <w:p w14:paraId="4C7C61BF">
      <w:pPr>
        <w:snapToGrid w:val="0"/>
        <w:spacing w:line="360" w:lineRule="auto"/>
        <w:rPr>
          <w:rFonts w:hint="eastAsia" w:ascii="宋体" w:hAnsi="宋体" w:cs="宋体"/>
        </w:rPr>
      </w:pPr>
    </w:p>
    <w:p w14:paraId="5ABEA78A">
      <w:pPr>
        <w:snapToGrid w:val="0"/>
        <w:spacing w:line="360" w:lineRule="auto"/>
        <w:rPr>
          <w:rFonts w:hint="eastAsia" w:ascii="宋体" w:hAnsi="宋体" w:cs="宋体"/>
        </w:rPr>
      </w:pPr>
    </w:p>
    <w:p w14:paraId="5F2E3A17">
      <w:pPr>
        <w:snapToGrid w:val="0"/>
        <w:spacing w:line="360" w:lineRule="auto"/>
        <w:rPr>
          <w:rFonts w:hint="eastAsia" w:ascii="宋体" w:hAnsi="宋体" w:cs="宋体"/>
        </w:rPr>
      </w:pPr>
    </w:p>
    <w:p w14:paraId="0B775FD9">
      <w:pPr>
        <w:snapToGrid w:val="0"/>
        <w:spacing w:line="360" w:lineRule="auto"/>
        <w:rPr>
          <w:rFonts w:hint="eastAsia" w:ascii="宋体" w:hAnsi="宋体" w:cs="宋体"/>
        </w:rPr>
      </w:pPr>
    </w:p>
    <w:p w14:paraId="7DA4B2FD">
      <w:pPr>
        <w:snapToGrid w:val="0"/>
        <w:spacing w:line="360" w:lineRule="auto"/>
        <w:rPr>
          <w:rFonts w:hint="eastAsia" w:ascii="宋体" w:hAnsi="宋体" w:cs="宋体"/>
        </w:rPr>
      </w:pPr>
    </w:p>
    <w:p w14:paraId="327385BA">
      <w:pPr>
        <w:snapToGrid w:val="0"/>
        <w:spacing w:line="360" w:lineRule="auto"/>
        <w:rPr>
          <w:rFonts w:hint="eastAsia" w:ascii="宋体" w:hAnsi="宋体" w:cs="宋体"/>
        </w:rPr>
      </w:pPr>
    </w:p>
    <w:p w14:paraId="14DE071E">
      <w:pPr>
        <w:snapToGrid w:val="0"/>
        <w:spacing w:line="360" w:lineRule="auto"/>
        <w:rPr>
          <w:rFonts w:hint="eastAsia" w:ascii="宋体" w:hAnsi="宋体" w:cs="宋体"/>
        </w:rPr>
      </w:pPr>
    </w:p>
    <w:p w14:paraId="24C3B582">
      <w:pPr>
        <w:snapToGrid w:val="0"/>
        <w:spacing w:line="360" w:lineRule="auto"/>
        <w:rPr>
          <w:rFonts w:hint="eastAsia" w:ascii="宋体" w:hAnsi="宋体" w:cs="宋体"/>
        </w:rPr>
      </w:pPr>
    </w:p>
    <w:p w14:paraId="03170B21">
      <w:pPr>
        <w:snapToGrid w:val="0"/>
        <w:spacing w:before="156" w:beforeLines="50" w:after="50" w:line="360" w:lineRule="auto"/>
        <w:rPr>
          <w:rFonts w:hint="eastAsia" w:ascii="宋体" w:hAnsi="宋体" w:cs="宋体"/>
          <w:b/>
          <w:sz w:val="30"/>
          <w:szCs w:val="30"/>
        </w:rPr>
      </w:pPr>
      <w:r>
        <w:rPr>
          <w:rFonts w:hint="eastAsia" w:ascii="宋体" w:hAnsi="宋体" w:cs="宋体"/>
        </w:rPr>
        <w:br w:type="page"/>
      </w:r>
      <w:bookmarkStart w:id="45" w:name="_Toc23472"/>
      <w:bookmarkStart w:id="46" w:name="_Toc30674"/>
      <w:r>
        <w:rPr>
          <w:rFonts w:hint="eastAsia" w:ascii="宋体" w:hAnsi="宋体" w:cs="宋体"/>
          <w:sz w:val="30"/>
          <w:szCs w:val="30"/>
        </w:rPr>
        <w:t>封面</w:t>
      </w:r>
      <w:r>
        <w:rPr>
          <w:rFonts w:hint="eastAsia" w:ascii="宋体" w:hAnsi="宋体" w:cs="宋体"/>
          <w:b/>
          <w:sz w:val="30"/>
          <w:szCs w:val="30"/>
        </w:rPr>
        <w:t xml:space="preserve">：                                               </w:t>
      </w:r>
      <w:r>
        <w:rPr>
          <w:rFonts w:hint="eastAsia" w:ascii="宋体" w:hAnsi="宋体" w:cs="宋体"/>
          <w:bCs/>
          <w:sz w:val="30"/>
          <w:szCs w:val="30"/>
        </w:rPr>
        <w:t>正本或副本</w:t>
      </w:r>
      <w:bookmarkEnd w:id="45"/>
      <w:bookmarkEnd w:id="46"/>
    </w:p>
    <w:p w14:paraId="2612AEBB">
      <w:pPr>
        <w:snapToGrid w:val="0"/>
        <w:spacing w:line="360" w:lineRule="auto"/>
        <w:ind w:right="-108"/>
        <w:jc w:val="center"/>
        <w:rPr>
          <w:rFonts w:hint="eastAsia" w:ascii="宋体" w:hAnsi="宋体" w:cs="宋体"/>
          <w:spacing w:val="40"/>
          <w:sz w:val="32"/>
          <w:szCs w:val="32"/>
        </w:rPr>
      </w:pPr>
    </w:p>
    <w:p w14:paraId="7C8FB030">
      <w:pPr>
        <w:snapToGrid w:val="0"/>
        <w:spacing w:line="360" w:lineRule="auto"/>
        <w:ind w:right="-108"/>
        <w:jc w:val="center"/>
        <w:rPr>
          <w:rFonts w:hint="eastAsia" w:ascii="宋体" w:hAnsi="宋体" w:cs="宋体"/>
          <w:spacing w:val="40"/>
          <w:sz w:val="32"/>
          <w:szCs w:val="32"/>
          <w:lang w:eastAsia="zh-CN"/>
        </w:rPr>
      </w:pPr>
      <w:r>
        <w:rPr>
          <w:rFonts w:hint="eastAsia" w:ascii="宋体" w:hAnsi="宋体" w:cs="宋体"/>
          <w:spacing w:val="40"/>
          <w:sz w:val="32"/>
          <w:szCs w:val="32"/>
          <w:lang w:eastAsia="zh-CN"/>
        </w:rPr>
        <w:t>舟山市消防救援支队2024年全市器材</w:t>
      </w:r>
    </w:p>
    <w:p w14:paraId="35C60930">
      <w:pPr>
        <w:snapToGrid w:val="0"/>
        <w:spacing w:line="360" w:lineRule="auto"/>
        <w:ind w:right="-108"/>
        <w:jc w:val="center"/>
        <w:rPr>
          <w:rFonts w:hint="eastAsia" w:ascii="宋体" w:hAnsi="宋体" w:eastAsia="宋体" w:cs="宋体"/>
          <w:spacing w:val="40"/>
          <w:sz w:val="32"/>
          <w:szCs w:val="32"/>
          <w:lang w:eastAsia="zh-CN"/>
        </w:rPr>
      </w:pPr>
      <w:r>
        <w:rPr>
          <w:rFonts w:hint="eastAsia" w:ascii="宋体" w:hAnsi="宋体" w:cs="宋体"/>
          <w:spacing w:val="40"/>
          <w:sz w:val="32"/>
          <w:szCs w:val="32"/>
          <w:lang w:eastAsia="zh-CN"/>
        </w:rPr>
        <w:t>装备（破拆类二）采购项目</w:t>
      </w:r>
    </w:p>
    <w:p w14:paraId="095B4B56">
      <w:pPr>
        <w:snapToGrid w:val="0"/>
        <w:spacing w:before="312" w:beforeLines="100" w:line="240" w:lineRule="exact"/>
        <w:jc w:val="center"/>
        <w:rPr>
          <w:rFonts w:hint="eastAsia" w:ascii="宋体" w:hAnsi="宋体" w:eastAsia="宋体" w:cs="宋体"/>
          <w:b/>
          <w:sz w:val="24"/>
          <w:lang w:eastAsia="zh-CN"/>
        </w:rPr>
      </w:pPr>
      <w:bookmarkStart w:id="47" w:name="_Toc18207"/>
      <w:bookmarkStart w:id="48" w:name="_Toc12229"/>
      <w:r>
        <w:rPr>
          <w:rFonts w:hint="eastAsia" w:ascii="宋体" w:hAnsi="宋体" w:cs="宋体"/>
          <w:b/>
          <w:sz w:val="24"/>
        </w:rPr>
        <w:t>项目编号：</w:t>
      </w:r>
      <w:bookmarkEnd w:id="47"/>
      <w:bookmarkEnd w:id="48"/>
      <w:r>
        <w:rPr>
          <w:rFonts w:hint="eastAsia" w:ascii="宋体" w:hAnsi="宋体" w:cs="宋体"/>
          <w:b/>
          <w:sz w:val="24"/>
          <w:lang w:eastAsia="zh-CN"/>
        </w:rPr>
        <w:t>ZHDL2025-N93</w:t>
      </w:r>
    </w:p>
    <w:p w14:paraId="0E65CE01">
      <w:pPr>
        <w:snapToGrid w:val="0"/>
        <w:spacing w:before="312" w:beforeLines="100" w:line="360" w:lineRule="exact"/>
        <w:jc w:val="center"/>
        <w:rPr>
          <w:rFonts w:hint="eastAsia" w:ascii="宋体" w:hAnsi="宋体" w:cs="宋体"/>
          <w:sz w:val="32"/>
          <w:szCs w:val="32"/>
        </w:rPr>
      </w:pPr>
      <w:bookmarkStart w:id="49" w:name="_Toc7109"/>
      <w:bookmarkStart w:id="50" w:name="_Toc30177"/>
      <w:bookmarkStart w:id="51" w:name="_Toc12687"/>
      <w:bookmarkStart w:id="52" w:name="_Toc13291"/>
      <w:r>
        <w:rPr>
          <w:rFonts w:hint="eastAsia" w:ascii="宋体" w:hAnsi="宋体" w:cs="宋体"/>
          <w:sz w:val="32"/>
          <w:szCs w:val="32"/>
        </w:rPr>
        <w:t>标项：</w:t>
      </w:r>
      <w:r>
        <w:rPr>
          <w:rFonts w:hint="eastAsia" w:ascii="宋体" w:hAnsi="宋体" w:cs="宋体"/>
          <w:sz w:val="32"/>
          <w:szCs w:val="32"/>
          <w:u w:val="single"/>
        </w:rPr>
        <w:t xml:space="preserve">    </w:t>
      </w:r>
      <w:bookmarkEnd w:id="49"/>
      <w:bookmarkEnd w:id="50"/>
      <w:r>
        <w:rPr>
          <w:rFonts w:hint="eastAsia" w:ascii="宋体" w:hAnsi="宋体" w:cs="宋体"/>
          <w:sz w:val="32"/>
          <w:szCs w:val="32"/>
        </w:rPr>
        <w:t>（标项名称：</w:t>
      </w:r>
      <w:r>
        <w:rPr>
          <w:rFonts w:hint="eastAsia" w:ascii="宋体" w:hAnsi="宋体" w:cs="宋体"/>
          <w:sz w:val="32"/>
          <w:szCs w:val="32"/>
          <w:u w:val="single"/>
        </w:rPr>
        <w:t xml:space="preserve"> </w:t>
      </w:r>
      <w:r>
        <w:rPr>
          <w:rFonts w:ascii="宋体" w:hAnsi="宋体" w:cs="宋体"/>
          <w:sz w:val="32"/>
          <w:szCs w:val="32"/>
          <w:u w:val="single"/>
        </w:rPr>
        <w:t xml:space="preserve">     </w:t>
      </w:r>
      <w:r>
        <w:rPr>
          <w:rFonts w:hint="eastAsia" w:ascii="宋体" w:hAnsi="宋体" w:cs="宋体"/>
          <w:sz w:val="32"/>
          <w:szCs w:val="32"/>
        </w:rPr>
        <w:t>）</w:t>
      </w:r>
    </w:p>
    <w:p w14:paraId="729CB2D5">
      <w:pPr>
        <w:snapToGrid w:val="0"/>
        <w:spacing w:line="360" w:lineRule="auto"/>
        <w:ind w:right="-108"/>
        <w:jc w:val="center"/>
        <w:rPr>
          <w:rFonts w:hint="eastAsia" w:ascii="宋体" w:hAnsi="宋体" w:cs="宋体"/>
          <w:b/>
          <w:spacing w:val="40"/>
          <w:sz w:val="72"/>
          <w:szCs w:val="72"/>
        </w:rPr>
      </w:pPr>
    </w:p>
    <w:p w14:paraId="0085979C">
      <w:pPr>
        <w:snapToGrid w:val="0"/>
        <w:spacing w:line="360" w:lineRule="auto"/>
        <w:ind w:right="-108"/>
        <w:jc w:val="center"/>
        <w:rPr>
          <w:rFonts w:hint="eastAsia" w:ascii="宋体" w:hAnsi="宋体" w:cs="宋体"/>
          <w:b/>
          <w:spacing w:val="40"/>
          <w:sz w:val="72"/>
          <w:szCs w:val="72"/>
        </w:rPr>
      </w:pPr>
      <w:r>
        <w:rPr>
          <w:rFonts w:hint="eastAsia" w:ascii="宋体" w:hAnsi="宋体" w:cs="宋体"/>
          <w:b/>
          <w:spacing w:val="40"/>
          <w:sz w:val="72"/>
          <w:szCs w:val="72"/>
        </w:rPr>
        <w:t>投</w:t>
      </w:r>
      <w:bookmarkEnd w:id="51"/>
      <w:bookmarkEnd w:id="52"/>
      <w:bookmarkStart w:id="53" w:name="_Toc9229"/>
      <w:bookmarkStart w:id="54" w:name="_Toc28864"/>
      <w:r>
        <w:rPr>
          <w:rFonts w:hint="eastAsia" w:ascii="宋体" w:hAnsi="宋体" w:cs="宋体"/>
          <w:b/>
          <w:spacing w:val="40"/>
          <w:sz w:val="72"/>
          <w:szCs w:val="72"/>
        </w:rPr>
        <w:t>标</w:t>
      </w:r>
      <w:bookmarkEnd w:id="53"/>
      <w:bookmarkEnd w:id="54"/>
      <w:bookmarkStart w:id="55" w:name="_Toc31067"/>
      <w:bookmarkStart w:id="56" w:name="_Toc18351"/>
      <w:r>
        <w:rPr>
          <w:rFonts w:hint="eastAsia" w:ascii="宋体" w:hAnsi="宋体" w:cs="宋体"/>
          <w:b/>
          <w:spacing w:val="40"/>
          <w:sz w:val="72"/>
          <w:szCs w:val="72"/>
        </w:rPr>
        <w:t>文</w:t>
      </w:r>
      <w:bookmarkEnd w:id="55"/>
      <w:bookmarkEnd w:id="56"/>
      <w:bookmarkStart w:id="57" w:name="_Toc23297"/>
      <w:bookmarkStart w:id="58" w:name="_Toc720"/>
      <w:r>
        <w:rPr>
          <w:rFonts w:hint="eastAsia" w:ascii="宋体" w:hAnsi="宋体" w:cs="宋体"/>
          <w:b/>
          <w:spacing w:val="40"/>
          <w:sz w:val="72"/>
          <w:szCs w:val="72"/>
        </w:rPr>
        <w:t>件</w:t>
      </w:r>
      <w:bookmarkEnd w:id="57"/>
      <w:bookmarkEnd w:id="58"/>
    </w:p>
    <w:p w14:paraId="2015E376">
      <w:pPr>
        <w:widowControl/>
        <w:jc w:val="left"/>
      </w:pPr>
    </w:p>
    <w:p w14:paraId="02C3EAA8">
      <w:pPr>
        <w:spacing w:line="360" w:lineRule="auto"/>
        <w:jc w:val="center"/>
        <w:rPr>
          <w:sz w:val="24"/>
          <w:szCs w:val="32"/>
        </w:rPr>
      </w:pPr>
    </w:p>
    <w:p w14:paraId="310DE445">
      <w:pPr>
        <w:spacing w:line="360" w:lineRule="auto"/>
        <w:jc w:val="center"/>
        <w:rPr>
          <w:sz w:val="28"/>
          <w:szCs w:val="36"/>
        </w:rPr>
      </w:pPr>
      <w:r>
        <w:rPr>
          <w:rFonts w:hint="eastAsia"/>
          <w:sz w:val="28"/>
          <w:szCs w:val="36"/>
        </w:rPr>
        <w:t>（资格、商务技术文件/报价文件）</w:t>
      </w:r>
    </w:p>
    <w:p w14:paraId="7CFAF3DC">
      <w:pPr>
        <w:spacing w:line="360" w:lineRule="exact"/>
        <w:jc w:val="center"/>
      </w:pPr>
      <w:r>
        <w:rPr>
          <w:rFonts w:hint="eastAsia" w:ascii="宋体" w:hAnsi="宋体" w:cs="宋体"/>
          <w:b/>
          <w:spacing w:val="40"/>
          <w:szCs w:val="21"/>
        </w:rPr>
        <w:t>注：具体文件名称根据投标文件实际内容标注</w:t>
      </w:r>
    </w:p>
    <w:p w14:paraId="426A2E61">
      <w:pPr>
        <w:snapToGrid w:val="0"/>
        <w:spacing w:line="360" w:lineRule="auto"/>
        <w:ind w:right="532" w:firstLine="640" w:firstLineChars="200"/>
        <w:rPr>
          <w:rFonts w:hint="eastAsia" w:ascii="宋体" w:hAnsi="宋体" w:cs="宋体"/>
          <w:sz w:val="32"/>
          <w:szCs w:val="32"/>
        </w:rPr>
      </w:pPr>
    </w:p>
    <w:p w14:paraId="7E820D3C">
      <w:pPr>
        <w:snapToGrid w:val="0"/>
        <w:spacing w:line="360" w:lineRule="auto"/>
        <w:ind w:right="532" w:firstLine="640" w:firstLineChars="200"/>
        <w:rPr>
          <w:rFonts w:hint="eastAsia" w:ascii="宋体" w:hAnsi="宋体" w:cs="宋体"/>
          <w:sz w:val="32"/>
          <w:szCs w:val="32"/>
        </w:rPr>
      </w:pPr>
      <w:bookmarkStart w:id="59" w:name="_Toc22859"/>
      <w:bookmarkStart w:id="60" w:name="_Toc22865"/>
    </w:p>
    <w:p w14:paraId="5E42BA5F">
      <w:pPr>
        <w:snapToGrid w:val="0"/>
        <w:spacing w:line="360" w:lineRule="auto"/>
        <w:ind w:right="532" w:firstLine="640" w:firstLineChars="200"/>
        <w:rPr>
          <w:rFonts w:hint="eastAsia" w:ascii="宋体" w:hAnsi="宋体" w:cs="宋体"/>
          <w:sz w:val="32"/>
          <w:szCs w:val="32"/>
        </w:rPr>
      </w:pPr>
    </w:p>
    <w:p w14:paraId="40F4A6DA">
      <w:pPr>
        <w:snapToGrid w:val="0"/>
        <w:spacing w:line="360" w:lineRule="auto"/>
        <w:ind w:right="532" w:firstLine="640" w:firstLineChars="200"/>
        <w:rPr>
          <w:rFonts w:hint="eastAsia" w:ascii="宋体" w:hAnsi="宋体" w:cs="宋体"/>
          <w:sz w:val="32"/>
          <w:szCs w:val="32"/>
        </w:rPr>
      </w:pPr>
      <w:r>
        <w:rPr>
          <w:rFonts w:hint="eastAsia" w:ascii="宋体" w:hAnsi="宋体" w:cs="宋体"/>
          <w:sz w:val="32"/>
          <w:szCs w:val="32"/>
        </w:rPr>
        <w:t>投标人全称（盖单位公章）：</w:t>
      </w:r>
      <w:bookmarkEnd w:id="59"/>
      <w:bookmarkEnd w:id="60"/>
    </w:p>
    <w:p w14:paraId="04B1D8F5">
      <w:pPr>
        <w:snapToGrid w:val="0"/>
        <w:spacing w:line="360" w:lineRule="auto"/>
        <w:ind w:right="532" w:firstLine="640" w:firstLineChars="200"/>
        <w:rPr>
          <w:rFonts w:hint="eastAsia" w:ascii="宋体" w:hAnsi="宋体" w:cs="宋体"/>
          <w:sz w:val="32"/>
          <w:szCs w:val="32"/>
        </w:rPr>
      </w:pPr>
      <w:bookmarkStart w:id="61" w:name="_Toc23785"/>
      <w:bookmarkStart w:id="62" w:name="_Toc9997"/>
      <w:r>
        <w:rPr>
          <w:rFonts w:hint="eastAsia" w:ascii="宋体" w:hAnsi="宋体" w:cs="宋体"/>
          <w:sz w:val="32"/>
          <w:szCs w:val="32"/>
        </w:rPr>
        <w:t>投标文件签署人（签字或盖章）：</w:t>
      </w:r>
      <w:bookmarkEnd w:id="61"/>
      <w:bookmarkEnd w:id="62"/>
    </w:p>
    <w:p w14:paraId="35DCE7BA">
      <w:pPr>
        <w:snapToGrid w:val="0"/>
        <w:spacing w:line="360" w:lineRule="auto"/>
        <w:ind w:right="532" w:firstLine="640" w:firstLineChars="200"/>
        <w:rPr>
          <w:rFonts w:hint="eastAsia" w:ascii="宋体" w:hAnsi="宋体" w:cs="宋体"/>
          <w:sz w:val="32"/>
          <w:szCs w:val="32"/>
        </w:rPr>
      </w:pPr>
      <w:bookmarkStart w:id="63" w:name="_Toc21164"/>
      <w:bookmarkStart w:id="64" w:name="_Toc24658"/>
      <w:r>
        <w:rPr>
          <w:rFonts w:hint="eastAsia" w:ascii="宋体" w:hAnsi="宋体" w:cs="宋体"/>
          <w:sz w:val="32"/>
          <w:szCs w:val="32"/>
        </w:rPr>
        <w:t>日期：</w:t>
      </w:r>
      <w:bookmarkEnd w:id="63"/>
      <w:bookmarkEnd w:id="64"/>
      <w:r>
        <w:rPr>
          <w:rFonts w:hint="eastAsia" w:ascii="宋体" w:hAnsi="宋体" w:cs="宋体"/>
          <w:sz w:val="32"/>
          <w:szCs w:val="32"/>
        </w:rPr>
        <w:t xml:space="preserve">  年  月  日</w:t>
      </w:r>
      <w:bookmarkStart w:id="65" w:name="_Toc2908"/>
      <w:bookmarkStart w:id="66" w:name="_Toc744"/>
    </w:p>
    <w:p w14:paraId="76B2914D">
      <w:pPr>
        <w:snapToGrid w:val="0"/>
        <w:spacing w:line="360" w:lineRule="auto"/>
        <w:ind w:right="532" w:firstLine="640" w:firstLineChars="200"/>
        <w:rPr>
          <w:rFonts w:hint="eastAsia" w:ascii="宋体" w:hAnsi="宋体" w:cs="宋体"/>
          <w:sz w:val="32"/>
          <w:szCs w:val="32"/>
        </w:rPr>
      </w:pPr>
    </w:p>
    <w:p w14:paraId="3B7D22CC">
      <w:pPr>
        <w:widowControl/>
        <w:jc w:val="left"/>
        <w:rPr>
          <w:rFonts w:hint="eastAsia" w:ascii="宋体" w:hAnsi="宋体" w:cs="宋体"/>
          <w:sz w:val="32"/>
          <w:szCs w:val="32"/>
        </w:rPr>
      </w:pPr>
      <w:r>
        <w:rPr>
          <w:rFonts w:hint="eastAsia" w:ascii="宋体" w:hAnsi="宋体" w:cs="宋体"/>
          <w:sz w:val="32"/>
          <w:szCs w:val="32"/>
        </w:rPr>
        <w:br w:type="page"/>
      </w:r>
    </w:p>
    <w:p w14:paraId="4AACAE45">
      <w:pPr>
        <w:spacing w:line="360" w:lineRule="auto"/>
        <w:jc w:val="center"/>
        <w:outlineLvl w:val="1"/>
        <w:rPr>
          <w:rFonts w:hint="eastAsia" w:ascii="宋体" w:hAnsi="宋体" w:cs="宋体"/>
          <w:b/>
          <w:bCs/>
          <w:sz w:val="36"/>
          <w:szCs w:val="36"/>
        </w:rPr>
      </w:pPr>
      <w:r>
        <w:rPr>
          <w:rFonts w:hint="eastAsia" w:ascii="宋体" w:hAnsi="宋体" w:cs="宋体"/>
          <w:b/>
          <w:bCs/>
          <w:sz w:val="36"/>
          <w:szCs w:val="36"/>
        </w:rPr>
        <w:t>资格证明文件</w:t>
      </w:r>
      <w:bookmarkEnd w:id="65"/>
      <w:bookmarkEnd w:id="66"/>
    </w:p>
    <w:p w14:paraId="5DA675D1">
      <w:pPr>
        <w:spacing w:line="360" w:lineRule="auto"/>
        <w:jc w:val="center"/>
        <w:rPr>
          <w:b/>
          <w:bCs/>
          <w:sz w:val="24"/>
          <w:szCs w:val="32"/>
        </w:rPr>
      </w:pPr>
      <w:bookmarkStart w:id="67" w:name="_Toc27634"/>
      <w:bookmarkStart w:id="68" w:name="_Toc30479"/>
    </w:p>
    <w:p w14:paraId="5602AA37">
      <w:pPr>
        <w:spacing w:line="360" w:lineRule="auto"/>
        <w:jc w:val="center"/>
        <w:rPr>
          <w:b/>
          <w:bCs/>
          <w:sz w:val="24"/>
          <w:szCs w:val="32"/>
        </w:rPr>
      </w:pPr>
      <w:r>
        <w:rPr>
          <w:rFonts w:hint="eastAsia"/>
          <w:b/>
          <w:bCs/>
          <w:sz w:val="24"/>
          <w:szCs w:val="32"/>
        </w:rPr>
        <w:t>（有格式的参照格式，无格式的自拟）</w:t>
      </w:r>
      <w:bookmarkEnd w:id="67"/>
      <w:bookmarkEnd w:id="68"/>
    </w:p>
    <w:p w14:paraId="3F48F146">
      <w:pPr>
        <w:widowControl/>
        <w:spacing w:line="360" w:lineRule="auto"/>
        <w:ind w:firstLine="360" w:firstLineChars="150"/>
        <w:jc w:val="left"/>
        <w:rPr>
          <w:rFonts w:hint="eastAsia" w:ascii="宋体" w:hAnsi="宋体" w:cs="宋体"/>
          <w:sz w:val="24"/>
        </w:rPr>
      </w:pPr>
    </w:p>
    <w:p w14:paraId="6C5CD67B">
      <w:pPr>
        <w:widowControl/>
        <w:spacing w:line="360" w:lineRule="auto"/>
        <w:ind w:firstLine="360" w:firstLineChars="150"/>
        <w:jc w:val="left"/>
        <w:rPr>
          <w:rFonts w:hint="eastAsia" w:ascii="宋体" w:hAnsi="宋体" w:cs="宋体"/>
          <w:sz w:val="24"/>
        </w:rPr>
      </w:pPr>
      <w:r>
        <w:rPr>
          <w:rFonts w:hint="eastAsia" w:ascii="宋体" w:hAnsi="宋体" w:cs="宋体"/>
          <w:sz w:val="24"/>
        </w:rPr>
        <w:t>（1）符合参加政府采购活动应当具备的一般条件的承诺函；</w:t>
      </w:r>
    </w:p>
    <w:p w14:paraId="409D1489">
      <w:pPr>
        <w:widowControl/>
        <w:spacing w:line="360" w:lineRule="auto"/>
        <w:ind w:firstLine="360" w:firstLineChars="150"/>
        <w:jc w:val="left"/>
        <w:rPr>
          <w:rFonts w:hint="eastAsia" w:ascii="宋体" w:hAnsi="宋体" w:cs="宋体"/>
          <w:sz w:val="24"/>
        </w:rPr>
      </w:pPr>
      <w:r>
        <w:rPr>
          <w:rFonts w:hint="eastAsia" w:ascii="宋体" w:hAnsi="宋体" w:cs="宋体"/>
          <w:sz w:val="24"/>
        </w:rPr>
        <w:t>（2）法人或者其他组织的营业执照等证明文件复印件加盖公章（如投标人为自然人，则应提供自然人的身份证明）；</w:t>
      </w:r>
    </w:p>
    <w:p w14:paraId="65299C51">
      <w:pPr>
        <w:widowControl/>
        <w:spacing w:line="360" w:lineRule="auto"/>
        <w:ind w:firstLine="360" w:firstLineChars="150"/>
        <w:jc w:val="left"/>
        <w:rPr>
          <w:rFonts w:hint="eastAsia" w:ascii="宋体" w:hAnsi="宋体" w:cs="宋体"/>
          <w:sz w:val="24"/>
        </w:rPr>
      </w:pPr>
      <w:r>
        <w:rPr>
          <w:rFonts w:hint="eastAsia" w:ascii="宋体" w:hAnsi="宋体" w:cs="宋体"/>
          <w:sz w:val="24"/>
        </w:rPr>
        <w:t>（3）投标声明书；</w:t>
      </w:r>
    </w:p>
    <w:p w14:paraId="085EB362">
      <w:pPr>
        <w:widowControl/>
        <w:spacing w:line="360" w:lineRule="auto"/>
        <w:ind w:firstLine="360" w:firstLineChars="150"/>
        <w:jc w:val="left"/>
        <w:rPr>
          <w:rFonts w:hint="eastAsia" w:ascii="宋体" w:hAnsi="宋体" w:cs="宋体"/>
          <w:sz w:val="24"/>
        </w:rPr>
      </w:pPr>
      <w:r>
        <w:rPr>
          <w:rFonts w:hint="eastAsia" w:ascii="宋体" w:hAnsi="宋体" w:cs="宋体"/>
          <w:sz w:val="24"/>
        </w:rPr>
        <w:t>（4）中小企业的相关证明材料：中小企业声明函；</w:t>
      </w:r>
    </w:p>
    <w:p w14:paraId="341475EB">
      <w:pPr>
        <w:widowControl/>
        <w:spacing w:line="360" w:lineRule="auto"/>
        <w:ind w:firstLine="360" w:firstLineChars="150"/>
        <w:jc w:val="left"/>
        <w:rPr>
          <w:rFonts w:hint="eastAsia" w:ascii="宋体" w:hAnsi="宋体" w:cs="宋体"/>
          <w:kern w:val="0"/>
          <w:sz w:val="24"/>
        </w:rPr>
      </w:pPr>
      <w:r>
        <w:rPr>
          <w:rFonts w:hint="eastAsia" w:ascii="宋体" w:hAnsi="宋体" w:cs="宋体"/>
          <w:sz w:val="24"/>
        </w:rPr>
        <w:t>（5）投标人资格条件中要求的其他材料.【未被信用中国网站（www.creditchina.gov.cn)中国政府采购网（www.ccgp.gov.cn）列入失信被执行人、重大税收违法失信主体、政府采购严重违法失信行为记录名单的截图证明。】</w:t>
      </w:r>
    </w:p>
    <w:p w14:paraId="0FFC7E82">
      <w:pPr>
        <w:widowControl/>
        <w:spacing w:line="360" w:lineRule="auto"/>
        <w:ind w:firstLine="360" w:firstLineChars="150"/>
        <w:jc w:val="left"/>
        <w:rPr>
          <w:rFonts w:hint="eastAsia" w:ascii="宋体" w:hAnsi="宋体" w:cs="宋体"/>
          <w:kern w:val="0"/>
          <w:sz w:val="24"/>
        </w:rPr>
      </w:pPr>
    </w:p>
    <w:p w14:paraId="648DF54D">
      <w:pPr>
        <w:widowControl/>
        <w:spacing w:line="360" w:lineRule="auto"/>
        <w:ind w:firstLine="360" w:firstLineChars="150"/>
        <w:jc w:val="left"/>
        <w:rPr>
          <w:rFonts w:hint="eastAsia" w:ascii="宋体" w:hAnsi="宋体" w:cs="宋体"/>
          <w:kern w:val="0"/>
          <w:sz w:val="24"/>
        </w:rPr>
      </w:pPr>
    </w:p>
    <w:p w14:paraId="35086E07">
      <w:pPr>
        <w:widowControl/>
        <w:spacing w:line="360" w:lineRule="auto"/>
        <w:jc w:val="left"/>
        <w:rPr>
          <w:rFonts w:hint="eastAsia" w:ascii="宋体" w:hAnsi="宋体" w:cs="宋体"/>
          <w:b/>
          <w:bCs/>
          <w:sz w:val="24"/>
        </w:rPr>
      </w:pPr>
      <w:r>
        <w:rPr>
          <w:rFonts w:hint="eastAsia" w:ascii="宋体" w:hAnsi="宋体" w:cs="宋体"/>
          <w:b/>
          <w:bCs/>
          <w:sz w:val="24"/>
        </w:rPr>
        <w:br w:type="page"/>
      </w:r>
    </w:p>
    <w:p w14:paraId="1F71E154">
      <w:pPr>
        <w:spacing w:line="360" w:lineRule="auto"/>
        <w:ind w:right="480"/>
        <w:jc w:val="center"/>
        <w:rPr>
          <w:rFonts w:hint="eastAsia" w:ascii="宋体" w:hAnsi="宋体" w:cs="宋体"/>
          <w:b/>
          <w:kern w:val="0"/>
          <w:sz w:val="28"/>
          <w:szCs w:val="28"/>
        </w:rPr>
      </w:pPr>
    </w:p>
    <w:p w14:paraId="6EDE24BC">
      <w:pPr>
        <w:spacing w:line="360" w:lineRule="auto"/>
        <w:ind w:right="480"/>
        <w:jc w:val="center"/>
        <w:rPr>
          <w:rFonts w:hint="eastAsia" w:ascii="宋体" w:hAnsi="宋体" w:cs="宋体"/>
          <w:b/>
          <w:kern w:val="0"/>
          <w:sz w:val="28"/>
          <w:szCs w:val="28"/>
        </w:rPr>
      </w:pPr>
      <w:r>
        <w:rPr>
          <w:rFonts w:hint="eastAsia" w:ascii="宋体" w:hAnsi="宋体" w:cs="宋体"/>
          <w:b/>
          <w:kern w:val="0"/>
          <w:sz w:val="28"/>
          <w:szCs w:val="28"/>
        </w:rPr>
        <w:t>符合参加政府采购活动应当具备的一般条件的承诺函</w:t>
      </w:r>
    </w:p>
    <w:p w14:paraId="5B343C9A">
      <w:pPr>
        <w:spacing w:line="360" w:lineRule="auto"/>
        <w:rPr>
          <w:rFonts w:hint="eastAsia" w:ascii="宋体" w:hAnsi="宋体" w:cs="宋体"/>
          <w:sz w:val="24"/>
          <w:u w:val="single"/>
        </w:rPr>
      </w:pPr>
    </w:p>
    <w:p w14:paraId="7E05C6F8">
      <w:pPr>
        <w:spacing w:line="360" w:lineRule="auto"/>
        <w:rPr>
          <w:rFonts w:hint="eastAsia" w:ascii="宋体" w:hAnsi="宋体" w:cs="宋体"/>
          <w:sz w:val="24"/>
        </w:rPr>
      </w:pPr>
      <w:r>
        <w:rPr>
          <w:rFonts w:hint="eastAsia" w:ascii="宋体" w:hAnsi="宋体" w:cs="宋体"/>
          <w:sz w:val="24"/>
          <w:u w:val="single"/>
        </w:rPr>
        <w:t>（采购人）</w:t>
      </w:r>
      <w:r>
        <w:rPr>
          <w:rFonts w:hint="eastAsia" w:ascii="宋体" w:hAnsi="宋体" w:cs="宋体"/>
          <w:sz w:val="24"/>
        </w:rPr>
        <w:t>、</w:t>
      </w:r>
      <w:r>
        <w:rPr>
          <w:rFonts w:hint="eastAsia" w:ascii="宋体" w:hAnsi="宋体" w:cs="宋体"/>
          <w:sz w:val="24"/>
          <w:u w:val="single"/>
        </w:rPr>
        <w:t>（采购代理机构）</w:t>
      </w:r>
      <w:r>
        <w:rPr>
          <w:rFonts w:hint="eastAsia" w:ascii="宋体" w:hAnsi="宋体" w:cs="宋体"/>
          <w:sz w:val="24"/>
        </w:rPr>
        <w:t>：</w:t>
      </w:r>
    </w:p>
    <w:p w14:paraId="3EAF0EEE">
      <w:pPr>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（项目编号）</w:t>
      </w:r>
      <w:r>
        <w:rPr>
          <w:rFonts w:hint="eastAsia" w:ascii="宋体" w:hAnsi="宋体" w:cs="宋体"/>
          <w:sz w:val="24"/>
        </w:rPr>
        <w:t>】政府采购活动，郑重承诺：</w:t>
      </w:r>
    </w:p>
    <w:p w14:paraId="5CDC9D98">
      <w:pPr>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1696C7F5">
      <w:pPr>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3181BF85">
      <w:pPr>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99D3006">
      <w:pPr>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E4846CB">
      <w:pPr>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35D0DA2D">
      <w:pPr>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84EB0B6">
      <w:pPr>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6DDE1114">
      <w:pPr>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7B4219BC">
      <w:pPr>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1E229AC">
      <w:pPr>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C65865F">
      <w:pPr>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DE0D103">
      <w:pPr>
        <w:autoSpaceDE w:val="0"/>
        <w:autoSpaceDN w:val="0"/>
        <w:spacing w:line="360" w:lineRule="auto"/>
        <w:jc w:val="left"/>
        <w:rPr>
          <w:rFonts w:hint="eastAsia" w:ascii="宋体" w:hAnsi="宋体" w:cs="宋体"/>
          <w:kern w:val="0"/>
          <w:sz w:val="24"/>
        </w:rPr>
      </w:pPr>
    </w:p>
    <w:p w14:paraId="64BF4C82">
      <w:pPr>
        <w:autoSpaceDE w:val="0"/>
        <w:autoSpaceDN w:val="0"/>
        <w:spacing w:line="360" w:lineRule="auto"/>
        <w:ind w:firstLine="4320" w:firstLineChars="1800"/>
        <w:jc w:val="left"/>
        <w:rPr>
          <w:rFonts w:hint="eastAsia" w:ascii="宋体" w:hAnsi="宋体" w:cs="宋体"/>
          <w:kern w:val="0"/>
          <w:sz w:val="24"/>
        </w:rPr>
      </w:pPr>
    </w:p>
    <w:p w14:paraId="19E71123">
      <w:pPr>
        <w:autoSpaceDE w:val="0"/>
        <w:autoSpaceDN w:val="0"/>
        <w:spacing w:line="360" w:lineRule="auto"/>
        <w:ind w:firstLine="4320" w:firstLineChars="1800"/>
        <w:jc w:val="left"/>
        <w:rPr>
          <w:rFonts w:hint="eastAsia" w:ascii="宋体" w:hAnsi="宋体" w:cs="宋体"/>
          <w:kern w:val="0"/>
          <w:sz w:val="24"/>
        </w:rPr>
      </w:pPr>
    </w:p>
    <w:p w14:paraId="5089337F">
      <w:pPr>
        <w:autoSpaceDE w:val="0"/>
        <w:autoSpaceDN w:val="0"/>
        <w:spacing w:line="360" w:lineRule="auto"/>
        <w:ind w:firstLine="4320" w:firstLineChars="1800"/>
        <w:jc w:val="left"/>
        <w:rPr>
          <w:rFonts w:hint="eastAsia" w:ascii="宋体" w:hAnsi="宋体" w:cs="宋体"/>
          <w:kern w:val="0"/>
          <w:sz w:val="24"/>
        </w:rPr>
      </w:pPr>
      <w:r>
        <w:rPr>
          <w:rFonts w:hint="eastAsia" w:ascii="宋体" w:hAnsi="宋体" w:cs="宋体"/>
          <w:kern w:val="0"/>
          <w:sz w:val="24"/>
        </w:rPr>
        <w:t>投标人名称（公章）：</w:t>
      </w:r>
    </w:p>
    <w:p w14:paraId="3A89696D">
      <w:pPr>
        <w:autoSpaceDE w:val="0"/>
        <w:autoSpaceDN w:val="0"/>
        <w:spacing w:line="360" w:lineRule="auto"/>
        <w:ind w:firstLine="4320" w:firstLineChars="1800"/>
        <w:jc w:val="left"/>
        <w:rPr>
          <w:rFonts w:hint="eastAsia" w:ascii="宋体" w:hAnsi="宋体" w:cs="宋体"/>
          <w:kern w:val="0"/>
          <w:sz w:val="24"/>
        </w:rPr>
      </w:pPr>
      <w:r>
        <w:rPr>
          <w:rFonts w:hint="eastAsia" w:ascii="宋体" w:hAnsi="宋体" w:cs="宋体"/>
          <w:kern w:val="0"/>
          <w:sz w:val="24"/>
        </w:rPr>
        <w:t>法定代表人或其授权代表（签字）：</w:t>
      </w:r>
    </w:p>
    <w:p w14:paraId="449E4FB7">
      <w:pPr>
        <w:spacing w:line="360" w:lineRule="auto"/>
        <w:ind w:firstLine="4320" w:firstLineChars="1800"/>
        <w:jc w:val="left"/>
        <w:rPr>
          <w:rFonts w:hint="eastAsia" w:ascii="宋体" w:hAnsi="宋体" w:cs="宋体"/>
          <w:kern w:val="0"/>
          <w:sz w:val="24"/>
        </w:rPr>
      </w:pPr>
      <w:r>
        <w:rPr>
          <w:rFonts w:hint="eastAsia" w:ascii="宋体" w:hAnsi="宋体" w:cs="宋体"/>
          <w:kern w:val="0"/>
          <w:sz w:val="24"/>
        </w:rPr>
        <w:t>日期：  年  月   日</w:t>
      </w:r>
    </w:p>
    <w:p w14:paraId="08650683"/>
    <w:p w14:paraId="26B779B4">
      <w:pPr>
        <w:spacing w:line="360" w:lineRule="auto"/>
        <w:rPr>
          <w:rFonts w:hint="eastAsia" w:ascii="宋体" w:hAnsi="宋体" w:cs="宋体"/>
          <w:b/>
          <w:bCs/>
          <w:sz w:val="28"/>
          <w:szCs w:val="28"/>
        </w:rPr>
      </w:pPr>
    </w:p>
    <w:p w14:paraId="67C4A503">
      <w:pPr>
        <w:widowControl/>
        <w:spacing w:line="360" w:lineRule="auto"/>
        <w:jc w:val="left"/>
      </w:pPr>
      <w:r>
        <w:br w:type="page"/>
      </w:r>
    </w:p>
    <w:p w14:paraId="7DFB4DE3">
      <w:pPr>
        <w:pStyle w:val="15"/>
        <w:spacing w:after="0" w:line="360" w:lineRule="auto"/>
        <w:ind w:left="0" w:leftChars="0"/>
      </w:pPr>
    </w:p>
    <w:p w14:paraId="2CE7E996">
      <w:pPr>
        <w:spacing w:line="360" w:lineRule="auto"/>
        <w:jc w:val="center"/>
        <w:rPr>
          <w:rFonts w:hint="eastAsia" w:ascii="宋体" w:hAnsi="宋体" w:cs="宋体"/>
          <w:b/>
          <w:bCs/>
          <w:sz w:val="28"/>
          <w:szCs w:val="28"/>
        </w:rPr>
      </w:pPr>
      <w:r>
        <w:rPr>
          <w:rFonts w:hint="eastAsia" w:ascii="宋体" w:hAnsi="宋体" w:cs="宋体"/>
          <w:b/>
          <w:bCs/>
          <w:sz w:val="28"/>
          <w:szCs w:val="28"/>
        </w:rPr>
        <w:t>投标声明书</w:t>
      </w:r>
    </w:p>
    <w:p w14:paraId="57F8FD87">
      <w:pPr>
        <w:spacing w:line="360" w:lineRule="auto"/>
        <w:rPr>
          <w:rFonts w:hint="eastAsia" w:ascii="宋体" w:hAnsi="宋体" w:cs="宋体"/>
          <w:sz w:val="24"/>
          <w:u w:val="single"/>
        </w:rPr>
      </w:pPr>
    </w:p>
    <w:p w14:paraId="0622FC50">
      <w:pPr>
        <w:spacing w:line="360" w:lineRule="auto"/>
        <w:rPr>
          <w:rFonts w:hint="eastAsia" w:ascii="宋体" w:hAnsi="宋体" w:cs="宋体"/>
          <w:kern w:val="0"/>
          <w:sz w:val="24"/>
        </w:rPr>
      </w:pPr>
      <w:r>
        <w:rPr>
          <w:rFonts w:hint="eastAsia" w:ascii="宋体" w:hAnsi="宋体" w:cs="宋体"/>
          <w:sz w:val="24"/>
          <w:u w:val="single"/>
        </w:rPr>
        <w:t>（采购人）</w:t>
      </w:r>
      <w:r>
        <w:rPr>
          <w:rFonts w:hint="eastAsia" w:ascii="宋体" w:hAnsi="宋体" w:cs="宋体"/>
          <w:sz w:val="24"/>
        </w:rPr>
        <w:t>、</w:t>
      </w:r>
      <w:r>
        <w:rPr>
          <w:rFonts w:hint="eastAsia" w:ascii="宋体" w:hAnsi="宋体" w:cs="宋体"/>
          <w:sz w:val="24"/>
          <w:u w:val="single"/>
        </w:rPr>
        <w:t>（采购代理机构）</w:t>
      </w:r>
      <w:r>
        <w:rPr>
          <w:rFonts w:hint="eastAsia" w:ascii="宋体" w:hAnsi="宋体" w:cs="宋体"/>
          <w:kern w:val="0"/>
          <w:sz w:val="24"/>
        </w:rPr>
        <w:t>：</w:t>
      </w:r>
    </w:p>
    <w:p w14:paraId="07363B7E">
      <w:pPr>
        <w:spacing w:line="360" w:lineRule="auto"/>
        <w:ind w:firstLine="480"/>
        <w:rPr>
          <w:rFonts w:hint="eastAsia" w:ascii="宋体" w:hAnsi="宋体" w:cs="宋体"/>
          <w:kern w:val="0"/>
          <w:sz w:val="24"/>
          <w:lang w:val="zh-CN"/>
        </w:rPr>
      </w:pPr>
      <w:r>
        <w:rPr>
          <w:rFonts w:hint="eastAsia" w:ascii="宋体" w:hAnsi="宋体" w:cs="宋体"/>
          <w:kern w:val="0"/>
          <w:sz w:val="24"/>
          <w:lang w:val="zh-CN"/>
        </w:rPr>
        <w:t>我公司</w:t>
      </w:r>
      <w:r>
        <w:rPr>
          <w:rFonts w:hint="eastAsia" w:ascii="宋体" w:hAnsi="宋体" w:cs="宋体"/>
          <w:sz w:val="24"/>
        </w:rPr>
        <w:t>声明截止投标时间近三年以来，在</w:t>
      </w:r>
      <w:r>
        <w:rPr>
          <w:rFonts w:hint="eastAsia" w:ascii="宋体" w:hAnsi="宋体" w:cs="宋体"/>
          <w:kern w:val="0"/>
          <w:sz w:val="24"/>
        </w:rPr>
        <w:t>政府采购领域中</w:t>
      </w:r>
      <w:r>
        <w:rPr>
          <w:rFonts w:hint="eastAsia" w:ascii="宋体" w:hAnsi="宋体" w:cs="宋体"/>
          <w:sz w:val="24"/>
        </w:rPr>
        <w:t>，在项目招标、投标和合同履约期间无任何不良行为记录和违法、违规行为</w:t>
      </w:r>
      <w:r>
        <w:rPr>
          <w:rFonts w:hint="eastAsia" w:ascii="宋体" w:hAnsi="宋体" w:cs="宋体"/>
          <w:kern w:val="0"/>
          <w:sz w:val="24"/>
          <w:lang w:val="zh-CN"/>
        </w:rPr>
        <w:t>。</w:t>
      </w:r>
    </w:p>
    <w:p w14:paraId="30DF32A5">
      <w:pPr>
        <w:spacing w:line="360" w:lineRule="auto"/>
        <w:ind w:firstLine="480"/>
        <w:rPr>
          <w:rFonts w:hint="eastAsia" w:ascii="宋体" w:hAnsi="宋体" w:cs="宋体"/>
          <w:kern w:val="0"/>
          <w:sz w:val="24"/>
          <w:lang w:val="zh-CN"/>
        </w:rPr>
      </w:pPr>
      <w:r>
        <w:rPr>
          <w:rFonts w:hint="eastAsia" w:ascii="宋体" w:hAnsi="宋体" w:cs="宋体"/>
          <w:kern w:val="0"/>
          <w:sz w:val="24"/>
          <w:lang w:val="zh-CN"/>
        </w:rPr>
        <w:t>我公司自愿参</w:t>
      </w:r>
      <w:r>
        <w:rPr>
          <w:rFonts w:hint="eastAsia" w:ascii="宋体" w:hAnsi="宋体" w:cs="宋体"/>
          <w:sz w:val="24"/>
        </w:rPr>
        <w:t>加</w:t>
      </w:r>
      <w:r>
        <w:rPr>
          <w:rFonts w:hint="eastAsia" w:ascii="宋体" w:hAnsi="宋体" w:cs="宋体"/>
          <w:sz w:val="24"/>
          <w:lang w:eastAsia="zh-CN"/>
        </w:rPr>
        <w:t>浙江省舟山市消防救援支队2024年全市器材装备（破拆类二）采购项目</w:t>
      </w:r>
      <w:r>
        <w:rPr>
          <w:rFonts w:hint="eastAsia" w:ascii="宋体" w:hAnsi="宋体" w:cs="宋体"/>
          <w:sz w:val="24"/>
          <w:u w:val="single"/>
        </w:rPr>
        <w:t xml:space="preserve">     （填写标项）     </w:t>
      </w:r>
      <w:r>
        <w:rPr>
          <w:rFonts w:hint="eastAsia" w:ascii="宋体" w:hAnsi="宋体" w:cs="宋体"/>
          <w:kern w:val="0"/>
          <w:sz w:val="24"/>
          <w:lang w:val="zh-CN"/>
        </w:rPr>
        <w:t>(项目编号：</w:t>
      </w:r>
      <w:r>
        <w:rPr>
          <w:rFonts w:hint="eastAsia" w:ascii="宋体" w:hAnsi="宋体" w:cs="宋体"/>
          <w:kern w:val="0"/>
          <w:sz w:val="24"/>
        </w:rPr>
        <w:t xml:space="preserve">       </w:t>
      </w:r>
      <w:r>
        <w:rPr>
          <w:rFonts w:hint="eastAsia" w:ascii="宋体" w:hAnsi="宋体" w:cs="宋体"/>
          <w:sz w:val="24"/>
        </w:rPr>
        <w:t>）</w:t>
      </w:r>
      <w:r>
        <w:rPr>
          <w:rFonts w:hint="eastAsia" w:ascii="宋体" w:hAnsi="宋体" w:cs="宋体"/>
          <w:kern w:val="0"/>
          <w:sz w:val="24"/>
          <w:lang w:val="zh-CN"/>
        </w:rPr>
        <w:t>的投标，并保证投标文件中所列举的投标报价文件及相关资料和公司基本情况资料是真实的、合法的。</w:t>
      </w:r>
    </w:p>
    <w:p w14:paraId="5F382CC1">
      <w:pPr>
        <w:spacing w:line="360" w:lineRule="auto"/>
        <w:ind w:firstLine="480"/>
        <w:rPr>
          <w:rFonts w:hint="eastAsia" w:ascii="宋体" w:hAnsi="宋体" w:cs="宋体"/>
          <w:kern w:val="0"/>
          <w:sz w:val="24"/>
          <w:lang w:val="zh-CN"/>
        </w:rPr>
      </w:pPr>
      <w:r>
        <w:rPr>
          <w:rFonts w:hint="eastAsia" w:ascii="宋体" w:hAnsi="宋体" w:cs="宋体"/>
          <w:kern w:val="0"/>
          <w:sz w:val="24"/>
          <w:lang w:val="zh-CN"/>
        </w:rPr>
        <w:t>我公司已详细阅读全部“招标文件”，包括修改文件（如果有）以及全部招标资料和相关附件，并已了解我公司在招投标过程中的权利和义务。</w:t>
      </w:r>
    </w:p>
    <w:p w14:paraId="0919D776">
      <w:pPr>
        <w:spacing w:line="360" w:lineRule="auto"/>
        <w:ind w:firstLine="480"/>
        <w:rPr>
          <w:rFonts w:hint="eastAsia" w:ascii="宋体" w:hAnsi="宋体" w:cs="宋体"/>
          <w:kern w:val="0"/>
          <w:sz w:val="24"/>
        </w:rPr>
      </w:pPr>
      <w:r>
        <w:rPr>
          <w:rFonts w:hint="eastAsia" w:ascii="宋体" w:hAnsi="宋体" w:cs="宋体"/>
          <w:kern w:val="0"/>
          <w:sz w:val="24"/>
          <w:lang w:val="zh-CN"/>
        </w:rPr>
        <w:t>我公司理解并接受招标文件的各项规定和要求，同意此次招标文件中的各项内容，</w:t>
      </w:r>
      <w:r>
        <w:rPr>
          <w:rFonts w:hint="eastAsia" w:ascii="宋体" w:hAnsi="宋体" w:cs="宋体"/>
          <w:kern w:val="0"/>
          <w:sz w:val="24"/>
        </w:rPr>
        <w:t>并</w:t>
      </w:r>
      <w:r>
        <w:rPr>
          <w:rFonts w:hint="eastAsia" w:ascii="宋体" w:hAnsi="宋体" w:cs="宋体"/>
          <w:kern w:val="0"/>
          <w:sz w:val="24"/>
          <w:lang w:val="zh-CN"/>
        </w:rPr>
        <w:t>同意提供按照贵方可能要求的与投标有关的一切数据或资料等。</w:t>
      </w:r>
    </w:p>
    <w:p w14:paraId="3F6B7A32">
      <w:pPr>
        <w:spacing w:line="360" w:lineRule="auto"/>
        <w:ind w:firstLine="480"/>
        <w:rPr>
          <w:rFonts w:hint="eastAsia" w:ascii="宋体" w:hAnsi="宋体" w:cs="宋体"/>
          <w:kern w:val="0"/>
          <w:sz w:val="24"/>
        </w:rPr>
      </w:pPr>
      <w:r>
        <w:rPr>
          <w:rFonts w:hint="eastAsia" w:ascii="宋体" w:hAnsi="宋体" w:cs="宋体"/>
          <w:kern w:val="0"/>
          <w:sz w:val="24"/>
          <w:lang w:val="zh-CN"/>
        </w:rPr>
        <w:t>本公司如中标，保证按照投标文件的承诺与贵方签订合同，保证履行合同条款。</w:t>
      </w:r>
    </w:p>
    <w:p w14:paraId="193BB013">
      <w:pPr>
        <w:autoSpaceDE w:val="0"/>
        <w:autoSpaceDN w:val="0"/>
        <w:spacing w:line="360" w:lineRule="auto"/>
        <w:ind w:firstLine="4320" w:firstLineChars="1800"/>
        <w:jc w:val="left"/>
        <w:rPr>
          <w:rFonts w:hint="eastAsia" w:ascii="宋体" w:hAnsi="宋体" w:cs="宋体"/>
          <w:kern w:val="0"/>
          <w:sz w:val="24"/>
        </w:rPr>
      </w:pPr>
      <w:r>
        <w:rPr>
          <w:rFonts w:hint="eastAsia" w:ascii="宋体" w:hAnsi="宋体" w:cs="宋体"/>
          <w:kern w:val="0"/>
          <w:sz w:val="24"/>
        </w:rPr>
        <w:t>投标人名称（公章）：</w:t>
      </w:r>
    </w:p>
    <w:p w14:paraId="21DE8F90">
      <w:pPr>
        <w:autoSpaceDE w:val="0"/>
        <w:autoSpaceDN w:val="0"/>
        <w:spacing w:line="360" w:lineRule="auto"/>
        <w:ind w:firstLine="4320" w:firstLineChars="1800"/>
        <w:jc w:val="left"/>
        <w:rPr>
          <w:rFonts w:hint="eastAsia" w:ascii="宋体" w:hAnsi="宋体" w:cs="宋体"/>
          <w:kern w:val="0"/>
          <w:sz w:val="24"/>
        </w:rPr>
      </w:pPr>
      <w:r>
        <w:rPr>
          <w:rFonts w:hint="eastAsia" w:ascii="宋体" w:hAnsi="宋体" w:cs="宋体"/>
          <w:kern w:val="0"/>
          <w:sz w:val="24"/>
        </w:rPr>
        <w:t>法定代表人或其授权代表（签字）：</w:t>
      </w:r>
    </w:p>
    <w:p w14:paraId="723645CD">
      <w:pPr>
        <w:spacing w:line="360" w:lineRule="auto"/>
        <w:ind w:firstLine="4320" w:firstLineChars="1800"/>
        <w:jc w:val="left"/>
        <w:rPr>
          <w:rFonts w:hint="eastAsia" w:ascii="宋体" w:hAnsi="宋体" w:cs="宋体"/>
          <w:sz w:val="24"/>
        </w:rPr>
      </w:pPr>
      <w:r>
        <w:rPr>
          <w:rFonts w:hint="eastAsia" w:ascii="宋体" w:hAnsi="宋体" w:cs="宋体"/>
          <w:kern w:val="0"/>
          <w:sz w:val="24"/>
        </w:rPr>
        <w:t>日期：  年  月   日</w:t>
      </w:r>
    </w:p>
    <w:p w14:paraId="2720B60C">
      <w:pPr>
        <w:spacing w:line="360" w:lineRule="auto"/>
        <w:ind w:firstLine="1918" w:firstLineChars="796"/>
        <w:jc w:val="left"/>
        <w:rPr>
          <w:rFonts w:hint="eastAsia" w:ascii="宋体" w:hAnsi="宋体" w:cs="宋体"/>
          <w:b/>
          <w:bCs/>
          <w:sz w:val="24"/>
        </w:rPr>
      </w:pPr>
    </w:p>
    <w:p w14:paraId="2CF4A57B">
      <w:pPr>
        <w:spacing w:line="360" w:lineRule="auto"/>
        <w:rPr>
          <w:rFonts w:hint="eastAsia" w:ascii="宋体" w:hAnsi="宋体" w:cs="宋体"/>
          <w:b/>
          <w:bCs/>
          <w:sz w:val="24"/>
        </w:rPr>
      </w:pPr>
    </w:p>
    <w:p w14:paraId="407D1F39">
      <w:pPr>
        <w:spacing w:line="360" w:lineRule="auto"/>
        <w:rPr>
          <w:rFonts w:hint="eastAsia" w:ascii="宋体" w:hAnsi="宋体" w:cs="宋体"/>
          <w:b/>
          <w:bCs/>
          <w:sz w:val="28"/>
          <w:szCs w:val="28"/>
        </w:rPr>
      </w:pPr>
    </w:p>
    <w:p w14:paraId="1B23A8BF">
      <w:pPr>
        <w:widowControl/>
        <w:spacing w:line="360" w:lineRule="auto"/>
        <w:jc w:val="left"/>
        <w:rPr>
          <w:rFonts w:hint="eastAsia" w:ascii="宋体" w:hAnsi="宋体" w:cs="宋体"/>
          <w:b/>
          <w:bCs/>
          <w:sz w:val="28"/>
          <w:szCs w:val="28"/>
        </w:rPr>
      </w:pPr>
      <w:r>
        <w:rPr>
          <w:rFonts w:hint="eastAsia" w:ascii="宋体" w:hAnsi="宋体" w:cs="宋体"/>
          <w:b/>
          <w:bCs/>
          <w:sz w:val="28"/>
          <w:szCs w:val="28"/>
        </w:rPr>
        <w:br w:type="page"/>
      </w:r>
    </w:p>
    <w:p w14:paraId="420D7576">
      <w:pPr>
        <w:spacing w:line="360" w:lineRule="auto"/>
        <w:jc w:val="center"/>
        <w:rPr>
          <w:rFonts w:hint="eastAsia" w:ascii="宋体" w:hAnsi="宋体" w:cs="宋体"/>
          <w:b/>
          <w:bCs/>
          <w:sz w:val="28"/>
          <w:szCs w:val="28"/>
        </w:rPr>
      </w:pPr>
    </w:p>
    <w:p w14:paraId="1960140D">
      <w:pPr>
        <w:spacing w:line="360" w:lineRule="auto"/>
        <w:jc w:val="center"/>
        <w:rPr>
          <w:rFonts w:hint="eastAsia" w:ascii="宋体" w:hAnsi="宋体" w:cs="宋体"/>
          <w:b/>
          <w:bCs/>
          <w:sz w:val="28"/>
          <w:szCs w:val="28"/>
        </w:rPr>
      </w:pPr>
      <w:r>
        <w:rPr>
          <w:rFonts w:hint="eastAsia" w:ascii="宋体" w:hAnsi="宋体" w:cs="宋体"/>
          <w:b/>
          <w:bCs/>
          <w:sz w:val="28"/>
          <w:szCs w:val="28"/>
        </w:rPr>
        <w:t>中小企业声明函（货物）</w:t>
      </w:r>
    </w:p>
    <w:p w14:paraId="15EDE495">
      <w:pPr>
        <w:spacing w:line="360" w:lineRule="auto"/>
        <w:rPr>
          <w:rFonts w:hint="eastAsia" w:ascii="宋体" w:hAnsi="宋体" w:cs="宋体"/>
          <w:b/>
          <w:sz w:val="24"/>
        </w:rPr>
      </w:pPr>
    </w:p>
    <w:p w14:paraId="6266E1E6">
      <w:pPr>
        <w:autoSpaceDE w:val="0"/>
        <w:autoSpaceDN w:val="0"/>
        <w:spacing w:line="360" w:lineRule="auto"/>
        <w:ind w:right="-65" w:rightChars="-31"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14:paraId="1FF5101F">
      <w:pPr>
        <w:tabs>
          <w:tab w:val="left" w:pos="1183"/>
          <w:tab w:val="left" w:pos="1484"/>
          <w:tab w:val="left" w:pos="4662"/>
          <w:tab w:val="left" w:pos="6903"/>
        </w:tabs>
        <w:autoSpaceDE w:val="0"/>
        <w:autoSpaceDN w:val="0"/>
        <w:spacing w:line="360" w:lineRule="auto"/>
        <w:ind w:right="-65" w:rightChars="-31" w:firstLine="427" w:firstLineChars="178"/>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招标文件中明确的所属行业）行业；</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u w:val="single"/>
        </w:rPr>
        <w:t xml:space="preserve">      </w:t>
      </w:r>
      <w:r>
        <w:rPr>
          <w:rFonts w:hint="eastAsia" w:ascii="宋体" w:hAnsi="宋体" w:cs="宋体"/>
          <w:w w:val="99"/>
          <w:sz w:val="24"/>
        </w:rPr>
        <w:t>人，</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17782764">
      <w:pPr>
        <w:tabs>
          <w:tab w:val="left" w:pos="1165"/>
          <w:tab w:val="left" w:pos="1183"/>
          <w:tab w:val="left" w:pos="4362"/>
          <w:tab w:val="left" w:pos="6577"/>
        </w:tabs>
        <w:autoSpaceDE w:val="0"/>
        <w:autoSpaceDN w:val="0"/>
        <w:spacing w:line="360" w:lineRule="auto"/>
        <w:ind w:right="-65" w:rightChars="-31" w:firstLine="427" w:firstLineChars="178"/>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招标文件中明确的所属行业）行业；</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u w:val="single"/>
        </w:rPr>
        <w:t xml:space="preserve">      </w:t>
      </w:r>
      <w:r>
        <w:rPr>
          <w:rFonts w:hint="eastAsia" w:ascii="宋体" w:hAnsi="宋体" w:cs="宋体"/>
          <w:w w:val="99"/>
          <w:sz w:val="24"/>
        </w:rPr>
        <w:t>人，</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778BEEA8">
      <w:pPr>
        <w:autoSpaceDE w:val="0"/>
        <w:autoSpaceDN w:val="0"/>
        <w:spacing w:line="360" w:lineRule="auto"/>
        <w:ind w:right="-65" w:rightChars="-31" w:firstLine="547" w:firstLineChars="228"/>
        <w:rPr>
          <w:rFonts w:hint="eastAsia" w:ascii="宋体" w:hAnsi="宋体" w:cs="宋体"/>
          <w:sz w:val="24"/>
        </w:rPr>
      </w:pPr>
    </w:p>
    <w:p w14:paraId="4E4FA03C">
      <w:pPr>
        <w:autoSpaceDE w:val="0"/>
        <w:autoSpaceDN w:val="0"/>
        <w:spacing w:line="360" w:lineRule="auto"/>
        <w:ind w:right="-65" w:rightChars="-31" w:firstLine="547" w:firstLineChars="228"/>
        <w:rPr>
          <w:rFonts w:hint="eastAsia" w:ascii="宋体" w:hAnsi="宋体" w:cs="宋体"/>
          <w:sz w:val="24"/>
        </w:rPr>
      </w:pPr>
      <w:r>
        <w:rPr>
          <w:rFonts w:hint="eastAsia" w:ascii="宋体" w:hAnsi="宋体" w:cs="宋体"/>
          <w:sz w:val="24"/>
        </w:rPr>
        <w:t>……</w:t>
      </w:r>
    </w:p>
    <w:p w14:paraId="5FC30BB7">
      <w:pPr>
        <w:autoSpaceDE w:val="0"/>
        <w:autoSpaceDN w:val="0"/>
        <w:spacing w:line="360" w:lineRule="auto"/>
        <w:ind w:right="-65" w:rightChars="-31"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8A5573A">
      <w:pPr>
        <w:autoSpaceDE w:val="0"/>
        <w:autoSpaceDN w:val="0"/>
        <w:spacing w:line="360" w:lineRule="auto"/>
        <w:ind w:right="-65" w:rightChars="-31"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5A102D8D">
      <w:pPr>
        <w:autoSpaceDE w:val="0"/>
        <w:autoSpaceDN w:val="0"/>
        <w:spacing w:line="360" w:lineRule="auto"/>
        <w:ind w:right="372" w:firstLine="645"/>
        <w:rPr>
          <w:rFonts w:hint="eastAsia" w:ascii="宋体" w:hAnsi="宋体" w:cs="宋体"/>
          <w:sz w:val="24"/>
        </w:rPr>
      </w:pPr>
    </w:p>
    <w:p w14:paraId="39B06020">
      <w:pPr>
        <w:autoSpaceDE w:val="0"/>
        <w:autoSpaceDN w:val="0"/>
        <w:spacing w:line="360" w:lineRule="auto"/>
        <w:ind w:right="372" w:firstLine="645"/>
        <w:jc w:val="right"/>
        <w:rPr>
          <w:rFonts w:hint="eastAsia" w:ascii="宋体" w:hAnsi="宋体" w:cs="宋体"/>
          <w:sz w:val="24"/>
        </w:rPr>
      </w:pPr>
    </w:p>
    <w:p w14:paraId="3E6486AA">
      <w:pPr>
        <w:autoSpaceDE w:val="0"/>
        <w:autoSpaceDN w:val="0"/>
        <w:spacing w:line="360" w:lineRule="auto"/>
        <w:ind w:right="-65" w:rightChars="-31" w:firstLine="480" w:firstLineChars="200"/>
        <w:jc w:val="right"/>
        <w:rPr>
          <w:rFonts w:hint="eastAsia" w:ascii="宋体" w:hAnsi="宋体" w:cs="宋体"/>
          <w:sz w:val="24"/>
        </w:rPr>
      </w:pPr>
      <w:r>
        <w:rPr>
          <w:rFonts w:hint="eastAsia" w:ascii="宋体" w:hAnsi="宋体" w:cs="宋体"/>
          <w:sz w:val="24"/>
        </w:rPr>
        <w:t>企业名称（盖章）：</w:t>
      </w:r>
    </w:p>
    <w:p w14:paraId="318EF5D6">
      <w:pPr>
        <w:autoSpaceDE w:val="0"/>
        <w:autoSpaceDN w:val="0"/>
        <w:spacing w:line="360" w:lineRule="auto"/>
        <w:ind w:right="-65" w:rightChars="-31" w:firstLine="480" w:firstLineChars="200"/>
        <w:jc w:val="right"/>
        <w:rPr>
          <w:rFonts w:hint="eastAsia" w:ascii="宋体" w:hAnsi="宋体" w:cs="宋体"/>
          <w:sz w:val="24"/>
        </w:rPr>
      </w:pPr>
      <w:r>
        <w:rPr>
          <w:rFonts w:hint="eastAsia" w:ascii="宋体" w:hAnsi="宋体" w:cs="宋体"/>
          <w:sz w:val="24"/>
        </w:rPr>
        <w:t>日期：</w:t>
      </w:r>
    </w:p>
    <w:p w14:paraId="5479D08F">
      <w:pPr>
        <w:autoSpaceDE w:val="0"/>
        <w:autoSpaceDN w:val="0"/>
        <w:spacing w:line="360" w:lineRule="auto"/>
        <w:ind w:right="2166"/>
        <w:rPr>
          <w:rFonts w:hint="eastAsia" w:ascii="宋体" w:hAnsi="宋体" w:cs="宋体"/>
          <w:sz w:val="24"/>
        </w:rPr>
      </w:pPr>
    </w:p>
    <w:p w14:paraId="6042D22B">
      <w:pPr>
        <w:spacing w:line="360" w:lineRule="auto"/>
        <w:ind w:left="105" w:firstLine="360"/>
        <w:rPr>
          <w:rFonts w:hint="eastAsia" w:ascii="宋体" w:hAnsi="宋体" w:cs="宋体"/>
          <w:sz w:val="24"/>
        </w:rPr>
      </w:pPr>
      <w:r>
        <w:rPr>
          <w:rFonts w:hint="eastAsia" w:ascii="宋体" w:hAnsi="宋体" w:cs="宋体"/>
          <w:sz w:val="24"/>
        </w:rPr>
        <w:t>注：从业人员、营业收入、资产总额填报上一年度数据，无上一年度数据的新成立企业可不填报。</w:t>
      </w:r>
    </w:p>
    <w:p w14:paraId="7E859BC0">
      <w:pPr>
        <w:widowControl/>
        <w:spacing w:line="360" w:lineRule="auto"/>
        <w:jc w:val="left"/>
        <w:rPr>
          <w:rFonts w:hint="eastAsia" w:ascii="宋体" w:hAnsi="宋体" w:cs="宋体"/>
          <w:sz w:val="24"/>
        </w:rPr>
      </w:pPr>
      <w:r>
        <w:rPr>
          <w:rFonts w:hint="eastAsia" w:ascii="宋体" w:hAnsi="宋体" w:cs="宋体"/>
          <w:sz w:val="24"/>
        </w:rPr>
        <w:br w:type="page"/>
      </w:r>
    </w:p>
    <w:p w14:paraId="66B516AC">
      <w:pPr>
        <w:spacing w:line="360" w:lineRule="auto"/>
        <w:rPr>
          <w:rFonts w:hint="eastAsia" w:ascii="宋体" w:hAnsi="宋体" w:cs="宋体"/>
          <w:b/>
          <w:bCs/>
          <w:szCs w:val="21"/>
        </w:rPr>
      </w:pPr>
      <w:r>
        <w:rPr>
          <w:rFonts w:hint="eastAsia" w:ascii="宋体" w:hAnsi="宋体" w:cs="宋体"/>
          <w:b/>
          <w:bCs/>
          <w:szCs w:val="21"/>
        </w:rPr>
        <w:t>投标人为监狱企业的证明文件：省级以上监狱管理局、戒毒管理局（含新疆生产建设兵团）出具（如有）</w:t>
      </w:r>
    </w:p>
    <w:p w14:paraId="4C33C37D">
      <w:pPr>
        <w:autoSpaceDE w:val="0"/>
        <w:autoSpaceDN w:val="0"/>
        <w:spacing w:line="360" w:lineRule="auto"/>
        <w:ind w:right="2166"/>
        <w:rPr>
          <w:rFonts w:hint="eastAsia" w:ascii="宋体" w:hAnsi="宋体" w:cs="宋体"/>
          <w:sz w:val="24"/>
        </w:rPr>
      </w:pPr>
    </w:p>
    <w:p w14:paraId="78DF67AD">
      <w:pPr>
        <w:spacing w:line="360" w:lineRule="auto"/>
        <w:jc w:val="left"/>
        <w:rPr>
          <w:rFonts w:hint="eastAsia" w:ascii="宋体" w:hAnsi="宋体" w:cs="宋体"/>
          <w:b/>
          <w:bCs/>
          <w:sz w:val="28"/>
          <w:szCs w:val="28"/>
        </w:rPr>
      </w:pPr>
    </w:p>
    <w:p w14:paraId="2D994CD0">
      <w:pPr>
        <w:spacing w:line="360" w:lineRule="auto"/>
        <w:jc w:val="center"/>
        <w:rPr>
          <w:rFonts w:hint="eastAsia" w:ascii="宋体" w:hAnsi="宋体" w:cs="宋体"/>
          <w:b/>
          <w:bCs/>
          <w:sz w:val="28"/>
          <w:szCs w:val="28"/>
        </w:rPr>
      </w:pPr>
      <w:bookmarkStart w:id="69" w:name="OLE_LINK13"/>
      <w:bookmarkStart w:id="70" w:name="OLE_LINK14"/>
      <w:r>
        <w:rPr>
          <w:rFonts w:hint="eastAsia" w:ascii="宋体" w:hAnsi="宋体" w:cs="宋体"/>
          <w:b/>
          <w:bCs/>
          <w:sz w:val="28"/>
          <w:szCs w:val="28"/>
        </w:rPr>
        <w:t>残疾人福利性单位声明函</w:t>
      </w:r>
    </w:p>
    <w:bookmarkEnd w:id="69"/>
    <w:bookmarkEnd w:id="70"/>
    <w:p w14:paraId="6D248FDE">
      <w:pPr>
        <w:spacing w:line="360" w:lineRule="auto"/>
        <w:rPr>
          <w:rFonts w:hint="eastAsia" w:ascii="宋体" w:hAnsi="宋体" w:cs="宋体"/>
          <w:b/>
          <w:spacing w:val="6"/>
          <w:sz w:val="30"/>
          <w:szCs w:val="30"/>
        </w:rPr>
      </w:pPr>
    </w:p>
    <w:p w14:paraId="2EB01C5A">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53C875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E208B29">
      <w:pPr>
        <w:spacing w:line="360" w:lineRule="auto"/>
        <w:ind w:firstLine="480" w:firstLineChars="200"/>
        <w:rPr>
          <w:rFonts w:hint="eastAsia" w:ascii="宋体" w:hAnsi="宋体" w:cs="宋体"/>
          <w:sz w:val="24"/>
        </w:rPr>
      </w:pPr>
    </w:p>
    <w:p w14:paraId="7187A871">
      <w:pPr>
        <w:spacing w:line="360" w:lineRule="auto"/>
        <w:ind w:firstLine="480" w:firstLineChars="200"/>
        <w:rPr>
          <w:rFonts w:hint="eastAsia" w:ascii="宋体" w:hAnsi="宋体" w:cs="宋体"/>
          <w:sz w:val="24"/>
        </w:rPr>
      </w:pPr>
    </w:p>
    <w:p w14:paraId="7C55DD53">
      <w:pPr>
        <w:spacing w:line="360" w:lineRule="auto"/>
        <w:ind w:firstLine="480" w:firstLineChars="200"/>
        <w:rPr>
          <w:rFonts w:hint="eastAsia" w:ascii="宋体" w:hAnsi="宋体" w:cs="宋体"/>
          <w:sz w:val="24"/>
        </w:rPr>
      </w:pPr>
      <w:r>
        <w:rPr>
          <w:rFonts w:hint="eastAsia" w:ascii="宋体" w:hAnsi="宋体" w:cs="宋体"/>
          <w:sz w:val="24"/>
        </w:rPr>
        <w:t xml:space="preserve">                                    单位名称（盖章）：</w:t>
      </w:r>
    </w:p>
    <w:p w14:paraId="0518B71C">
      <w:pPr>
        <w:spacing w:line="360" w:lineRule="auto"/>
        <w:rPr>
          <w:rFonts w:hint="eastAsia" w:ascii="宋体" w:hAnsi="宋体" w:cs="宋体"/>
          <w:b/>
          <w:sz w:val="24"/>
        </w:rPr>
      </w:pPr>
      <w:r>
        <w:rPr>
          <w:rFonts w:hint="eastAsia" w:ascii="宋体" w:hAnsi="宋体" w:cs="宋体"/>
          <w:sz w:val="24"/>
        </w:rPr>
        <w:t xml:space="preserve">                                        日  期：</w:t>
      </w:r>
    </w:p>
    <w:p w14:paraId="20356DB0">
      <w:pPr>
        <w:widowControl/>
        <w:spacing w:line="360" w:lineRule="auto"/>
        <w:jc w:val="left"/>
      </w:pPr>
      <w:r>
        <w:br w:type="page"/>
      </w:r>
    </w:p>
    <w:p w14:paraId="3CBDBB79">
      <w:pPr>
        <w:spacing w:line="360" w:lineRule="auto"/>
        <w:jc w:val="center"/>
        <w:outlineLvl w:val="1"/>
        <w:rPr>
          <w:rFonts w:hint="eastAsia" w:ascii="宋体" w:hAnsi="宋体" w:cs="宋体"/>
          <w:b/>
          <w:bCs/>
          <w:sz w:val="36"/>
          <w:szCs w:val="36"/>
        </w:rPr>
      </w:pPr>
      <w:r>
        <w:rPr>
          <w:rFonts w:hint="eastAsia" w:ascii="宋体" w:hAnsi="宋体" w:cs="宋体"/>
          <w:b/>
          <w:bCs/>
          <w:sz w:val="36"/>
          <w:szCs w:val="36"/>
        </w:rPr>
        <w:t>商务技术文件</w:t>
      </w:r>
    </w:p>
    <w:p w14:paraId="55CDF62F">
      <w:pPr>
        <w:spacing w:line="360" w:lineRule="auto"/>
        <w:jc w:val="center"/>
        <w:rPr>
          <w:b/>
          <w:bCs/>
          <w:sz w:val="24"/>
          <w:szCs w:val="32"/>
        </w:rPr>
      </w:pPr>
      <w:bookmarkStart w:id="71" w:name="_Toc32643"/>
      <w:bookmarkStart w:id="72" w:name="_Toc12343"/>
      <w:r>
        <w:rPr>
          <w:rFonts w:hint="eastAsia"/>
          <w:b/>
          <w:bCs/>
          <w:sz w:val="24"/>
          <w:szCs w:val="32"/>
        </w:rPr>
        <w:t>（有格式的参照格式，无格式的自拟）</w:t>
      </w:r>
      <w:bookmarkEnd w:id="71"/>
      <w:bookmarkEnd w:id="72"/>
    </w:p>
    <w:p w14:paraId="596A521F">
      <w:pPr>
        <w:spacing w:line="360" w:lineRule="auto"/>
        <w:ind w:firstLine="470" w:firstLineChars="196"/>
        <w:jc w:val="left"/>
        <w:rPr>
          <w:rFonts w:hint="eastAsia" w:ascii="宋体" w:hAnsi="宋体" w:cs="宋体"/>
          <w:kern w:val="0"/>
          <w:sz w:val="24"/>
        </w:rPr>
      </w:pPr>
      <w:r>
        <w:rPr>
          <w:rFonts w:hint="eastAsia" w:ascii="宋体" w:hAnsi="宋体" w:cs="宋体"/>
          <w:sz w:val="24"/>
        </w:rPr>
        <w:t xml:space="preserve">（1）法定代表人授权委托书(格式见第六部分)； </w:t>
      </w:r>
    </w:p>
    <w:p w14:paraId="5EDD626D">
      <w:pPr>
        <w:spacing w:line="360" w:lineRule="auto"/>
        <w:ind w:firstLine="470" w:firstLineChars="196"/>
        <w:jc w:val="left"/>
        <w:rPr>
          <w:rFonts w:hint="eastAsia" w:ascii="宋体" w:hAnsi="宋体" w:cs="宋体"/>
          <w:sz w:val="24"/>
        </w:rPr>
      </w:pPr>
      <w:r>
        <w:rPr>
          <w:rFonts w:hint="eastAsia" w:ascii="宋体" w:hAnsi="宋体" w:cs="宋体"/>
          <w:sz w:val="24"/>
        </w:rPr>
        <w:t>（2）</w:t>
      </w:r>
      <w:r>
        <w:rPr>
          <w:rFonts w:hint="eastAsia" w:ascii="宋体" w:hAnsi="宋体" w:cs="宋体"/>
          <w:kern w:val="0"/>
          <w:sz w:val="24"/>
        </w:rPr>
        <w:t>投标人情况介绍（格式自拟）；</w:t>
      </w:r>
    </w:p>
    <w:p w14:paraId="6E15D067">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（3）投标人、投标人法定代表人及本次投标的授权代表违法犯罪情况表；</w:t>
      </w:r>
    </w:p>
    <w:p w14:paraId="55E8F355">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（4）投标产品清单及所用材质等明细（品牌、产地、规格、参数）；</w:t>
      </w:r>
    </w:p>
    <w:p w14:paraId="64CBDDB7">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（5）商务响应表（格式见第六部分）；</w:t>
      </w:r>
    </w:p>
    <w:p w14:paraId="7C05AD83">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 xml:space="preserve">（6）同类项目业绩（格式见第六部分）； </w:t>
      </w:r>
    </w:p>
    <w:p w14:paraId="00DE7A59">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（7）技术偏离表（格式见第六部分）；</w:t>
      </w:r>
    </w:p>
    <w:p w14:paraId="72085044">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（8）评标办法评分内容要求的其他相关评分用资料、技术方案等；</w:t>
      </w:r>
    </w:p>
    <w:p w14:paraId="43FC39CA">
      <w:pPr>
        <w:spacing w:line="360" w:lineRule="auto"/>
        <w:ind w:firstLine="468" w:firstLineChars="195"/>
        <w:jc w:val="left"/>
        <w:rPr>
          <w:rFonts w:hint="eastAsia" w:ascii="宋体" w:hAnsi="宋体" w:cs="宋体"/>
          <w:kern w:val="0"/>
          <w:sz w:val="24"/>
        </w:rPr>
      </w:pPr>
      <w:r>
        <w:rPr>
          <w:rFonts w:hint="eastAsia" w:ascii="宋体" w:hAnsi="宋体" w:cs="宋体"/>
          <w:kern w:val="0"/>
          <w:sz w:val="24"/>
        </w:rPr>
        <w:t>（9）供应商提出的对本项目的实质性优惠条件和承诺情况；</w:t>
      </w:r>
    </w:p>
    <w:p w14:paraId="3E41CDC7">
      <w:pPr>
        <w:spacing w:line="360" w:lineRule="auto"/>
        <w:ind w:firstLine="468" w:firstLineChars="195"/>
        <w:jc w:val="left"/>
        <w:rPr>
          <w:rFonts w:hint="eastAsia" w:ascii="宋体" w:hAnsi="宋体" w:cs="宋体"/>
          <w:b/>
          <w:bCs/>
          <w:sz w:val="24"/>
        </w:rPr>
      </w:pPr>
      <w:r>
        <w:rPr>
          <w:rFonts w:hint="eastAsia" w:ascii="宋体" w:hAnsi="宋体" w:cs="宋体"/>
          <w:kern w:val="0"/>
          <w:sz w:val="24"/>
        </w:rPr>
        <w:t>（10）供应商认为需要说明的其他文件和资料（请结合评标办法自行添加相应内容）。</w:t>
      </w:r>
    </w:p>
    <w:p w14:paraId="7D802B7F">
      <w:pPr>
        <w:spacing w:line="360" w:lineRule="auto"/>
        <w:jc w:val="left"/>
        <w:rPr>
          <w:rFonts w:hint="eastAsia" w:ascii="宋体" w:hAnsi="宋体" w:cs="宋体"/>
          <w:b/>
          <w:sz w:val="24"/>
        </w:rPr>
      </w:pPr>
    </w:p>
    <w:p w14:paraId="3911B008">
      <w:pPr>
        <w:widowControl/>
        <w:jc w:val="left"/>
        <w:rPr>
          <w:b/>
          <w:bCs/>
          <w:sz w:val="24"/>
          <w:szCs w:val="32"/>
        </w:rPr>
      </w:pPr>
      <w:r>
        <w:rPr>
          <w:b/>
          <w:bCs/>
          <w:sz w:val="24"/>
          <w:szCs w:val="32"/>
        </w:rPr>
        <w:br w:type="page"/>
      </w:r>
    </w:p>
    <w:p w14:paraId="769AF759">
      <w:pPr>
        <w:spacing w:line="360" w:lineRule="auto"/>
      </w:pPr>
    </w:p>
    <w:p w14:paraId="3210065F">
      <w:pPr>
        <w:spacing w:line="360" w:lineRule="auto"/>
        <w:jc w:val="left"/>
        <w:rPr>
          <w:rFonts w:hint="eastAsia" w:ascii="宋体" w:hAnsi="宋体" w:cs="宋体"/>
          <w:b/>
          <w:bCs/>
          <w:sz w:val="28"/>
          <w:szCs w:val="28"/>
        </w:rPr>
      </w:pPr>
      <w:r>
        <w:rPr>
          <w:rFonts w:hint="eastAsia" w:ascii="宋体" w:hAnsi="宋体" w:cs="宋体"/>
          <w:b/>
          <w:sz w:val="28"/>
          <w:szCs w:val="28"/>
        </w:rPr>
        <w:t>法定代表人授权委托书或法定代表人身份证明书格式（2选1）</w:t>
      </w:r>
      <w:r>
        <w:rPr>
          <w:rFonts w:hint="eastAsia" w:ascii="宋体" w:hAnsi="宋体" w:cs="宋体"/>
          <w:b/>
          <w:bCs/>
          <w:sz w:val="28"/>
          <w:szCs w:val="28"/>
        </w:rPr>
        <w:t>：</w:t>
      </w:r>
    </w:p>
    <w:p w14:paraId="2BD139DD">
      <w:pPr>
        <w:spacing w:line="360" w:lineRule="auto"/>
        <w:jc w:val="left"/>
        <w:rPr>
          <w:rFonts w:hint="eastAsia" w:ascii="宋体" w:hAnsi="宋体" w:cs="宋体"/>
          <w:b/>
          <w:bCs/>
          <w:sz w:val="24"/>
        </w:rPr>
      </w:pPr>
      <w:r>
        <w:rPr>
          <w:rFonts w:hint="eastAsia" w:ascii="宋体" w:hAnsi="宋体" w:cs="宋体"/>
          <w:sz w:val="24"/>
        </w:rPr>
        <w:t xml:space="preserve">    投标人代表须携带有效身份证件。如投标人代表不是法定代表人，须有法定代表人出具的授权委托书；若是法定代表人参加，须填写法定代表人身份证明书。</w:t>
      </w:r>
    </w:p>
    <w:p w14:paraId="14A5947A">
      <w:pPr>
        <w:spacing w:line="360" w:lineRule="auto"/>
        <w:jc w:val="center"/>
        <w:rPr>
          <w:rFonts w:hint="eastAsia" w:ascii="宋体" w:hAnsi="宋体" w:cs="宋体"/>
          <w:b/>
          <w:bCs/>
          <w:sz w:val="24"/>
        </w:rPr>
      </w:pPr>
    </w:p>
    <w:p w14:paraId="2F3DC0D9">
      <w:pPr>
        <w:spacing w:line="360" w:lineRule="auto"/>
        <w:jc w:val="center"/>
        <w:rPr>
          <w:rFonts w:hint="eastAsia" w:ascii="宋体" w:hAnsi="宋体" w:cs="宋体"/>
          <w:b/>
          <w:bCs/>
          <w:sz w:val="28"/>
          <w:szCs w:val="28"/>
        </w:rPr>
      </w:pPr>
      <w:r>
        <w:rPr>
          <w:rFonts w:hint="eastAsia" w:ascii="宋体" w:hAnsi="宋体" w:cs="宋体"/>
          <w:b/>
          <w:bCs/>
          <w:sz w:val="28"/>
          <w:szCs w:val="28"/>
        </w:rPr>
        <w:t>法定代表人授权委托书</w:t>
      </w:r>
    </w:p>
    <w:p w14:paraId="6F1C04F8">
      <w:pPr>
        <w:spacing w:line="360" w:lineRule="auto"/>
        <w:rPr>
          <w:rFonts w:hint="eastAsia" w:ascii="宋体" w:hAnsi="宋体" w:cs="宋体"/>
          <w:kern w:val="0"/>
          <w:sz w:val="24"/>
        </w:rPr>
      </w:pPr>
      <w:r>
        <w:rPr>
          <w:rFonts w:hint="eastAsia" w:ascii="宋体" w:hAnsi="宋体" w:cs="宋体"/>
          <w:sz w:val="24"/>
          <w:u w:val="single"/>
        </w:rPr>
        <w:t>（采购人）</w:t>
      </w:r>
      <w:r>
        <w:rPr>
          <w:rFonts w:hint="eastAsia" w:ascii="宋体" w:hAnsi="宋体" w:cs="宋体"/>
          <w:sz w:val="24"/>
        </w:rPr>
        <w:t>、</w:t>
      </w:r>
      <w:r>
        <w:rPr>
          <w:rFonts w:hint="eastAsia" w:ascii="宋体" w:hAnsi="宋体" w:cs="宋体"/>
          <w:sz w:val="24"/>
          <w:u w:val="single"/>
        </w:rPr>
        <w:t>（采购代理机构）</w:t>
      </w:r>
      <w:r>
        <w:rPr>
          <w:rFonts w:hint="eastAsia" w:ascii="宋体" w:hAnsi="宋体" w:cs="宋体"/>
          <w:kern w:val="0"/>
          <w:sz w:val="24"/>
          <w:lang w:val="zh-CN"/>
        </w:rPr>
        <w:t>：</w:t>
      </w:r>
    </w:p>
    <w:p w14:paraId="20F78A84">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兹委派我公司</w:t>
      </w:r>
      <w:r>
        <w:rPr>
          <w:rFonts w:hint="eastAsia" w:ascii="宋体" w:hAnsi="宋体" w:cs="宋体"/>
          <w:kern w:val="0"/>
          <w:sz w:val="24"/>
        </w:rPr>
        <w:t xml:space="preserve">    </w:t>
      </w:r>
      <w:r>
        <w:rPr>
          <w:rFonts w:hint="eastAsia" w:ascii="宋体" w:hAnsi="宋体" w:cs="宋体"/>
          <w:kern w:val="0"/>
          <w:sz w:val="24"/>
          <w:lang w:val="zh-CN"/>
        </w:rPr>
        <w:t>先生/女士(其在本公司的职务是：联系电话：手机：传真：)，代表我公司全权处理</w:t>
      </w:r>
      <w:r>
        <w:rPr>
          <w:rFonts w:hint="eastAsia" w:ascii="宋体" w:hAnsi="宋体" w:cs="宋体"/>
          <w:sz w:val="24"/>
        </w:rPr>
        <w:t xml:space="preserve"> </w:t>
      </w:r>
      <w:r>
        <w:rPr>
          <w:rFonts w:hint="eastAsia" w:ascii="宋体" w:hAnsi="宋体" w:cs="宋体"/>
          <w:sz w:val="24"/>
          <w:lang w:eastAsia="zh-CN"/>
        </w:rPr>
        <w:t>浙江省舟山市消防救援支队2024年全市器材装备（破拆类二）采购项目</w:t>
      </w:r>
      <w:r>
        <w:rPr>
          <w:rFonts w:hint="eastAsia" w:ascii="宋体" w:hAnsi="宋体" w:cs="宋体"/>
          <w:kern w:val="0"/>
          <w:sz w:val="24"/>
          <w:lang w:val="zh-CN"/>
        </w:rPr>
        <w:t>(项目编号：</w:t>
      </w:r>
      <w:r>
        <w:rPr>
          <w:rFonts w:hint="eastAsia" w:ascii="宋体" w:hAnsi="宋体" w:cs="宋体"/>
          <w:sz w:val="24"/>
        </w:rPr>
        <w:t>）</w:t>
      </w:r>
      <w:r>
        <w:rPr>
          <w:rFonts w:hint="eastAsia" w:ascii="宋体" w:hAnsi="宋体" w:cs="宋体"/>
          <w:kern w:val="0"/>
          <w:sz w:val="24"/>
          <w:lang w:val="zh-CN"/>
        </w:rPr>
        <w:t>政府采购投标的一切事项，若中标则全权代表本公司签订相关合同，并负责处理合同履行等事宜。</w:t>
      </w:r>
    </w:p>
    <w:p w14:paraId="5389BD7F">
      <w:pPr>
        <w:spacing w:line="360" w:lineRule="auto"/>
        <w:rPr>
          <w:rFonts w:hint="eastAsia" w:ascii="宋体" w:hAnsi="宋体" w:cs="宋体"/>
          <w:kern w:val="0"/>
          <w:sz w:val="24"/>
          <w:lang w:val="zh-CN"/>
        </w:rPr>
      </w:pPr>
      <w:r>
        <w:rPr>
          <w:rFonts w:hint="eastAsia" w:ascii="宋体" w:hAnsi="宋体" w:cs="宋体"/>
          <w:kern w:val="0"/>
          <w:sz w:val="24"/>
          <w:lang w:val="zh-CN"/>
        </w:rPr>
        <w:t xml:space="preserve">    本授权书有效期：自   年 月  日起至  年  月  日止。</w:t>
      </w:r>
    </w:p>
    <w:p w14:paraId="66379F48">
      <w:pPr>
        <w:spacing w:line="360" w:lineRule="auto"/>
        <w:ind w:firstLine="480"/>
        <w:rPr>
          <w:rFonts w:hint="eastAsia" w:ascii="宋体" w:hAnsi="宋体" w:cs="宋体"/>
          <w:kern w:val="0"/>
          <w:sz w:val="24"/>
          <w:lang w:val="zh-CN"/>
        </w:rPr>
      </w:pPr>
      <w:r>
        <w:rPr>
          <w:rFonts w:hint="eastAsia" w:ascii="宋体" w:hAnsi="宋体" w:cs="宋体"/>
          <w:kern w:val="0"/>
          <w:sz w:val="24"/>
          <w:lang w:val="zh-CN"/>
        </w:rPr>
        <w:t>特此告知。</w:t>
      </w:r>
    </w:p>
    <w:p w14:paraId="7EE66771">
      <w:pPr>
        <w:spacing w:line="360" w:lineRule="auto"/>
        <w:ind w:firstLine="480"/>
        <w:rPr>
          <w:rFonts w:hint="eastAsia" w:ascii="宋体" w:hAnsi="宋体" w:cs="宋体"/>
          <w:kern w:val="0"/>
          <w:sz w:val="24"/>
          <w:lang w:val="zh-CN"/>
        </w:rPr>
      </w:pPr>
    </w:p>
    <w:p w14:paraId="681B5588">
      <w:pPr>
        <w:spacing w:line="360" w:lineRule="auto"/>
        <w:ind w:firstLine="480"/>
        <w:rPr>
          <w:rFonts w:hint="eastAsia" w:ascii="宋体" w:hAnsi="宋体" w:cs="宋体"/>
          <w:kern w:val="0"/>
          <w:sz w:val="24"/>
          <w:lang w:val="zh-CN"/>
        </w:rPr>
      </w:pPr>
    </w:p>
    <w:p w14:paraId="7BAD296E">
      <w:pPr>
        <w:spacing w:line="360" w:lineRule="auto"/>
        <w:ind w:firstLine="5160" w:firstLineChars="2150"/>
        <w:jc w:val="left"/>
        <w:rPr>
          <w:rFonts w:hint="eastAsia" w:ascii="宋体" w:hAnsi="宋体" w:cs="宋体"/>
          <w:kern w:val="0"/>
          <w:sz w:val="24"/>
        </w:rPr>
      </w:pPr>
      <w:r>
        <w:rPr>
          <w:rFonts w:hint="eastAsia" w:ascii="宋体" w:hAnsi="宋体" w:cs="宋体"/>
          <w:kern w:val="0"/>
          <w:sz w:val="24"/>
          <w:lang w:val="zh-CN"/>
        </w:rPr>
        <w:t>投标人名称(公章)：</w:t>
      </w:r>
    </w:p>
    <w:p w14:paraId="3D1B57CC">
      <w:pPr>
        <w:spacing w:line="360" w:lineRule="auto"/>
        <w:ind w:firstLine="5160" w:firstLineChars="2150"/>
        <w:jc w:val="left"/>
        <w:rPr>
          <w:rFonts w:hint="eastAsia" w:ascii="宋体" w:hAnsi="宋体" w:cs="宋体"/>
          <w:kern w:val="0"/>
          <w:sz w:val="24"/>
        </w:rPr>
      </w:pPr>
      <w:r>
        <w:rPr>
          <w:rFonts w:hint="eastAsia" w:ascii="宋体" w:hAnsi="宋体" w:cs="宋体"/>
          <w:kern w:val="0"/>
          <w:sz w:val="24"/>
          <w:lang w:val="zh-CN"/>
        </w:rPr>
        <w:t>法定代表人(签字或盖章)：</w:t>
      </w:r>
    </w:p>
    <w:p w14:paraId="5D040A3E">
      <w:pPr>
        <w:spacing w:line="360" w:lineRule="auto"/>
        <w:ind w:right="240" w:firstLine="5160" w:firstLineChars="2150"/>
        <w:jc w:val="left"/>
        <w:rPr>
          <w:rFonts w:hint="eastAsia" w:ascii="宋体" w:hAnsi="宋体" w:cs="宋体"/>
          <w:kern w:val="0"/>
          <w:sz w:val="24"/>
          <w:lang w:val="zh-CN"/>
        </w:rPr>
      </w:pPr>
      <w:r>
        <w:rPr>
          <w:rFonts w:hint="eastAsia" w:ascii="宋体" w:hAnsi="宋体" w:cs="宋体"/>
          <w:kern w:val="0"/>
          <w:sz w:val="24"/>
          <w:lang w:val="zh-CN"/>
        </w:rPr>
        <w:t>签发日期：  年  月   日</w:t>
      </w:r>
    </w:p>
    <w:p w14:paraId="7F09E441">
      <w:pPr>
        <w:spacing w:line="360" w:lineRule="auto"/>
        <w:ind w:right="240" w:firstLine="5160" w:firstLineChars="2150"/>
        <w:jc w:val="left"/>
        <w:rPr>
          <w:rFonts w:hint="eastAsia" w:ascii="宋体" w:hAnsi="宋体" w:cs="宋体"/>
          <w:kern w:val="0"/>
          <w:sz w:val="24"/>
          <w:lang w:val="zh-CN"/>
        </w:rPr>
      </w:pPr>
    </w:p>
    <w:p w14:paraId="39869BDB">
      <w:pPr>
        <w:spacing w:line="360" w:lineRule="auto"/>
        <w:ind w:right="240" w:firstLine="5160" w:firstLineChars="2150"/>
        <w:jc w:val="left"/>
        <w:rPr>
          <w:rFonts w:hint="eastAsia" w:ascii="宋体" w:hAnsi="宋体" w:cs="宋体"/>
          <w:kern w:val="0"/>
          <w:sz w:val="24"/>
          <w:lang w:val="zh-CN"/>
        </w:rPr>
      </w:pPr>
    </w:p>
    <w:p w14:paraId="7C15FF57">
      <w:pPr>
        <w:spacing w:line="360" w:lineRule="auto"/>
        <w:rPr>
          <w:rFonts w:hint="eastAsia" w:ascii="宋体" w:hAnsi="宋体" w:cs="宋体"/>
          <w:b/>
          <w:sz w:val="24"/>
        </w:rPr>
      </w:pPr>
      <w:r>
        <w:rPr>
          <w:rFonts w:hint="eastAsia" w:ascii="宋体" w:hAnsi="宋体" w:cs="宋体"/>
          <w:b/>
          <w:sz w:val="24"/>
        </w:rPr>
        <w:t>附：法定代表人和授权代表身份证复印件（须正反面复印）。</w:t>
      </w:r>
    </w:p>
    <w:p w14:paraId="72F1A430">
      <w:pPr>
        <w:spacing w:line="360" w:lineRule="auto"/>
        <w:rPr>
          <w:rFonts w:hint="eastAsia" w:ascii="宋体" w:hAnsi="宋体" w:cs="宋体"/>
          <w:sz w:val="24"/>
        </w:rPr>
      </w:pPr>
    </w:p>
    <w:p w14:paraId="3B34C1BF">
      <w:pPr>
        <w:spacing w:line="360" w:lineRule="auto"/>
        <w:rPr>
          <w:rFonts w:hint="eastAsia" w:ascii="宋体" w:hAnsi="宋体" w:cs="宋体"/>
          <w:sz w:val="24"/>
        </w:rPr>
      </w:pPr>
    </w:p>
    <w:p w14:paraId="71F97D0C">
      <w:pPr>
        <w:spacing w:line="360" w:lineRule="auto"/>
        <w:rPr>
          <w:rFonts w:hint="eastAsia" w:ascii="宋体" w:hAnsi="宋体" w:cs="宋体"/>
          <w:sz w:val="24"/>
        </w:rPr>
      </w:pPr>
    </w:p>
    <w:p w14:paraId="0B3F2C33">
      <w:pPr>
        <w:autoSpaceDE w:val="0"/>
        <w:autoSpaceDN w:val="0"/>
        <w:spacing w:line="360" w:lineRule="auto"/>
        <w:ind w:firstLine="4320" w:firstLineChars="1800"/>
        <w:jc w:val="left"/>
        <w:rPr>
          <w:rFonts w:hint="eastAsia" w:ascii="宋体" w:hAnsi="宋体" w:cs="宋体"/>
          <w:kern w:val="0"/>
          <w:sz w:val="24"/>
        </w:rPr>
      </w:pPr>
      <w:r>
        <w:rPr>
          <w:rFonts w:hint="eastAsia" w:ascii="宋体" w:hAnsi="宋体" w:cs="宋体"/>
          <w:kern w:val="0"/>
          <w:sz w:val="24"/>
        </w:rPr>
        <w:t>投标人名称（公章）：</w:t>
      </w:r>
    </w:p>
    <w:p w14:paraId="118F574E">
      <w:pPr>
        <w:autoSpaceDE w:val="0"/>
        <w:autoSpaceDN w:val="0"/>
        <w:spacing w:line="360" w:lineRule="auto"/>
        <w:ind w:firstLine="4320" w:firstLineChars="1800"/>
        <w:jc w:val="left"/>
        <w:rPr>
          <w:rFonts w:hint="eastAsia" w:ascii="宋体" w:hAnsi="宋体" w:cs="宋体"/>
          <w:kern w:val="0"/>
          <w:sz w:val="24"/>
        </w:rPr>
      </w:pPr>
      <w:r>
        <w:rPr>
          <w:rFonts w:hint="eastAsia" w:ascii="宋体" w:hAnsi="宋体" w:cs="宋体"/>
          <w:kern w:val="0"/>
          <w:sz w:val="24"/>
        </w:rPr>
        <w:t>法定代表人或其授权代表（签字）：</w:t>
      </w:r>
    </w:p>
    <w:p w14:paraId="4314F658">
      <w:pPr>
        <w:spacing w:line="360" w:lineRule="auto"/>
        <w:ind w:firstLine="4320" w:firstLineChars="1800"/>
        <w:jc w:val="left"/>
        <w:rPr>
          <w:rFonts w:hint="eastAsia" w:ascii="宋体" w:hAnsi="宋体" w:cs="宋体"/>
          <w:sz w:val="24"/>
        </w:rPr>
      </w:pPr>
      <w:r>
        <w:rPr>
          <w:rFonts w:hint="eastAsia" w:ascii="宋体" w:hAnsi="宋体" w:cs="宋体"/>
          <w:kern w:val="0"/>
          <w:sz w:val="24"/>
        </w:rPr>
        <w:t>日期：  年  月   日</w:t>
      </w:r>
    </w:p>
    <w:p w14:paraId="163B71DA">
      <w:pPr>
        <w:widowControl/>
        <w:jc w:val="left"/>
        <w:rPr>
          <w:rFonts w:hint="eastAsia" w:ascii="宋体" w:hAnsi="宋体" w:cs="宋体"/>
          <w:b/>
          <w:sz w:val="24"/>
        </w:rPr>
      </w:pPr>
      <w:r>
        <w:rPr>
          <w:rFonts w:hint="eastAsia" w:ascii="宋体" w:hAnsi="宋体" w:cs="宋体"/>
          <w:b/>
          <w:sz w:val="24"/>
        </w:rPr>
        <w:br w:type="page"/>
      </w:r>
    </w:p>
    <w:p w14:paraId="018B708C">
      <w:pPr>
        <w:spacing w:line="360" w:lineRule="auto"/>
        <w:jc w:val="center"/>
        <w:rPr>
          <w:rFonts w:hint="eastAsia" w:ascii="宋体" w:hAnsi="宋体" w:cs="宋体"/>
          <w:b/>
          <w:bCs/>
          <w:sz w:val="28"/>
          <w:szCs w:val="28"/>
        </w:rPr>
      </w:pPr>
    </w:p>
    <w:p w14:paraId="5D694EC0">
      <w:pPr>
        <w:spacing w:line="360" w:lineRule="auto"/>
        <w:jc w:val="center"/>
        <w:rPr>
          <w:rFonts w:hint="eastAsia" w:ascii="宋体" w:hAnsi="宋体" w:cs="宋体"/>
          <w:b/>
          <w:bCs/>
          <w:sz w:val="28"/>
          <w:szCs w:val="28"/>
        </w:rPr>
      </w:pPr>
      <w:r>
        <w:rPr>
          <w:rFonts w:hint="eastAsia" w:ascii="宋体" w:hAnsi="宋体" w:cs="宋体"/>
          <w:b/>
          <w:bCs/>
          <w:sz w:val="28"/>
          <w:szCs w:val="28"/>
        </w:rPr>
        <w:t>法定代表人身份证明书</w:t>
      </w:r>
    </w:p>
    <w:p w14:paraId="2BFEF5D1">
      <w:pPr>
        <w:spacing w:line="360" w:lineRule="auto"/>
        <w:ind w:firstLine="612"/>
        <w:rPr>
          <w:rFonts w:hint="eastAsia" w:ascii="宋体" w:hAnsi="宋体" w:cs="宋体"/>
          <w:sz w:val="24"/>
        </w:rPr>
      </w:pPr>
    </w:p>
    <w:p w14:paraId="6F291E9A">
      <w:pPr>
        <w:spacing w:line="360" w:lineRule="auto"/>
        <w:ind w:firstLine="612"/>
        <w:rPr>
          <w:rFonts w:hint="eastAsia"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787E552">
      <w:pPr>
        <w:spacing w:line="360" w:lineRule="auto"/>
        <w:ind w:firstLine="610"/>
        <w:rPr>
          <w:rFonts w:hint="eastAsia"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53753981">
      <w:pPr>
        <w:spacing w:line="360" w:lineRule="auto"/>
        <w:ind w:firstLine="61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532BE4FA">
      <w:pPr>
        <w:spacing w:line="360" w:lineRule="auto"/>
        <w:ind w:firstLine="61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5FC1FDD">
      <w:pPr>
        <w:spacing w:line="360" w:lineRule="auto"/>
        <w:ind w:firstLine="610"/>
        <w:rPr>
          <w:rFonts w:hint="eastAsia"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445F4158">
      <w:pPr>
        <w:spacing w:line="360" w:lineRule="auto"/>
        <w:ind w:firstLine="61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155AA191">
      <w:pPr>
        <w:spacing w:line="360" w:lineRule="auto"/>
        <w:ind w:firstLine="61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（投标人单位名称）         </w:t>
      </w:r>
      <w:r>
        <w:rPr>
          <w:rFonts w:hint="eastAsia" w:ascii="宋体" w:hAnsi="宋体" w:cs="宋体"/>
          <w:sz w:val="24"/>
        </w:rPr>
        <w:t>的法定代表人。</w:t>
      </w:r>
    </w:p>
    <w:p w14:paraId="50F4EDEC">
      <w:pPr>
        <w:spacing w:line="360" w:lineRule="auto"/>
        <w:ind w:firstLine="610"/>
        <w:rPr>
          <w:rFonts w:hint="eastAsia" w:ascii="宋体" w:hAnsi="宋体" w:cs="宋体"/>
          <w:sz w:val="24"/>
        </w:rPr>
      </w:pPr>
    </w:p>
    <w:p w14:paraId="5F58640E">
      <w:pPr>
        <w:spacing w:line="360" w:lineRule="auto"/>
        <w:ind w:firstLine="1329" w:firstLineChars="554"/>
        <w:rPr>
          <w:rFonts w:hint="eastAsia" w:ascii="宋体" w:hAnsi="宋体" w:cs="宋体"/>
          <w:sz w:val="24"/>
        </w:rPr>
      </w:pPr>
      <w:r>
        <w:rPr>
          <w:rFonts w:hint="eastAsia" w:ascii="宋体" w:hAnsi="宋体" w:cs="宋体"/>
          <w:sz w:val="24"/>
        </w:rPr>
        <w:t>特此证明。</w:t>
      </w:r>
    </w:p>
    <w:p w14:paraId="5D034773">
      <w:pPr>
        <w:spacing w:line="360" w:lineRule="auto"/>
        <w:rPr>
          <w:rFonts w:hint="eastAsia" w:ascii="宋体" w:hAnsi="宋体" w:cs="宋体"/>
          <w:sz w:val="24"/>
        </w:rPr>
      </w:pPr>
    </w:p>
    <w:p w14:paraId="61D8E2DD">
      <w:pPr>
        <w:spacing w:line="360" w:lineRule="auto"/>
        <w:ind w:firstLine="480" w:firstLineChars="200"/>
        <w:rPr>
          <w:rFonts w:hint="eastAsia" w:ascii="宋体" w:hAnsi="宋体" w:cs="宋体"/>
          <w:sz w:val="24"/>
        </w:rPr>
      </w:pPr>
      <w:r>
        <w:rPr>
          <w:rFonts w:hint="eastAsia" w:ascii="宋体" w:hAnsi="宋体" w:cs="宋体"/>
          <w:sz w:val="24"/>
        </w:rPr>
        <w:t>附：法定代表人身份证复印件（须正反面复印）。</w:t>
      </w:r>
    </w:p>
    <w:p w14:paraId="58841B30">
      <w:pPr>
        <w:spacing w:line="360" w:lineRule="auto"/>
        <w:rPr>
          <w:rFonts w:hint="eastAsia" w:ascii="宋体" w:hAnsi="宋体" w:cs="宋体"/>
          <w:sz w:val="24"/>
        </w:rPr>
      </w:pPr>
      <w:r>
        <w:rPr>
          <w:rFonts w:hint="eastAsia" w:ascii="宋体" w:hAnsi="宋体" w:cs="宋体"/>
          <w:sz w:val="24"/>
        </w:rPr>
        <w:t xml:space="preserve">     </w:t>
      </w:r>
    </w:p>
    <w:p w14:paraId="5F13F7A6">
      <w:pPr>
        <w:spacing w:line="360" w:lineRule="auto"/>
        <w:rPr>
          <w:rFonts w:hint="eastAsia" w:ascii="宋体" w:hAnsi="宋体" w:cs="宋体"/>
          <w:sz w:val="24"/>
        </w:rPr>
      </w:pPr>
    </w:p>
    <w:p w14:paraId="1C1074C6">
      <w:pPr>
        <w:autoSpaceDE w:val="0"/>
        <w:autoSpaceDN w:val="0"/>
        <w:spacing w:line="360" w:lineRule="auto"/>
        <w:ind w:firstLine="4320" w:firstLineChars="1800"/>
        <w:jc w:val="left"/>
        <w:rPr>
          <w:rFonts w:hint="eastAsia" w:ascii="宋体" w:hAnsi="宋体" w:cs="宋体"/>
          <w:kern w:val="0"/>
          <w:sz w:val="24"/>
        </w:rPr>
      </w:pPr>
      <w:r>
        <w:rPr>
          <w:rFonts w:hint="eastAsia" w:ascii="宋体" w:hAnsi="宋体" w:cs="宋体"/>
          <w:kern w:val="0"/>
          <w:sz w:val="24"/>
        </w:rPr>
        <w:t>投标人名称（公章）：</w:t>
      </w:r>
    </w:p>
    <w:p w14:paraId="3E5C7EC3">
      <w:pPr>
        <w:autoSpaceDE w:val="0"/>
        <w:autoSpaceDN w:val="0"/>
        <w:spacing w:line="360" w:lineRule="auto"/>
        <w:ind w:firstLine="4320" w:firstLineChars="1800"/>
        <w:jc w:val="left"/>
        <w:rPr>
          <w:rFonts w:hint="eastAsia" w:ascii="宋体" w:hAnsi="宋体" w:cs="宋体"/>
          <w:kern w:val="0"/>
          <w:sz w:val="24"/>
        </w:rPr>
      </w:pPr>
      <w:r>
        <w:rPr>
          <w:rFonts w:hint="eastAsia" w:ascii="宋体" w:hAnsi="宋体" w:cs="宋体"/>
          <w:kern w:val="0"/>
          <w:sz w:val="24"/>
        </w:rPr>
        <w:t>法定代表人或其授权代表（签字）：</w:t>
      </w:r>
    </w:p>
    <w:p w14:paraId="7D77C678">
      <w:pPr>
        <w:spacing w:line="360" w:lineRule="auto"/>
        <w:ind w:firstLine="4320" w:firstLineChars="1800"/>
        <w:jc w:val="left"/>
        <w:rPr>
          <w:rFonts w:hint="eastAsia" w:ascii="宋体" w:hAnsi="宋体" w:cs="宋体"/>
          <w:sz w:val="24"/>
        </w:rPr>
      </w:pPr>
      <w:r>
        <w:rPr>
          <w:rFonts w:hint="eastAsia" w:ascii="宋体" w:hAnsi="宋体" w:cs="宋体"/>
          <w:kern w:val="0"/>
          <w:sz w:val="24"/>
        </w:rPr>
        <w:t>日期：  年  月   日</w:t>
      </w:r>
    </w:p>
    <w:p w14:paraId="7705DC4E">
      <w:pPr>
        <w:spacing w:line="360" w:lineRule="auto"/>
        <w:rPr>
          <w:rFonts w:hint="eastAsia" w:ascii="宋体" w:hAnsi="宋体" w:cs="宋体"/>
          <w:b/>
          <w:sz w:val="24"/>
        </w:rPr>
      </w:pPr>
    </w:p>
    <w:p w14:paraId="36E1A023">
      <w:pPr>
        <w:spacing w:line="360" w:lineRule="auto"/>
        <w:rPr>
          <w:rFonts w:hint="eastAsia" w:ascii="宋体" w:hAnsi="宋体" w:cs="宋体"/>
          <w:b/>
          <w:sz w:val="24"/>
        </w:rPr>
      </w:pPr>
    </w:p>
    <w:p w14:paraId="08C925AD">
      <w:pPr>
        <w:widowControl/>
        <w:spacing w:line="360" w:lineRule="auto"/>
        <w:jc w:val="left"/>
        <w:rPr>
          <w:rFonts w:hint="eastAsia" w:ascii="宋体" w:hAnsi="宋体" w:cs="宋体"/>
          <w:sz w:val="24"/>
        </w:rPr>
      </w:pPr>
      <w:r>
        <w:rPr>
          <w:rFonts w:hint="eastAsia" w:ascii="宋体" w:hAnsi="宋体" w:cs="宋体"/>
          <w:sz w:val="24"/>
        </w:rPr>
        <w:br w:type="page"/>
      </w:r>
    </w:p>
    <w:p w14:paraId="27B711DA">
      <w:pPr>
        <w:spacing w:line="360" w:lineRule="auto"/>
        <w:jc w:val="center"/>
        <w:rPr>
          <w:rFonts w:hint="eastAsia" w:ascii="宋体" w:hAnsi="宋体" w:cs="宋体"/>
          <w:b/>
          <w:bCs/>
          <w:sz w:val="28"/>
          <w:szCs w:val="28"/>
        </w:rPr>
      </w:pPr>
    </w:p>
    <w:p w14:paraId="35348DEB">
      <w:pPr>
        <w:spacing w:line="360" w:lineRule="auto"/>
        <w:jc w:val="center"/>
        <w:rPr>
          <w:rFonts w:hint="eastAsia" w:ascii="宋体" w:hAnsi="宋体" w:cs="宋体"/>
          <w:b/>
          <w:bCs/>
          <w:sz w:val="28"/>
          <w:szCs w:val="28"/>
        </w:rPr>
      </w:pPr>
      <w:r>
        <w:rPr>
          <w:rFonts w:hint="eastAsia" w:ascii="宋体" w:hAnsi="宋体" w:cs="宋体"/>
          <w:b/>
          <w:bCs/>
          <w:sz w:val="28"/>
          <w:szCs w:val="28"/>
        </w:rPr>
        <w:t>类似成功业绩一览表</w:t>
      </w:r>
    </w:p>
    <w:p w14:paraId="3C355347">
      <w:pPr>
        <w:spacing w:line="360" w:lineRule="auto"/>
        <w:jc w:val="center"/>
        <w:rPr>
          <w:rFonts w:hint="eastAsia" w:ascii="宋体" w:hAnsi="宋体" w:cs="宋体"/>
          <w:b/>
          <w:bCs/>
          <w:sz w:val="28"/>
          <w:szCs w:val="28"/>
        </w:rPr>
      </w:pPr>
    </w:p>
    <w:tbl>
      <w:tblPr>
        <w:tblStyle w:val="35"/>
        <w:tblW w:w="9903" w:type="dxa"/>
        <w:jc w:val="center"/>
        <w:tblLayout w:type="fixed"/>
        <w:tblCellMar>
          <w:top w:w="0" w:type="dxa"/>
          <w:left w:w="108" w:type="dxa"/>
          <w:bottom w:w="0" w:type="dxa"/>
          <w:right w:w="108" w:type="dxa"/>
        </w:tblCellMar>
      </w:tblPr>
      <w:tblGrid>
        <w:gridCol w:w="2253"/>
        <w:gridCol w:w="951"/>
        <w:gridCol w:w="1356"/>
        <w:gridCol w:w="1008"/>
        <w:gridCol w:w="1155"/>
        <w:gridCol w:w="1965"/>
        <w:gridCol w:w="1215"/>
      </w:tblGrid>
      <w:tr w14:paraId="505CAEC1">
        <w:tblPrEx>
          <w:tblCellMar>
            <w:top w:w="0" w:type="dxa"/>
            <w:left w:w="108" w:type="dxa"/>
            <w:bottom w:w="0" w:type="dxa"/>
            <w:right w:w="108" w:type="dxa"/>
          </w:tblCellMar>
        </w:tblPrEx>
        <w:trPr>
          <w:trHeight w:val="567" w:hRule="atLeast"/>
          <w:jc w:val="center"/>
        </w:trPr>
        <w:tc>
          <w:tcPr>
            <w:tcW w:w="2253" w:type="dxa"/>
            <w:tcBorders>
              <w:top w:val="single" w:color="auto" w:sz="6" w:space="0"/>
              <w:left w:val="single" w:color="auto" w:sz="6" w:space="0"/>
              <w:bottom w:val="single" w:color="auto" w:sz="6" w:space="0"/>
              <w:right w:val="single" w:color="auto" w:sz="6" w:space="0"/>
            </w:tcBorders>
            <w:vAlign w:val="center"/>
          </w:tcPr>
          <w:p w14:paraId="64C89BA4">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F07BC0A">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项目</w:t>
            </w:r>
          </w:p>
          <w:p w14:paraId="66C5C730">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C776A82">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简要描述</w:t>
            </w:r>
          </w:p>
        </w:tc>
        <w:tc>
          <w:tcPr>
            <w:tcW w:w="1008" w:type="dxa"/>
            <w:tcBorders>
              <w:top w:val="single" w:color="auto" w:sz="6" w:space="0"/>
              <w:left w:val="single" w:color="auto" w:sz="6" w:space="0"/>
              <w:bottom w:val="single" w:color="auto" w:sz="6" w:space="0"/>
              <w:right w:val="single" w:color="auto" w:sz="6" w:space="0"/>
            </w:tcBorders>
            <w:vAlign w:val="center"/>
          </w:tcPr>
          <w:p w14:paraId="1C3DD08D">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服务</w:t>
            </w:r>
          </w:p>
          <w:p w14:paraId="0A76641A">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规模</w:t>
            </w:r>
          </w:p>
        </w:tc>
        <w:tc>
          <w:tcPr>
            <w:tcW w:w="1155" w:type="dxa"/>
            <w:tcBorders>
              <w:top w:val="single" w:color="auto" w:sz="6" w:space="0"/>
              <w:left w:val="single" w:color="auto" w:sz="6" w:space="0"/>
              <w:bottom w:val="single" w:color="auto" w:sz="6" w:space="0"/>
              <w:right w:val="single" w:color="auto" w:sz="6" w:space="0"/>
            </w:tcBorders>
            <w:vAlign w:val="center"/>
          </w:tcPr>
          <w:p w14:paraId="7AEAF9BB">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服务起始日期</w:t>
            </w:r>
          </w:p>
        </w:tc>
        <w:tc>
          <w:tcPr>
            <w:tcW w:w="1965" w:type="dxa"/>
            <w:tcBorders>
              <w:top w:val="single" w:color="auto" w:sz="6" w:space="0"/>
              <w:left w:val="single" w:color="auto" w:sz="6" w:space="0"/>
              <w:bottom w:val="single" w:color="auto" w:sz="6" w:space="0"/>
              <w:right w:val="single" w:color="auto" w:sz="6" w:space="0"/>
            </w:tcBorders>
            <w:vAlign w:val="center"/>
          </w:tcPr>
          <w:p w14:paraId="237B754B">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24F898C">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所在页码</w:t>
            </w:r>
          </w:p>
        </w:tc>
      </w:tr>
      <w:tr w14:paraId="6BFA31A3">
        <w:tblPrEx>
          <w:tblCellMar>
            <w:top w:w="0" w:type="dxa"/>
            <w:left w:w="108" w:type="dxa"/>
            <w:bottom w:w="0" w:type="dxa"/>
            <w:right w:w="108" w:type="dxa"/>
          </w:tblCellMar>
        </w:tblPrEx>
        <w:trPr>
          <w:trHeight w:val="567" w:hRule="atLeast"/>
          <w:jc w:val="center"/>
        </w:trPr>
        <w:tc>
          <w:tcPr>
            <w:tcW w:w="2253" w:type="dxa"/>
            <w:tcBorders>
              <w:top w:val="single" w:color="auto" w:sz="6" w:space="0"/>
              <w:left w:val="single" w:color="auto" w:sz="6" w:space="0"/>
              <w:bottom w:val="single" w:color="auto" w:sz="6" w:space="0"/>
              <w:right w:val="single" w:color="auto" w:sz="6" w:space="0"/>
            </w:tcBorders>
          </w:tcPr>
          <w:p w14:paraId="0EA8F55D">
            <w:pPr>
              <w:autoSpaceDE w:val="0"/>
              <w:autoSpaceDN w:val="0"/>
              <w:adjustRightInd w:val="0"/>
              <w:spacing w:line="360" w:lineRule="auto"/>
              <w:jc w:val="center"/>
              <w:rPr>
                <w:rFonts w:hint="eastAsia"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tcPr>
          <w:p w14:paraId="02D99CB2">
            <w:pPr>
              <w:autoSpaceDE w:val="0"/>
              <w:autoSpaceDN w:val="0"/>
              <w:adjustRightInd w:val="0"/>
              <w:spacing w:line="360" w:lineRule="auto"/>
              <w:rPr>
                <w:rFonts w:hint="eastAsia"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715D1D12">
            <w:pPr>
              <w:autoSpaceDE w:val="0"/>
              <w:autoSpaceDN w:val="0"/>
              <w:adjustRightInd w:val="0"/>
              <w:spacing w:line="360" w:lineRule="auto"/>
              <w:rPr>
                <w:rFonts w:hint="eastAsia" w:ascii="宋体" w:hAnsi="宋体" w:cs="宋体"/>
                <w:sz w:val="24"/>
              </w:rPr>
            </w:pPr>
          </w:p>
        </w:tc>
        <w:tc>
          <w:tcPr>
            <w:tcW w:w="1008" w:type="dxa"/>
            <w:tcBorders>
              <w:top w:val="single" w:color="auto" w:sz="6" w:space="0"/>
              <w:left w:val="single" w:color="auto" w:sz="6" w:space="0"/>
              <w:bottom w:val="single" w:color="auto" w:sz="6" w:space="0"/>
              <w:right w:val="single" w:color="auto" w:sz="6" w:space="0"/>
            </w:tcBorders>
          </w:tcPr>
          <w:p w14:paraId="1C313587">
            <w:pPr>
              <w:autoSpaceDE w:val="0"/>
              <w:autoSpaceDN w:val="0"/>
              <w:adjustRightInd w:val="0"/>
              <w:spacing w:line="360" w:lineRule="auto"/>
              <w:rPr>
                <w:rFonts w:hint="eastAsia"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26DF3B82">
            <w:pPr>
              <w:autoSpaceDE w:val="0"/>
              <w:autoSpaceDN w:val="0"/>
              <w:adjustRightInd w:val="0"/>
              <w:spacing w:line="360" w:lineRule="auto"/>
              <w:rPr>
                <w:rFonts w:hint="eastAsia" w:ascii="宋体" w:hAnsi="宋体" w:cs="宋体"/>
                <w:sz w:val="24"/>
              </w:rPr>
            </w:pPr>
          </w:p>
        </w:tc>
        <w:tc>
          <w:tcPr>
            <w:tcW w:w="1965" w:type="dxa"/>
            <w:tcBorders>
              <w:top w:val="single" w:color="auto" w:sz="6" w:space="0"/>
              <w:left w:val="single" w:color="auto" w:sz="6" w:space="0"/>
              <w:bottom w:val="single" w:color="auto" w:sz="6" w:space="0"/>
              <w:right w:val="single" w:color="auto" w:sz="6" w:space="0"/>
            </w:tcBorders>
          </w:tcPr>
          <w:p w14:paraId="5CFABE4B">
            <w:pPr>
              <w:autoSpaceDE w:val="0"/>
              <w:autoSpaceDN w:val="0"/>
              <w:adjustRightInd w:val="0"/>
              <w:spacing w:line="360" w:lineRule="auto"/>
              <w:rPr>
                <w:rFonts w:hint="eastAsia"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1A633BCF">
            <w:pPr>
              <w:autoSpaceDE w:val="0"/>
              <w:autoSpaceDN w:val="0"/>
              <w:adjustRightInd w:val="0"/>
              <w:spacing w:line="360" w:lineRule="auto"/>
              <w:rPr>
                <w:rFonts w:hint="eastAsia" w:ascii="宋体" w:hAnsi="宋体" w:cs="宋体"/>
                <w:sz w:val="24"/>
              </w:rPr>
            </w:pPr>
          </w:p>
        </w:tc>
      </w:tr>
      <w:tr w14:paraId="11BB167A">
        <w:tblPrEx>
          <w:tblCellMar>
            <w:top w:w="0" w:type="dxa"/>
            <w:left w:w="108" w:type="dxa"/>
            <w:bottom w:w="0" w:type="dxa"/>
            <w:right w:w="108" w:type="dxa"/>
          </w:tblCellMar>
        </w:tblPrEx>
        <w:trPr>
          <w:trHeight w:val="567" w:hRule="atLeast"/>
          <w:jc w:val="center"/>
        </w:trPr>
        <w:tc>
          <w:tcPr>
            <w:tcW w:w="2253" w:type="dxa"/>
            <w:tcBorders>
              <w:top w:val="single" w:color="auto" w:sz="6" w:space="0"/>
              <w:left w:val="single" w:color="auto" w:sz="6" w:space="0"/>
              <w:bottom w:val="single" w:color="auto" w:sz="6" w:space="0"/>
              <w:right w:val="single" w:color="auto" w:sz="6" w:space="0"/>
            </w:tcBorders>
          </w:tcPr>
          <w:p w14:paraId="784F3851">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w:t>
            </w:r>
          </w:p>
        </w:tc>
        <w:tc>
          <w:tcPr>
            <w:tcW w:w="951" w:type="dxa"/>
            <w:tcBorders>
              <w:top w:val="single" w:color="auto" w:sz="6" w:space="0"/>
              <w:left w:val="single" w:color="auto" w:sz="6" w:space="0"/>
              <w:bottom w:val="single" w:color="auto" w:sz="6" w:space="0"/>
              <w:right w:val="single" w:color="auto" w:sz="6" w:space="0"/>
            </w:tcBorders>
          </w:tcPr>
          <w:p w14:paraId="1230703E">
            <w:pPr>
              <w:autoSpaceDE w:val="0"/>
              <w:autoSpaceDN w:val="0"/>
              <w:adjustRightInd w:val="0"/>
              <w:spacing w:line="360" w:lineRule="auto"/>
              <w:rPr>
                <w:rFonts w:hint="eastAsia"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674EB4E4">
            <w:pPr>
              <w:autoSpaceDE w:val="0"/>
              <w:autoSpaceDN w:val="0"/>
              <w:adjustRightInd w:val="0"/>
              <w:spacing w:line="360" w:lineRule="auto"/>
              <w:rPr>
                <w:rFonts w:hint="eastAsia" w:ascii="宋体" w:hAnsi="宋体" w:cs="宋体"/>
                <w:sz w:val="24"/>
              </w:rPr>
            </w:pPr>
          </w:p>
        </w:tc>
        <w:tc>
          <w:tcPr>
            <w:tcW w:w="1008" w:type="dxa"/>
            <w:tcBorders>
              <w:top w:val="single" w:color="auto" w:sz="6" w:space="0"/>
              <w:left w:val="single" w:color="auto" w:sz="6" w:space="0"/>
              <w:bottom w:val="single" w:color="auto" w:sz="6" w:space="0"/>
              <w:right w:val="single" w:color="auto" w:sz="6" w:space="0"/>
            </w:tcBorders>
          </w:tcPr>
          <w:p w14:paraId="517E7BC6">
            <w:pPr>
              <w:autoSpaceDE w:val="0"/>
              <w:autoSpaceDN w:val="0"/>
              <w:adjustRightInd w:val="0"/>
              <w:spacing w:line="360" w:lineRule="auto"/>
              <w:rPr>
                <w:rFonts w:hint="eastAsia"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7C5F38D0">
            <w:pPr>
              <w:autoSpaceDE w:val="0"/>
              <w:autoSpaceDN w:val="0"/>
              <w:adjustRightInd w:val="0"/>
              <w:spacing w:line="360" w:lineRule="auto"/>
              <w:rPr>
                <w:rFonts w:hint="eastAsia" w:ascii="宋体" w:hAnsi="宋体" w:cs="宋体"/>
                <w:sz w:val="24"/>
              </w:rPr>
            </w:pPr>
          </w:p>
        </w:tc>
        <w:tc>
          <w:tcPr>
            <w:tcW w:w="1965" w:type="dxa"/>
            <w:tcBorders>
              <w:top w:val="single" w:color="auto" w:sz="6" w:space="0"/>
              <w:left w:val="single" w:color="auto" w:sz="6" w:space="0"/>
              <w:bottom w:val="single" w:color="auto" w:sz="6" w:space="0"/>
              <w:right w:val="single" w:color="auto" w:sz="6" w:space="0"/>
            </w:tcBorders>
          </w:tcPr>
          <w:p w14:paraId="6C137441">
            <w:pPr>
              <w:autoSpaceDE w:val="0"/>
              <w:autoSpaceDN w:val="0"/>
              <w:adjustRightInd w:val="0"/>
              <w:spacing w:line="360" w:lineRule="auto"/>
              <w:rPr>
                <w:rFonts w:hint="eastAsia"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415FC2A5">
            <w:pPr>
              <w:autoSpaceDE w:val="0"/>
              <w:autoSpaceDN w:val="0"/>
              <w:adjustRightInd w:val="0"/>
              <w:spacing w:line="360" w:lineRule="auto"/>
              <w:rPr>
                <w:rFonts w:hint="eastAsia" w:ascii="宋体" w:hAnsi="宋体" w:cs="宋体"/>
                <w:sz w:val="24"/>
              </w:rPr>
            </w:pPr>
          </w:p>
        </w:tc>
      </w:tr>
    </w:tbl>
    <w:p w14:paraId="5159F453">
      <w:pPr>
        <w:spacing w:line="360" w:lineRule="auto"/>
        <w:rPr>
          <w:rFonts w:hint="eastAsia" w:ascii="宋体" w:hAnsi="宋体" w:cs="宋体"/>
          <w:b/>
          <w:sz w:val="24"/>
        </w:rPr>
      </w:pPr>
    </w:p>
    <w:p w14:paraId="02FF023A">
      <w:pPr>
        <w:spacing w:line="360" w:lineRule="auto"/>
        <w:rPr>
          <w:rFonts w:hint="eastAsia" w:ascii="宋体" w:hAnsi="宋体" w:cs="宋体"/>
          <w:sz w:val="24"/>
        </w:rPr>
      </w:pPr>
      <w:r>
        <w:rPr>
          <w:rFonts w:hint="eastAsia" w:ascii="宋体" w:hAnsi="宋体" w:cs="宋体"/>
          <w:b/>
          <w:sz w:val="24"/>
        </w:rPr>
        <w:t>注：供应商可按上述的格式自行编制。</w:t>
      </w:r>
    </w:p>
    <w:p w14:paraId="0C051808">
      <w:pPr>
        <w:spacing w:line="360" w:lineRule="auto"/>
        <w:ind w:firstLine="480" w:firstLineChars="200"/>
        <w:jc w:val="left"/>
        <w:rPr>
          <w:rFonts w:hint="eastAsia" w:ascii="宋体" w:hAnsi="宋体" w:cs="宋体"/>
          <w:sz w:val="24"/>
        </w:rPr>
      </w:pPr>
    </w:p>
    <w:p w14:paraId="3A779DC9">
      <w:pPr>
        <w:spacing w:line="360" w:lineRule="auto"/>
        <w:ind w:firstLine="480" w:firstLineChars="200"/>
        <w:jc w:val="left"/>
        <w:rPr>
          <w:rFonts w:hint="eastAsia" w:ascii="宋体" w:hAnsi="宋体" w:cs="宋体"/>
          <w:sz w:val="24"/>
        </w:rPr>
      </w:pPr>
      <w:r>
        <w:rPr>
          <w:rFonts w:hint="eastAsia" w:ascii="宋体" w:hAnsi="宋体" w:cs="宋体"/>
          <w:sz w:val="24"/>
        </w:rPr>
        <w:t>供应商名称（公章）：</w:t>
      </w:r>
    </w:p>
    <w:p w14:paraId="19ECFF4E">
      <w:pPr>
        <w:spacing w:line="360" w:lineRule="auto"/>
        <w:ind w:firstLine="480" w:firstLineChars="200"/>
        <w:jc w:val="left"/>
        <w:rPr>
          <w:rFonts w:hint="eastAsia" w:ascii="宋体" w:hAnsi="宋体" w:cs="宋体"/>
          <w:sz w:val="24"/>
        </w:rPr>
      </w:pPr>
      <w:r>
        <w:rPr>
          <w:rFonts w:hint="eastAsia" w:ascii="宋体" w:hAnsi="宋体" w:cs="宋体"/>
          <w:sz w:val="24"/>
        </w:rPr>
        <w:t>授权代表签字：</w:t>
      </w:r>
    </w:p>
    <w:p w14:paraId="340B0EFB">
      <w:pPr>
        <w:spacing w:line="360" w:lineRule="auto"/>
        <w:ind w:firstLine="480" w:firstLineChars="200"/>
        <w:rPr>
          <w:rFonts w:hint="eastAsia" w:ascii="宋体" w:hAnsi="宋体" w:cs="宋体"/>
          <w:sz w:val="24"/>
        </w:rPr>
      </w:pPr>
      <w:r>
        <w:rPr>
          <w:rFonts w:hint="eastAsia" w:ascii="宋体" w:hAnsi="宋体" w:cs="宋体"/>
          <w:sz w:val="24"/>
        </w:rPr>
        <w:t>日期：    年  月  日</w:t>
      </w:r>
    </w:p>
    <w:p w14:paraId="274A7D24">
      <w:pPr>
        <w:widowControl/>
        <w:spacing w:line="360" w:lineRule="auto"/>
        <w:jc w:val="left"/>
        <w:rPr>
          <w:rFonts w:hint="eastAsia" w:ascii="宋体" w:hAnsi="宋体" w:cs="宋体"/>
          <w:b/>
          <w:bCs/>
          <w:sz w:val="24"/>
        </w:rPr>
      </w:pPr>
      <w:r>
        <w:rPr>
          <w:rFonts w:hint="eastAsia" w:ascii="宋体" w:hAnsi="宋体" w:cs="宋体"/>
          <w:b/>
          <w:bCs/>
          <w:sz w:val="24"/>
        </w:rPr>
        <w:br w:type="page"/>
      </w:r>
    </w:p>
    <w:p w14:paraId="6FAF8C44">
      <w:pPr>
        <w:spacing w:line="360" w:lineRule="auto"/>
        <w:jc w:val="left"/>
        <w:rPr>
          <w:rFonts w:hint="eastAsia" w:ascii="宋体" w:hAnsi="宋体" w:cs="宋体"/>
          <w:b/>
          <w:bCs/>
          <w:sz w:val="24"/>
        </w:rPr>
      </w:pPr>
    </w:p>
    <w:p w14:paraId="3CA503C4">
      <w:pPr>
        <w:spacing w:line="360" w:lineRule="auto"/>
        <w:jc w:val="center"/>
        <w:rPr>
          <w:rFonts w:hint="eastAsia" w:ascii="宋体" w:hAnsi="宋体" w:cs="宋体"/>
          <w:b/>
          <w:bCs/>
          <w:sz w:val="28"/>
          <w:szCs w:val="28"/>
        </w:rPr>
      </w:pPr>
      <w:r>
        <w:rPr>
          <w:rFonts w:hint="eastAsia" w:ascii="宋体" w:hAnsi="宋体" w:cs="宋体"/>
          <w:b/>
          <w:bCs/>
          <w:sz w:val="28"/>
          <w:szCs w:val="28"/>
        </w:rPr>
        <w:t>商务响应表</w:t>
      </w:r>
    </w:p>
    <w:p w14:paraId="218E41CF">
      <w:pPr>
        <w:spacing w:line="360" w:lineRule="auto"/>
        <w:jc w:val="left"/>
        <w:rPr>
          <w:rFonts w:hint="eastAsia" w:ascii="宋体" w:hAnsi="宋体" w:cs="宋体"/>
          <w:sz w:val="24"/>
          <w:u w:val="single"/>
        </w:rPr>
      </w:pPr>
      <w:r>
        <w:rPr>
          <w:rFonts w:hint="eastAsia" w:ascii="宋体" w:hAnsi="宋体" w:cs="宋体"/>
          <w:sz w:val="24"/>
        </w:rPr>
        <w:t>项目名称：</w:t>
      </w:r>
    </w:p>
    <w:p w14:paraId="697F603D">
      <w:pPr>
        <w:spacing w:line="360" w:lineRule="auto"/>
        <w:jc w:val="left"/>
        <w:rPr>
          <w:rFonts w:hint="eastAsia" w:ascii="宋体" w:hAnsi="宋体" w:cs="宋体"/>
          <w:sz w:val="24"/>
        </w:rPr>
      </w:pPr>
      <w:r>
        <w:rPr>
          <w:rFonts w:hint="eastAsia" w:ascii="宋体" w:hAnsi="宋体" w:cs="宋体"/>
          <w:sz w:val="24"/>
        </w:rPr>
        <w:t>项目编号：</w:t>
      </w:r>
    </w:p>
    <w:tbl>
      <w:tblPr>
        <w:tblStyle w:val="35"/>
        <w:tblW w:w="93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23"/>
        <w:gridCol w:w="2855"/>
        <w:gridCol w:w="1555"/>
        <w:gridCol w:w="2441"/>
      </w:tblGrid>
      <w:tr w14:paraId="14122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23" w:type="dxa"/>
            <w:tcBorders>
              <w:top w:val="single" w:color="auto" w:sz="4" w:space="0"/>
              <w:left w:val="single" w:color="auto" w:sz="4" w:space="0"/>
              <w:bottom w:val="single" w:color="auto" w:sz="4" w:space="0"/>
              <w:right w:val="single" w:color="auto" w:sz="4" w:space="0"/>
            </w:tcBorders>
            <w:vAlign w:val="center"/>
          </w:tcPr>
          <w:p w14:paraId="569BED49">
            <w:pPr>
              <w:spacing w:line="360" w:lineRule="auto"/>
              <w:jc w:val="center"/>
              <w:rPr>
                <w:rFonts w:hint="eastAsia" w:ascii="宋体" w:hAnsi="宋体" w:cs="宋体"/>
                <w:sz w:val="24"/>
              </w:rPr>
            </w:pPr>
            <w:r>
              <w:rPr>
                <w:rFonts w:hint="eastAsia" w:ascii="宋体" w:hAnsi="宋体" w:cs="宋体"/>
                <w:sz w:val="24"/>
              </w:rPr>
              <w:t>项目</w:t>
            </w:r>
          </w:p>
        </w:tc>
        <w:tc>
          <w:tcPr>
            <w:tcW w:w="2855" w:type="dxa"/>
            <w:tcBorders>
              <w:top w:val="single" w:color="auto" w:sz="4" w:space="0"/>
              <w:left w:val="single" w:color="auto" w:sz="4" w:space="0"/>
              <w:bottom w:val="single" w:color="auto" w:sz="4" w:space="0"/>
              <w:right w:val="single" w:color="auto" w:sz="4" w:space="0"/>
            </w:tcBorders>
            <w:vAlign w:val="center"/>
          </w:tcPr>
          <w:p w14:paraId="36EADD4A">
            <w:pPr>
              <w:spacing w:line="360" w:lineRule="auto"/>
              <w:jc w:val="center"/>
              <w:rPr>
                <w:rFonts w:hint="eastAsia" w:ascii="宋体" w:hAnsi="宋体" w:cs="宋体"/>
                <w:sz w:val="24"/>
              </w:rPr>
            </w:pPr>
            <w:r>
              <w:rPr>
                <w:rFonts w:hint="eastAsia" w:ascii="宋体" w:hAnsi="宋体" w:cs="宋体"/>
                <w:sz w:val="24"/>
              </w:rPr>
              <w:t>招标文件要求</w:t>
            </w:r>
          </w:p>
        </w:tc>
        <w:tc>
          <w:tcPr>
            <w:tcW w:w="1555" w:type="dxa"/>
            <w:tcBorders>
              <w:top w:val="single" w:color="auto" w:sz="4" w:space="0"/>
              <w:left w:val="single" w:color="auto" w:sz="4" w:space="0"/>
              <w:bottom w:val="single" w:color="auto" w:sz="4" w:space="0"/>
              <w:right w:val="single" w:color="auto" w:sz="4" w:space="0"/>
            </w:tcBorders>
            <w:vAlign w:val="center"/>
          </w:tcPr>
          <w:p w14:paraId="6B383C91">
            <w:pPr>
              <w:spacing w:line="360" w:lineRule="auto"/>
              <w:jc w:val="center"/>
              <w:rPr>
                <w:rFonts w:hint="eastAsia" w:ascii="宋体" w:hAnsi="宋体" w:cs="宋体"/>
                <w:sz w:val="24"/>
              </w:rPr>
            </w:pPr>
            <w:r>
              <w:rPr>
                <w:rFonts w:hint="eastAsia" w:ascii="宋体" w:hAnsi="宋体" w:cs="宋体"/>
                <w:sz w:val="24"/>
              </w:rPr>
              <w:t>是否响应</w:t>
            </w:r>
          </w:p>
        </w:tc>
        <w:tc>
          <w:tcPr>
            <w:tcW w:w="2441" w:type="dxa"/>
            <w:tcBorders>
              <w:top w:val="single" w:color="auto" w:sz="4" w:space="0"/>
              <w:left w:val="single" w:color="auto" w:sz="4" w:space="0"/>
              <w:bottom w:val="single" w:color="auto" w:sz="4" w:space="0"/>
              <w:right w:val="single" w:color="auto" w:sz="4" w:space="0"/>
            </w:tcBorders>
            <w:vAlign w:val="center"/>
          </w:tcPr>
          <w:p w14:paraId="67787AF6">
            <w:pPr>
              <w:spacing w:line="360" w:lineRule="auto"/>
              <w:jc w:val="center"/>
              <w:rPr>
                <w:rFonts w:hint="eastAsia" w:ascii="宋体" w:hAnsi="宋体" w:cs="宋体"/>
                <w:sz w:val="24"/>
              </w:rPr>
            </w:pPr>
            <w:r>
              <w:rPr>
                <w:rFonts w:hint="eastAsia" w:ascii="宋体" w:hAnsi="宋体" w:cs="宋体"/>
                <w:sz w:val="24"/>
              </w:rPr>
              <w:t>投标人的承诺或说明</w:t>
            </w:r>
          </w:p>
        </w:tc>
      </w:tr>
      <w:tr w14:paraId="2130A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23" w:type="dxa"/>
            <w:tcBorders>
              <w:top w:val="single" w:color="auto" w:sz="4" w:space="0"/>
              <w:left w:val="single" w:color="auto" w:sz="4" w:space="0"/>
              <w:bottom w:val="single" w:color="auto" w:sz="4" w:space="0"/>
              <w:right w:val="single" w:color="auto" w:sz="4" w:space="0"/>
            </w:tcBorders>
            <w:vAlign w:val="center"/>
          </w:tcPr>
          <w:p w14:paraId="182DCBEC">
            <w:pPr>
              <w:spacing w:line="360" w:lineRule="auto"/>
              <w:jc w:val="center"/>
              <w:rPr>
                <w:rFonts w:hint="eastAsia" w:ascii="宋体" w:hAnsi="宋体" w:cs="宋体"/>
                <w:sz w:val="24"/>
              </w:rPr>
            </w:pPr>
          </w:p>
        </w:tc>
        <w:tc>
          <w:tcPr>
            <w:tcW w:w="2855" w:type="dxa"/>
            <w:tcBorders>
              <w:top w:val="single" w:color="auto" w:sz="4" w:space="0"/>
              <w:left w:val="single" w:color="auto" w:sz="4" w:space="0"/>
              <w:bottom w:val="single" w:color="auto" w:sz="4" w:space="0"/>
              <w:right w:val="single" w:color="auto" w:sz="4" w:space="0"/>
            </w:tcBorders>
            <w:vAlign w:val="center"/>
          </w:tcPr>
          <w:p w14:paraId="2FF4D5C2">
            <w:pPr>
              <w:spacing w:line="360" w:lineRule="auto"/>
              <w:jc w:val="center"/>
              <w:rPr>
                <w:rFonts w:hint="eastAsia" w:ascii="宋体" w:hAnsi="宋体" w:cs="宋体"/>
                <w:sz w:val="24"/>
              </w:rPr>
            </w:pPr>
          </w:p>
        </w:tc>
        <w:tc>
          <w:tcPr>
            <w:tcW w:w="1555" w:type="dxa"/>
            <w:tcBorders>
              <w:top w:val="single" w:color="auto" w:sz="4" w:space="0"/>
              <w:left w:val="single" w:color="auto" w:sz="4" w:space="0"/>
              <w:bottom w:val="single" w:color="auto" w:sz="4" w:space="0"/>
              <w:right w:val="single" w:color="auto" w:sz="4" w:space="0"/>
            </w:tcBorders>
            <w:vAlign w:val="center"/>
          </w:tcPr>
          <w:p w14:paraId="5EB92FB8">
            <w:pPr>
              <w:spacing w:line="360" w:lineRule="auto"/>
              <w:jc w:val="center"/>
              <w:rPr>
                <w:rFonts w:hint="eastAsia" w:ascii="宋体" w:hAnsi="宋体" w:cs="宋体"/>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0168812F">
            <w:pPr>
              <w:spacing w:line="360" w:lineRule="auto"/>
              <w:jc w:val="center"/>
              <w:rPr>
                <w:rFonts w:hint="eastAsia" w:ascii="宋体" w:hAnsi="宋体" w:cs="宋体"/>
                <w:sz w:val="24"/>
              </w:rPr>
            </w:pPr>
          </w:p>
        </w:tc>
      </w:tr>
      <w:tr w14:paraId="216E9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23" w:type="dxa"/>
            <w:tcBorders>
              <w:top w:val="single" w:color="auto" w:sz="4" w:space="0"/>
              <w:left w:val="single" w:color="auto" w:sz="4" w:space="0"/>
              <w:bottom w:val="single" w:color="auto" w:sz="4" w:space="0"/>
              <w:right w:val="single" w:color="auto" w:sz="4" w:space="0"/>
            </w:tcBorders>
            <w:vAlign w:val="center"/>
          </w:tcPr>
          <w:p w14:paraId="63364617">
            <w:pPr>
              <w:spacing w:line="360" w:lineRule="auto"/>
              <w:jc w:val="center"/>
              <w:rPr>
                <w:rFonts w:hint="eastAsia" w:ascii="宋体" w:hAnsi="宋体" w:cs="宋体"/>
                <w:sz w:val="24"/>
              </w:rPr>
            </w:pPr>
          </w:p>
        </w:tc>
        <w:tc>
          <w:tcPr>
            <w:tcW w:w="2855" w:type="dxa"/>
            <w:tcBorders>
              <w:top w:val="single" w:color="auto" w:sz="4" w:space="0"/>
              <w:left w:val="single" w:color="auto" w:sz="4" w:space="0"/>
              <w:bottom w:val="single" w:color="auto" w:sz="4" w:space="0"/>
              <w:right w:val="single" w:color="auto" w:sz="4" w:space="0"/>
            </w:tcBorders>
            <w:vAlign w:val="center"/>
          </w:tcPr>
          <w:p w14:paraId="342BC193">
            <w:pPr>
              <w:spacing w:line="360" w:lineRule="auto"/>
              <w:jc w:val="center"/>
              <w:rPr>
                <w:rFonts w:hint="eastAsia" w:ascii="宋体" w:hAnsi="宋体" w:cs="宋体"/>
                <w:sz w:val="24"/>
              </w:rPr>
            </w:pPr>
          </w:p>
        </w:tc>
        <w:tc>
          <w:tcPr>
            <w:tcW w:w="1555" w:type="dxa"/>
            <w:tcBorders>
              <w:top w:val="single" w:color="auto" w:sz="4" w:space="0"/>
              <w:left w:val="single" w:color="auto" w:sz="4" w:space="0"/>
              <w:bottom w:val="single" w:color="auto" w:sz="4" w:space="0"/>
              <w:right w:val="single" w:color="auto" w:sz="4" w:space="0"/>
            </w:tcBorders>
            <w:vAlign w:val="center"/>
          </w:tcPr>
          <w:p w14:paraId="0DAE0510">
            <w:pPr>
              <w:spacing w:line="360" w:lineRule="auto"/>
              <w:ind w:left="43"/>
              <w:jc w:val="center"/>
              <w:rPr>
                <w:rFonts w:hint="eastAsia" w:ascii="宋体" w:hAnsi="宋体" w:cs="宋体"/>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6804F66D">
            <w:pPr>
              <w:spacing w:line="360" w:lineRule="auto"/>
              <w:ind w:left="43"/>
              <w:jc w:val="center"/>
              <w:rPr>
                <w:rFonts w:hint="eastAsia" w:ascii="宋体" w:hAnsi="宋体" w:cs="宋体"/>
                <w:sz w:val="24"/>
              </w:rPr>
            </w:pPr>
          </w:p>
        </w:tc>
      </w:tr>
      <w:tr w14:paraId="663DA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23" w:type="dxa"/>
            <w:tcBorders>
              <w:top w:val="single" w:color="auto" w:sz="4" w:space="0"/>
              <w:left w:val="single" w:color="auto" w:sz="4" w:space="0"/>
              <w:bottom w:val="single" w:color="auto" w:sz="4" w:space="0"/>
              <w:right w:val="single" w:color="auto" w:sz="4" w:space="0"/>
            </w:tcBorders>
            <w:vAlign w:val="center"/>
          </w:tcPr>
          <w:p w14:paraId="2A6E2544">
            <w:pPr>
              <w:spacing w:line="360" w:lineRule="auto"/>
              <w:jc w:val="center"/>
              <w:rPr>
                <w:rFonts w:hint="eastAsia" w:ascii="宋体" w:hAnsi="宋体" w:cs="宋体"/>
                <w:sz w:val="24"/>
              </w:rPr>
            </w:pPr>
            <w:r>
              <w:rPr>
                <w:rFonts w:hint="eastAsia" w:ascii="宋体" w:hAnsi="宋体" w:cs="宋体"/>
                <w:sz w:val="24"/>
              </w:rPr>
              <w:t>…</w:t>
            </w:r>
          </w:p>
        </w:tc>
        <w:tc>
          <w:tcPr>
            <w:tcW w:w="2855" w:type="dxa"/>
            <w:tcBorders>
              <w:top w:val="single" w:color="auto" w:sz="4" w:space="0"/>
              <w:left w:val="single" w:color="auto" w:sz="4" w:space="0"/>
              <w:bottom w:val="single" w:color="auto" w:sz="4" w:space="0"/>
              <w:right w:val="single" w:color="auto" w:sz="4" w:space="0"/>
            </w:tcBorders>
            <w:vAlign w:val="center"/>
          </w:tcPr>
          <w:p w14:paraId="5E985FE4">
            <w:pPr>
              <w:spacing w:line="360" w:lineRule="auto"/>
              <w:jc w:val="center"/>
              <w:rPr>
                <w:rFonts w:hint="eastAsia" w:ascii="宋体" w:hAnsi="宋体" w:cs="宋体"/>
                <w:sz w:val="24"/>
              </w:rPr>
            </w:pPr>
          </w:p>
        </w:tc>
        <w:tc>
          <w:tcPr>
            <w:tcW w:w="1555" w:type="dxa"/>
            <w:tcBorders>
              <w:top w:val="single" w:color="auto" w:sz="4" w:space="0"/>
              <w:left w:val="single" w:color="auto" w:sz="4" w:space="0"/>
              <w:bottom w:val="single" w:color="auto" w:sz="4" w:space="0"/>
              <w:right w:val="single" w:color="auto" w:sz="4" w:space="0"/>
            </w:tcBorders>
            <w:vAlign w:val="center"/>
          </w:tcPr>
          <w:p w14:paraId="16A3A4E4">
            <w:pPr>
              <w:spacing w:line="360" w:lineRule="auto"/>
              <w:jc w:val="center"/>
              <w:rPr>
                <w:rFonts w:hint="eastAsia" w:ascii="宋体" w:hAnsi="宋体" w:cs="宋体"/>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1EF98A5C">
            <w:pPr>
              <w:spacing w:line="360" w:lineRule="auto"/>
              <w:jc w:val="center"/>
              <w:rPr>
                <w:rFonts w:hint="eastAsia" w:ascii="宋体" w:hAnsi="宋体" w:cs="宋体"/>
                <w:sz w:val="24"/>
              </w:rPr>
            </w:pPr>
          </w:p>
        </w:tc>
      </w:tr>
    </w:tbl>
    <w:p w14:paraId="658FA904">
      <w:pPr>
        <w:spacing w:line="360" w:lineRule="auto"/>
        <w:jc w:val="left"/>
        <w:rPr>
          <w:rFonts w:hint="eastAsia" w:ascii="宋体" w:hAnsi="宋体" w:cs="宋体"/>
          <w:b/>
          <w:bCs/>
          <w:sz w:val="24"/>
        </w:rPr>
      </w:pPr>
      <w:bookmarkStart w:id="73" w:name="_Hlk188349374"/>
      <w:r>
        <w:rPr>
          <w:rFonts w:hint="eastAsia" w:ascii="宋体" w:hAnsi="宋体" w:cs="宋体"/>
          <w:b/>
          <w:bCs/>
          <w:sz w:val="24"/>
        </w:rPr>
        <w:t>注：此表根据招标文件第三部分采购需求“一、商务要求”填写。</w:t>
      </w:r>
    </w:p>
    <w:bookmarkEnd w:id="73"/>
    <w:p w14:paraId="5353F836">
      <w:pPr>
        <w:spacing w:line="360" w:lineRule="auto"/>
        <w:jc w:val="left"/>
        <w:rPr>
          <w:rFonts w:hint="eastAsia" w:ascii="宋体" w:hAnsi="宋体" w:cs="宋体"/>
          <w:sz w:val="24"/>
        </w:rPr>
      </w:pPr>
      <w:r>
        <w:rPr>
          <w:rFonts w:hint="eastAsia" w:ascii="宋体" w:hAnsi="宋体" w:cs="宋体"/>
          <w:sz w:val="24"/>
        </w:rPr>
        <w:t xml:space="preserve">投标人全称（公章）： </w:t>
      </w:r>
    </w:p>
    <w:p w14:paraId="57660FD3">
      <w:pPr>
        <w:spacing w:line="360" w:lineRule="auto"/>
        <w:rPr>
          <w:rFonts w:hint="eastAsia" w:ascii="宋体" w:hAnsi="宋体" w:cs="宋体"/>
          <w:sz w:val="24"/>
          <w:u w:val="single"/>
        </w:rPr>
      </w:pPr>
      <w:r>
        <w:rPr>
          <w:rFonts w:hint="eastAsia" w:ascii="宋体" w:hAnsi="宋体" w:cs="宋体"/>
          <w:sz w:val="24"/>
        </w:rPr>
        <w:t>法定代表人或授权代表（签字）：</w:t>
      </w:r>
    </w:p>
    <w:p w14:paraId="0179F430">
      <w:pPr>
        <w:spacing w:line="360" w:lineRule="auto"/>
        <w:jc w:val="left"/>
        <w:rPr>
          <w:rFonts w:hint="eastAsia" w:ascii="宋体" w:hAnsi="宋体" w:cs="宋体"/>
          <w:sz w:val="24"/>
        </w:rPr>
      </w:pPr>
      <w:r>
        <w:rPr>
          <w:rFonts w:hint="eastAsia" w:ascii="宋体" w:hAnsi="宋体" w:cs="宋体"/>
          <w:sz w:val="24"/>
        </w:rPr>
        <w:t>日期：     年   月   日</w:t>
      </w:r>
    </w:p>
    <w:p w14:paraId="3E998372">
      <w:pPr>
        <w:spacing w:line="360" w:lineRule="auto"/>
        <w:jc w:val="left"/>
        <w:rPr>
          <w:rFonts w:hint="eastAsia" w:ascii="宋体" w:hAnsi="宋体" w:cs="宋体"/>
          <w:b/>
          <w:bCs/>
          <w:sz w:val="24"/>
          <w:lang w:val="zh-CN"/>
        </w:rPr>
      </w:pPr>
    </w:p>
    <w:p w14:paraId="22547420">
      <w:pPr>
        <w:spacing w:line="360" w:lineRule="auto"/>
        <w:jc w:val="left"/>
        <w:rPr>
          <w:rFonts w:hint="eastAsia" w:ascii="宋体" w:hAnsi="宋体" w:cs="宋体"/>
          <w:b/>
          <w:bCs/>
          <w:sz w:val="24"/>
          <w:lang w:val="zh-CN"/>
        </w:rPr>
      </w:pPr>
    </w:p>
    <w:p w14:paraId="1CF7A80C">
      <w:pPr>
        <w:spacing w:line="360" w:lineRule="auto"/>
        <w:jc w:val="left"/>
        <w:rPr>
          <w:rFonts w:hint="eastAsia" w:ascii="宋体" w:hAnsi="宋体" w:cs="宋体"/>
          <w:b/>
          <w:bCs/>
          <w:sz w:val="24"/>
          <w:lang w:val="zh-CN"/>
        </w:rPr>
      </w:pPr>
    </w:p>
    <w:p w14:paraId="63F6A594">
      <w:pPr>
        <w:spacing w:line="360" w:lineRule="auto"/>
        <w:jc w:val="left"/>
        <w:rPr>
          <w:rFonts w:hint="eastAsia" w:ascii="宋体" w:hAnsi="宋体" w:cs="宋体"/>
          <w:b/>
          <w:bCs/>
          <w:sz w:val="24"/>
          <w:lang w:val="zh-CN"/>
        </w:rPr>
      </w:pPr>
    </w:p>
    <w:p w14:paraId="083B1B13">
      <w:pPr>
        <w:spacing w:line="360" w:lineRule="auto"/>
        <w:jc w:val="left"/>
        <w:rPr>
          <w:rFonts w:hint="eastAsia" w:ascii="宋体" w:hAnsi="宋体" w:cs="宋体"/>
          <w:b/>
          <w:bCs/>
          <w:sz w:val="24"/>
          <w:lang w:val="zh-CN"/>
        </w:rPr>
      </w:pPr>
    </w:p>
    <w:p w14:paraId="5E8A687D">
      <w:pPr>
        <w:spacing w:line="360" w:lineRule="auto"/>
        <w:jc w:val="left"/>
        <w:rPr>
          <w:rFonts w:hint="eastAsia" w:ascii="宋体" w:hAnsi="宋体" w:cs="宋体"/>
          <w:b/>
          <w:bCs/>
          <w:sz w:val="24"/>
          <w:lang w:val="zh-CN"/>
        </w:rPr>
      </w:pPr>
    </w:p>
    <w:p w14:paraId="7ED77346">
      <w:pPr>
        <w:spacing w:line="360" w:lineRule="auto"/>
        <w:jc w:val="left"/>
        <w:rPr>
          <w:rFonts w:hint="eastAsia" w:ascii="宋体" w:hAnsi="宋体" w:cs="宋体"/>
          <w:b/>
          <w:bCs/>
          <w:sz w:val="24"/>
          <w:lang w:val="zh-CN"/>
        </w:rPr>
      </w:pPr>
    </w:p>
    <w:p w14:paraId="2A6E4BE7">
      <w:pPr>
        <w:spacing w:line="360" w:lineRule="auto"/>
        <w:jc w:val="left"/>
        <w:rPr>
          <w:rFonts w:hint="eastAsia" w:ascii="宋体" w:hAnsi="宋体" w:cs="宋体"/>
          <w:b/>
          <w:bCs/>
          <w:sz w:val="24"/>
          <w:lang w:val="zh-CN"/>
        </w:rPr>
      </w:pPr>
    </w:p>
    <w:p w14:paraId="64629FFA">
      <w:pPr>
        <w:spacing w:line="360" w:lineRule="auto"/>
        <w:jc w:val="left"/>
        <w:rPr>
          <w:rFonts w:hint="eastAsia" w:ascii="宋体" w:hAnsi="宋体" w:cs="宋体"/>
          <w:b/>
          <w:bCs/>
          <w:sz w:val="24"/>
          <w:lang w:val="zh-CN"/>
        </w:rPr>
      </w:pPr>
    </w:p>
    <w:p w14:paraId="36A02977">
      <w:pPr>
        <w:widowControl/>
        <w:jc w:val="left"/>
        <w:rPr>
          <w:rFonts w:hint="eastAsia" w:ascii="宋体" w:hAnsi="宋体" w:cs="宋体"/>
          <w:b/>
          <w:bCs/>
          <w:sz w:val="24"/>
          <w:lang w:val="zh-CN"/>
        </w:rPr>
      </w:pPr>
      <w:r>
        <w:rPr>
          <w:rFonts w:hint="eastAsia" w:ascii="宋体" w:hAnsi="宋体" w:cs="宋体"/>
          <w:b/>
          <w:bCs/>
          <w:sz w:val="24"/>
          <w:lang w:val="zh-CN"/>
        </w:rPr>
        <w:br w:type="page"/>
      </w:r>
    </w:p>
    <w:p w14:paraId="3963866F">
      <w:pPr>
        <w:spacing w:line="360" w:lineRule="auto"/>
        <w:jc w:val="left"/>
        <w:rPr>
          <w:rFonts w:hint="eastAsia" w:ascii="宋体" w:hAnsi="宋体" w:cs="宋体"/>
          <w:b/>
          <w:bCs/>
          <w:sz w:val="24"/>
          <w:lang w:val="zh-CN"/>
        </w:rPr>
      </w:pPr>
    </w:p>
    <w:p w14:paraId="3A291FC0">
      <w:pPr>
        <w:spacing w:line="360" w:lineRule="auto"/>
        <w:jc w:val="center"/>
        <w:rPr>
          <w:rFonts w:hint="eastAsia" w:ascii="宋体" w:hAnsi="宋体" w:cs="宋体"/>
          <w:b/>
          <w:bCs/>
          <w:sz w:val="28"/>
          <w:szCs w:val="28"/>
          <w:lang w:val="zh-CN"/>
        </w:rPr>
      </w:pPr>
      <w:r>
        <w:rPr>
          <w:rFonts w:hint="eastAsia" w:ascii="宋体" w:hAnsi="宋体" w:cs="宋体"/>
          <w:b/>
          <w:bCs/>
          <w:sz w:val="28"/>
          <w:szCs w:val="28"/>
          <w:lang w:val="zh-CN"/>
        </w:rPr>
        <w:t>投标人、投标人法定代表人及本次投标的授权代表违法犯罪情况表</w:t>
      </w:r>
    </w:p>
    <w:p w14:paraId="56B3D0E8">
      <w:pPr>
        <w:spacing w:line="360" w:lineRule="auto"/>
        <w:jc w:val="center"/>
        <w:rPr>
          <w:rFonts w:hint="eastAsia" w:ascii="宋体" w:hAnsi="宋体" w:cs="宋体"/>
          <w:sz w:val="28"/>
          <w:szCs w:val="28"/>
          <w:lang w:val="zh-CN"/>
        </w:rPr>
      </w:pPr>
    </w:p>
    <w:tbl>
      <w:tblPr>
        <w:tblStyle w:val="3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3"/>
        <w:gridCol w:w="6132"/>
      </w:tblGrid>
      <w:tr w14:paraId="5CD1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383" w:type="dxa"/>
            <w:vAlign w:val="center"/>
          </w:tcPr>
          <w:p w14:paraId="4B622B0C">
            <w:pPr>
              <w:spacing w:line="360" w:lineRule="auto"/>
              <w:jc w:val="center"/>
              <w:rPr>
                <w:rFonts w:hint="eastAsia" w:ascii="宋体" w:hAnsi="宋体" w:cs="宋体"/>
                <w:sz w:val="24"/>
                <w:lang w:val="zh-CN"/>
              </w:rPr>
            </w:pPr>
            <w:r>
              <w:rPr>
                <w:rFonts w:hint="eastAsia" w:ascii="宋体" w:hAnsi="宋体" w:cs="宋体"/>
                <w:sz w:val="24"/>
                <w:lang w:val="zh-CN"/>
              </w:rPr>
              <w:t>内容</w:t>
            </w:r>
          </w:p>
        </w:tc>
        <w:tc>
          <w:tcPr>
            <w:tcW w:w="6132" w:type="dxa"/>
            <w:vAlign w:val="center"/>
          </w:tcPr>
          <w:p w14:paraId="101A523D">
            <w:pPr>
              <w:spacing w:line="360" w:lineRule="auto"/>
              <w:jc w:val="center"/>
              <w:rPr>
                <w:rFonts w:hint="eastAsia" w:ascii="宋体" w:hAnsi="宋体" w:cs="宋体"/>
                <w:sz w:val="24"/>
                <w:lang w:val="zh-CN"/>
              </w:rPr>
            </w:pPr>
            <w:r>
              <w:rPr>
                <w:rFonts w:hint="eastAsia" w:ascii="宋体" w:hAnsi="宋体" w:cs="宋体"/>
                <w:sz w:val="24"/>
                <w:lang w:val="zh-CN"/>
              </w:rPr>
              <w:t>投标截止之日前</w:t>
            </w:r>
            <w:r>
              <w:rPr>
                <w:rFonts w:hint="eastAsia" w:ascii="宋体" w:hAnsi="宋体" w:cs="宋体"/>
                <w:sz w:val="24"/>
              </w:rPr>
              <w:t>3</w:t>
            </w:r>
            <w:r>
              <w:rPr>
                <w:rFonts w:hint="eastAsia" w:ascii="宋体" w:hAnsi="宋体" w:cs="宋体"/>
                <w:sz w:val="24"/>
                <w:lang w:val="zh-CN"/>
              </w:rPr>
              <w:t>年内违法犯罪情况</w:t>
            </w:r>
          </w:p>
        </w:tc>
      </w:tr>
      <w:tr w14:paraId="60D0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3383" w:type="dxa"/>
            <w:vAlign w:val="center"/>
          </w:tcPr>
          <w:p w14:paraId="737481E4">
            <w:pPr>
              <w:spacing w:line="360" w:lineRule="auto"/>
              <w:jc w:val="left"/>
              <w:rPr>
                <w:rFonts w:hint="eastAsia" w:ascii="宋体" w:hAnsi="宋体" w:cs="宋体"/>
                <w:sz w:val="24"/>
                <w:lang w:val="zh-CN"/>
              </w:rPr>
            </w:pPr>
            <w:r>
              <w:rPr>
                <w:rFonts w:hint="eastAsia" w:ascii="宋体" w:hAnsi="宋体" w:cs="宋体"/>
                <w:sz w:val="24"/>
                <w:lang w:val="zh-CN"/>
              </w:rPr>
              <w:t>1.投标人违法犯罪记录</w:t>
            </w:r>
          </w:p>
        </w:tc>
        <w:tc>
          <w:tcPr>
            <w:tcW w:w="6132" w:type="dxa"/>
            <w:vAlign w:val="center"/>
          </w:tcPr>
          <w:p w14:paraId="57A7F0E0">
            <w:pPr>
              <w:spacing w:line="360" w:lineRule="auto"/>
              <w:jc w:val="left"/>
              <w:rPr>
                <w:rFonts w:hint="eastAsia" w:ascii="宋体" w:hAnsi="宋体" w:cs="宋体"/>
                <w:sz w:val="24"/>
                <w:lang w:val="zh-CN"/>
              </w:rPr>
            </w:pPr>
            <w:r>
              <w:rPr>
                <w:rFonts w:hint="eastAsia" w:ascii="宋体" w:hAnsi="宋体" w:cs="宋体"/>
                <w:sz w:val="24"/>
                <w:lang w:val="zh-CN"/>
              </w:rPr>
              <w:t>投标人                           无违法犯罪记录。</w:t>
            </w:r>
          </w:p>
        </w:tc>
      </w:tr>
      <w:tr w14:paraId="1732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3383" w:type="dxa"/>
            <w:vAlign w:val="center"/>
          </w:tcPr>
          <w:p w14:paraId="41B0B2AF">
            <w:pPr>
              <w:spacing w:line="360" w:lineRule="auto"/>
              <w:jc w:val="left"/>
              <w:rPr>
                <w:rFonts w:hint="eastAsia" w:ascii="宋体" w:hAnsi="宋体" w:cs="宋体"/>
                <w:sz w:val="24"/>
                <w:lang w:val="zh-CN"/>
              </w:rPr>
            </w:pPr>
            <w:r>
              <w:rPr>
                <w:rFonts w:hint="eastAsia" w:ascii="宋体" w:hAnsi="宋体" w:cs="宋体"/>
                <w:sz w:val="24"/>
                <w:lang w:val="zh-CN"/>
              </w:rPr>
              <w:t>2.投标人法定代表人违法犯罪记录</w:t>
            </w:r>
          </w:p>
        </w:tc>
        <w:tc>
          <w:tcPr>
            <w:tcW w:w="6132" w:type="dxa"/>
            <w:vAlign w:val="center"/>
          </w:tcPr>
          <w:p w14:paraId="32C3A8E2">
            <w:pPr>
              <w:spacing w:line="360" w:lineRule="auto"/>
              <w:jc w:val="left"/>
              <w:rPr>
                <w:rFonts w:hint="eastAsia" w:ascii="宋体" w:hAnsi="宋体" w:cs="宋体"/>
                <w:sz w:val="24"/>
                <w:lang w:val="zh-CN"/>
              </w:rPr>
            </w:pPr>
            <w:r>
              <w:rPr>
                <w:rFonts w:hint="eastAsia" w:ascii="宋体" w:hAnsi="宋体" w:cs="宋体"/>
                <w:sz w:val="24"/>
                <w:lang w:val="zh-CN"/>
              </w:rPr>
              <w:t>投标人法定代表人（姓名：     、身份证号码：        ）无违法犯罪记录。</w:t>
            </w:r>
          </w:p>
        </w:tc>
      </w:tr>
      <w:tr w14:paraId="0D71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3383" w:type="dxa"/>
            <w:vAlign w:val="center"/>
          </w:tcPr>
          <w:p w14:paraId="11143110">
            <w:pPr>
              <w:spacing w:line="360" w:lineRule="auto"/>
              <w:jc w:val="left"/>
              <w:rPr>
                <w:rFonts w:hint="eastAsia" w:ascii="宋体" w:hAnsi="宋体" w:cs="宋体"/>
                <w:sz w:val="24"/>
                <w:lang w:val="zh-CN"/>
              </w:rPr>
            </w:pPr>
            <w:r>
              <w:rPr>
                <w:rFonts w:hint="eastAsia" w:ascii="宋体" w:hAnsi="宋体" w:cs="宋体"/>
                <w:sz w:val="24"/>
                <w:lang w:val="zh-CN"/>
              </w:rPr>
              <w:t>3.本次投标授权代表违法犯罪记录</w:t>
            </w:r>
          </w:p>
        </w:tc>
        <w:tc>
          <w:tcPr>
            <w:tcW w:w="6132" w:type="dxa"/>
            <w:vAlign w:val="center"/>
          </w:tcPr>
          <w:p w14:paraId="4EAAE71D">
            <w:pPr>
              <w:spacing w:line="360" w:lineRule="auto"/>
              <w:jc w:val="left"/>
              <w:rPr>
                <w:rFonts w:hint="eastAsia" w:ascii="宋体" w:hAnsi="宋体" w:cs="宋体"/>
                <w:sz w:val="24"/>
                <w:lang w:val="zh-CN"/>
              </w:rPr>
            </w:pPr>
            <w:r>
              <w:rPr>
                <w:rFonts w:hint="eastAsia" w:ascii="宋体" w:hAnsi="宋体" w:cs="宋体"/>
                <w:sz w:val="24"/>
                <w:lang w:val="zh-CN"/>
              </w:rPr>
              <w:t>本次投标授权代表（姓名：       、身份证号码：       ）无违法犯罪记录。</w:t>
            </w:r>
          </w:p>
        </w:tc>
      </w:tr>
    </w:tbl>
    <w:p w14:paraId="46448BC6">
      <w:pPr>
        <w:spacing w:line="360" w:lineRule="auto"/>
        <w:jc w:val="left"/>
        <w:rPr>
          <w:rFonts w:hint="eastAsia" w:ascii="宋体" w:hAnsi="宋体" w:cs="宋体"/>
          <w:sz w:val="24"/>
          <w:lang w:val="zh-CN"/>
        </w:rPr>
      </w:pPr>
      <w:r>
        <w:rPr>
          <w:rFonts w:hint="eastAsia" w:ascii="宋体" w:hAnsi="宋体" w:cs="宋体"/>
          <w:sz w:val="24"/>
          <w:lang w:val="zh-CN"/>
        </w:rPr>
        <w:t>注：若中标人经违法犯罪档案查询存在违法犯罪记录的，投标文件将被视为无效，取消中标资格。</w:t>
      </w:r>
    </w:p>
    <w:p w14:paraId="4EB2FD46">
      <w:pPr>
        <w:spacing w:line="360" w:lineRule="auto"/>
        <w:jc w:val="left"/>
        <w:rPr>
          <w:rFonts w:hint="eastAsia" w:ascii="宋体" w:hAnsi="宋体" w:cs="宋体"/>
          <w:sz w:val="24"/>
          <w:lang w:val="zh-CN"/>
        </w:rPr>
      </w:pPr>
      <w:r>
        <w:rPr>
          <w:rFonts w:hint="eastAsia" w:ascii="宋体" w:hAnsi="宋体" w:cs="宋体"/>
          <w:sz w:val="24"/>
          <w:lang w:val="zh-CN"/>
        </w:rPr>
        <w:t xml:space="preserve">投标人全称（公章）：                  </w:t>
      </w:r>
    </w:p>
    <w:p w14:paraId="43AB582C">
      <w:pPr>
        <w:spacing w:line="360" w:lineRule="auto"/>
        <w:jc w:val="left"/>
        <w:rPr>
          <w:rFonts w:hint="eastAsia" w:ascii="宋体" w:hAnsi="宋体" w:cs="宋体"/>
          <w:sz w:val="24"/>
          <w:lang w:val="zh-CN"/>
        </w:rPr>
      </w:pPr>
      <w:r>
        <w:rPr>
          <w:rFonts w:hint="eastAsia" w:ascii="宋体" w:hAnsi="宋体" w:cs="宋体"/>
          <w:sz w:val="24"/>
          <w:lang w:val="zh-CN"/>
        </w:rPr>
        <w:t>法定代表人或授权代表（签字）：</w:t>
      </w:r>
    </w:p>
    <w:p w14:paraId="1F625F7C">
      <w:pPr>
        <w:spacing w:line="360" w:lineRule="auto"/>
        <w:jc w:val="left"/>
        <w:rPr>
          <w:rFonts w:hint="eastAsia" w:ascii="宋体" w:hAnsi="宋体" w:cs="宋体"/>
          <w:kern w:val="0"/>
          <w:sz w:val="24"/>
          <w:lang w:val="zh-CN"/>
        </w:rPr>
      </w:pPr>
      <w:r>
        <w:rPr>
          <w:rFonts w:hint="eastAsia" w:ascii="宋体" w:hAnsi="宋体" w:cs="宋体"/>
          <w:sz w:val="24"/>
          <w:lang w:val="zh-CN"/>
        </w:rPr>
        <w:t>日期：     年    月    日</w:t>
      </w:r>
    </w:p>
    <w:p w14:paraId="1BF5E72C">
      <w:pPr>
        <w:spacing w:line="360" w:lineRule="auto"/>
        <w:jc w:val="left"/>
        <w:rPr>
          <w:rFonts w:hint="eastAsia" w:ascii="宋体" w:hAnsi="宋体" w:cs="宋体"/>
          <w:kern w:val="0"/>
          <w:sz w:val="24"/>
          <w:lang w:val="zh-CN"/>
        </w:rPr>
      </w:pPr>
    </w:p>
    <w:p w14:paraId="43B255A1">
      <w:pPr>
        <w:spacing w:line="360" w:lineRule="auto"/>
        <w:jc w:val="left"/>
        <w:rPr>
          <w:rFonts w:hint="eastAsia" w:ascii="宋体" w:hAnsi="宋体" w:cs="宋体"/>
          <w:b/>
          <w:bCs/>
          <w:kern w:val="0"/>
          <w:sz w:val="24"/>
          <w:lang w:val="zh-CN"/>
        </w:rPr>
      </w:pPr>
    </w:p>
    <w:p w14:paraId="2B8BE8BE">
      <w:pPr>
        <w:spacing w:line="360" w:lineRule="auto"/>
        <w:jc w:val="left"/>
        <w:rPr>
          <w:rFonts w:hint="eastAsia" w:ascii="宋体" w:hAnsi="宋体" w:cs="宋体"/>
          <w:b/>
          <w:bCs/>
          <w:kern w:val="0"/>
          <w:sz w:val="24"/>
          <w:lang w:val="zh-CN"/>
        </w:rPr>
      </w:pPr>
    </w:p>
    <w:p w14:paraId="316C800A">
      <w:pPr>
        <w:spacing w:line="360" w:lineRule="auto"/>
        <w:jc w:val="left"/>
        <w:rPr>
          <w:rFonts w:hint="eastAsia" w:ascii="宋体" w:hAnsi="宋体" w:cs="宋体"/>
          <w:sz w:val="24"/>
        </w:rPr>
      </w:pPr>
    </w:p>
    <w:p w14:paraId="2A78D042">
      <w:pPr>
        <w:widowControl/>
        <w:jc w:val="left"/>
        <w:rPr>
          <w:rFonts w:hint="eastAsia" w:ascii="宋体" w:hAnsi="宋体" w:cs="宋体"/>
          <w:b/>
          <w:bCs/>
          <w:sz w:val="24"/>
          <w:lang w:val="zh-CN"/>
        </w:rPr>
      </w:pPr>
      <w:r>
        <w:rPr>
          <w:rFonts w:hint="eastAsia" w:ascii="宋体" w:hAnsi="宋体" w:cs="宋体"/>
          <w:b/>
          <w:bCs/>
          <w:sz w:val="24"/>
          <w:lang w:val="zh-CN"/>
        </w:rPr>
        <w:br w:type="page"/>
      </w:r>
    </w:p>
    <w:p w14:paraId="77DA3888">
      <w:pPr>
        <w:spacing w:line="360" w:lineRule="auto"/>
        <w:jc w:val="center"/>
        <w:rPr>
          <w:rFonts w:hint="eastAsia" w:ascii="宋体" w:hAnsi="宋体" w:cs="宋体"/>
          <w:b/>
          <w:bCs/>
          <w:sz w:val="28"/>
          <w:szCs w:val="28"/>
        </w:rPr>
      </w:pPr>
      <w:r>
        <w:rPr>
          <w:rFonts w:hint="eastAsia" w:ascii="宋体" w:hAnsi="宋体" w:cs="宋体"/>
          <w:b/>
          <w:bCs/>
          <w:sz w:val="28"/>
          <w:szCs w:val="28"/>
        </w:rPr>
        <w:t>技术偏离表</w:t>
      </w:r>
    </w:p>
    <w:p w14:paraId="09B7C154">
      <w:pPr>
        <w:spacing w:line="360" w:lineRule="auto"/>
        <w:rPr>
          <w:rFonts w:hint="eastAsia" w:ascii="宋体" w:hAnsi="宋体" w:cs="宋体"/>
          <w:sz w:val="24"/>
        </w:rPr>
      </w:pPr>
    </w:p>
    <w:p w14:paraId="69807A2C">
      <w:pPr>
        <w:spacing w:line="360" w:lineRule="auto"/>
        <w:rPr>
          <w:rFonts w:hint="eastAsia" w:ascii="宋体" w:hAnsi="宋体" w:cs="宋体"/>
          <w:sz w:val="24"/>
          <w:u w:val="single"/>
        </w:rPr>
      </w:pPr>
      <w:r>
        <w:rPr>
          <w:rFonts w:hint="eastAsia" w:ascii="宋体" w:hAnsi="宋体" w:cs="宋体"/>
          <w:sz w:val="24"/>
        </w:rPr>
        <w:t>项目名称：</w:t>
      </w:r>
    </w:p>
    <w:p w14:paraId="00DBCED8">
      <w:pPr>
        <w:spacing w:line="360" w:lineRule="auto"/>
        <w:rPr>
          <w:rFonts w:hint="eastAsia" w:ascii="宋体" w:hAnsi="宋体" w:cs="宋体"/>
          <w:sz w:val="24"/>
        </w:rPr>
      </w:pPr>
      <w:r>
        <w:rPr>
          <w:rFonts w:hint="eastAsia" w:ascii="宋体" w:hAnsi="宋体" w:cs="宋体"/>
          <w:sz w:val="24"/>
        </w:rPr>
        <w:t>项目编号：</w:t>
      </w:r>
    </w:p>
    <w:p w14:paraId="0B9AD451">
      <w:pPr>
        <w:spacing w:line="360" w:lineRule="auto"/>
        <w:rPr>
          <w:rFonts w:hint="eastAsia" w:ascii="宋体" w:hAnsi="宋体" w:cs="宋体"/>
          <w:sz w:val="24"/>
        </w:rPr>
      </w:pPr>
      <w:r>
        <w:rPr>
          <w:rFonts w:hint="eastAsia" w:ascii="宋体" w:hAnsi="宋体" w:cs="宋体"/>
          <w:sz w:val="24"/>
        </w:rPr>
        <w:t>标  项  ：</w:t>
      </w:r>
    </w:p>
    <w:tbl>
      <w:tblPr>
        <w:tblStyle w:val="35"/>
        <w:tblW w:w="9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4"/>
        <w:gridCol w:w="2288"/>
        <w:gridCol w:w="2132"/>
        <w:gridCol w:w="1696"/>
        <w:gridCol w:w="1566"/>
      </w:tblGrid>
      <w:tr w14:paraId="46FCF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vAlign w:val="center"/>
          </w:tcPr>
          <w:p w14:paraId="4DCFE278">
            <w:pPr>
              <w:spacing w:line="360" w:lineRule="auto"/>
              <w:jc w:val="center"/>
              <w:rPr>
                <w:rFonts w:hint="eastAsia" w:ascii="宋体" w:hAnsi="宋体" w:cs="宋体"/>
                <w:sz w:val="24"/>
              </w:rPr>
            </w:pPr>
            <w:r>
              <w:rPr>
                <w:rFonts w:hint="eastAsia" w:ascii="宋体" w:hAnsi="宋体" w:cs="宋体"/>
                <w:sz w:val="24"/>
              </w:rPr>
              <w:t>名称</w:t>
            </w:r>
          </w:p>
        </w:tc>
        <w:tc>
          <w:tcPr>
            <w:tcW w:w="2288" w:type="dxa"/>
            <w:tcBorders>
              <w:top w:val="single" w:color="auto" w:sz="4" w:space="0"/>
              <w:left w:val="single" w:color="auto" w:sz="4" w:space="0"/>
              <w:bottom w:val="single" w:color="auto" w:sz="4" w:space="0"/>
              <w:right w:val="single" w:color="auto" w:sz="4" w:space="0"/>
            </w:tcBorders>
            <w:vAlign w:val="center"/>
          </w:tcPr>
          <w:p w14:paraId="3B300008">
            <w:pPr>
              <w:spacing w:line="360" w:lineRule="auto"/>
              <w:jc w:val="center"/>
              <w:rPr>
                <w:rFonts w:hint="eastAsia" w:ascii="宋体" w:hAnsi="宋体" w:cs="宋体"/>
                <w:sz w:val="24"/>
              </w:rPr>
            </w:pPr>
            <w:r>
              <w:rPr>
                <w:rFonts w:hint="eastAsia" w:ascii="宋体" w:hAnsi="宋体" w:cs="宋体"/>
                <w:sz w:val="24"/>
              </w:rPr>
              <w:t>招标文件要求</w:t>
            </w:r>
          </w:p>
        </w:tc>
        <w:tc>
          <w:tcPr>
            <w:tcW w:w="2132" w:type="dxa"/>
            <w:tcBorders>
              <w:top w:val="single" w:color="auto" w:sz="4" w:space="0"/>
              <w:left w:val="single" w:color="auto" w:sz="4" w:space="0"/>
              <w:bottom w:val="single" w:color="auto" w:sz="4" w:space="0"/>
              <w:right w:val="single" w:color="auto" w:sz="4" w:space="0"/>
            </w:tcBorders>
            <w:vAlign w:val="center"/>
          </w:tcPr>
          <w:p w14:paraId="3B7DFA63">
            <w:pPr>
              <w:spacing w:line="360" w:lineRule="auto"/>
              <w:jc w:val="center"/>
              <w:rPr>
                <w:rFonts w:hint="eastAsia" w:ascii="宋体" w:hAnsi="宋体" w:cs="宋体"/>
                <w:sz w:val="24"/>
              </w:rPr>
            </w:pPr>
            <w:r>
              <w:rPr>
                <w:rFonts w:hint="eastAsia" w:ascii="宋体" w:hAnsi="宋体" w:cs="宋体"/>
                <w:sz w:val="24"/>
              </w:rPr>
              <w:t>投标文件响应</w:t>
            </w:r>
          </w:p>
        </w:tc>
        <w:tc>
          <w:tcPr>
            <w:tcW w:w="1696" w:type="dxa"/>
            <w:tcBorders>
              <w:top w:val="single" w:color="auto" w:sz="4" w:space="0"/>
              <w:left w:val="single" w:color="auto" w:sz="4" w:space="0"/>
              <w:bottom w:val="single" w:color="auto" w:sz="4" w:space="0"/>
              <w:right w:val="single" w:color="auto" w:sz="4" w:space="0"/>
            </w:tcBorders>
            <w:vAlign w:val="center"/>
          </w:tcPr>
          <w:p w14:paraId="6AFB8CBE">
            <w:pPr>
              <w:spacing w:line="360" w:lineRule="auto"/>
              <w:jc w:val="center"/>
              <w:rPr>
                <w:rFonts w:hint="eastAsia" w:ascii="宋体" w:hAnsi="宋体" w:cs="宋体"/>
                <w:sz w:val="24"/>
              </w:rPr>
            </w:pPr>
            <w:r>
              <w:rPr>
                <w:rFonts w:hint="eastAsia" w:ascii="宋体" w:hAnsi="宋体" w:cs="宋体"/>
                <w:sz w:val="24"/>
              </w:rPr>
              <w:t>偏离情况</w:t>
            </w:r>
          </w:p>
        </w:tc>
        <w:tc>
          <w:tcPr>
            <w:tcW w:w="1566" w:type="dxa"/>
            <w:tcBorders>
              <w:top w:val="single" w:color="auto" w:sz="4" w:space="0"/>
              <w:left w:val="single" w:color="auto" w:sz="4" w:space="0"/>
              <w:bottom w:val="single" w:color="auto" w:sz="4" w:space="0"/>
              <w:right w:val="single" w:color="auto" w:sz="4" w:space="0"/>
            </w:tcBorders>
            <w:vAlign w:val="center"/>
          </w:tcPr>
          <w:p w14:paraId="4F533AA0">
            <w:pPr>
              <w:spacing w:line="360" w:lineRule="auto"/>
              <w:jc w:val="center"/>
              <w:rPr>
                <w:rFonts w:hint="eastAsia" w:ascii="宋体" w:hAnsi="宋体" w:cs="宋体"/>
                <w:sz w:val="24"/>
              </w:rPr>
            </w:pPr>
            <w:r>
              <w:rPr>
                <w:rFonts w:hint="eastAsia" w:ascii="宋体" w:hAnsi="宋体" w:cs="宋体"/>
                <w:sz w:val="24"/>
              </w:rPr>
              <w:t>说明</w:t>
            </w:r>
          </w:p>
        </w:tc>
      </w:tr>
      <w:tr w14:paraId="66A29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tcPr>
          <w:p w14:paraId="70CF723A">
            <w:pPr>
              <w:spacing w:line="360" w:lineRule="auto"/>
              <w:jc w:val="center"/>
              <w:rPr>
                <w:rFonts w:hint="eastAsia" w:ascii="宋体" w:hAnsi="宋体" w:cs="宋体"/>
                <w:sz w:val="24"/>
              </w:rPr>
            </w:pPr>
          </w:p>
        </w:tc>
        <w:tc>
          <w:tcPr>
            <w:tcW w:w="2288" w:type="dxa"/>
            <w:tcBorders>
              <w:top w:val="single" w:color="auto" w:sz="4" w:space="0"/>
              <w:left w:val="single" w:color="auto" w:sz="4" w:space="0"/>
              <w:bottom w:val="single" w:color="auto" w:sz="4" w:space="0"/>
              <w:right w:val="single" w:color="auto" w:sz="4" w:space="0"/>
            </w:tcBorders>
          </w:tcPr>
          <w:p w14:paraId="615DFDC0">
            <w:pPr>
              <w:spacing w:line="360" w:lineRule="auto"/>
              <w:jc w:val="center"/>
              <w:rPr>
                <w:rFonts w:hint="eastAsia"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6DDC9121">
            <w:pPr>
              <w:spacing w:line="360" w:lineRule="auto"/>
              <w:jc w:val="center"/>
              <w:rPr>
                <w:rFonts w:hint="eastAsia"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41B88BC9">
            <w:pPr>
              <w:spacing w:line="360" w:lineRule="auto"/>
              <w:jc w:val="center"/>
              <w:rPr>
                <w:rFonts w:hint="eastAsia"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5FD76DF7">
            <w:pPr>
              <w:spacing w:line="360" w:lineRule="auto"/>
              <w:jc w:val="center"/>
              <w:rPr>
                <w:rFonts w:hint="eastAsia" w:ascii="宋体" w:hAnsi="宋体" w:cs="宋体"/>
                <w:sz w:val="24"/>
              </w:rPr>
            </w:pPr>
          </w:p>
        </w:tc>
      </w:tr>
      <w:tr w14:paraId="18CB2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tcPr>
          <w:p w14:paraId="06547B0B">
            <w:pPr>
              <w:spacing w:line="360" w:lineRule="auto"/>
              <w:jc w:val="center"/>
              <w:rPr>
                <w:rFonts w:hint="eastAsia" w:ascii="宋体" w:hAnsi="宋体" w:cs="宋体"/>
                <w:sz w:val="24"/>
              </w:rPr>
            </w:pPr>
          </w:p>
        </w:tc>
        <w:tc>
          <w:tcPr>
            <w:tcW w:w="2288" w:type="dxa"/>
            <w:tcBorders>
              <w:top w:val="single" w:color="auto" w:sz="4" w:space="0"/>
              <w:left w:val="single" w:color="auto" w:sz="4" w:space="0"/>
              <w:bottom w:val="single" w:color="auto" w:sz="4" w:space="0"/>
              <w:right w:val="single" w:color="auto" w:sz="4" w:space="0"/>
            </w:tcBorders>
          </w:tcPr>
          <w:p w14:paraId="72011821">
            <w:pPr>
              <w:spacing w:line="360" w:lineRule="auto"/>
              <w:jc w:val="center"/>
              <w:rPr>
                <w:rFonts w:hint="eastAsia"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2F07A09A">
            <w:pPr>
              <w:spacing w:line="360" w:lineRule="auto"/>
              <w:jc w:val="center"/>
              <w:rPr>
                <w:rFonts w:hint="eastAsia"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52A8FC1A">
            <w:pPr>
              <w:spacing w:line="360" w:lineRule="auto"/>
              <w:jc w:val="center"/>
              <w:rPr>
                <w:rFonts w:hint="eastAsia"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37DC4837">
            <w:pPr>
              <w:spacing w:line="360" w:lineRule="auto"/>
              <w:jc w:val="center"/>
              <w:rPr>
                <w:rFonts w:hint="eastAsia" w:ascii="宋体" w:hAnsi="宋体" w:cs="宋体"/>
                <w:sz w:val="24"/>
              </w:rPr>
            </w:pPr>
          </w:p>
        </w:tc>
      </w:tr>
      <w:tr w14:paraId="16C80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tcPr>
          <w:p w14:paraId="449098AC">
            <w:pPr>
              <w:spacing w:line="360" w:lineRule="auto"/>
              <w:jc w:val="center"/>
              <w:rPr>
                <w:rFonts w:hint="eastAsia" w:ascii="宋体" w:hAnsi="宋体" w:cs="宋体"/>
                <w:sz w:val="24"/>
              </w:rPr>
            </w:pPr>
          </w:p>
        </w:tc>
        <w:tc>
          <w:tcPr>
            <w:tcW w:w="2288" w:type="dxa"/>
            <w:tcBorders>
              <w:top w:val="single" w:color="auto" w:sz="4" w:space="0"/>
              <w:left w:val="single" w:color="auto" w:sz="4" w:space="0"/>
              <w:bottom w:val="single" w:color="auto" w:sz="4" w:space="0"/>
              <w:right w:val="single" w:color="auto" w:sz="4" w:space="0"/>
            </w:tcBorders>
          </w:tcPr>
          <w:p w14:paraId="7A3DE3B6">
            <w:pPr>
              <w:spacing w:line="360" w:lineRule="auto"/>
              <w:jc w:val="center"/>
              <w:rPr>
                <w:rFonts w:hint="eastAsia"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3355A62B">
            <w:pPr>
              <w:spacing w:line="360" w:lineRule="auto"/>
              <w:jc w:val="center"/>
              <w:rPr>
                <w:rFonts w:hint="eastAsia"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77D48C92">
            <w:pPr>
              <w:spacing w:line="360" w:lineRule="auto"/>
              <w:jc w:val="center"/>
              <w:rPr>
                <w:rFonts w:hint="eastAsia"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3021ABC9">
            <w:pPr>
              <w:spacing w:line="360" w:lineRule="auto"/>
              <w:jc w:val="center"/>
              <w:rPr>
                <w:rFonts w:hint="eastAsia" w:ascii="宋体" w:hAnsi="宋体" w:cs="宋体"/>
                <w:sz w:val="24"/>
              </w:rPr>
            </w:pPr>
          </w:p>
        </w:tc>
      </w:tr>
      <w:tr w14:paraId="67FFF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tcPr>
          <w:p w14:paraId="123A47C6">
            <w:pPr>
              <w:spacing w:line="360" w:lineRule="auto"/>
              <w:jc w:val="center"/>
              <w:rPr>
                <w:rFonts w:hint="eastAsia" w:ascii="宋体" w:hAnsi="宋体" w:cs="宋体"/>
                <w:sz w:val="24"/>
              </w:rPr>
            </w:pPr>
          </w:p>
        </w:tc>
        <w:tc>
          <w:tcPr>
            <w:tcW w:w="2288" w:type="dxa"/>
            <w:tcBorders>
              <w:top w:val="single" w:color="auto" w:sz="4" w:space="0"/>
              <w:left w:val="single" w:color="auto" w:sz="4" w:space="0"/>
              <w:bottom w:val="single" w:color="auto" w:sz="4" w:space="0"/>
              <w:right w:val="single" w:color="auto" w:sz="4" w:space="0"/>
            </w:tcBorders>
          </w:tcPr>
          <w:p w14:paraId="60E03259">
            <w:pPr>
              <w:spacing w:line="360" w:lineRule="auto"/>
              <w:jc w:val="center"/>
              <w:rPr>
                <w:rFonts w:hint="eastAsia"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13F85BBF">
            <w:pPr>
              <w:spacing w:line="360" w:lineRule="auto"/>
              <w:jc w:val="center"/>
              <w:rPr>
                <w:rFonts w:hint="eastAsia"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39E478F1">
            <w:pPr>
              <w:spacing w:line="360" w:lineRule="auto"/>
              <w:jc w:val="center"/>
              <w:rPr>
                <w:rFonts w:hint="eastAsia"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0D008521">
            <w:pPr>
              <w:spacing w:line="360" w:lineRule="auto"/>
              <w:jc w:val="center"/>
              <w:rPr>
                <w:rFonts w:hint="eastAsia" w:ascii="宋体" w:hAnsi="宋体" w:cs="宋体"/>
                <w:sz w:val="24"/>
              </w:rPr>
            </w:pPr>
          </w:p>
        </w:tc>
      </w:tr>
      <w:tr w14:paraId="21D84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tcPr>
          <w:p w14:paraId="610F4B5E">
            <w:pPr>
              <w:spacing w:line="360" w:lineRule="auto"/>
              <w:jc w:val="center"/>
              <w:rPr>
                <w:rFonts w:hint="eastAsia" w:ascii="宋体" w:hAnsi="宋体" w:cs="宋体"/>
                <w:sz w:val="24"/>
              </w:rPr>
            </w:pPr>
          </w:p>
        </w:tc>
        <w:tc>
          <w:tcPr>
            <w:tcW w:w="2288" w:type="dxa"/>
            <w:tcBorders>
              <w:top w:val="single" w:color="auto" w:sz="4" w:space="0"/>
              <w:left w:val="single" w:color="auto" w:sz="4" w:space="0"/>
              <w:bottom w:val="single" w:color="auto" w:sz="4" w:space="0"/>
              <w:right w:val="single" w:color="auto" w:sz="4" w:space="0"/>
            </w:tcBorders>
          </w:tcPr>
          <w:p w14:paraId="22CB3CC7">
            <w:pPr>
              <w:spacing w:line="360" w:lineRule="auto"/>
              <w:jc w:val="center"/>
              <w:rPr>
                <w:rFonts w:hint="eastAsia"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69E759C9">
            <w:pPr>
              <w:spacing w:line="360" w:lineRule="auto"/>
              <w:jc w:val="center"/>
              <w:rPr>
                <w:rFonts w:hint="eastAsia"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6B6C5666">
            <w:pPr>
              <w:spacing w:line="360" w:lineRule="auto"/>
              <w:jc w:val="center"/>
              <w:rPr>
                <w:rFonts w:hint="eastAsia"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363B73DA">
            <w:pPr>
              <w:spacing w:line="360" w:lineRule="auto"/>
              <w:jc w:val="center"/>
              <w:rPr>
                <w:rFonts w:hint="eastAsia" w:ascii="宋体" w:hAnsi="宋体" w:cs="宋体"/>
                <w:sz w:val="24"/>
              </w:rPr>
            </w:pPr>
          </w:p>
        </w:tc>
      </w:tr>
      <w:tr w14:paraId="0CED9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tcPr>
          <w:p w14:paraId="006E5804">
            <w:pPr>
              <w:spacing w:line="360" w:lineRule="auto"/>
              <w:jc w:val="center"/>
              <w:rPr>
                <w:rFonts w:hint="eastAsia" w:ascii="宋体" w:hAnsi="宋体" w:cs="宋体"/>
                <w:sz w:val="24"/>
              </w:rPr>
            </w:pPr>
          </w:p>
        </w:tc>
        <w:tc>
          <w:tcPr>
            <w:tcW w:w="2288" w:type="dxa"/>
            <w:tcBorders>
              <w:top w:val="single" w:color="auto" w:sz="4" w:space="0"/>
              <w:left w:val="single" w:color="auto" w:sz="4" w:space="0"/>
              <w:bottom w:val="single" w:color="auto" w:sz="4" w:space="0"/>
              <w:right w:val="single" w:color="auto" w:sz="4" w:space="0"/>
            </w:tcBorders>
          </w:tcPr>
          <w:p w14:paraId="24334B60">
            <w:pPr>
              <w:spacing w:line="360" w:lineRule="auto"/>
              <w:jc w:val="center"/>
              <w:rPr>
                <w:rFonts w:hint="eastAsia"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5EDF6503">
            <w:pPr>
              <w:spacing w:line="360" w:lineRule="auto"/>
              <w:jc w:val="center"/>
              <w:rPr>
                <w:rFonts w:hint="eastAsia"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3B32FFD7">
            <w:pPr>
              <w:spacing w:line="360" w:lineRule="auto"/>
              <w:jc w:val="center"/>
              <w:rPr>
                <w:rFonts w:hint="eastAsia"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2E8DB1E0">
            <w:pPr>
              <w:spacing w:line="360" w:lineRule="auto"/>
              <w:jc w:val="center"/>
              <w:rPr>
                <w:rFonts w:hint="eastAsia" w:ascii="宋体" w:hAnsi="宋体" w:cs="宋体"/>
                <w:sz w:val="24"/>
              </w:rPr>
            </w:pPr>
          </w:p>
        </w:tc>
      </w:tr>
    </w:tbl>
    <w:p w14:paraId="12F5535E">
      <w:pPr>
        <w:spacing w:line="360" w:lineRule="auto"/>
        <w:rPr>
          <w:rFonts w:hint="eastAsia" w:ascii="宋体" w:hAnsi="宋体" w:cs="宋体"/>
          <w:spacing w:val="20"/>
          <w:sz w:val="24"/>
        </w:rPr>
      </w:pPr>
      <w:r>
        <w:rPr>
          <w:rFonts w:hint="eastAsia" w:ascii="宋体" w:hAnsi="宋体" w:cs="宋体"/>
          <w:sz w:val="24"/>
        </w:rPr>
        <w:t>注：供应商应根据投标设备的性能指标、对照招标文件要求在“偏离情况”栏注明“正偏离”、“负偏离”或“无偏离”。</w:t>
      </w:r>
    </w:p>
    <w:p w14:paraId="688BFC03">
      <w:pPr>
        <w:spacing w:line="360" w:lineRule="auto"/>
        <w:jc w:val="left"/>
        <w:rPr>
          <w:rFonts w:hint="eastAsia" w:ascii="宋体" w:hAnsi="宋体" w:cs="宋体"/>
          <w:sz w:val="24"/>
        </w:rPr>
      </w:pPr>
    </w:p>
    <w:p w14:paraId="5D4FE823">
      <w:pPr>
        <w:spacing w:line="360" w:lineRule="auto"/>
        <w:jc w:val="left"/>
        <w:rPr>
          <w:rFonts w:hint="eastAsia" w:ascii="宋体" w:hAnsi="宋体" w:cs="宋体"/>
          <w:sz w:val="24"/>
        </w:rPr>
      </w:pPr>
      <w:r>
        <w:rPr>
          <w:rFonts w:hint="eastAsia" w:ascii="宋体" w:hAnsi="宋体" w:cs="宋体"/>
          <w:sz w:val="24"/>
        </w:rPr>
        <w:t xml:space="preserve">供应商全称（公章）： </w:t>
      </w:r>
    </w:p>
    <w:p w14:paraId="5D8979E1">
      <w:pPr>
        <w:spacing w:line="360" w:lineRule="auto"/>
        <w:rPr>
          <w:rFonts w:hint="eastAsia" w:ascii="宋体" w:hAnsi="宋体" w:cs="宋体"/>
          <w:sz w:val="24"/>
          <w:u w:val="single"/>
        </w:rPr>
      </w:pPr>
      <w:r>
        <w:rPr>
          <w:rFonts w:hint="eastAsia" w:ascii="宋体" w:hAnsi="宋体" w:cs="宋体"/>
          <w:sz w:val="24"/>
        </w:rPr>
        <w:t>法定代表人或授权代表（签字）：</w:t>
      </w:r>
    </w:p>
    <w:p w14:paraId="7E158D8B">
      <w:pPr>
        <w:spacing w:line="360" w:lineRule="auto"/>
        <w:rPr>
          <w:rFonts w:hint="eastAsia" w:ascii="宋体" w:hAnsi="宋体" w:cs="宋体"/>
          <w:b/>
          <w:bCs/>
          <w:sz w:val="24"/>
          <w:lang w:val="zh-CN"/>
        </w:rPr>
      </w:pPr>
      <w:r>
        <w:rPr>
          <w:rFonts w:hint="eastAsia" w:ascii="宋体" w:hAnsi="宋体" w:cs="宋体"/>
          <w:sz w:val="24"/>
        </w:rPr>
        <w:t>日期：     年    月    日</w:t>
      </w:r>
    </w:p>
    <w:p w14:paraId="1BE4016A">
      <w:pPr>
        <w:spacing w:line="360" w:lineRule="auto"/>
        <w:jc w:val="left"/>
        <w:rPr>
          <w:rFonts w:hint="eastAsia" w:ascii="宋体" w:hAnsi="宋体" w:cs="宋体"/>
          <w:b/>
          <w:bCs/>
          <w:sz w:val="24"/>
        </w:rPr>
      </w:pPr>
    </w:p>
    <w:p w14:paraId="1516F2FD">
      <w:pPr>
        <w:spacing w:line="360" w:lineRule="auto"/>
        <w:jc w:val="left"/>
        <w:rPr>
          <w:rFonts w:hint="eastAsia" w:ascii="宋体" w:hAnsi="宋体" w:cs="宋体"/>
          <w:kern w:val="0"/>
          <w:sz w:val="24"/>
          <w:lang w:val="zh-CN"/>
        </w:rPr>
      </w:pPr>
    </w:p>
    <w:p w14:paraId="2C747F38">
      <w:pPr>
        <w:widowControl/>
        <w:jc w:val="left"/>
        <w:rPr>
          <w:rFonts w:hint="eastAsia" w:ascii="宋体" w:hAnsi="宋体" w:cs="宋体"/>
          <w:b/>
          <w:bCs/>
          <w:kern w:val="0"/>
          <w:sz w:val="24"/>
        </w:rPr>
      </w:pPr>
      <w:r>
        <w:rPr>
          <w:rFonts w:hint="eastAsia" w:ascii="宋体" w:hAnsi="宋体" w:cs="宋体"/>
          <w:b/>
          <w:bCs/>
          <w:kern w:val="0"/>
          <w:sz w:val="24"/>
        </w:rPr>
        <w:br w:type="page"/>
      </w:r>
    </w:p>
    <w:p w14:paraId="0C4160BD">
      <w:pPr>
        <w:spacing w:line="360" w:lineRule="auto"/>
        <w:jc w:val="center"/>
        <w:rPr>
          <w:rFonts w:hint="eastAsia" w:ascii="宋体" w:hAnsi="宋体" w:cs="宋体"/>
          <w:sz w:val="24"/>
        </w:rPr>
      </w:pPr>
      <w:r>
        <w:rPr>
          <w:rFonts w:hint="eastAsia" w:ascii="宋体" w:hAnsi="宋体" w:cs="宋体"/>
          <w:b/>
          <w:bCs/>
          <w:kern w:val="0"/>
          <w:sz w:val="28"/>
          <w:szCs w:val="28"/>
          <w:lang w:val="zh-CN"/>
        </w:rPr>
        <w:t>项目实施方案和人力资源安排，以及本项目实施人员一览</w:t>
      </w:r>
    </w:p>
    <w:p w14:paraId="4328DA86">
      <w:pPr>
        <w:spacing w:line="360" w:lineRule="auto"/>
        <w:rPr>
          <w:rFonts w:hint="eastAsia" w:ascii="宋体" w:hAnsi="宋体" w:cs="宋体"/>
          <w:sz w:val="24"/>
        </w:rPr>
      </w:pPr>
      <w:r>
        <w:rPr>
          <w:rFonts w:hint="eastAsia" w:ascii="宋体" w:hAnsi="宋体" w:cs="宋体"/>
          <w:sz w:val="24"/>
        </w:rPr>
        <w:t xml:space="preserve">项目名称： </w:t>
      </w:r>
    </w:p>
    <w:p w14:paraId="1154126F">
      <w:pPr>
        <w:spacing w:line="360" w:lineRule="auto"/>
        <w:rPr>
          <w:rFonts w:hint="eastAsia" w:ascii="宋体" w:hAnsi="宋体" w:cs="宋体"/>
          <w:sz w:val="24"/>
        </w:rPr>
      </w:pPr>
      <w:r>
        <w:rPr>
          <w:rFonts w:hint="eastAsia" w:ascii="宋体" w:hAnsi="宋体" w:cs="宋体"/>
          <w:sz w:val="24"/>
        </w:rPr>
        <w:t>项目编号：</w:t>
      </w:r>
    </w:p>
    <w:p w14:paraId="6153F84D">
      <w:pPr>
        <w:spacing w:line="360" w:lineRule="auto"/>
        <w:rPr>
          <w:rFonts w:hint="eastAsia" w:ascii="宋体" w:hAnsi="宋体" w:cs="宋体"/>
          <w:sz w:val="24"/>
        </w:rPr>
      </w:pPr>
      <w:r>
        <w:rPr>
          <w:rFonts w:hint="eastAsia" w:ascii="宋体" w:hAnsi="宋体" w:cs="宋体"/>
          <w:sz w:val="24"/>
        </w:rPr>
        <w:t>标  项  ：</w:t>
      </w:r>
    </w:p>
    <w:tbl>
      <w:tblPr>
        <w:tblStyle w:val="35"/>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8"/>
        <w:gridCol w:w="1381"/>
        <w:gridCol w:w="1830"/>
        <w:gridCol w:w="1200"/>
        <w:gridCol w:w="1854"/>
        <w:gridCol w:w="1657"/>
      </w:tblGrid>
      <w:tr w14:paraId="5467A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14:paraId="6D6982DA">
            <w:pPr>
              <w:spacing w:line="360" w:lineRule="auto"/>
              <w:jc w:val="center"/>
              <w:rPr>
                <w:rFonts w:hint="eastAsia" w:ascii="宋体" w:hAnsi="宋体" w:cs="宋体"/>
                <w:sz w:val="24"/>
              </w:rPr>
            </w:pPr>
            <w:r>
              <w:rPr>
                <w:rFonts w:hint="eastAsia" w:ascii="宋体" w:hAnsi="宋体" w:cs="宋体"/>
                <w:sz w:val="24"/>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03CDE015">
            <w:pPr>
              <w:spacing w:line="360" w:lineRule="auto"/>
              <w:jc w:val="center"/>
              <w:rPr>
                <w:rFonts w:hint="eastAsia" w:ascii="宋体" w:hAnsi="宋体" w:cs="宋体"/>
                <w:sz w:val="24"/>
              </w:rPr>
            </w:pPr>
            <w:r>
              <w:rPr>
                <w:rFonts w:hint="eastAsia" w:ascii="宋体" w:hAnsi="宋体" w:cs="宋体"/>
                <w:sz w:val="24"/>
              </w:rPr>
              <w:t>职务</w:t>
            </w:r>
          </w:p>
        </w:tc>
        <w:tc>
          <w:tcPr>
            <w:tcW w:w="1830" w:type="dxa"/>
            <w:tcBorders>
              <w:top w:val="single" w:color="auto" w:sz="4" w:space="0"/>
              <w:left w:val="single" w:color="auto" w:sz="4" w:space="0"/>
              <w:bottom w:val="single" w:color="auto" w:sz="4" w:space="0"/>
              <w:right w:val="single" w:color="auto" w:sz="4" w:space="0"/>
            </w:tcBorders>
            <w:vAlign w:val="center"/>
          </w:tcPr>
          <w:p w14:paraId="0C1A34EA">
            <w:pPr>
              <w:spacing w:line="360" w:lineRule="auto"/>
              <w:jc w:val="center"/>
              <w:rPr>
                <w:rFonts w:hint="eastAsia" w:ascii="宋体" w:hAnsi="宋体" w:cs="宋体"/>
                <w:sz w:val="24"/>
              </w:rPr>
            </w:pPr>
            <w:r>
              <w:rPr>
                <w:rFonts w:hint="eastAsia" w:ascii="宋体" w:hAnsi="宋体" w:cs="宋体"/>
                <w:sz w:val="24"/>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14:paraId="646C99B9">
            <w:pPr>
              <w:spacing w:line="360" w:lineRule="auto"/>
              <w:jc w:val="center"/>
              <w:rPr>
                <w:rFonts w:hint="eastAsia" w:ascii="宋体" w:hAnsi="宋体" w:cs="宋体"/>
                <w:sz w:val="24"/>
              </w:rPr>
            </w:pPr>
            <w:r>
              <w:rPr>
                <w:rFonts w:hint="eastAsia" w:ascii="宋体" w:hAnsi="宋体" w:cs="宋体"/>
                <w:sz w:val="24"/>
              </w:rPr>
              <w:t>证书编号</w:t>
            </w:r>
          </w:p>
        </w:tc>
        <w:tc>
          <w:tcPr>
            <w:tcW w:w="1854" w:type="dxa"/>
            <w:tcBorders>
              <w:top w:val="single" w:color="auto" w:sz="4" w:space="0"/>
              <w:left w:val="single" w:color="auto" w:sz="4" w:space="0"/>
              <w:bottom w:val="single" w:color="auto" w:sz="4" w:space="0"/>
              <w:right w:val="single" w:color="auto" w:sz="4" w:space="0"/>
            </w:tcBorders>
            <w:vAlign w:val="center"/>
          </w:tcPr>
          <w:p w14:paraId="35522832">
            <w:pPr>
              <w:spacing w:line="360" w:lineRule="auto"/>
              <w:jc w:val="center"/>
              <w:rPr>
                <w:rFonts w:hint="eastAsia" w:ascii="宋体" w:hAnsi="宋体" w:cs="宋体"/>
                <w:bCs/>
                <w:sz w:val="24"/>
              </w:rPr>
            </w:pPr>
            <w:r>
              <w:rPr>
                <w:rFonts w:hint="eastAsia" w:ascii="宋体" w:hAnsi="宋体" w:cs="宋体"/>
                <w:bCs/>
                <w:sz w:val="24"/>
              </w:rPr>
              <w:t>参加本单位工作时间</w:t>
            </w:r>
          </w:p>
        </w:tc>
        <w:tc>
          <w:tcPr>
            <w:tcW w:w="1657" w:type="dxa"/>
            <w:tcBorders>
              <w:top w:val="single" w:color="auto" w:sz="4" w:space="0"/>
              <w:left w:val="single" w:color="auto" w:sz="4" w:space="0"/>
              <w:bottom w:val="single" w:color="auto" w:sz="4" w:space="0"/>
              <w:right w:val="single" w:color="auto" w:sz="4" w:space="0"/>
            </w:tcBorders>
            <w:vAlign w:val="center"/>
          </w:tcPr>
          <w:p w14:paraId="2BDCE5C6">
            <w:pPr>
              <w:spacing w:line="360" w:lineRule="auto"/>
              <w:jc w:val="center"/>
              <w:rPr>
                <w:rFonts w:hint="eastAsia" w:ascii="宋体" w:hAnsi="宋体" w:cs="宋体"/>
                <w:bCs/>
                <w:sz w:val="24"/>
              </w:rPr>
            </w:pPr>
            <w:r>
              <w:rPr>
                <w:rFonts w:hint="eastAsia" w:ascii="宋体" w:hAnsi="宋体" w:cs="宋体"/>
                <w:bCs/>
                <w:sz w:val="24"/>
              </w:rPr>
              <w:t>相关工作经验</w:t>
            </w:r>
          </w:p>
        </w:tc>
      </w:tr>
      <w:tr w14:paraId="34445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14:paraId="288E043E">
            <w:pPr>
              <w:spacing w:line="360" w:lineRule="auto"/>
              <w:rPr>
                <w:rFonts w:hint="eastAsia" w:ascii="宋体" w:hAnsi="宋体" w:cs="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6B45833B">
            <w:pPr>
              <w:spacing w:line="360" w:lineRule="auto"/>
              <w:rPr>
                <w:rFonts w:hint="eastAsia" w:ascii="宋体" w:hAnsi="宋体" w:cs="宋体"/>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64C85DED">
            <w:pPr>
              <w:spacing w:line="360" w:lineRule="auto"/>
              <w:rPr>
                <w:rFonts w:hint="eastAsia"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5C831B9">
            <w:pPr>
              <w:spacing w:line="360" w:lineRule="auto"/>
              <w:rPr>
                <w:rFonts w:hint="eastAsia"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1C28843D">
            <w:pPr>
              <w:spacing w:line="360" w:lineRule="auto"/>
              <w:rPr>
                <w:rFonts w:hint="eastAsia" w:ascii="宋体" w:hAnsi="宋体" w:cs="宋体"/>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5965DFB7">
            <w:pPr>
              <w:spacing w:line="360" w:lineRule="auto"/>
              <w:rPr>
                <w:rFonts w:hint="eastAsia" w:ascii="宋体" w:hAnsi="宋体" w:cs="宋体"/>
                <w:sz w:val="24"/>
              </w:rPr>
            </w:pPr>
          </w:p>
        </w:tc>
      </w:tr>
      <w:tr w14:paraId="14CF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14:paraId="3D6CA18D">
            <w:pPr>
              <w:spacing w:line="360" w:lineRule="auto"/>
              <w:rPr>
                <w:rFonts w:hint="eastAsia" w:ascii="宋体" w:hAnsi="宋体" w:cs="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0B7E8421">
            <w:pPr>
              <w:spacing w:line="360" w:lineRule="auto"/>
              <w:rPr>
                <w:rFonts w:hint="eastAsia" w:ascii="宋体" w:hAnsi="宋体" w:cs="宋体"/>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0F9F9AAB">
            <w:pPr>
              <w:spacing w:line="360" w:lineRule="auto"/>
              <w:rPr>
                <w:rFonts w:hint="eastAsia"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8FD39D4">
            <w:pPr>
              <w:spacing w:line="360" w:lineRule="auto"/>
              <w:rPr>
                <w:rFonts w:hint="eastAsia"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25A0848F">
            <w:pPr>
              <w:spacing w:line="360" w:lineRule="auto"/>
              <w:rPr>
                <w:rFonts w:hint="eastAsia" w:ascii="宋体" w:hAnsi="宋体" w:cs="宋体"/>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1A0A363F">
            <w:pPr>
              <w:spacing w:line="360" w:lineRule="auto"/>
              <w:rPr>
                <w:rFonts w:hint="eastAsia" w:ascii="宋体" w:hAnsi="宋体" w:cs="宋体"/>
                <w:sz w:val="24"/>
              </w:rPr>
            </w:pPr>
          </w:p>
        </w:tc>
      </w:tr>
      <w:tr w14:paraId="254F4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14:paraId="035D0492">
            <w:pPr>
              <w:spacing w:line="360" w:lineRule="auto"/>
              <w:rPr>
                <w:rFonts w:hint="eastAsia" w:ascii="宋体" w:hAnsi="宋体" w:cs="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2285078B">
            <w:pPr>
              <w:spacing w:line="360" w:lineRule="auto"/>
              <w:rPr>
                <w:rFonts w:hint="eastAsia" w:ascii="宋体" w:hAnsi="宋体" w:cs="宋体"/>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647F234E">
            <w:pPr>
              <w:spacing w:line="360" w:lineRule="auto"/>
              <w:rPr>
                <w:rFonts w:hint="eastAsia"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C7A4FEF">
            <w:pPr>
              <w:spacing w:line="360" w:lineRule="auto"/>
              <w:rPr>
                <w:rFonts w:hint="eastAsia"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7B59738A">
            <w:pPr>
              <w:spacing w:line="360" w:lineRule="auto"/>
              <w:rPr>
                <w:rFonts w:hint="eastAsia" w:ascii="宋体" w:hAnsi="宋体" w:cs="宋体"/>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31B26EBE">
            <w:pPr>
              <w:spacing w:line="360" w:lineRule="auto"/>
              <w:rPr>
                <w:rFonts w:hint="eastAsia" w:ascii="宋体" w:hAnsi="宋体" w:cs="宋体"/>
                <w:sz w:val="24"/>
              </w:rPr>
            </w:pPr>
          </w:p>
        </w:tc>
      </w:tr>
      <w:tr w14:paraId="68EEA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14:paraId="6C8BA4E3">
            <w:pPr>
              <w:spacing w:line="360" w:lineRule="auto"/>
              <w:rPr>
                <w:rFonts w:hint="eastAsia" w:ascii="宋体" w:hAnsi="宋体" w:cs="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44418E54">
            <w:pPr>
              <w:spacing w:line="360" w:lineRule="auto"/>
              <w:rPr>
                <w:rFonts w:hint="eastAsia" w:ascii="宋体" w:hAnsi="宋体" w:cs="宋体"/>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21FDFBB8">
            <w:pPr>
              <w:spacing w:line="360" w:lineRule="auto"/>
              <w:rPr>
                <w:rFonts w:hint="eastAsia"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7AE7519">
            <w:pPr>
              <w:spacing w:line="360" w:lineRule="auto"/>
              <w:rPr>
                <w:rFonts w:hint="eastAsia"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6ACEFCD9">
            <w:pPr>
              <w:spacing w:line="360" w:lineRule="auto"/>
              <w:rPr>
                <w:rFonts w:hint="eastAsia" w:ascii="宋体" w:hAnsi="宋体" w:cs="宋体"/>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21C6F696">
            <w:pPr>
              <w:spacing w:line="360" w:lineRule="auto"/>
              <w:rPr>
                <w:rFonts w:hint="eastAsia" w:ascii="宋体" w:hAnsi="宋体" w:cs="宋体"/>
                <w:sz w:val="24"/>
              </w:rPr>
            </w:pPr>
          </w:p>
        </w:tc>
      </w:tr>
    </w:tbl>
    <w:p w14:paraId="26594E48">
      <w:pPr>
        <w:spacing w:line="360" w:lineRule="auto"/>
        <w:rPr>
          <w:rFonts w:hint="eastAsia" w:ascii="宋体" w:hAnsi="宋体" w:cs="宋体"/>
          <w:sz w:val="24"/>
        </w:rPr>
      </w:pPr>
      <w:r>
        <w:rPr>
          <w:rFonts w:hint="eastAsia" w:ascii="宋体" w:hAnsi="宋体" w:cs="宋体"/>
          <w:sz w:val="24"/>
        </w:rPr>
        <w:t>注：在填写时，如本表格不适合投标单位的实际情况，可根据本表格式自行划表填写。</w:t>
      </w:r>
    </w:p>
    <w:p w14:paraId="4B1CD4FB">
      <w:pPr>
        <w:spacing w:line="360" w:lineRule="auto"/>
        <w:jc w:val="left"/>
        <w:rPr>
          <w:rFonts w:hint="eastAsia" w:ascii="宋体" w:hAnsi="宋体" w:cs="宋体"/>
          <w:b/>
          <w:sz w:val="24"/>
        </w:rPr>
      </w:pPr>
    </w:p>
    <w:p w14:paraId="2C237D32">
      <w:pPr>
        <w:spacing w:line="360" w:lineRule="auto"/>
        <w:ind w:firstLine="240" w:firstLineChars="100"/>
        <w:rPr>
          <w:rFonts w:hint="eastAsia" w:ascii="宋体" w:hAnsi="宋体" w:cs="宋体"/>
          <w:sz w:val="24"/>
        </w:rPr>
      </w:pPr>
      <w:r>
        <w:rPr>
          <w:rFonts w:hint="eastAsia" w:ascii="宋体" w:hAnsi="宋体" w:cs="宋体"/>
          <w:sz w:val="24"/>
        </w:rPr>
        <w:t xml:space="preserve">供应商全称（公章）： </w:t>
      </w:r>
    </w:p>
    <w:p w14:paraId="6886C319">
      <w:pPr>
        <w:spacing w:line="360" w:lineRule="auto"/>
        <w:ind w:firstLine="240" w:firstLineChars="100"/>
        <w:rPr>
          <w:rFonts w:hint="eastAsia" w:ascii="宋体" w:hAnsi="宋体" w:cs="宋体"/>
          <w:sz w:val="24"/>
          <w:u w:val="single"/>
        </w:rPr>
      </w:pPr>
      <w:r>
        <w:rPr>
          <w:rFonts w:hint="eastAsia" w:ascii="宋体" w:hAnsi="宋体" w:cs="宋体"/>
          <w:sz w:val="24"/>
        </w:rPr>
        <w:t>法定代表人或授权代表（签字）：</w:t>
      </w:r>
    </w:p>
    <w:p w14:paraId="14F7916B">
      <w:pPr>
        <w:spacing w:line="360" w:lineRule="auto"/>
        <w:ind w:firstLine="240" w:firstLineChars="100"/>
        <w:rPr>
          <w:rFonts w:hint="eastAsia" w:ascii="宋体" w:hAnsi="宋体" w:cs="宋体"/>
          <w:b/>
          <w:sz w:val="24"/>
        </w:rPr>
      </w:pPr>
      <w:r>
        <w:rPr>
          <w:rFonts w:hint="eastAsia" w:ascii="宋体" w:hAnsi="宋体" w:cs="宋体"/>
          <w:sz w:val="24"/>
        </w:rPr>
        <w:t>日期：      年    月    日</w:t>
      </w:r>
    </w:p>
    <w:p w14:paraId="78926898">
      <w:pPr>
        <w:spacing w:line="360" w:lineRule="auto"/>
        <w:rPr>
          <w:rFonts w:hint="eastAsia" w:ascii="宋体" w:hAnsi="宋体" w:cs="宋体"/>
          <w:b/>
          <w:sz w:val="24"/>
        </w:rPr>
      </w:pPr>
      <w:r>
        <w:rPr>
          <w:rFonts w:hint="eastAsia" w:ascii="宋体" w:hAnsi="宋体" w:cs="宋体"/>
          <w:b/>
          <w:sz w:val="24"/>
        </w:rPr>
        <w:t>附：项目实施人员相关经验或资质证明文件复印件</w:t>
      </w:r>
    </w:p>
    <w:p w14:paraId="23C38E4D">
      <w:pPr>
        <w:spacing w:line="360" w:lineRule="auto"/>
        <w:rPr>
          <w:rFonts w:hint="eastAsia" w:ascii="宋体" w:hAnsi="宋体" w:cs="宋体"/>
          <w:b/>
          <w:sz w:val="24"/>
          <w:u w:val="single"/>
        </w:rPr>
      </w:pPr>
      <w:r>
        <w:rPr>
          <w:rFonts w:hint="eastAsia" w:ascii="宋体" w:hAnsi="宋体" w:cs="宋体"/>
          <w:b/>
          <w:sz w:val="24"/>
        </w:rPr>
        <w:t>姓名：</w:t>
      </w:r>
      <w:r>
        <w:rPr>
          <w:rFonts w:hint="eastAsia" w:ascii="宋体" w:hAnsi="宋体" w:cs="宋体"/>
          <w:b/>
          <w:sz w:val="24"/>
          <w:u w:val="single"/>
        </w:rPr>
        <w:t xml:space="preserve">                  </w:t>
      </w:r>
      <w:r>
        <w:rPr>
          <w:rFonts w:hint="eastAsia" w:ascii="宋体" w:hAnsi="宋体" w:cs="宋体"/>
          <w:b/>
          <w:sz w:val="24"/>
        </w:rPr>
        <w:t>职务：</w:t>
      </w:r>
      <w:r>
        <w:rPr>
          <w:rFonts w:hint="eastAsia" w:ascii="宋体" w:hAnsi="宋体" w:cs="宋体"/>
          <w:b/>
          <w:sz w:val="24"/>
          <w:u w:val="single"/>
        </w:rPr>
        <w:t xml:space="preserve">                 </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2B6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522" w:type="dxa"/>
          </w:tcPr>
          <w:p w14:paraId="2036D5D9">
            <w:pPr>
              <w:spacing w:line="360" w:lineRule="auto"/>
              <w:rPr>
                <w:rFonts w:hint="eastAsia" w:ascii="宋体" w:hAnsi="宋体" w:cs="宋体"/>
                <w:sz w:val="24"/>
              </w:rPr>
            </w:pPr>
            <w:r>
              <w:rPr>
                <w:rFonts w:hint="eastAsia" w:ascii="宋体" w:hAnsi="宋体" w:cs="宋体"/>
                <w:sz w:val="24"/>
              </w:rPr>
              <w:t>经验或资质证明文件复印件</w:t>
            </w:r>
          </w:p>
        </w:tc>
      </w:tr>
    </w:tbl>
    <w:p w14:paraId="6596B5AB">
      <w:pPr>
        <w:spacing w:line="360" w:lineRule="auto"/>
        <w:rPr>
          <w:rFonts w:hint="eastAsia" w:ascii="宋体" w:hAnsi="宋体" w:cs="宋体"/>
          <w:sz w:val="24"/>
        </w:rPr>
      </w:pPr>
    </w:p>
    <w:p w14:paraId="61C43B68">
      <w:pPr>
        <w:spacing w:line="360" w:lineRule="auto"/>
        <w:rPr>
          <w:rFonts w:hint="eastAsia" w:ascii="宋体" w:hAnsi="宋体" w:cs="宋体"/>
          <w:b/>
          <w:bCs/>
          <w:sz w:val="24"/>
        </w:rPr>
      </w:pPr>
    </w:p>
    <w:p w14:paraId="40280043">
      <w:pPr>
        <w:spacing w:line="360" w:lineRule="auto"/>
        <w:rPr>
          <w:rFonts w:hint="eastAsia" w:ascii="宋体" w:hAnsi="宋体" w:cs="宋体"/>
          <w:b/>
          <w:bCs/>
          <w:sz w:val="24"/>
          <w:lang w:val="zh-CN"/>
        </w:rPr>
      </w:pPr>
    </w:p>
    <w:p w14:paraId="599EF15D">
      <w:pPr>
        <w:spacing w:line="360" w:lineRule="auto"/>
        <w:jc w:val="center"/>
        <w:outlineLvl w:val="1"/>
        <w:rPr>
          <w:rFonts w:hint="eastAsia" w:ascii="宋体" w:hAnsi="宋体" w:cs="宋体"/>
          <w:b/>
          <w:bCs/>
          <w:sz w:val="36"/>
          <w:szCs w:val="36"/>
        </w:rPr>
      </w:pPr>
      <w:r>
        <w:rPr>
          <w:rFonts w:hint="eastAsia"/>
        </w:rPr>
        <w:br w:type="page"/>
      </w:r>
      <w:bookmarkStart w:id="74" w:name="_Toc5972"/>
      <w:bookmarkStart w:id="75" w:name="_Toc21891"/>
      <w:r>
        <w:rPr>
          <w:rFonts w:hint="eastAsia" w:ascii="宋体" w:hAnsi="宋体" w:cs="宋体"/>
          <w:b/>
          <w:bCs/>
          <w:sz w:val="36"/>
          <w:szCs w:val="36"/>
        </w:rPr>
        <w:t>报价文件</w:t>
      </w:r>
      <w:bookmarkEnd w:id="74"/>
      <w:bookmarkEnd w:id="75"/>
    </w:p>
    <w:p w14:paraId="419E739F">
      <w:pPr>
        <w:spacing w:line="360" w:lineRule="auto"/>
        <w:jc w:val="center"/>
        <w:rPr>
          <w:rFonts w:hint="eastAsia" w:ascii="宋体" w:hAnsi="宋体" w:cs="宋体"/>
          <w:b/>
          <w:kern w:val="44"/>
          <w:sz w:val="28"/>
          <w:szCs w:val="28"/>
        </w:rPr>
      </w:pPr>
      <w:bookmarkStart w:id="76" w:name="_Toc415734855"/>
      <w:r>
        <w:rPr>
          <w:rFonts w:hint="eastAsia" w:ascii="宋体" w:hAnsi="宋体" w:cs="宋体"/>
          <w:b/>
          <w:kern w:val="44"/>
          <w:sz w:val="28"/>
          <w:szCs w:val="28"/>
        </w:rPr>
        <w:t>投标响应函</w:t>
      </w:r>
      <w:bookmarkEnd w:id="76"/>
      <w:r>
        <w:rPr>
          <w:rFonts w:hint="eastAsia" w:ascii="宋体" w:hAnsi="宋体" w:cs="宋体"/>
          <w:b/>
          <w:kern w:val="44"/>
          <w:sz w:val="28"/>
          <w:szCs w:val="28"/>
        </w:rPr>
        <w:t>（格式）</w:t>
      </w:r>
    </w:p>
    <w:p w14:paraId="76C677BF">
      <w:pPr>
        <w:spacing w:line="360" w:lineRule="auto"/>
        <w:jc w:val="left"/>
        <w:rPr>
          <w:rFonts w:hint="eastAsia" w:ascii="宋体" w:hAnsi="宋体" w:cs="宋体"/>
          <w:sz w:val="24"/>
        </w:rPr>
      </w:pPr>
      <w:r>
        <w:rPr>
          <w:rFonts w:hint="eastAsia" w:ascii="宋体" w:hAnsi="宋体" w:cs="宋体"/>
          <w:sz w:val="24"/>
          <w:u w:val="single"/>
        </w:rPr>
        <w:t>（采购人）</w:t>
      </w:r>
      <w:r>
        <w:rPr>
          <w:rFonts w:hint="eastAsia" w:ascii="宋体" w:hAnsi="宋体" w:cs="宋体"/>
          <w:sz w:val="24"/>
        </w:rPr>
        <w:t>、</w:t>
      </w:r>
      <w:r>
        <w:rPr>
          <w:rFonts w:hint="eastAsia" w:ascii="宋体" w:hAnsi="宋体" w:cs="宋体"/>
          <w:sz w:val="24"/>
          <w:u w:val="single"/>
        </w:rPr>
        <w:t>（采购代理机构）</w:t>
      </w:r>
      <w:r>
        <w:rPr>
          <w:rFonts w:hint="eastAsia" w:ascii="宋体" w:hAnsi="宋体" w:cs="宋体"/>
          <w:sz w:val="24"/>
        </w:rPr>
        <w:t>：</w:t>
      </w:r>
    </w:p>
    <w:p w14:paraId="36ECC430">
      <w:pPr>
        <w:spacing w:line="360" w:lineRule="auto"/>
        <w:ind w:firstLine="480" w:firstLineChars="200"/>
        <w:jc w:val="left"/>
        <w:rPr>
          <w:rFonts w:hint="eastAsia" w:ascii="宋体" w:hAnsi="宋体" w:cs="宋体"/>
          <w:sz w:val="24"/>
        </w:rPr>
      </w:pPr>
      <w:r>
        <w:rPr>
          <w:rFonts w:hint="eastAsia" w:ascii="宋体" w:hAnsi="宋体" w:cs="宋体"/>
          <w:sz w:val="24"/>
        </w:rPr>
        <w:t xml:space="preserve">(投标人全称)授权(全权代表姓名)(职务、职称)为全权代表，参加贵方组织的 </w:t>
      </w:r>
      <w:r>
        <w:rPr>
          <w:rFonts w:hint="eastAsia" w:ascii="宋体" w:hAnsi="宋体" w:cs="宋体"/>
          <w:sz w:val="24"/>
          <w:lang w:eastAsia="zh-CN"/>
        </w:rPr>
        <w:t>浙江省舟山市消防救援支队2024年全市器材装备（破拆类二）采购项目</w:t>
      </w:r>
      <w:r>
        <w:rPr>
          <w:rFonts w:hint="eastAsia" w:ascii="宋体" w:hAnsi="宋体" w:cs="宋体"/>
          <w:sz w:val="24"/>
          <w:u w:val="single"/>
        </w:rPr>
        <w:t xml:space="preserve">     （填写标项）     </w:t>
      </w:r>
      <w:r>
        <w:rPr>
          <w:rFonts w:hint="eastAsia" w:ascii="宋体" w:hAnsi="宋体" w:cs="宋体"/>
          <w:sz w:val="24"/>
        </w:rPr>
        <w:t>(项目编号：  ) 招标的有关活动，并对此项目进行投标。为此：</w:t>
      </w:r>
    </w:p>
    <w:p w14:paraId="342F2B32">
      <w:pPr>
        <w:spacing w:line="360" w:lineRule="auto"/>
        <w:ind w:firstLine="480" w:firstLineChars="200"/>
        <w:jc w:val="left"/>
        <w:rPr>
          <w:rFonts w:hint="eastAsia" w:ascii="宋体" w:hAnsi="宋体" w:cs="宋体"/>
          <w:sz w:val="24"/>
        </w:rPr>
      </w:pPr>
      <w:r>
        <w:rPr>
          <w:rFonts w:hint="eastAsia" w:ascii="宋体" w:hAnsi="宋体" w:cs="宋体"/>
          <w:sz w:val="24"/>
        </w:rPr>
        <w:t>1.我方同意在投标人</w:t>
      </w:r>
      <w:r>
        <w:rPr>
          <w:rFonts w:hint="eastAsia" w:ascii="宋体" w:hAnsi="宋体" w:cs="宋体"/>
          <w:kern w:val="44"/>
          <w:sz w:val="24"/>
        </w:rPr>
        <w:t>编制和提交采购响应文件须知</w:t>
      </w:r>
      <w:r>
        <w:rPr>
          <w:rFonts w:hint="eastAsia" w:ascii="宋体" w:hAnsi="宋体" w:cs="宋体"/>
          <w:sz w:val="24"/>
        </w:rPr>
        <w:t>规定的开标日期起遵守本投标文件中的承诺且在投标有效期满之前均具有约束力。</w:t>
      </w:r>
    </w:p>
    <w:p w14:paraId="1098FB21">
      <w:pPr>
        <w:spacing w:line="360" w:lineRule="auto"/>
        <w:ind w:firstLine="480" w:firstLineChars="200"/>
        <w:jc w:val="left"/>
        <w:rPr>
          <w:rFonts w:hint="eastAsia" w:ascii="宋体" w:hAnsi="宋体" w:cs="宋体"/>
          <w:sz w:val="24"/>
        </w:rPr>
      </w:pPr>
      <w:r>
        <w:rPr>
          <w:rFonts w:hint="eastAsia" w:ascii="宋体" w:hAnsi="宋体" w:cs="宋体"/>
          <w:sz w:val="24"/>
        </w:rPr>
        <w:t>2.我方承诺已经具备《中华人民共和国政府采购法》中规定的参加政府采购活动的供应商应当具备的条件：</w:t>
      </w:r>
    </w:p>
    <w:p w14:paraId="57E6CBEC">
      <w:pPr>
        <w:spacing w:line="360" w:lineRule="auto"/>
        <w:ind w:firstLine="480" w:firstLineChars="200"/>
        <w:jc w:val="left"/>
        <w:rPr>
          <w:rFonts w:hint="eastAsia" w:ascii="宋体" w:hAnsi="宋体" w:cs="宋体"/>
          <w:sz w:val="24"/>
        </w:rPr>
      </w:pPr>
      <w:r>
        <w:rPr>
          <w:rFonts w:hint="eastAsia" w:ascii="宋体" w:hAnsi="宋体" w:cs="宋体"/>
          <w:sz w:val="24"/>
        </w:rPr>
        <w:t>(1)具有独立承担民事责任的能力；</w:t>
      </w:r>
    </w:p>
    <w:p w14:paraId="4C29F9A5">
      <w:pPr>
        <w:spacing w:line="360" w:lineRule="auto"/>
        <w:ind w:firstLine="480" w:firstLineChars="200"/>
        <w:jc w:val="left"/>
        <w:rPr>
          <w:rFonts w:hint="eastAsia" w:ascii="宋体" w:hAnsi="宋体" w:cs="宋体"/>
          <w:sz w:val="24"/>
        </w:rPr>
      </w:pPr>
      <w:r>
        <w:rPr>
          <w:rFonts w:hint="eastAsia" w:ascii="宋体" w:hAnsi="宋体" w:cs="宋体"/>
          <w:sz w:val="24"/>
        </w:rPr>
        <w:t>(2)遵守国家法律、行政法规，具有良好的信誉和商业道德；</w:t>
      </w:r>
    </w:p>
    <w:p w14:paraId="015B11C7">
      <w:pPr>
        <w:spacing w:line="360" w:lineRule="auto"/>
        <w:ind w:firstLine="480" w:firstLineChars="200"/>
        <w:jc w:val="left"/>
        <w:rPr>
          <w:rFonts w:hint="eastAsia" w:ascii="宋体" w:hAnsi="宋体" w:cs="宋体"/>
          <w:sz w:val="24"/>
        </w:rPr>
      </w:pPr>
      <w:r>
        <w:rPr>
          <w:rFonts w:hint="eastAsia" w:ascii="宋体" w:hAnsi="宋体" w:cs="宋体"/>
          <w:sz w:val="24"/>
        </w:rPr>
        <w:t>(3)具有履行合同的能力和良好的履行合同记录；</w:t>
      </w:r>
    </w:p>
    <w:p w14:paraId="1DC5A2D0">
      <w:pPr>
        <w:spacing w:line="360" w:lineRule="auto"/>
        <w:ind w:firstLine="480" w:firstLineChars="200"/>
        <w:jc w:val="left"/>
        <w:rPr>
          <w:rFonts w:hint="eastAsia" w:ascii="宋体" w:hAnsi="宋体" w:cs="宋体"/>
          <w:sz w:val="24"/>
        </w:rPr>
      </w:pPr>
      <w:r>
        <w:rPr>
          <w:rFonts w:hint="eastAsia" w:ascii="宋体" w:hAnsi="宋体" w:cs="宋体"/>
          <w:sz w:val="24"/>
        </w:rPr>
        <w:t>(4)良好的资金、财务状况；</w:t>
      </w:r>
    </w:p>
    <w:p w14:paraId="4203BCC9">
      <w:pPr>
        <w:spacing w:line="360" w:lineRule="auto"/>
        <w:ind w:firstLine="480" w:firstLineChars="200"/>
        <w:jc w:val="left"/>
        <w:rPr>
          <w:rFonts w:hint="eastAsia" w:ascii="宋体" w:hAnsi="宋体" w:cs="宋体"/>
          <w:sz w:val="24"/>
        </w:rPr>
      </w:pPr>
      <w:r>
        <w:rPr>
          <w:rFonts w:hint="eastAsia" w:ascii="宋体" w:hAnsi="宋体" w:cs="宋体"/>
          <w:sz w:val="24"/>
        </w:rPr>
        <w:t>(5)产品及生产所需装备符合中国政府规定的相应技术标准和环保标准；</w:t>
      </w:r>
    </w:p>
    <w:p w14:paraId="246E4B58">
      <w:pPr>
        <w:spacing w:line="360" w:lineRule="auto"/>
        <w:ind w:firstLine="480" w:firstLineChars="200"/>
        <w:jc w:val="left"/>
        <w:rPr>
          <w:rFonts w:hint="eastAsia" w:ascii="宋体" w:hAnsi="宋体" w:cs="宋体"/>
          <w:sz w:val="24"/>
        </w:rPr>
      </w:pPr>
      <w:r>
        <w:rPr>
          <w:rFonts w:hint="eastAsia" w:ascii="宋体" w:hAnsi="宋体" w:cs="宋体"/>
          <w:sz w:val="24"/>
        </w:rPr>
        <w:t>(6)没有违反政府采购法规、政策的记录；</w:t>
      </w:r>
    </w:p>
    <w:p w14:paraId="364D225F">
      <w:pPr>
        <w:spacing w:line="360" w:lineRule="auto"/>
        <w:ind w:firstLine="480" w:firstLineChars="200"/>
        <w:jc w:val="left"/>
        <w:rPr>
          <w:rFonts w:hint="eastAsia" w:ascii="宋体" w:hAnsi="宋体" w:cs="宋体"/>
          <w:sz w:val="24"/>
        </w:rPr>
      </w:pPr>
      <w:r>
        <w:rPr>
          <w:rFonts w:hint="eastAsia" w:ascii="宋体" w:hAnsi="宋体" w:cs="宋体"/>
          <w:sz w:val="24"/>
        </w:rPr>
        <w:t>(7)没有发生重大经济纠纷和走私犯罪记录。</w:t>
      </w:r>
    </w:p>
    <w:p w14:paraId="482C6137">
      <w:pPr>
        <w:spacing w:line="360" w:lineRule="auto"/>
        <w:ind w:firstLine="480" w:firstLineChars="200"/>
        <w:jc w:val="left"/>
        <w:rPr>
          <w:rFonts w:hint="eastAsia" w:ascii="宋体" w:hAnsi="宋体" w:cs="宋体"/>
          <w:sz w:val="24"/>
        </w:rPr>
      </w:pPr>
      <w:r>
        <w:rPr>
          <w:rFonts w:hint="eastAsia" w:ascii="宋体" w:hAnsi="宋体" w:cs="宋体"/>
          <w:sz w:val="24"/>
        </w:rPr>
        <w:t>3.提供</w:t>
      </w:r>
      <w:r>
        <w:rPr>
          <w:rFonts w:hint="eastAsia" w:ascii="宋体" w:hAnsi="宋体" w:cs="宋体"/>
          <w:kern w:val="44"/>
          <w:sz w:val="24"/>
        </w:rPr>
        <w:t>编制和提交采购响应文件须知</w:t>
      </w:r>
      <w:r>
        <w:rPr>
          <w:rFonts w:hint="eastAsia" w:ascii="宋体" w:hAnsi="宋体" w:cs="宋体"/>
          <w:sz w:val="24"/>
        </w:rPr>
        <w:t>规定的全部投标文件，包括投标文件</w:t>
      </w:r>
      <w:r>
        <w:rPr>
          <w:rFonts w:hint="eastAsia" w:ascii="宋体" w:hAnsi="宋体" w:cs="宋体"/>
          <w:kern w:val="44"/>
          <w:sz w:val="24"/>
        </w:rPr>
        <w:t>正本1份，副本</w:t>
      </w:r>
      <w:r>
        <w:rPr>
          <w:rFonts w:hint="eastAsia" w:ascii="宋体" w:hAnsi="宋体" w:cs="宋体"/>
          <w:kern w:val="44"/>
          <w:sz w:val="24"/>
          <w:u w:val="single"/>
        </w:rPr>
        <w:t xml:space="preserve">4 </w:t>
      </w:r>
      <w:r>
        <w:rPr>
          <w:rFonts w:hint="eastAsia" w:ascii="宋体" w:hAnsi="宋体" w:cs="宋体"/>
          <w:kern w:val="44"/>
          <w:sz w:val="24"/>
        </w:rPr>
        <w:t>份（见投标须知前附表所述）。</w:t>
      </w:r>
      <w:r>
        <w:rPr>
          <w:rFonts w:hint="eastAsia" w:ascii="宋体" w:hAnsi="宋体" w:cs="宋体"/>
          <w:sz w:val="24"/>
        </w:rPr>
        <w:t>具体内容为：</w:t>
      </w:r>
    </w:p>
    <w:p w14:paraId="699A587D">
      <w:pPr>
        <w:spacing w:line="360" w:lineRule="auto"/>
        <w:ind w:firstLine="480" w:firstLineChars="200"/>
        <w:jc w:val="left"/>
        <w:rPr>
          <w:rFonts w:hint="eastAsia" w:ascii="宋体" w:hAnsi="宋体" w:cs="宋体"/>
          <w:sz w:val="24"/>
        </w:rPr>
      </w:pPr>
      <w:r>
        <w:rPr>
          <w:rFonts w:hint="eastAsia" w:ascii="宋体" w:hAnsi="宋体" w:cs="宋体"/>
          <w:sz w:val="24"/>
        </w:rPr>
        <w:t>(1)投标(开标)一览表及投标报价明细清单；</w:t>
      </w:r>
    </w:p>
    <w:p w14:paraId="6141A79F">
      <w:pPr>
        <w:spacing w:line="360" w:lineRule="auto"/>
        <w:ind w:firstLine="480" w:firstLineChars="200"/>
        <w:jc w:val="left"/>
        <w:rPr>
          <w:rFonts w:hint="eastAsia" w:ascii="宋体" w:hAnsi="宋体" w:cs="宋体"/>
          <w:sz w:val="24"/>
        </w:rPr>
      </w:pPr>
      <w:r>
        <w:rPr>
          <w:rFonts w:hint="eastAsia" w:ascii="宋体" w:hAnsi="宋体" w:cs="宋体"/>
          <w:sz w:val="24"/>
        </w:rPr>
        <w:t>(2)投标</w:t>
      </w:r>
      <w:r>
        <w:rPr>
          <w:rFonts w:hint="eastAsia" w:ascii="宋体" w:hAnsi="宋体" w:cs="宋体"/>
          <w:kern w:val="0"/>
          <w:sz w:val="24"/>
          <w:lang w:val="zh-CN"/>
        </w:rPr>
        <w:t>技术文件和</w:t>
      </w:r>
      <w:r>
        <w:rPr>
          <w:rFonts w:hint="eastAsia" w:ascii="宋体" w:hAnsi="宋体" w:cs="宋体"/>
          <w:sz w:val="24"/>
          <w:lang w:val="zh-CN"/>
        </w:rPr>
        <w:t>商务文件</w:t>
      </w:r>
      <w:r>
        <w:rPr>
          <w:rFonts w:hint="eastAsia" w:ascii="宋体" w:hAnsi="宋体" w:cs="宋体"/>
          <w:sz w:val="24"/>
        </w:rPr>
        <w:t>；</w:t>
      </w:r>
    </w:p>
    <w:p w14:paraId="2EC87467">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kern w:val="44"/>
          <w:sz w:val="24"/>
        </w:rPr>
        <w:t>编制和提交采购响应文件须知</w:t>
      </w:r>
      <w:r>
        <w:rPr>
          <w:rFonts w:hint="eastAsia" w:ascii="宋体" w:hAnsi="宋体" w:cs="宋体"/>
          <w:sz w:val="24"/>
        </w:rPr>
        <w:t>要求投标人提交的全部文件；</w:t>
      </w:r>
    </w:p>
    <w:p w14:paraId="5B264DA3">
      <w:pPr>
        <w:spacing w:line="360" w:lineRule="auto"/>
        <w:ind w:firstLine="480" w:firstLineChars="200"/>
        <w:jc w:val="left"/>
        <w:rPr>
          <w:rFonts w:hint="eastAsia" w:ascii="宋体" w:hAnsi="宋体" w:cs="宋体"/>
          <w:sz w:val="24"/>
        </w:rPr>
      </w:pPr>
      <w:r>
        <w:rPr>
          <w:rFonts w:hint="eastAsia" w:ascii="宋体" w:hAnsi="宋体" w:cs="宋体"/>
          <w:sz w:val="24"/>
        </w:rPr>
        <w:t>(4)按招标文件要求提供和交付的货物和服务的投标报价详见投标(开标)一览表；</w:t>
      </w:r>
    </w:p>
    <w:p w14:paraId="677D4539">
      <w:pPr>
        <w:spacing w:line="360" w:lineRule="auto"/>
        <w:ind w:firstLine="480" w:firstLineChars="200"/>
        <w:jc w:val="left"/>
        <w:rPr>
          <w:rFonts w:hint="eastAsia" w:ascii="宋体" w:hAnsi="宋体" w:cs="宋体"/>
          <w:sz w:val="24"/>
        </w:rPr>
      </w:pPr>
      <w:r>
        <w:rPr>
          <w:rFonts w:hint="eastAsia" w:ascii="宋体" w:hAnsi="宋体" w:cs="宋体"/>
          <w:sz w:val="24"/>
        </w:rPr>
        <w:t>(5)保证忠实地执行双方所签订的合同，并承担合同规定的责任和义务；</w:t>
      </w:r>
    </w:p>
    <w:p w14:paraId="4BD581D5">
      <w:pPr>
        <w:spacing w:line="360" w:lineRule="auto"/>
        <w:ind w:firstLine="480" w:firstLineChars="200"/>
        <w:jc w:val="left"/>
        <w:rPr>
          <w:rFonts w:hint="eastAsia" w:ascii="宋体" w:hAnsi="宋体" w:cs="宋体"/>
          <w:sz w:val="24"/>
        </w:rPr>
      </w:pPr>
      <w:r>
        <w:rPr>
          <w:rFonts w:hint="eastAsia" w:ascii="宋体" w:hAnsi="宋体" w:cs="宋体"/>
          <w:sz w:val="24"/>
        </w:rPr>
        <w:t>(6)保证遵守招标文件中的其他有关规定。</w:t>
      </w:r>
    </w:p>
    <w:p w14:paraId="58E2B852">
      <w:pPr>
        <w:spacing w:line="360" w:lineRule="auto"/>
        <w:ind w:firstLine="480" w:firstLineChars="200"/>
        <w:jc w:val="left"/>
        <w:rPr>
          <w:rFonts w:hint="eastAsia" w:ascii="宋体" w:hAnsi="宋体" w:cs="宋体"/>
          <w:sz w:val="24"/>
        </w:rPr>
      </w:pPr>
      <w:r>
        <w:rPr>
          <w:rFonts w:hint="eastAsia" w:ascii="宋体" w:hAnsi="宋体" w:cs="宋体"/>
          <w:sz w:val="24"/>
        </w:rPr>
        <w:t>4.我方完全理解贵方不一定要接受最低价的投标。</w:t>
      </w:r>
    </w:p>
    <w:p w14:paraId="0CC609DE">
      <w:pPr>
        <w:spacing w:line="360" w:lineRule="auto"/>
        <w:ind w:firstLine="480" w:firstLineChars="200"/>
        <w:jc w:val="left"/>
        <w:rPr>
          <w:rFonts w:hint="eastAsia" w:ascii="宋体" w:hAnsi="宋体" w:cs="宋体"/>
          <w:sz w:val="24"/>
        </w:rPr>
      </w:pPr>
      <w:r>
        <w:rPr>
          <w:rFonts w:hint="eastAsia" w:ascii="宋体" w:hAnsi="宋体" w:cs="宋体"/>
          <w:sz w:val="24"/>
        </w:rPr>
        <w:t>5.我方愿意向贵方提供任何与该项投标有关的数据、情况和技术资料。若贵方需要，我方愿意提供我方作出的一切承诺的证明材料。</w:t>
      </w:r>
    </w:p>
    <w:p w14:paraId="24754897">
      <w:pPr>
        <w:spacing w:line="360" w:lineRule="auto"/>
        <w:ind w:firstLine="480" w:firstLineChars="200"/>
        <w:jc w:val="left"/>
        <w:rPr>
          <w:rFonts w:hint="eastAsia" w:ascii="宋体" w:hAnsi="宋体" w:cs="宋体"/>
          <w:sz w:val="24"/>
        </w:rPr>
      </w:pPr>
      <w:r>
        <w:rPr>
          <w:rFonts w:hint="eastAsia" w:ascii="宋体" w:hAnsi="宋体" w:cs="宋体"/>
          <w:sz w:val="24"/>
        </w:rPr>
        <w:t>6.我方已详细审核全部招标文件，包括招标文件修改书(如果有)、参考资料及有关附件，确认无误。</w:t>
      </w:r>
    </w:p>
    <w:p w14:paraId="426E9283">
      <w:pPr>
        <w:spacing w:line="360" w:lineRule="auto"/>
        <w:ind w:firstLine="480" w:firstLineChars="200"/>
        <w:jc w:val="left"/>
        <w:rPr>
          <w:rFonts w:hint="eastAsia" w:ascii="宋体" w:hAnsi="宋体" w:cs="宋体"/>
          <w:sz w:val="24"/>
        </w:rPr>
      </w:pPr>
      <w:r>
        <w:rPr>
          <w:rFonts w:hint="eastAsia" w:ascii="宋体" w:hAnsi="宋体" w:cs="宋体"/>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6F77446">
      <w:pPr>
        <w:spacing w:line="360" w:lineRule="auto"/>
        <w:ind w:firstLine="480" w:firstLineChars="200"/>
        <w:jc w:val="left"/>
        <w:rPr>
          <w:rFonts w:hint="eastAsia" w:ascii="宋体" w:hAnsi="宋体" w:cs="宋体"/>
          <w:sz w:val="24"/>
        </w:rPr>
      </w:pPr>
      <w:r>
        <w:rPr>
          <w:rFonts w:hint="eastAsia" w:ascii="宋体" w:hAnsi="宋体" w:cs="宋体"/>
          <w:sz w:val="24"/>
        </w:rPr>
        <w:t>a)提供虚假材料谋取中标、成交的；</w:t>
      </w:r>
    </w:p>
    <w:p w14:paraId="7E345C3F">
      <w:pPr>
        <w:spacing w:line="360" w:lineRule="auto"/>
        <w:ind w:firstLine="480" w:firstLineChars="200"/>
        <w:jc w:val="left"/>
        <w:rPr>
          <w:rFonts w:hint="eastAsia" w:ascii="宋体" w:hAnsi="宋体" w:cs="宋体"/>
          <w:sz w:val="24"/>
        </w:rPr>
      </w:pPr>
      <w:r>
        <w:rPr>
          <w:rFonts w:hint="eastAsia" w:ascii="宋体" w:hAnsi="宋体" w:cs="宋体"/>
          <w:sz w:val="24"/>
        </w:rPr>
        <w:t>b)采取不正当手段诋毁、排挤其他供应商的；</w:t>
      </w:r>
    </w:p>
    <w:p w14:paraId="39C3CD48">
      <w:pPr>
        <w:spacing w:line="360" w:lineRule="auto"/>
        <w:ind w:firstLine="480" w:firstLineChars="200"/>
        <w:jc w:val="left"/>
        <w:rPr>
          <w:rFonts w:hint="eastAsia" w:ascii="宋体" w:hAnsi="宋体" w:cs="宋体"/>
          <w:sz w:val="24"/>
        </w:rPr>
      </w:pPr>
      <w:r>
        <w:rPr>
          <w:rFonts w:hint="eastAsia" w:ascii="宋体" w:hAnsi="宋体" w:cs="宋体"/>
          <w:sz w:val="24"/>
        </w:rPr>
        <w:t>c)与采购人、其他供应商或者采购代理机构恶意串通的；</w:t>
      </w:r>
    </w:p>
    <w:p w14:paraId="27A70851">
      <w:pPr>
        <w:spacing w:line="360" w:lineRule="auto"/>
        <w:ind w:firstLine="480" w:firstLineChars="200"/>
        <w:jc w:val="left"/>
        <w:rPr>
          <w:rFonts w:hint="eastAsia" w:ascii="宋体" w:hAnsi="宋体" w:cs="宋体"/>
          <w:sz w:val="24"/>
        </w:rPr>
      </w:pPr>
      <w:r>
        <w:rPr>
          <w:rFonts w:hint="eastAsia" w:ascii="宋体" w:hAnsi="宋体" w:cs="宋体"/>
          <w:sz w:val="24"/>
        </w:rPr>
        <w:t>d)向采购人、采购代理机构行贿或者提供其他不正当利益的；</w:t>
      </w:r>
    </w:p>
    <w:p w14:paraId="4DF6D801">
      <w:pPr>
        <w:spacing w:line="360" w:lineRule="auto"/>
        <w:ind w:firstLine="480" w:firstLineChars="200"/>
        <w:jc w:val="left"/>
        <w:rPr>
          <w:rFonts w:hint="eastAsia" w:ascii="宋体" w:hAnsi="宋体" w:cs="宋体"/>
          <w:sz w:val="24"/>
        </w:rPr>
      </w:pPr>
      <w:r>
        <w:rPr>
          <w:rFonts w:hint="eastAsia" w:ascii="宋体" w:hAnsi="宋体" w:cs="宋体"/>
          <w:sz w:val="24"/>
        </w:rPr>
        <w:t>e)在招标采购过程中与采购人进行协商谈判的；</w:t>
      </w:r>
    </w:p>
    <w:p w14:paraId="11C96A45">
      <w:pPr>
        <w:spacing w:line="360" w:lineRule="auto"/>
        <w:ind w:firstLine="480" w:firstLineChars="200"/>
        <w:jc w:val="left"/>
        <w:rPr>
          <w:rFonts w:hint="eastAsia" w:ascii="宋体" w:hAnsi="宋体" w:cs="宋体"/>
          <w:sz w:val="24"/>
        </w:rPr>
      </w:pPr>
      <w:r>
        <w:rPr>
          <w:rFonts w:hint="eastAsia" w:ascii="宋体" w:hAnsi="宋体" w:cs="宋体"/>
          <w:sz w:val="24"/>
        </w:rPr>
        <w:t>f)拒绝有关部门监督检查或提供虚假情况的。</w:t>
      </w:r>
    </w:p>
    <w:p w14:paraId="76FE8C9D">
      <w:pPr>
        <w:spacing w:line="360" w:lineRule="auto"/>
        <w:ind w:firstLine="480" w:firstLineChars="200"/>
        <w:jc w:val="left"/>
        <w:rPr>
          <w:rFonts w:hint="eastAsia" w:ascii="宋体" w:hAnsi="宋体" w:cs="宋体"/>
          <w:sz w:val="24"/>
        </w:rPr>
      </w:pPr>
      <w:r>
        <w:rPr>
          <w:rFonts w:hint="eastAsia" w:ascii="宋体" w:hAnsi="宋体" w:cs="宋体"/>
          <w:sz w:val="24"/>
        </w:rPr>
        <w:t>供应商有前款第a)至e)项情形之一的，中标、成交无效。</w:t>
      </w:r>
    </w:p>
    <w:p w14:paraId="1E65620A">
      <w:pPr>
        <w:spacing w:line="360" w:lineRule="auto"/>
        <w:ind w:firstLine="3600" w:firstLineChars="1500"/>
        <w:jc w:val="left"/>
        <w:rPr>
          <w:rFonts w:hint="eastAsia" w:ascii="宋体" w:hAnsi="宋体" w:cs="宋体"/>
          <w:sz w:val="24"/>
        </w:rPr>
      </w:pPr>
    </w:p>
    <w:p w14:paraId="326EEEFA">
      <w:pPr>
        <w:spacing w:line="360" w:lineRule="auto"/>
        <w:ind w:firstLine="3600" w:firstLineChars="1500"/>
        <w:jc w:val="left"/>
        <w:rPr>
          <w:rFonts w:hint="eastAsia" w:ascii="宋体" w:hAnsi="宋体" w:cs="宋体"/>
          <w:sz w:val="24"/>
        </w:rPr>
      </w:pPr>
      <w:r>
        <w:rPr>
          <w:rFonts w:hint="eastAsia" w:ascii="宋体" w:hAnsi="宋体" w:cs="宋体"/>
          <w:sz w:val="24"/>
        </w:rPr>
        <w:t>投标人名称（公章）：</w:t>
      </w:r>
    </w:p>
    <w:p w14:paraId="64D2C263">
      <w:pPr>
        <w:spacing w:line="360" w:lineRule="auto"/>
        <w:ind w:firstLine="3600" w:firstLineChars="1500"/>
        <w:jc w:val="left"/>
        <w:rPr>
          <w:rFonts w:hint="eastAsia" w:ascii="宋体" w:hAnsi="宋体" w:cs="宋体"/>
          <w:sz w:val="24"/>
        </w:rPr>
      </w:pPr>
      <w:r>
        <w:rPr>
          <w:rFonts w:hint="eastAsia" w:ascii="宋体" w:hAnsi="宋体" w:cs="宋体"/>
          <w:sz w:val="24"/>
        </w:rPr>
        <w:t>法定代表人或其授权代表（签字或盖章）：</w:t>
      </w:r>
    </w:p>
    <w:p w14:paraId="04783A71">
      <w:pPr>
        <w:spacing w:line="360" w:lineRule="auto"/>
        <w:ind w:firstLine="3600" w:firstLineChars="1500"/>
        <w:jc w:val="left"/>
        <w:rPr>
          <w:rFonts w:hint="eastAsia" w:ascii="宋体" w:hAnsi="宋体" w:cs="宋体"/>
          <w:sz w:val="24"/>
        </w:rPr>
      </w:pPr>
      <w:r>
        <w:rPr>
          <w:rFonts w:hint="eastAsia" w:ascii="宋体" w:hAnsi="宋体" w:cs="宋体"/>
          <w:sz w:val="24"/>
        </w:rPr>
        <w:t>日期：  年   月   日</w:t>
      </w:r>
    </w:p>
    <w:p w14:paraId="1366B8CD">
      <w:pPr>
        <w:spacing w:line="360" w:lineRule="auto"/>
        <w:ind w:left="420" w:leftChars="200" w:firstLine="4200" w:firstLineChars="1750"/>
        <w:rPr>
          <w:rFonts w:hint="eastAsia" w:ascii="宋体" w:hAnsi="宋体" w:cs="宋体"/>
          <w:kern w:val="0"/>
          <w:sz w:val="24"/>
          <w:u w:val="single"/>
          <w:lang w:val="zh-CN"/>
        </w:rPr>
      </w:pPr>
    </w:p>
    <w:p w14:paraId="66CC4957">
      <w:pPr>
        <w:spacing w:line="360" w:lineRule="auto"/>
        <w:ind w:left="420" w:leftChars="200"/>
        <w:rPr>
          <w:rFonts w:hint="eastAsia" w:ascii="宋体" w:hAnsi="宋体" w:cs="宋体"/>
          <w:kern w:val="0"/>
          <w:sz w:val="24"/>
        </w:rPr>
      </w:pPr>
      <w:r>
        <w:rPr>
          <w:rFonts w:hint="eastAsia" w:ascii="宋体" w:hAnsi="宋体" w:cs="宋体"/>
          <w:kern w:val="0"/>
          <w:sz w:val="24"/>
          <w:lang w:val="zh-CN"/>
        </w:rPr>
        <w:t xml:space="preserve">联系人：                               联系电话： </w:t>
      </w:r>
    </w:p>
    <w:p w14:paraId="462689A3">
      <w:pPr>
        <w:spacing w:line="360" w:lineRule="auto"/>
        <w:ind w:left="420" w:leftChars="200"/>
        <w:rPr>
          <w:rFonts w:hint="eastAsia" w:ascii="宋体" w:hAnsi="宋体" w:cs="宋体"/>
          <w:kern w:val="0"/>
          <w:sz w:val="24"/>
        </w:rPr>
      </w:pPr>
      <w:r>
        <w:rPr>
          <w:rFonts w:hint="eastAsia" w:ascii="宋体" w:hAnsi="宋体" w:cs="宋体"/>
          <w:kern w:val="0"/>
          <w:sz w:val="24"/>
          <w:lang w:val="zh-CN"/>
        </w:rPr>
        <w:t>联系地址：</w:t>
      </w:r>
    </w:p>
    <w:p w14:paraId="4F7B15CB">
      <w:pPr>
        <w:spacing w:line="360" w:lineRule="auto"/>
        <w:ind w:left="420" w:leftChars="200"/>
        <w:rPr>
          <w:rFonts w:hint="eastAsia" w:ascii="宋体" w:hAnsi="宋体" w:cs="宋体"/>
          <w:kern w:val="0"/>
          <w:sz w:val="24"/>
        </w:rPr>
      </w:pPr>
      <w:r>
        <w:rPr>
          <w:rFonts w:hint="eastAsia" w:ascii="宋体" w:hAnsi="宋体" w:cs="宋体"/>
          <w:kern w:val="0"/>
          <w:sz w:val="24"/>
          <w:lang w:val="zh-CN"/>
        </w:rPr>
        <w:t>邮政编码：                             传真号码：</w:t>
      </w:r>
    </w:p>
    <w:p w14:paraId="3FFFF5F2">
      <w:pPr>
        <w:spacing w:line="360" w:lineRule="auto"/>
        <w:rPr>
          <w:rFonts w:hint="eastAsia" w:ascii="宋体" w:hAnsi="宋体" w:cs="宋体"/>
          <w:b/>
          <w:kern w:val="0"/>
          <w:sz w:val="24"/>
          <w:lang w:val="zh-CN"/>
        </w:rPr>
      </w:pPr>
    </w:p>
    <w:p w14:paraId="598B1FA7">
      <w:pPr>
        <w:spacing w:line="360" w:lineRule="auto"/>
        <w:rPr>
          <w:rFonts w:hint="eastAsia" w:ascii="宋体" w:hAnsi="宋体" w:cs="宋体"/>
          <w:kern w:val="0"/>
          <w:sz w:val="24"/>
          <w:lang w:val="zh-CN"/>
        </w:rPr>
      </w:pPr>
      <w:r>
        <w:rPr>
          <w:rFonts w:hint="eastAsia" w:ascii="宋体" w:hAnsi="宋体" w:cs="宋体"/>
          <w:b/>
          <w:kern w:val="0"/>
          <w:sz w:val="24"/>
          <w:lang w:val="zh-CN"/>
        </w:rPr>
        <w:t>注：未按照本投标响应函要求填报的将被视为非实质性响应投标，从而可能导致该投标被拒绝。</w:t>
      </w:r>
    </w:p>
    <w:p w14:paraId="494A223C">
      <w:pPr>
        <w:spacing w:line="360" w:lineRule="auto"/>
        <w:rPr>
          <w:rFonts w:hint="eastAsia" w:ascii="宋体" w:hAnsi="宋体" w:cs="宋体"/>
          <w:sz w:val="24"/>
        </w:rPr>
      </w:pPr>
    </w:p>
    <w:p w14:paraId="3C102619">
      <w:pPr>
        <w:widowControl/>
        <w:spacing w:line="360" w:lineRule="auto"/>
        <w:jc w:val="left"/>
        <w:rPr>
          <w:rFonts w:hint="eastAsia" w:ascii="宋体" w:hAnsi="宋体" w:cs="宋体"/>
          <w:b/>
          <w:bCs/>
          <w:sz w:val="24"/>
        </w:rPr>
      </w:pPr>
      <w:r>
        <w:rPr>
          <w:rFonts w:hint="eastAsia" w:ascii="宋体" w:hAnsi="宋体" w:cs="宋体"/>
          <w:b/>
          <w:bCs/>
          <w:sz w:val="24"/>
        </w:rPr>
        <w:br w:type="page"/>
      </w:r>
    </w:p>
    <w:p w14:paraId="52925FCD">
      <w:pPr>
        <w:spacing w:line="360" w:lineRule="auto"/>
        <w:rPr>
          <w:rFonts w:hint="eastAsia" w:ascii="宋体" w:hAnsi="宋体" w:cs="宋体"/>
          <w:b/>
          <w:bCs/>
          <w:sz w:val="24"/>
        </w:rPr>
      </w:pPr>
    </w:p>
    <w:p w14:paraId="547229B1">
      <w:pPr>
        <w:spacing w:line="360" w:lineRule="auto"/>
        <w:rPr>
          <w:rFonts w:hint="eastAsia" w:ascii="宋体" w:hAnsi="宋体" w:cs="宋体"/>
          <w:b/>
          <w:bCs/>
          <w:sz w:val="28"/>
          <w:szCs w:val="28"/>
        </w:rPr>
      </w:pPr>
      <w:r>
        <w:rPr>
          <w:rFonts w:hint="eastAsia" w:ascii="宋体" w:hAnsi="宋体" w:cs="宋体"/>
          <w:b/>
          <w:bCs/>
          <w:sz w:val="28"/>
          <w:szCs w:val="28"/>
        </w:rPr>
        <w:t>投标（开标）一览表格式：</w:t>
      </w:r>
    </w:p>
    <w:p w14:paraId="3AB64C8F">
      <w:pPr>
        <w:spacing w:line="360" w:lineRule="auto"/>
        <w:jc w:val="center"/>
        <w:rPr>
          <w:rFonts w:hint="eastAsia" w:ascii="宋体" w:hAnsi="宋体" w:cs="宋体"/>
          <w:b/>
          <w:bCs/>
          <w:sz w:val="24"/>
        </w:rPr>
      </w:pPr>
    </w:p>
    <w:p w14:paraId="7EA3DAF1">
      <w:pPr>
        <w:spacing w:line="360" w:lineRule="auto"/>
        <w:jc w:val="center"/>
        <w:rPr>
          <w:rFonts w:hint="eastAsia" w:ascii="宋体" w:hAnsi="宋体" w:cs="宋体"/>
          <w:b/>
          <w:bCs/>
          <w:sz w:val="28"/>
          <w:szCs w:val="28"/>
        </w:rPr>
      </w:pPr>
      <w:r>
        <w:rPr>
          <w:rFonts w:hint="eastAsia" w:ascii="宋体" w:hAnsi="宋体" w:cs="宋体"/>
          <w:b/>
          <w:bCs/>
          <w:sz w:val="28"/>
          <w:szCs w:val="28"/>
        </w:rPr>
        <w:t>投标（开标）一览表</w:t>
      </w:r>
    </w:p>
    <w:p w14:paraId="6F135D50">
      <w:pPr>
        <w:spacing w:line="360" w:lineRule="auto"/>
      </w:pPr>
      <w:r>
        <w:rPr>
          <w:rFonts w:hint="eastAsia"/>
        </w:rPr>
        <w:t>项目名称：       标项：</w:t>
      </w:r>
    </w:p>
    <w:p w14:paraId="54EFB960">
      <w:pPr>
        <w:spacing w:line="360" w:lineRule="auto"/>
        <w:rPr>
          <w:u w:val="single"/>
        </w:rPr>
      </w:pPr>
      <w:r>
        <w:rPr>
          <w:rFonts w:hint="eastAsia"/>
        </w:rPr>
        <w:t>项目编号：</w:t>
      </w:r>
    </w:p>
    <w:p w14:paraId="0BA786B3">
      <w:pPr>
        <w:spacing w:line="360" w:lineRule="auto"/>
      </w:pPr>
      <w:r>
        <w:rPr>
          <w:rFonts w:hint="eastAsia"/>
        </w:rPr>
        <w:t>金额单位：人民币（元）</w:t>
      </w:r>
    </w:p>
    <w:tbl>
      <w:tblPr>
        <w:tblStyle w:val="35"/>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359"/>
        <w:gridCol w:w="1473"/>
        <w:gridCol w:w="1524"/>
        <w:gridCol w:w="1580"/>
      </w:tblGrid>
      <w:tr w14:paraId="6256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859" w:type="dxa"/>
            <w:vAlign w:val="center"/>
          </w:tcPr>
          <w:p w14:paraId="34E726F1">
            <w:pPr>
              <w:spacing w:line="360" w:lineRule="auto"/>
              <w:rPr>
                <w:kern w:val="0"/>
              </w:rPr>
            </w:pPr>
            <w:bookmarkStart w:id="77" w:name="_Toc28654"/>
            <w:bookmarkStart w:id="78" w:name="_Toc20313"/>
            <w:r>
              <w:rPr>
                <w:rFonts w:hint="eastAsia"/>
                <w:kern w:val="0"/>
              </w:rPr>
              <w:t>项目内容</w:t>
            </w:r>
            <w:bookmarkEnd w:id="77"/>
            <w:bookmarkEnd w:id="78"/>
          </w:p>
        </w:tc>
        <w:tc>
          <w:tcPr>
            <w:tcW w:w="2359" w:type="dxa"/>
            <w:vAlign w:val="center"/>
          </w:tcPr>
          <w:p w14:paraId="22CDC1F2">
            <w:pPr>
              <w:spacing w:line="360" w:lineRule="auto"/>
              <w:rPr>
                <w:kern w:val="0"/>
              </w:rPr>
            </w:pPr>
            <w:bookmarkStart w:id="79" w:name="_Toc11075"/>
            <w:bookmarkStart w:id="80" w:name="_Toc9344"/>
            <w:r>
              <w:rPr>
                <w:rFonts w:hint="eastAsia"/>
                <w:kern w:val="0"/>
              </w:rPr>
              <w:t>投标报价</w:t>
            </w:r>
            <w:bookmarkEnd w:id="79"/>
            <w:bookmarkEnd w:id="80"/>
          </w:p>
        </w:tc>
        <w:tc>
          <w:tcPr>
            <w:tcW w:w="1473" w:type="dxa"/>
            <w:vAlign w:val="center"/>
          </w:tcPr>
          <w:p w14:paraId="4A9624F3">
            <w:pPr>
              <w:spacing w:line="360" w:lineRule="auto"/>
              <w:rPr>
                <w:kern w:val="0"/>
              </w:rPr>
            </w:pPr>
            <w:bookmarkStart w:id="81" w:name="_Toc31362"/>
            <w:bookmarkStart w:id="82" w:name="_Toc7434"/>
            <w:r>
              <w:rPr>
                <w:rFonts w:hint="eastAsia"/>
              </w:rPr>
              <w:t>质保期</w:t>
            </w:r>
            <w:bookmarkEnd w:id="81"/>
            <w:bookmarkEnd w:id="82"/>
          </w:p>
        </w:tc>
        <w:tc>
          <w:tcPr>
            <w:tcW w:w="1524" w:type="dxa"/>
            <w:vAlign w:val="center"/>
          </w:tcPr>
          <w:p w14:paraId="7D14556A">
            <w:pPr>
              <w:spacing w:line="360" w:lineRule="auto"/>
              <w:rPr>
                <w:kern w:val="0"/>
              </w:rPr>
            </w:pPr>
            <w:bookmarkStart w:id="83" w:name="_Toc17104"/>
            <w:bookmarkStart w:id="84" w:name="_Toc24521"/>
            <w:r>
              <w:rPr>
                <w:rFonts w:hint="eastAsia"/>
                <w:kern w:val="0"/>
              </w:rPr>
              <w:t>交货期</w:t>
            </w:r>
            <w:bookmarkEnd w:id="83"/>
            <w:bookmarkEnd w:id="84"/>
          </w:p>
        </w:tc>
        <w:tc>
          <w:tcPr>
            <w:tcW w:w="1580" w:type="dxa"/>
            <w:vAlign w:val="center"/>
          </w:tcPr>
          <w:p w14:paraId="101DCD3B">
            <w:pPr>
              <w:spacing w:line="360" w:lineRule="auto"/>
              <w:rPr>
                <w:kern w:val="0"/>
              </w:rPr>
            </w:pPr>
            <w:bookmarkStart w:id="85" w:name="_Toc763"/>
            <w:bookmarkStart w:id="86" w:name="_Toc27869"/>
            <w:r>
              <w:rPr>
                <w:rFonts w:hint="eastAsia"/>
                <w:kern w:val="0"/>
              </w:rPr>
              <w:t>备注</w:t>
            </w:r>
            <w:bookmarkEnd w:id="85"/>
            <w:bookmarkEnd w:id="86"/>
          </w:p>
        </w:tc>
      </w:tr>
      <w:tr w14:paraId="5CA6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859" w:type="dxa"/>
            <w:vAlign w:val="center"/>
          </w:tcPr>
          <w:p w14:paraId="3E6EDCA1">
            <w:pPr>
              <w:spacing w:line="360" w:lineRule="auto"/>
              <w:rPr>
                <w:rFonts w:hint="eastAsia" w:eastAsia="宋体"/>
                <w:kern w:val="0"/>
                <w:lang w:eastAsia="zh-CN"/>
              </w:rPr>
            </w:pPr>
            <w:r>
              <w:rPr>
                <w:rFonts w:hint="eastAsia"/>
                <w:lang w:eastAsia="zh-CN"/>
              </w:rPr>
              <w:t>浙江省舟山市消防救援支队2024年全市器材装备（破拆类二）采购项目</w:t>
            </w:r>
          </w:p>
        </w:tc>
        <w:tc>
          <w:tcPr>
            <w:tcW w:w="2359" w:type="dxa"/>
            <w:vAlign w:val="center"/>
          </w:tcPr>
          <w:p w14:paraId="3E12DBB0">
            <w:pPr>
              <w:spacing w:line="360" w:lineRule="auto"/>
              <w:rPr>
                <w:kern w:val="0"/>
              </w:rPr>
            </w:pPr>
            <w:bookmarkStart w:id="87" w:name="_Toc29741"/>
            <w:bookmarkStart w:id="88" w:name="_Toc18969"/>
            <w:r>
              <w:rPr>
                <w:rFonts w:hint="eastAsia"/>
                <w:kern w:val="0"/>
              </w:rPr>
              <w:t>小写：</w:t>
            </w:r>
            <w:bookmarkEnd w:id="87"/>
            <w:bookmarkEnd w:id="88"/>
            <w:r>
              <w:rPr>
                <w:rFonts w:hint="eastAsia"/>
                <w:kern w:val="0"/>
              </w:rPr>
              <w:t>¥</w:t>
            </w:r>
          </w:p>
          <w:p w14:paraId="7482C88D">
            <w:pPr>
              <w:spacing w:line="360" w:lineRule="auto"/>
              <w:rPr>
                <w:kern w:val="0"/>
              </w:rPr>
            </w:pPr>
            <w:bookmarkStart w:id="89" w:name="_Toc9869"/>
            <w:bookmarkStart w:id="90" w:name="_Toc21686"/>
            <w:r>
              <w:rPr>
                <w:rFonts w:hint="eastAsia"/>
                <w:kern w:val="0"/>
              </w:rPr>
              <w:t>大写：</w:t>
            </w:r>
            <w:bookmarkEnd w:id="89"/>
            <w:bookmarkEnd w:id="90"/>
            <w:r>
              <w:rPr>
                <w:rFonts w:hint="eastAsia"/>
                <w:kern w:val="0"/>
              </w:rPr>
              <w:t xml:space="preserve"> </w:t>
            </w:r>
          </w:p>
        </w:tc>
        <w:tc>
          <w:tcPr>
            <w:tcW w:w="1473" w:type="dxa"/>
            <w:vAlign w:val="center"/>
          </w:tcPr>
          <w:p w14:paraId="5854AC5A">
            <w:pPr>
              <w:spacing w:line="360" w:lineRule="auto"/>
              <w:rPr>
                <w:kern w:val="0"/>
              </w:rPr>
            </w:pPr>
          </w:p>
        </w:tc>
        <w:tc>
          <w:tcPr>
            <w:tcW w:w="1524" w:type="dxa"/>
            <w:vAlign w:val="center"/>
          </w:tcPr>
          <w:p w14:paraId="4364DE86">
            <w:pPr>
              <w:spacing w:line="360" w:lineRule="auto"/>
              <w:rPr>
                <w:kern w:val="0"/>
              </w:rPr>
            </w:pPr>
          </w:p>
        </w:tc>
        <w:tc>
          <w:tcPr>
            <w:tcW w:w="1580" w:type="dxa"/>
            <w:vAlign w:val="center"/>
          </w:tcPr>
          <w:p w14:paraId="0FB98EC1">
            <w:pPr>
              <w:spacing w:line="360" w:lineRule="auto"/>
              <w:rPr>
                <w:kern w:val="0"/>
              </w:rPr>
            </w:pPr>
          </w:p>
        </w:tc>
      </w:tr>
    </w:tbl>
    <w:p w14:paraId="6E3D80B7">
      <w:pPr>
        <w:spacing w:line="360" w:lineRule="auto"/>
      </w:pPr>
      <w:r>
        <w:rPr>
          <w:rFonts w:hint="eastAsia"/>
        </w:rPr>
        <w:t>注： 1.报价一经涂改，应在涂改处加盖单位公章或者由法定代表人或授权代表签字，否则其投标作无效标处理；</w:t>
      </w:r>
    </w:p>
    <w:p w14:paraId="487FEA96">
      <w:pPr>
        <w:spacing w:line="360" w:lineRule="auto"/>
      </w:pPr>
      <w:r>
        <w:rPr>
          <w:rFonts w:hint="eastAsia"/>
        </w:rPr>
        <w:t>2.投标报价应包括为完成本项目所涉及的一切费用；</w:t>
      </w:r>
    </w:p>
    <w:p w14:paraId="6E574AF1">
      <w:pPr>
        <w:spacing w:line="360" w:lineRule="auto"/>
      </w:pPr>
      <w:r>
        <w:rPr>
          <w:rFonts w:hint="eastAsia"/>
        </w:rPr>
        <w:t>3.以上报价应与“投标报价明细表”中的“合计”相一致。</w:t>
      </w:r>
    </w:p>
    <w:p w14:paraId="25E2E036">
      <w:pPr>
        <w:spacing w:line="360" w:lineRule="auto"/>
      </w:pPr>
    </w:p>
    <w:p w14:paraId="0BC03762">
      <w:pPr>
        <w:spacing w:line="360" w:lineRule="auto"/>
        <w:rPr>
          <w:spacing w:val="20"/>
        </w:rPr>
      </w:pPr>
      <w:r>
        <w:rPr>
          <w:rFonts w:hint="eastAsia"/>
          <w:spacing w:val="20"/>
        </w:rPr>
        <w:t xml:space="preserve">投标人全称（公章）： </w:t>
      </w:r>
    </w:p>
    <w:p w14:paraId="6819742E">
      <w:pPr>
        <w:spacing w:line="360" w:lineRule="auto"/>
      </w:pPr>
      <w:r>
        <w:rPr>
          <w:rFonts w:hint="eastAsia"/>
        </w:rPr>
        <w:t xml:space="preserve">法定代表人或授权代表（签字）： </w:t>
      </w:r>
    </w:p>
    <w:p w14:paraId="338AF0CA">
      <w:pPr>
        <w:spacing w:line="360" w:lineRule="auto"/>
        <w:rPr>
          <w:spacing w:val="20"/>
          <w:u w:val="single"/>
        </w:rPr>
      </w:pPr>
      <w:r>
        <w:rPr>
          <w:rFonts w:hint="eastAsia"/>
          <w:spacing w:val="20"/>
        </w:rPr>
        <w:t>日 期：</w:t>
      </w:r>
    </w:p>
    <w:p w14:paraId="74443452">
      <w:pPr>
        <w:spacing w:line="360" w:lineRule="auto"/>
      </w:pPr>
    </w:p>
    <w:p w14:paraId="77981DCE">
      <w:pPr>
        <w:spacing w:line="360" w:lineRule="auto"/>
      </w:pPr>
    </w:p>
    <w:p w14:paraId="21BC56F5">
      <w:pPr>
        <w:spacing w:line="360" w:lineRule="auto"/>
        <w:rPr>
          <w:rFonts w:hint="eastAsia" w:ascii="宋体" w:hAnsi="宋体" w:cs="宋体"/>
          <w:sz w:val="24"/>
        </w:rPr>
      </w:pPr>
      <w:r>
        <w:rPr>
          <w:rFonts w:hint="eastAsia" w:ascii="宋体" w:hAnsi="宋体" w:cs="宋体"/>
          <w:sz w:val="24"/>
        </w:rPr>
        <w:br w:type="page"/>
      </w:r>
      <w:r>
        <w:rPr>
          <w:rFonts w:hint="eastAsia" w:ascii="宋体" w:hAnsi="宋体" w:cs="宋体"/>
          <w:b/>
          <w:bCs/>
          <w:sz w:val="28"/>
          <w:szCs w:val="28"/>
        </w:rPr>
        <w:t>投标报价明细表格式：</w:t>
      </w:r>
    </w:p>
    <w:p w14:paraId="5160B6DD">
      <w:pPr>
        <w:spacing w:line="360" w:lineRule="auto"/>
        <w:jc w:val="center"/>
        <w:rPr>
          <w:rFonts w:hint="eastAsia" w:ascii="宋体" w:hAnsi="宋体" w:cs="宋体"/>
          <w:b/>
          <w:sz w:val="24"/>
        </w:rPr>
      </w:pPr>
      <w:r>
        <w:rPr>
          <w:rFonts w:hint="eastAsia" w:ascii="宋体" w:hAnsi="宋体" w:cs="宋体"/>
          <w:b/>
          <w:sz w:val="28"/>
          <w:szCs w:val="28"/>
        </w:rPr>
        <w:t>投标报价明细表</w:t>
      </w:r>
    </w:p>
    <w:p w14:paraId="06542F87">
      <w:pPr>
        <w:spacing w:line="360" w:lineRule="auto"/>
        <w:rPr>
          <w:rFonts w:hint="eastAsia" w:ascii="宋体" w:hAnsi="宋体" w:cs="宋体"/>
          <w:sz w:val="24"/>
        </w:rPr>
      </w:pPr>
      <w:r>
        <w:rPr>
          <w:rFonts w:hint="eastAsia" w:ascii="宋体" w:hAnsi="宋体" w:cs="宋体"/>
          <w:sz w:val="24"/>
        </w:rPr>
        <w:t>项目名称：             标项：</w:t>
      </w:r>
    </w:p>
    <w:p w14:paraId="66B00F74">
      <w:pPr>
        <w:spacing w:line="360" w:lineRule="auto"/>
        <w:rPr>
          <w:rFonts w:hint="eastAsia" w:ascii="宋体" w:hAnsi="宋体" w:cs="宋体"/>
          <w:sz w:val="24"/>
        </w:rPr>
      </w:pPr>
      <w:r>
        <w:rPr>
          <w:rFonts w:hint="eastAsia" w:ascii="宋体" w:hAnsi="宋体" w:cs="宋体"/>
          <w:sz w:val="24"/>
        </w:rPr>
        <w:t>项目编号：</w:t>
      </w:r>
    </w:p>
    <w:p w14:paraId="0B4DC4F0">
      <w:pPr>
        <w:spacing w:line="360" w:lineRule="auto"/>
        <w:rPr>
          <w:rFonts w:hint="eastAsia" w:ascii="宋体" w:hAnsi="宋体" w:cs="宋体"/>
          <w:sz w:val="24"/>
        </w:rPr>
      </w:pPr>
    </w:p>
    <w:p w14:paraId="4188DEF7">
      <w:pPr>
        <w:spacing w:line="360" w:lineRule="auto"/>
        <w:ind w:firstLine="3120" w:firstLineChars="1300"/>
        <w:jc w:val="right"/>
        <w:rPr>
          <w:rFonts w:hint="eastAsia" w:ascii="宋体" w:hAnsi="宋体" w:cs="宋体"/>
          <w:sz w:val="24"/>
        </w:rPr>
      </w:pPr>
      <w:r>
        <w:rPr>
          <w:rFonts w:hint="eastAsia" w:ascii="宋体" w:hAnsi="宋体" w:cs="宋体"/>
          <w:sz w:val="24"/>
        </w:rPr>
        <w:t>金额单位：人民币（元）</w:t>
      </w:r>
    </w:p>
    <w:tbl>
      <w:tblPr>
        <w:tblStyle w:val="35"/>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4"/>
        <w:gridCol w:w="1396"/>
        <w:gridCol w:w="1774"/>
        <w:gridCol w:w="887"/>
        <w:gridCol w:w="887"/>
        <w:gridCol w:w="887"/>
        <w:gridCol w:w="698"/>
        <w:gridCol w:w="781"/>
        <w:gridCol w:w="892"/>
        <w:gridCol w:w="804"/>
      </w:tblGrid>
      <w:tr w14:paraId="0AFB6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3ADE70EA">
            <w:pPr>
              <w:adjustRightInd w:val="0"/>
              <w:spacing w:line="360" w:lineRule="auto"/>
              <w:jc w:val="center"/>
              <w:rPr>
                <w:rFonts w:hint="eastAsia" w:ascii="宋体" w:hAnsi="宋体" w:cs="宋体"/>
                <w:sz w:val="24"/>
              </w:rPr>
            </w:pPr>
            <w:r>
              <w:rPr>
                <w:rFonts w:hint="eastAsia" w:ascii="宋体" w:hAnsi="宋体" w:cs="宋体"/>
                <w:sz w:val="24"/>
              </w:rPr>
              <w:t>序号</w:t>
            </w:r>
          </w:p>
        </w:tc>
        <w:tc>
          <w:tcPr>
            <w:tcW w:w="1396" w:type="dxa"/>
            <w:tcBorders>
              <w:top w:val="single" w:color="auto" w:sz="4" w:space="0"/>
              <w:left w:val="single" w:color="auto" w:sz="4" w:space="0"/>
              <w:bottom w:val="single" w:color="auto" w:sz="4" w:space="0"/>
              <w:right w:val="single" w:color="auto" w:sz="4" w:space="0"/>
            </w:tcBorders>
            <w:vAlign w:val="center"/>
          </w:tcPr>
          <w:p w14:paraId="029E89EB">
            <w:pPr>
              <w:adjustRightInd w:val="0"/>
              <w:spacing w:line="360" w:lineRule="auto"/>
              <w:jc w:val="center"/>
              <w:rPr>
                <w:rFonts w:hint="eastAsia" w:ascii="宋体" w:hAnsi="宋体" w:cs="宋体"/>
                <w:sz w:val="24"/>
              </w:rPr>
            </w:pPr>
            <w:r>
              <w:rPr>
                <w:rFonts w:hint="eastAsia" w:ascii="宋体" w:hAnsi="宋体" w:cs="宋体"/>
                <w:sz w:val="24"/>
              </w:rPr>
              <w:t>名称</w:t>
            </w:r>
          </w:p>
        </w:tc>
        <w:tc>
          <w:tcPr>
            <w:tcW w:w="1774" w:type="dxa"/>
            <w:tcBorders>
              <w:top w:val="single" w:color="auto" w:sz="4" w:space="0"/>
              <w:left w:val="single" w:color="auto" w:sz="4" w:space="0"/>
              <w:bottom w:val="single" w:color="auto" w:sz="4" w:space="0"/>
              <w:right w:val="single" w:color="auto" w:sz="4" w:space="0"/>
            </w:tcBorders>
            <w:vAlign w:val="center"/>
          </w:tcPr>
          <w:p w14:paraId="171DA5BC">
            <w:pPr>
              <w:adjustRightInd w:val="0"/>
              <w:spacing w:line="360" w:lineRule="auto"/>
              <w:jc w:val="center"/>
              <w:rPr>
                <w:rFonts w:hint="eastAsia" w:ascii="宋体" w:hAnsi="宋体" w:cs="宋体"/>
                <w:sz w:val="24"/>
              </w:rPr>
            </w:pPr>
            <w:r>
              <w:rPr>
                <w:rFonts w:hint="eastAsia" w:ascii="宋体" w:hAnsi="宋体" w:cs="宋体"/>
                <w:sz w:val="24"/>
              </w:rPr>
              <w:t>品牌</w:t>
            </w:r>
          </w:p>
        </w:tc>
        <w:tc>
          <w:tcPr>
            <w:tcW w:w="887" w:type="dxa"/>
            <w:tcBorders>
              <w:top w:val="single" w:color="auto" w:sz="4" w:space="0"/>
              <w:left w:val="single" w:color="auto" w:sz="4" w:space="0"/>
              <w:bottom w:val="single" w:color="auto" w:sz="4" w:space="0"/>
              <w:right w:val="single" w:color="auto" w:sz="4" w:space="0"/>
            </w:tcBorders>
            <w:vAlign w:val="center"/>
          </w:tcPr>
          <w:p w14:paraId="676BDAF7">
            <w:pPr>
              <w:adjustRightInd w:val="0"/>
              <w:spacing w:line="360" w:lineRule="auto"/>
              <w:jc w:val="center"/>
              <w:rPr>
                <w:rFonts w:hint="eastAsia" w:ascii="宋体" w:hAnsi="宋体" w:cs="宋体"/>
                <w:sz w:val="24"/>
              </w:rPr>
            </w:pPr>
            <w:r>
              <w:rPr>
                <w:rFonts w:hint="eastAsia" w:ascii="宋体" w:hAnsi="宋体" w:cs="宋体"/>
                <w:sz w:val="24"/>
              </w:rPr>
              <w:t>产地</w:t>
            </w:r>
          </w:p>
        </w:tc>
        <w:tc>
          <w:tcPr>
            <w:tcW w:w="887" w:type="dxa"/>
            <w:tcBorders>
              <w:top w:val="single" w:color="auto" w:sz="4" w:space="0"/>
              <w:left w:val="single" w:color="auto" w:sz="4" w:space="0"/>
              <w:bottom w:val="single" w:color="auto" w:sz="4" w:space="0"/>
              <w:right w:val="single" w:color="auto" w:sz="4" w:space="0"/>
            </w:tcBorders>
            <w:vAlign w:val="center"/>
          </w:tcPr>
          <w:p w14:paraId="2FBC1304">
            <w:pPr>
              <w:adjustRightInd w:val="0"/>
              <w:spacing w:line="360" w:lineRule="auto"/>
              <w:jc w:val="center"/>
              <w:rPr>
                <w:rFonts w:hint="eastAsia" w:ascii="宋体" w:hAnsi="宋体" w:cs="宋体"/>
                <w:sz w:val="24"/>
              </w:rPr>
            </w:pPr>
            <w:r>
              <w:rPr>
                <w:rFonts w:hint="eastAsia" w:ascii="宋体" w:hAnsi="宋体" w:cs="宋体"/>
                <w:sz w:val="24"/>
              </w:rPr>
              <w:t>规格</w:t>
            </w:r>
          </w:p>
        </w:tc>
        <w:tc>
          <w:tcPr>
            <w:tcW w:w="887" w:type="dxa"/>
            <w:tcBorders>
              <w:top w:val="single" w:color="auto" w:sz="4" w:space="0"/>
              <w:left w:val="single" w:color="auto" w:sz="4" w:space="0"/>
              <w:bottom w:val="single" w:color="auto" w:sz="4" w:space="0"/>
              <w:right w:val="single" w:color="auto" w:sz="4" w:space="0"/>
            </w:tcBorders>
            <w:vAlign w:val="center"/>
          </w:tcPr>
          <w:p w14:paraId="5D325FC3">
            <w:pPr>
              <w:adjustRightInd w:val="0"/>
              <w:spacing w:line="360" w:lineRule="auto"/>
              <w:jc w:val="center"/>
              <w:rPr>
                <w:rFonts w:hint="eastAsia" w:ascii="宋体" w:hAnsi="宋体" w:cs="宋体"/>
                <w:sz w:val="24"/>
              </w:rPr>
            </w:pPr>
            <w:r>
              <w:rPr>
                <w:rFonts w:hint="eastAsia" w:ascii="宋体" w:hAnsi="宋体" w:cs="宋体"/>
                <w:sz w:val="24"/>
              </w:rPr>
              <w:t>型号</w:t>
            </w:r>
          </w:p>
        </w:tc>
        <w:tc>
          <w:tcPr>
            <w:tcW w:w="698" w:type="dxa"/>
            <w:tcBorders>
              <w:top w:val="single" w:color="auto" w:sz="4" w:space="0"/>
              <w:left w:val="single" w:color="auto" w:sz="4" w:space="0"/>
              <w:bottom w:val="single" w:color="auto" w:sz="4" w:space="0"/>
              <w:right w:val="single" w:color="auto" w:sz="4" w:space="0"/>
            </w:tcBorders>
            <w:vAlign w:val="center"/>
          </w:tcPr>
          <w:p w14:paraId="70909779">
            <w:pPr>
              <w:adjustRightInd w:val="0"/>
              <w:spacing w:line="360" w:lineRule="auto"/>
              <w:jc w:val="center"/>
              <w:rPr>
                <w:rFonts w:hint="eastAsia" w:ascii="宋体" w:hAnsi="宋体" w:cs="宋体"/>
                <w:sz w:val="24"/>
              </w:rPr>
            </w:pPr>
            <w:r>
              <w:rPr>
                <w:rFonts w:hint="eastAsia" w:ascii="宋体" w:hAnsi="宋体" w:cs="宋体"/>
                <w:sz w:val="24"/>
              </w:rPr>
              <w:t>数量</w:t>
            </w:r>
          </w:p>
        </w:tc>
        <w:tc>
          <w:tcPr>
            <w:tcW w:w="781" w:type="dxa"/>
            <w:tcBorders>
              <w:top w:val="single" w:color="auto" w:sz="4" w:space="0"/>
              <w:left w:val="single" w:color="auto" w:sz="4" w:space="0"/>
              <w:bottom w:val="single" w:color="auto" w:sz="4" w:space="0"/>
              <w:right w:val="single" w:color="auto" w:sz="4" w:space="0"/>
            </w:tcBorders>
            <w:vAlign w:val="center"/>
          </w:tcPr>
          <w:p w14:paraId="761002C7">
            <w:pPr>
              <w:adjustRightInd w:val="0"/>
              <w:spacing w:line="360" w:lineRule="auto"/>
              <w:jc w:val="center"/>
              <w:rPr>
                <w:rFonts w:hint="eastAsia" w:ascii="宋体" w:hAnsi="宋体" w:cs="宋体"/>
                <w:sz w:val="24"/>
              </w:rPr>
            </w:pPr>
            <w:r>
              <w:rPr>
                <w:rFonts w:hint="eastAsia" w:ascii="宋体" w:hAnsi="宋体" w:cs="宋体"/>
                <w:sz w:val="24"/>
              </w:rPr>
              <w:t>单价</w:t>
            </w:r>
          </w:p>
        </w:tc>
        <w:tc>
          <w:tcPr>
            <w:tcW w:w="892" w:type="dxa"/>
            <w:tcBorders>
              <w:top w:val="single" w:color="auto" w:sz="4" w:space="0"/>
              <w:left w:val="single" w:color="auto" w:sz="4" w:space="0"/>
              <w:bottom w:val="single" w:color="auto" w:sz="4" w:space="0"/>
              <w:right w:val="single" w:color="auto" w:sz="4" w:space="0"/>
            </w:tcBorders>
            <w:vAlign w:val="center"/>
          </w:tcPr>
          <w:p w14:paraId="5F477604">
            <w:pPr>
              <w:adjustRightInd w:val="0"/>
              <w:spacing w:line="360" w:lineRule="auto"/>
              <w:jc w:val="center"/>
              <w:rPr>
                <w:rFonts w:hint="eastAsia" w:ascii="宋体" w:hAnsi="宋体" w:cs="宋体"/>
                <w:sz w:val="24"/>
              </w:rPr>
            </w:pPr>
            <w:r>
              <w:rPr>
                <w:rFonts w:hint="eastAsia" w:ascii="宋体" w:hAnsi="宋体" w:cs="宋体"/>
                <w:sz w:val="24"/>
              </w:rPr>
              <w:t>小计</w:t>
            </w:r>
          </w:p>
        </w:tc>
        <w:tc>
          <w:tcPr>
            <w:tcW w:w="804" w:type="dxa"/>
            <w:tcBorders>
              <w:top w:val="single" w:color="auto" w:sz="4" w:space="0"/>
              <w:left w:val="single" w:color="auto" w:sz="4" w:space="0"/>
              <w:bottom w:val="single" w:color="auto" w:sz="4" w:space="0"/>
              <w:right w:val="single" w:color="auto" w:sz="4" w:space="0"/>
            </w:tcBorders>
            <w:vAlign w:val="center"/>
          </w:tcPr>
          <w:p w14:paraId="53875CAE">
            <w:pPr>
              <w:adjustRightInd w:val="0"/>
              <w:spacing w:line="360" w:lineRule="auto"/>
              <w:jc w:val="center"/>
              <w:rPr>
                <w:rFonts w:hint="eastAsia" w:ascii="宋体" w:hAnsi="宋体" w:cs="宋体"/>
                <w:sz w:val="24"/>
              </w:rPr>
            </w:pPr>
            <w:r>
              <w:rPr>
                <w:rFonts w:hint="eastAsia" w:ascii="宋体" w:hAnsi="宋体" w:cs="宋体"/>
                <w:sz w:val="24"/>
              </w:rPr>
              <w:t>有关说明</w:t>
            </w:r>
          </w:p>
        </w:tc>
      </w:tr>
      <w:tr w14:paraId="2122E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right w:val="single" w:color="auto" w:sz="4" w:space="0"/>
            </w:tcBorders>
            <w:vAlign w:val="center"/>
          </w:tcPr>
          <w:p w14:paraId="69DB9F24">
            <w:pPr>
              <w:adjustRightInd w:val="0"/>
              <w:spacing w:line="360" w:lineRule="auto"/>
              <w:jc w:val="center"/>
              <w:rPr>
                <w:rFonts w:hint="eastAsia" w:ascii="宋体" w:hAnsi="宋体" w:cs="宋体"/>
                <w:sz w:val="24"/>
              </w:rPr>
            </w:pPr>
            <w:r>
              <w:rPr>
                <w:rFonts w:hint="eastAsia" w:ascii="宋体" w:hAnsi="宋体" w:cs="宋体"/>
                <w:sz w:val="24"/>
              </w:rPr>
              <w:t>1</w:t>
            </w:r>
          </w:p>
        </w:tc>
        <w:tc>
          <w:tcPr>
            <w:tcW w:w="1396" w:type="dxa"/>
            <w:tcBorders>
              <w:top w:val="single" w:color="auto" w:sz="4" w:space="0"/>
              <w:left w:val="single" w:color="auto" w:sz="4" w:space="0"/>
              <w:right w:val="single" w:color="auto" w:sz="4" w:space="0"/>
            </w:tcBorders>
            <w:vAlign w:val="center"/>
          </w:tcPr>
          <w:p w14:paraId="297508E3">
            <w:pPr>
              <w:adjustRightInd w:val="0"/>
              <w:spacing w:line="360" w:lineRule="auto"/>
              <w:jc w:val="center"/>
              <w:rPr>
                <w:rFonts w:hint="eastAsia"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09E2BA05">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A070537">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A60000C">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FEEA9DF">
            <w:pPr>
              <w:adjustRightInd w:val="0"/>
              <w:spacing w:line="360" w:lineRule="auto"/>
              <w:jc w:val="center"/>
              <w:rPr>
                <w:rFonts w:hint="eastAsia"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71F79DDC">
            <w:pPr>
              <w:adjustRightInd w:val="0"/>
              <w:spacing w:line="360" w:lineRule="auto"/>
              <w:jc w:val="center"/>
              <w:rPr>
                <w:rFonts w:hint="eastAsia"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436FF68F">
            <w:pPr>
              <w:adjustRightInd w:val="0"/>
              <w:spacing w:line="360" w:lineRule="auto"/>
              <w:jc w:val="center"/>
              <w:rPr>
                <w:rFonts w:hint="eastAsia"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3952ACAF">
            <w:pPr>
              <w:adjustRightInd w:val="0"/>
              <w:spacing w:line="360" w:lineRule="auto"/>
              <w:jc w:val="center"/>
              <w:rPr>
                <w:rFonts w:hint="eastAsia"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33B77C28">
            <w:pPr>
              <w:adjustRightInd w:val="0"/>
              <w:spacing w:line="360" w:lineRule="auto"/>
              <w:jc w:val="center"/>
              <w:rPr>
                <w:rFonts w:hint="eastAsia" w:ascii="宋体" w:hAnsi="宋体" w:cs="宋体"/>
                <w:sz w:val="24"/>
              </w:rPr>
            </w:pPr>
          </w:p>
        </w:tc>
      </w:tr>
      <w:tr w14:paraId="6CFD9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right w:val="single" w:color="auto" w:sz="4" w:space="0"/>
            </w:tcBorders>
            <w:vAlign w:val="center"/>
          </w:tcPr>
          <w:p w14:paraId="533B1B33">
            <w:pPr>
              <w:adjustRightInd w:val="0"/>
              <w:spacing w:line="360" w:lineRule="auto"/>
              <w:jc w:val="center"/>
              <w:rPr>
                <w:rFonts w:hint="eastAsia" w:ascii="宋体" w:hAnsi="宋体" w:cs="宋体"/>
                <w:sz w:val="24"/>
              </w:rPr>
            </w:pPr>
            <w:r>
              <w:rPr>
                <w:rFonts w:hint="eastAsia" w:ascii="宋体" w:hAnsi="宋体" w:cs="宋体"/>
                <w:sz w:val="24"/>
              </w:rPr>
              <w:t>2</w:t>
            </w:r>
          </w:p>
        </w:tc>
        <w:tc>
          <w:tcPr>
            <w:tcW w:w="1396" w:type="dxa"/>
            <w:tcBorders>
              <w:top w:val="single" w:color="auto" w:sz="4" w:space="0"/>
              <w:left w:val="single" w:color="auto" w:sz="4" w:space="0"/>
              <w:right w:val="single" w:color="auto" w:sz="4" w:space="0"/>
            </w:tcBorders>
            <w:vAlign w:val="center"/>
          </w:tcPr>
          <w:p w14:paraId="1D8F5490">
            <w:pPr>
              <w:adjustRightInd w:val="0"/>
              <w:spacing w:line="360" w:lineRule="auto"/>
              <w:jc w:val="center"/>
              <w:rPr>
                <w:rFonts w:hint="eastAsia"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EABD468">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4100672F">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478341E7">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1840DDE">
            <w:pPr>
              <w:adjustRightInd w:val="0"/>
              <w:spacing w:line="360" w:lineRule="auto"/>
              <w:jc w:val="center"/>
              <w:rPr>
                <w:rFonts w:hint="eastAsia"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1214B40D">
            <w:pPr>
              <w:adjustRightInd w:val="0"/>
              <w:spacing w:line="360" w:lineRule="auto"/>
              <w:jc w:val="center"/>
              <w:rPr>
                <w:rFonts w:hint="eastAsia"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3F4C0541">
            <w:pPr>
              <w:adjustRightInd w:val="0"/>
              <w:spacing w:line="360" w:lineRule="auto"/>
              <w:jc w:val="center"/>
              <w:rPr>
                <w:rFonts w:hint="eastAsia"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627260BC">
            <w:pPr>
              <w:adjustRightInd w:val="0"/>
              <w:spacing w:line="360" w:lineRule="auto"/>
              <w:jc w:val="center"/>
              <w:rPr>
                <w:rFonts w:hint="eastAsia"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8F5E922">
            <w:pPr>
              <w:adjustRightInd w:val="0"/>
              <w:spacing w:line="360" w:lineRule="auto"/>
              <w:jc w:val="center"/>
              <w:rPr>
                <w:rFonts w:hint="eastAsia" w:ascii="宋体" w:hAnsi="宋体" w:cs="宋体"/>
                <w:sz w:val="24"/>
              </w:rPr>
            </w:pPr>
          </w:p>
        </w:tc>
      </w:tr>
      <w:tr w14:paraId="4E392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4" w:type="dxa"/>
            <w:tcBorders>
              <w:top w:val="single" w:color="auto" w:sz="4" w:space="0"/>
              <w:left w:val="single" w:color="auto" w:sz="4" w:space="0"/>
              <w:right w:val="single" w:color="auto" w:sz="4" w:space="0"/>
            </w:tcBorders>
            <w:vAlign w:val="center"/>
          </w:tcPr>
          <w:p w14:paraId="57EBA0FB">
            <w:pPr>
              <w:adjustRightInd w:val="0"/>
              <w:spacing w:line="360" w:lineRule="auto"/>
              <w:jc w:val="center"/>
              <w:rPr>
                <w:rFonts w:hint="eastAsia" w:ascii="宋体" w:hAnsi="宋体" w:cs="宋体"/>
                <w:sz w:val="24"/>
              </w:rPr>
            </w:pPr>
            <w:r>
              <w:rPr>
                <w:rFonts w:hint="eastAsia" w:ascii="宋体" w:hAnsi="宋体" w:cs="宋体"/>
                <w:sz w:val="24"/>
              </w:rPr>
              <w:t>3</w:t>
            </w:r>
          </w:p>
        </w:tc>
        <w:tc>
          <w:tcPr>
            <w:tcW w:w="1396" w:type="dxa"/>
            <w:tcBorders>
              <w:top w:val="single" w:color="auto" w:sz="4" w:space="0"/>
              <w:left w:val="single" w:color="auto" w:sz="4" w:space="0"/>
              <w:right w:val="single" w:color="auto" w:sz="4" w:space="0"/>
            </w:tcBorders>
            <w:vAlign w:val="center"/>
          </w:tcPr>
          <w:p w14:paraId="058B9A79">
            <w:pPr>
              <w:adjustRightInd w:val="0"/>
              <w:spacing w:line="360" w:lineRule="auto"/>
              <w:jc w:val="center"/>
              <w:rPr>
                <w:rFonts w:hint="eastAsia"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57B1CCE7">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B0E958E">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98C480B">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5B4B791">
            <w:pPr>
              <w:adjustRightInd w:val="0"/>
              <w:spacing w:line="360" w:lineRule="auto"/>
              <w:jc w:val="center"/>
              <w:rPr>
                <w:rFonts w:hint="eastAsia"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30F33342">
            <w:pPr>
              <w:adjustRightInd w:val="0"/>
              <w:spacing w:line="360" w:lineRule="auto"/>
              <w:jc w:val="center"/>
              <w:rPr>
                <w:rFonts w:hint="eastAsia"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7D022EEF">
            <w:pPr>
              <w:adjustRightInd w:val="0"/>
              <w:spacing w:line="360" w:lineRule="auto"/>
              <w:jc w:val="center"/>
              <w:rPr>
                <w:rFonts w:hint="eastAsia"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57CF7D5C">
            <w:pPr>
              <w:adjustRightInd w:val="0"/>
              <w:spacing w:line="360" w:lineRule="auto"/>
              <w:jc w:val="center"/>
              <w:rPr>
                <w:rFonts w:hint="eastAsia"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4E091A0C">
            <w:pPr>
              <w:adjustRightInd w:val="0"/>
              <w:spacing w:line="360" w:lineRule="auto"/>
              <w:jc w:val="center"/>
              <w:rPr>
                <w:rFonts w:hint="eastAsia" w:ascii="宋体" w:hAnsi="宋体" w:cs="宋体"/>
                <w:sz w:val="24"/>
              </w:rPr>
            </w:pPr>
          </w:p>
        </w:tc>
      </w:tr>
      <w:tr w14:paraId="34440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tcBorders>
              <w:top w:val="single" w:color="auto" w:sz="4" w:space="0"/>
              <w:left w:val="single" w:color="auto" w:sz="4" w:space="0"/>
              <w:right w:val="single" w:color="auto" w:sz="4" w:space="0"/>
            </w:tcBorders>
            <w:vAlign w:val="center"/>
          </w:tcPr>
          <w:p w14:paraId="0095C05E">
            <w:pPr>
              <w:adjustRightInd w:val="0"/>
              <w:spacing w:line="360" w:lineRule="auto"/>
              <w:jc w:val="center"/>
              <w:rPr>
                <w:rFonts w:hint="eastAsia" w:ascii="宋体" w:hAnsi="宋体" w:cs="宋体"/>
                <w:sz w:val="24"/>
              </w:rPr>
            </w:pPr>
            <w:r>
              <w:rPr>
                <w:rFonts w:hint="eastAsia" w:ascii="宋体" w:hAnsi="宋体" w:cs="宋体"/>
                <w:sz w:val="24"/>
              </w:rPr>
              <w:t>4</w:t>
            </w:r>
          </w:p>
        </w:tc>
        <w:tc>
          <w:tcPr>
            <w:tcW w:w="1396" w:type="dxa"/>
            <w:tcBorders>
              <w:top w:val="single" w:color="auto" w:sz="4" w:space="0"/>
              <w:left w:val="single" w:color="auto" w:sz="4" w:space="0"/>
              <w:right w:val="single" w:color="auto" w:sz="4" w:space="0"/>
            </w:tcBorders>
            <w:vAlign w:val="center"/>
          </w:tcPr>
          <w:p w14:paraId="0C017639">
            <w:pPr>
              <w:adjustRightInd w:val="0"/>
              <w:spacing w:line="360" w:lineRule="auto"/>
              <w:jc w:val="center"/>
              <w:rPr>
                <w:rFonts w:hint="eastAsia"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2F21124B">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2C7A552">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01E035B">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A73A3F7">
            <w:pPr>
              <w:adjustRightInd w:val="0"/>
              <w:spacing w:line="360" w:lineRule="auto"/>
              <w:jc w:val="center"/>
              <w:rPr>
                <w:rFonts w:hint="eastAsia"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41664473">
            <w:pPr>
              <w:adjustRightInd w:val="0"/>
              <w:spacing w:line="360" w:lineRule="auto"/>
              <w:jc w:val="center"/>
              <w:rPr>
                <w:rFonts w:hint="eastAsia"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B5CC43A">
            <w:pPr>
              <w:adjustRightInd w:val="0"/>
              <w:spacing w:line="360" w:lineRule="auto"/>
              <w:jc w:val="center"/>
              <w:rPr>
                <w:rFonts w:hint="eastAsia"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00E08D63">
            <w:pPr>
              <w:adjustRightInd w:val="0"/>
              <w:spacing w:line="360" w:lineRule="auto"/>
              <w:jc w:val="center"/>
              <w:rPr>
                <w:rFonts w:hint="eastAsia"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419CB7CD">
            <w:pPr>
              <w:adjustRightInd w:val="0"/>
              <w:spacing w:line="360" w:lineRule="auto"/>
              <w:jc w:val="center"/>
              <w:rPr>
                <w:rFonts w:hint="eastAsia" w:ascii="宋体" w:hAnsi="宋体" w:cs="宋体"/>
                <w:sz w:val="24"/>
              </w:rPr>
            </w:pPr>
          </w:p>
        </w:tc>
      </w:tr>
      <w:tr w14:paraId="52302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tcBorders>
              <w:top w:val="single" w:color="auto" w:sz="4" w:space="0"/>
              <w:left w:val="single" w:color="auto" w:sz="4" w:space="0"/>
              <w:right w:val="single" w:color="auto" w:sz="4" w:space="0"/>
            </w:tcBorders>
            <w:vAlign w:val="center"/>
          </w:tcPr>
          <w:p w14:paraId="31B6F396">
            <w:pPr>
              <w:adjustRightInd w:val="0"/>
              <w:spacing w:line="360" w:lineRule="auto"/>
              <w:jc w:val="center"/>
              <w:rPr>
                <w:rFonts w:hint="eastAsia" w:ascii="宋体" w:hAnsi="宋体" w:cs="宋体"/>
                <w:sz w:val="24"/>
              </w:rPr>
            </w:pPr>
            <w:r>
              <w:rPr>
                <w:rFonts w:hint="eastAsia" w:ascii="宋体" w:hAnsi="宋体" w:cs="宋体"/>
                <w:sz w:val="24"/>
              </w:rPr>
              <w:t>...</w:t>
            </w:r>
          </w:p>
        </w:tc>
        <w:tc>
          <w:tcPr>
            <w:tcW w:w="1396" w:type="dxa"/>
            <w:tcBorders>
              <w:top w:val="single" w:color="auto" w:sz="4" w:space="0"/>
              <w:left w:val="single" w:color="auto" w:sz="4" w:space="0"/>
              <w:right w:val="single" w:color="auto" w:sz="4" w:space="0"/>
            </w:tcBorders>
            <w:vAlign w:val="center"/>
          </w:tcPr>
          <w:p w14:paraId="52AB9F3A">
            <w:pPr>
              <w:adjustRightInd w:val="0"/>
              <w:spacing w:line="360" w:lineRule="auto"/>
              <w:jc w:val="center"/>
              <w:rPr>
                <w:rFonts w:hint="eastAsia"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D0856D4">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3F7C5ED">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370F6CE">
            <w:pPr>
              <w:adjustRightInd w:val="0"/>
              <w:spacing w:line="360" w:lineRule="auto"/>
              <w:jc w:val="center"/>
              <w:rPr>
                <w:rFonts w:hint="eastAsia"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FB91149">
            <w:pPr>
              <w:adjustRightInd w:val="0"/>
              <w:spacing w:line="360" w:lineRule="auto"/>
              <w:jc w:val="center"/>
              <w:rPr>
                <w:rFonts w:hint="eastAsia"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49D8C5D5">
            <w:pPr>
              <w:adjustRightInd w:val="0"/>
              <w:spacing w:line="360" w:lineRule="auto"/>
              <w:jc w:val="center"/>
              <w:rPr>
                <w:rFonts w:hint="eastAsia"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1C2A4B95">
            <w:pPr>
              <w:adjustRightInd w:val="0"/>
              <w:spacing w:line="360" w:lineRule="auto"/>
              <w:jc w:val="center"/>
              <w:rPr>
                <w:rFonts w:hint="eastAsia"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1DA24662">
            <w:pPr>
              <w:adjustRightInd w:val="0"/>
              <w:spacing w:line="360" w:lineRule="auto"/>
              <w:jc w:val="center"/>
              <w:rPr>
                <w:rFonts w:hint="eastAsia"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7572DA5E">
            <w:pPr>
              <w:adjustRightInd w:val="0"/>
              <w:spacing w:line="360" w:lineRule="auto"/>
              <w:jc w:val="center"/>
              <w:rPr>
                <w:rFonts w:hint="eastAsia" w:ascii="宋体" w:hAnsi="宋体" w:cs="宋体"/>
                <w:sz w:val="24"/>
              </w:rPr>
            </w:pPr>
          </w:p>
        </w:tc>
      </w:tr>
      <w:tr w14:paraId="31EB3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44" w:type="dxa"/>
            <w:gridSpan w:val="8"/>
            <w:tcBorders>
              <w:top w:val="single" w:color="auto" w:sz="4" w:space="0"/>
              <w:left w:val="single" w:color="auto" w:sz="4" w:space="0"/>
              <w:bottom w:val="single" w:color="auto" w:sz="4" w:space="0"/>
              <w:right w:val="single" w:color="auto" w:sz="4" w:space="0"/>
            </w:tcBorders>
            <w:vAlign w:val="center"/>
          </w:tcPr>
          <w:p w14:paraId="1D5DC42C">
            <w:pPr>
              <w:adjustRightInd w:val="0"/>
              <w:spacing w:line="360" w:lineRule="auto"/>
              <w:jc w:val="center"/>
              <w:rPr>
                <w:rFonts w:hint="eastAsia" w:ascii="宋体" w:hAnsi="宋体" w:cs="宋体"/>
                <w:sz w:val="24"/>
              </w:rPr>
            </w:pPr>
            <w:r>
              <w:rPr>
                <w:rFonts w:hint="eastAsia" w:ascii="宋体" w:hAnsi="宋体" w:cs="宋体"/>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313B89E0">
            <w:pPr>
              <w:adjustRightInd w:val="0"/>
              <w:spacing w:line="360" w:lineRule="auto"/>
              <w:jc w:val="center"/>
              <w:rPr>
                <w:rFonts w:hint="eastAsia"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4253190">
            <w:pPr>
              <w:adjustRightInd w:val="0"/>
              <w:spacing w:line="360" w:lineRule="auto"/>
              <w:jc w:val="center"/>
              <w:rPr>
                <w:rFonts w:hint="eastAsia" w:ascii="宋体" w:hAnsi="宋体" w:cs="宋体"/>
                <w:sz w:val="24"/>
              </w:rPr>
            </w:pPr>
          </w:p>
        </w:tc>
      </w:tr>
    </w:tbl>
    <w:p w14:paraId="289C7517">
      <w:pPr>
        <w:tabs>
          <w:tab w:val="left" w:pos="1418"/>
        </w:tabs>
        <w:spacing w:line="360" w:lineRule="auto"/>
        <w:rPr>
          <w:rFonts w:hint="eastAsia" w:ascii="宋体" w:hAnsi="宋体" w:cs="宋体"/>
          <w:sz w:val="24"/>
        </w:rPr>
      </w:pPr>
      <w:r>
        <w:rPr>
          <w:rFonts w:hint="eastAsia" w:ascii="宋体" w:hAnsi="宋体" w:cs="宋体"/>
          <w:sz w:val="24"/>
        </w:rPr>
        <w:t>注：1.此表总计金额应与 “开标一览表”中投标报价相一致；</w:t>
      </w:r>
    </w:p>
    <w:p w14:paraId="1544C854">
      <w:pPr>
        <w:tabs>
          <w:tab w:val="left" w:pos="1418"/>
        </w:tabs>
        <w:spacing w:line="360" w:lineRule="auto"/>
        <w:rPr>
          <w:rFonts w:hint="eastAsia" w:ascii="宋体" w:hAnsi="宋体" w:cs="宋体"/>
          <w:sz w:val="24"/>
        </w:rPr>
      </w:pPr>
      <w:r>
        <w:rPr>
          <w:rFonts w:hint="eastAsia" w:ascii="宋体" w:hAnsi="宋体" w:cs="宋体"/>
          <w:sz w:val="24"/>
        </w:rPr>
        <w:t xml:space="preserve">    2.此表可进一步细分，栏目可另加，应包括为完成本项目可能发生的全部费用。</w:t>
      </w:r>
    </w:p>
    <w:p w14:paraId="0AC5F13F">
      <w:pPr>
        <w:spacing w:line="360" w:lineRule="auto"/>
        <w:rPr>
          <w:rFonts w:hint="eastAsia" w:ascii="宋体" w:hAnsi="宋体" w:cs="宋体"/>
          <w:spacing w:val="20"/>
          <w:sz w:val="24"/>
        </w:rPr>
      </w:pPr>
    </w:p>
    <w:p w14:paraId="66C4B03D">
      <w:pPr>
        <w:spacing w:line="360" w:lineRule="auto"/>
        <w:rPr>
          <w:rFonts w:hint="eastAsia" w:ascii="宋体" w:hAnsi="宋体" w:cs="宋体"/>
          <w:spacing w:val="20"/>
          <w:sz w:val="24"/>
        </w:rPr>
      </w:pPr>
      <w:r>
        <w:rPr>
          <w:rFonts w:hint="eastAsia" w:ascii="宋体" w:hAnsi="宋体" w:cs="宋体"/>
          <w:sz w:val="24"/>
        </w:rPr>
        <w:t>投标人全称（公章）</w:t>
      </w:r>
      <w:r>
        <w:rPr>
          <w:rFonts w:hint="eastAsia" w:ascii="宋体" w:hAnsi="宋体" w:cs="宋体"/>
          <w:spacing w:val="20"/>
          <w:sz w:val="24"/>
        </w:rPr>
        <w:t xml:space="preserve">：      </w:t>
      </w:r>
    </w:p>
    <w:p w14:paraId="22A9F066">
      <w:pPr>
        <w:spacing w:line="360" w:lineRule="auto"/>
        <w:rPr>
          <w:rFonts w:hint="eastAsia" w:ascii="宋体" w:hAnsi="宋体" w:cs="宋体"/>
          <w:spacing w:val="20"/>
          <w:sz w:val="24"/>
          <w:u w:val="single"/>
        </w:rPr>
      </w:pPr>
      <w:r>
        <w:rPr>
          <w:rFonts w:hint="eastAsia" w:ascii="宋体" w:hAnsi="宋体" w:cs="宋体"/>
          <w:sz w:val="24"/>
        </w:rPr>
        <w:t>法定代表人或授权代表（签字）</w:t>
      </w:r>
      <w:r>
        <w:rPr>
          <w:rFonts w:hint="eastAsia" w:ascii="宋体" w:hAnsi="宋体" w:cs="宋体"/>
          <w:spacing w:val="20"/>
          <w:sz w:val="24"/>
        </w:rPr>
        <w:t>：</w:t>
      </w:r>
    </w:p>
    <w:p w14:paraId="6C784388">
      <w:pPr>
        <w:spacing w:line="360" w:lineRule="auto"/>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z w:val="24"/>
        </w:rPr>
        <w:t xml:space="preserve">     年    月    日</w:t>
      </w:r>
    </w:p>
    <w:p w14:paraId="5CC3A760">
      <w:pPr>
        <w:spacing w:line="360" w:lineRule="auto"/>
        <w:rPr>
          <w:rFonts w:hint="eastAsia" w:ascii="宋体" w:hAnsi="宋体" w:cs="宋体"/>
          <w:b/>
          <w:sz w:val="24"/>
        </w:rPr>
      </w:pPr>
    </w:p>
    <w:p w14:paraId="58F8E82A">
      <w:pPr>
        <w:widowControl/>
        <w:jc w:val="left"/>
        <w:rPr>
          <w:rFonts w:hint="eastAsia" w:ascii="宋体" w:hAnsi="宋体" w:cs="宋体"/>
          <w:b/>
          <w:bCs/>
          <w:sz w:val="28"/>
          <w:szCs w:val="28"/>
        </w:rPr>
      </w:pPr>
      <w:r>
        <w:rPr>
          <w:rFonts w:hint="eastAsia" w:ascii="宋体" w:hAnsi="宋体" w:cs="宋体"/>
          <w:b/>
          <w:bCs/>
          <w:sz w:val="28"/>
          <w:szCs w:val="28"/>
        </w:rPr>
        <w:br w:type="page"/>
      </w:r>
    </w:p>
    <w:p w14:paraId="5FEF6860">
      <w:pPr>
        <w:spacing w:line="360" w:lineRule="auto"/>
        <w:jc w:val="center"/>
        <w:rPr>
          <w:rFonts w:hint="eastAsia" w:ascii="宋体" w:hAnsi="宋体" w:cs="宋体"/>
          <w:b/>
          <w:bCs/>
          <w:sz w:val="28"/>
          <w:szCs w:val="28"/>
        </w:rPr>
      </w:pPr>
    </w:p>
    <w:p w14:paraId="7E8411E6">
      <w:pPr>
        <w:spacing w:line="360" w:lineRule="auto"/>
        <w:jc w:val="center"/>
        <w:rPr>
          <w:rFonts w:hint="eastAsia" w:ascii="宋体" w:hAnsi="宋体" w:cs="宋体"/>
          <w:b/>
          <w:bCs/>
          <w:sz w:val="28"/>
          <w:szCs w:val="28"/>
        </w:rPr>
      </w:pPr>
      <w:r>
        <w:rPr>
          <w:rFonts w:hint="eastAsia" w:ascii="宋体" w:hAnsi="宋体" w:cs="宋体"/>
          <w:b/>
          <w:bCs/>
          <w:sz w:val="28"/>
          <w:szCs w:val="28"/>
        </w:rPr>
        <w:t>投标人针对报价需要说明的其他文件和说明（如有）</w:t>
      </w:r>
    </w:p>
    <w:p w14:paraId="2BAF9B64">
      <w:pPr>
        <w:widowControl/>
        <w:spacing w:line="360" w:lineRule="auto"/>
        <w:jc w:val="left"/>
        <w:rPr>
          <w:rFonts w:ascii="宋体" w:hAnsi="Courier New"/>
          <w:sz w:val="24"/>
        </w:rPr>
      </w:pPr>
    </w:p>
    <w:sectPr>
      <w:footerReference r:id="rId7"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DE0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51F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B751F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FA4A">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C29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97C29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E301">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522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0E522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9104">
    <w:pPr>
      <w:widowControl/>
      <w:pBdr>
        <w:bottom w:val="single" w:color="auto" w:sz="4" w:space="1"/>
      </w:pBdr>
      <w:jc w:val="center"/>
      <w:rPr>
        <w:rFonts w:hint="eastAsia" w:ascii="宋体" w:hAnsi="宋体" w:eastAsia="宋体" w:cs="Arial Black"/>
        <w:bCs/>
        <w:spacing w:val="-11"/>
        <w:sz w:val="20"/>
        <w:szCs w:val="22"/>
        <w:u w:color="0070C0"/>
        <w:lang w:eastAsia="zh-CN"/>
      </w:rPr>
    </w:pPr>
    <w:r>
      <w:rPr>
        <w:rFonts w:hint="eastAsia" w:ascii="宋体" w:hAnsi="宋体" w:cs="仿宋"/>
        <w:bCs/>
        <w:spacing w:val="-11"/>
        <w:sz w:val="22"/>
        <w:szCs w:val="22"/>
        <w:lang w:val="en-US" w:eastAsia="zh-CN"/>
      </w:rPr>
      <w:t>浙江省</w:t>
    </w:r>
    <w:r>
      <w:rPr>
        <w:rFonts w:hint="eastAsia" w:ascii="宋体" w:hAnsi="宋体" w:cs="仿宋"/>
        <w:bCs/>
        <w:spacing w:val="-11"/>
        <w:sz w:val="22"/>
        <w:szCs w:val="22"/>
        <w:lang w:eastAsia="zh-CN"/>
      </w:rPr>
      <w:t>舟山市消防救援支队2024年全市器材装备（破拆类二）采购项目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B951">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1C394AFA"/>
    <w:multiLevelType w:val="singleLevel"/>
    <w:tmpl w:val="1C394AFA"/>
    <w:lvl w:ilvl="0" w:tentative="0">
      <w:start w:val="3"/>
      <w:numFmt w:val="chineseCounting"/>
      <w:suff w:val="space"/>
      <w:lvlText w:val="第%1章"/>
      <w:lvlJc w:val="left"/>
      <w:rPr>
        <w:rFonts w:hint="eastAsia"/>
      </w:rPr>
    </w:lvl>
  </w:abstractNum>
  <w:abstractNum w:abstractNumId="2">
    <w:nsid w:val="39172B00"/>
    <w:multiLevelType w:val="singleLevel"/>
    <w:tmpl w:val="39172B00"/>
    <w:lvl w:ilvl="0" w:tentative="0">
      <w:start w:val="6"/>
      <w:numFmt w:val="chineseCounting"/>
      <w:suff w:val="nothing"/>
      <w:lvlText w:val="%1、"/>
      <w:lvlJc w:val="left"/>
      <w:rPr>
        <w:rFonts w:hint="eastAsia"/>
      </w:rPr>
    </w:lvl>
  </w:abstractNum>
  <w:abstractNum w:abstractNumId="3">
    <w:nsid w:val="5A6D7076"/>
    <w:multiLevelType w:val="singleLevel"/>
    <w:tmpl w:val="5A6D7076"/>
    <w:lvl w:ilvl="0" w:tentative="0">
      <w:start w:val="1"/>
      <w:numFmt w:val="decimal"/>
      <w:suff w:val="nothing"/>
      <w:lvlText w:val="%1、"/>
      <w:lvlJc w:val="left"/>
    </w:lvl>
  </w:abstractNum>
  <w:abstractNum w:abstractNumId="4">
    <w:nsid w:val="640A8526"/>
    <w:multiLevelType w:val="singleLevel"/>
    <w:tmpl w:val="640A8526"/>
    <w:lvl w:ilvl="0" w:tentative="0">
      <w:start w:val="2"/>
      <w:numFmt w:val="chineseCounting"/>
      <w:suff w:val="nothing"/>
      <w:lvlText w:val="%1、"/>
      <w:lvlJc w:val="left"/>
    </w:lvl>
  </w:abstractNum>
  <w:abstractNum w:abstractNumId="5">
    <w:nsid w:val="66C2F6EE"/>
    <w:multiLevelType w:val="singleLevel"/>
    <w:tmpl w:val="66C2F6EE"/>
    <w:lvl w:ilvl="0" w:tentative="0">
      <w:start w:val="1"/>
      <w:numFmt w:val="decimal"/>
      <w:lvlText w:val="%1."/>
      <w:lvlJc w:val="left"/>
      <w:pPr>
        <w:tabs>
          <w:tab w:val="left" w:pos="312"/>
        </w:tabs>
      </w:pPr>
    </w:lvl>
  </w:abstractNum>
  <w:abstractNum w:abstractNumId="6">
    <w:nsid w:val="743032D9"/>
    <w:multiLevelType w:val="singleLevel"/>
    <w:tmpl w:val="743032D9"/>
    <w:lvl w:ilvl="0" w:tentative="0">
      <w:start w:val="1"/>
      <w:numFmt w:val="decimal"/>
      <w:lvlText w:val="(%1)"/>
      <w:lvlJc w:val="left"/>
      <w:pPr>
        <w:tabs>
          <w:tab w:val="left" w:pos="312"/>
        </w:tabs>
      </w:p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DQ0Mzg0ZmMyYzdlN2Y0YTg1MjdmN2ZlYjE5OTAifQ=="/>
  </w:docVars>
  <w:rsids>
    <w:rsidRoot w:val="00F953F1"/>
    <w:rsid w:val="0000371E"/>
    <w:rsid w:val="000061A4"/>
    <w:rsid w:val="00023A44"/>
    <w:rsid w:val="00024F7E"/>
    <w:rsid w:val="00025536"/>
    <w:rsid w:val="00030203"/>
    <w:rsid w:val="0003329F"/>
    <w:rsid w:val="00035023"/>
    <w:rsid w:val="00043B41"/>
    <w:rsid w:val="00053F2A"/>
    <w:rsid w:val="00064B40"/>
    <w:rsid w:val="000A0B71"/>
    <w:rsid w:val="000A3A86"/>
    <w:rsid w:val="000B5160"/>
    <w:rsid w:val="000B7DB0"/>
    <w:rsid w:val="000C6C5E"/>
    <w:rsid w:val="000E4A8C"/>
    <w:rsid w:val="000E6C03"/>
    <w:rsid w:val="000E7BF5"/>
    <w:rsid w:val="000F760A"/>
    <w:rsid w:val="001016E2"/>
    <w:rsid w:val="001033BD"/>
    <w:rsid w:val="0011090D"/>
    <w:rsid w:val="00135264"/>
    <w:rsid w:val="00135281"/>
    <w:rsid w:val="0014149F"/>
    <w:rsid w:val="00151F4C"/>
    <w:rsid w:val="00160331"/>
    <w:rsid w:val="0016088D"/>
    <w:rsid w:val="00163264"/>
    <w:rsid w:val="00180739"/>
    <w:rsid w:val="00183AAB"/>
    <w:rsid w:val="001900BC"/>
    <w:rsid w:val="00195307"/>
    <w:rsid w:val="001A02C5"/>
    <w:rsid w:val="001A4BA1"/>
    <w:rsid w:val="001A6C6B"/>
    <w:rsid w:val="001B0DB4"/>
    <w:rsid w:val="001B4D1A"/>
    <w:rsid w:val="001C050F"/>
    <w:rsid w:val="001C2CBD"/>
    <w:rsid w:val="001C3A62"/>
    <w:rsid w:val="001C3FD8"/>
    <w:rsid w:val="001C46DC"/>
    <w:rsid w:val="001D0E39"/>
    <w:rsid w:val="001D2FD6"/>
    <w:rsid w:val="001D7301"/>
    <w:rsid w:val="001D7470"/>
    <w:rsid w:val="001F17EA"/>
    <w:rsid w:val="001F3F0A"/>
    <w:rsid w:val="001F61FA"/>
    <w:rsid w:val="001F7EDF"/>
    <w:rsid w:val="00200C85"/>
    <w:rsid w:val="00201978"/>
    <w:rsid w:val="00201B24"/>
    <w:rsid w:val="0020682D"/>
    <w:rsid w:val="00212355"/>
    <w:rsid w:val="00220582"/>
    <w:rsid w:val="002213A0"/>
    <w:rsid w:val="00254CCD"/>
    <w:rsid w:val="002714F7"/>
    <w:rsid w:val="00275535"/>
    <w:rsid w:val="00283845"/>
    <w:rsid w:val="00292A24"/>
    <w:rsid w:val="00295E71"/>
    <w:rsid w:val="002A1B12"/>
    <w:rsid w:val="002A6C47"/>
    <w:rsid w:val="002A767A"/>
    <w:rsid w:val="002B0C92"/>
    <w:rsid w:val="002C247B"/>
    <w:rsid w:val="002C5D33"/>
    <w:rsid w:val="002C662A"/>
    <w:rsid w:val="002D4343"/>
    <w:rsid w:val="002F1440"/>
    <w:rsid w:val="00302FDF"/>
    <w:rsid w:val="003046AA"/>
    <w:rsid w:val="00307A15"/>
    <w:rsid w:val="003121DD"/>
    <w:rsid w:val="00315A15"/>
    <w:rsid w:val="00316FF6"/>
    <w:rsid w:val="00317990"/>
    <w:rsid w:val="003259FC"/>
    <w:rsid w:val="00334213"/>
    <w:rsid w:val="00343ABA"/>
    <w:rsid w:val="0035124E"/>
    <w:rsid w:val="00351C6A"/>
    <w:rsid w:val="00357F5D"/>
    <w:rsid w:val="0036463C"/>
    <w:rsid w:val="00364A4D"/>
    <w:rsid w:val="00372520"/>
    <w:rsid w:val="00377D41"/>
    <w:rsid w:val="00382F76"/>
    <w:rsid w:val="003A2897"/>
    <w:rsid w:val="003B7930"/>
    <w:rsid w:val="003C2951"/>
    <w:rsid w:val="003D3F4A"/>
    <w:rsid w:val="003D7261"/>
    <w:rsid w:val="003E74F6"/>
    <w:rsid w:val="003F2F2D"/>
    <w:rsid w:val="00401B4E"/>
    <w:rsid w:val="0040794F"/>
    <w:rsid w:val="00412C27"/>
    <w:rsid w:val="00422E6C"/>
    <w:rsid w:val="00423B41"/>
    <w:rsid w:val="004240CD"/>
    <w:rsid w:val="00431027"/>
    <w:rsid w:val="00444117"/>
    <w:rsid w:val="00445F0B"/>
    <w:rsid w:val="004550B3"/>
    <w:rsid w:val="004568E6"/>
    <w:rsid w:val="004720B3"/>
    <w:rsid w:val="0047315F"/>
    <w:rsid w:val="00473422"/>
    <w:rsid w:val="004737BB"/>
    <w:rsid w:val="00475B00"/>
    <w:rsid w:val="00481DD8"/>
    <w:rsid w:val="004A0E6F"/>
    <w:rsid w:val="004B106A"/>
    <w:rsid w:val="004B3069"/>
    <w:rsid w:val="004C422F"/>
    <w:rsid w:val="004D1DA9"/>
    <w:rsid w:val="004D6F6F"/>
    <w:rsid w:val="004E7FDD"/>
    <w:rsid w:val="004F045E"/>
    <w:rsid w:val="004F1D8E"/>
    <w:rsid w:val="004F61E2"/>
    <w:rsid w:val="00502BEA"/>
    <w:rsid w:val="005119FA"/>
    <w:rsid w:val="00527B65"/>
    <w:rsid w:val="0053687F"/>
    <w:rsid w:val="00536F65"/>
    <w:rsid w:val="00541BEF"/>
    <w:rsid w:val="00551A6E"/>
    <w:rsid w:val="00555184"/>
    <w:rsid w:val="00572F27"/>
    <w:rsid w:val="00591302"/>
    <w:rsid w:val="00591DD0"/>
    <w:rsid w:val="005A15BC"/>
    <w:rsid w:val="005B0B2D"/>
    <w:rsid w:val="005C2570"/>
    <w:rsid w:val="005C47AF"/>
    <w:rsid w:val="005D0B0C"/>
    <w:rsid w:val="005E4B83"/>
    <w:rsid w:val="005E69AA"/>
    <w:rsid w:val="005F63A8"/>
    <w:rsid w:val="00602E2B"/>
    <w:rsid w:val="00627D7F"/>
    <w:rsid w:val="00656552"/>
    <w:rsid w:val="00666551"/>
    <w:rsid w:val="00666CAD"/>
    <w:rsid w:val="006710D3"/>
    <w:rsid w:val="00683EFD"/>
    <w:rsid w:val="00684D05"/>
    <w:rsid w:val="0069505A"/>
    <w:rsid w:val="006A08A7"/>
    <w:rsid w:val="006B056D"/>
    <w:rsid w:val="006B4317"/>
    <w:rsid w:val="006B5C99"/>
    <w:rsid w:val="006B7C09"/>
    <w:rsid w:val="006C10D4"/>
    <w:rsid w:val="006C3EF8"/>
    <w:rsid w:val="006D3570"/>
    <w:rsid w:val="006E1BE2"/>
    <w:rsid w:val="006F0EE1"/>
    <w:rsid w:val="006F1BBC"/>
    <w:rsid w:val="006F377B"/>
    <w:rsid w:val="007009AE"/>
    <w:rsid w:val="0070129E"/>
    <w:rsid w:val="00705635"/>
    <w:rsid w:val="00705694"/>
    <w:rsid w:val="00714AAE"/>
    <w:rsid w:val="00721306"/>
    <w:rsid w:val="007276FA"/>
    <w:rsid w:val="007323F3"/>
    <w:rsid w:val="00735D17"/>
    <w:rsid w:val="00737902"/>
    <w:rsid w:val="00762857"/>
    <w:rsid w:val="0077275A"/>
    <w:rsid w:val="007821CA"/>
    <w:rsid w:val="00782329"/>
    <w:rsid w:val="00783C74"/>
    <w:rsid w:val="007901E1"/>
    <w:rsid w:val="00791CEA"/>
    <w:rsid w:val="00796A00"/>
    <w:rsid w:val="007A51D7"/>
    <w:rsid w:val="007B72F6"/>
    <w:rsid w:val="007B7320"/>
    <w:rsid w:val="007C56B4"/>
    <w:rsid w:val="007C5775"/>
    <w:rsid w:val="007D30A2"/>
    <w:rsid w:val="007E5E82"/>
    <w:rsid w:val="007E7BAA"/>
    <w:rsid w:val="007F2DF6"/>
    <w:rsid w:val="007F5C35"/>
    <w:rsid w:val="0080282E"/>
    <w:rsid w:val="00811E09"/>
    <w:rsid w:val="008269F5"/>
    <w:rsid w:val="0083313E"/>
    <w:rsid w:val="0084779D"/>
    <w:rsid w:val="0085548E"/>
    <w:rsid w:val="00861F51"/>
    <w:rsid w:val="0086492C"/>
    <w:rsid w:val="0086784B"/>
    <w:rsid w:val="00875FBF"/>
    <w:rsid w:val="00877F35"/>
    <w:rsid w:val="00881E8A"/>
    <w:rsid w:val="00891B2C"/>
    <w:rsid w:val="00893F98"/>
    <w:rsid w:val="00894CA3"/>
    <w:rsid w:val="00895216"/>
    <w:rsid w:val="008A3FA1"/>
    <w:rsid w:val="008A6DDB"/>
    <w:rsid w:val="008B06DF"/>
    <w:rsid w:val="008B299E"/>
    <w:rsid w:val="008C0149"/>
    <w:rsid w:val="008D449C"/>
    <w:rsid w:val="008F5993"/>
    <w:rsid w:val="00900520"/>
    <w:rsid w:val="00905078"/>
    <w:rsid w:val="00921FDC"/>
    <w:rsid w:val="009223E0"/>
    <w:rsid w:val="009230D3"/>
    <w:rsid w:val="009458C7"/>
    <w:rsid w:val="00951637"/>
    <w:rsid w:val="00953905"/>
    <w:rsid w:val="009546E6"/>
    <w:rsid w:val="00974CF7"/>
    <w:rsid w:val="00983A2F"/>
    <w:rsid w:val="00993A54"/>
    <w:rsid w:val="00997AC2"/>
    <w:rsid w:val="009A282B"/>
    <w:rsid w:val="009A5879"/>
    <w:rsid w:val="009B035F"/>
    <w:rsid w:val="009B57E3"/>
    <w:rsid w:val="009C1713"/>
    <w:rsid w:val="009D4DC5"/>
    <w:rsid w:val="009E16AA"/>
    <w:rsid w:val="00A05F96"/>
    <w:rsid w:val="00A06D66"/>
    <w:rsid w:val="00A07010"/>
    <w:rsid w:val="00A071C7"/>
    <w:rsid w:val="00A13AD7"/>
    <w:rsid w:val="00A17957"/>
    <w:rsid w:val="00A208AB"/>
    <w:rsid w:val="00A34E25"/>
    <w:rsid w:val="00A35496"/>
    <w:rsid w:val="00A578DB"/>
    <w:rsid w:val="00A661F4"/>
    <w:rsid w:val="00A81B6D"/>
    <w:rsid w:val="00AB3AE4"/>
    <w:rsid w:val="00AB428D"/>
    <w:rsid w:val="00AC36F7"/>
    <w:rsid w:val="00AD12FF"/>
    <w:rsid w:val="00AD1530"/>
    <w:rsid w:val="00AD4014"/>
    <w:rsid w:val="00AD674A"/>
    <w:rsid w:val="00AE5262"/>
    <w:rsid w:val="00AE7741"/>
    <w:rsid w:val="00B00298"/>
    <w:rsid w:val="00B03645"/>
    <w:rsid w:val="00B1140A"/>
    <w:rsid w:val="00B22C3B"/>
    <w:rsid w:val="00B233D1"/>
    <w:rsid w:val="00B33929"/>
    <w:rsid w:val="00B428C8"/>
    <w:rsid w:val="00B627AF"/>
    <w:rsid w:val="00B715BC"/>
    <w:rsid w:val="00B73203"/>
    <w:rsid w:val="00B81BA8"/>
    <w:rsid w:val="00B83A22"/>
    <w:rsid w:val="00BA45B1"/>
    <w:rsid w:val="00BB7C7E"/>
    <w:rsid w:val="00BC6027"/>
    <w:rsid w:val="00BF049C"/>
    <w:rsid w:val="00BF0C61"/>
    <w:rsid w:val="00BF5B58"/>
    <w:rsid w:val="00BF7C59"/>
    <w:rsid w:val="00C012D7"/>
    <w:rsid w:val="00C14045"/>
    <w:rsid w:val="00C22648"/>
    <w:rsid w:val="00C2351A"/>
    <w:rsid w:val="00C23D5D"/>
    <w:rsid w:val="00C25C6D"/>
    <w:rsid w:val="00C26259"/>
    <w:rsid w:val="00C42704"/>
    <w:rsid w:val="00C505AF"/>
    <w:rsid w:val="00C741F1"/>
    <w:rsid w:val="00C74A3D"/>
    <w:rsid w:val="00C77808"/>
    <w:rsid w:val="00C810E0"/>
    <w:rsid w:val="00CB16A6"/>
    <w:rsid w:val="00CC3E6E"/>
    <w:rsid w:val="00CD3E5A"/>
    <w:rsid w:val="00CD3E9C"/>
    <w:rsid w:val="00CD6BC8"/>
    <w:rsid w:val="00CD7BA9"/>
    <w:rsid w:val="00CE1AF7"/>
    <w:rsid w:val="00CE4CB9"/>
    <w:rsid w:val="00CE7FF1"/>
    <w:rsid w:val="00CF0180"/>
    <w:rsid w:val="00CF034A"/>
    <w:rsid w:val="00CF0760"/>
    <w:rsid w:val="00CF4209"/>
    <w:rsid w:val="00D172C3"/>
    <w:rsid w:val="00D224AF"/>
    <w:rsid w:val="00D23833"/>
    <w:rsid w:val="00D310DB"/>
    <w:rsid w:val="00D31CCE"/>
    <w:rsid w:val="00D33E52"/>
    <w:rsid w:val="00DB03A3"/>
    <w:rsid w:val="00DB1ECC"/>
    <w:rsid w:val="00DB674F"/>
    <w:rsid w:val="00DB7E75"/>
    <w:rsid w:val="00DD3634"/>
    <w:rsid w:val="00DF0B4B"/>
    <w:rsid w:val="00DF376B"/>
    <w:rsid w:val="00E06404"/>
    <w:rsid w:val="00E25868"/>
    <w:rsid w:val="00E260B1"/>
    <w:rsid w:val="00E535A9"/>
    <w:rsid w:val="00E55AC0"/>
    <w:rsid w:val="00E723C6"/>
    <w:rsid w:val="00E72559"/>
    <w:rsid w:val="00E738CE"/>
    <w:rsid w:val="00E843E7"/>
    <w:rsid w:val="00E84CCF"/>
    <w:rsid w:val="00E87E54"/>
    <w:rsid w:val="00E901FC"/>
    <w:rsid w:val="00E93604"/>
    <w:rsid w:val="00EA1FDA"/>
    <w:rsid w:val="00EA2B31"/>
    <w:rsid w:val="00EA3A35"/>
    <w:rsid w:val="00EA5BC3"/>
    <w:rsid w:val="00EA7D0F"/>
    <w:rsid w:val="00EB19C1"/>
    <w:rsid w:val="00EB3BE2"/>
    <w:rsid w:val="00EC4227"/>
    <w:rsid w:val="00EC497A"/>
    <w:rsid w:val="00EC6614"/>
    <w:rsid w:val="00EE104C"/>
    <w:rsid w:val="00EF2F0F"/>
    <w:rsid w:val="00EF5CFF"/>
    <w:rsid w:val="00F01DB8"/>
    <w:rsid w:val="00F10D00"/>
    <w:rsid w:val="00F144DE"/>
    <w:rsid w:val="00F15EAF"/>
    <w:rsid w:val="00F24D6A"/>
    <w:rsid w:val="00F26F17"/>
    <w:rsid w:val="00F61636"/>
    <w:rsid w:val="00F678E3"/>
    <w:rsid w:val="00F815F3"/>
    <w:rsid w:val="00F86EA3"/>
    <w:rsid w:val="00F90746"/>
    <w:rsid w:val="00F953F1"/>
    <w:rsid w:val="00F9694A"/>
    <w:rsid w:val="00FA3D07"/>
    <w:rsid w:val="00FA3F2A"/>
    <w:rsid w:val="00FA4435"/>
    <w:rsid w:val="00FA4D67"/>
    <w:rsid w:val="00FA52D5"/>
    <w:rsid w:val="00FA55BA"/>
    <w:rsid w:val="00FB4668"/>
    <w:rsid w:val="00FC2B2E"/>
    <w:rsid w:val="00FD071D"/>
    <w:rsid w:val="00FD1E72"/>
    <w:rsid w:val="00FD6C91"/>
    <w:rsid w:val="00FF2D20"/>
    <w:rsid w:val="00FF6473"/>
    <w:rsid w:val="00FF7181"/>
    <w:rsid w:val="01062EEC"/>
    <w:rsid w:val="011C44BE"/>
    <w:rsid w:val="013169E9"/>
    <w:rsid w:val="01352628"/>
    <w:rsid w:val="015B3238"/>
    <w:rsid w:val="016E5A1A"/>
    <w:rsid w:val="016F3BA8"/>
    <w:rsid w:val="01745C50"/>
    <w:rsid w:val="01784896"/>
    <w:rsid w:val="01904138"/>
    <w:rsid w:val="019A35DA"/>
    <w:rsid w:val="01CF1530"/>
    <w:rsid w:val="01F36FCC"/>
    <w:rsid w:val="020E02AA"/>
    <w:rsid w:val="0216715F"/>
    <w:rsid w:val="021E42F5"/>
    <w:rsid w:val="023D6EC0"/>
    <w:rsid w:val="02686CF7"/>
    <w:rsid w:val="026D3D68"/>
    <w:rsid w:val="029F39B6"/>
    <w:rsid w:val="02A477D8"/>
    <w:rsid w:val="02D23086"/>
    <w:rsid w:val="02E67E8B"/>
    <w:rsid w:val="03084CFA"/>
    <w:rsid w:val="034A70C0"/>
    <w:rsid w:val="034F088E"/>
    <w:rsid w:val="037C0413"/>
    <w:rsid w:val="03887BE8"/>
    <w:rsid w:val="03894E44"/>
    <w:rsid w:val="03997346"/>
    <w:rsid w:val="03BC4CFD"/>
    <w:rsid w:val="03D96696"/>
    <w:rsid w:val="03EC35E2"/>
    <w:rsid w:val="045526E5"/>
    <w:rsid w:val="046C6BAD"/>
    <w:rsid w:val="047D46E8"/>
    <w:rsid w:val="048D195A"/>
    <w:rsid w:val="04C9670A"/>
    <w:rsid w:val="04D651D4"/>
    <w:rsid w:val="04E377CC"/>
    <w:rsid w:val="04ED5A22"/>
    <w:rsid w:val="05393890"/>
    <w:rsid w:val="05452235"/>
    <w:rsid w:val="054879E7"/>
    <w:rsid w:val="058A7DC0"/>
    <w:rsid w:val="0634474F"/>
    <w:rsid w:val="065F7326"/>
    <w:rsid w:val="066D0BE7"/>
    <w:rsid w:val="068F7D11"/>
    <w:rsid w:val="06905726"/>
    <w:rsid w:val="06C95DDB"/>
    <w:rsid w:val="06CB676A"/>
    <w:rsid w:val="06D875C7"/>
    <w:rsid w:val="06DC357B"/>
    <w:rsid w:val="072909FF"/>
    <w:rsid w:val="074321DF"/>
    <w:rsid w:val="074A0591"/>
    <w:rsid w:val="075F5104"/>
    <w:rsid w:val="07C256A4"/>
    <w:rsid w:val="07CA73BB"/>
    <w:rsid w:val="07FD4DC5"/>
    <w:rsid w:val="07FE4D16"/>
    <w:rsid w:val="082A73B1"/>
    <w:rsid w:val="08867A10"/>
    <w:rsid w:val="08C54326"/>
    <w:rsid w:val="08EC67E7"/>
    <w:rsid w:val="08F9554F"/>
    <w:rsid w:val="090441B5"/>
    <w:rsid w:val="091F4B4B"/>
    <w:rsid w:val="09287EA3"/>
    <w:rsid w:val="0934727A"/>
    <w:rsid w:val="094571EA"/>
    <w:rsid w:val="09C807B0"/>
    <w:rsid w:val="09C851E3"/>
    <w:rsid w:val="09E50967"/>
    <w:rsid w:val="0A060DE8"/>
    <w:rsid w:val="0A252635"/>
    <w:rsid w:val="0A5C4C50"/>
    <w:rsid w:val="0A5F6D1F"/>
    <w:rsid w:val="0A6610BB"/>
    <w:rsid w:val="0A7D7D7B"/>
    <w:rsid w:val="0A9304A6"/>
    <w:rsid w:val="0AAE78F9"/>
    <w:rsid w:val="0AC456FE"/>
    <w:rsid w:val="0AC6388D"/>
    <w:rsid w:val="0ACE29C5"/>
    <w:rsid w:val="0AD36E36"/>
    <w:rsid w:val="0ADD081A"/>
    <w:rsid w:val="0AE14E9A"/>
    <w:rsid w:val="0AE861B1"/>
    <w:rsid w:val="0B094C47"/>
    <w:rsid w:val="0B100BEF"/>
    <w:rsid w:val="0B6E5916"/>
    <w:rsid w:val="0B7111A5"/>
    <w:rsid w:val="0B815649"/>
    <w:rsid w:val="0BC503B0"/>
    <w:rsid w:val="0BC8771C"/>
    <w:rsid w:val="0BE80195"/>
    <w:rsid w:val="0C6367E1"/>
    <w:rsid w:val="0CBB3049"/>
    <w:rsid w:val="0CC47EE3"/>
    <w:rsid w:val="0CD22B8F"/>
    <w:rsid w:val="0CD94D10"/>
    <w:rsid w:val="0CE0168F"/>
    <w:rsid w:val="0CE70A00"/>
    <w:rsid w:val="0D0E0397"/>
    <w:rsid w:val="0D284335"/>
    <w:rsid w:val="0D3E1A08"/>
    <w:rsid w:val="0D3F3A0E"/>
    <w:rsid w:val="0D615CDC"/>
    <w:rsid w:val="0D870F11"/>
    <w:rsid w:val="0D8E04F1"/>
    <w:rsid w:val="0D9E6E36"/>
    <w:rsid w:val="0DB461AA"/>
    <w:rsid w:val="0DE40111"/>
    <w:rsid w:val="0DE97EF3"/>
    <w:rsid w:val="0E202766"/>
    <w:rsid w:val="0E5C0944"/>
    <w:rsid w:val="0E6F425B"/>
    <w:rsid w:val="0EAF1E2A"/>
    <w:rsid w:val="0ED8201D"/>
    <w:rsid w:val="0EEA1757"/>
    <w:rsid w:val="0EF820C6"/>
    <w:rsid w:val="0F0F11BE"/>
    <w:rsid w:val="0F294CCD"/>
    <w:rsid w:val="0F403A6D"/>
    <w:rsid w:val="0F743F99"/>
    <w:rsid w:val="0F791285"/>
    <w:rsid w:val="0F914CE4"/>
    <w:rsid w:val="0FAB0948"/>
    <w:rsid w:val="0FB3423F"/>
    <w:rsid w:val="0FDB623B"/>
    <w:rsid w:val="0FDE1D79"/>
    <w:rsid w:val="0FEB20AE"/>
    <w:rsid w:val="10030D22"/>
    <w:rsid w:val="102F6440"/>
    <w:rsid w:val="1034712E"/>
    <w:rsid w:val="103837FD"/>
    <w:rsid w:val="10634DBB"/>
    <w:rsid w:val="10780801"/>
    <w:rsid w:val="109D1177"/>
    <w:rsid w:val="109F6B23"/>
    <w:rsid w:val="10CD181F"/>
    <w:rsid w:val="10EF574B"/>
    <w:rsid w:val="10FE7B3E"/>
    <w:rsid w:val="11022F62"/>
    <w:rsid w:val="11466EFA"/>
    <w:rsid w:val="115E3A20"/>
    <w:rsid w:val="1166277B"/>
    <w:rsid w:val="11950E8F"/>
    <w:rsid w:val="121B7D2D"/>
    <w:rsid w:val="121E3A90"/>
    <w:rsid w:val="12AF6A58"/>
    <w:rsid w:val="12B268CE"/>
    <w:rsid w:val="130A23C8"/>
    <w:rsid w:val="13161C63"/>
    <w:rsid w:val="131C555B"/>
    <w:rsid w:val="13382D62"/>
    <w:rsid w:val="13436557"/>
    <w:rsid w:val="13547AE7"/>
    <w:rsid w:val="138603C4"/>
    <w:rsid w:val="138661D5"/>
    <w:rsid w:val="139F5D8C"/>
    <w:rsid w:val="13A10F7E"/>
    <w:rsid w:val="13B660AC"/>
    <w:rsid w:val="1407156E"/>
    <w:rsid w:val="1432607A"/>
    <w:rsid w:val="14500543"/>
    <w:rsid w:val="145C282B"/>
    <w:rsid w:val="14E31558"/>
    <w:rsid w:val="153C60B9"/>
    <w:rsid w:val="154B4D55"/>
    <w:rsid w:val="15525411"/>
    <w:rsid w:val="156F2112"/>
    <w:rsid w:val="15804BC3"/>
    <w:rsid w:val="159B53F7"/>
    <w:rsid w:val="15B10EC9"/>
    <w:rsid w:val="15BF56EC"/>
    <w:rsid w:val="15CD5A17"/>
    <w:rsid w:val="15D56A3B"/>
    <w:rsid w:val="16065913"/>
    <w:rsid w:val="160B0931"/>
    <w:rsid w:val="161F43DC"/>
    <w:rsid w:val="16314C03"/>
    <w:rsid w:val="165C118C"/>
    <w:rsid w:val="16A81503"/>
    <w:rsid w:val="16B012A6"/>
    <w:rsid w:val="16C83DF0"/>
    <w:rsid w:val="16D12E22"/>
    <w:rsid w:val="16DB3640"/>
    <w:rsid w:val="17033CFE"/>
    <w:rsid w:val="171F1E57"/>
    <w:rsid w:val="17247BCF"/>
    <w:rsid w:val="174A6A66"/>
    <w:rsid w:val="175F22DC"/>
    <w:rsid w:val="17793AAE"/>
    <w:rsid w:val="177F7DC5"/>
    <w:rsid w:val="17A70161"/>
    <w:rsid w:val="17C1780C"/>
    <w:rsid w:val="17EF517D"/>
    <w:rsid w:val="180475F9"/>
    <w:rsid w:val="18565892"/>
    <w:rsid w:val="187327BD"/>
    <w:rsid w:val="189D537A"/>
    <w:rsid w:val="18CF2E37"/>
    <w:rsid w:val="18E53BF9"/>
    <w:rsid w:val="19084279"/>
    <w:rsid w:val="19193365"/>
    <w:rsid w:val="191F46F3"/>
    <w:rsid w:val="19241D0A"/>
    <w:rsid w:val="19291407"/>
    <w:rsid w:val="1929489D"/>
    <w:rsid w:val="19436634"/>
    <w:rsid w:val="1968209C"/>
    <w:rsid w:val="19A33916"/>
    <w:rsid w:val="19DE33F1"/>
    <w:rsid w:val="19E36822"/>
    <w:rsid w:val="19FF5865"/>
    <w:rsid w:val="1A1B3D93"/>
    <w:rsid w:val="1A2465EE"/>
    <w:rsid w:val="1A387236"/>
    <w:rsid w:val="1A420D87"/>
    <w:rsid w:val="1A6F3854"/>
    <w:rsid w:val="1A8567D8"/>
    <w:rsid w:val="1AB23A71"/>
    <w:rsid w:val="1AB471EC"/>
    <w:rsid w:val="1B00078C"/>
    <w:rsid w:val="1B1F4E7E"/>
    <w:rsid w:val="1B457DFB"/>
    <w:rsid w:val="1B612DA1"/>
    <w:rsid w:val="1B6A2AA1"/>
    <w:rsid w:val="1B851185"/>
    <w:rsid w:val="1B94523D"/>
    <w:rsid w:val="1BBB060D"/>
    <w:rsid w:val="1BE25346"/>
    <w:rsid w:val="1C1632AF"/>
    <w:rsid w:val="1C285269"/>
    <w:rsid w:val="1C497DA3"/>
    <w:rsid w:val="1C784846"/>
    <w:rsid w:val="1C7C30FD"/>
    <w:rsid w:val="1C80413E"/>
    <w:rsid w:val="1C9D7FFD"/>
    <w:rsid w:val="1CC8165E"/>
    <w:rsid w:val="1CDC4DD5"/>
    <w:rsid w:val="1CF70591"/>
    <w:rsid w:val="1D257DE8"/>
    <w:rsid w:val="1D2859E8"/>
    <w:rsid w:val="1D497F91"/>
    <w:rsid w:val="1D541830"/>
    <w:rsid w:val="1D6222E7"/>
    <w:rsid w:val="1D832E7E"/>
    <w:rsid w:val="1D916D0B"/>
    <w:rsid w:val="1D974E91"/>
    <w:rsid w:val="1DA14BC8"/>
    <w:rsid w:val="1DE83745"/>
    <w:rsid w:val="1E05035C"/>
    <w:rsid w:val="1E3B5065"/>
    <w:rsid w:val="1E424BC5"/>
    <w:rsid w:val="1E5B441F"/>
    <w:rsid w:val="1E61373D"/>
    <w:rsid w:val="1E6B4261"/>
    <w:rsid w:val="1E9E3037"/>
    <w:rsid w:val="1EB23EEA"/>
    <w:rsid w:val="1EBC2FC3"/>
    <w:rsid w:val="1EBF49AE"/>
    <w:rsid w:val="1EC37FF1"/>
    <w:rsid w:val="1EE47F71"/>
    <w:rsid w:val="1EEE0EA1"/>
    <w:rsid w:val="1EF108E0"/>
    <w:rsid w:val="1EF70436"/>
    <w:rsid w:val="1EFD3AF0"/>
    <w:rsid w:val="1F827B58"/>
    <w:rsid w:val="1F95179E"/>
    <w:rsid w:val="1F98501D"/>
    <w:rsid w:val="1F9A0F77"/>
    <w:rsid w:val="1F9B73CD"/>
    <w:rsid w:val="1F9D7358"/>
    <w:rsid w:val="1FA20FAE"/>
    <w:rsid w:val="20011B8B"/>
    <w:rsid w:val="20344F28"/>
    <w:rsid w:val="20562C61"/>
    <w:rsid w:val="2059353F"/>
    <w:rsid w:val="205D622D"/>
    <w:rsid w:val="205E024D"/>
    <w:rsid w:val="20AC0BBD"/>
    <w:rsid w:val="20ED07AA"/>
    <w:rsid w:val="20FE387C"/>
    <w:rsid w:val="21132D8F"/>
    <w:rsid w:val="21583FAD"/>
    <w:rsid w:val="21630FD5"/>
    <w:rsid w:val="216711AC"/>
    <w:rsid w:val="217A01D4"/>
    <w:rsid w:val="21CF4F08"/>
    <w:rsid w:val="22025452"/>
    <w:rsid w:val="2224784D"/>
    <w:rsid w:val="223C35D1"/>
    <w:rsid w:val="224A5B4C"/>
    <w:rsid w:val="224D3964"/>
    <w:rsid w:val="22557319"/>
    <w:rsid w:val="227F435A"/>
    <w:rsid w:val="22862341"/>
    <w:rsid w:val="22AF0896"/>
    <w:rsid w:val="22B442C7"/>
    <w:rsid w:val="22BA468E"/>
    <w:rsid w:val="22F12886"/>
    <w:rsid w:val="22FB68AD"/>
    <w:rsid w:val="231921B3"/>
    <w:rsid w:val="231E77CA"/>
    <w:rsid w:val="23F54D7D"/>
    <w:rsid w:val="23F92EE5"/>
    <w:rsid w:val="24092228"/>
    <w:rsid w:val="247022A7"/>
    <w:rsid w:val="24A26904"/>
    <w:rsid w:val="251437FA"/>
    <w:rsid w:val="25147E11"/>
    <w:rsid w:val="253A3C68"/>
    <w:rsid w:val="25660F6D"/>
    <w:rsid w:val="2594658A"/>
    <w:rsid w:val="25D935A1"/>
    <w:rsid w:val="25E17963"/>
    <w:rsid w:val="25E371D4"/>
    <w:rsid w:val="26034B6D"/>
    <w:rsid w:val="260809E9"/>
    <w:rsid w:val="261D0249"/>
    <w:rsid w:val="262A0B85"/>
    <w:rsid w:val="263E0836"/>
    <w:rsid w:val="26461034"/>
    <w:rsid w:val="266E3FAA"/>
    <w:rsid w:val="26750BA6"/>
    <w:rsid w:val="26914E82"/>
    <w:rsid w:val="270C366A"/>
    <w:rsid w:val="271124EF"/>
    <w:rsid w:val="27151FA3"/>
    <w:rsid w:val="271909D4"/>
    <w:rsid w:val="27206206"/>
    <w:rsid w:val="2737124A"/>
    <w:rsid w:val="27737B67"/>
    <w:rsid w:val="2786566E"/>
    <w:rsid w:val="279D6A4B"/>
    <w:rsid w:val="27AD7318"/>
    <w:rsid w:val="27BD3A55"/>
    <w:rsid w:val="27D96930"/>
    <w:rsid w:val="27EB05C2"/>
    <w:rsid w:val="27ED46BB"/>
    <w:rsid w:val="2852435D"/>
    <w:rsid w:val="28702875"/>
    <w:rsid w:val="287451FA"/>
    <w:rsid w:val="28795BCE"/>
    <w:rsid w:val="28B974C5"/>
    <w:rsid w:val="290C0CDA"/>
    <w:rsid w:val="295C1530"/>
    <w:rsid w:val="296E1D86"/>
    <w:rsid w:val="29CD63FC"/>
    <w:rsid w:val="29FA72FE"/>
    <w:rsid w:val="2A1B7191"/>
    <w:rsid w:val="2A2E5310"/>
    <w:rsid w:val="2A3A7CCF"/>
    <w:rsid w:val="2A3F1017"/>
    <w:rsid w:val="2A52703F"/>
    <w:rsid w:val="2ABF0586"/>
    <w:rsid w:val="2ACF595D"/>
    <w:rsid w:val="2AE87A45"/>
    <w:rsid w:val="2AE93FB4"/>
    <w:rsid w:val="2AEC0F3A"/>
    <w:rsid w:val="2B0C31F0"/>
    <w:rsid w:val="2B1E7055"/>
    <w:rsid w:val="2B352C39"/>
    <w:rsid w:val="2B7E051F"/>
    <w:rsid w:val="2BA271EA"/>
    <w:rsid w:val="2BD63337"/>
    <w:rsid w:val="2C06259D"/>
    <w:rsid w:val="2C0C3732"/>
    <w:rsid w:val="2C333D33"/>
    <w:rsid w:val="2C480E40"/>
    <w:rsid w:val="2C4826E7"/>
    <w:rsid w:val="2C5E5C7B"/>
    <w:rsid w:val="2C9E2B6B"/>
    <w:rsid w:val="2CA05C37"/>
    <w:rsid w:val="2CB41C1C"/>
    <w:rsid w:val="2CD828CB"/>
    <w:rsid w:val="2CE23F97"/>
    <w:rsid w:val="2CF71E8B"/>
    <w:rsid w:val="2D0143E4"/>
    <w:rsid w:val="2D1E6D44"/>
    <w:rsid w:val="2D1F330A"/>
    <w:rsid w:val="2D23435A"/>
    <w:rsid w:val="2D263E4A"/>
    <w:rsid w:val="2D2A362A"/>
    <w:rsid w:val="2D353649"/>
    <w:rsid w:val="2D36101B"/>
    <w:rsid w:val="2D716CA8"/>
    <w:rsid w:val="2D7F052B"/>
    <w:rsid w:val="2DA233D1"/>
    <w:rsid w:val="2DAB539F"/>
    <w:rsid w:val="2DC3422E"/>
    <w:rsid w:val="2DD218DC"/>
    <w:rsid w:val="2DDD0ECC"/>
    <w:rsid w:val="2DEF248E"/>
    <w:rsid w:val="2DF85443"/>
    <w:rsid w:val="2E0E2659"/>
    <w:rsid w:val="2E100294"/>
    <w:rsid w:val="2E19753A"/>
    <w:rsid w:val="2E5A6ECA"/>
    <w:rsid w:val="2E722435"/>
    <w:rsid w:val="2E76670C"/>
    <w:rsid w:val="2E7F79A8"/>
    <w:rsid w:val="2EA469EA"/>
    <w:rsid w:val="2EB45BB2"/>
    <w:rsid w:val="2EBC4C8D"/>
    <w:rsid w:val="2EC06D5A"/>
    <w:rsid w:val="2ED76740"/>
    <w:rsid w:val="2EDB5F69"/>
    <w:rsid w:val="2EE23DA1"/>
    <w:rsid w:val="2EE978BD"/>
    <w:rsid w:val="2F02474B"/>
    <w:rsid w:val="2F047BCB"/>
    <w:rsid w:val="2F155DA1"/>
    <w:rsid w:val="2F2A7C22"/>
    <w:rsid w:val="2F44018D"/>
    <w:rsid w:val="2F4D1B62"/>
    <w:rsid w:val="2FE73D65"/>
    <w:rsid w:val="2FEF3386"/>
    <w:rsid w:val="30014F7B"/>
    <w:rsid w:val="30077F63"/>
    <w:rsid w:val="30226B4B"/>
    <w:rsid w:val="304D6345"/>
    <w:rsid w:val="304E1B36"/>
    <w:rsid w:val="30695F83"/>
    <w:rsid w:val="307849BD"/>
    <w:rsid w:val="30814AD4"/>
    <w:rsid w:val="30EE2484"/>
    <w:rsid w:val="312866CF"/>
    <w:rsid w:val="312C7E96"/>
    <w:rsid w:val="314C343E"/>
    <w:rsid w:val="315F689E"/>
    <w:rsid w:val="31925762"/>
    <w:rsid w:val="31B2798F"/>
    <w:rsid w:val="31D04385"/>
    <w:rsid w:val="31E657AC"/>
    <w:rsid w:val="31F46875"/>
    <w:rsid w:val="321D310C"/>
    <w:rsid w:val="322E52C1"/>
    <w:rsid w:val="324C6101"/>
    <w:rsid w:val="324C7EAF"/>
    <w:rsid w:val="32754B0F"/>
    <w:rsid w:val="32990C1B"/>
    <w:rsid w:val="32A627A2"/>
    <w:rsid w:val="32A934AD"/>
    <w:rsid w:val="32C95D45"/>
    <w:rsid w:val="333657D8"/>
    <w:rsid w:val="336D4657"/>
    <w:rsid w:val="33A56467"/>
    <w:rsid w:val="33B45D0C"/>
    <w:rsid w:val="33CB4C12"/>
    <w:rsid w:val="33E40333"/>
    <w:rsid w:val="340028C2"/>
    <w:rsid w:val="341932A5"/>
    <w:rsid w:val="344A6559"/>
    <w:rsid w:val="345F01A4"/>
    <w:rsid w:val="345F38B1"/>
    <w:rsid w:val="348735F3"/>
    <w:rsid w:val="34C53F49"/>
    <w:rsid w:val="34DF61CD"/>
    <w:rsid w:val="35394C73"/>
    <w:rsid w:val="354C14E3"/>
    <w:rsid w:val="3578720D"/>
    <w:rsid w:val="35A522BA"/>
    <w:rsid w:val="35BB5A78"/>
    <w:rsid w:val="35C26A12"/>
    <w:rsid w:val="35EA2561"/>
    <w:rsid w:val="360016DD"/>
    <w:rsid w:val="360410EC"/>
    <w:rsid w:val="362058DB"/>
    <w:rsid w:val="36252EF1"/>
    <w:rsid w:val="36275EA7"/>
    <w:rsid w:val="362A2D48"/>
    <w:rsid w:val="366E2B3B"/>
    <w:rsid w:val="367C1CF9"/>
    <w:rsid w:val="36820193"/>
    <w:rsid w:val="36AF4EB1"/>
    <w:rsid w:val="36CD3BD2"/>
    <w:rsid w:val="375970CC"/>
    <w:rsid w:val="375B20E4"/>
    <w:rsid w:val="375C1259"/>
    <w:rsid w:val="375D66BB"/>
    <w:rsid w:val="37680BAE"/>
    <w:rsid w:val="37892452"/>
    <w:rsid w:val="3790206F"/>
    <w:rsid w:val="37902B02"/>
    <w:rsid w:val="37906A90"/>
    <w:rsid w:val="379506F8"/>
    <w:rsid w:val="37A75B88"/>
    <w:rsid w:val="3801554A"/>
    <w:rsid w:val="380F5D14"/>
    <w:rsid w:val="38305A13"/>
    <w:rsid w:val="38340E35"/>
    <w:rsid w:val="38575789"/>
    <w:rsid w:val="38A74091"/>
    <w:rsid w:val="390B1389"/>
    <w:rsid w:val="39111E53"/>
    <w:rsid w:val="391F21FB"/>
    <w:rsid w:val="392107AD"/>
    <w:rsid w:val="394B606C"/>
    <w:rsid w:val="3954558D"/>
    <w:rsid w:val="39594D10"/>
    <w:rsid w:val="396962E8"/>
    <w:rsid w:val="396A3EF8"/>
    <w:rsid w:val="398546DC"/>
    <w:rsid w:val="39873EC3"/>
    <w:rsid w:val="399C17A9"/>
    <w:rsid w:val="39C66799"/>
    <w:rsid w:val="39DA5AEC"/>
    <w:rsid w:val="39DA6B07"/>
    <w:rsid w:val="3A4018D3"/>
    <w:rsid w:val="3A4715E7"/>
    <w:rsid w:val="3A695373"/>
    <w:rsid w:val="3A6D0AD6"/>
    <w:rsid w:val="3AA6444D"/>
    <w:rsid w:val="3AB6213A"/>
    <w:rsid w:val="3AFE6908"/>
    <w:rsid w:val="3B0D21A6"/>
    <w:rsid w:val="3B3B4F57"/>
    <w:rsid w:val="3B487E4F"/>
    <w:rsid w:val="3B914B85"/>
    <w:rsid w:val="3C0B52F7"/>
    <w:rsid w:val="3C0C3679"/>
    <w:rsid w:val="3C4D400B"/>
    <w:rsid w:val="3C5E53AF"/>
    <w:rsid w:val="3C6526A9"/>
    <w:rsid w:val="3C6A302C"/>
    <w:rsid w:val="3CBB45AF"/>
    <w:rsid w:val="3CC15E65"/>
    <w:rsid w:val="3CC928FC"/>
    <w:rsid w:val="3CCF5D49"/>
    <w:rsid w:val="3CD34399"/>
    <w:rsid w:val="3D384F86"/>
    <w:rsid w:val="3D5A2462"/>
    <w:rsid w:val="3D89020A"/>
    <w:rsid w:val="3D8C7CFA"/>
    <w:rsid w:val="3DA1343C"/>
    <w:rsid w:val="3DC85D27"/>
    <w:rsid w:val="3DD81C5A"/>
    <w:rsid w:val="3DE536B4"/>
    <w:rsid w:val="3DEE2942"/>
    <w:rsid w:val="3DEE4511"/>
    <w:rsid w:val="3E3B0B17"/>
    <w:rsid w:val="3E5720B6"/>
    <w:rsid w:val="3E667AC4"/>
    <w:rsid w:val="3E71537A"/>
    <w:rsid w:val="3E720C9E"/>
    <w:rsid w:val="3E7E3A33"/>
    <w:rsid w:val="3E8565B7"/>
    <w:rsid w:val="3EAD617A"/>
    <w:rsid w:val="3EAE00FC"/>
    <w:rsid w:val="3ED22504"/>
    <w:rsid w:val="3ED6747E"/>
    <w:rsid w:val="3EF24E9F"/>
    <w:rsid w:val="3F0F0BE2"/>
    <w:rsid w:val="3F1E6D0D"/>
    <w:rsid w:val="3F237357"/>
    <w:rsid w:val="3F436DEF"/>
    <w:rsid w:val="3F4B51D3"/>
    <w:rsid w:val="3F56776C"/>
    <w:rsid w:val="3F581370"/>
    <w:rsid w:val="3F5D194E"/>
    <w:rsid w:val="3F921308"/>
    <w:rsid w:val="3FA02E75"/>
    <w:rsid w:val="3FA36D96"/>
    <w:rsid w:val="3FC56198"/>
    <w:rsid w:val="402F329D"/>
    <w:rsid w:val="404B5C4A"/>
    <w:rsid w:val="406A3E04"/>
    <w:rsid w:val="40794297"/>
    <w:rsid w:val="407A17E8"/>
    <w:rsid w:val="40AB0067"/>
    <w:rsid w:val="40B72F1B"/>
    <w:rsid w:val="40CE294A"/>
    <w:rsid w:val="40D0780B"/>
    <w:rsid w:val="41210759"/>
    <w:rsid w:val="414C4BDE"/>
    <w:rsid w:val="418D2654"/>
    <w:rsid w:val="41AA4BF2"/>
    <w:rsid w:val="41B22580"/>
    <w:rsid w:val="41BC1514"/>
    <w:rsid w:val="41BD4926"/>
    <w:rsid w:val="41CF5FA7"/>
    <w:rsid w:val="41DF3C61"/>
    <w:rsid w:val="41E33C60"/>
    <w:rsid w:val="42295B17"/>
    <w:rsid w:val="422D77E5"/>
    <w:rsid w:val="424974CE"/>
    <w:rsid w:val="426445DB"/>
    <w:rsid w:val="42663C1F"/>
    <w:rsid w:val="42767E78"/>
    <w:rsid w:val="427B5797"/>
    <w:rsid w:val="428C1735"/>
    <w:rsid w:val="42B50F15"/>
    <w:rsid w:val="42C17FC9"/>
    <w:rsid w:val="42DA6267"/>
    <w:rsid w:val="42E91BC2"/>
    <w:rsid w:val="43091BE7"/>
    <w:rsid w:val="43160791"/>
    <w:rsid w:val="43660047"/>
    <w:rsid w:val="436B07C0"/>
    <w:rsid w:val="436B215F"/>
    <w:rsid w:val="438B5444"/>
    <w:rsid w:val="43AD5BC0"/>
    <w:rsid w:val="440920A4"/>
    <w:rsid w:val="441B5933"/>
    <w:rsid w:val="4434731A"/>
    <w:rsid w:val="444924A1"/>
    <w:rsid w:val="447F603A"/>
    <w:rsid w:val="44A02D25"/>
    <w:rsid w:val="450A2FE5"/>
    <w:rsid w:val="4513485D"/>
    <w:rsid w:val="45247F91"/>
    <w:rsid w:val="452D3B70"/>
    <w:rsid w:val="453E0505"/>
    <w:rsid w:val="45527129"/>
    <w:rsid w:val="455530C7"/>
    <w:rsid w:val="455530DC"/>
    <w:rsid w:val="456257A8"/>
    <w:rsid w:val="456F392F"/>
    <w:rsid w:val="45703A5D"/>
    <w:rsid w:val="45846B79"/>
    <w:rsid w:val="462807F4"/>
    <w:rsid w:val="462D1334"/>
    <w:rsid w:val="464245FC"/>
    <w:rsid w:val="464258AB"/>
    <w:rsid w:val="466C68EE"/>
    <w:rsid w:val="46805F22"/>
    <w:rsid w:val="46843C64"/>
    <w:rsid w:val="468E3956"/>
    <w:rsid w:val="46A84F24"/>
    <w:rsid w:val="46AA2E87"/>
    <w:rsid w:val="470A2EDA"/>
    <w:rsid w:val="471E24AC"/>
    <w:rsid w:val="472A4F76"/>
    <w:rsid w:val="47486A40"/>
    <w:rsid w:val="474927B8"/>
    <w:rsid w:val="47734E7C"/>
    <w:rsid w:val="47AD5C97"/>
    <w:rsid w:val="47C243C7"/>
    <w:rsid w:val="47CA56B8"/>
    <w:rsid w:val="47CD5E52"/>
    <w:rsid w:val="47F05E2A"/>
    <w:rsid w:val="47F40975"/>
    <w:rsid w:val="47FB61A8"/>
    <w:rsid w:val="48307449"/>
    <w:rsid w:val="485352D6"/>
    <w:rsid w:val="487C74FC"/>
    <w:rsid w:val="48940292"/>
    <w:rsid w:val="48A739A4"/>
    <w:rsid w:val="48AE1B01"/>
    <w:rsid w:val="48B37647"/>
    <w:rsid w:val="48DF5182"/>
    <w:rsid w:val="4901434E"/>
    <w:rsid w:val="4901565F"/>
    <w:rsid w:val="491730DD"/>
    <w:rsid w:val="491C0184"/>
    <w:rsid w:val="49746212"/>
    <w:rsid w:val="49904D89"/>
    <w:rsid w:val="4993360E"/>
    <w:rsid w:val="499E7498"/>
    <w:rsid w:val="49B14A31"/>
    <w:rsid w:val="49B36A73"/>
    <w:rsid w:val="49CD621E"/>
    <w:rsid w:val="49D468A9"/>
    <w:rsid w:val="49E50B2C"/>
    <w:rsid w:val="49FE3D2D"/>
    <w:rsid w:val="4A003601"/>
    <w:rsid w:val="4A131986"/>
    <w:rsid w:val="4A8065B2"/>
    <w:rsid w:val="4A844587"/>
    <w:rsid w:val="4A85478F"/>
    <w:rsid w:val="4A894C29"/>
    <w:rsid w:val="4A9D2AB4"/>
    <w:rsid w:val="4AA62A44"/>
    <w:rsid w:val="4AC95894"/>
    <w:rsid w:val="4ADB52ED"/>
    <w:rsid w:val="4AE01685"/>
    <w:rsid w:val="4B096959"/>
    <w:rsid w:val="4B147235"/>
    <w:rsid w:val="4B3F45FD"/>
    <w:rsid w:val="4B577B99"/>
    <w:rsid w:val="4B5F2444"/>
    <w:rsid w:val="4B970BC3"/>
    <w:rsid w:val="4BA21D49"/>
    <w:rsid w:val="4BBC7BF0"/>
    <w:rsid w:val="4BCD1733"/>
    <w:rsid w:val="4BCE3E9C"/>
    <w:rsid w:val="4BF85836"/>
    <w:rsid w:val="4C33502F"/>
    <w:rsid w:val="4C3C1F70"/>
    <w:rsid w:val="4CA85709"/>
    <w:rsid w:val="4CAF130F"/>
    <w:rsid w:val="4CB70A84"/>
    <w:rsid w:val="4CB9227D"/>
    <w:rsid w:val="4CC14CD0"/>
    <w:rsid w:val="4D111FCA"/>
    <w:rsid w:val="4D8702C0"/>
    <w:rsid w:val="4D885EA1"/>
    <w:rsid w:val="4DCE1ADF"/>
    <w:rsid w:val="4DEA2F8F"/>
    <w:rsid w:val="4E054D90"/>
    <w:rsid w:val="4E2A42F4"/>
    <w:rsid w:val="4E2B506C"/>
    <w:rsid w:val="4E3209D9"/>
    <w:rsid w:val="4E560F75"/>
    <w:rsid w:val="4E756BF1"/>
    <w:rsid w:val="4E84646F"/>
    <w:rsid w:val="4EE52D53"/>
    <w:rsid w:val="4EF57594"/>
    <w:rsid w:val="4F043B94"/>
    <w:rsid w:val="4F052D0F"/>
    <w:rsid w:val="4F524066"/>
    <w:rsid w:val="4F5F01E1"/>
    <w:rsid w:val="4F734876"/>
    <w:rsid w:val="4F822CA9"/>
    <w:rsid w:val="4F824AB9"/>
    <w:rsid w:val="4F8E5B53"/>
    <w:rsid w:val="4F9B5B7A"/>
    <w:rsid w:val="4F9F1B0F"/>
    <w:rsid w:val="4FB05817"/>
    <w:rsid w:val="4FB44D36"/>
    <w:rsid w:val="501068BD"/>
    <w:rsid w:val="50337B46"/>
    <w:rsid w:val="50575F24"/>
    <w:rsid w:val="50583571"/>
    <w:rsid w:val="50712142"/>
    <w:rsid w:val="508E7B52"/>
    <w:rsid w:val="50AA076B"/>
    <w:rsid w:val="50B125BE"/>
    <w:rsid w:val="50E2402F"/>
    <w:rsid w:val="50F103A1"/>
    <w:rsid w:val="5147337A"/>
    <w:rsid w:val="51984A67"/>
    <w:rsid w:val="51B43FDF"/>
    <w:rsid w:val="51C15779"/>
    <w:rsid w:val="51E23F34"/>
    <w:rsid w:val="51EF0898"/>
    <w:rsid w:val="51F35176"/>
    <w:rsid w:val="5214467A"/>
    <w:rsid w:val="52262073"/>
    <w:rsid w:val="52367C31"/>
    <w:rsid w:val="52434560"/>
    <w:rsid w:val="52892530"/>
    <w:rsid w:val="528943B0"/>
    <w:rsid w:val="52911BE2"/>
    <w:rsid w:val="529574BB"/>
    <w:rsid w:val="52BE4CDE"/>
    <w:rsid w:val="52EA20C4"/>
    <w:rsid w:val="53034A0C"/>
    <w:rsid w:val="5316326B"/>
    <w:rsid w:val="531B14AC"/>
    <w:rsid w:val="53364077"/>
    <w:rsid w:val="536106FF"/>
    <w:rsid w:val="537312E8"/>
    <w:rsid w:val="5394300C"/>
    <w:rsid w:val="53B4796D"/>
    <w:rsid w:val="53D521ED"/>
    <w:rsid w:val="54205F91"/>
    <w:rsid w:val="542763C6"/>
    <w:rsid w:val="54490A75"/>
    <w:rsid w:val="54493DF7"/>
    <w:rsid w:val="54624EB9"/>
    <w:rsid w:val="549F610D"/>
    <w:rsid w:val="54A20F52"/>
    <w:rsid w:val="54CB7C50"/>
    <w:rsid w:val="552F423B"/>
    <w:rsid w:val="55434CEA"/>
    <w:rsid w:val="55473C9C"/>
    <w:rsid w:val="556804A3"/>
    <w:rsid w:val="55791BB1"/>
    <w:rsid w:val="55B01286"/>
    <w:rsid w:val="55EA600E"/>
    <w:rsid w:val="55F61D5C"/>
    <w:rsid w:val="560C332E"/>
    <w:rsid w:val="563A433F"/>
    <w:rsid w:val="569B26FA"/>
    <w:rsid w:val="56A874FB"/>
    <w:rsid w:val="56E009D4"/>
    <w:rsid w:val="56E15F9D"/>
    <w:rsid w:val="56F350C6"/>
    <w:rsid w:val="56F40992"/>
    <w:rsid w:val="573A6145"/>
    <w:rsid w:val="576A4D08"/>
    <w:rsid w:val="57AA0684"/>
    <w:rsid w:val="57CF03CB"/>
    <w:rsid w:val="57DF2C63"/>
    <w:rsid w:val="57FB18AC"/>
    <w:rsid w:val="57FF111B"/>
    <w:rsid w:val="581B3CFC"/>
    <w:rsid w:val="58395CD8"/>
    <w:rsid w:val="58445001"/>
    <w:rsid w:val="587D17B0"/>
    <w:rsid w:val="589F2191"/>
    <w:rsid w:val="58A81A34"/>
    <w:rsid w:val="58CF02BE"/>
    <w:rsid w:val="58D07C3F"/>
    <w:rsid w:val="5924482E"/>
    <w:rsid w:val="59294B69"/>
    <w:rsid w:val="592E6AC8"/>
    <w:rsid w:val="5984613E"/>
    <w:rsid w:val="59B12B6A"/>
    <w:rsid w:val="59BE4753"/>
    <w:rsid w:val="59C0063A"/>
    <w:rsid w:val="59E85E60"/>
    <w:rsid w:val="59F803CF"/>
    <w:rsid w:val="5A4C154E"/>
    <w:rsid w:val="5A4D3270"/>
    <w:rsid w:val="5A8B33BB"/>
    <w:rsid w:val="5A905F35"/>
    <w:rsid w:val="5AD52888"/>
    <w:rsid w:val="5AE15649"/>
    <w:rsid w:val="5AED6270"/>
    <w:rsid w:val="5B0726A8"/>
    <w:rsid w:val="5B152C85"/>
    <w:rsid w:val="5B2675A6"/>
    <w:rsid w:val="5B2A709E"/>
    <w:rsid w:val="5B54456F"/>
    <w:rsid w:val="5B580745"/>
    <w:rsid w:val="5B5E63DA"/>
    <w:rsid w:val="5B6B7B93"/>
    <w:rsid w:val="5B6C5BE4"/>
    <w:rsid w:val="5B8528F1"/>
    <w:rsid w:val="5B900A1A"/>
    <w:rsid w:val="5B92368E"/>
    <w:rsid w:val="5BA1576A"/>
    <w:rsid w:val="5BCA48B4"/>
    <w:rsid w:val="5BE8316E"/>
    <w:rsid w:val="5C12153F"/>
    <w:rsid w:val="5C645C72"/>
    <w:rsid w:val="5C806824"/>
    <w:rsid w:val="5C8A16E1"/>
    <w:rsid w:val="5C8E59C1"/>
    <w:rsid w:val="5CC52608"/>
    <w:rsid w:val="5CCC478E"/>
    <w:rsid w:val="5CE36B93"/>
    <w:rsid w:val="5CE70651"/>
    <w:rsid w:val="5CEA7293"/>
    <w:rsid w:val="5CFC234E"/>
    <w:rsid w:val="5D0718C2"/>
    <w:rsid w:val="5D0C7537"/>
    <w:rsid w:val="5D132CC7"/>
    <w:rsid w:val="5D1E5F54"/>
    <w:rsid w:val="5D753EAF"/>
    <w:rsid w:val="5D852344"/>
    <w:rsid w:val="5D865304"/>
    <w:rsid w:val="5D976C48"/>
    <w:rsid w:val="5DA5144D"/>
    <w:rsid w:val="5DC032E9"/>
    <w:rsid w:val="5DC411AD"/>
    <w:rsid w:val="5DC84035"/>
    <w:rsid w:val="5DD11413"/>
    <w:rsid w:val="5DF66A37"/>
    <w:rsid w:val="5E587A58"/>
    <w:rsid w:val="5E6B0C81"/>
    <w:rsid w:val="5E997BFC"/>
    <w:rsid w:val="5EAF5C0D"/>
    <w:rsid w:val="5EB20EC7"/>
    <w:rsid w:val="5ECD4A53"/>
    <w:rsid w:val="5EE95696"/>
    <w:rsid w:val="5EEE5CC7"/>
    <w:rsid w:val="5F0B6879"/>
    <w:rsid w:val="5F27742B"/>
    <w:rsid w:val="5F385194"/>
    <w:rsid w:val="5F411581"/>
    <w:rsid w:val="5F572D08"/>
    <w:rsid w:val="5F592E3F"/>
    <w:rsid w:val="5F6D598C"/>
    <w:rsid w:val="5F743723"/>
    <w:rsid w:val="5F8648AE"/>
    <w:rsid w:val="5F913938"/>
    <w:rsid w:val="5FB07420"/>
    <w:rsid w:val="5FE02930"/>
    <w:rsid w:val="5FE6574C"/>
    <w:rsid w:val="603221A6"/>
    <w:rsid w:val="6041193C"/>
    <w:rsid w:val="604D318A"/>
    <w:rsid w:val="6054725D"/>
    <w:rsid w:val="605F5747"/>
    <w:rsid w:val="60751D5D"/>
    <w:rsid w:val="60857039"/>
    <w:rsid w:val="60C74EDE"/>
    <w:rsid w:val="60E148FC"/>
    <w:rsid w:val="60EC610F"/>
    <w:rsid w:val="60FB291D"/>
    <w:rsid w:val="61210B4D"/>
    <w:rsid w:val="613461FD"/>
    <w:rsid w:val="614E5143"/>
    <w:rsid w:val="615220F1"/>
    <w:rsid w:val="615362B5"/>
    <w:rsid w:val="616703E1"/>
    <w:rsid w:val="617D1584"/>
    <w:rsid w:val="61CD0301"/>
    <w:rsid w:val="61FD2F5A"/>
    <w:rsid w:val="62066FBB"/>
    <w:rsid w:val="6220263B"/>
    <w:rsid w:val="622B5265"/>
    <w:rsid w:val="622B5437"/>
    <w:rsid w:val="623714C8"/>
    <w:rsid w:val="6237232D"/>
    <w:rsid w:val="625E7607"/>
    <w:rsid w:val="626A208B"/>
    <w:rsid w:val="627C4DA9"/>
    <w:rsid w:val="628232F6"/>
    <w:rsid w:val="62906902"/>
    <w:rsid w:val="62A42475"/>
    <w:rsid w:val="62A82630"/>
    <w:rsid w:val="62C63606"/>
    <w:rsid w:val="62DA69DF"/>
    <w:rsid w:val="62DF24F6"/>
    <w:rsid w:val="62E80C7F"/>
    <w:rsid w:val="62EC34C6"/>
    <w:rsid w:val="62F15D85"/>
    <w:rsid w:val="62F7188B"/>
    <w:rsid w:val="62FA369F"/>
    <w:rsid w:val="631C76F6"/>
    <w:rsid w:val="634E41F4"/>
    <w:rsid w:val="635307EE"/>
    <w:rsid w:val="635D341B"/>
    <w:rsid w:val="638C28C9"/>
    <w:rsid w:val="63966573"/>
    <w:rsid w:val="63C16DBD"/>
    <w:rsid w:val="63C27722"/>
    <w:rsid w:val="63C41FDE"/>
    <w:rsid w:val="63C77D1D"/>
    <w:rsid w:val="63C8595D"/>
    <w:rsid w:val="63D01E3F"/>
    <w:rsid w:val="63FF7497"/>
    <w:rsid w:val="64104931"/>
    <w:rsid w:val="64190FEE"/>
    <w:rsid w:val="64357EF4"/>
    <w:rsid w:val="6444590E"/>
    <w:rsid w:val="646E3536"/>
    <w:rsid w:val="6472787A"/>
    <w:rsid w:val="64753F5E"/>
    <w:rsid w:val="648139E8"/>
    <w:rsid w:val="649C0802"/>
    <w:rsid w:val="64A62BA0"/>
    <w:rsid w:val="64AA2690"/>
    <w:rsid w:val="64B91102"/>
    <w:rsid w:val="64C94CA8"/>
    <w:rsid w:val="65241D87"/>
    <w:rsid w:val="652D34AB"/>
    <w:rsid w:val="656C3DE9"/>
    <w:rsid w:val="65796481"/>
    <w:rsid w:val="657F56CF"/>
    <w:rsid w:val="65AB66C0"/>
    <w:rsid w:val="65AD4B56"/>
    <w:rsid w:val="65BD7694"/>
    <w:rsid w:val="65C710BC"/>
    <w:rsid w:val="662D5327"/>
    <w:rsid w:val="66613732"/>
    <w:rsid w:val="668D0844"/>
    <w:rsid w:val="66A62A27"/>
    <w:rsid w:val="66A765BA"/>
    <w:rsid w:val="66C20165"/>
    <w:rsid w:val="66C51A03"/>
    <w:rsid w:val="66C8359D"/>
    <w:rsid w:val="66D93F8E"/>
    <w:rsid w:val="66E04A8F"/>
    <w:rsid w:val="66F916AD"/>
    <w:rsid w:val="66F9736F"/>
    <w:rsid w:val="671846B9"/>
    <w:rsid w:val="67252EFA"/>
    <w:rsid w:val="672F1572"/>
    <w:rsid w:val="677D6AFE"/>
    <w:rsid w:val="679A58D2"/>
    <w:rsid w:val="679B2764"/>
    <w:rsid w:val="67C25195"/>
    <w:rsid w:val="67F0485E"/>
    <w:rsid w:val="680A3A06"/>
    <w:rsid w:val="683F5F8D"/>
    <w:rsid w:val="6845777F"/>
    <w:rsid w:val="684F4019"/>
    <w:rsid w:val="685E2B02"/>
    <w:rsid w:val="6860290F"/>
    <w:rsid w:val="688B7082"/>
    <w:rsid w:val="68922D05"/>
    <w:rsid w:val="689A3D1E"/>
    <w:rsid w:val="68A8008D"/>
    <w:rsid w:val="68EA7FB5"/>
    <w:rsid w:val="692036F0"/>
    <w:rsid w:val="6942262D"/>
    <w:rsid w:val="695233AA"/>
    <w:rsid w:val="695856CC"/>
    <w:rsid w:val="697832AC"/>
    <w:rsid w:val="6985434F"/>
    <w:rsid w:val="69904E6F"/>
    <w:rsid w:val="69A20CC4"/>
    <w:rsid w:val="69A24880"/>
    <w:rsid w:val="69AC7CAF"/>
    <w:rsid w:val="69B63885"/>
    <w:rsid w:val="6A1725CC"/>
    <w:rsid w:val="6A1B67AB"/>
    <w:rsid w:val="6A203528"/>
    <w:rsid w:val="6A3749C6"/>
    <w:rsid w:val="6A722A7F"/>
    <w:rsid w:val="6A777EE9"/>
    <w:rsid w:val="6A786D8C"/>
    <w:rsid w:val="6A8219B9"/>
    <w:rsid w:val="6AB24ABD"/>
    <w:rsid w:val="6B074370"/>
    <w:rsid w:val="6B0D0B90"/>
    <w:rsid w:val="6B141536"/>
    <w:rsid w:val="6B1E3543"/>
    <w:rsid w:val="6B637A3C"/>
    <w:rsid w:val="6B6E0C10"/>
    <w:rsid w:val="6B77039F"/>
    <w:rsid w:val="6B7B4B0A"/>
    <w:rsid w:val="6B971F95"/>
    <w:rsid w:val="6BA22313"/>
    <w:rsid w:val="6BB95693"/>
    <w:rsid w:val="6BBA7E6F"/>
    <w:rsid w:val="6BD050D2"/>
    <w:rsid w:val="6BEC236D"/>
    <w:rsid w:val="6BF15EB8"/>
    <w:rsid w:val="6C2325E6"/>
    <w:rsid w:val="6C2744B0"/>
    <w:rsid w:val="6C3118E9"/>
    <w:rsid w:val="6C376EFF"/>
    <w:rsid w:val="6C576A20"/>
    <w:rsid w:val="6C634DD7"/>
    <w:rsid w:val="6C7F4402"/>
    <w:rsid w:val="6C8821D9"/>
    <w:rsid w:val="6CB70040"/>
    <w:rsid w:val="6CC03207"/>
    <w:rsid w:val="6D577853"/>
    <w:rsid w:val="6D714693"/>
    <w:rsid w:val="6D7F4EBE"/>
    <w:rsid w:val="6D9C426A"/>
    <w:rsid w:val="6DC55223"/>
    <w:rsid w:val="6DC5678C"/>
    <w:rsid w:val="6DCE650B"/>
    <w:rsid w:val="6DFB7D1F"/>
    <w:rsid w:val="6E0866A1"/>
    <w:rsid w:val="6E1B015A"/>
    <w:rsid w:val="6E1B47E2"/>
    <w:rsid w:val="6E1F463B"/>
    <w:rsid w:val="6E557B10"/>
    <w:rsid w:val="6E6B6076"/>
    <w:rsid w:val="6E6B77D4"/>
    <w:rsid w:val="6E865BD5"/>
    <w:rsid w:val="6E873A42"/>
    <w:rsid w:val="6E896105"/>
    <w:rsid w:val="6E981139"/>
    <w:rsid w:val="6E9D3265"/>
    <w:rsid w:val="6EAE7626"/>
    <w:rsid w:val="6EEC1EAB"/>
    <w:rsid w:val="6F1057E5"/>
    <w:rsid w:val="6F1572A0"/>
    <w:rsid w:val="6F4B0F13"/>
    <w:rsid w:val="6F4F4560"/>
    <w:rsid w:val="6F60676D"/>
    <w:rsid w:val="6F912DCA"/>
    <w:rsid w:val="6F941F9B"/>
    <w:rsid w:val="6F9E2A6C"/>
    <w:rsid w:val="6FB6638D"/>
    <w:rsid w:val="6FEC0000"/>
    <w:rsid w:val="6FEE6A5B"/>
    <w:rsid w:val="70020651"/>
    <w:rsid w:val="70155BE3"/>
    <w:rsid w:val="70372CED"/>
    <w:rsid w:val="704A5239"/>
    <w:rsid w:val="705636CC"/>
    <w:rsid w:val="70583DB3"/>
    <w:rsid w:val="70761788"/>
    <w:rsid w:val="70AB6137"/>
    <w:rsid w:val="70C22D41"/>
    <w:rsid w:val="70C56AED"/>
    <w:rsid w:val="70D143D5"/>
    <w:rsid w:val="70E75D40"/>
    <w:rsid w:val="70FC518E"/>
    <w:rsid w:val="71091FE1"/>
    <w:rsid w:val="711C28D5"/>
    <w:rsid w:val="7161057A"/>
    <w:rsid w:val="71715BD8"/>
    <w:rsid w:val="719A21F1"/>
    <w:rsid w:val="71A458F3"/>
    <w:rsid w:val="71CF6CB4"/>
    <w:rsid w:val="71D262B3"/>
    <w:rsid w:val="71D84CE0"/>
    <w:rsid w:val="71ED53AC"/>
    <w:rsid w:val="71F4319C"/>
    <w:rsid w:val="71F72C8D"/>
    <w:rsid w:val="723323C6"/>
    <w:rsid w:val="723E22A6"/>
    <w:rsid w:val="724600ED"/>
    <w:rsid w:val="725D59CE"/>
    <w:rsid w:val="726271B5"/>
    <w:rsid w:val="727D59BF"/>
    <w:rsid w:val="7286034B"/>
    <w:rsid w:val="729A1F96"/>
    <w:rsid w:val="72A20E4A"/>
    <w:rsid w:val="72EB61A0"/>
    <w:rsid w:val="72F4012D"/>
    <w:rsid w:val="73005B27"/>
    <w:rsid w:val="7318110C"/>
    <w:rsid w:val="73191EA6"/>
    <w:rsid w:val="731A4E85"/>
    <w:rsid w:val="7340179A"/>
    <w:rsid w:val="73410663"/>
    <w:rsid w:val="734C05E7"/>
    <w:rsid w:val="737314EB"/>
    <w:rsid w:val="738467A2"/>
    <w:rsid w:val="7399723F"/>
    <w:rsid w:val="739F03C2"/>
    <w:rsid w:val="73C3376E"/>
    <w:rsid w:val="73C36FFB"/>
    <w:rsid w:val="73CF0356"/>
    <w:rsid w:val="73DC641C"/>
    <w:rsid w:val="7443040B"/>
    <w:rsid w:val="744A1B52"/>
    <w:rsid w:val="744A3547"/>
    <w:rsid w:val="74865552"/>
    <w:rsid w:val="74B17A6A"/>
    <w:rsid w:val="74C54B52"/>
    <w:rsid w:val="74DC194B"/>
    <w:rsid w:val="74FB4C13"/>
    <w:rsid w:val="7500113B"/>
    <w:rsid w:val="750202C6"/>
    <w:rsid w:val="751E35F3"/>
    <w:rsid w:val="7525129E"/>
    <w:rsid w:val="754B19B8"/>
    <w:rsid w:val="757462FA"/>
    <w:rsid w:val="75996AD0"/>
    <w:rsid w:val="75BB0A6D"/>
    <w:rsid w:val="75BC70BC"/>
    <w:rsid w:val="75CC57CB"/>
    <w:rsid w:val="75CD61DE"/>
    <w:rsid w:val="75D21A46"/>
    <w:rsid w:val="75DB1FD6"/>
    <w:rsid w:val="75E1569E"/>
    <w:rsid w:val="75EF69E2"/>
    <w:rsid w:val="763B34B8"/>
    <w:rsid w:val="76520467"/>
    <w:rsid w:val="765E16AF"/>
    <w:rsid w:val="76634D94"/>
    <w:rsid w:val="76636B42"/>
    <w:rsid w:val="7676290F"/>
    <w:rsid w:val="768F5F97"/>
    <w:rsid w:val="76935D4D"/>
    <w:rsid w:val="76B1471D"/>
    <w:rsid w:val="76C779A9"/>
    <w:rsid w:val="76CA2BA4"/>
    <w:rsid w:val="76CB2948"/>
    <w:rsid w:val="76D11CFE"/>
    <w:rsid w:val="76E03A7D"/>
    <w:rsid w:val="77062450"/>
    <w:rsid w:val="772A5CDF"/>
    <w:rsid w:val="772F154E"/>
    <w:rsid w:val="77405332"/>
    <w:rsid w:val="7752172A"/>
    <w:rsid w:val="77586A89"/>
    <w:rsid w:val="775C62D5"/>
    <w:rsid w:val="77A61A97"/>
    <w:rsid w:val="77AB798B"/>
    <w:rsid w:val="77C65E25"/>
    <w:rsid w:val="77F40D52"/>
    <w:rsid w:val="78090A84"/>
    <w:rsid w:val="78397B5B"/>
    <w:rsid w:val="785E5FEA"/>
    <w:rsid w:val="78601311"/>
    <w:rsid w:val="788E4FAF"/>
    <w:rsid w:val="78B254D4"/>
    <w:rsid w:val="78D358E9"/>
    <w:rsid w:val="78F30652"/>
    <w:rsid w:val="79272291"/>
    <w:rsid w:val="792D0DC2"/>
    <w:rsid w:val="79630A35"/>
    <w:rsid w:val="796C59D2"/>
    <w:rsid w:val="79870D9A"/>
    <w:rsid w:val="79AC25AE"/>
    <w:rsid w:val="79BB14C4"/>
    <w:rsid w:val="79D27DA0"/>
    <w:rsid w:val="7A173ECC"/>
    <w:rsid w:val="7A21551A"/>
    <w:rsid w:val="7A220AAA"/>
    <w:rsid w:val="7A2A4A22"/>
    <w:rsid w:val="7A4E365A"/>
    <w:rsid w:val="7A7B13EC"/>
    <w:rsid w:val="7A7B5656"/>
    <w:rsid w:val="7A8772A3"/>
    <w:rsid w:val="7A8D0910"/>
    <w:rsid w:val="7A903FC2"/>
    <w:rsid w:val="7A91097E"/>
    <w:rsid w:val="7A991DC1"/>
    <w:rsid w:val="7AA634A2"/>
    <w:rsid w:val="7AA81050"/>
    <w:rsid w:val="7AB23AE6"/>
    <w:rsid w:val="7AC20D44"/>
    <w:rsid w:val="7AD26045"/>
    <w:rsid w:val="7AD36CC4"/>
    <w:rsid w:val="7AEA5A84"/>
    <w:rsid w:val="7AF22E6F"/>
    <w:rsid w:val="7B1C3B93"/>
    <w:rsid w:val="7B3F192C"/>
    <w:rsid w:val="7BCB5EE9"/>
    <w:rsid w:val="7BD171F7"/>
    <w:rsid w:val="7BD93860"/>
    <w:rsid w:val="7BE10C35"/>
    <w:rsid w:val="7C016BE2"/>
    <w:rsid w:val="7C021813"/>
    <w:rsid w:val="7C10067A"/>
    <w:rsid w:val="7C2B493F"/>
    <w:rsid w:val="7C2F570D"/>
    <w:rsid w:val="7C547F27"/>
    <w:rsid w:val="7C5E5DE2"/>
    <w:rsid w:val="7C656873"/>
    <w:rsid w:val="7C67773B"/>
    <w:rsid w:val="7C6B3294"/>
    <w:rsid w:val="7CA54FA5"/>
    <w:rsid w:val="7CBC6FAC"/>
    <w:rsid w:val="7CCD740C"/>
    <w:rsid w:val="7CFC4CF4"/>
    <w:rsid w:val="7D0A1A57"/>
    <w:rsid w:val="7D263D47"/>
    <w:rsid w:val="7DC10846"/>
    <w:rsid w:val="7DC75005"/>
    <w:rsid w:val="7DDC77F3"/>
    <w:rsid w:val="7E0341C1"/>
    <w:rsid w:val="7E355268"/>
    <w:rsid w:val="7E4603A6"/>
    <w:rsid w:val="7E4F6ED4"/>
    <w:rsid w:val="7E7F40C9"/>
    <w:rsid w:val="7E851D4C"/>
    <w:rsid w:val="7E857848"/>
    <w:rsid w:val="7ED54355"/>
    <w:rsid w:val="7F080206"/>
    <w:rsid w:val="7F5E4F6B"/>
    <w:rsid w:val="7F5E5349"/>
    <w:rsid w:val="7F6F6558"/>
    <w:rsid w:val="7FAF4BA7"/>
    <w:rsid w:val="7FE42BF3"/>
    <w:rsid w:val="7FF340A0"/>
    <w:rsid w:val="7FFC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autoRedefine/>
    <w:qFormat/>
    <w:uiPriority w:val="0"/>
    <w:pPr>
      <w:pageBreakBefore/>
      <w:snapToGrid w:val="0"/>
      <w:spacing w:before="50" w:after="50" w:line="360" w:lineRule="auto"/>
      <w:jc w:val="center"/>
      <w:outlineLvl w:val="0"/>
    </w:pPr>
    <w:rPr>
      <w:rFonts w:hAnsi="宋体" w:cs="宋体"/>
      <w:b/>
      <w:spacing w:val="-6"/>
      <w:sz w:val="32"/>
      <w:szCs w:val="32"/>
    </w:rPr>
  </w:style>
  <w:style w:type="paragraph" w:styleId="4">
    <w:name w:val="heading 2"/>
    <w:basedOn w:val="1"/>
    <w:next w:val="1"/>
    <w:link w:val="54"/>
    <w:autoRedefine/>
    <w:qFormat/>
    <w:uiPriority w:val="9"/>
    <w:pPr>
      <w:spacing w:line="360" w:lineRule="auto"/>
      <w:jc w:val="center"/>
      <w:outlineLvl w:val="1"/>
    </w:pPr>
    <w:rPr>
      <w:rFonts w:ascii="宋体" w:hAnsi="宋体" w:cs="宋体"/>
      <w:b/>
      <w:sz w:val="28"/>
      <w:szCs w:val="28"/>
    </w:rPr>
  </w:style>
  <w:style w:type="paragraph" w:styleId="5">
    <w:name w:val="heading 3"/>
    <w:basedOn w:val="1"/>
    <w:next w:val="1"/>
    <w:link w:val="55"/>
    <w:autoRedefine/>
    <w:qFormat/>
    <w:uiPriority w:val="0"/>
    <w:pPr>
      <w:keepNext/>
      <w:keepLines/>
      <w:spacing w:before="260" w:after="260" w:line="413" w:lineRule="auto"/>
      <w:outlineLvl w:val="2"/>
    </w:pPr>
    <w:rPr>
      <w:b/>
      <w:bCs/>
      <w:szCs w:val="32"/>
    </w:rPr>
  </w:style>
  <w:style w:type="paragraph" w:styleId="6">
    <w:name w:val="heading 4"/>
    <w:basedOn w:val="1"/>
    <w:next w:val="1"/>
    <w:link w:val="56"/>
    <w:autoRedefine/>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57"/>
    <w:autoRedefine/>
    <w:qFormat/>
    <w:uiPriority w:val="9"/>
    <w:pPr>
      <w:keepNext/>
      <w:keepLines/>
      <w:spacing w:before="280" w:after="290" w:line="376" w:lineRule="auto"/>
      <w:outlineLvl w:val="4"/>
    </w:pPr>
    <w:rPr>
      <w:b/>
      <w:bCs/>
      <w:kern w:val="0"/>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link w:val="48"/>
    <w:qFormat/>
    <w:uiPriority w:val="0"/>
    <w:pPr>
      <w:spacing w:beforeLines="50" w:afterLines="50" w:line="400" w:lineRule="exact"/>
    </w:pPr>
    <w:rPr>
      <w:rFonts w:ascii="宋体" w:hAnsi="Courier New"/>
      <w:sz w:val="24"/>
    </w:rPr>
  </w:style>
  <w:style w:type="paragraph" w:styleId="8">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9">
    <w:name w:val="Normal Indent"/>
    <w:basedOn w:val="1"/>
    <w:qFormat/>
    <w:uiPriority w:val="0"/>
    <w:pPr>
      <w:ind w:firstLine="420"/>
    </w:pPr>
    <w:rPr>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toa heading"/>
    <w:basedOn w:val="1"/>
    <w:next w:val="1"/>
    <w:qFormat/>
    <w:uiPriority w:val="0"/>
    <w:pPr>
      <w:spacing w:before="120"/>
    </w:pPr>
    <w:rPr>
      <w:rFonts w:ascii="Arial"/>
      <w:kern w:val="0"/>
      <w:sz w:val="24"/>
      <w:szCs w:val="20"/>
    </w:rPr>
  </w:style>
  <w:style w:type="paragraph" w:styleId="12">
    <w:name w:val="annotation text"/>
    <w:basedOn w:val="1"/>
    <w:link w:val="58"/>
    <w:semiHidden/>
    <w:qFormat/>
    <w:uiPriority w:val="0"/>
    <w:pPr>
      <w:jc w:val="left"/>
    </w:pPr>
  </w:style>
  <w:style w:type="paragraph" w:styleId="13">
    <w:name w:val="Body Text 3"/>
    <w:basedOn w:val="1"/>
    <w:link w:val="59"/>
    <w:qFormat/>
    <w:uiPriority w:val="0"/>
    <w:pPr>
      <w:spacing w:after="120"/>
    </w:pPr>
    <w:rPr>
      <w:sz w:val="16"/>
      <w:szCs w:val="16"/>
    </w:rPr>
  </w:style>
  <w:style w:type="paragraph" w:styleId="14">
    <w:name w:val="Body Text"/>
    <w:basedOn w:val="1"/>
    <w:next w:val="1"/>
    <w:link w:val="49"/>
    <w:autoRedefine/>
    <w:unhideWhenUsed/>
    <w:qFormat/>
    <w:uiPriority w:val="0"/>
    <w:pPr>
      <w:spacing w:after="120"/>
    </w:pPr>
  </w:style>
  <w:style w:type="paragraph" w:styleId="15">
    <w:name w:val="Body Text Indent"/>
    <w:basedOn w:val="1"/>
    <w:next w:val="9"/>
    <w:link w:val="50"/>
    <w:autoRedefine/>
    <w:qFormat/>
    <w:uiPriority w:val="0"/>
    <w:pPr>
      <w:spacing w:after="120"/>
      <w:ind w:left="420" w:leftChars="200"/>
    </w:p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pacing w:line="340" w:lineRule="exact"/>
      <w:ind w:left="850" w:leftChars="405" w:right="16"/>
    </w:pPr>
    <w:rPr>
      <w:rFonts w:ascii="宋体"/>
      <w:spacing w:val="20"/>
      <w:sz w:val="24"/>
    </w:rPr>
  </w:style>
  <w:style w:type="paragraph" w:styleId="18">
    <w:name w:val="Date"/>
    <w:basedOn w:val="1"/>
    <w:next w:val="1"/>
    <w:link w:val="60"/>
    <w:autoRedefine/>
    <w:qFormat/>
    <w:uiPriority w:val="0"/>
    <w:pPr>
      <w:ind w:left="2500" w:leftChars="2500"/>
    </w:pPr>
    <w:rPr>
      <w:rFonts w:eastAsia="楷体_GB2312"/>
      <w:sz w:val="32"/>
      <w:szCs w:val="20"/>
    </w:rPr>
  </w:style>
  <w:style w:type="paragraph" w:styleId="19">
    <w:name w:val="Body Text Indent 2"/>
    <w:basedOn w:val="1"/>
    <w:link w:val="61"/>
    <w:qFormat/>
    <w:uiPriority w:val="0"/>
    <w:pPr>
      <w:snapToGrid w:val="0"/>
      <w:ind w:firstLine="542" w:firstLineChars="225"/>
    </w:pPr>
    <w:rPr>
      <w:rFonts w:ascii="仿宋_GB2312" w:hAnsi="宋体" w:cs="Arial"/>
      <w:b/>
      <w:bCs/>
      <w:color w:val="000000"/>
      <w:sz w:val="24"/>
    </w:rPr>
  </w:style>
  <w:style w:type="paragraph" w:styleId="20">
    <w:name w:val="Balloon Text"/>
    <w:basedOn w:val="1"/>
    <w:link w:val="62"/>
    <w:qFormat/>
    <w:uiPriority w:val="0"/>
    <w:rPr>
      <w:sz w:val="18"/>
      <w:szCs w:val="18"/>
    </w:rPr>
  </w:style>
  <w:style w:type="paragraph" w:styleId="21">
    <w:name w:val="footer"/>
    <w:basedOn w:val="1"/>
    <w:link w:val="47"/>
    <w:autoRedefine/>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Theme="majorHAnsi" w:hAnsiTheme="majorHAnsi" w:eastAsiaTheme="majorEastAsia" w:cstheme="majorBidi"/>
    </w:rPr>
  </w:style>
  <w:style w:type="paragraph" w:styleId="23">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50" w:beforeLines="50" w:after="50" w:afterLines="50"/>
    </w:pPr>
    <w:rPr>
      <w:sz w:val="24"/>
    </w:rPr>
  </w:style>
  <w:style w:type="paragraph" w:styleId="25">
    <w:name w:val="Subtitle"/>
    <w:basedOn w:val="1"/>
    <w:link w:val="63"/>
    <w:autoRedefine/>
    <w:qFormat/>
    <w:uiPriority w:val="11"/>
    <w:pPr>
      <w:spacing w:afterLines="50"/>
      <w:jc w:val="center"/>
    </w:pPr>
    <w:rPr>
      <w:rFonts w:eastAsia="Times New Roman"/>
      <w:sz w:val="18"/>
      <w:szCs w:val="18"/>
    </w:rPr>
  </w:style>
  <w:style w:type="paragraph" w:styleId="26">
    <w:name w:val="List"/>
    <w:basedOn w:val="1"/>
    <w:autoRedefine/>
    <w:qFormat/>
    <w:uiPriority w:val="0"/>
    <w:pPr>
      <w:ind w:left="200" w:hanging="200" w:hangingChars="200"/>
    </w:pPr>
  </w:style>
  <w:style w:type="paragraph" w:styleId="27">
    <w:name w:val="Body Text Indent 3"/>
    <w:basedOn w:val="1"/>
    <w:link w:val="51"/>
    <w:autoRedefine/>
    <w:qFormat/>
    <w:uiPriority w:val="0"/>
    <w:pPr>
      <w:spacing w:after="120"/>
      <w:ind w:left="420" w:leftChars="200"/>
    </w:pPr>
    <w:rPr>
      <w:sz w:val="16"/>
      <w:szCs w:val="16"/>
    </w:rPr>
  </w:style>
  <w:style w:type="paragraph" w:styleId="28">
    <w:name w:val="toc 2"/>
    <w:basedOn w:val="1"/>
    <w:next w:val="1"/>
    <w:autoRedefine/>
    <w:unhideWhenUsed/>
    <w:qFormat/>
    <w:uiPriority w:val="39"/>
    <w:pPr>
      <w:ind w:left="420" w:leftChars="200"/>
    </w:pPr>
  </w:style>
  <w:style w:type="paragraph" w:styleId="29">
    <w:name w:val="Body Text 2"/>
    <w:basedOn w:val="1"/>
    <w:link w:val="52"/>
    <w:autoRedefine/>
    <w:qFormat/>
    <w:uiPriority w:val="0"/>
    <w:pPr>
      <w:spacing w:after="120" w:line="480" w:lineRule="auto"/>
    </w:pPr>
  </w:style>
  <w:style w:type="paragraph" w:styleId="30">
    <w:name w:val="HTML Preformatted"/>
    <w:basedOn w:val="1"/>
    <w:link w:val="6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autoRedefine/>
    <w:qFormat/>
    <w:uiPriority w:val="0"/>
    <w:pPr>
      <w:widowControl/>
      <w:spacing w:before="100" w:beforeAutospacing="1" w:after="100" w:afterAutospacing="1" w:line="300" w:lineRule="atLeast"/>
      <w:jc w:val="left"/>
    </w:pPr>
    <w:rPr>
      <w:rFonts w:ascii="宋体" w:hAnsi="宋体"/>
      <w:color w:val="000000"/>
      <w:kern w:val="0"/>
      <w:sz w:val="18"/>
    </w:rPr>
  </w:style>
  <w:style w:type="paragraph" w:styleId="32">
    <w:name w:val="annotation subject"/>
    <w:basedOn w:val="12"/>
    <w:next w:val="12"/>
    <w:link w:val="65"/>
    <w:autoRedefine/>
    <w:semiHidden/>
    <w:qFormat/>
    <w:uiPriority w:val="0"/>
    <w:rPr>
      <w:b/>
      <w:bCs/>
    </w:rPr>
  </w:style>
  <w:style w:type="paragraph" w:styleId="33">
    <w:name w:val="Body Text First Indent"/>
    <w:basedOn w:val="14"/>
    <w:next w:val="1"/>
    <w:autoRedefine/>
    <w:unhideWhenUsed/>
    <w:qFormat/>
    <w:uiPriority w:val="99"/>
    <w:pPr>
      <w:ind w:firstLine="420" w:firstLineChars="100"/>
    </w:pPr>
  </w:style>
  <w:style w:type="paragraph" w:styleId="34">
    <w:name w:val="Body Text First Indent 2"/>
    <w:basedOn w:val="15"/>
    <w:next w:val="1"/>
    <w:autoRedefine/>
    <w:qFormat/>
    <w:uiPriority w:val="0"/>
    <w:pPr>
      <w:ind w:firstLine="42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FollowedHyperlink"/>
    <w:basedOn w:val="37"/>
    <w:autoRedefine/>
    <w:qFormat/>
    <w:uiPriority w:val="0"/>
    <w:rPr>
      <w:rFonts w:hint="eastAsia" w:ascii="微软雅黑" w:hAnsi="微软雅黑" w:eastAsia="微软雅黑" w:cs="微软雅黑"/>
      <w:color w:val="02396F"/>
      <w:u w:val="single"/>
    </w:rPr>
  </w:style>
  <w:style w:type="character" w:styleId="41">
    <w:name w:val="Hyperlink"/>
    <w:basedOn w:val="37"/>
    <w:autoRedefine/>
    <w:qFormat/>
    <w:uiPriority w:val="99"/>
    <w:rPr>
      <w:rFonts w:ascii="微软雅黑" w:hAnsi="微软雅黑" w:eastAsia="微软雅黑" w:cs="微软雅黑"/>
      <w:color w:val="02396F"/>
      <w:u w:val="single"/>
    </w:rPr>
  </w:style>
  <w:style w:type="character" w:styleId="42">
    <w:name w:val="annotation reference"/>
    <w:autoRedefine/>
    <w:semiHidden/>
    <w:qFormat/>
    <w:uiPriority w:val="0"/>
    <w:rPr>
      <w:sz w:val="21"/>
      <w:szCs w:val="21"/>
    </w:rPr>
  </w:style>
  <w:style w:type="paragraph" w:customStyle="1" w:styleId="43">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TOC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6">
    <w:name w:val="页眉 字符"/>
    <w:basedOn w:val="37"/>
    <w:link w:val="23"/>
    <w:qFormat/>
    <w:uiPriority w:val="99"/>
    <w:rPr>
      <w:sz w:val="18"/>
      <w:szCs w:val="18"/>
    </w:rPr>
  </w:style>
  <w:style w:type="character" w:customStyle="1" w:styleId="47">
    <w:name w:val="页脚 字符"/>
    <w:basedOn w:val="37"/>
    <w:link w:val="21"/>
    <w:qFormat/>
    <w:uiPriority w:val="99"/>
    <w:rPr>
      <w:sz w:val="18"/>
      <w:szCs w:val="18"/>
    </w:rPr>
  </w:style>
  <w:style w:type="character" w:customStyle="1" w:styleId="48">
    <w:name w:val="纯文本 字符"/>
    <w:basedOn w:val="37"/>
    <w:link w:val="3"/>
    <w:qFormat/>
    <w:uiPriority w:val="0"/>
    <w:rPr>
      <w:rFonts w:ascii="宋体" w:hAnsi="Courier New" w:eastAsia="宋体" w:cs="Times New Roman"/>
      <w:sz w:val="24"/>
      <w:szCs w:val="24"/>
    </w:rPr>
  </w:style>
  <w:style w:type="character" w:customStyle="1" w:styleId="49">
    <w:name w:val="正文文本 字符"/>
    <w:basedOn w:val="37"/>
    <w:link w:val="14"/>
    <w:semiHidden/>
    <w:qFormat/>
    <w:uiPriority w:val="99"/>
    <w:rPr>
      <w:rFonts w:ascii="Times New Roman" w:hAnsi="Times New Roman" w:eastAsia="宋体" w:cs="Times New Roman"/>
      <w:szCs w:val="24"/>
    </w:rPr>
  </w:style>
  <w:style w:type="character" w:customStyle="1" w:styleId="50">
    <w:name w:val="正文文本缩进 字符"/>
    <w:basedOn w:val="37"/>
    <w:link w:val="15"/>
    <w:qFormat/>
    <w:uiPriority w:val="0"/>
    <w:rPr>
      <w:rFonts w:ascii="Times New Roman" w:hAnsi="Times New Roman" w:eastAsia="宋体" w:cs="Times New Roman"/>
      <w:szCs w:val="24"/>
    </w:rPr>
  </w:style>
  <w:style w:type="character" w:customStyle="1" w:styleId="51">
    <w:name w:val="正文文本缩进 3 字符"/>
    <w:basedOn w:val="37"/>
    <w:link w:val="27"/>
    <w:qFormat/>
    <w:uiPriority w:val="0"/>
    <w:rPr>
      <w:rFonts w:ascii="Times New Roman" w:hAnsi="Times New Roman" w:eastAsia="宋体" w:cs="Times New Roman"/>
      <w:sz w:val="16"/>
      <w:szCs w:val="16"/>
    </w:rPr>
  </w:style>
  <w:style w:type="character" w:customStyle="1" w:styleId="52">
    <w:name w:val="正文文本 2 字符"/>
    <w:basedOn w:val="37"/>
    <w:link w:val="29"/>
    <w:qFormat/>
    <w:uiPriority w:val="0"/>
    <w:rPr>
      <w:rFonts w:ascii="Times New Roman" w:hAnsi="Times New Roman" w:eastAsia="宋体" w:cs="Times New Roman"/>
      <w:szCs w:val="24"/>
    </w:rPr>
  </w:style>
  <w:style w:type="character" w:customStyle="1" w:styleId="53">
    <w:name w:val="标题 1 字符"/>
    <w:basedOn w:val="37"/>
    <w:link w:val="2"/>
    <w:qFormat/>
    <w:uiPriority w:val="0"/>
    <w:rPr>
      <w:rFonts w:ascii="宋体" w:hAnsi="宋体" w:cs="宋体"/>
      <w:b/>
      <w:spacing w:val="-6"/>
      <w:kern w:val="2"/>
      <w:sz w:val="32"/>
      <w:szCs w:val="32"/>
    </w:rPr>
  </w:style>
  <w:style w:type="character" w:customStyle="1" w:styleId="54">
    <w:name w:val="标题 2 字符"/>
    <w:basedOn w:val="37"/>
    <w:link w:val="4"/>
    <w:qFormat/>
    <w:uiPriority w:val="9"/>
    <w:rPr>
      <w:rFonts w:ascii="宋体" w:hAnsi="宋体" w:cs="宋体"/>
      <w:b/>
      <w:kern w:val="2"/>
      <w:sz w:val="28"/>
      <w:szCs w:val="28"/>
    </w:rPr>
  </w:style>
  <w:style w:type="character" w:customStyle="1" w:styleId="55">
    <w:name w:val="标题 3 字符"/>
    <w:basedOn w:val="37"/>
    <w:link w:val="5"/>
    <w:qFormat/>
    <w:uiPriority w:val="0"/>
    <w:rPr>
      <w:rFonts w:ascii="Times New Roman" w:hAnsi="Times New Roman" w:eastAsia="宋体" w:cs="Times New Roman"/>
      <w:b/>
      <w:bCs/>
      <w:szCs w:val="32"/>
    </w:rPr>
  </w:style>
  <w:style w:type="character" w:customStyle="1" w:styleId="56">
    <w:name w:val="标题 4 字符"/>
    <w:basedOn w:val="37"/>
    <w:link w:val="6"/>
    <w:qFormat/>
    <w:uiPriority w:val="0"/>
    <w:rPr>
      <w:rFonts w:ascii="Calibri Light" w:hAnsi="Calibri Light" w:eastAsia="宋体" w:cs="Times New Roman"/>
      <w:b/>
      <w:bCs/>
      <w:sz w:val="28"/>
      <w:szCs w:val="28"/>
    </w:rPr>
  </w:style>
  <w:style w:type="character" w:customStyle="1" w:styleId="57">
    <w:name w:val="标题 5 字符"/>
    <w:basedOn w:val="37"/>
    <w:link w:val="7"/>
    <w:autoRedefine/>
    <w:qFormat/>
    <w:uiPriority w:val="9"/>
    <w:rPr>
      <w:rFonts w:ascii="Times New Roman" w:hAnsi="Times New Roman" w:eastAsia="宋体" w:cs="Times New Roman"/>
      <w:b/>
      <w:bCs/>
      <w:kern w:val="0"/>
      <w:sz w:val="28"/>
      <w:szCs w:val="28"/>
    </w:rPr>
  </w:style>
  <w:style w:type="character" w:customStyle="1" w:styleId="58">
    <w:name w:val="批注文字 字符"/>
    <w:basedOn w:val="37"/>
    <w:link w:val="12"/>
    <w:semiHidden/>
    <w:qFormat/>
    <w:uiPriority w:val="0"/>
    <w:rPr>
      <w:rFonts w:ascii="Times New Roman" w:hAnsi="Times New Roman" w:eastAsia="宋体" w:cs="Times New Roman"/>
      <w:szCs w:val="24"/>
    </w:rPr>
  </w:style>
  <w:style w:type="character" w:customStyle="1" w:styleId="59">
    <w:name w:val="正文文本 3 字符"/>
    <w:basedOn w:val="37"/>
    <w:link w:val="13"/>
    <w:autoRedefine/>
    <w:qFormat/>
    <w:uiPriority w:val="0"/>
    <w:rPr>
      <w:rFonts w:ascii="Times New Roman" w:hAnsi="Times New Roman" w:eastAsia="宋体" w:cs="Times New Roman"/>
      <w:sz w:val="16"/>
      <w:szCs w:val="16"/>
    </w:rPr>
  </w:style>
  <w:style w:type="character" w:customStyle="1" w:styleId="60">
    <w:name w:val="日期 字符"/>
    <w:basedOn w:val="37"/>
    <w:link w:val="18"/>
    <w:autoRedefine/>
    <w:qFormat/>
    <w:uiPriority w:val="0"/>
    <w:rPr>
      <w:rFonts w:ascii="Times New Roman" w:hAnsi="Times New Roman" w:eastAsia="楷体_GB2312" w:cs="Times New Roman"/>
      <w:sz w:val="32"/>
      <w:szCs w:val="20"/>
    </w:rPr>
  </w:style>
  <w:style w:type="character" w:customStyle="1" w:styleId="61">
    <w:name w:val="正文文本缩进 2 字符"/>
    <w:basedOn w:val="37"/>
    <w:link w:val="19"/>
    <w:autoRedefine/>
    <w:qFormat/>
    <w:uiPriority w:val="0"/>
    <w:rPr>
      <w:rFonts w:ascii="仿宋_GB2312" w:hAnsi="宋体" w:eastAsia="宋体" w:cs="Arial"/>
      <w:b/>
      <w:bCs/>
      <w:color w:val="000000"/>
      <w:sz w:val="24"/>
      <w:szCs w:val="24"/>
    </w:rPr>
  </w:style>
  <w:style w:type="character" w:customStyle="1" w:styleId="62">
    <w:name w:val="批注框文本 字符"/>
    <w:basedOn w:val="37"/>
    <w:link w:val="20"/>
    <w:autoRedefine/>
    <w:qFormat/>
    <w:uiPriority w:val="0"/>
    <w:rPr>
      <w:rFonts w:ascii="Times New Roman" w:hAnsi="Times New Roman" w:eastAsia="宋体" w:cs="Times New Roman"/>
      <w:sz w:val="18"/>
      <w:szCs w:val="18"/>
    </w:rPr>
  </w:style>
  <w:style w:type="character" w:customStyle="1" w:styleId="63">
    <w:name w:val="副标题 字符"/>
    <w:basedOn w:val="37"/>
    <w:link w:val="25"/>
    <w:autoRedefine/>
    <w:qFormat/>
    <w:uiPriority w:val="11"/>
    <w:rPr>
      <w:rFonts w:ascii="Times New Roman" w:hAnsi="Times New Roman" w:eastAsia="Times New Roman" w:cs="Times New Roman"/>
      <w:sz w:val="18"/>
      <w:szCs w:val="18"/>
    </w:rPr>
  </w:style>
  <w:style w:type="character" w:customStyle="1" w:styleId="64">
    <w:name w:val="HTML 预设格式 字符"/>
    <w:basedOn w:val="37"/>
    <w:link w:val="30"/>
    <w:qFormat/>
    <w:uiPriority w:val="0"/>
    <w:rPr>
      <w:rFonts w:ascii="宋体" w:hAnsi="宋体" w:eastAsia="宋体" w:cs="Times New Roman"/>
      <w:kern w:val="0"/>
      <w:sz w:val="24"/>
      <w:szCs w:val="24"/>
    </w:rPr>
  </w:style>
  <w:style w:type="character" w:customStyle="1" w:styleId="65">
    <w:name w:val="批注主题 字符"/>
    <w:basedOn w:val="58"/>
    <w:link w:val="32"/>
    <w:semiHidden/>
    <w:qFormat/>
    <w:uiPriority w:val="0"/>
    <w:rPr>
      <w:rFonts w:ascii="Times New Roman" w:hAnsi="Times New Roman" w:eastAsia="宋体" w:cs="Times New Roman"/>
      <w:b/>
      <w:bCs/>
      <w:szCs w:val="24"/>
    </w:rPr>
  </w:style>
  <w:style w:type="paragraph" w:customStyle="1" w:styleId="66">
    <w:name w:val="正文首行缩进1"/>
    <w:basedOn w:val="14"/>
    <w:qFormat/>
    <w:uiPriority w:val="0"/>
    <w:pPr>
      <w:ind w:firstLine="420" w:firstLineChars="100"/>
    </w:pPr>
    <w:rPr>
      <w:szCs w:val="20"/>
    </w:rPr>
  </w:style>
  <w:style w:type="paragraph" w:customStyle="1" w:styleId="67">
    <w:name w:val="需求"/>
    <w:basedOn w:val="1"/>
    <w:qFormat/>
    <w:uiPriority w:val="0"/>
    <w:pPr>
      <w:spacing w:line="360" w:lineRule="auto"/>
      <w:outlineLvl w:val="1"/>
    </w:pPr>
    <w:rPr>
      <w:rFonts w:ascii="宋体" w:hAnsi="宋体" w:cs="宋体"/>
      <w:b/>
      <w:sz w:val="24"/>
    </w:rPr>
  </w:style>
  <w:style w:type="paragraph" w:customStyle="1" w:styleId="68">
    <w:name w:val="Table Paragraph"/>
    <w:basedOn w:val="1"/>
    <w:qFormat/>
    <w:uiPriority w:val="1"/>
    <w:pPr>
      <w:autoSpaceDE w:val="0"/>
      <w:autoSpaceDN w:val="0"/>
      <w:spacing w:after="160" w:line="278" w:lineRule="auto"/>
      <w:jc w:val="left"/>
    </w:pPr>
    <w:rPr>
      <w:rFonts w:ascii="宋体" w:hAnsi="宋体" w:cs="宋体"/>
      <w:kern w:val="0"/>
      <w:sz w:val="22"/>
      <w:szCs w:val="22"/>
      <w:lang w:val="zh-CN" w:bidi="zh-CN"/>
    </w:rPr>
  </w:style>
  <w:style w:type="character" w:customStyle="1" w:styleId="69">
    <w:name w:val="未处理的提及1"/>
    <w:basedOn w:val="37"/>
    <w:semiHidden/>
    <w:unhideWhenUsed/>
    <w:qFormat/>
    <w:uiPriority w:val="99"/>
    <w:rPr>
      <w:color w:val="605E5C"/>
      <w:shd w:val="clear" w:color="auto" w:fill="E1DFDD"/>
    </w:rPr>
  </w:style>
  <w:style w:type="paragraph" w:customStyle="1" w:styleId="7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文档正文"/>
    <w:basedOn w:val="1"/>
    <w:autoRedefine/>
    <w:qFormat/>
    <w:uiPriority w:val="0"/>
    <w:rPr>
      <w:rFonts w:ascii="宋体" w:hAnsi="宋体" w:cs="Arial"/>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微软原版</Company>
  <Pages>71</Pages>
  <Words>32719</Words>
  <Characters>34763</Characters>
  <Lines>266</Lines>
  <Paragraphs>75</Paragraphs>
  <TotalTime>6</TotalTime>
  <ScaleCrop>false</ScaleCrop>
  <LinksUpToDate>false</LinksUpToDate>
  <CharactersWithSpaces>37336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2025-01-21T07:05:00Z</dcterms:created>
  <dc:creator>李 杰</dc:creator>
  <cp:lastModifiedBy>刘妮</cp:lastModifiedBy>
  <cp:lastPrinted>2023-11-15T07:10:00Z</cp:lastPrinted>
  <dcterms:modified xsi:type="dcterms:W3CDTF">2025-06-27T02:45:31Z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FA5628C8FA5646DB912BED72131B507F_13</vt:lpwstr>
  </property>
  <property fmtid="{D5CDD505-2E9C-101B-9397-08002B2CF9AE}" pid="4" name="KSOTemplateDocerSaveRecord">
    <vt:lpwstr>eyJoZGlkIjoiODhmMTgyNDE5NDNkM2U0MmEyZjY0NzUxODAzODM0MTIiLCJ1c2VySWQiOiI1MTE2MjIwOTkifQ==</vt:lpwstr>
  </property>
</Properties>
</file>