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860227">
      <w:pPr>
        <w:pStyle w:val="4"/>
        <w:rPr>
          <w:rFonts w:ascii="Times New Roman" w:hAnsi="Times New Roman" w:cs="Times New Roman"/>
          <w:color w:val="000000" w:themeColor="text1"/>
        </w:rPr>
      </w:pPr>
    </w:p>
    <w:p w14:paraId="0A60E51D">
      <w:pPr>
        <w:rPr>
          <w:rFonts w:ascii="Times New Roman" w:hAnsi="Times New Roman" w:cs="Times New Roman"/>
          <w:color w:val="000000" w:themeColor="text1"/>
        </w:rPr>
      </w:pPr>
    </w:p>
    <w:p w14:paraId="5DF75E27">
      <w:pPr>
        <w:pStyle w:val="2"/>
        <w:rPr>
          <w:rFonts w:ascii="Times New Roman" w:hAnsi="Times New Roman" w:cs="Times New Roman"/>
          <w:color w:val="000000" w:themeColor="text1"/>
        </w:rPr>
      </w:pPr>
    </w:p>
    <w:p w14:paraId="1FE8905A">
      <w:pPr>
        <w:pStyle w:val="23"/>
        <w:ind w:firstLine="210"/>
        <w:rPr>
          <w:color w:val="000000" w:themeColor="text1"/>
        </w:rPr>
      </w:pPr>
    </w:p>
    <w:p w14:paraId="70A31484">
      <w:pPr>
        <w:spacing w:beforeLines="50"/>
        <w:jc w:val="center"/>
        <w:rPr>
          <w:rFonts w:ascii="Times New Roman" w:hAnsi="Times New Roman" w:cs="Times New Roman"/>
          <w:b/>
          <w:bCs/>
          <w:color w:val="000000" w:themeColor="text1"/>
          <w:spacing w:val="-11"/>
          <w:sz w:val="52"/>
          <w:szCs w:val="52"/>
        </w:rPr>
      </w:pPr>
      <w:r>
        <w:rPr>
          <w:rFonts w:hint="eastAsia" w:ascii="Times New Roman" w:hAnsi="Times New Roman" w:cs="Times New Roman"/>
          <w:b/>
          <w:bCs/>
          <w:color w:val="000000" w:themeColor="text1"/>
          <w:spacing w:val="-11"/>
          <w:sz w:val="52"/>
          <w:szCs w:val="52"/>
        </w:rPr>
        <w:t>2025年杭州湾乐清湾鱼类环境DNA多样性调查项目</w:t>
      </w:r>
    </w:p>
    <w:p w14:paraId="3E35671C">
      <w:pPr>
        <w:pStyle w:val="2"/>
        <w:rPr>
          <w:rFonts w:ascii="Times New Roman" w:hAnsi="Times New Roman" w:cs="Times New Roman"/>
          <w:b/>
          <w:bCs/>
          <w:color w:val="000000" w:themeColor="text1"/>
          <w:spacing w:val="12"/>
          <w:sz w:val="44"/>
          <w:szCs w:val="44"/>
        </w:rPr>
      </w:pPr>
    </w:p>
    <w:p w14:paraId="489A17A7">
      <w:pPr>
        <w:pStyle w:val="2"/>
        <w:rPr>
          <w:rFonts w:ascii="Times New Roman" w:hAnsi="Times New Roman" w:cs="Times New Roman"/>
          <w:b/>
          <w:bCs/>
          <w:color w:val="000000" w:themeColor="text1"/>
          <w:spacing w:val="12"/>
          <w:sz w:val="44"/>
          <w:szCs w:val="44"/>
        </w:rPr>
      </w:pPr>
    </w:p>
    <w:p w14:paraId="2CA6EB85">
      <w:pPr>
        <w:pStyle w:val="2"/>
        <w:rPr>
          <w:rFonts w:ascii="Times New Roman" w:hAnsi="Times New Roman" w:cs="Times New Roman"/>
          <w:b/>
          <w:bCs/>
          <w:color w:val="000000" w:themeColor="text1"/>
          <w:spacing w:val="12"/>
          <w:sz w:val="44"/>
          <w:szCs w:val="44"/>
        </w:rPr>
      </w:pPr>
    </w:p>
    <w:p w14:paraId="6C750B2B">
      <w:pPr>
        <w:spacing w:after="156"/>
        <w:outlineLvl w:val="0"/>
        <w:rPr>
          <w:rFonts w:ascii="Times New Roman" w:hAnsi="Times New Roman" w:cs="Times New Roman"/>
          <w:b/>
          <w:bCs/>
          <w:color w:val="000000" w:themeColor="text1"/>
          <w:spacing w:val="12"/>
          <w:sz w:val="44"/>
          <w:szCs w:val="44"/>
        </w:rPr>
      </w:pPr>
    </w:p>
    <w:p w14:paraId="2A55F22A">
      <w:pPr>
        <w:spacing w:beforeLines="50"/>
        <w:jc w:val="center"/>
        <w:rPr>
          <w:rFonts w:ascii="Times New Roman" w:hAnsi="Times New Roman" w:cs="Times New Roman"/>
          <w:b/>
          <w:bCs/>
          <w:color w:val="000000" w:themeColor="text1"/>
          <w:sz w:val="52"/>
          <w:szCs w:val="52"/>
        </w:rPr>
      </w:pPr>
      <w:r>
        <w:rPr>
          <w:rFonts w:ascii="Times New Roman" w:hAnsi="Times New Roman" w:cs="Times New Roman"/>
          <w:b/>
          <w:bCs/>
          <w:color w:val="000000" w:themeColor="text1"/>
          <w:sz w:val="52"/>
          <w:szCs w:val="52"/>
        </w:rPr>
        <w:t>公开招标采购文件</w:t>
      </w:r>
    </w:p>
    <w:p w14:paraId="6F6AB0B1">
      <w:pPr>
        <w:jc w:val="center"/>
        <w:outlineLvl w:val="0"/>
        <w:rPr>
          <w:rFonts w:ascii="Times New Roman" w:hAnsi="Times New Roman" w:cs="Times New Roman"/>
          <w:b/>
          <w:bCs/>
          <w:color w:val="000000" w:themeColor="text1"/>
        </w:rPr>
      </w:pPr>
    </w:p>
    <w:p w14:paraId="581A162E">
      <w:pPr>
        <w:jc w:val="center"/>
        <w:outlineLvl w:val="0"/>
        <w:rPr>
          <w:rFonts w:ascii="Times New Roman" w:hAnsi="Times New Roman" w:cs="Times New Roman"/>
          <w:b/>
          <w:bCs/>
          <w:color w:val="000000" w:themeColor="text1"/>
        </w:rPr>
      </w:pPr>
    </w:p>
    <w:p w14:paraId="49D0A4AF">
      <w:pPr>
        <w:jc w:val="center"/>
        <w:outlineLvl w:val="0"/>
        <w:rPr>
          <w:rFonts w:ascii="Times New Roman" w:hAnsi="Times New Roman" w:cs="Times New Roman"/>
          <w:b/>
          <w:bCs/>
          <w:color w:val="000000" w:themeColor="text1"/>
        </w:rPr>
      </w:pPr>
    </w:p>
    <w:p w14:paraId="4537ECCD">
      <w:pPr>
        <w:outlineLvl w:val="0"/>
        <w:rPr>
          <w:rFonts w:ascii="Times New Roman" w:hAnsi="Times New Roman" w:cs="Times New Roman"/>
          <w:b/>
          <w:bCs/>
          <w:color w:val="000000" w:themeColor="text1"/>
        </w:rPr>
      </w:pPr>
    </w:p>
    <w:p w14:paraId="23806138">
      <w:pPr>
        <w:pStyle w:val="2"/>
        <w:rPr>
          <w:rFonts w:ascii="Times New Roman" w:hAnsi="Times New Roman" w:cs="Times New Roman"/>
          <w:color w:val="000000" w:themeColor="text1"/>
        </w:rPr>
      </w:pPr>
    </w:p>
    <w:p w14:paraId="69B9BE76">
      <w:pPr>
        <w:pStyle w:val="23"/>
        <w:ind w:firstLine="210"/>
        <w:rPr>
          <w:color w:val="000000" w:themeColor="text1"/>
        </w:rPr>
      </w:pPr>
    </w:p>
    <w:p w14:paraId="0F5876B2">
      <w:pPr>
        <w:snapToGrid w:val="0"/>
        <w:spacing w:beforeLines="50" w:line="360" w:lineRule="auto"/>
        <w:rPr>
          <w:rFonts w:ascii="Times New Roman" w:hAnsi="Times New Roman" w:cs="Times New Roman"/>
          <w:b/>
          <w:bCs/>
          <w:color w:val="000000" w:themeColor="text1"/>
          <w:sz w:val="30"/>
          <w:szCs w:val="30"/>
        </w:rPr>
      </w:pPr>
    </w:p>
    <w:p w14:paraId="12378D57">
      <w:pPr>
        <w:spacing w:beforeLines="50" w:line="360" w:lineRule="auto"/>
        <w:rPr>
          <w:rFonts w:ascii="Times New Roman" w:hAnsi="Times New Roman" w:cs="Times New Roman"/>
          <w:b/>
          <w:bCs/>
          <w:color w:val="000000" w:themeColor="text1"/>
          <w:sz w:val="30"/>
          <w:szCs w:val="30"/>
        </w:rPr>
      </w:pPr>
    </w:p>
    <w:p w14:paraId="7F122261">
      <w:pPr>
        <w:pStyle w:val="2"/>
        <w:rPr>
          <w:rFonts w:ascii="Times New Roman" w:hAnsi="Times New Roman" w:cs="Times New Roman"/>
          <w:color w:val="000000" w:themeColor="text1"/>
        </w:rPr>
      </w:pPr>
    </w:p>
    <w:p w14:paraId="0A321377">
      <w:pPr>
        <w:spacing w:beforeLines="50" w:line="360" w:lineRule="auto"/>
        <w:rPr>
          <w:rFonts w:hint="eastAsia" w:ascii="Times New Roman" w:hAnsi="Times New Roman" w:eastAsia="宋体" w:cs="Times New Roman"/>
          <w:b/>
          <w:bCs/>
          <w:color w:val="000000" w:themeColor="text1"/>
          <w:sz w:val="30"/>
          <w:szCs w:val="30"/>
          <w:lang w:eastAsia="zh-CN"/>
        </w:rPr>
      </w:pPr>
      <w:r>
        <w:rPr>
          <w:rFonts w:ascii="Times New Roman" w:hAnsi="Times New Roman" w:cs="Times New Roman"/>
          <w:b/>
          <w:bCs/>
          <w:color w:val="000000" w:themeColor="text1"/>
          <w:sz w:val="30"/>
          <w:szCs w:val="30"/>
        </w:rPr>
        <w:t>项目编号：</w:t>
      </w:r>
      <w:r>
        <w:rPr>
          <w:rFonts w:hint="eastAsia" w:ascii="Times New Roman" w:hAnsi="Times New Roman" w:cs="Times New Roman"/>
          <w:b/>
          <w:bCs/>
          <w:color w:val="000000" w:themeColor="text1"/>
          <w:spacing w:val="-11"/>
          <w:sz w:val="30"/>
          <w:szCs w:val="30"/>
          <w:highlight w:val="none"/>
          <w:lang w:eastAsia="zh-CN"/>
        </w:rPr>
        <w:t>ZHCG2025-13</w:t>
      </w:r>
    </w:p>
    <w:p w14:paraId="6AE1A9BF">
      <w:pPr>
        <w:spacing w:beforeLines="50" w:line="360" w:lineRule="auto"/>
        <w:rPr>
          <w:rFonts w:ascii="Times New Roman" w:hAnsi="Times New Roman" w:cs="Times New Roman"/>
          <w:b/>
          <w:bCs/>
          <w:color w:val="000000" w:themeColor="text1"/>
          <w:sz w:val="30"/>
          <w:szCs w:val="30"/>
        </w:rPr>
      </w:pPr>
      <w:r>
        <w:rPr>
          <w:rFonts w:ascii="Times New Roman" w:hAnsi="Times New Roman" w:cs="Times New Roman"/>
          <w:b/>
          <w:bCs/>
          <w:color w:val="000000" w:themeColor="text1"/>
          <w:sz w:val="30"/>
          <w:szCs w:val="30"/>
        </w:rPr>
        <w:t>项目名称：</w:t>
      </w:r>
      <w:r>
        <w:rPr>
          <w:rFonts w:hint="eastAsia" w:ascii="Times New Roman" w:hAnsi="Times New Roman" w:cs="Times New Roman"/>
          <w:b/>
          <w:bCs/>
          <w:color w:val="000000" w:themeColor="text1"/>
          <w:spacing w:val="-11"/>
          <w:sz w:val="30"/>
          <w:szCs w:val="30"/>
        </w:rPr>
        <w:t>2025年杭州湾乐清湾鱼类环境DNA多样性调查项目</w:t>
      </w:r>
    </w:p>
    <w:p w14:paraId="68536170">
      <w:pPr>
        <w:snapToGrid w:val="0"/>
        <w:spacing w:beforeLines="50" w:line="360" w:lineRule="auto"/>
        <w:rPr>
          <w:rFonts w:ascii="Times New Roman" w:hAnsi="Times New Roman" w:cs="Times New Roman"/>
          <w:b/>
          <w:bCs/>
          <w:color w:val="000000" w:themeColor="text1"/>
          <w:sz w:val="30"/>
          <w:szCs w:val="30"/>
        </w:rPr>
      </w:pPr>
      <w:r>
        <w:rPr>
          <w:rFonts w:ascii="Times New Roman" w:hAnsi="Times New Roman" w:cs="Times New Roman"/>
          <w:b/>
          <w:bCs/>
          <w:color w:val="000000" w:themeColor="text1"/>
          <w:sz w:val="30"/>
          <w:szCs w:val="30"/>
        </w:rPr>
        <w:t>采购人：浙江省海洋生态环境监测中心</w:t>
      </w:r>
    </w:p>
    <w:p w14:paraId="5EED35A7">
      <w:pPr>
        <w:snapToGrid w:val="0"/>
        <w:spacing w:beforeLines="50" w:line="360" w:lineRule="auto"/>
        <w:rPr>
          <w:rFonts w:ascii="Times New Roman" w:hAnsi="Times New Roman" w:cs="Times New Roman"/>
          <w:b/>
          <w:bCs/>
          <w:color w:val="000000" w:themeColor="text1"/>
          <w:sz w:val="30"/>
          <w:szCs w:val="30"/>
        </w:rPr>
      </w:pPr>
      <w:r>
        <w:rPr>
          <w:rFonts w:ascii="Times New Roman" w:hAnsi="Times New Roman" w:cs="Times New Roman"/>
          <w:b/>
          <w:bCs/>
          <w:color w:val="000000" w:themeColor="text1"/>
          <w:sz w:val="30"/>
          <w:szCs w:val="30"/>
        </w:rPr>
        <w:t>采购代理机构：浙江自贸区中昊工程管理有限公司</w:t>
      </w:r>
    </w:p>
    <w:p w14:paraId="7F13C926">
      <w:pPr>
        <w:pStyle w:val="2"/>
        <w:spacing w:line="360" w:lineRule="auto"/>
        <w:rPr>
          <w:rFonts w:ascii="Times New Roman" w:hAnsi="Times New Roman" w:cs="Times New Roman"/>
          <w:color w:val="000000" w:themeColor="text1"/>
          <w:sz w:val="32"/>
          <w:szCs w:val="32"/>
        </w:rPr>
      </w:pPr>
      <w:r>
        <w:rPr>
          <w:rFonts w:ascii="Times New Roman" w:hAnsi="Times New Roman" w:cs="Times New Roman"/>
          <w:b/>
          <w:bCs/>
          <w:color w:val="000000" w:themeColor="text1"/>
          <w:sz w:val="30"/>
          <w:szCs w:val="30"/>
        </w:rPr>
        <w:t>时间：二〇二</w:t>
      </w:r>
      <w:r>
        <w:rPr>
          <w:rFonts w:hint="eastAsia" w:ascii="Times New Roman" w:hAnsi="Times New Roman" w:cs="Times New Roman"/>
          <w:b/>
          <w:bCs/>
          <w:color w:val="000000" w:themeColor="text1"/>
          <w:sz w:val="30"/>
          <w:szCs w:val="30"/>
        </w:rPr>
        <w:t>五</w:t>
      </w:r>
      <w:r>
        <w:rPr>
          <w:rFonts w:ascii="Times New Roman" w:hAnsi="Times New Roman" w:cs="Times New Roman"/>
          <w:b/>
          <w:bCs/>
          <w:color w:val="000000" w:themeColor="text1"/>
          <w:sz w:val="30"/>
          <w:szCs w:val="30"/>
        </w:rPr>
        <w:t>年</w:t>
      </w:r>
      <w:r>
        <w:rPr>
          <w:rFonts w:hint="eastAsia" w:ascii="Times New Roman" w:hAnsi="Times New Roman" w:cs="Times New Roman"/>
          <w:b/>
          <w:bCs/>
          <w:color w:val="000000" w:themeColor="text1"/>
          <w:sz w:val="30"/>
          <w:szCs w:val="30"/>
        </w:rPr>
        <w:t>六</w:t>
      </w:r>
      <w:r>
        <w:rPr>
          <w:rFonts w:ascii="Times New Roman" w:hAnsi="Times New Roman" w:cs="Times New Roman"/>
          <w:b/>
          <w:bCs/>
          <w:color w:val="000000" w:themeColor="text1"/>
          <w:sz w:val="30"/>
          <w:szCs w:val="30"/>
        </w:rPr>
        <w:t>月</w:t>
      </w:r>
    </w:p>
    <w:p w14:paraId="2F372FC6">
      <w:pPr>
        <w:pStyle w:val="57"/>
        <w:spacing w:before="120" w:after="120" w:line="360" w:lineRule="auto"/>
        <w:jc w:val="center"/>
        <w:rPr>
          <w:rFonts w:ascii="Times New Roman" w:hAnsi="Times New Roman" w:cs="Times New Roman"/>
          <w:color w:val="000000" w:themeColor="text1"/>
        </w:rPr>
        <w:sectPr>
          <w:pgSz w:w="11906" w:h="16838"/>
          <w:pgMar w:top="1304" w:right="1106" w:bottom="1304" w:left="1531" w:header="1304" w:footer="1304" w:gutter="0"/>
          <w:pgNumType w:start="1"/>
          <w:cols w:space="720" w:num="1"/>
        </w:sectPr>
      </w:pPr>
    </w:p>
    <w:p w14:paraId="4DF22A5E">
      <w:pPr>
        <w:pStyle w:val="57"/>
        <w:spacing w:before="156" w:after="156" w:line="360" w:lineRule="auto"/>
        <w:jc w:val="center"/>
        <w:rPr>
          <w:rFonts w:ascii="Times New Roman" w:hAnsi="Times New Roman" w:eastAsia="宋体" w:cs="Times New Roman"/>
          <w:color w:val="000000" w:themeColor="text1"/>
          <w:sz w:val="32"/>
          <w:szCs w:val="32"/>
        </w:rPr>
      </w:pPr>
    </w:p>
    <w:p w14:paraId="0CC3E22A">
      <w:pPr>
        <w:pStyle w:val="57"/>
        <w:spacing w:before="156" w:after="156" w:line="360" w:lineRule="auto"/>
        <w:jc w:val="center"/>
        <w:rPr>
          <w:rFonts w:ascii="Times New Roman" w:hAnsi="Times New Roman" w:eastAsia="宋体" w:cs="Times New Roman"/>
          <w:color w:val="000000" w:themeColor="text1"/>
          <w:sz w:val="32"/>
          <w:szCs w:val="32"/>
        </w:rPr>
      </w:pPr>
      <w:r>
        <w:rPr>
          <w:rFonts w:ascii="Times New Roman" w:hAnsi="Times New Roman" w:eastAsia="宋体" w:cs="Times New Roman"/>
          <w:color w:val="000000" w:themeColor="text1"/>
          <w:sz w:val="32"/>
          <w:szCs w:val="32"/>
        </w:rPr>
        <w:t>目录</w:t>
      </w:r>
    </w:p>
    <w:p w14:paraId="585B7811">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第一章采购公告</w:t>
      </w:r>
    </w:p>
    <w:p w14:paraId="1B144831">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第二章采购需求</w:t>
      </w:r>
    </w:p>
    <w:p w14:paraId="07AFAC57">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第三章投标人须知</w:t>
      </w:r>
    </w:p>
    <w:p w14:paraId="5C9AA0C2">
      <w:pPr>
        <w:spacing w:before="120" w:line="360" w:lineRule="auto"/>
        <w:ind w:firstLine="1120" w:firstLineChars="40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前附表</w:t>
      </w:r>
    </w:p>
    <w:p w14:paraId="2E7C3B16">
      <w:pPr>
        <w:spacing w:before="120" w:line="360" w:lineRule="auto"/>
        <w:ind w:firstLine="560" w:firstLineChars="20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一、总则</w:t>
      </w:r>
    </w:p>
    <w:p w14:paraId="1ECB8EEB">
      <w:pPr>
        <w:spacing w:before="120" w:line="360" w:lineRule="auto"/>
        <w:ind w:firstLine="560" w:firstLineChars="20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二、采购文件</w:t>
      </w:r>
    </w:p>
    <w:p w14:paraId="0F1B22A4">
      <w:pPr>
        <w:spacing w:before="120" w:line="360" w:lineRule="auto"/>
        <w:ind w:firstLine="560" w:firstLineChars="20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三、投标文件的编制</w:t>
      </w:r>
    </w:p>
    <w:p w14:paraId="685E01A7">
      <w:pPr>
        <w:spacing w:before="120" w:line="360" w:lineRule="auto"/>
        <w:ind w:firstLine="560" w:firstLineChars="20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四、开标</w:t>
      </w:r>
    </w:p>
    <w:p w14:paraId="2B4A9037">
      <w:pPr>
        <w:spacing w:before="120" w:line="360" w:lineRule="auto"/>
        <w:ind w:firstLine="560" w:firstLineChars="200"/>
        <w:rPr>
          <w:rFonts w:ascii="Times New Roman" w:hAnsi="Times New Roman" w:cs="Times New Roman"/>
          <w:color w:val="000000" w:themeColor="text1"/>
        </w:rPr>
      </w:pPr>
      <w:r>
        <w:rPr>
          <w:rFonts w:ascii="Times New Roman" w:hAnsi="Times New Roman" w:cs="Times New Roman"/>
          <w:color w:val="000000" w:themeColor="text1"/>
          <w:sz w:val="28"/>
          <w:szCs w:val="28"/>
        </w:rPr>
        <w:t>五、评标</w:t>
      </w:r>
    </w:p>
    <w:p w14:paraId="7EF0D7F7">
      <w:pPr>
        <w:spacing w:before="120" w:line="360" w:lineRule="auto"/>
        <w:ind w:firstLine="560" w:firstLineChars="20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六、定标</w:t>
      </w:r>
    </w:p>
    <w:p w14:paraId="32CCADBE">
      <w:pPr>
        <w:tabs>
          <w:tab w:val="left" w:pos="6112"/>
        </w:tabs>
        <w:spacing w:before="120" w:line="360" w:lineRule="auto"/>
        <w:ind w:firstLine="560" w:firstLineChars="20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七、合同授予</w:t>
      </w:r>
      <w:r>
        <w:rPr>
          <w:rFonts w:hint="eastAsia" w:ascii="Times New Roman" w:hAnsi="Times New Roman" w:cs="Times New Roman"/>
          <w:color w:val="000000" w:themeColor="text1"/>
          <w:sz w:val="28"/>
          <w:szCs w:val="28"/>
        </w:rPr>
        <w:tab/>
      </w:r>
    </w:p>
    <w:p w14:paraId="453B9ADD">
      <w:pPr>
        <w:spacing w:before="120" w:line="360" w:lineRule="auto"/>
        <w:ind w:firstLine="560" w:firstLineChars="20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八、招标代理费</w:t>
      </w:r>
    </w:p>
    <w:p w14:paraId="3AE82412">
      <w:pPr>
        <w:spacing w:before="120" w:line="360" w:lineRule="auto"/>
        <w:ind w:firstLine="560" w:firstLineChars="20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九、政府采购政策</w:t>
      </w:r>
    </w:p>
    <w:p w14:paraId="14650C7D">
      <w:pPr>
        <w:spacing w:before="120" w:line="360" w:lineRule="auto"/>
        <w:ind w:firstLine="560" w:firstLineChars="20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十、解释权</w:t>
      </w:r>
    </w:p>
    <w:p w14:paraId="2AC45342">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第四章评分办法及评分标准</w:t>
      </w:r>
    </w:p>
    <w:p w14:paraId="52BF2BED">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第五章合同主要条款</w:t>
      </w:r>
    </w:p>
    <w:p w14:paraId="1A8A08F7">
      <w:pPr>
        <w:spacing w:line="360" w:lineRule="auto"/>
        <w:rPr>
          <w:rFonts w:ascii="Times New Roman" w:hAnsi="Times New Roman" w:cs="Times New Roman"/>
          <w:color w:val="000000" w:themeColor="text1"/>
        </w:rPr>
      </w:pPr>
      <w:r>
        <w:rPr>
          <w:rFonts w:ascii="Times New Roman" w:hAnsi="Times New Roman" w:cs="Times New Roman"/>
          <w:color w:val="000000" w:themeColor="text1"/>
          <w:sz w:val="28"/>
          <w:szCs w:val="28"/>
        </w:rPr>
        <w:t>第六章投标文件相关格式</w:t>
      </w:r>
    </w:p>
    <w:p w14:paraId="66A10FAE">
      <w:pPr>
        <w:spacing w:line="360" w:lineRule="auto"/>
        <w:jc w:val="center"/>
        <w:rPr>
          <w:rFonts w:ascii="Times New Roman" w:hAnsi="Times New Roman" w:eastAsia="仿宋" w:cs="Times New Roman"/>
          <w:color w:val="000000" w:themeColor="text1"/>
          <w:sz w:val="27"/>
          <w:szCs w:val="27"/>
        </w:rPr>
      </w:pPr>
      <w:bookmarkStart w:id="0" w:name="OLE_LINK1"/>
      <w:r>
        <w:rPr>
          <w:rFonts w:ascii="Times New Roman" w:hAnsi="Times New Roman" w:cs="Times New Roman"/>
          <w:b/>
          <w:bCs/>
          <w:color w:val="000000" w:themeColor="text1"/>
          <w:sz w:val="30"/>
          <w:szCs w:val="30"/>
        </w:rPr>
        <w:t>第一章采购公告</w:t>
      </w:r>
      <w:bookmarkEnd w:id="0"/>
    </w:p>
    <w:tbl>
      <w:tblPr>
        <w:tblStyle w:val="24"/>
        <w:tblW w:w="852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14:paraId="41761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0" w:type="dxa"/>
          </w:tcPr>
          <w:p w14:paraId="45E086B4">
            <w:pPr>
              <w:pStyle w:val="21"/>
              <w:widowControl/>
              <w:spacing w:before="0" w:beforeAutospacing="0" w:after="0" w:afterAutospacing="0" w:line="360" w:lineRule="auto"/>
              <w:ind w:firstLine="420" w:firstLineChars="200"/>
              <w:jc w:val="center"/>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项目概况</w:t>
            </w:r>
          </w:p>
          <w:p w14:paraId="025D47B5">
            <w:pPr>
              <w:pStyle w:val="21"/>
              <w:widowControl/>
              <w:spacing w:before="0" w:beforeAutospacing="0" w:after="0" w:afterAutospacing="0" w:line="360" w:lineRule="auto"/>
              <w:ind w:firstLine="420" w:firstLineChars="200"/>
              <w:jc w:val="both"/>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    2025年杭州湾乐清湾鱼类环境DNA多样性调查项目招标项目的潜在投标人应在浙江政府采购网http://zfcg.czt.zj.gov.cn/（用“政采云”注册账号、密码登录系统后获取招标文件）  获取（下载）招标文件，并于 </w:t>
            </w:r>
            <w:r>
              <w:rPr>
                <w:rFonts w:hint="eastAsia" w:ascii="Times New Roman" w:hAnsi="Times New Roman" w:cs="Times New Roman"/>
                <w:color w:val="000000" w:themeColor="text1"/>
                <w:sz w:val="21"/>
                <w:szCs w:val="21"/>
                <w:highlight w:val="yellow"/>
              </w:rPr>
              <w:t>202</w:t>
            </w:r>
            <w:r>
              <w:rPr>
                <w:rFonts w:hint="eastAsia" w:ascii="Times New Roman" w:hAnsi="Times New Roman" w:cs="Times New Roman"/>
                <w:color w:val="000000" w:themeColor="text1"/>
                <w:sz w:val="21"/>
                <w:szCs w:val="21"/>
                <w:highlight w:val="yellow"/>
                <w:lang w:val="en-US" w:eastAsia="zh-CN"/>
              </w:rPr>
              <w:t>5</w:t>
            </w:r>
            <w:r>
              <w:rPr>
                <w:rFonts w:hint="eastAsia" w:ascii="Times New Roman" w:hAnsi="Times New Roman" w:cs="Times New Roman"/>
                <w:color w:val="000000" w:themeColor="text1"/>
                <w:sz w:val="21"/>
                <w:szCs w:val="21"/>
                <w:highlight w:val="yellow"/>
              </w:rPr>
              <w:t>年</w:t>
            </w:r>
            <w:r>
              <w:rPr>
                <w:rFonts w:hint="eastAsia" w:ascii="Times New Roman" w:hAnsi="Times New Roman" w:cs="Times New Roman"/>
                <w:color w:val="000000" w:themeColor="text1"/>
                <w:sz w:val="21"/>
                <w:szCs w:val="21"/>
                <w:highlight w:val="yellow"/>
                <w:lang w:val="en-US" w:eastAsia="zh-CN"/>
              </w:rPr>
              <w:t xml:space="preserve">  </w:t>
            </w:r>
            <w:r>
              <w:rPr>
                <w:rFonts w:hint="eastAsia" w:ascii="Times New Roman" w:hAnsi="Times New Roman" w:cs="Times New Roman"/>
                <w:color w:val="000000" w:themeColor="text1"/>
                <w:sz w:val="21"/>
                <w:szCs w:val="21"/>
                <w:highlight w:val="yellow"/>
              </w:rPr>
              <w:t>月</w:t>
            </w:r>
            <w:r>
              <w:rPr>
                <w:rFonts w:hint="eastAsia" w:ascii="Times New Roman" w:hAnsi="Times New Roman" w:cs="Times New Roman"/>
                <w:color w:val="000000" w:themeColor="text1"/>
                <w:sz w:val="21"/>
                <w:szCs w:val="21"/>
                <w:highlight w:val="yellow"/>
                <w:lang w:val="en-US" w:eastAsia="zh-CN"/>
              </w:rPr>
              <w:t xml:space="preserve">  </w:t>
            </w:r>
            <w:r>
              <w:rPr>
                <w:rFonts w:hint="eastAsia" w:ascii="Times New Roman" w:hAnsi="Times New Roman" w:cs="Times New Roman"/>
                <w:color w:val="000000" w:themeColor="text1"/>
                <w:sz w:val="21"/>
                <w:szCs w:val="21"/>
                <w:highlight w:val="yellow"/>
              </w:rPr>
              <w:t>日 14:30</w:t>
            </w:r>
            <w:r>
              <w:rPr>
                <w:rFonts w:hint="eastAsia" w:ascii="Times New Roman" w:hAnsi="Times New Roman" w:cs="Times New Roman"/>
                <w:color w:val="000000" w:themeColor="text1"/>
                <w:sz w:val="21"/>
                <w:szCs w:val="21"/>
              </w:rPr>
              <w:t>（北京时间）前递交（上传）投标文件。</w:t>
            </w:r>
          </w:p>
        </w:tc>
      </w:tr>
    </w:tbl>
    <w:p w14:paraId="04208D51">
      <w:pPr>
        <w:pStyle w:val="21"/>
        <w:widowControl/>
        <w:spacing w:before="0" w:beforeAutospacing="0" w:after="0" w:afterAutospacing="0" w:line="360" w:lineRule="auto"/>
        <w:jc w:val="both"/>
        <w:rPr>
          <w:rFonts w:ascii="Times New Roman" w:hAnsi="Times New Roman" w:cs="Times New Roman"/>
          <w:color w:val="000000" w:themeColor="text1"/>
          <w:sz w:val="21"/>
          <w:szCs w:val="21"/>
        </w:rPr>
      </w:pPr>
      <w:r>
        <w:rPr>
          <w:rStyle w:val="27"/>
          <w:rFonts w:ascii="Times New Roman" w:hAnsi="Times New Roman" w:cs="Times New Roman"/>
          <w:color w:val="000000" w:themeColor="text1"/>
          <w:sz w:val="21"/>
          <w:szCs w:val="21"/>
        </w:rPr>
        <w:t>一、项目基本情况</w:t>
      </w:r>
    </w:p>
    <w:p w14:paraId="1069AA2E">
      <w:pPr>
        <w:pStyle w:val="21"/>
        <w:widowControl/>
        <w:spacing w:before="0" w:beforeAutospacing="0" w:after="0" w:afterAutospacing="0" w:line="360" w:lineRule="auto"/>
        <w:ind w:firstLine="420" w:firstLineChars="200"/>
        <w:jc w:val="both"/>
        <w:rPr>
          <w:rFonts w:hint="eastAsia" w:ascii="Times New Roman" w:hAnsi="Times New Roman" w:eastAsia="宋体" w:cs="Times New Roman"/>
          <w:color w:val="000000" w:themeColor="text1"/>
          <w:sz w:val="21"/>
          <w:szCs w:val="21"/>
          <w:lang w:eastAsia="zh-CN"/>
        </w:rPr>
      </w:pPr>
      <w:r>
        <w:rPr>
          <w:rFonts w:hint="eastAsia" w:ascii="Times New Roman" w:hAnsi="Times New Roman" w:cs="Times New Roman"/>
          <w:color w:val="000000" w:themeColor="text1"/>
          <w:sz w:val="21"/>
          <w:szCs w:val="21"/>
        </w:rPr>
        <w:t>项目编号：</w:t>
      </w:r>
      <w:r>
        <w:rPr>
          <w:rFonts w:hint="eastAsia" w:ascii="Times New Roman" w:hAnsi="Times New Roman" w:cs="Times New Roman"/>
          <w:color w:val="000000" w:themeColor="text1"/>
          <w:sz w:val="21"/>
          <w:szCs w:val="21"/>
          <w:highlight w:val="yellow"/>
          <w:lang w:eastAsia="zh-CN"/>
        </w:rPr>
        <w:t>ZHCG2025-13</w:t>
      </w:r>
    </w:p>
    <w:p w14:paraId="2B49DA97">
      <w:pPr>
        <w:pStyle w:val="21"/>
        <w:widowControl/>
        <w:spacing w:before="0" w:beforeAutospacing="0" w:after="0" w:afterAutospacing="0" w:line="360" w:lineRule="auto"/>
        <w:ind w:firstLine="420" w:firstLineChars="200"/>
        <w:jc w:val="both"/>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项目名称：2025年杭州湾乐清湾鱼类环境DNA多样性调查项目</w:t>
      </w:r>
    </w:p>
    <w:p w14:paraId="45FEED1D">
      <w:pPr>
        <w:pStyle w:val="21"/>
        <w:widowControl/>
        <w:spacing w:before="0" w:beforeAutospacing="0" w:after="0" w:afterAutospacing="0" w:line="360" w:lineRule="auto"/>
        <w:ind w:firstLine="420" w:firstLineChars="200"/>
        <w:jc w:val="both"/>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预算金额（元）：250000  </w:t>
      </w:r>
    </w:p>
    <w:p w14:paraId="7C13EB61">
      <w:pPr>
        <w:pStyle w:val="21"/>
        <w:widowControl/>
        <w:spacing w:before="0" w:beforeAutospacing="0" w:after="0" w:afterAutospacing="0" w:line="360" w:lineRule="auto"/>
        <w:ind w:firstLine="420" w:firstLineChars="200"/>
        <w:jc w:val="both"/>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最高限价（元）：250000 </w:t>
      </w:r>
    </w:p>
    <w:p w14:paraId="2679B919">
      <w:pPr>
        <w:pStyle w:val="21"/>
        <w:widowControl/>
        <w:spacing w:before="0" w:beforeAutospacing="0" w:after="0" w:afterAutospacing="0" w:line="360" w:lineRule="auto"/>
        <w:ind w:firstLine="420" w:firstLineChars="200"/>
        <w:jc w:val="both"/>
        <w:rPr>
          <w:rFonts w:ascii="Times New Roman" w:hAnsi="Times New Roman" w:cs="Times New Roman"/>
          <w:color w:val="000000" w:themeColor="text1"/>
          <w:sz w:val="21"/>
          <w:szCs w:val="21"/>
        </w:rPr>
      </w:pPr>
    </w:p>
    <w:p w14:paraId="18AA2730">
      <w:pPr>
        <w:pStyle w:val="21"/>
        <w:widowControl/>
        <w:spacing w:before="0" w:beforeAutospacing="0" w:after="0" w:afterAutospacing="0" w:line="360" w:lineRule="auto"/>
        <w:ind w:firstLine="420" w:firstLineChars="200"/>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采购需求：</w:t>
      </w:r>
    </w:p>
    <w:p w14:paraId="32F3C554">
      <w:pPr>
        <w:pStyle w:val="21"/>
        <w:widowControl/>
        <w:spacing w:before="0" w:beforeAutospacing="0" w:after="0" w:afterAutospacing="0" w:line="360" w:lineRule="auto"/>
        <w:ind w:firstLine="420" w:firstLineChars="200"/>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标项名称：</w:t>
      </w:r>
      <w:r>
        <w:rPr>
          <w:rFonts w:hint="eastAsia" w:ascii="Times New Roman" w:hAnsi="Times New Roman" w:cs="Times New Roman"/>
          <w:color w:val="000000" w:themeColor="text1"/>
          <w:sz w:val="21"/>
          <w:szCs w:val="21"/>
        </w:rPr>
        <w:t>2025年杭州湾乐清湾鱼类环境DNA多样性调查项目</w:t>
      </w:r>
      <w:r>
        <w:rPr>
          <w:rFonts w:ascii="Times New Roman" w:hAnsi="Times New Roman" w:cs="Times New Roman"/>
          <w:color w:val="000000" w:themeColor="text1"/>
          <w:sz w:val="21"/>
          <w:szCs w:val="21"/>
        </w:rPr>
        <w:t> </w:t>
      </w:r>
      <w:r>
        <w:rPr>
          <w:rFonts w:ascii="Times New Roman" w:hAnsi="Times New Roman" w:cs="Times New Roman"/>
          <w:color w:val="000000" w:themeColor="text1"/>
          <w:sz w:val="21"/>
          <w:szCs w:val="21"/>
        </w:rPr>
        <w:br w:type="textWrapping"/>
      </w:r>
      <w:r>
        <w:rPr>
          <w:rFonts w:ascii="Times New Roman" w:hAnsi="Times New Roman" w:cs="Times New Roman"/>
          <w:color w:val="000000" w:themeColor="text1"/>
          <w:sz w:val="21"/>
          <w:szCs w:val="21"/>
        </w:rPr>
        <w:t>     数量</w:t>
      </w:r>
      <w:r>
        <w:rPr>
          <w:rFonts w:hint="eastAsia"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 1  </w:t>
      </w:r>
      <w:r>
        <w:rPr>
          <w:rFonts w:ascii="Times New Roman" w:hAnsi="Times New Roman" w:cs="Times New Roman"/>
          <w:color w:val="000000" w:themeColor="text1"/>
          <w:sz w:val="21"/>
          <w:szCs w:val="21"/>
        </w:rPr>
        <w:br w:type="textWrapping"/>
      </w:r>
      <w:r>
        <w:rPr>
          <w:rFonts w:ascii="Times New Roman" w:hAnsi="Times New Roman" w:cs="Times New Roman"/>
          <w:color w:val="000000" w:themeColor="text1"/>
          <w:sz w:val="21"/>
          <w:szCs w:val="21"/>
        </w:rPr>
        <w:t>     预算金额（元）</w:t>
      </w:r>
      <w:r>
        <w:rPr>
          <w:rFonts w:hint="eastAsia"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  </w:t>
      </w:r>
      <w:r>
        <w:rPr>
          <w:rFonts w:hint="eastAsia" w:ascii="Times New Roman" w:hAnsi="Times New Roman" w:cs="Times New Roman"/>
          <w:color w:val="000000" w:themeColor="text1"/>
          <w:sz w:val="21"/>
          <w:szCs w:val="21"/>
        </w:rPr>
        <w:t>250000</w:t>
      </w:r>
    </w:p>
    <w:p w14:paraId="308D1A3E">
      <w:pPr>
        <w:pStyle w:val="21"/>
        <w:widowControl/>
        <w:spacing w:before="0" w:beforeAutospacing="0" w:after="0" w:afterAutospacing="0" w:line="360" w:lineRule="auto"/>
        <w:ind w:firstLine="420" w:firstLineChars="200"/>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简要规格描述或项目基本概况介绍、用途：具体详见采购需求 </w:t>
      </w:r>
      <w:r>
        <w:rPr>
          <w:rFonts w:ascii="Times New Roman" w:hAnsi="Times New Roman" w:eastAsia="仿宋" w:cs="Times New Roman"/>
          <w:color w:val="000000" w:themeColor="text1"/>
          <w:sz w:val="21"/>
          <w:szCs w:val="21"/>
        </w:rPr>
        <w:br w:type="textWrapping"/>
      </w:r>
      <w:r>
        <w:rPr>
          <w:rFonts w:ascii="Times New Roman" w:hAnsi="Times New Roman" w:cs="Times New Roman"/>
          <w:color w:val="000000" w:themeColor="text1"/>
          <w:sz w:val="21"/>
          <w:szCs w:val="21"/>
        </w:rPr>
        <w:t>备注： </w:t>
      </w:r>
    </w:p>
    <w:p w14:paraId="0D5922A4">
      <w:pPr>
        <w:pStyle w:val="21"/>
        <w:widowControl/>
        <w:spacing w:before="0" w:beforeAutospacing="0" w:after="0" w:afterAutospacing="0" w:line="360" w:lineRule="auto"/>
        <w:ind w:firstLine="420" w:firstLineChars="200"/>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合同履约期限：</w:t>
      </w:r>
      <w:r>
        <w:rPr>
          <w:rFonts w:hint="eastAsia" w:ascii="Times New Roman" w:hAnsi="Times New Roman" w:cs="Times New Roman"/>
          <w:color w:val="000000" w:themeColor="text1"/>
          <w:sz w:val="21"/>
          <w:szCs w:val="21"/>
          <w:highlight w:val="yellow"/>
        </w:rPr>
        <w:t>合同签订之日起至2025年12月31日止。</w:t>
      </w:r>
    </w:p>
    <w:p w14:paraId="502465BA">
      <w:pPr>
        <w:pStyle w:val="21"/>
        <w:widowControl/>
        <w:spacing w:before="0" w:beforeAutospacing="0" w:after="0" w:afterAutospacing="0" w:line="360" w:lineRule="auto"/>
        <w:ind w:firstLine="420" w:firstLineChars="200"/>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本项目（否）接受联合体投标。</w:t>
      </w:r>
    </w:p>
    <w:p w14:paraId="0D79B24F">
      <w:pPr>
        <w:pStyle w:val="21"/>
        <w:widowControl/>
        <w:spacing w:before="0" w:beforeAutospacing="0" w:after="0" w:afterAutospacing="0" w:line="360" w:lineRule="auto"/>
        <w:jc w:val="both"/>
        <w:rPr>
          <w:rStyle w:val="27"/>
          <w:rFonts w:ascii="Times New Roman" w:hAnsi="Times New Roman"/>
          <w:sz w:val="21"/>
          <w:szCs w:val="21"/>
        </w:rPr>
      </w:pPr>
      <w:r>
        <w:rPr>
          <w:rStyle w:val="27"/>
          <w:rFonts w:ascii="Times New Roman" w:hAnsi="Times New Roman"/>
          <w:sz w:val="21"/>
          <w:szCs w:val="21"/>
        </w:rPr>
        <w:t>二、申请人的资格要求：</w:t>
      </w:r>
    </w:p>
    <w:p w14:paraId="5B1D92B4">
      <w:pPr>
        <w:pStyle w:val="21"/>
        <w:widowControl/>
        <w:spacing w:before="0" w:beforeAutospacing="0" w:after="0" w:afterAutospacing="0" w:line="288" w:lineRule="auto"/>
        <w:ind w:firstLine="315"/>
        <w:rPr>
          <w:rFonts w:ascii="Times New Roman" w:hAnsi="Times New Roman"/>
          <w:sz w:val="21"/>
          <w:szCs w:val="21"/>
        </w:rPr>
      </w:pPr>
      <w:r>
        <w:rPr>
          <w:rFonts w:ascii="Times New Roman" w:hAnsi="Times New Roman"/>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6EABF1D4">
      <w:pPr>
        <w:pStyle w:val="21"/>
        <w:widowControl/>
        <w:spacing w:before="0" w:beforeAutospacing="0" w:after="0" w:afterAutospacing="0" w:line="360" w:lineRule="auto"/>
        <w:ind w:firstLine="420" w:firstLineChars="200"/>
        <w:jc w:val="both"/>
        <w:rPr>
          <w:rFonts w:ascii="Times New Roman" w:hAnsi="Times New Roman" w:cs="Times New Roman"/>
          <w:b/>
          <w:bCs/>
          <w:color w:val="000000" w:themeColor="text1"/>
        </w:rPr>
      </w:pPr>
      <w:r>
        <w:rPr>
          <w:rFonts w:ascii="Times New Roman" w:hAnsi="Times New Roman"/>
          <w:sz w:val="21"/>
          <w:szCs w:val="21"/>
        </w:rPr>
        <w:t>2.落实政府采购政策需满足的资格要求：</w:t>
      </w:r>
      <w:r>
        <w:rPr>
          <w:rFonts w:hint="eastAsia" w:ascii="Times New Roman" w:hAnsi="Times New Roman" w:cs="Times New Roman"/>
          <w:color w:val="000000" w:themeColor="text1"/>
          <w:sz w:val="21"/>
          <w:szCs w:val="21"/>
        </w:rPr>
        <w:t>无。</w:t>
      </w:r>
    </w:p>
    <w:p w14:paraId="3124BD67">
      <w:pPr>
        <w:pStyle w:val="21"/>
        <w:widowControl/>
        <w:spacing w:before="0" w:beforeAutospacing="0" w:after="0" w:afterAutospacing="0" w:line="360" w:lineRule="auto"/>
        <w:jc w:val="both"/>
        <w:rPr>
          <w:rStyle w:val="27"/>
          <w:rFonts w:ascii="Times New Roman" w:hAnsi="Times New Roman" w:cs="Times New Roman"/>
          <w:color w:val="000000" w:themeColor="text1"/>
          <w:sz w:val="21"/>
          <w:szCs w:val="21"/>
        </w:rPr>
      </w:pPr>
      <w:r>
        <w:rPr>
          <w:rStyle w:val="27"/>
          <w:rFonts w:ascii="Times New Roman" w:hAnsi="Times New Roman" w:cs="Times New Roman"/>
          <w:color w:val="000000" w:themeColor="text1"/>
          <w:sz w:val="21"/>
          <w:szCs w:val="21"/>
        </w:rPr>
        <w:t>三、获取招标文件 </w:t>
      </w:r>
    </w:p>
    <w:p w14:paraId="46DCA640">
      <w:pPr>
        <w:pStyle w:val="21"/>
        <w:widowControl/>
        <w:spacing w:before="0" w:beforeAutospacing="0" w:after="0" w:afterAutospacing="0" w:line="360" w:lineRule="auto"/>
        <w:ind w:firstLine="420" w:firstLineChars="200"/>
        <w:jc w:val="both"/>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时间：至 </w:t>
      </w:r>
      <w:r>
        <w:rPr>
          <w:rFonts w:hint="eastAsia" w:ascii="Times New Roman" w:hAnsi="Times New Roman" w:cs="Times New Roman"/>
          <w:color w:val="000000" w:themeColor="text1"/>
          <w:sz w:val="21"/>
          <w:szCs w:val="21"/>
          <w:highlight w:val="yellow"/>
        </w:rPr>
        <w:t>202</w:t>
      </w:r>
      <w:r>
        <w:rPr>
          <w:rFonts w:hint="eastAsia" w:ascii="Times New Roman" w:hAnsi="Times New Roman" w:cs="Times New Roman"/>
          <w:color w:val="000000" w:themeColor="text1"/>
          <w:sz w:val="21"/>
          <w:szCs w:val="21"/>
          <w:highlight w:val="yellow"/>
          <w:lang w:val="en-US" w:eastAsia="zh-CN"/>
        </w:rPr>
        <w:t>5</w:t>
      </w:r>
      <w:r>
        <w:rPr>
          <w:rFonts w:hint="eastAsia" w:ascii="Times New Roman" w:hAnsi="Times New Roman" w:cs="Times New Roman"/>
          <w:color w:val="000000" w:themeColor="text1"/>
          <w:sz w:val="21"/>
          <w:szCs w:val="21"/>
          <w:highlight w:val="yellow"/>
        </w:rPr>
        <w:t>年</w:t>
      </w:r>
      <w:r>
        <w:rPr>
          <w:rFonts w:hint="eastAsia" w:ascii="Times New Roman" w:hAnsi="Times New Roman" w:cs="Times New Roman"/>
          <w:color w:val="000000" w:themeColor="text1"/>
          <w:sz w:val="21"/>
          <w:szCs w:val="21"/>
          <w:highlight w:val="yellow"/>
          <w:lang w:val="en-US" w:eastAsia="zh-CN"/>
        </w:rPr>
        <w:t xml:space="preserve"> </w:t>
      </w:r>
      <w:r>
        <w:rPr>
          <w:rFonts w:hint="eastAsia" w:ascii="Times New Roman" w:hAnsi="Times New Roman" w:cs="Times New Roman"/>
          <w:color w:val="000000" w:themeColor="text1"/>
          <w:sz w:val="21"/>
          <w:szCs w:val="21"/>
          <w:highlight w:val="yellow"/>
        </w:rPr>
        <w:t>月</w:t>
      </w:r>
      <w:r>
        <w:rPr>
          <w:rFonts w:hint="eastAsia" w:ascii="Times New Roman" w:hAnsi="Times New Roman" w:cs="Times New Roman"/>
          <w:color w:val="000000" w:themeColor="text1"/>
          <w:sz w:val="21"/>
          <w:szCs w:val="21"/>
          <w:highlight w:val="yellow"/>
          <w:lang w:val="en-US" w:eastAsia="zh-CN"/>
        </w:rPr>
        <w:t xml:space="preserve"> </w:t>
      </w:r>
      <w:r>
        <w:rPr>
          <w:rFonts w:hint="eastAsia" w:ascii="Times New Roman" w:hAnsi="Times New Roman" w:cs="Times New Roman"/>
          <w:color w:val="000000" w:themeColor="text1"/>
          <w:sz w:val="21"/>
          <w:szCs w:val="21"/>
          <w:highlight w:val="yellow"/>
        </w:rPr>
        <w:t>日 14:30，</w:t>
      </w:r>
      <w:r>
        <w:rPr>
          <w:rFonts w:hint="eastAsia" w:ascii="Times New Roman" w:hAnsi="Times New Roman" w:cs="Times New Roman"/>
          <w:color w:val="000000" w:themeColor="text1"/>
          <w:sz w:val="21"/>
          <w:szCs w:val="21"/>
        </w:rPr>
        <w:t>每天上午00:00至12:00 ，下午12:00至23:59（北京时间，线上获取法定节假日均可，线下获取文件法定节假日除外）</w:t>
      </w:r>
    </w:p>
    <w:p w14:paraId="109B052B">
      <w:pPr>
        <w:pStyle w:val="21"/>
        <w:widowControl/>
        <w:spacing w:before="0" w:beforeAutospacing="0" w:after="0" w:afterAutospacing="0" w:line="360" w:lineRule="auto"/>
        <w:ind w:firstLine="420" w:firstLineChars="200"/>
        <w:jc w:val="both"/>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地点（网址）：浙江政府采购网http://zfcg.czt.zj.gov.cn/（用“政采云”注册账号、密码登录系统后获取招标文件）   </w:t>
      </w:r>
    </w:p>
    <w:p w14:paraId="428262ED">
      <w:pPr>
        <w:pStyle w:val="21"/>
        <w:widowControl/>
        <w:spacing w:before="0" w:beforeAutospacing="0" w:after="0" w:afterAutospacing="0" w:line="360" w:lineRule="auto"/>
        <w:ind w:firstLine="420" w:firstLineChars="200"/>
        <w:jc w:val="both"/>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方式：网上获取。免费注册网址：浙江政府采购网（供应商注册页面）：https://middle.zcygov.cn/settle-front/#/registry“政采云”，已经注册成功的供应商无需重复注册，本项目实行电子投标。投标人在使用系统进行投标的过程中涉及平台使用的任何问题可致电政采云平台技术支持热线：95763。    </w:t>
      </w:r>
    </w:p>
    <w:p w14:paraId="4C038654">
      <w:pPr>
        <w:pStyle w:val="21"/>
        <w:widowControl/>
        <w:spacing w:before="0" w:beforeAutospacing="0" w:after="0" w:afterAutospacing="0" w:line="360" w:lineRule="auto"/>
        <w:ind w:firstLine="420" w:firstLineChars="200"/>
        <w:jc w:val="both"/>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售价（元）：0 </w:t>
      </w:r>
    </w:p>
    <w:p w14:paraId="2A129886">
      <w:pPr>
        <w:pStyle w:val="21"/>
        <w:widowControl/>
        <w:spacing w:before="0" w:beforeAutospacing="0" w:after="0" w:afterAutospacing="0" w:line="360" w:lineRule="auto"/>
        <w:jc w:val="both"/>
        <w:rPr>
          <w:rStyle w:val="27"/>
          <w:rFonts w:ascii="Times New Roman" w:hAnsi="Times New Roman" w:cs="Times New Roman"/>
          <w:color w:val="000000" w:themeColor="text1"/>
          <w:sz w:val="21"/>
          <w:szCs w:val="21"/>
        </w:rPr>
      </w:pPr>
      <w:r>
        <w:rPr>
          <w:rStyle w:val="27"/>
          <w:rFonts w:ascii="Times New Roman" w:hAnsi="Times New Roman" w:cs="Times New Roman"/>
          <w:color w:val="000000" w:themeColor="text1"/>
          <w:sz w:val="21"/>
          <w:szCs w:val="21"/>
        </w:rPr>
        <w:t>四、提交投标文件截止时间、开标时间和地点</w:t>
      </w:r>
    </w:p>
    <w:p w14:paraId="12653194">
      <w:pPr>
        <w:pStyle w:val="21"/>
        <w:widowControl/>
        <w:spacing w:before="75" w:beforeAutospacing="0" w:after="75" w:afterAutospacing="0" w:line="360" w:lineRule="auto"/>
        <w:ind w:firstLine="420"/>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提交投标文件截止时间： </w:t>
      </w:r>
      <w:r>
        <w:rPr>
          <w:rFonts w:hint="eastAsia" w:ascii="Times New Roman" w:hAnsi="Times New Roman" w:cs="Times New Roman"/>
          <w:color w:val="000000" w:themeColor="text1"/>
          <w:sz w:val="21"/>
          <w:szCs w:val="21"/>
          <w:highlight w:val="yellow"/>
        </w:rPr>
        <w:t>202</w:t>
      </w:r>
      <w:r>
        <w:rPr>
          <w:rFonts w:hint="eastAsia" w:ascii="Times New Roman" w:hAnsi="Times New Roman" w:cs="Times New Roman"/>
          <w:color w:val="000000" w:themeColor="text1"/>
          <w:sz w:val="21"/>
          <w:szCs w:val="21"/>
          <w:highlight w:val="yellow"/>
          <w:lang w:val="en-US" w:eastAsia="zh-CN"/>
        </w:rPr>
        <w:t>5</w:t>
      </w:r>
      <w:r>
        <w:rPr>
          <w:rFonts w:hint="eastAsia" w:ascii="Times New Roman" w:hAnsi="Times New Roman" w:cs="Times New Roman"/>
          <w:color w:val="000000" w:themeColor="text1"/>
          <w:sz w:val="21"/>
          <w:szCs w:val="21"/>
          <w:highlight w:val="yellow"/>
        </w:rPr>
        <w:t>年</w:t>
      </w:r>
      <w:r>
        <w:rPr>
          <w:rFonts w:hint="eastAsia" w:ascii="Times New Roman" w:hAnsi="Times New Roman" w:cs="Times New Roman"/>
          <w:color w:val="000000" w:themeColor="text1"/>
          <w:sz w:val="21"/>
          <w:szCs w:val="21"/>
          <w:highlight w:val="yellow"/>
          <w:lang w:val="en-US" w:eastAsia="zh-CN"/>
        </w:rPr>
        <w:t xml:space="preserve">  </w:t>
      </w:r>
      <w:r>
        <w:rPr>
          <w:rFonts w:hint="eastAsia" w:ascii="Times New Roman" w:hAnsi="Times New Roman" w:cs="Times New Roman"/>
          <w:color w:val="000000" w:themeColor="text1"/>
          <w:sz w:val="21"/>
          <w:szCs w:val="21"/>
          <w:highlight w:val="yellow"/>
        </w:rPr>
        <w:t>月</w:t>
      </w:r>
      <w:r>
        <w:rPr>
          <w:rFonts w:hint="eastAsia" w:ascii="Times New Roman" w:hAnsi="Times New Roman" w:cs="Times New Roman"/>
          <w:color w:val="000000" w:themeColor="text1"/>
          <w:sz w:val="21"/>
          <w:szCs w:val="21"/>
          <w:highlight w:val="yellow"/>
          <w:lang w:val="en-US" w:eastAsia="zh-CN"/>
        </w:rPr>
        <w:t xml:space="preserve">  </w:t>
      </w:r>
      <w:r>
        <w:rPr>
          <w:rFonts w:hint="eastAsia" w:ascii="Times New Roman" w:hAnsi="Times New Roman" w:cs="Times New Roman"/>
          <w:color w:val="000000" w:themeColor="text1"/>
          <w:sz w:val="21"/>
          <w:szCs w:val="21"/>
          <w:highlight w:val="yellow"/>
        </w:rPr>
        <w:t>日 14:30</w:t>
      </w:r>
      <w:r>
        <w:rPr>
          <w:rFonts w:hint="eastAsia" w:ascii="Times New Roman" w:hAnsi="Times New Roman" w:cs="Times New Roman"/>
          <w:color w:val="000000" w:themeColor="text1"/>
          <w:sz w:val="21"/>
          <w:szCs w:val="21"/>
        </w:rPr>
        <w:t>（北京时间）</w:t>
      </w:r>
    </w:p>
    <w:p w14:paraId="6B9CFDDE">
      <w:pPr>
        <w:pStyle w:val="21"/>
        <w:widowControl/>
        <w:spacing w:before="75" w:beforeAutospacing="0" w:after="75" w:afterAutospacing="0" w:line="360" w:lineRule="auto"/>
        <w:ind w:firstLine="420" w:firstLineChars="200"/>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投标地点（网址）：政采云平台（https://www.zcygov.cn/） </w:t>
      </w:r>
    </w:p>
    <w:p w14:paraId="108745A3">
      <w:pPr>
        <w:pStyle w:val="21"/>
        <w:widowControl/>
        <w:spacing w:before="75" w:beforeAutospacing="0" w:after="75" w:afterAutospacing="0" w:line="360" w:lineRule="auto"/>
        <w:ind w:firstLine="420"/>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开标时间： </w:t>
      </w:r>
      <w:r>
        <w:rPr>
          <w:rFonts w:hint="eastAsia" w:ascii="Times New Roman" w:hAnsi="Times New Roman" w:cs="Times New Roman"/>
          <w:color w:val="000000" w:themeColor="text1"/>
          <w:sz w:val="21"/>
          <w:szCs w:val="21"/>
          <w:highlight w:val="yellow"/>
        </w:rPr>
        <w:t>202</w:t>
      </w:r>
      <w:r>
        <w:rPr>
          <w:rFonts w:hint="eastAsia" w:ascii="Times New Roman" w:hAnsi="Times New Roman" w:cs="Times New Roman"/>
          <w:color w:val="000000" w:themeColor="text1"/>
          <w:sz w:val="21"/>
          <w:szCs w:val="21"/>
          <w:highlight w:val="yellow"/>
          <w:lang w:val="en-US" w:eastAsia="zh-CN"/>
        </w:rPr>
        <w:t>5</w:t>
      </w:r>
      <w:r>
        <w:rPr>
          <w:rFonts w:hint="eastAsia" w:ascii="Times New Roman" w:hAnsi="Times New Roman" w:cs="Times New Roman"/>
          <w:color w:val="000000" w:themeColor="text1"/>
          <w:sz w:val="21"/>
          <w:szCs w:val="21"/>
          <w:highlight w:val="yellow"/>
        </w:rPr>
        <w:t>年</w:t>
      </w:r>
      <w:r>
        <w:rPr>
          <w:rFonts w:hint="eastAsia" w:ascii="Times New Roman" w:hAnsi="Times New Roman" w:cs="Times New Roman"/>
          <w:color w:val="000000" w:themeColor="text1"/>
          <w:sz w:val="21"/>
          <w:szCs w:val="21"/>
          <w:highlight w:val="yellow"/>
          <w:lang w:val="en-US" w:eastAsia="zh-CN"/>
        </w:rPr>
        <w:t xml:space="preserve">  </w:t>
      </w:r>
      <w:r>
        <w:rPr>
          <w:rFonts w:hint="eastAsia" w:ascii="Times New Roman" w:hAnsi="Times New Roman" w:cs="Times New Roman"/>
          <w:color w:val="000000" w:themeColor="text1"/>
          <w:sz w:val="21"/>
          <w:szCs w:val="21"/>
          <w:highlight w:val="yellow"/>
        </w:rPr>
        <w:t>月</w:t>
      </w:r>
      <w:r>
        <w:rPr>
          <w:rFonts w:hint="eastAsia" w:ascii="Times New Roman" w:hAnsi="Times New Roman" w:cs="Times New Roman"/>
          <w:color w:val="000000" w:themeColor="text1"/>
          <w:sz w:val="21"/>
          <w:szCs w:val="21"/>
          <w:highlight w:val="yellow"/>
          <w:lang w:val="en-US" w:eastAsia="zh-CN"/>
        </w:rPr>
        <w:t xml:space="preserve">  </w:t>
      </w:r>
      <w:r>
        <w:rPr>
          <w:rFonts w:hint="eastAsia" w:ascii="Times New Roman" w:hAnsi="Times New Roman" w:cs="Times New Roman"/>
          <w:color w:val="000000" w:themeColor="text1"/>
          <w:sz w:val="21"/>
          <w:szCs w:val="21"/>
          <w:highlight w:val="yellow"/>
        </w:rPr>
        <w:t>日 14:30</w:t>
      </w:r>
    </w:p>
    <w:p w14:paraId="429725CC">
      <w:pPr>
        <w:pStyle w:val="21"/>
        <w:widowControl/>
        <w:spacing w:before="75" w:beforeAutospacing="0" w:after="75" w:afterAutospacing="0" w:line="360" w:lineRule="auto"/>
        <w:ind w:firstLine="420" w:firstLineChars="200"/>
        <w:rPr>
          <w:rFonts w:ascii="Times New Roman" w:hAnsi="Times New Roman"/>
          <w:color w:val="000000" w:themeColor="text1"/>
          <w:sz w:val="21"/>
          <w:szCs w:val="21"/>
        </w:rPr>
      </w:pPr>
      <w:r>
        <w:rPr>
          <w:rFonts w:hint="eastAsia" w:ascii="Times New Roman" w:hAnsi="Times New Roman" w:cs="Times New Roman"/>
          <w:color w:val="000000" w:themeColor="text1"/>
          <w:sz w:val="21"/>
          <w:szCs w:val="21"/>
        </w:rPr>
        <w:t>开标地点（网址）：政采云平台（https://www.zcygov.cn/）</w:t>
      </w:r>
    </w:p>
    <w:p w14:paraId="414BE90A">
      <w:pPr>
        <w:numPr>
          <w:ilvl w:val="0"/>
          <w:numId w:val="4"/>
        </w:numPr>
        <w:rPr>
          <w:rStyle w:val="27"/>
          <w:rFonts w:ascii="Times New Roman" w:hAnsi="Times New Roman"/>
          <w:kern w:val="0"/>
        </w:rPr>
      </w:pPr>
      <w:r>
        <w:rPr>
          <w:rStyle w:val="27"/>
          <w:rFonts w:hint="eastAsia" w:ascii="Times New Roman" w:hAnsi="Times New Roman"/>
          <w:kern w:val="0"/>
        </w:rPr>
        <w:t>采购意向公开链接</w:t>
      </w:r>
    </w:p>
    <w:p w14:paraId="50A8626E">
      <w:pPr>
        <w:pStyle w:val="21"/>
        <w:widowControl/>
        <w:spacing w:before="0" w:beforeAutospacing="0" w:after="0" w:afterAutospacing="0" w:line="360" w:lineRule="auto"/>
        <w:jc w:val="both"/>
        <w:rPr>
          <w:rFonts w:hint="eastAsia" w:ascii="微软雅黑" w:hAnsi="微软雅黑" w:eastAsia="微软雅黑" w:cs="微软雅黑"/>
          <w:color w:val="000000" w:themeColor="text1"/>
          <w:sz w:val="21"/>
          <w:szCs w:val="21"/>
          <w:highlight w:val="none"/>
          <w:shd w:val="clear" w:color="auto" w:fill="F5FAFF"/>
        </w:rPr>
      </w:pPr>
      <w:r>
        <w:rPr>
          <w:rFonts w:hint="eastAsia" w:ascii="微软雅黑" w:hAnsi="微软雅黑" w:eastAsia="微软雅黑" w:cs="微软雅黑"/>
          <w:color w:val="000000" w:themeColor="text1"/>
          <w:sz w:val="21"/>
          <w:szCs w:val="21"/>
          <w:highlight w:val="none"/>
          <w:shd w:val="clear" w:color="auto" w:fill="F5FAFF"/>
        </w:rPr>
        <w:fldChar w:fldCharType="begin"/>
      </w:r>
      <w:r>
        <w:rPr>
          <w:rFonts w:hint="eastAsia" w:ascii="微软雅黑" w:hAnsi="微软雅黑" w:eastAsia="微软雅黑" w:cs="微软雅黑"/>
          <w:color w:val="000000" w:themeColor="text1"/>
          <w:sz w:val="21"/>
          <w:szCs w:val="21"/>
          <w:highlight w:val="none"/>
          <w:shd w:val="clear" w:color="auto" w:fill="F5FAFF"/>
        </w:rPr>
        <w:instrText xml:space="preserve"> HYPERLINK "https://zfcg.czt.zj.gov.cn/site/detail?categoryCode=ZcyAnnouncement&amp;parentId=600007&amp;articleId=I5PTOrDLp/v780B3eiK9Aw==" </w:instrText>
      </w:r>
      <w:r>
        <w:rPr>
          <w:rFonts w:hint="eastAsia" w:ascii="微软雅黑" w:hAnsi="微软雅黑" w:eastAsia="微软雅黑" w:cs="微软雅黑"/>
          <w:color w:val="000000" w:themeColor="text1"/>
          <w:sz w:val="21"/>
          <w:szCs w:val="21"/>
          <w:highlight w:val="none"/>
          <w:shd w:val="clear" w:color="auto" w:fill="F5FAFF"/>
        </w:rPr>
        <w:fldChar w:fldCharType="separate"/>
      </w:r>
      <w:r>
        <w:rPr>
          <w:rStyle w:val="31"/>
          <w:rFonts w:hint="eastAsia" w:ascii="微软雅黑" w:hAnsi="微软雅黑" w:eastAsia="微软雅黑" w:cs="微软雅黑"/>
          <w:color w:val="000000" w:themeColor="text1"/>
          <w:sz w:val="21"/>
          <w:szCs w:val="21"/>
          <w:highlight w:val="none"/>
          <w:shd w:val="clear" w:color="auto" w:fill="F5FAFF"/>
        </w:rPr>
        <w:t>https://zfcg.czt.zj.gov.cn/site/detail?categoryCode=ZcyAnnouncement&amp;parentId=600007&amp;articleId=I5PTOrDLp/v780B3eiK9Aw==</w:t>
      </w:r>
      <w:r>
        <w:rPr>
          <w:rFonts w:hint="eastAsia" w:ascii="微软雅黑" w:hAnsi="微软雅黑" w:eastAsia="微软雅黑" w:cs="微软雅黑"/>
          <w:color w:val="000000" w:themeColor="text1"/>
          <w:sz w:val="21"/>
          <w:szCs w:val="21"/>
          <w:highlight w:val="none"/>
          <w:shd w:val="clear" w:color="auto" w:fill="F5FAFF"/>
        </w:rPr>
        <w:fldChar w:fldCharType="end"/>
      </w:r>
    </w:p>
    <w:p w14:paraId="3236E92D">
      <w:pPr>
        <w:pStyle w:val="21"/>
        <w:widowControl/>
        <w:spacing w:before="0" w:beforeAutospacing="0" w:after="0" w:afterAutospacing="0" w:line="360" w:lineRule="auto"/>
        <w:jc w:val="both"/>
        <w:rPr>
          <w:rStyle w:val="27"/>
          <w:rFonts w:ascii="Times New Roman" w:hAnsi="Times New Roman" w:cs="Times New Roman"/>
          <w:color w:val="000000" w:themeColor="text1"/>
          <w:sz w:val="21"/>
          <w:szCs w:val="21"/>
        </w:rPr>
      </w:pPr>
      <w:r>
        <w:rPr>
          <w:rStyle w:val="27"/>
          <w:rFonts w:hint="eastAsia" w:ascii="Times New Roman" w:hAnsi="Times New Roman"/>
          <w:sz w:val="21"/>
          <w:szCs w:val="21"/>
        </w:rPr>
        <w:t>六、</w:t>
      </w:r>
      <w:r>
        <w:rPr>
          <w:rStyle w:val="27"/>
          <w:rFonts w:ascii="Times New Roman" w:hAnsi="Times New Roman"/>
          <w:sz w:val="21"/>
          <w:szCs w:val="21"/>
        </w:rPr>
        <w:t>公告期限 </w:t>
      </w:r>
    </w:p>
    <w:p w14:paraId="108607EB">
      <w:pPr>
        <w:pStyle w:val="21"/>
        <w:widowControl/>
        <w:spacing w:before="0" w:beforeAutospacing="0" w:after="0" w:afterAutospacing="0" w:line="360" w:lineRule="auto"/>
        <w:ind w:firstLine="420" w:firstLineChars="200"/>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自本公告发布之日起5个工作日。</w:t>
      </w:r>
    </w:p>
    <w:p w14:paraId="4C799C75">
      <w:pPr>
        <w:pStyle w:val="21"/>
        <w:widowControl/>
        <w:spacing w:before="0" w:beforeAutospacing="0" w:after="0" w:afterAutospacing="0" w:line="360" w:lineRule="auto"/>
        <w:jc w:val="both"/>
        <w:rPr>
          <w:rStyle w:val="27"/>
          <w:rFonts w:ascii="Times New Roman" w:hAnsi="Times New Roman" w:cs="Times New Roman"/>
          <w:color w:val="000000" w:themeColor="text1"/>
          <w:sz w:val="21"/>
          <w:szCs w:val="21"/>
        </w:rPr>
      </w:pPr>
      <w:r>
        <w:rPr>
          <w:rStyle w:val="27"/>
          <w:rFonts w:hint="eastAsia" w:ascii="Times New Roman" w:hAnsi="Times New Roman" w:cs="Times New Roman"/>
          <w:color w:val="000000" w:themeColor="text1"/>
          <w:sz w:val="21"/>
          <w:szCs w:val="21"/>
        </w:rPr>
        <w:t>七</w:t>
      </w:r>
      <w:r>
        <w:rPr>
          <w:rStyle w:val="27"/>
          <w:rFonts w:ascii="Times New Roman" w:hAnsi="Times New Roman" w:cs="Times New Roman"/>
          <w:color w:val="000000" w:themeColor="text1"/>
          <w:sz w:val="21"/>
          <w:szCs w:val="21"/>
        </w:rPr>
        <w:t>、其他补充事宜</w:t>
      </w:r>
    </w:p>
    <w:p w14:paraId="053B73CF">
      <w:pPr>
        <w:pStyle w:val="21"/>
        <w:widowControl/>
        <w:adjustRightInd w:val="0"/>
        <w:snapToGrid w:val="0"/>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Times New Roman" w:hAnsi="Times New Roman" w:cs="Times New Roman"/>
          <w:sz w:val="21"/>
          <w:szCs w:val="21"/>
        </w:rPr>
        <w:t>）、《浙江省财政厅关于进一步加大政府采购支持中小企业力度助力扎实稳住经济的通知》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A36506A">
      <w:pPr>
        <w:pStyle w:val="21"/>
        <w:widowControl/>
        <w:adjustRightInd w:val="0"/>
        <w:snapToGrid w:val="0"/>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5D6F527">
      <w:pPr>
        <w:pStyle w:val="21"/>
        <w:widowControl/>
        <w:spacing w:before="75" w:beforeAutospacing="0" w:after="75" w:afterAutospacing="0" w:line="360" w:lineRule="auto"/>
        <w:ind w:firstLine="420"/>
        <w:rPr>
          <w:rFonts w:ascii="Times New Roman" w:hAnsi="Times New Roman" w:cs="Times New Roman"/>
          <w:sz w:val="21"/>
          <w:szCs w:val="21"/>
        </w:rPr>
      </w:pPr>
      <w:r>
        <w:rPr>
          <w:rFonts w:hint="eastAsia" w:ascii="Times New Roman" w:hAnsi="Times New Roman" w:cs="Times New Roman"/>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77DEEBC">
      <w:pPr>
        <w:pStyle w:val="21"/>
        <w:widowControl/>
        <w:spacing w:before="75" w:beforeAutospacing="0" w:after="75" w:afterAutospacing="0" w:line="360" w:lineRule="auto"/>
        <w:ind w:firstLine="420"/>
        <w:rPr>
          <w:rFonts w:ascii="Times New Roman" w:hAnsi="Times New Roman" w:cs="Times New Roman"/>
          <w:color w:val="000000" w:themeColor="text1"/>
          <w:sz w:val="21"/>
          <w:szCs w:val="21"/>
          <w:shd w:val="clear" w:color="auto" w:fill="FFFF00"/>
        </w:rPr>
      </w:pPr>
      <w:r>
        <w:rPr>
          <w:rStyle w:val="27"/>
          <w:rFonts w:hint="eastAsia" w:ascii="Times New Roman" w:hAnsi="Times New Roman"/>
          <w:color w:val="000000" w:themeColor="text1"/>
          <w:sz w:val="21"/>
          <w:szCs w:val="21"/>
        </w:rPr>
        <w:t>4.其他事项：（1）单位负责人为同一人或者存在直接控股、管理关系的不同供应商，不得同时参加同一合同项下的投标。（2）为项目提供整体设计、规范编制或者项目管理、监理、检测等服务的供应商，不得再参加该采购项目的其他采购活动。（3）本项目执行促进中小企业发展（监狱企业、残疾人福利性单位视同小型、微型企业）、优先采购节能产品、优先采购环境标志产品政策。（4）为支持和促进中小企业发展，舟山市财政局出台了政府采购信用融资政策，具体详见采购文件。</w:t>
      </w:r>
    </w:p>
    <w:p w14:paraId="767B6E7C">
      <w:pPr>
        <w:pStyle w:val="21"/>
        <w:widowControl/>
        <w:spacing w:before="0" w:beforeAutospacing="0" w:after="0" w:afterAutospacing="0" w:line="360" w:lineRule="auto"/>
        <w:jc w:val="both"/>
        <w:rPr>
          <w:rStyle w:val="27"/>
          <w:rFonts w:ascii="Times New Roman" w:hAnsi="Times New Roman" w:cs="Times New Roman"/>
          <w:color w:val="000000" w:themeColor="text1"/>
          <w:sz w:val="21"/>
          <w:szCs w:val="21"/>
        </w:rPr>
      </w:pPr>
      <w:r>
        <w:rPr>
          <w:rStyle w:val="27"/>
          <w:rFonts w:ascii="Times New Roman" w:hAnsi="Times New Roman" w:cs="Times New Roman"/>
          <w:color w:val="000000" w:themeColor="text1"/>
          <w:sz w:val="21"/>
          <w:szCs w:val="21"/>
        </w:rPr>
        <w:t>七、对本次采购提出询问、质疑、投诉，请按以下方式联系</w:t>
      </w:r>
    </w:p>
    <w:p w14:paraId="0AE06617">
      <w:pPr>
        <w:pStyle w:val="21"/>
        <w:widowControl/>
        <w:spacing w:before="50" w:beforeAutospacing="0" w:after="50" w:afterAutospacing="0" w:line="360" w:lineRule="auto"/>
        <w:rPr>
          <w:rFonts w:ascii="Times New Roman" w:hAnsi="Times New Roman" w:cs="Times New Roman"/>
          <w:color w:val="000000" w:themeColor="text1"/>
          <w:sz w:val="21"/>
          <w:szCs w:val="21"/>
        </w:rPr>
      </w:pPr>
      <w:r>
        <w:rPr>
          <w:rFonts w:ascii="Times New Roman" w:hAnsi="Times New Roman" w:eastAsia="仿宋" w:cs="Times New Roman"/>
          <w:color w:val="000000" w:themeColor="text1"/>
          <w:sz w:val="21"/>
          <w:szCs w:val="21"/>
        </w:rPr>
        <w:t xml:space="preserve">  </w:t>
      </w:r>
      <w:r>
        <w:rPr>
          <w:rFonts w:ascii="Times New Roman" w:hAnsi="Times New Roman" w:cs="Times New Roman"/>
          <w:color w:val="000000" w:themeColor="text1"/>
          <w:sz w:val="21"/>
          <w:szCs w:val="21"/>
        </w:rPr>
        <w:t xml:space="preserve"> 1.采购人信息</w:t>
      </w:r>
    </w:p>
    <w:p w14:paraId="1F378898">
      <w:pPr>
        <w:pStyle w:val="21"/>
        <w:widowControl/>
        <w:spacing w:before="0" w:beforeAutospacing="0" w:after="0" w:afterAutospacing="0" w:line="360" w:lineRule="auto"/>
        <w:jc w:val="both"/>
        <w:rPr>
          <w:rStyle w:val="27"/>
          <w:rFonts w:hint="eastAsia" w:ascii="Times New Roman" w:hAnsi="Times New Roman"/>
          <w:color w:val="000000" w:themeColor="text1"/>
          <w:sz w:val="21"/>
          <w:szCs w:val="21"/>
          <w:highlight w:val="none"/>
        </w:rPr>
      </w:pPr>
      <w:r>
        <w:rPr>
          <w:rFonts w:hint="eastAsia" w:ascii="Times New Roman" w:hAnsi="Times New Roman" w:cs="Times New Roman"/>
          <w:color w:val="000000" w:themeColor="text1"/>
          <w:sz w:val="21"/>
          <w:szCs w:val="21"/>
        </w:rPr>
        <w:t xml:space="preserve">    </w:t>
      </w:r>
      <w:r>
        <w:rPr>
          <w:rStyle w:val="27"/>
          <w:rFonts w:hint="eastAsia" w:ascii="Times New Roman" w:hAnsi="Times New Roman"/>
          <w:color w:val="000000" w:themeColor="text1"/>
          <w:sz w:val="21"/>
          <w:szCs w:val="21"/>
          <w:highlight w:val="none"/>
        </w:rPr>
        <w:t>名    称：浙江省海洋生态环境监测中心 </w:t>
      </w:r>
    </w:p>
    <w:p w14:paraId="3CD41A6C">
      <w:pPr>
        <w:pStyle w:val="21"/>
        <w:widowControl/>
        <w:spacing w:before="0" w:beforeAutospacing="0" w:after="0" w:afterAutospacing="0" w:line="360" w:lineRule="auto"/>
        <w:jc w:val="both"/>
        <w:rPr>
          <w:rStyle w:val="27"/>
          <w:rFonts w:hint="eastAsia" w:ascii="Times New Roman" w:hAnsi="Times New Roman"/>
          <w:color w:val="000000" w:themeColor="text1"/>
          <w:sz w:val="21"/>
          <w:szCs w:val="21"/>
          <w:highlight w:val="none"/>
        </w:rPr>
      </w:pPr>
      <w:r>
        <w:rPr>
          <w:rStyle w:val="27"/>
          <w:rFonts w:hint="eastAsia" w:ascii="Times New Roman" w:hAnsi="Times New Roman"/>
          <w:color w:val="000000" w:themeColor="text1"/>
          <w:sz w:val="21"/>
          <w:szCs w:val="21"/>
          <w:highlight w:val="none"/>
        </w:rPr>
        <w:t>    地    址：舟山市新城体育路20号 </w:t>
      </w:r>
    </w:p>
    <w:p w14:paraId="49E11801">
      <w:pPr>
        <w:pStyle w:val="21"/>
        <w:widowControl/>
        <w:spacing w:before="0" w:beforeAutospacing="0" w:after="0" w:afterAutospacing="0" w:line="360" w:lineRule="auto"/>
        <w:jc w:val="both"/>
        <w:rPr>
          <w:rStyle w:val="27"/>
          <w:rFonts w:hint="eastAsia" w:ascii="Times New Roman" w:hAnsi="Times New Roman"/>
          <w:color w:val="000000" w:themeColor="text1"/>
          <w:sz w:val="21"/>
          <w:szCs w:val="21"/>
          <w:highlight w:val="none"/>
          <w:lang w:eastAsia="zh-CN"/>
        </w:rPr>
      </w:pPr>
      <w:r>
        <w:rPr>
          <w:rStyle w:val="27"/>
          <w:rFonts w:hint="eastAsia" w:ascii="Times New Roman" w:hAnsi="Times New Roman"/>
          <w:color w:val="000000" w:themeColor="text1"/>
          <w:sz w:val="21"/>
          <w:szCs w:val="21"/>
          <w:highlight w:val="none"/>
        </w:rPr>
        <w:t>    项目联系人（询问）：</w:t>
      </w:r>
      <w:r>
        <w:rPr>
          <w:rStyle w:val="27"/>
          <w:rFonts w:hint="eastAsia" w:ascii="Times New Roman" w:hAnsi="Times New Roman"/>
          <w:color w:val="000000" w:themeColor="text1"/>
          <w:sz w:val="21"/>
          <w:szCs w:val="21"/>
          <w:highlight w:val="none"/>
          <w:lang w:val="en-US" w:eastAsia="zh-CN"/>
        </w:rPr>
        <w:t>孙先生</w:t>
      </w:r>
    </w:p>
    <w:p w14:paraId="13989209">
      <w:pPr>
        <w:pStyle w:val="21"/>
        <w:widowControl/>
        <w:spacing w:before="0" w:beforeAutospacing="0" w:after="0" w:afterAutospacing="0" w:line="360" w:lineRule="auto"/>
        <w:jc w:val="both"/>
        <w:rPr>
          <w:rStyle w:val="27"/>
          <w:rFonts w:hint="eastAsia" w:ascii="Times New Roman" w:hAnsi="Times New Roman"/>
          <w:color w:val="000000" w:themeColor="text1"/>
          <w:sz w:val="21"/>
          <w:szCs w:val="21"/>
          <w:highlight w:val="none"/>
        </w:rPr>
      </w:pPr>
      <w:r>
        <w:rPr>
          <w:rStyle w:val="27"/>
          <w:rFonts w:hint="eastAsia" w:ascii="Times New Roman" w:hAnsi="Times New Roman"/>
          <w:color w:val="000000" w:themeColor="text1"/>
          <w:sz w:val="21"/>
          <w:szCs w:val="21"/>
          <w:highlight w:val="none"/>
        </w:rPr>
        <w:t xml:space="preserve">    项目联系方式（询问）：0580-2022995 </w:t>
      </w:r>
    </w:p>
    <w:p w14:paraId="7B1B8B73">
      <w:pPr>
        <w:pStyle w:val="21"/>
        <w:widowControl/>
        <w:spacing w:before="0" w:beforeAutospacing="0" w:after="0" w:afterAutospacing="0" w:line="360" w:lineRule="auto"/>
        <w:jc w:val="both"/>
        <w:rPr>
          <w:rStyle w:val="27"/>
          <w:rFonts w:hint="eastAsia" w:ascii="Times New Roman" w:hAnsi="Times New Roman"/>
          <w:color w:val="000000" w:themeColor="text1"/>
          <w:sz w:val="21"/>
          <w:szCs w:val="21"/>
          <w:highlight w:val="none"/>
          <w:lang w:eastAsia="zh-CN"/>
        </w:rPr>
      </w:pPr>
      <w:r>
        <w:rPr>
          <w:rStyle w:val="27"/>
          <w:rFonts w:hint="eastAsia" w:ascii="Times New Roman" w:hAnsi="Times New Roman"/>
          <w:color w:val="000000" w:themeColor="text1"/>
          <w:sz w:val="21"/>
          <w:szCs w:val="21"/>
          <w:highlight w:val="none"/>
        </w:rPr>
        <w:t>    质疑联系人：</w:t>
      </w:r>
      <w:r>
        <w:rPr>
          <w:rStyle w:val="27"/>
          <w:rFonts w:hint="eastAsia" w:ascii="Times New Roman" w:hAnsi="Times New Roman"/>
          <w:color w:val="000000" w:themeColor="text1"/>
          <w:sz w:val="21"/>
          <w:szCs w:val="21"/>
          <w:highlight w:val="none"/>
          <w:lang w:val="en-US" w:eastAsia="zh-CN"/>
        </w:rPr>
        <w:t>王女士</w:t>
      </w:r>
    </w:p>
    <w:p w14:paraId="7418C64E">
      <w:pPr>
        <w:pStyle w:val="21"/>
        <w:widowControl/>
        <w:spacing w:before="0" w:beforeAutospacing="0" w:after="0" w:afterAutospacing="0" w:line="360" w:lineRule="auto"/>
        <w:jc w:val="both"/>
        <w:rPr>
          <w:rStyle w:val="27"/>
          <w:rFonts w:hint="eastAsia" w:ascii="Times New Roman" w:hAnsi="Times New Roman"/>
          <w:color w:val="000000" w:themeColor="text1"/>
          <w:sz w:val="21"/>
          <w:szCs w:val="21"/>
          <w:highlight w:val="none"/>
        </w:rPr>
      </w:pPr>
      <w:r>
        <w:rPr>
          <w:rStyle w:val="27"/>
          <w:rFonts w:hint="eastAsia" w:ascii="Times New Roman" w:hAnsi="Times New Roman"/>
          <w:color w:val="000000" w:themeColor="text1"/>
          <w:sz w:val="21"/>
          <w:szCs w:val="21"/>
          <w:highlight w:val="none"/>
        </w:rPr>
        <w:t>    质疑联系方式：0580-2024133</w:t>
      </w:r>
    </w:p>
    <w:p w14:paraId="4CE8DE18">
      <w:pPr>
        <w:pStyle w:val="21"/>
        <w:widowControl/>
        <w:spacing w:before="50" w:beforeAutospacing="0" w:after="50" w:afterAutospacing="0" w:line="360" w:lineRule="auto"/>
        <w:rPr>
          <w:rFonts w:ascii="Times New Roman" w:hAnsi="Times New Roman" w:cs="Times New Roman"/>
          <w:color w:val="000000" w:themeColor="text1"/>
          <w:sz w:val="21"/>
          <w:szCs w:val="21"/>
        </w:rPr>
      </w:pPr>
    </w:p>
    <w:p w14:paraId="293B70F5">
      <w:pPr>
        <w:pStyle w:val="21"/>
        <w:widowControl/>
        <w:spacing w:before="50" w:beforeAutospacing="0" w:after="50" w:afterAutospacing="0" w:line="36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2.采购代理机构信息</w:t>
      </w:r>
    </w:p>
    <w:p w14:paraId="1DAC2C4B">
      <w:pPr>
        <w:pStyle w:val="21"/>
        <w:widowControl/>
        <w:spacing w:before="50" w:beforeAutospacing="0" w:after="50" w:afterAutospacing="0" w:line="36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名称：浙江自贸区中昊工程管理有限公司 </w:t>
      </w:r>
    </w:p>
    <w:p w14:paraId="4EC9DF83">
      <w:pPr>
        <w:pStyle w:val="21"/>
        <w:widowControl/>
        <w:spacing w:before="50" w:beforeAutospacing="0" w:after="50" w:afterAutospacing="0" w:line="36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地址：舟山市定海区临城街道百川道9号海洋科学城A12号楼</w:t>
      </w:r>
      <w:r>
        <w:rPr>
          <w:rFonts w:hint="eastAsia" w:ascii="Times New Roman" w:hAnsi="Times New Roman" w:cs="Times New Roman"/>
          <w:color w:val="000000" w:themeColor="text1"/>
          <w:sz w:val="21"/>
          <w:szCs w:val="21"/>
        </w:rPr>
        <w:t>910室</w:t>
      </w:r>
      <w:r>
        <w:rPr>
          <w:rFonts w:ascii="Times New Roman" w:hAnsi="Times New Roman" w:cs="Times New Roman"/>
          <w:color w:val="000000" w:themeColor="text1"/>
          <w:sz w:val="21"/>
          <w:szCs w:val="21"/>
        </w:rPr>
        <w:t> </w:t>
      </w:r>
    </w:p>
    <w:p w14:paraId="1FB1F800">
      <w:pPr>
        <w:pStyle w:val="21"/>
        <w:widowControl/>
        <w:spacing w:before="50" w:beforeAutospacing="0" w:after="50" w:afterAutospacing="0" w:line="36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传真：0580-2119100  </w:t>
      </w:r>
    </w:p>
    <w:p w14:paraId="2F0AB520">
      <w:pPr>
        <w:pStyle w:val="21"/>
        <w:widowControl/>
        <w:spacing w:before="50" w:beforeAutospacing="0" w:after="50" w:afterAutospacing="0" w:line="360" w:lineRule="auto"/>
        <w:ind w:firstLine="315"/>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项目联系人（询问）：</w:t>
      </w:r>
      <w:r>
        <w:rPr>
          <w:rFonts w:hint="eastAsia" w:ascii="Times New Roman" w:hAnsi="Times New Roman" w:cs="Times New Roman"/>
          <w:color w:val="000000" w:themeColor="text1"/>
          <w:sz w:val="21"/>
          <w:szCs w:val="21"/>
        </w:rPr>
        <w:t>张璐</w:t>
      </w:r>
    </w:p>
    <w:p w14:paraId="6D88831F">
      <w:pPr>
        <w:pStyle w:val="21"/>
        <w:widowControl/>
        <w:spacing w:before="50" w:beforeAutospacing="0" w:after="50" w:afterAutospacing="0" w:line="360" w:lineRule="auto"/>
        <w:ind w:firstLine="315"/>
        <w:rPr>
          <w:rFonts w:ascii="Times New Roman" w:hAnsi="Times New Roman" w:cs="Times New Roman"/>
          <w:b/>
          <w:bCs/>
          <w:color w:val="FF0000"/>
          <w:sz w:val="21"/>
          <w:szCs w:val="21"/>
        </w:rPr>
      </w:pPr>
      <w:r>
        <w:rPr>
          <w:rFonts w:ascii="Times New Roman" w:hAnsi="Times New Roman" w:cs="Times New Roman"/>
          <w:color w:val="000000" w:themeColor="text1"/>
          <w:sz w:val="21"/>
          <w:szCs w:val="21"/>
        </w:rPr>
        <w:t>项目联系方式（询问）：0580-2119100 </w:t>
      </w:r>
    </w:p>
    <w:p w14:paraId="26541AEA">
      <w:pPr>
        <w:pStyle w:val="21"/>
        <w:widowControl/>
        <w:spacing w:before="50" w:beforeAutospacing="0" w:after="50" w:afterAutospacing="0" w:line="36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质疑联系人：</w:t>
      </w:r>
      <w:r>
        <w:rPr>
          <w:rFonts w:hint="eastAsia" w:ascii="Times New Roman" w:hAnsi="Times New Roman" w:cs="Times New Roman"/>
          <w:color w:val="000000" w:themeColor="text1"/>
          <w:sz w:val="21"/>
          <w:szCs w:val="21"/>
        </w:rPr>
        <w:t>刘妮</w:t>
      </w:r>
    </w:p>
    <w:p w14:paraId="53F55986">
      <w:pPr>
        <w:pStyle w:val="21"/>
        <w:widowControl/>
        <w:spacing w:before="50" w:beforeAutospacing="0" w:after="50" w:afterAutospacing="0" w:line="36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质疑联系方式：0580-2119100 </w:t>
      </w:r>
    </w:p>
    <w:p w14:paraId="4E06133A">
      <w:pPr>
        <w:pStyle w:val="21"/>
        <w:widowControl/>
        <w:spacing w:before="50" w:beforeAutospacing="0" w:after="50" w:afterAutospacing="0" w:line="36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w:t>
      </w:r>
      <w:r>
        <w:rPr>
          <w:rFonts w:ascii="Times New Roman" w:hAnsi="Times New Roman" w:cs="Times New Roman"/>
          <w:color w:val="000000" w:themeColor="text1"/>
          <w:sz w:val="21"/>
          <w:szCs w:val="21"/>
        </w:rPr>
        <w:br w:type="textWrapping"/>
      </w:r>
      <w:r>
        <w:rPr>
          <w:rFonts w:ascii="Times New Roman" w:hAnsi="Times New Roman" w:cs="Times New Roman"/>
          <w:color w:val="000000" w:themeColor="text1"/>
          <w:sz w:val="21"/>
          <w:szCs w:val="21"/>
        </w:rPr>
        <w:t> </w:t>
      </w:r>
      <w:r>
        <w:rPr>
          <w:rFonts w:hint="eastAsia" w:ascii="Times New Roman" w:hAnsi="Times New Roman" w:cs="Times New Roman"/>
          <w:color w:val="000000" w:themeColor="text1"/>
          <w:sz w:val="21"/>
          <w:szCs w:val="21"/>
        </w:rPr>
        <w:t> 3.该项目由采购人处理采购争议。质疑环节，采购人委托采购代理机构处理的，可由采购代理机构答复。对质疑答复不满意的，向采购人内部设置的采购监督机构反映。            </w:t>
      </w:r>
    </w:p>
    <w:p w14:paraId="78E75946">
      <w:pPr>
        <w:pStyle w:val="21"/>
        <w:widowControl/>
        <w:spacing w:before="50" w:beforeAutospacing="0" w:after="50" w:afterAutospacing="0" w:line="360" w:lineRule="auto"/>
        <w:rPr>
          <w:rFonts w:ascii="仿宋" w:hAnsi="仿宋" w:eastAsia="仿宋" w:cs="仿宋"/>
          <w:color w:val="000000"/>
        </w:rPr>
      </w:pPr>
      <w:r>
        <w:rPr>
          <w:rFonts w:hint="eastAsia" w:ascii="Times New Roman" w:hAnsi="Times New Roman" w:cs="Times New Roman"/>
          <w:color w:val="000000" w:themeColor="text1"/>
          <w:sz w:val="21"/>
          <w:szCs w:val="21"/>
        </w:rPr>
        <w:t>       预算金额未达100万元的采购项目，由采购人处理采购争议。</w:t>
      </w:r>
    </w:p>
    <w:p w14:paraId="1559F040">
      <w:pPr>
        <w:pStyle w:val="21"/>
        <w:widowControl/>
        <w:spacing w:before="50" w:beforeAutospacing="0" w:after="50" w:afterAutospacing="0" w:line="360" w:lineRule="auto"/>
        <w:rPr>
          <w:rFonts w:ascii="Times New Roman" w:hAnsi="Times New Roman" w:cs="Times New Roman"/>
          <w:color w:val="000000" w:themeColor="text1"/>
          <w:sz w:val="21"/>
          <w:szCs w:val="21"/>
        </w:rPr>
      </w:pPr>
    </w:p>
    <w:p w14:paraId="7F4E132D">
      <w:pPr>
        <w:pStyle w:val="21"/>
        <w:widowControl/>
        <w:spacing w:before="75" w:beforeAutospacing="0" w:after="75" w:afterAutospacing="0" w:line="360" w:lineRule="auto"/>
        <w:rPr>
          <w:rFonts w:ascii="Times New Roman" w:hAnsi="Times New Roman" w:cs="Times New Roman"/>
          <w:color w:val="000000" w:themeColor="text1"/>
          <w:sz w:val="21"/>
          <w:szCs w:val="21"/>
        </w:rPr>
      </w:pPr>
      <w:r>
        <w:rPr>
          <w:rFonts w:ascii="Times New Roman" w:hAnsi="Times New Roman" w:eastAsia="仿宋" w:cs="Times New Roman"/>
          <w:color w:val="000000" w:themeColor="text1"/>
          <w:sz w:val="21"/>
          <w:szCs w:val="21"/>
        </w:rPr>
        <w:t xml:space="preserve">    </w:t>
      </w:r>
    </w:p>
    <w:p w14:paraId="199EAC94">
      <w:pPr>
        <w:pStyle w:val="21"/>
        <w:widowControl/>
        <w:spacing w:before="50" w:beforeAutospacing="0" w:after="50" w:afterAutospacing="0" w:line="360" w:lineRule="auto"/>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若对项目采购电子交易系统操作有疑问，可登录政采云（https://www.zcygov.cn/），点击右侧咨询小采，获取采小蜜智能服务管家帮助，或拨打政采云服务热线95763获取热线服务帮助。       </w:t>
      </w:r>
    </w:p>
    <w:p w14:paraId="05E9EFA1">
      <w:pPr>
        <w:pStyle w:val="21"/>
        <w:widowControl/>
        <w:spacing w:before="50" w:beforeAutospacing="0" w:after="50" w:afterAutospacing="0" w:line="360" w:lineRule="auto"/>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CA问题联系电话（人工）：汇信CA 400-888-4636；天谷CA 400-087-8198。</w:t>
      </w:r>
    </w:p>
    <w:p w14:paraId="7B6A51A1">
      <w:pPr>
        <w:pStyle w:val="21"/>
        <w:widowControl/>
        <w:spacing w:before="75" w:beforeAutospacing="0" w:after="75" w:afterAutospacing="0" w:line="360" w:lineRule="auto"/>
        <w:rPr>
          <w:rFonts w:ascii="Times New Roman" w:hAnsi="Times New Roman" w:cs="Times New Roman"/>
          <w:color w:val="000000" w:themeColor="text1"/>
        </w:rPr>
      </w:pPr>
    </w:p>
    <w:p w14:paraId="39540FD8">
      <w:pPr>
        <w:pStyle w:val="15"/>
        <w:snapToGrid w:val="0"/>
        <w:spacing w:before="120" w:after="120" w:line="360" w:lineRule="auto"/>
        <w:ind w:firstLine="602" w:firstLineChars="200"/>
        <w:jc w:val="center"/>
        <w:outlineLvl w:val="0"/>
        <w:rPr>
          <w:rFonts w:ascii="Times New Roman" w:hAnsi="Times New Roman" w:cs="Times New Roman"/>
          <w:b/>
          <w:bCs/>
          <w:color w:val="000000" w:themeColor="text1"/>
        </w:rPr>
      </w:pPr>
      <w:r>
        <w:rPr>
          <w:rFonts w:ascii="Times New Roman" w:hAnsi="Times New Roman" w:cs="Times New Roman"/>
          <w:b/>
          <w:bCs/>
          <w:color w:val="000000" w:themeColor="text1"/>
          <w:kern w:val="2"/>
          <w:sz w:val="30"/>
          <w:szCs w:val="30"/>
        </w:rPr>
        <w:br w:type="page"/>
      </w:r>
      <w:r>
        <w:rPr>
          <w:rFonts w:ascii="Times New Roman" w:hAnsi="Times New Roman" w:cs="Times New Roman"/>
          <w:b/>
          <w:bCs/>
          <w:color w:val="000000" w:themeColor="text1"/>
          <w:kern w:val="2"/>
          <w:sz w:val="30"/>
          <w:szCs w:val="30"/>
        </w:rPr>
        <w:t>第二章采购需求</w:t>
      </w:r>
    </w:p>
    <w:p w14:paraId="2811C483">
      <w:pPr>
        <w:pStyle w:val="164"/>
        <w:widowControl/>
        <w:numPr>
          <w:ilvl w:val="0"/>
          <w:numId w:val="5"/>
        </w:numPr>
        <w:ind w:firstLine="200" w:firstLineChars="0"/>
        <w:jc w:val="left"/>
        <w:textAlignment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项目背景</w:t>
      </w:r>
    </w:p>
    <w:p w14:paraId="2F836C13">
      <w:pPr>
        <w:pStyle w:val="111"/>
        <w:adjustRightInd w:val="0"/>
        <w:snapToGrid w:val="0"/>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为加强海洋生物生态监测技术创新，基于传统的生物多样性监测方法具有破坏性、对形态学鉴定人员专业知识要求高及采样受限等不确定因素，因此，将环境DNA技术纳入生物多样性监测。为系统调查杭州湾和乐清湾鱼类生物多样性现状，开展2025年杭州湾14个站位和乐清湾13个站位的鱼类环境DNA试点监测，针对采集的样品进行数据分析，补充杭州湾、乐清湾典型海洋生态系统鱼类环境DNA条形码数据库。此外，针对常规监测技术难以观测中华鲟等海洋珍稀濒危物种难题，本项目建立海洋珍稀濒危物种环境DNA监测技术方法，开展杭州湾14个站位中华鲟环境DNA监测。</w:t>
      </w:r>
    </w:p>
    <w:p w14:paraId="0DDC9723">
      <w:pPr>
        <w:pStyle w:val="111"/>
        <w:adjustRightInd w:val="0"/>
        <w:snapToGrid w:val="0"/>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投标人应根据项目内容开展2025年杭州湾、乐清湾环境DNA（鱼类、中华鲟）样品采集、前处理、数据分析、报告撰写、补充鱼类eDNA条形码数据库等工作，并同步开展采样点位水环境指标测定。采样站位详见表1。</w:t>
      </w:r>
    </w:p>
    <w:p w14:paraId="0FE6C937">
      <w:pPr>
        <w:pStyle w:val="11"/>
        <w:rPr>
          <w:rFonts w:hint="eastAsia" w:ascii="宋体" w:hAnsi="宋体" w:eastAsia="宋体" w:cs="宋体"/>
          <w:sz w:val="21"/>
          <w:szCs w:val="21"/>
        </w:rPr>
      </w:pPr>
      <w:r>
        <w:rPr>
          <w:rFonts w:hint="eastAsia" w:ascii="宋体" w:hAnsi="宋体" w:eastAsia="宋体" w:cs="宋体"/>
          <w:sz w:val="21"/>
          <w:szCs w:val="21"/>
        </w:rPr>
        <w:t>表</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SEQ 表 \* ARABIC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t>杭州湾、乐清湾环境DNA（鱼类、中华鲟）监测点位信息</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78"/>
        <w:gridCol w:w="1878"/>
        <w:gridCol w:w="1878"/>
        <w:gridCol w:w="4028"/>
      </w:tblGrid>
      <w:tr w14:paraId="593F6C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54FAB91B">
            <w:pPr>
              <w:rPr>
                <w:rFonts w:hint="eastAsia" w:ascii="宋体" w:hAnsi="宋体" w:eastAsia="宋体" w:cs="宋体"/>
                <w:sz w:val="21"/>
                <w:szCs w:val="21"/>
              </w:rPr>
            </w:pPr>
            <w:r>
              <w:rPr>
                <w:rFonts w:hint="eastAsia" w:ascii="宋体" w:hAnsi="宋体" w:eastAsia="宋体" w:cs="宋体"/>
                <w:sz w:val="21"/>
                <w:szCs w:val="21"/>
              </w:rPr>
              <w:t>监测站位</w:t>
            </w:r>
          </w:p>
        </w:tc>
        <w:tc>
          <w:tcPr>
            <w:tcW w:w="0" w:type="auto"/>
            <w:tcBorders>
              <w:tl2br w:val="nil"/>
              <w:tr2bl w:val="nil"/>
            </w:tcBorders>
            <w:shd w:val="clear" w:color="auto" w:fill="auto"/>
            <w:noWrap/>
            <w:vAlign w:val="center"/>
          </w:tcPr>
          <w:p w14:paraId="5B700EAF">
            <w:pPr>
              <w:rPr>
                <w:rFonts w:hint="eastAsia" w:ascii="宋体" w:hAnsi="宋体" w:eastAsia="宋体" w:cs="宋体"/>
                <w:sz w:val="21"/>
                <w:szCs w:val="21"/>
              </w:rPr>
            </w:pPr>
            <w:r>
              <w:rPr>
                <w:rFonts w:hint="eastAsia" w:ascii="宋体" w:hAnsi="宋体" w:eastAsia="宋体" w:cs="宋体"/>
                <w:sz w:val="21"/>
                <w:szCs w:val="21"/>
              </w:rPr>
              <w:t>实测经度</w:t>
            </w:r>
          </w:p>
        </w:tc>
        <w:tc>
          <w:tcPr>
            <w:tcW w:w="0" w:type="auto"/>
            <w:tcBorders>
              <w:tl2br w:val="nil"/>
              <w:tr2bl w:val="nil"/>
            </w:tcBorders>
            <w:shd w:val="clear" w:color="auto" w:fill="auto"/>
            <w:noWrap/>
            <w:vAlign w:val="center"/>
          </w:tcPr>
          <w:p w14:paraId="78EB5BC1">
            <w:pPr>
              <w:rPr>
                <w:rFonts w:hint="eastAsia" w:ascii="宋体" w:hAnsi="宋体" w:eastAsia="宋体" w:cs="宋体"/>
                <w:sz w:val="21"/>
                <w:szCs w:val="21"/>
              </w:rPr>
            </w:pPr>
            <w:r>
              <w:rPr>
                <w:rFonts w:hint="eastAsia" w:ascii="宋体" w:hAnsi="宋体" w:eastAsia="宋体" w:cs="宋体"/>
                <w:sz w:val="21"/>
                <w:szCs w:val="21"/>
              </w:rPr>
              <w:t>实测纬度</w:t>
            </w:r>
          </w:p>
        </w:tc>
        <w:tc>
          <w:tcPr>
            <w:tcW w:w="0" w:type="auto"/>
            <w:tcBorders>
              <w:tl2br w:val="nil"/>
              <w:tr2bl w:val="nil"/>
            </w:tcBorders>
            <w:shd w:val="clear" w:color="auto" w:fill="auto"/>
            <w:noWrap/>
            <w:vAlign w:val="center"/>
          </w:tcPr>
          <w:p w14:paraId="3DF16D76">
            <w:pPr>
              <w:rPr>
                <w:rFonts w:hint="eastAsia" w:ascii="宋体" w:hAnsi="宋体" w:eastAsia="宋体" w:cs="宋体"/>
                <w:sz w:val="21"/>
                <w:szCs w:val="21"/>
              </w:rPr>
            </w:pPr>
            <w:r>
              <w:rPr>
                <w:rFonts w:hint="eastAsia" w:ascii="宋体" w:hAnsi="宋体" w:eastAsia="宋体" w:cs="宋体"/>
                <w:sz w:val="21"/>
                <w:szCs w:val="21"/>
              </w:rPr>
              <w:t>指标</w:t>
            </w:r>
          </w:p>
        </w:tc>
      </w:tr>
      <w:tr w14:paraId="7F7C6E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53A26633">
            <w:pPr>
              <w:rPr>
                <w:rFonts w:hint="eastAsia" w:ascii="宋体" w:hAnsi="宋体" w:eastAsia="宋体" w:cs="宋体"/>
                <w:sz w:val="21"/>
                <w:szCs w:val="21"/>
              </w:rPr>
            </w:pPr>
            <w:r>
              <w:rPr>
                <w:rFonts w:hint="eastAsia" w:ascii="宋体" w:hAnsi="宋体" w:eastAsia="宋体" w:cs="宋体"/>
                <w:sz w:val="21"/>
                <w:szCs w:val="21"/>
              </w:rPr>
              <w:t>HZW01</w:t>
            </w:r>
          </w:p>
        </w:tc>
        <w:tc>
          <w:tcPr>
            <w:tcW w:w="0" w:type="auto"/>
            <w:tcBorders>
              <w:tl2br w:val="nil"/>
              <w:tr2bl w:val="nil"/>
            </w:tcBorders>
            <w:shd w:val="clear" w:color="auto" w:fill="auto"/>
            <w:noWrap/>
            <w:vAlign w:val="center"/>
          </w:tcPr>
          <w:p w14:paraId="0683A207">
            <w:pPr>
              <w:rPr>
                <w:rFonts w:hint="eastAsia" w:ascii="宋体" w:hAnsi="宋体" w:eastAsia="宋体" w:cs="宋体"/>
                <w:sz w:val="21"/>
                <w:szCs w:val="21"/>
              </w:rPr>
            </w:pPr>
            <w:r>
              <w:rPr>
                <w:rFonts w:hint="eastAsia" w:ascii="宋体" w:hAnsi="宋体" w:eastAsia="宋体" w:cs="宋体"/>
                <w:sz w:val="21"/>
                <w:szCs w:val="21"/>
              </w:rPr>
              <w:t>121.3550</w:t>
            </w:r>
          </w:p>
        </w:tc>
        <w:tc>
          <w:tcPr>
            <w:tcW w:w="0" w:type="auto"/>
            <w:tcBorders>
              <w:tl2br w:val="nil"/>
              <w:tr2bl w:val="nil"/>
            </w:tcBorders>
            <w:shd w:val="clear" w:color="auto" w:fill="auto"/>
            <w:noWrap/>
            <w:vAlign w:val="center"/>
          </w:tcPr>
          <w:p w14:paraId="723DC4DE">
            <w:pPr>
              <w:rPr>
                <w:rFonts w:hint="eastAsia" w:ascii="宋体" w:hAnsi="宋体" w:eastAsia="宋体" w:cs="宋体"/>
                <w:sz w:val="21"/>
                <w:szCs w:val="21"/>
              </w:rPr>
            </w:pPr>
            <w:r>
              <w:rPr>
                <w:rFonts w:hint="eastAsia" w:ascii="宋体" w:hAnsi="宋体" w:eastAsia="宋体" w:cs="宋体"/>
                <w:sz w:val="21"/>
                <w:szCs w:val="21"/>
              </w:rPr>
              <w:t>30.4047</w:t>
            </w:r>
          </w:p>
        </w:tc>
        <w:tc>
          <w:tcPr>
            <w:tcW w:w="0" w:type="auto"/>
            <w:tcBorders>
              <w:tl2br w:val="nil"/>
              <w:tr2bl w:val="nil"/>
            </w:tcBorders>
            <w:shd w:val="clear" w:color="auto" w:fill="auto"/>
            <w:noWrap/>
            <w:vAlign w:val="center"/>
          </w:tcPr>
          <w:p w14:paraId="71601645">
            <w:pPr>
              <w:rPr>
                <w:rFonts w:hint="eastAsia" w:ascii="宋体" w:hAnsi="宋体" w:eastAsia="宋体" w:cs="宋体"/>
                <w:sz w:val="21"/>
                <w:szCs w:val="21"/>
              </w:rPr>
            </w:pPr>
            <w:r>
              <w:rPr>
                <w:rFonts w:hint="eastAsia" w:ascii="宋体" w:hAnsi="宋体" w:eastAsia="宋体" w:cs="宋体"/>
                <w:sz w:val="21"/>
                <w:szCs w:val="21"/>
              </w:rPr>
              <w:t>鱼类、中华鲟环境DNA</w:t>
            </w:r>
          </w:p>
        </w:tc>
      </w:tr>
      <w:tr w14:paraId="1FE838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tcBorders>
              <w:tl2br w:val="nil"/>
              <w:tr2bl w:val="nil"/>
            </w:tcBorders>
            <w:shd w:val="clear" w:color="auto" w:fill="auto"/>
            <w:noWrap/>
            <w:vAlign w:val="center"/>
          </w:tcPr>
          <w:p w14:paraId="0EDE8A24">
            <w:pPr>
              <w:rPr>
                <w:rFonts w:hint="eastAsia" w:ascii="宋体" w:hAnsi="宋体" w:eastAsia="宋体" w:cs="宋体"/>
                <w:sz w:val="21"/>
                <w:szCs w:val="21"/>
              </w:rPr>
            </w:pPr>
            <w:r>
              <w:rPr>
                <w:rFonts w:hint="eastAsia" w:ascii="宋体" w:hAnsi="宋体" w:eastAsia="宋体" w:cs="宋体"/>
                <w:sz w:val="21"/>
                <w:szCs w:val="21"/>
              </w:rPr>
              <w:t>HZW02</w:t>
            </w:r>
          </w:p>
        </w:tc>
        <w:tc>
          <w:tcPr>
            <w:tcW w:w="0" w:type="auto"/>
            <w:tcBorders>
              <w:tl2br w:val="nil"/>
              <w:tr2bl w:val="nil"/>
            </w:tcBorders>
            <w:shd w:val="clear" w:color="auto" w:fill="auto"/>
            <w:noWrap/>
            <w:vAlign w:val="center"/>
          </w:tcPr>
          <w:p w14:paraId="460582C0">
            <w:pPr>
              <w:rPr>
                <w:rFonts w:hint="eastAsia" w:ascii="宋体" w:hAnsi="宋体" w:eastAsia="宋体" w:cs="宋体"/>
                <w:sz w:val="21"/>
                <w:szCs w:val="21"/>
              </w:rPr>
            </w:pPr>
            <w:r>
              <w:rPr>
                <w:rFonts w:hint="eastAsia" w:ascii="宋体" w:hAnsi="宋体" w:eastAsia="宋体" w:cs="宋体"/>
                <w:sz w:val="21"/>
                <w:szCs w:val="21"/>
              </w:rPr>
              <w:t>121.5000</w:t>
            </w:r>
          </w:p>
        </w:tc>
        <w:tc>
          <w:tcPr>
            <w:tcW w:w="0" w:type="auto"/>
            <w:tcBorders>
              <w:tl2br w:val="nil"/>
              <w:tr2bl w:val="nil"/>
            </w:tcBorders>
            <w:shd w:val="clear" w:color="auto" w:fill="auto"/>
            <w:noWrap/>
            <w:vAlign w:val="center"/>
          </w:tcPr>
          <w:p w14:paraId="267047C6">
            <w:pPr>
              <w:rPr>
                <w:rFonts w:hint="eastAsia" w:ascii="宋体" w:hAnsi="宋体" w:eastAsia="宋体" w:cs="宋体"/>
                <w:sz w:val="21"/>
                <w:szCs w:val="21"/>
              </w:rPr>
            </w:pPr>
            <w:r>
              <w:rPr>
                <w:rFonts w:hint="eastAsia" w:ascii="宋体" w:hAnsi="宋体" w:eastAsia="宋体" w:cs="宋体"/>
                <w:sz w:val="21"/>
                <w:szCs w:val="21"/>
              </w:rPr>
              <w:t>30.2833</w:t>
            </w:r>
          </w:p>
        </w:tc>
        <w:tc>
          <w:tcPr>
            <w:tcW w:w="0" w:type="auto"/>
            <w:tcBorders>
              <w:tl2br w:val="nil"/>
              <w:tr2bl w:val="nil"/>
            </w:tcBorders>
            <w:shd w:val="clear" w:color="auto" w:fill="auto"/>
            <w:noWrap/>
            <w:vAlign w:val="center"/>
          </w:tcPr>
          <w:p w14:paraId="416A4513">
            <w:pPr>
              <w:rPr>
                <w:rFonts w:hint="eastAsia" w:ascii="宋体" w:hAnsi="宋体" w:eastAsia="宋体" w:cs="宋体"/>
                <w:sz w:val="21"/>
                <w:szCs w:val="21"/>
              </w:rPr>
            </w:pPr>
            <w:r>
              <w:rPr>
                <w:rFonts w:hint="eastAsia" w:ascii="宋体" w:hAnsi="宋体" w:eastAsia="宋体" w:cs="宋体"/>
                <w:sz w:val="21"/>
                <w:szCs w:val="21"/>
              </w:rPr>
              <w:t>鱼类、中华鲟环境DNA</w:t>
            </w:r>
          </w:p>
        </w:tc>
      </w:tr>
      <w:tr w14:paraId="75D47A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616DE203">
            <w:pPr>
              <w:rPr>
                <w:rFonts w:hint="eastAsia" w:ascii="宋体" w:hAnsi="宋体" w:eastAsia="宋体" w:cs="宋体"/>
                <w:sz w:val="21"/>
                <w:szCs w:val="21"/>
              </w:rPr>
            </w:pPr>
            <w:r>
              <w:rPr>
                <w:rFonts w:hint="eastAsia" w:ascii="宋体" w:hAnsi="宋体" w:eastAsia="宋体" w:cs="宋体"/>
                <w:sz w:val="21"/>
                <w:szCs w:val="21"/>
              </w:rPr>
              <w:t>HZW03</w:t>
            </w:r>
          </w:p>
        </w:tc>
        <w:tc>
          <w:tcPr>
            <w:tcW w:w="0" w:type="auto"/>
            <w:tcBorders>
              <w:tl2br w:val="nil"/>
              <w:tr2bl w:val="nil"/>
            </w:tcBorders>
            <w:shd w:val="clear" w:color="auto" w:fill="auto"/>
            <w:noWrap/>
            <w:vAlign w:val="center"/>
          </w:tcPr>
          <w:p w14:paraId="4B377EFE">
            <w:pPr>
              <w:rPr>
                <w:rFonts w:hint="eastAsia" w:ascii="宋体" w:hAnsi="宋体" w:eastAsia="宋体" w:cs="宋体"/>
                <w:sz w:val="21"/>
                <w:szCs w:val="21"/>
              </w:rPr>
            </w:pPr>
            <w:r>
              <w:rPr>
                <w:rFonts w:hint="eastAsia" w:ascii="宋体" w:hAnsi="宋体" w:eastAsia="宋体" w:cs="宋体"/>
                <w:sz w:val="21"/>
                <w:szCs w:val="21"/>
              </w:rPr>
              <w:t>121.6688</w:t>
            </w:r>
          </w:p>
        </w:tc>
        <w:tc>
          <w:tcPr>
            <w:tcW w:w="0" w:type="auto"/>
            <w:tcBorders>
              <w:tl2br w:val="nil"/>
              <w:tr2bl w:val="nil"/>
            </w:tcBorders>
            <w:shd w:val="clear" w:color="auto" w:fill="auto"/>
            <w:noWrap/>
            <w:vAlign w:val="center"/>
          </w:tcPr>
          <w:p w14:paraId="74DBC051">
            <w:pPr>
              <w:rPr>
                <w:rFonts w:hint="eastAsia" w:ascii="宋体" w:hAnsi="宋体" w:eastAsia="宋体" w:cs="宋体"/>
                <w:sz w:val="21"/>
                <w:szCs w:val="21"/>
              </w:rPr>
            </w:pPr>
            <w:r>
              <w:rPr>
                <w:rFonts w:hint="eastAsia" w:ascii="宋体" w:hAnsi="宋体" w:eastAsia="宋体" w:cs="宋体"/>
                <w:sz w:val="21"/>
                <w:szCs w:val="21"/>
              </w:rPr>
              <w:t>30.1078</w:t>
            </w:r>
          </w:p>
        </w:tc>
        <w:tc>
          <w:tcPr>
            <w:tcW w:w="0" w:type="auto"/>
            <w:tcBorders>
              <w:tl2br w:val="nil"/>
              <w:tr2bl w:val="nil"/>
            </w:tcBorders>
            <w:shd w:val="clear" w:color="auto" w:fill="auto"/>
            <w:noWrap/>
            <w:vAlign w:val="center"/>
          </w:tcPr>
          <w:p w14:paraId="7846BCBE">
            <w:pPr>
              <w:rPr>
                <w:rFonts w:hint="eastAsia" w:ascii="宋体" w:hAnsi="宋体" w:eastAsia="宋体" w:cs="宋体"/>
                <w:sz w:val="21"/>
                <w:szCs w:val="21"/>
              </w:rPr>
            </w:pPr>
            <w:r>
              <w:rPr>
                <w:rFonts w:hint="eastAsia" w:ascii="宋体" w:hAnsi="宋体" w:eastAsia="宋体" w:cs="宋体"/>
                <w:sz w:val="21"/>
                <w:szCs w:val="21"/>
              </w:rPr>
              <w:t>鱼类、中华鲟环境DNA</w:t>
            </w:r>
          </w:p>
        </w:tc>
      </w:tr>
      <w:tr w14:paraId="611B31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4B1B18A7">
            <w:pPr>
              <w:rPr>
                <w:rFonts w:hint="eastAsia" w:ascii="宋体" w:hAnsi="宋体" w:eastAsia="宋体" w:cs="宋体"/>
                <w:sz w:val="21"/>
                <w:szCs w:val="21"/>
              </w:rPr>
            </w:pPr>
            <w:r>
              <w:rPr>
                <w:rFonts w:hint="eastAsia" w:ascii="宋体" w:hAnsi="宋体" w:eastAsia="宋体" w:cs="宋体"/>
                <w:sz w:val="21"/>
                <w:szCs w:val="21"/>
              </w:rPr>
              <w:t>HZW04</w:t>
            </w:r>
          </w:p>
        </w:tc>
        <w:tc>
          <w:tcPr>
            <w:tcW w:w="0" w:type="auto"/>
            <w:tcBorders>
              <w:tl2br w:val="nil"/>
              <w:tr2bl w:val="nil"/>
            </w:tcBorders>
            <w:shd w:val="clear" w:color="auto" w:fill="auto"/>
            <w:noWrap/>
            <w:vAlign w:val="center"/>
          </w:tcPr>
          <w:p w14:paraId="4DA10209">
            <w:pPr>
              <w:rPr>
                <w:rFonts w:hint="eastAsia" w:ascii="宋体" w:hAnsi="宋体" w:eastAsia="宋体" w:cs="宋体"/>
                <w:sz w:val="21"/>
                <w:szCs w:val="21"/>
              </w:rPr>
            </w:pPr>
            <w:r>
              <w:rPr>
                <w:rFonts w:hint="eastAsia" w:ascii="宋体" w:hAnsi="宋体" w:eastAsia="宋体" w:cs="宋体"/>
                <w:sz w:val="21"/>
                <w:szCs w:val="21"/>
              </w:rPr>
              <w:t>121.2083</w:t>
            </w:r>
          </w:p>
        </w:tc>
        <w:tc>
          <w:tcPr>
            <w:tcW w:w="0" w:type="auto"/>
            <w:tcBorders>
              <w:tl2br w:val="nil"/>
              <w:tr2bl w:val="nil"/>
            </w:tcBorders>
            <w:shd w:val="clear" w:color="auto" w:fill="auto"/>
            <w:noWrap/>
            <w:vAlign w:val="center"/>
          </w:tcPr>
          <w:p w14:paraId="1EFE6B0D">
            <w:pPr>
              <w:rPr>
                <w:rFonts w:hint="eastAsia" w:ascii="宋体" w:hAnsi="宋体" w:eastAsia="宋体" w:cs="宋体"/>
                <w:sz w:val="21"/>
                <w:szCs w:val="21"/>
              </w:rPr>
            </w:pPr>
            <w:r>
              <w:rPr>
                <w:rFonts w:hint="eastAsia" w:ascii="宋体" w:hAnsi="宋体" w:eastAsia="宋体" w:cs="宋体"/>
                <w:sz w:val="21"/>
                <w:szCs w:val="21"/>
              </w:rPr>
              <w:t>30.4583</w:t>
            </w:r>
          </w:p>
        </w:tc>
        <w:tc>
          <w:tcPr>
            <w:tcW w:w="0" w:type="auto"/>
            <w:tcBorders>
              <w:tl2br w:val="nil"/>
              <w:tr2bl w:val="nil"/>
            </w:tcBorders>
            <w:shd w:val="clear" w:color="auto" w:fill="auto"/>
            <w:noWrap/>
            <w:vAlign w:val="center"/>
          </w:tcPr>
          <w:p w14:paraId="2ABC6C0C">
            <w:pPr>
              <w:rPr>
                <w:rFonts w:hint="eastAsia" w:ascii="宋体" w:hAnsi="宋体" w:eastAsia="宋体" w:cs="宋体"/>
                <w:sz w:val="21"/>
                <w:szCs w:val="21"/>
              </w:rPr>
            </w:pPr>
            <w:r>
              <w:rPr>
                <w:rFonts w:hint="eastAsia" w:ascii="宋体" w:hAnsi="宋体" w:eastAsia="宋体" w:cs="宋体"/>
                <w:sz w:val="21"/>
                <w:szCs w:val="21"/>
              </w:rPr>
              <w:t>鱼类、中华鲟环境DNA</w:t>
            </w:r>
          </w:p>
        </w:tc>
      </w:tr>
      <w:tr w14:paraId="345267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6E5E849C">
            <w:pPr>
              <w:rPr>
                <w:rFonts w:hint="eastAsia" w:ascii="宋体" w:hAnsi="宋体" w:eastAsia="宋体" w:cs="宋体"/>
                <w:sz w:val="21"/>
                <w:szCs w:val="21"/>
              </w:rPr>
            </w:pPr>
            <w:r>
              <w:rPr>
                <w:rFonts w:hint="eastAsia" w:ascii="宋体" w:hAnsi="宋体" w:eastAsia="宋体" w:cs="宋体"/>
                <w:sz w:val="21"/>
                <w:szCs w:val="21"/>
              </w:rPr>
              <w:t>HZW05</w:t>
            </w:r>
          </w:p>
        </w:tc>
        <w:tc>
          <w:tcPr>
            <w:tcW w:w="0" w:type="auto"/>
            <w:tcBorders>
              <w:tl2br w:val="nil"/>
              <w:tr2bl w:val="nil"/>
            </w:tcBorders>
            <w:shd w:val="clear" w:color="auto" w:fill="auto"/>
            <w:noWrap/>
            <w:vAlign w:val="center"/>
          </w:tcPr>
          <w:p w14:paraId="5C7EEB10">
            <w:pPr>
              <w:rPr>
                <w:rFonts w:hint="eastAsia" w:ascii="宋体" w:hAnsi="宋体" w:eastAsia="宋体" w:cs="宋体"/>
                <w:sz w:val="21"/>
                <w:szCs w:val="21"/>
              </w:rPr>
            </w:pPr>
            <w:r>
              <w:rPr>
                <w:rFonts w:hint="eastAsia" w:ascii="宋体" w:hAnsi="宋体" w:eastAsia="宋体" w:cs="宋体"/>
                <w:sz w:val="21"/>
                <w:szCs w:val="21"/>
              </w:rPr>
              <w:t>121.6333</w:t>
            </w:r>
          </w:p>
        </w:tc>
        <w:tc>
          <w:tcPr>
            <w:tcW w:w="0" w:type="auto"/>
            <w:tcBorders>
              <w:tl2br w:val="nil"/>
              <w:tr2bl w:val="nil"/>
            </w:tcBorders>
            <w:shd w:val="clear" w:color="auto" w:fill="auto"/>
            <w:noWrap/>
            <w:vAlign w:val="center"/>
          </w:tcPr>
          <w:p w14:paraId="363EB4EE">
            <w:pPr>
              <w:rPr>
                <w:rFonts w:hint="eastAsia" w:ascii="宋体" w:hAnsi="宋体" w:eastAsia="宋体" w:cs="宋体"/>
                <w:sz w:val="21"/>
                <w:szCs w:val="21"/>
              </w:rPr>
            </w:pPr>
            <w:r>
              <w:rPr>
                <w:rFonts w:hint="eastAsia" w:ascii="宋体" w:hAnsi="宋体" w:eastAsia="宋体" w:cs="宋体"/>
                <w:sz w:val="21"/>
                <w:szCs w:val="21"/>
              </w:rPr>
              <w:t>30.3667</w:t>
            </w:r>
          </w:p>
        </w:tc>
        <w:tc>
          <w:tcPr>
            <w:tcW w:w="0" w:type="auto"/>
            <w:tcBorders>
              <w:tl2br w:val="nil"/>
              <w:tr2bl w:val="nil"/>
            </w:tcBorders>
            <w:shd w:val="clear" w:color="auto" w:fill="auto"/>
            <w:noWrap/>
            <w:vAlign w:val="center"/>
          </w:tcPr>
          <w:p w14:paraId="77B69B9B">
            <w:pPr>
              <w:rPr>
                <w:rFonts w:hint="eastAsia" w:ascii="宋体" w:hAnsi="宋体" w:eastAsia="宋体" w:cs="宋体"/>
                <w:sz w:val="21"/>
                <w:szCs w:val="21"/>
              </w:rPr>
            </w:pPr>
            <w:r>
              <w:rPr>
                <w:rFonts w:hint="eastAsia" w:ascii="宋体" w:hAnsi="宋体" w:eastAsia="宋体" w:cs="宋体"/>
                <w:sz w:val="21"/>
                <w:szCs w:val="21"/>
              </w:rPr>
              <w:t>鱼类、中华鲟环境DNA</w:t>
            </w:r>
          </w:p>
        </w:tc>
      </w:tr>
      <w:tr w14:paraId="0C4D4C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7B9DD08E">
            <w:pPr>
              <w:rPr>
                <w:rFonts w:hint="eastAsia" w:ascii="宋体" w:hAnsi="宋体" w:eastAsia="宋体" w:cs="宋体"/>
                <w:sz w:val="21"/>
                <w:szCs w:val="21"/>
              </w:rPr>
            </w:pPr>
            <w:r>
              <w:rPr>
                <w:rFonts w:hint="eastAsia" w:ascii="宋体" w:hAnsi="宋体" w:eastAsia="宋体" w:cs="宋体"/>
                <w:sz w:val="21"/>
                <w:szCs w:val="21"/>
              </w:rPr>
              <w:t>HZW06</w:t>
            </w:r>
          </w:p>
        </w:tc>
        <w:tc>
          <w:tcPr>
            <w:tcW w:w="0" w:type="auto"/>
            <w:tcBorders>
              <w:tl2br w:val="nil"/>
              <w:tr2bl w:val="nil"/>
            </w:tcBorders>
            <w:shd w:val="clear" w:color="auto" w:fill="auto"/>
            <w:noWrap/>
            <w:vAlign w:val="center"/>
          </w:tcPr>
          <w:p w14:paraId="7B37D2DF">
            <w:pPr>
              <w:rPr>
                <w:rFonts w:hint="eastAsia" w:ascii="宋体" w:hAnsi="宋体" w:eastAsia="宋体" w:cs="宋体"/>
                <w:sz w:val="21"/>
                <w:szCs w:val="21"/>
              </w:rPr>
            </w:pPr>
            <w:r>
              <w:rPr>
                <w:rFonts w:hint="eastAsia" w:ascii="宋体" w:hAnsi="宋体" w:eastAsia="宋体" w:cs="宋体"/>
                <w:sz w:val="21"/>
                <w:szCs w:val="21"/>
              </w:rPr>
              <w:t>121.3640</w:t>
            </w:r>
          </w:p>
        </w:tc>
        <w:tc>
          <w:tcPr>
            <w:tcW w:w="0" w:type="auto"/>
            <w:tcBorders>
              <w:tl2br w:val="nil"/>
              <w:tr2bl w:val="nil"/>
            </w:tcBorders>
            <w:shd w:val="clear" w:color="auto" w:fill="auto"/>
            <w:noWrap/>
            <w:vAlign w:val="center"/>
          </w:tcPr>
          <w:p w14:paraId="559A1C34">
            <w:pPr>
              <w:rPr>
                <w:rFonts w:hint="eastAsia" w:ascii="宋体" w:hAnsi="宋体" w:eastAsia="宋体" w:cs="宋体"/>
                <w:sz w:val="21"/>
                <w:szCs w:val="21"/>
              </w:rPr>
            </w:pPr>
            <w:r>
              <w:rPr>
                <w:rFonts w:hint="eastAsia" w:ascii="宋体" w:hAnsi="宋体" w:eastAsia="宋体" w:cs="宋体"/>
                <w:sz w:val="21"/>
                <w:szCs w:val="21"/>
              </w:rPr>
              <w:t>30.6240</w:t>
            </w:r>
          </w:p>
        </w:tc>
        <w:tc>
          <w:tcPr>
            <w:tcW w:w="0" w:type="auto"/>
            <w:tcBorders>
              <w:tl2br w:val="nil"/>
              <w:tr2bl w:val="nil"/>
            </w:tcBorders>
            <w:shd w:val="clear" w:color="auto" w:fill="auto"/>
            <w:noWrap/>
            <w:vAlign w:val="center"/>
          </w:tcPr>
          <w:p w14:paraId="52FDD9A3">
            <w:pPr>
              <w:rPr>
                <w:rFonts w:hint="eastAsia" w:ascii="宋体" w:hAnsi="宋体" w:eastAsia="宋体" w:cs="宋体"/>
                <w:sz w:val="21"/>
                <w:szCs w:val="21"/>
              </w:rPr>
            </w:pPr>
            <w:r>
              <w:rPr>
                <w:rFonts w:hint="eastAsia" w:ascii="宋体" w:hAnsi="宋体" w:eastAsia="宋体" w:cs="宋体"/>
                <w:sz w:val="21"/>
                <w:szCs w:val="21"/>
              </w:rPr>
              <w:t>鱼类、中华鲟环境DNA</w:t>
            </w:r>
          </w:p>
        </w:tc>
      </w:tr>
      <w:tr w14:paraId="2329D4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tcBorders>
              <w:tl2br w:val="nil"/>
              <w:tr2bl w:val="nil"/>
            </w:tcBorders>
            <w:shd w:val="clear" w:color="auto" w:fill="auto"/>
            <w:noWrap/>
            <w:vAlign w:val="center"/>
          </w:tcPr>
          <w:p w14:paraId="7B9FD59D">
            <w:pPr>
              <w:rPr>
                <w:rFonts w:hint="eastAsia" w:ascii="宋体" w:hAnsi="宋体" w:eastAsia="宋体" w:cs="宋体"/>
                <w:sz w:val="21"/>
                <w:szCs w:val="21"/>
              </w:rPr>
            </w:pPr>
            <w:r>
              <w:rPr>
                <w:rFonts w:hint="eastAsia" w:ascii="宋体" w:hAnsi="宋体" w:eastAsia="宋体" w:cs="宋体"/>
                <w:sz w:val="21"/>
                <w:szCs w:val="21"/>
              </w:rPr>
              <w:t>HZW07</w:t>
            </w:r>
          </w:p>
        </w:tc>
        <w:tc>
          <w:tcPr>
            <w:tcW w:w="0" w:type="auto"/>
            <w:tcBorders>
              <w:tl2br w:val="nil"/>
              <w:tr2bl w:val="nil"/>
            </w:tcBorders>
            <w:shd w:val="clear" w:color="auto" w:fill="auto"/>
            <w:noWrap/>
            <w:vAlign w:val="center"/>
          </w:tcPr>
          <w:p w14:paraId="7AA9EF0A">
            <w:pPr>
              <w:rPr>
                <w:rFonts w:hint="eastAsia" w:ascii="宋体" w:hAnsi="宋体" w:eastAsia="宋体" w:cs="宋体"/>
                <w:sz w:val="21"/>
                <w:szCs w:val="21"/>
              </w:rPr>
            </w:pPr>
            <w:r>
              <w:rPr>
                <w:rFonts w:hint="eastAsia" w:ascii="宋体" w:hAnsi="宋体" w:eastAsia="宋体" w:cs="宋体"/>
                <w:sz w:val="21"/>
                <w:szCs w:val="21"/>
              </w:rPr>
              <w:t>121.0420</w:t>
            </w:r>
          </w:p>
        </w:tc>
        <w:tc>
          <w:tcPr>
            <w:tcW w:w="0" w:type="auto"/>
            <w:tcBorders>
              <w:tl2br w:val="nil"/>
              <w:tr2bl w:val="nil"/>
            </w:tcBorders>
            <w:shd w:val="clear" w:color="auto" w:fill="auto"/>
            <w:noWrap/>
            <w:vAlign w:val="center"/>
          </w:tcPr>
          <w:p w14:paraId="2ECBC59B">
            <w:pPr>
              <w:rPr>
                <w:rFonts w:hint="eastAsia" w:ascii="宋体" w:hAnsi="宋体" w:eastAsia="宋体" w:cs="宋体"/>
                <w:sz w:val="21"/>
                <w:szCs w:val="21"/>
              </w:rPr>
            </w:pPr>
            <w:r>
              <w:rPr>
                <w:rFonts w:hint="eastAsia" w:ascii="宋体" w:hAnsi="宋体" w:eastAsia="宋体" w:cs="宋体"/>
                <w:sz w:val="21"/>
                <w:szCs w:val="21"/>
              </w:rPr>
              <w:t>30.4250</w:t>
            </w:r>
          </w:p>
        </w:tc>
        <w:tc>
          <w:tcPr>
            <w:tcW w:w="0" w:type="auto"/>
            <w:tcBorders>
              <w:tl2br w:val="nil"/>
              <w:tr2bl w:val="nil"/>
            </w:tcBorders>
            <w:shd w:val="clear" w:color="auto" w:fill="auto"/>
            <w:noWrap/>
            <w:vAlign w:val="center"/>
          </w:tcPr>
          <w:p w14:paraId="72C4F878">
            <w:pPr>
              <w:rPr>
                <w:rFonts w:hint="eastAsia" w:ascii="宋体" w:hAnsi="宋体" w:eastAsia="宋体" w:cs="宋体"/>
                <w:sz w:val="21"/>
                <w:szCs w:val="21"/>
              </w:rPr>
            </w:pPr>
            <w:r>
              <w:rPr>
                <w:rFonts w:hint="eastAsia" w:ascii="宋体" w:hAnsi="宋体" w:eastAsia="宋体" w:cs="宋体"/>
                <w:sz w:val="21"/>
                <w:szCs w:val="21"/>
              </w:rPr>
              <w:t>鱼类、中华鲟环境DNA</w:t>
            </w:r>
          </w:p>
        </w:tc>
      </w:tr>
      <w:tr w14:paraId="550F5F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400D2D18">
            <w:pPr>
              <w:rPr>
                <w:rFonts w:hint="eastAsia" w:ascii="宋体" w:hAnsi="宋体" w:eastAsia="宋体" w:cs="宋体"/>
                <w:sz w:val="21"/>
                <w:szCs w:val="21"/>
              </w:rPr>
            </w:pPr>
            <w:r>
              <w:rPr>
                <w:rFonts w:hint="eastAsia" w:ascii="宋体" w:hAnsi="宋体" w:eastAsia="宋体" w:cs="宋体"/>
                <w:sz w:val="21"/>
                <w:szCs w:val="21"/>
              </w:rPr>
              <w:t>HZW08</w:t>
            </w:r>
          </w:p>
        </w:tc>
        <w:tc>
          <w:tcPr>
            <w:tcW w:w="0" w:type="auto"/>
            <w:tcBorders>
              <w:tl2br w:val="nil"/>
              <w:tr2bl w:val="nil"/>
            </w:tcBorders>
            <w:shd w:val="clear" w:color="auto" w:fill="auto"/>
            <w:noWrap/>
            <w:vAlign w:val="center"/>
          </w:tcPr>
          <w:p w14:paraId="2E9B7499">
            <w:pPr>
              <w:rPr>
                <w:rFonts w:hint="eastAsia" w:ascii="宋体" w:hAnsi="宋体" w:eastAsia="宋体" w:cs="宋体"/>
                <w:sz w:val="21"/>
                <w:szCs w:val="21"/>
              </w:rPr>
            </w:pPr>
            <w:r>
              <w:rPr>
                <w:rFonts w:hint="eastAsia" w:ascii="宋体" w:hAnsi="宋体" w:eastAsia="宋体" w:cs="宋体"/>
                <w:sz w:val="21"/>
                <w:szCs w:val="21"/>
              </w:rPr>
              <w:t>121.4830</w:t>
            </w:r>
          </w:p>
        </w:tc>
        <w:tc>
          <w:tcPr>
            <w:tcW w:w="0" w:type="auto"/>
            <w:tcBorders>
              <w:tl2br w:val="nil"/>
              <w:tr2bl w:val="nil"/>
            </w:tcBorders>
            <w:shd w:val="clear" w:color="auto" w:fill="auto"/>
            <w:noWrap/>
            <w:vAlign w:val="center"/>
          </w:tcPr>
          <w:p w14:paraId="29F0CAF3">
            <w:pPr>
              <w:rPr>
                <w:rFonts w:hint="eastAsia" w:ascii="宋体" w:hAnsi="宋体" w:eastAsia="宋体" w:cs="宋体"/>
                <w:sz w:val="21"/>
                <w:szCs w:val="21"/>
              </w:rPr>
            </w:pPr>
            <w:r>
              <w:rPr>
                <w:rFonts w:hint="eastAsia" w:ascii="宋体" w:hAnsi="宋体" w:eastAsia="宋体" w:cs="宋体"/>
                <w:sz w:val="21"/>
                <w:szCs w:val="21"/>
              </w:rPr>
              <w:t>30.4000</w:t>
            </w:r>
          </w:p>
        </w:tc>
        <w:tc>
          <w:tcPr>
            <w:tcW w:w="0" w:type="auto"/>
            <w:tcBorders>
              <w:tl2br w:val="nil"/>
              <w:tr2bl w:val="nil"/>
            </w:tcBorders>
            <w:shd w:val="clear" w:color="auto" w:fill="auto"/>
            <w:noWrap/>
            <w:vAlign w:val="center"/>
          </w:tcPr>
          <w:p w14:paraId="4651D278">
            <w:pPr>
              <w:rPr>
                <w:rFonts w:hint="eastAsia" w:ascii="宋体" w:hAnsi="宋体" w:eastAsia="宋体" w:cs="宋体"/>
                <w:sz w:val="21"/>
                <w:szCs w:val="21"/>
              </w:rPr>
            </w:pPr>
            <w:r>
              <w:rPr>
                <w:rFonts w:hint="eastAsia" w:ascii="宋体" w:hAnsi="宋体" w:eastAsia="宋体" w:cs="宋体"/>
                <w:sz w:val="21"/>
                <w:szCs w:val="21"/>
              </w:rPr>
              <w:t>鱼类、中华鲟环境DNA</w:t>
            </w:r>
          </w:p>
        </w:tc>
      </w:tr>
      <w:tr w14:paraId="7A7BBF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6B86AB13">
            <w:pPr>
              <w:rPr>
                <w:rFonts w:hint="eastAsia" w:ascii="宋体" w:hAnsi="宋体" w:eastAsia="宋体" w:cs="宋体"/>
                <w:sz w:val="21"/>
                <w:szCs w:val="21"/>
              </w:rPr>
            </w:pPr>
            <w:r>
              <w:rPr>
                <w:rFonts w:hint="eastAsia" w:ascii="宋体" w:hAnsi="宋体" w:eastAsia="宋体" w:cs="宋体"/>
                <w:sz w:val="21"/>
                <w:szCs w:val="21"/>
              </w:rPr>
              <w:t>HZW09</w:t>
            </w:r>
          </w:p>
        </w:tc>
        <w:tc>
          <w:tcPr>
            <w:tcW w:w="0" w:type="auto"/>
            <w:tcBorders>
              <w:tl2br w:val="nil"/>
              <w:tr2bl w:val="nil"/>
            </w:tcBorders>
            <w:shd w:val="clear" w:color="auto" w:fill="auto"/>
            <w:noWrap/>
            <w:vAlign w:val="center"/>
          </w:tcPr>
          <w:p w14:paraId="24C5691D">
            <w:pPr>
              <w:rPr>
                <w:rFonts w:hint="eastAsia" w:ascii="宋体" w:hAnsi="宋体" w:eastAsia="宋体" w:cs="宋体"/>
                <w:sz w:val="21"/>
                <w:szCs w:val="21"/>
              </w:rPr>
            </w:pPr>
            <w:r>
              <w:rPr>
                <w:rFonts w:hint="eastAsia" w:ascii="宋体" w:hAnsi="宋体" w:eastAsia="宋体" w:cs="宋体"/>
                <w:sz w:val="21"/>
                <w:szCs w:val="21"/>
              </w:rPr>
              <w:t>121.9200</w:t>
            </w:r>
          </w:p>
        </w:tc>
        <w:tc>
          <w:tcPr>
            <w:tcW w:w="0" w:type="auto"/>
            <w:tcBorders>
              <w:tl2br w:val="nil"/>
              <w:tr2bl w:val="nil"/>
            </w:tcBorders>
            <w:shd w:val="clear" w:color="auto" w:fill="auto"/>
            <w:noWrap/>
            <w:vAlign w:val="center"/>
          </w:tcPr>
          <w:p w14:paraId="481C58E1">
            <w:pPr>
              <w:rPr>
                <w:rFonts w:hint="eastAsia" w:ascii="宋体" w:hAnsi="宋体" w:eastAsia="宋体" w:cs="宋体"/>
                <w:sz w:val="21"/>
                <w:szCs w:val="21"/>
              </w:rPr>
            </w:pPr>
            <w:r>
              <w:rPr>
                <w:rFonts w:hint="eastAsia" w:ascii="宋体" w:hAnsi="宋体" w:eastAsia="宋体" w:cs="宋体"/>
                <w:sz w:val="21"/>
                <w:szCs w:val="21"/>
              </w:rPr>
              <w:t>30.5850</w:t>
            </w:r>
          </w:p>
        </w:tc>
        <w:tc>
          <w:tcPr>
            <w:tcW w:w="0" w:type="auto"/>
            <w:tcBorders>
              <w:tl2br w:val="nil"/>
              <w:tr2bl w:val="nil"/>
            </w:tcBorders>
            <w:shd w:val="clear" w:color="auto" w:fill="auto"/>
            <w:noWrap/>
            <w:vAlign w:val="center"/>
          </w:tcPr>
          <w:p w14:paraId="7A957549">
            <w:pPr>
              <w:rPr>
                <w:rFonts w:hint="eastAsia" w:ascii="宋体" w:hAnsi="宋体" w:eastAsia="宋体" w:cs="宋体"/>
                <w:sz w:val="21"/>
                <w:szCs w:val="21"/>
              </w:rPr>
            </w:pPr>
            <w:r>
              <w:rPr>
                <w:rFonts w:hint="eastAsia" w:ascii="宋体" w:hAnsi="宋体" w:eastAsia="宋体" w:cs="宋体"/>
                <w:sz w:val="21"/>
                <w:szCs w:val="21"/>
              </w:rPr>
              <w:t>鱼类、中华鲟环境DNA</w:t>
            </w:r>
          </w:p>
        </w:tc>
      </w:tr>
      <w:tr w14:paraId="67D446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5146DEE3">
            <w:pPr>
              <w:rPr>
                <w:rFonts w:hint="eastAsia" w:ascii="宋体" w:hAnsi="宋体" w:eastAsia="宋体" w:cs="宋体"/>
                <w:sz w:val="21"/>
                <w:szCs w:val="21"/>
              </w:rPr>
            </w:pPr>
            <w:r>
              <w:rPr>
                <w:rFonts w:hint="eastAsia" w:ascii="宋体" w:hAnsi="宋体" w:eastAsia="宋体" w:cs="宋体"/>
                <w:sz w:val="21"/>
                <w:szCs w:val="21"/>
              </w:rPr>
              <w:t>HZW10</w:t>
            </w:r>
          </w:p>
        </w:tc>
        <w:tc>
          <w:tcPr>
            <w:tcW w:w="0" w:type="auto"/>
            <w:tcBorders>
              <w:tl2br w:val="nil"/>
              <w:tr2bl w:val="nil"/>
            </w:tcBorders>
            <w:shd w:val="clear" w:color="auto" w:fill="auto"/>
            <w:noWrap/>
            <w:vAlign w:val="center"/>
          </w:tcPr>
          <w:p w14:paraId="71B64BB4">
            <w:pPr>
              <w:rPr>
                <w:rFonts w:hint="eastAsia" w:ascii="宋体" w:hAnsi="宋体" w:eastAsia="宋体" w:cs="宋体"/>
                <w:sz w:val="21"/>
                <w:szCs w:val="21"/>
              </w:rPr>
            </w:pPr>
            <w:r>
              <w:rPr>
                <w:rFonts w:hint="eastAsia" w:ascii="宋体" w:hAnsi="宋体" w:eastAsia="宋体" w:cs="宋体"/>
                <w:sz w:val="21"/>
                <w:szCs w:val="21"/>
              </w:rPr>
              <w:t>121.7447</w:t>
            </w:r>
          </w:p>
        </w:tc>
        <w:tc>
          <w:tcPr>
            <w:tcW w:w="0" w:type="auto"/>
            <w:tcBorders>
              <w:tl2br w:val="nil"/>
              <w:tr2bl w:val="nil"/>
            </w:tcBorders>
            <w:shd w:val="clear" w:color="auto" w:fill="auto"/>
            <w:noWrap/>
            <w:vAlign w:val="center"/>
          </w:tcPr>
          <w:p w14:paraId="0B1158CB">
            <w:pPr>
              <w:rPr>
                <w:rFonts w:hint="eastAsia" w:ascii="宋体" w:hAnsi="宋体" w:eastAsia="宋体" w:cs="宋体"/>
                <w:sz w:val="21"/>
                <w:szCs w:val="21"/>
              </w:rPr>
            </w:pPr>
            <w:r>
              <w:rPr>
                <w:rFonts w:hint="eastAsia" w:ascii="宋体" w:hAnsi="宋体" w:eastAsia="宋体" w:cs="宋体"/>
                <w:sz w:val="21"/>
                <w:szCs w:val="21"/>
              </w:rPr>
              <w:t>30.6316</w:t>
            </w:r>
          </w:p>
        </w:tc>
        <w:tc>
          <w:tcPr>
            <w:tcW w:w="0" w:type="auto"/>
            <w:tcBorders>
              <w:tl2br w:val="nil"/>
              <w:tr2bl w:val="nil"/>
            </w:tcBorders>
            <w:shd w:val="clear" w:color="auto" w:fill="auto"/>
            <w:noWrap/>
            <w:vAlign w:val="center"/>
          </w:tcPr>
          <w:p w14:paraId="5154AA53">
            <w:pPr>
              <w:rPr>
                <w:rFonts w:hint="eastAsia" w:ascii="宋体" w:hAnsi="宋体" w:eastAsia="宋体" w:cs="宋体"/>
                <w:sz w:val="21"/>
                <w:szCs w:val="21"/>
              </w:rPr>
            </w:pPr>
            <w:r>
              <w:rPr>
                <w:rFonts w:hint="eastAsia" w:ascii="宋体" w:hAnsi="宋体" w:eastAsia="宋体" w:cs="宋体"/>
                <w:sz w:val="21"/>
                <w:szCs w:val="21"/>
              </w:rPr>
              <w:t>鱼类、中华鲟环境DNA</w:t>
            </w:r>
          </w:p>
        </w:tc>
      </w:tr>
      <w:tr w14:paraId="0728C1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3E99F165">
            <w:pPr>
              <w:rPr>
                <w:rFonts w:hint="eastAsia" w:ascii="宋体" w:hAnsi="宋体" w:eastAsia="宋体" w:cs="宋体"/>
                <w:sz w:val="21"/>
                <w:szCs w:val="21"/>
              </w:rPr>
            </w:pPr>
            <w:r>
              <w:rPr>
                <w:rFonts w:hint="eastAsia" w:ascii="宋体" w:hAnsi="宋体" w:eastAsia="宋体" w:cs="宋体"/>
                <w:sz w:val="21"/>
                <w:szCs w:val="21"/>
              </w:rPr>
              <w:t>HZW11</w:t>
            </w:r>
          </w:p>
        </w:tc>
        <w:tc>
          <w:tcPr>
            <w:tcW w:w="0" w:type="auto"/>
            <w:tcBorders>
              <w:tl2br w:val="nil"/>
              <w:tr2bl w:val="nil"/>
            </w:tcBorders>
            <w:shd w:val="clear" w:color="auto" w:fill="auto"/>
            <w:noWrap/>
            <w:vAlign w:val="center"/>
          </w:tcPr>
          <w:p w14:paraId="6D52D0E4">
            <w:pPr>
              <w:rPr>
                <w:rFonts w:hint="eastAsia" w:ascii="宋体" w:hAnsi="宋体" w:eastAsia="宋体" w:cs="宋体"/>
                <w:sz w:val="21"/>
                <w:szCs w:val="21"/>
              </w:rPr>
            </w:pPr>
            <w:r>
              <w:rPr>
                <w:rFonts w:hint="eastAsia" w:ascii="宋体" w:hAnsi="宋体" w:eastAsia="宋体" w:cs="宋体"/>
                <w:sz w:val="21"/>
                <w:szCs w:val="21"/>
              </w:rPr>
              <w:t>121.9514</w:t>
            </w:r>
          </w:p>
        </w:tc>
        <w:tc>
          <w:tcPr>
            <w:tcW w:w="0" w:type="auto"/>
            <w:tcBorders>
              <w:tl2br w:val="nil"/>
              <w:tr2bl w:val="nil"/>
            </w:tcBorders>
            <w:shd w:val="clear" w:color="auto" w:fill="auto"/>
            <w:noWrap/>
            <w:vAlign w:val="center"/>
          </w:tcPr>
          <w:p w14:paraId="6CCE3146">
            <w:pPr>
              <w:rPr>
                <w:rFonts w:hint="eastAsia" w:ascii="宋体" w:hAnsi="宋体" w:eastAsia="宋体" w:cs="宋体"/>
                <w:sz w:val="21"/>
                <w:szCs w:val="21"/>
              </w:rPr>
            </w:pPr>
            <w:r>
              <w:rPr>
                <w:rFonts w:hint="eastAsia" w:ascii="宋体" w:hAnsi="宋体" w:eastAsia="宋体" w:cs="宋体"/>
                <w:sz w:val="21"/>
                <w:szCs w:val="21"/>
              </w:rPr>
              <w:t>30.4288</w:t>
            </w:r>
          </w:p>
        </w:tc>
        <w:tc>
          <w:tcPr>
            <w:tcW w:w="0" w:type="auto"/>
            <w:tcBorders>
              <w:tl2br w:val="nil"/>
              <w:tr2bl w:val="nil"/>
            </w:tcBorders>
            <w:shd w:val="clear" w:color="auto" w:fill="auto"/>
            <w:noWrap/>
            <w:vAlign w:val="center"/>
          </w:tcPr>
          <w:p w14:paraId="622E9804">
            <w:pPr>
              <w:rPr>
                <w:rFonts w:hint="eastAsia" w:ascii="宋体" w:hAnsi="宋体" w:eastAsia="宋体" w:cs="宋体"/>
                <w:sz w:val="21"/>
                <w:szCs w:val="21"/>
              </w:rPr>
            </w:pPr>
            <w:r>
              <w:rPr>
                <w:rFonts w:hint="eastAsia" w:ascii="宋体" w:hAnsi="宋体" w:eastAsia="宋体" w:cs="宋体"/>
                <w:sz w:val="21"/>
                <w:szCs w:val="21"/>
              </w:rPr>
              <w:t>鱼类、中华鲟环境DNA</w:t>
            </w:r>
          </w:p>
        </w:tc>
      </w:tr>
      <w:tr w14:paraId="31938D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200506EA">
            <w:pPr>
              <w:rPr>
                <w:rFonts w:hint="eastAsia" w:ascii="宋体" w:hAnsi="宋体" w:eastAsia="宋体" w:cs="宋体"/>
                <w:sz w:val="21"/>
                <w:szCs w:val="21"/>
              </w:rPr>
            </w:pPr>
            <w:r>
              <w:rPr>
                <w:rFonts w:hint="eastAsia" w:ascii="宋体" w:hAnsi="宋体" w:eastAsia="宋体" w:cs="宋体"/>
                <w:sz w:val="21"/>
                <w:szCs w:val="21"/>
              </w:rPr>
              <w:t>HZW12</w:t>
            </w:r>
          </w:p>
        </w:tc>
        <w:tc>
          <w:tcPr>
            <w:tcW w:w="0" w:type="auto"/>
            <w:tcBorders>
              <w:tl2br w:val="nil"/>
              <w:tr2bl w:val="nil"/>
            </w:tcBorders>
            <w:shd w:val="clear" w:color="auto" w:fill="auto"/>
            <w:noWrap/>
            <w:vAlign w:val="center"/>
          </w:tcPr>
          <w:p w14:paraId="3FBE8E33">
            <w:pPr>
              <w:rPr>
                <w:rFonts w:hint="eastAsia" w:ascii="宋体" w:hAnsi="宋体" w:eastAsia="宋体" w:cs="宋体"/>
                <w:sz w:val="21"/>
                <w:szCs w:val="21"/>
              </w:rPr>
            </w:pPr>
            <w:r>
              <w:rPr>
                <w:rFonts w:hint="eastAsia" w:ascii="宋体" w:hAnsi="宋体" w:eastAsia="宋体" w:cs="宋体"/>
                <w:sz w:val="21"/>
                <w:szCs w:val="21"/>
              </w:rPr>
              <w:t>121.4868</w:t>
            </w:r>
          </w:p>
        </w:tc>
        <w:tc>
          <w:tcPr>
            <w:tcW w:w="0" w:type="auto"/>
            <w:tcBorders>
              <w:tl2br w:val="nil"/>
              <w:tr2bl w:val="nil"/>
            </w:tcBorders>
            <w:shd w:val="clear" w:color="auto" w:fill="auto"/>
            <w:noWrap/>
            <w:vAlign w:val="center"/>
          </w:tcPr>
          <w:p w14:paraId="603F60C6">
            <w:pPr>
              <w:rPr>
                <w:rFonts w:hint="eastAsia" w:ascii="宋体" w:hAnsi="宋体" w:eastAsia="宋体" w:cs="宋体"/>
                <w:sz w:val="21"/>
                <w:szCs w:val="21"/>
              </w:rPr>
            </w:pPr>
            <w:r>
              <w:rPr>
                <w:rFonts w:hint="eastAsia" w:ascii="宋体" w:hAnsi="宋体" w:eastAsia="宋体" w:cs="宋体"/>
                <w:sz w:val="21"/>
                <w:szCs w:val="21"/>
              </w:rPr>
              <w:t>30.5935</w:t>
            </w:r>
          </w:p>
        </w:tc>
        <w:tc>
          <w:tcPr>
            <w:tcW w:w="0" w:type="auto"/>
            <w:tcBorders>
              <w:tl2br w:val="nil"/>
              <w:tr2bl w:val="nil"/>
            </w:tcBorders>
            <w:shd w:val="clear" w:color="auto" w:fill="auto"/>
            <w:noWrap/>
            <w:vAlign w:val="center"/>
          </w:tcPr>
          <w:p w14:paraId="7BF12BC0">
            <w:pPr>
              <w:rPr>
                <w:rFonts w:hint="eastAsia" w:ascii="宋体" w:hAnsi="宋体" w:eastAsia="宋体" w:cs="宋体"/>
                <w:sz w:val="21"/>
                <w:szCs w:val="21"/>
              </w:rPr>
            </w:pPr>
            <w:r>
              <w:rPr>
                <w:rFonts w:hint="eastAsia" w:ascii="宋体" w:hAnsi="宋体" w:eastAsia="宋体" w:cs="宋体"/>
                <w:sz w:val="21"/>
                <w:szCs w:val="21"/>
              </w:rPr>
              <w:t>鱼类、中华鲟环境DNA</w:t>
            </w:r>
          </w:p>
        </w:tc>
      </w:tr>
      <w:tr w14:paraId="358073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695EA346">
            <w:pPr>
              <w:rPr>
                <w:rFonts w:hint="eastAsia" w:ascii="宋体" w:hAnsi="宋体" w:eastAsia="宋体" w:cs="宋体"/>
                <w:sz w:val="21"/>
                <w:szCs w:val="21"/>
              </w:rPr>
            </w:pPr>
            <w:r>
              <w:rPr>
                <w:rFonts w:hint="eastAsia" w:ascii="宋体" w:hAnsi="宋体" w:eastAsia="宋体" w:cs="宋体"/>
                <w:sz w:val="21"/>
                <w:szCs w:val="21"/>
              </w:rPr>
              <w:t>HZW13</w:t>
            </w:r>
          </w:p>
        </w:tc>
        <w:tc>
          <w:tcPr>
            <w:tcW w:w="0" w:type="auto"/>
            <w:tcBorders>
              <w:tl2br w:val="nil"/>
              <w:tr2bl w:val="nil"/>
            </w:tcBorders>
            <w:shd w:val="clear" w:color="auto" w:fill="auto"/>
            <w:noWrap/>
            <w:vAlign w:val="center"/>
          </w:tcPr>
          <w:p w14:paraId="37522661">
            <w:pPr>
              <w:rPr>
                <w:rFonts w:hint="eastAsia" w:ascii="宋体" w:hAnsi="宋体" w:eastAsia="宋体" w:cs="宋体"/>
                <w:sz w:val="21"/>
                <w:szCs w:val="21"/>
              </w:rPr>
            </w:pPr>
            <w:r>
              <w:rPr>
                <w:rFonts w:hint="eastAsia" w:ascii="宋体" w:hAnsi="宋体" w:eastAsia="宋体" w:cs="宋体"/>
                <w:sz w:val="21"/>
                <w:szCs w:val="21"/>
              </w:rPr>
              <w:t>121.6210</w:t>
            </w:r>
          </w:p>
        </w:tc>
        <w:tc>
          <w:tcPr>
            <w:tcW w:w="0" w:type="auto"/>
            <w:tcBorders>
              <w:tl2br w:val="nil"/>
              <w:tr2bl w:val="nil"/>
            </w:tcBorders>
            <w:shd w:val="clear" w:color="auto" w:fill="auto"/>
            <w:noWrap/>
            <w:vAlign w:val="center"/>
          </w:tcPr>
          <w:p w14:paraId="2E48095D">
            <w:pPr>
              <w:rPr>
                <w:rFonts w:hint="eastAsia" w:ascii="宋体" w:hAnsi="宋体" w:eastAsia="宋体" w:cs="宋体"/>
                <w:sz w:val="21"/>
                <w:szCs w:val="21"/>
              </w:rPr>
            </w:pPr>
            <w:r>
              <w:rPr>
                <w:rFonts w:hint="eastAsia" w:ascii="宋体" w:hAnsi="宋体" w:eastAsia="宋体" w:cs="宋体"/>
                <w:sz w:val="21"/>
                <w:szCs w:val="21"/>
              </w:rPr>
              <w:t>30.2220</w:t>
            </w:r>
          </w:p>
        </w:tc>
        <w:tc>
          <w:tcPr>
            <w:tcW w:w="0" w:type="auto"/>
            <w:tcBorders>
              <w:tl2br w:val="nil"/>
              <w:tr2bl w:val="nil"/>
            </w:tcBorders>
            <w:shd w:val="clear" w:color="auto" w:fill="auto"/>
            <w:noWrap/>
            <w:vAlign w:val="center"/>
          </w:tcPr>
          <w:p w14:paraId="432D6D13">
            <w:pPr>
              <w:rPr>
                <w:rFonts w:hint="eastAsia" w:ascii="宋体" w:hAnsi="宋体" w:eastAsia="宋体" w:cs="宋体"/>
                <w:sz w:val="21"/>
                <w:szCs w:val="21"/>
              </w:rPr>
            </w:pPr>
            <w:r>
              <w:rPr>
                <w:rFonts w:hint="eastAsia" w:ascii="宋体" w:hAnsi="宋体" w:eastAsia="宋体" w:cs="宋体"/>
                <w:sz w:val="21"/>
                <w:szCs w:val="21"/>
              </w:rPr>
              <w:t>鱼类、中华鲟环境DNA</w:t>
            </w:r>
          </w:p>
        </w:tc>
      </w:tr>
      <w:tr w14:paraId="1D7B3A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310F77C3">
            <w:pPr>
              <w:rPr>
                <w:rFonts w:hint="eastAsia" w:ascii="宋体" w:hAnsi="宋体" w:eastAsia="宋体" w:cs="宋体"/>
                <w:sz w:val="21"/>
                <w:szCs w:val="21"/>
              </w:rPr>
            </w:pPr>
            <w:r>
              <w:rPr>
                <w:rFonts w:hint="eastAsia" w:ascii="宋体" w:hAnsi="宋体" w:eastAsia="宋体" w:cs="宋体"/>
                <w:sz w:val="21"/>
                <w:szCs w:val="21"/>
              </w:rPr>
              <w:t>HZW14</w:t>
            </w:r>
          </w:p>
        </w:tc>
        <w:tc>
          <w:tcPr>
            <w:tcW w:w="0" w:type="auto"/>
            <w:tcBorders>
              <w:tl2br w:val="nil"/>
              <w:tr2bl w:val="nil"/>
            </w:tcBorders>
            <w:shd w:val="clear" w:color="auto" w:fill="auto"/>
            <w:noWrap/>
            <w:vAlign w:val="center"/>
          </w:tcPr>
          <w:p w14:paraId="6BD8FE01">
            <w:pPr>
              <w:rPr>
                <w:rFonts w:hint="eastAsia" w:ascii="宋体" w:hAnsi="宋体" w:eastAsia="宋体" w:cs="宋体"/>
                <w:sz w:val="21"/>
                <w:szCs w:val="21"/>
              </w:rPr>
            </w:pPr>
            <w:r>
              <w:rPr>
                <w:rFonts w:hint="eastAsia" w:ascii="宋体" w:hAnsi="宋体" w:eastAsia="宋体" w:cs="宋体"/>
                <w:sz w:val="21"/>
                <w:szCs w:val="21"/>
              </w:rPr>
              <w:t>121.1690</w:t>
            </w:r>
          </w:p>
        </w:tc>
        <w:tc>
          <w:tcPr>
            <w:tcW w:w="0" w:type="auto"/>
            <w:tcBorders>
              <w:tl2br w:val="nil"/>
              <w:tr2bl w:val="nil"/>
            </w:tcBorders>
            <w:shd w:val="clear" w:color="auto" w:fill="auto"/>
            <w:noWrap/>
            <w:vAlign w:val="center"/>
          </w:tcPr>
          <w:p w14:paraId="3B1CE36E">
            <w:pPr>
              <w:rPr>
                <w:rFonts w:hint="eastAsia" w:ascii="宋体" w:hAnsi="宋体" w:eastAsia="宋体" w:cs="宋体"/>
                <w:sz w:val="21"/>
                <w:szCs w:val="21"/>
              </w:rPr>
            </w:pPr>
            <w:r>
              <w:rPr>
                <w:rFonts w:hint="eastAsia" w:ascii="宋体" w:hAnsi="宋体" w:eastAsia="宋体" w:cs="宋体"/>
                <w:sz w:val="21"/>
                <w:szCs w:val="21"/>
              </w:rPr>
              <w:t>30.5937</w:t>
            </w:r>
          </w:p>
        </w:tc>
        <w:tc>
          <w:tcPr>
            <w:tcW w:w="0" w:type="auto"/>
            <w:tcBorders>
              <w:tl2br w:val="nil"/>
              <w:tr2bl w:val="nil"/>
            </w:tcBorders>
            <w:shd w:val="clear" w:color="auto" w:fill="auto"/>
            <w:noWrap/>
            <w:vAlign w:val="center"/>
          </w:tcPr>
          <w:p w14:paraId="2B3CA8CE">
            <w:pPr>
              <w:rPr>
                <w:rFonts w:hint="eastAsia" w:ascii="宋体" w:hAnsi="宋体" w:eastAsia="宋体" w:cs="宋体"/>
                <w:sz w:val="21"/>
                <w:szCs w:val="21"/>
              </w:rPr>
            </w:pPr>
            <w:r>
              <w:rPr>
                <w:rFonts w:hint="eastAsia" w:ascii="宋体" w:hAnsi="宋体" w:eastAsia="宋体" w:cs="宋体"/>
                <w:sz w:val="21"/>
                <w:szCs w:val="21"/>
              </w:rPr>
              <w:t>鱼类、中华鲟环境DNA</w:t>
            </w:r>
          </w:p>
        </w:tc>
      </w:tr>
      <w:tr w14:paraId="2CCD59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6F72BCBB">
            <w:pPr>
              <w:rPr>
                <w:rFonts w:hint="eastAsia" w:ascii="宋体" w:hAnsi="宋体" w:eastAsia="宋体" w:cs="宋体"/>
                <w:sz w:val="21"/>
                <w:szCs w:val="21"/>
              </w:rPr>
            </w:pPr>
            <w:r>
              <w:rPr>
                <w:rFonts w:hint="eastAsia" w:ascii="宋体" w:hAnsi="宋体" w:eastAsia="宋体" w:cs="宋体"/>
                <w:sz w:val="21"/>
                <w:szCs w:val="21"/>
              </w:rPr>
              <w:t>YQW01</w:t>
            </w:r>
          </w:p>
        </w:tc>
        <w:tc>
          <w:tcPr>
            <w:tcW w:w="0" w:type="auto"/>
            <w:tcBorders>
              <w:tl2br w:val="nil"/>
              <w:tr2bl w:val="nil"/>
            </w:tcBorders>
            <w:shd w:val="clear" w:color="auto" w:fill="auto"/>
            <w:noWrap/>
            <w:vAlign w:val="bottom"/>
          </w:tcPr>
          <w:p w14:paraId="61CE7D82">
            <w:pPr>
              <w:rPr>
                <w:rFonts w:hint="eastAsia" w:ascii="宋体" w:hAnsi="宋体" w:eastAsia="宋体" w:cs="宋体"/>
                <w:sz w:val="21"/>
                <w:szCs w:val="21"/>
              </w:rPr>
            </w:pPr>
            <w:r>
              <w:rPr>
                <w:rFonts w:hint="eastAsia" w:ascii="宋体" w:hAnsi="宋体" w:eastAsia="宋体" w:cs="宋体"/>
                <w:sz w:val="21"/>
                <w:szCs w:val="21"/>
              </w:rPr>
              <w:t>121.1361</w:t>
            </w:r>
          </w:p>
        </w:tc>
        <w:tc>
          <w:tcPr>
            <w:tcW w:w="0" w:type="auto"/>
            <w:tcBorders>
              <w:tl2br w:val="nil"/>
              <w:tr2bl w:val="nil"/>
            </w:tcBorders>
            <w:shd w:val="clear" w:color="auto" w:fill="auto"/>
            <w:noWrap/>
            <w:vAlign w:val="bottom"/>
          </w:tcPr>
          <w:p w14:paraId="05C30491">
            <w:pPr>
              <w:rPr>
                <w:rFonts w:hint="eastAsia" w:ascii="宋体" w:hAnsi="宋体" w:eastAsia="宋体" w:cs="宋体"/>
                <w:sz w:val="21"/>
                <w:szCs w:val="21"/>
              </w:rPr>
            </w:pPr>
            <w:r>
              <w:rPr>
                <w:rFonts w:hint="eastAsia" w:ascii="宋体" w:hAnsi="宋体" w:eastAsia="宋体" w:cs="宋体"/>
                <w:sz w:val="21"/>
                <w:szCs w:val="21"/>
              </w:rPr>
              <w:t>28.2017</w:t>
            </w:r>
          </w:p>
        </w:tc>
        <w:tc>
          <w:tcPr>
            <w:tcW w:w="0" w:type="auto"/>
            <w:tcBorders>
              <w:tl2br w:val="nil"/>
              <w:tr2bl w:val="nil"/>
            </w:tcBorders>
            <w:shd w:val="clear" w:color="auto" w:fill="auto"/>
            <w:noWrap/>
            <w:vAlign w:val="bottom"/>
          </w:tcPr>
          <w:p w14:paraId="5F4C84FF">
            <w:pPr>
              <w:rPr>
                <w:rFonts w:hint="eastAsia" w:ascii="宋体" w:hAnsi="宋体" w:eastAsia="宋体" w:cs="宋体"/>
                <w:sz w:val="21"/>
                <w:szCs w:val="21"/>
              </w:rPr>
            </w:pPr>
            <w:r>
              <w:rPr>
                <w:rFonts w:hint="eastAsia" w:ascii="宋体" w:hAnsi="宋体" w:eastAsia="宋体" w:cs="宋体"/>
                <w:sz w:val="21"/>
                <w:szCs w:val="21"/>
              </w:rPr>
              <w:t>鱼类环境DNA</w:t>
            </w:r>
          </w:p>
        </w:tc>
      </w:tr>
      <w:tr w14:paraId="3891F1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6165DE56">
            <w:pPr>
              <w:rPr>
                <w:rFonts w:hint="eastAsia" w:ascii="宋体" w:hAnsi="宋体" w:eastAsia="宋体" w:cs="宋体"/>
                <w:sz w:val="21"/>
                <w:szCs w:val="21"/>
              </w:rPr>
            </w:pPr>
            <w:r>
              <w:rPr>
                <w:rFonts w:hint="eastAsia" w:ascii="宋体" w:hAnsi="宋体" w:eastAsia="宋体" w:cs="宋体"/>
                <w:sz w:val="21"/>
                <w:szCs w:val="21"/>
              </w:rPr>
              <w:t>YQW02</w:t>
            </w:r>
          </w:p>
        </w:tc>
        <w:tc>
          <w:tcPr>
            <w:tcW w:w="0" w:type="auto"/>
            <w:tcBorders>
              <w:tl2br w:val="nil"/>
              <w:tr2bl w:val="nil"/>
            </w:tcBorders>
            <w:shd w:val="clear" w:color="auto" w:fill="auto"/>
            <w:noWrap/>
            <w:vAlign w:val="bottom"/>
          </w:tcPr>
          <w:p w14:paraId="1229E6E9">
            <w:pPr>
              <w:rPr>
                <w:rFonts w:hint="eastAsia" w:ascii="宋体" w:hAnsi="宋体" w:eastAsia="宋体" w:cs="宋体"/>
                <w:sz w:val="21"/>
                <w:szCs w:val="21"/>
              </w:rPr>
            </w:pPr>
            <w:r>
              <w:rPr>
                <w:rFonts w:hint="eastAsia" w:ascii="宋体" w:hAnsi="宋体" w:eastAsia="宋体" w:cs="宋体"/>
                <w:sz w:val="21"/>
                <w:szCs w:val="21"/>
              </w:rPr>
              <w:t>121.1367</w:t>
            </w:r>
          </w:p>
        </w:tc>
        <w:tc>
          <w:tcPr>
            <w:tcW w:w="0" w:type="auto"/>
            <w:tcBorders>
              <w:tl2br w:val="nil"/>
              <w:tr2bl w:val="nil"/>
            </w:tcBorders>
            <w:shd w:val="clear" w:color="auto" w:fill="auto"/>
            <w:noWrap/>
            <w:vAlign w:val="bottom"/>
          </w:tcPr>
          <w:p w14:paraId="6A0A4A28">
            <w:pPr>
              <w:rPr>
                <w:rFonts w:hint="eastAsia" w:ascii="宋体" w:hAnsi="宋体" w:eastAsia="宋体" w:cs="宋体"/>
                <w:sz w:val="21"/>
                <w:szCs w:val="21"/>
              </w:rPr>
            </w:pPr>
            <w:r>
              <w:rPr>
                <w:rFonts w:hint="eastAsia" w:ascii="宋体" w:hAnsi="宋体" w:eastAsia="宋体" w:cs="宋体"/>
                <w:sz w:val="21"/>
                <w:szCs w:val="21"/>
              </w:rPr>
              <w:t>28.1583</w:t>
            </w:r>
          </w:p>
        </w:tc>
        <w:tc>
          <w:tcPr>
            <w:tcW w:w="0" w:type="auto"/>
            <w:tcBorders>
              <w:tl2br w:val="nil"/>
              <w:tr2bl w:val="nil"/>
            </w:tcBorders>
            <w:shd w:val="clear" w:color="auto" w:fill="auto"/>
            <w:noWrap/>
            <w:vAlign w:val="bottom"/>
          </w:tcPr>
          <w:p w14:paraId="62083561">
            <w:pPr>
              <w:rPr>
                <w:rFonts w:hint="eastAsia" w:ascii="宋体" w:hAnsi="宋体" w:eastAsia="宋体" w:cs="宋体"/>
                <w:sz w:val="21"/>
                <w:szCs w:val="21"/>
              </w:rPr>
            </w:pPr>
            <w:r>
              <w:rPr>
                <w:rFonts w:hint="eastAsia" w:ascii="宋体" w:hAnsi="宋体" w:eastAsia="宋体" w:cs="宋体"/>
                <w:sz w:val="21"/>
                <w:szCs w:val="21"/>
              </w:rPr>
              <w:t>鱼类环境DNA</w:t>
            </w:r>
          </w:p>
        </w:tc>
      </w:tr>
      <w:tr w14:paraId="335D3F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5E2B11A1">
            <w:pPr>
              <w:rPr>
                <w:rFonts w:hint="eastAsia" w:ascii="宋体" w:hAnsi="宋体" w:eastAsia="宋体" w:cs="宋体"/>
                <w:sz w:val="21"/>
                <w:szCs w:val="21"/>
              </w:rPr>
            </w:pPr>
            <w:r>
              <w:rPr>
                <w:rFonts w:hint="eastAsia" w:ascii="宋体" w:hAnsi="宋体" w:eastAsia="宋体" w:cs="宋体"/>
                <w:sz w:val="21"/>
                <w:szCs w:val="21"/>
              </w:rPr>
              <w:t>YQW03</w:t>
            </w:r>
          </w:p>
        </w:tc>
        <w:tc>
          <w:tcPr>
            <w:tcW w:w="0" w:type="auto"/>
            <w:tcBorders>
              <w:tl2br w:val="nil"/>
              <w:tr2bl w:val="nil"/>
            </w:tcBorders>
            <w:shd w:val="clear" w:color="auto" w:fill="auto"/>
            <w:noWrap/>
            <w:vAlign w:val="bottom"/>
          </w:tcPr>
          <w:p w14:paraId="18239B86">
            <w:pPr>
              <w:rPr>
                <w:rFonts w:hint="eastAsia" w:ascii="宋体" w:hAnsi="宋体" w:eastAsia="宋体" w:cs="宋体"/>
                <w:sz w:val="21"/>
                <w:szCs w:val="21"/>
              </w:rPr>
            </w:pPr>
            <w:r>
              <w:rPr>
                <w:rFonts w:hint="eastAsia" w:ascii="宋体" w:hAnsi="宋体" w:eastAsia="宋体" w:cs="宋体"/>
                <w:sz w:val="21"/>
                <w:szCs w:val="21"/>
              </w:rPr>
              <w:t>121.0770</w:t>
            </w:r>
          </w:p>
        </w:tc>
        <w:tc>
          <w:tcPr>
            <w:tcW w:w="0" w:type="auto"/>
            <w:tcBorders>
              <w:tl2br w:val="nil"/>
              <w:tr2bl w:val="nil"/>
            </w:tcBorders>
            <w:shd w:val="clear" w:color="auto" w:fill="auto"/>
            <w:noWrap/>
            <w:vAlign w:val="bottom"/>
          </w:tcPr>
          <w:p w14:paraId="7D2DEA9B">
            <w:pPr>
              <w:rPr>
                <w:rFonts w:hint="eastAsia" w:ascii="宋体" w:hAnsi="宋体" w:eastAsia="宋体" w:cs="宋体"/>
                <w:sz w:val="21"/>
                <w:szCs w:val="21"/>
              </w:rPr>
            </w:pPr>
            <w:r>
              <w:rPr>
                <w:rFonts w:hint="eastAsia" w:ascii="宋体" w:hAnsi="宋体" w:eastAsia="宋体" w:cs="宋体"/>
                <w:sz w:val="21"/>
                <w:szCs w:val="21"/>
              </w:rPr>
              <w:t>28.0910</w:t>
            </w:r>
          </w:p>
        </w:tc>
        <w:tc>
          <w:tcPr>
            <w:tcW w:w="0" w:type="auto"/>
            <w:tcBorders>
              <w:tl2br w:val="nil"/>
              <w:tr2bl w:val="nil"/>
            </w:tcBorders>
            <w:shd w:val="clear" w:color="auto" w:fill="auto"/>
            <w:noWrap/>
            <w:vAlign w:val="bottom"/>
          </w:tcPr>
          <w:p w14:paraId="642B5B2C">
            <w:pPr>
              <w:rPr>
                <w:rFonts w:hint="eastAsia" w:ascii="宋体" w:hAnsi="宋体" w:eastAsia="宋体" w:cs="宋体"/>
                <w:sz w:val="21"/>
                <w:szCs w:val="21"/>
              </w:rPr>
            </w:pPr>
            <w:r>
              <w:rPr>
                <w:rFonts w:hint="eastAsia" w:ascii="宋体" w:hAnsi="宋体" w:eastAsia="宋体" w:cs="宋体"/>
                <w:sz w:val="21"/>
                <w:szCs w:val="21"/>
              </w:rPr>
              <w:t>鱼类环境DNA</w:t>
            </w:r>
          </w:p>
        </w:tc>
      </w:tr>
      <w:tr w14:paraId="5CBE75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5629C518">
            <w:pPr>
              <w:rPr>
                <w:rFonts w:hint="eastAsia" w:ascii="宋体" w:hAnsi="宋体" w:eastAsia="宋体" w:cs="宋体"/>
                <w:sz w:val="21"/>
                <w:szCs w:val="21"/>
              </w:rPr>
            </w:pPr>
            <w:r>
              <w:rPr>
                <w:rFonts w:hint="eastAsia" w:ascii="宋体" w:hAnsi="宋体" w:eastAsia="宋体" w:cs="宋体"/>
                <w:sz w:val="21"/>
                <w:szCs w:val="21"/>
              </w:rPr>
              <w:t>YQW04</w:t>
            </w:r>
          </w:p>
        </w:tc>
        <w:tc>
          <w:tcPr>
            <w:tcW w:w="0" w:type="auto"/>
            <w:tcBorders>
              <w:tl2br w:val="nil"/>
              <w:tr2bl w:val="nil"/>
            </w:tcBorders>
            <w:shd w:val="clear" w:color="auto" w:fill="auto"/>
            <w:noWrap/>
            <w:vAlign w:val="bottom"/>
          </w:tcPr>
          <w:p w14:paraId="062BA3CF">
            <w:pPr>
              <w:rPr>
                <w:rFonts w:hint="eastAsia" w:ascii="宋体" w:hAnsi="宋体" w:eastAsia="宋体" w:cs="宋体"/>
                <w:sz w:val="21"/>
                <w:szCs w:val="21"/>
              </w:rPr>
            </w:pPr>
            <w:r>
              <w:rPr>
                <w:rFonts w:hint="eastAsia" w:ascii="宋体" w:hAnsi="宋体" w:eastAsia="宋体" w:cs="宋体"/>
                <w:sz w:val="21"/>
                <w:szCs w:val="21"/>
              </w:rPr>
              <w:t>121.1442</w:t>
            </w:r>
          </w:p>
        </w:tc>
        <w:tc>
          <w:tcPr>
            <w:tcW w:w="0" w:type="auto"/>
            <w:tcBorders>
              <w:tl2br w:val="nil"/>
              <w:tr2bl w:val="nil"/>
            </w:tcBorders>
            <w:shd w:val="clear" w:color="auto" w:fill="auto"/>
            <w:noWrap/>
            <w:vAlign w:val="bottom"/>
          </w:tcPr>
          <w:p w14:paraId="021FC85C">
            <w:pPr>
              <w:rPr>
                <w:rFonts w:hint="eastAsia" w:ascii="宋体" w:hAnsi="宋体" w:eastAsia="宋体" w:cs="宋体"/>
                <w:sz w:val="21"/>
                <w:szCs w:val="21"/>
              </w:rPr>
            </w:pPr>
            <w:r>
              <w:rPr>
                <w:rFonts w:hint="eastAsia" w:ascii="宋体" w:hAnsi="宋体" w:eastAsia="宋体" w:cs="宋体"/>
                <w:sz w:val="21"/>
                <w:szCs w:val="21"/>
              </w:rPr>
              <w:t>28.0075</w:t>
            </w:r>
          </w:p>
        </w:tc>
        <w:tc>
          <w:tcPr>
            <w:tcW w:w="0" w:type="auto"/>
            <w:tcBorders>
              <w:tl2br w:val="nil"/>
              <w:tr2bl w:val="nil"/>
            </w:tcBorders>
            <w:shd w:val="clear" w:color="auto" w:fill="auto"/>
            <w:noWrap/>
            <w:vAlign w:val="bottom"/>
          </w:tcPr>
          <w:p w14:paraId="7E792131">
            <w:pPr>
              <w:rPr>
                <w:rFonts w:hint="eastAsia" w:ascii="宋体" w:hAnsi="宋体" w:eastAsia="宋体" w:cs="宋体"/>
                <w:sz w:val="21"/>
                <w:szCs w:val="21"/>
              </w:rPr>
            </w:pPr>
            <w:r>
              <w:rPr>
                <w:rFonts w:hint="eastAsia" w:ascii="宋体" w:hAnsi="宋体" w:eastAsia="宋体" w:cs="宋体"/>
                <w:sz w:val="21"/>
                <w:szCs w:val="21"/>
              </w:rPr>
              <w:t>鱼类环境DNA</w:t>
            </w:r>
          </w:p>
        </w:tc>
      </w:tr>
      <w:tr w14:paraId="373053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08A5862D">
            <w:pPr>
              <w:rPr>
                <w:rFonts w:hint="eastAsia" w:ascii="宋体" w:hAnsi="宋体" w:eastAsia="宋体" w:cs="宋体"/>
                <w:sz w:val="21"/>
                <w:szCs w:val="21"/>
              </w:rPr>
            </w:pPr>
            <w:r>
              <w:rPr>
                <w:rFonts w:hint="eastAsia" w:ascii="宋体" w:hAnsi="宋体" w:eastAsia="宋体" w:cs="宋体"/>
                <w:sz w:val="21"/>
                <w:szCs w:val="21"/>
              </w:rPr>
              <w:t>YQW05</w:t>
            </w:r>
          </w:p>
        </w:tc>
        <w:tc>
          <w:tcPr>
            <w:tcW w:w="0" w:type="auto"/>
            <w:tcBorders>
              <w:tl2br w:val="nil"/>
              <w:tr2bl w:val="nil"/>
            </w:tcBorders>
            <w:shd w:val="clear" w:color="auto" w:fill="auto"/>
            <w:noWrap/>
            <w:vAlign w:val="bottom"/>
          </w:tcPr>
          <w:p w14:paraId="777D9036">
            <w:pPr>
              <w:rPr>
                <w:rFonts w:hint="eastAsia" w:ascii="宋体" w:hAnsi="宋体" w:eastAsia="宋体" w:cs="宋体"/>
                <w:sz w:val="21"/>
                <w:szCs w:val="21"/>
              </w:rPr>
            </w:pPr>
            <w:r>
              <w:rPr>
                <w:rFonts w:hint="eastAsia" w:ascii="宋体" w:hAnsi="宋体" w:eastAsia="宋体" w:cs="宋体"/>
                <w:sz w:val="21"/>
                <w:szCs w:val="21"/>
              </w:rPr>
              <w:t>120.9728</w:t>
            </w:r>
          </w:p>
        </w:tc>
        <w:tc>
          <w:tcPr>
            <w:tcW w:w="0" w:type="auto"/>
            <w:tcBorders>
              <w:tl2br w:val="nil"/>
              <w:tr2bl w:val="nil"/>
            </w:tcBorders>
            <w:shd w:val="clear" w:color="auto" w:fill="auto"/>
            <w:noWrap/>
            <w:vAlign w:val="bottom"/>
          </w:tcPr>
          <w:p w14:paraId="250A0609">
            <w:pPr>
              <w:rPr>
                <w:rFonts w:hint="eastAsia" w:ascii="宋体" w:hAnsi="宋体" w:eastAsia="宋体" w:cs="宋体"/>
                <w:sz w:val="21"/>
                <w:szCs w:val="21"/>
              </w:rPr>
            </w:pPr>
            <w:r>
              <w:rPr>
                <w:rFonts w:hint="eastAsia" w:ascii="宋体" w:hAnsi="宋体" w:eastAsia="宋体" w:cs="宋体"/>
                <w:sz w:val="21"/>
                <w:szCs w:val="21"/>
              </w:rPr>
              <w:t>27.9656</w:t>
            </w:r>
          </w:p>
        </w:tc>
        <w:tc>
          <w:tcPr>
            <w:tcW w:w="0" w:type="auto"/>
            <w:tcBorders>
              <w:tl2br w:val="nil"/>
              <w:tr2bl w:val="nil"/>
            </w:tcBorders>
            <w:shd w:val="clear" w:color="auto" w:fill="auto"/>
            <w:noWrap/>
            <w:vAlign w:val="bottom"/>
          </w:tcPr>
          <w:p w14:paraId="12297FAC">
            <w:pPr>
              <w:rPr>
                <w:rFonts w:hint="eastAsia" w:ascii="宋体" w:hAnsi="宋体" w:eastAsia="宋体" w:cs="宋体"/>
                <w:sz w:val="21"/>
                <w:szCs w:val="21"/>
              </w:rPr>
            </w:pPr>
            <w:r>
              <w:rPr>
                <w:rFonts w:hint="eastAsia" w:ascii="宋体" w:hAnsi="宋体" w:eastAsia="宋体" w:cs="宋体"/>
                <w:sz w:val="21"/>
                <w:szCs w:val="21"/>
              </w:rPr>
              <w:t>鱼类环境DNA</w:t>
            </w:r>
          </w:p>
        </w:tc>
      </w:tr>
      <w:tr w14:paraId="4311E4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4600130D">
            <w:pPr>
              <w:rPr>
                <w:rFonts w:hint="eastAsia" w:ascii="宋体" w:hAnsi="宋体" w:eastAsia="宋体" w:cs="宋体"/>
                <w:sz w:val="21"/>
                <w:szCs w:val="21"/>
              </w:rPr>
            </w:pPr>
            <w:r>
              <w:rPr>
                <w:rFonts w:hint="eastAsia" w:ascii="宋体" w:hAnsi="宋体" w:eastAsia="宋体" w:cs="宋体"/>
                <w:sz w:val="21"/>
                <w:szCs w:val="21"/>
              </w:rPr>
              <w:t>YQW06</w:t>
            </w:r>
          </w:p>
        </w:tc>
        <w:tc>
          <w:tcPr>
            <w:tcW w:w="0" w:type="auto"/>
            <w:tcBorders>
              <w:tl2br w:val="nil"/>
              <w:tr2bl w:val="nil"/>
            </w:tcBorders>
            <w:shd w:val="clear" w:color="auto" w:fill="auto"/>
            <w:noWrap/>
            <w:vAlign w:val="bottom"/>
          </w:tcPr>
          <w:p w14:paraId="0AAD3A10">
            <w:pPr>
              <w:rPr>
                <w:rFonts w:hint="eastAsia" w:ascii="宋体" w:hAnsi="宋体" w:eastAsia="宋体" w:cs="宋体"/>
                <w:sz w:val="21"/>
                <w:szCs w:val="21"/>
              </w:rPr>
            </w:pPr>
            <w:r>
              <w:rPr>
                <w:rFonts w:hint="eastAsia" w:ascii="宋体" w:hAnsi="宋体" w:eastAsia="宋体" w:cs="宋体"/>
                <w:sz w:val="21"/>
                <w:szCs w:val="21"/>
              </w:rPr>
              <w:t>121.1022</w:t>
            </w:r>
          </w:p>
        </w:tc>
        <w:tc>
          <w:tcPr>
            <w:tcW w:w="0" w:type="auto"/>
            <w:tcBorders>
              <w:tl2br w:val="nil"/>
              <w:tr2bl w:val="nil"/>
            </w:tcBorders>
            <w:shd w:val="clear" w:color="auto" w:fill="auto"/>
            <w:noWrap/>
            <w:vAlign w:val="bottom"/>
          </w:tcPr>
          <w:p w14:paraId="12A3B623">
            <w:pPr>
              <w:rPr>
                <w:rFonts w:hint="eastAsia" w:ascii="宋体" w:hAnsi="宋体" w:eastAsia="宋体" w:cs="宋体"/>
                <w:sz w:val="21"/>
                <w:szCs w:val="21"/>
              </w:rPr>
            </w:pPr>
            <w:r>
              <w:rPr>
                <w:rFonts w:hint="eastAsia" w:ascii="宋体" w:hAnsi="宋体" w:eastAsia="宋体" w:cs="宋体"/>
                <w:sz w:val="21"/>
                <w:szCs w:val="21"/>
              </w:rPr>
              <w:t>27.9322</w:t>
            </w:r>
          </w:p>
        </w:tc>
        <w:tc>
          <w:tcPr>
            <w:tcW w:w="0" w:type="auto"/>
            <w:tcBorders>
              <w:tl2br w:val="nil"/>
              <w:tr2bl w:val="nil"/>
            </w:tcBorders>
            <w:shd w:val="clear" w:color="auto" w:fill="auto"/>
            <w:noWrap/>
            <w:vAlign w:val="bottom"/>
          </w:tcPr>
          <w:p w14:paraId="6FA8ADBB">
            <w:pPr>
              <w:rPr>
                <w:rFonts w:hint="eastAsia" w:ascii="宋体" w:hAnsi="宋体" w:eastAsia="宋体" w:cs="宋体"/>
                <w:sz w:val="21"/>
                <w:szCs w:val="21"/>
              </w:rPr>
            </w:pPr>
            <w:r>
              <w:rPr>
                <w:rFonts w:hint="eastAsia" w:ascii="宋体" w:hAnsi="宋体" w:eastAsia="宋体" w:cs="宋体"/>
                <w:sz w:val="21"/>
                <w:szCs w:val="21"/>
              </w:rPr>
              <w:t>鱼类环境DNA</w:t>
            </w:r>
          </w:p>
        </w:tc>
      </w:tr>
      <w:tr w14:paraId="2D5810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3C934ABC">
            <w:pPr>
              <w:rPr>
                <w:rFonts w:hint="eastAsia" w:ascii="宋体" w:hAnsi="宋体" w:eastAsia="宋体" w:cs="宋体"/>
                <w:sz w:val="21"/>
                <w:szCs w:val="21"/>
              </w:rPr>
            </w:pPr>
            <w:r>
              <w:rPr>
                <w:rFonts w:hint="eastAsia" w:ascii="宋体" w:hAnsi="宋体" w:eastAsia="宋体" w:cs="宋体"/>
                <w:sz w:val="21"/>
                <w:szCs w:val="21"/>
              </w:rPr>
              <w:t>YQW07</w:t>
            </w:r>
          </w:p>
        </w:tc>
        <w:tc>
          <w:tcPr>
            <w:tcW w:w="0" w:type="auto"/>
            <w:tcBorders>
              <w:tl2br w:val="nil"/>
              <w:tr2bl w:val="nil"/>
            </w:tcBorders>
            <w:shd w:val="clear" w:color="auto" w:fill="auto"/>
            <w:noWrap/>
            <w:vAlign w:val="bottom"/>
          </w:tcPr>
          <w:p w14:paraId="791C86D2">
            <w:pPr>
              <w:rPr>
                <w:rFonts w:hint="eastAsia" w:ascii="宋体" w:hAnsi="宋体" w:eastAsia="宋体" w:cs="宋体"/>
                <w:sz w:val="21"/>
                <w:szCs w:val="21"/>
              </w:rPr>
            </w:pPr>
            <w:r>
              <w:rPr>
                <w:rFonts w:hint="eastAsia" w:ascii="宋体" w:hAnsi="宋体" w:eastAsia="宋体" w:cs="宋体"/>
                <w:sz w:val="21"/>
                <w:szCs w:val="21"/>
              </w:rPr>
              <w:t>120.9391</w:t>
            </w:r>
          </w:p>
        </w:tc>
        <w:tc>
          <w:tcPr>
            <w:tcW w:w="0" w:type="auto"/>
            <w:tcBorders>
              <w:tl2br w:val="nil"/>
              <w:tr2bl w:val="nil"/>
            </w:tcBorders>
            <w:shd w:val="clear" w:color="auto" w:fill="auto"/>
            <w:noWrap/>
            <w:vAlign w:val="bottom"/>
          </w:tcPr>
          <w:p w14:paraId="038AF6D9">
            <w:pPr>
              <w:rPr>
                <w:rFonts w:hint="eastAsia" w:ascii="宋体" w:hAnsi="宋体" w:eastAsia="宋体" w:cs="宋体"/>
                <w:sz w:val="21"/>
                <w:szCs w:val="21"/>
              </w:rPr>
            </w:pPr>
            <w:r>
              <w:rPr>
                <w:rFonts w:hint="eastAsia" w:ascii="宋体" w:hAnsi="宋体" w:eastAsia="宋体" w:cs="宋体"/>
                <w:sz w:val="21"/>
                <w:szCs w:val="21"/>
              </w:rPr>
              <w:t>27.8678</w:t>
            </w:r>
          </w:p>
        </w:tc>
        <w:tc>
          <w:tcPr>
            <w:tcW w:w="0" w:type="auto"/>
            <w:tcBorders>
              <w:tl2br w:val="nil"/>
              <w:tr2bl w:val="nil"/>
            </w:tcBorders>
            <w:shd w:val="clear" w:color="auto" w:fill="auto"/>
            <w:noWrap/>
            <w:vAlign w:val="bottom"/>
          </w:tcPr>
          <w:p w14:paraId="4F99880D">
            <w:pPr>
              <w:rPr>
                <w:rFonts w:hint="eastAsia" w:ascii="宋体" w:hAnsi="宋体" w:eastAsia="宋体" w:cs="宋体"/>
                <w:sz w:val="21"/>
                <w:szCs w:val="21"/>
              </w:rPr>
            </w:pPr>
            <w:r>
              <w:rPr>
                <w:rFonts w:hint="eastAsia" w:ascii="宋体" w:hAnsi="宋体" w:eastAsia="宋体" w:cs="宋体"/>
                <w:sz w:val="21"/>
                <w:szCs w:val="21"/>
              </w:rPr>
              <w:t>鱼类环境DNA</w:t>
            </w:r>
          </w:p>
        </w:tc>
      </w:tr>
      <w:tr w14:paraId="607DD8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58250BF3">
            <w:pPr>
              <w:rPr>
                <w:rFonts w:hint="eastAsia" w:ascii="宋体" w:hAnsi="宋体" w:eastAsia="宋体" w:cs="宋体"/>
                <w:sz w:val="21"/>
                <w:szCs w:val="21"/>
              </w:rPr>
            </w:pPr>
            <w:r>
              <w:rPr>
                <w:rFonts w:hint="eastAsia" w:ascii="宋体" w:hAnsi="宋体" w:eastAsia="宋体" w:cs="宋体"/>
                <w:sz w:val="21"/>
                <w:szCs w:val="21"/>
              </w:rPr>
              <w:t>YQW08</w:t>
            </w:r>
          </w:p>
        </w:tc>
        <w:tc>
          <w:tcPr>
            <w:tcW w:w="0" w:type="auto"/>
            <w:tcBorders>
              <w:tl2br w:val="nil"/>
              <w:tr2bl w:val="nil"/>
            </w:tcBorders>
            <w:shd w:val="clear" w:color="auto" w:fill="auto"/>
            <w:noWrap/>
            <w:vAlign w:val="bottom"/>
          </w:tcPr>
          <w:p w14:paraId="3FC48F4E">
            <w:pPr>
              <w:rPr>
                <w:rFonts w:hint="eastAsia" w:ascii="宋体" w:hAnsi="宋体" w:eastAsia="宋体" w:cs="宋体"/>
                <w:sz w:val="21"/>
                <w:szCs w:val="21"/>
              </w:rPr>
            </w:pPr>
            <w:r>
              <w:rPr>
                <w:rFonts w:hint="eastAsia" w:ascii="宋体" w:hAnsi="宋体" w:eastAsia="宋体" w:cs="宋体"/>
                <w:sz w:val="21"/>
                <w:szCs w:val="21"/>
              </w:rPr>
              <w:t>121.0000</w:t>
            </w:r>
          </w:p>
        </w:tc>
        <w:tc>
          <w:tcPr>
            <w:tcW w:w="0" w:type="auto"/>
            <w:tcBorders>
              <w:tl2br w:val="nil"/>
              <w:tr2bl w:val="nil"/>
            </w:tcBorders>
            <w:shd w:val="clear" w:color="auto" w:fill="auto"/>
            <w:noWrap/>
            <w:vAlign w:val="bottom"/>
          </w:tcPr>
          <w:p w14:paraId="6F7E41EC">
            <w:pPr>
              <w:rPr>
                <w:rFonts w:hint="eastAsia" w:ascii="宋体" w:hAnsi="宋体" w:eastAsia="宋体" w:cs="宋体"/>
                <w:sz w:val="21"/>
                <w:szCs w:val="21"/>
              </w:rPr>
            </w:pPr>
            <w:r>
              <w:rPr>
                <w:rFonts w:hint="eastAsia" w:ascii="宋体" w:hAnsi="宋体" w:eastAsia="宋体" w:cs="宋体"/>
                <w:sz w:val="21"/>
                <w:szCs w:val="21"/>
              </w:rPr>
              <w:t>27.7778</w:t>
            </w:r>
          </w:p>
        </w:tc>
        <w:tc>
          <w:tcPr>
            <w:tcW w:w="0" w:type="auto"/>
            <w:tcBorders>
              <w:tl2br w:val="nil"/>
              <w:tr2bl w:val="nil"/>
            </w:tcBorders>
            <w:shd w:val="clear" w:color="auto" w:fill="auto"/>
            <w:noWrap/>
            <w:vAlign w:val="bottom"/>
          </w:tcPr>
          <w:p w14:paraId="13E75DD3">
            <w:pPr>
              <w:rPr>
                <w:rFonts w:hint="eastAsia" w:ascii="宋体" w:hAnsi="宋体" w:eastAsia="宋体" w:cs="宋体"/>
                <w:sz w:val="21"/>
                <w:szCs w:val="21"/>
              </w:rPr>
            </w:pPr>
            <w:r>
              <w:rPr>
                <w:rFonts w:hint="eastAsia" w:ascii="宋体" w:hAnsi="宋体" w:eastAsia="宋体" w:cs="宋体"/>
                <w:sz w:val="21"/>
                <w:szCs w:val="21"/>
              </w:rPr>
              <w:t>鱼类环境DNA</w:t>
            </w:r>
          </w:p>
        </w:tc>
      </w:tr>
      <w:tr w14:paraId="1C976C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70B2CF41">
            <w:pPr>
              <w:rPr>
                <w:rFonts w:hint="eastAsia" w:ascii="宋体" w:hAnsi="宋体" w:eastAsia="宋体" w:cs="宋体"/>
                <w:sz w:val="21"/>
                <w:szCs w:val="21"/>
              </w:rPr>
            </w:pPr>
            <w:r>
              <w:rPr>
                <w:rFonts w:hint="eastAsia" w:ascii="宋体" w:hAnsi="宋体" w:eastAsia="宋体" w:cs="宋体"/>
                <w:sz w:val="21"/>
                <w:szCs w:val="21"/>
              </w:rPr>
              <w:t>YQW09</w:t>
            </w:r>
          </w:p>
        </w:tc>
        <w:tc>
          <w:tcPr>
            <w:tcW w:w="0" w:type="auto"/>
            <w:tcBorders>
              <w:tl2br w:val="nil"/>
              <w:tr2bl w:val="nil"/>
            </w:tcBorders>
            <w:shd w:val="clear" w:color="auto" w:fill="auto"/>
            <w:noWrap/>
            <w:vAlign w:val="bottom"/>
          </w:tcPr>
          <w:p w14:paraId="1CBC2E45">
            <w:pPr>
              <w:rPr>
                <w:rFonts w:hint="eastAsia" w:ascii="宋体" w:hAnsi="宋体" w:eastAsia="宋体" w:cs="宋体"/>
                <w:sz w:val="21"/>
                <w:szCs w:val="21"/>
              </w:rPr>
            </w:pPr>
            <w:r>
              <w:rPr>
                <w:rFonts w:hint="eastAsia" w:ascii="宋体" w:hAnsi="宋体" w:eastAsia="宋体" w:cs="宋体"/>
                <w:sz w:val="21"/>
                <w:szCs w:val="21"/>
              </w:rPr>
              <w:t>121.2333</w:t>
            </w:r>
          </w:p>
        </w:tc>
        <w:tc>
          <w:tcPr>
            <w:tcW w:w="0" w:type="auto"/>
            <w:tcBorders>
              <w:tl2br w:val="nil"/>
              <w:tr2bl w:val="nil"/>
            </w:tcBorders>
            <w:shd w:val="clear" w:color="auto" w:fill="auto"/>
            <w:noWrap/>
            <w:vAlign w:val="bottom"/>
          </w:tcPr>
          <w:p w14:paraId="06EAFBB7">
            <w:pPr>
              <w:rPr>
                <w:rFonts w:hint="eastAsia" w:ascii="宋体" w:hAnsi="宋体" w:eastAsia="宋体" w:cs="宋体"/>
                <w:sz w:val="21"/>
                <w:szCs w:val="21"/>
              </w:rPr>
            </w:pPr>
            <w:r>
              <w:rPr>
                <w:rFonts w:hint="eastAsia" w:ascii="宋体" w:hAnsi="宋体" w:eastAsia="宋体" w:cs="宋体"/>
                <w:sz w:val="21"/>
                <w:szCs w:val="21"/>
              </w:rPr>
              <w:t>27.8167</w:t>
            </w:r>
          </w:p>
        </w:tc>
        <w:tc>
          <w:tcPr>
            <w:tcW w:w="0" w:type="auto"/>
            <w:tcBorders>
              <w:tl2br w:val="nil"/>
              <w:tr2bl w:val="nil"/>
            </w:tcBorders>
            <w:shd w:val="clear" w:color="auto" w:fill="auto"/>
            <w:noWrap/>
            <w:vAlign w:val="bottom"/>
          </w:tcPr>
          <w:p w14:paraId="5182FACE">
            <w:pPr>
              <w:rPr>
                <w:rFonts w:hint="eastAsia" w:ascii="宋体" w:hAnsi="宋体" w:eastAsia="宋体" w:cs="宋体"/>
                <w:sz w:val="21"/>
                <w:szCs w:val="21"/>
              </w:rPr>
            </w:pPr>
            <w:r>
              <w:rPr>
                <w:rFonts w:hint="eastAsia" w:ascii="宋体" w:hAnsi="宋体" w:eastAsia="宋体" w:cs="宋体"/>
                <w:sz w:val="21"/>
                <w:szCs w:val="21"/>
              </w:rPr>
              <w:t>鱼类环境DNA</w:t>
            </w:r>
          </w:p>
        </w:tc>
      </w:tr>
      <w:tr w14:paraId="0D7948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67D386AB">
            <w:pPr>
              <w:rPr>
                <w:rFonts w:hint="eastAsia" w:ascii="宋体" w:hAnsi="宋体" w:eastAsia="宋体" w:cs="宋体"/>
                <w:sz w:val="21"/>
                <w:szCs w:val="21"/>
              </w:rPr>
            </w:pPr>
            <w:r>
              <w:rPr>
                <w:rFonts w:hint="eastAsia" w:ascii="宋体" w:hAnsi="宋体" w:eastAsia="宋体" w:cs="宋体"/>
                <w:sz w:val="21"/>
                <w:szCs w:val="21"/>
              </w:rPr>
              <w:t>YQW10</w:t>
            </w:r>
          </w:p>
        </w:tc>
        <w:tc>
          <w:tcPr>
            <w:tcW w:w="0" w:type="auto"/>
            <w:tcBorders>
              <w:tl2br w:val="nil"/>
              <w:tr2bl w:val="nil"/>
            </w:tcBorders>
            <w:shd w:val="clear" w:color="auto" w:fill="auto"/>
            <w:noWrap/>
            <w:vAlign w:val="bottom"/>
          </w:tcPr>
          <w:p w14:paraId="4CA6FD2F">
            <w:pPr>
              <w:rPr>
                <w:rFonts w:hint="eastAsia" w:ascii="宋体" w:hAnsi="宋体" w:eastAsia="宋体" w:cs="宋体"/>
                <w:sz w:val="21"/>
                <w:szCs w:val="21"/>
              </w:rPr>
            </w:pPr>
            <w:r>
              <w:rPr>
                <w:rFonts w:hint="eastAsia" w:ascii="宋体" w:hAnsi="宋体" w:eastAsia="宋体" w:cs="宋体"/>
                <w:sz w:val="21"/>
                <w:szCs w:val="21"/>
              </w:rPr>
              <w:t>121.2922</w:t>
            </w:r>
          </w:p>
        </w:tc>
        <w:tc>
          <w:tcPr>
            <w:tcW w:w="0" w:type="auto"/>
            <w:tcBorders>
              <w:tl2br w:val="nil"/>
              <w:tr2bl w:val="nil"/>
            </w:tcBorders>
            <w:shd w:val="clear" w:color="auto" w:fill="auto"/>
            <w:noWrap/>
            <w:vAlign w:val="bottom"/>
          </w:tcPr>
          <w:p w14:paraId="30AD18C1">
            <w:pPr>
              <w:rPr>
                <w:rFonts w:hint="eastAsia" w:ascii="宋体" w:hAnsi="宋体" w:eastAsia="宋体" w:cs="宋体"/>
                <w:sz w:val="21"/>
                <w:szCs w:val="21"/>
              </w:rPr>
            </w:pPr>
            <w:r>
              <w:rPr>
                <w:rFonts w:hint="eastAsia" w:ascii="宋体" w:hAnsi="宋体" w:eastAsia="宋体" w:cs="宋体"/>
                <w:sz w:val="21"/>
                <w:szCs w:val="21"/>
              </w:rPr>
              <w:t>28.0383</w:t>
            </w:r>
          </w:p>
        </w:tc>
        <w:tc>
          <w:tcPr>
            <w:tcW w:w="0" w:type="auto"/>
            <w:tcBorders>
              <w:tl2br w:val="nil"/>
              <w:tr2bl w:val="nil"/>
            </w:tcBorders>
            <w:shd w:val="clear" w:color="auto" w:fill="auto"/>
            <w:noWrap/>
            <w:vAlign w:val="bottom"/>
          </w:tcPr>
          <w:p w14:paraId="63517E9D">
            <w:pPr>
              <w:rPr>
                <w:rFonts w:hint="eastAsia" w:ascii="宋体" w:hAnsi="宋体" w:eastAsia="宋体" w:cs="宋体"/>
                <w:sz w:val="21"/>
                <w:szCs w:val="21"/>
              </w:rPr>
            </w:pPr>
            <w:r>
              <w:rPr>
                <w:rFonts w:hint="eastAsia" w:ascii="宋体" w:hAnsi="宋体" w:eastAsia="宋体" w:cs="宋体"/>
                <w:sz w:val="21"/>
                <w:szCs w:val="21"/>
              </w:rPr>
              <w:t>鱼类环境DNA</w:t>
            </w:r>
          </w:p>
        </w:tc>
      </w:tr>
      <w:tr w14:paraId="3304FE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537C4CE3">
            <w:pPr>
              <w:rPr>
                <w:rFonts w:hint="eastAsia" w:ascii="宋体" w:hAnsi="宋体" w:eastAsia="宋体" w:cs="宋体"/>
                <w:sz w:val="21"/>
                <w:szCs w:val="21"/>
              </w:rPr>
            </w:pPr>
            <w:r>
              <w:rPr>
                <w:rFonts w:hint="eastAsia" w:ascii="宋体" w:hAnsi="宋体" w:eastAsia="宋体" w:cs="宋体"/>
                <w:sz w:val="21"/>
                <w:szCs w:val="21"/>
              </w:rPr>
              <w:t>YQW11</w:t>
            </w:r>
          </w:p>
        </w:tc>
        <w:tc>
          <w:tcPr>
            <w:tcW w:w="0" w:type="auto"/>
            <w:tcBorders>
              <w:tl2br w:val="nil"/>
              <w:tr2bl w:val="nil"/>
            </w:tcBorders>
            <w:shd w:val="clear" w:color="auto" w:fill="auto"/>
            <w:noWrap/>
            <w:vAlign w:val="bottom"/>
          </w:tcPr>
          <w:p w14:paraId="1BC4FDCC">
            <w:pPr>
              <w:rPr>
                <w:rFonts w:hint="eastAsia" w:ascii="宋体" w:hAnsi="宋体" w:eastAsia="宋体" w:cs="宋体"/>
                <w:sz w:val="21"/>
                <w:szCs w:val="21"/>
              </w:rPr>
            </w:pPr>
            <w:r>
              <w:rPr>
                <w:rFonts w:hint="eastAsia" w:ascii="宋体" w:hAnsi="宋体" w:eastAsia="宋体" w:cs="宋体"/>
                <w:sz w:val="21"/>
                <w:szCs w:val="21"/>
              </w:rPr>
              <w:t>121.3131</w:t>
            </w:r>
          </w:p>
        </w:tc>
        <w:tc>
          <w:tcPr>
            <w:tcW w:w="0" w:type="auto"/>
            <w:tcBorders>
              <w:tl2br w:val="nil"/>
              <w:tr2bl w:val="nil"/>
            </w:tcBorders>
            <w:shd w:val="clear" w:color="auto" w:fill="auto"/>
            <w:noWrap/>
            <w:vAlign w:val="bottom"/>
          </w:tcPr>
          <w:p w14:paraId="6584EC1A">
            <w:pPr>
              <w:rPr>
                <w:rFonts w:hint="eastAsia" w:ascii="宋体" w:hAnsi="宋体" w:eastAsia="宋体" w:cs="宋体"/>
                <w:sz w:val="21"/>
                <w:szCs w:val="21"/>
              </w:rPr>
            </w:pPr>
            <w:r>
              <w:rPr>
                <w:rFonts w:hint="eastAsia" w:ascii="宋体" w:hAnsi="宋体" w:eastAsia="宋体" w:cs="宋体"/>
                <w:sz w:val="21"/>
                <w:szCs w:val="21"/>
              </w:rPr>
              <w:t>28.1254</w:t>
            </w:r>
          </w:p>
        </w:tc>
        <w:tc>
          <w:tcPr>
            <w:tcW w:w="0" w:type="auto"/>
            <w:tcBorders>
              <w:tl2br w:val="nil"/>
              <w:tr2bl w:val="nil"/>
            </w:tcBorders>
            <w:shd w:val="clear" w:color="auto" w:fill="auto"/>
            <w:noWrap/>
            <w:vAlign w:val="bottom"/>
          </w:tcPr>
          <w:p w14:paraId="46F0994A">
            <w:pPr>
              <w:rPr>
                <w:rFonts w:hint="eastAsia" w:ascii="宋体" w:hAnsi="宋体" w:eastAsia="宋体" w:cs="宋体"/>
                <w:sz w:val="21"/>
                <w:szCs w:val="21"/>
              </w:rPr>
            </w:pPr>
            <w:r>
              <w:rPr>
                <w:rFonts w:hint="eastAsia" w:ascii="宋体" w:hAnsi="宋体" w:eastAsia="宋体" w:cs="宋体"/>
                <w:sz w:val="21"/>
                <w:szCs w:val="21"/>
              </w:rPr>
              <w:t>鱼类环境DNA</w:t>
            </w:r>
          </w:p>
        </w:tc>
      </w:tr>
      <w:tr w14:paraId="462B98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1C450123">
            <w:pPr>
              <w:rPr>
                <w:rFonts w:hint="eastAsia" w:ascii="宋体" w:hAnsi="宋体" w:eastAsia="宋体" w:cs="宋体"/>
                <w:sz w:val="21"/>
                <w:szCs w:val="21"/>
              </w:rPr>
            </w:pPr>
            <w:r>
              <w:rPr>
                <w:rFonts w:hint="eastAsia" w:ascii="宋体" w:hAnsi="宋体" w:eastAsia="宋体" w:cs="宋体"/>
                <w:sz w:val="21"/>
                <w:szCs w:val="21"/>
              </w:rPr>
              <w:t>YQW12</w:t>
            </w:r>
          </w:p>
        </w:tc>
        <w:tc>
          <w:tcPr>
            <w:tcW w:w="0" w:type="auto"/>
            <w:tcBorders>
              <w:tl2br w:val="nil"/>
              <w:tr2bl w:val="nil"/>
            </w:tcBorders>
            <w:shd w:val="clear" w:color="auto" w:fill="auto"/>
            <w:noWrap/>
            <w:vAlign w:val="bottom"/>
          </w:tcPr>
          <w:p w14:paraId="2870BD89">
            <w:pPr>
              <w:rPr>
                <w:rFonts w:hint="eastAsia" w:ascii="宋体" w:hAnsi="宋体" w:eastAsia="宋体" w:cs="宋体"/>
                <w:sz w:val="21"/>
                <w:szCs w:val="21"/>
              </w:rPr>
            </w:pPr>
            <w:r>
              <w:rPr>
                <w:rFonts w:hint="eastAsia" w:ascii="宋体" w:hAnsi="宋体" w:eastAsia="宋体" w:cs="宋体"/>
                <w:sz w:val="21"/>
                <w:szCs w:val="21"/>
              </w:rPr>
              <w:t>121.4750</w:t>
            </w:r>
          </w:p>
        </w:tc>
        <w:tc>
          <w:tcPr>
            <w:tcW w:w="0" w:type="auto"/>
            <w:tcBorders>
              <w:tl2br w:val="nil"/>
              <w:tr2bl w:val="nil"/>
            </w:tcBorders>
            <w:shd w:val="clear" w:color="auto" w:fill="auto"/>
            <w:noWrap/>
            <w:vAlign w:val="bottom"/>
          </w:tcPr>
          <w:p w14:paraId="2A51BAA9">
            <w:pPr>
              <w:rPr>
                <w:rFonts w:hint="eastAsia" w:ascii="宋体" w:hAnsi="宋体" w:eastAsia="宋体" w:cs="宋体"/>
                <w:sz w:val="21"/>
                <w:szCs w:val="21"/>
              </w:rPr>
            </w:pPr>
            <w:r>
              <w:rPr>
                <w:rFonts w:hint="eastAsia" w:ascii="宋体" w:hAnsi="宋体" w:eastAsia="宋体" w:cs="宋体"/>
                <w:sz w:val="21"/>
                <w:szCs w:val="21"/>
              </w:rPr>
              <w:t>28.0850</w:t>
            </w:r>
          </w:p>
        </w:tc>
        <w:tc>
          <w:tcPr>
            <w:tcW w:w="0" w:type="auto"/>
            <w:tcBorders>
              <w:tl2br w:val="nil"/>
              <w:tr2bl w:val="nil"/>
            </w:tcBorders>
            <w:shd w:val="clear" w:color="auto" w:fill="auto"/>
            <w:noWrap/>
            <w:vAlign w:val="bottom"/>
          </w:tcPr>
          <w:p w14:paraId="67842C8B">
            <w:pPr>
              <w:rPr>
                <w:rFonts w:hint="eastAsia" w:ascii="宋体" w:hAnsi="宋体" w:eastAsia="宋体" w:cs="宋体"/>
                <w:sz w:val="21"/>
                <w:szCs w:val="21"/>
              </w:rPr>
            </w:pPr>
            <w:r>
              <w:rPr>
                <w:rFonts w:hint="eastAsia" w:ascii="宋体" w:hAnsi="宋体" w:eastAsia="宋体" w:cs="宋体"/>
                <w:sz w:val="21"/>
                <w:szCs w:val="21"/>
              </w:rPr>
              <w:t>鱼类环境DNA</w:t>
            </w:r>
          </w:p>
        </w:tc>
      </w:tr>
      <w:tr w14:paraId="6F72F8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6D13C77F">
            <w:pPr>
              <w:rPr>
                <w:rFonts w:hint="eastAsia" w:ascii="宋体" w:hAnsi="宋体" w:eastAsia="宋体" w:cs="宋体"/>
                <w:sz w:val="21"/>
                <w:szCs w:val="21"/>
              </w:rPr>
            </w:pPr>
            <w:r>
              <w:rPr>
                <w:rFonts w:hint="eastAsia" w:ascii="宋体" w:hAnsi="宋体" w:eastAsia="宋体" w:cs="宋体"/>
                <w:sz w:val="21"/>
                <w:szCs w:val="21"/>
              </w:rPr>
              <w:t>YQW13</w:t>
            </w:r>
          </w:p>
        </w:tc>
        <w:tc>
          <w:tcPr>
            <w:tcW w:w="0" w:type="auto"/>
            <w:tcBorders>
              <w:tl2br w:val="nil"/>
              <w:tr2bl w:val="nil"/>
            </w:tcBorders>
            <w:shd w:val="clear" w:color="auto" w:fill="auto"/>
            <w:noWrap/>
            <w:vAlign w:val="bottom"/>
          </w:tcPr>
          <w:p w14:paraId="50965FF2">
            <w:pPr>
              <w:rPr>
                <w:rFonts w:hint="eastAsia" w:ascii="宋体" w:hAnsi="宋体" w:eastAsia="宋体" w:cs="宋体"/>
                <w:sz w:val="21"/>
                <w:szCs w:val="21"/>
              </w:rPr>
            </w:pPr>
            <w:r>
              <w:rPr>
                <w:rFonts w:hint="eastAsia" w:ascii="宋体" w:hAnsi="宋体" w:eastAsia="宋体" w:cs="宋体"/>
                <w:sz w:val="21"/>
                <w:szCs w:val="21"/>
              </w:rPr>
              <w:t>121.5020</w:t>
            </w:r>
          </w:p>
        </w:tc>
        <w:tc>
          <w:tcPr>
            <w:tcW w:w="0" w:type="auto"/>
            <w:tcBorders>
              <w:tl2br w:val="nil"/>
              <w:tr2bl w:val="nil"/>
            </w:tcBorders>
            <w:shd w:val="clear" w:color="auto" w:fill="auto"/>
            <w:noWrap/>
            <w:vAlign w:val="bottom"/>
          </w:tcPr>
          <w:p w14:paraId="7267401A">
            <w:pPr>
              <w:rPr>
                <w:rFonts w:hint="eastAsia" w:ascii="宋体" w:hAnsi="宋体" w:eastAsia="宋体" w:cs="宋体"/>
                <w:sz w:val="21"/>
                <w:szCs w:val="21"/>
              </w:rPr>
            </w:pPr>
            <w:r>
              <w:rPr>
                <w:rFonts w:hint="eastAsia" w:ascii="宋体" w:hAnsi="宋体" w:eastAsia="宋体" w:cs="宋体"/>
                <w:sz w:val="21"/>
                <w:szCs w:val="21"/>
              </w:rPr>
              <w:t>27.8677</w:t>
            </w:r>
          </w:p>
        </w:tc>
        <w:tc>
          <w:tcPr>
            <w:tcW w:w="0" w:type="auto"/>
            <w:tcBorders>
              <w:tl2br w:val="nil"/>
              <w:tr2bl w:val="nil"/>
            </w:tcBorders>
            <w:shd w:val="clear" w:color="auto" w:fill="auto"/>
            <w:noWrap/>
            <w:vAlign w:val="bottom"/>
          </w:tcPr>
          <w:p w14:paraId="437255E1">
            <w:pPr>
              <w:rPr>
                <w:rFonts w:hint="eastAsia" w:ascii="宋体" w:hAnsi="宋体" w:eastAsia="宋体" w:cs="宋体"/>
                <w:sz w:val="21"/>
                <w:szCs w:val="21"/>
              </w:rPr>
            </w:pPr>
            <w:r>
              <w:rPr>
                <w:rFonts w:hint="eastAsia" w:ascii="宋体" w:hAnsi="宋体" w:eastAsia="宋体" w:cs="宋体"/>
                <w:sz w:val="21"/>
                <w:szCs w:val="21"/>
              </w:rPr>
              <w:t>鱼类环境DNA</w:t>
            </w:r>
          </w:p>
        </w:tc>
      </w:tr>
    </w:tbl>
    <w:p w14:paraId="71016AC9">
      <w:pPr>
        <w:pStyle w:val="164"/>
        <w:widowControl/>
        <w:numPr>
          <w:ilvl w:val="0"/>
          <w:numId w:val="5"/>
        </w:numPr>
        <w:ind w:firstLine="200" w:firstLineChars="0"/>
        <w:jc w:val="left"/>
        <w:textAlignment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项目要求</w:t>
      </w:r>
    </w:p>
    <w:p w14:paraId="6F6BDAD3">
      <w:pPr>
        <w:rPr>
          <w:rFonts w:hint="eastAsia" w:ascii="宋体" w:hAnsi="宋体" w:eastAsia="宋体" w:cs="宋体"/>
          <w:color w:val="000000"/>
          <w:sz w:val="21"/>
          <w:szCs w:val="21"/>
        </w:rPr>
      </w:pPr>
      <w:r>
        <w:rPr>
          <w:rFonts w:hint="eastAsia" w:ascii="宋体" w:hAnsi="宋体" w:eastAsia="宋体" w:cs="宋体"/>
          <w:color w:val="000000"/>
          <w:sz w:val="21"/>
          <w:szCs w:val="21"/>
        </w:rPr>
        <w:t>1、投标人要求</w:t>
      </w:r>
    </w:p>
    <w:p w14:paraId="01C08B3F">
      <w:pPr>
        <w:rPr>
          <w:rFonts w:hint="eastAsia" w:ascii="宋体" w:hAnsi="宋体" w:eastAsia="宋体" w:cs="宋体"/>
          <w:color w:val="000000"/>
          <w:sz w:val="21"/>
          <w:szCs w:val="21"/>
        </w:rPr>
      </w:pPr>
      <w:r>
        <w:rPr>
          <w:rFonts w:hint="eastAsia" w:ascii="宋体" w:hAnsi="宋体" w:eastAsia="宋体" w:cs="宋体"/>
          <w:color w:val="000000"/>
          <w:sz w:val="21"/>
          <w:szCs w:val="21"/>
        </w:rPr>
        <w:t>投标人具有海洋鱼类环境DNA监测和高通量数据分析工作经验。具备传统形态学和分子生物学实验能力和经验，具有分子生态学相关研究经验。</w:t>
      </w:r>
    </w:p>
    <w:p w14:paraId="437CFF1D">
      <w:pPr>
        <w:rPr>
          <w:rFonts w:hint="eastAsia" w:ascii="宋体" w:hAnsi="宋体" w:eastAsia="宋体" w:cs="宋体"/>
          <w:color w:val="000000"/>
          <w:sz w:val="21"/>
          <w:szCs w:val="21"/>
        </w:rPr>
      </w:pPr>
      <w:r>
        <w:rPr>
          <w:rFonts w:hint="eastAsia" w:ascii="宋体" w:hAnsi="宋体" w:eastAsia="宋体" w:cs="宋体"/>
          <w:color w:val="000000"/>
          <w:sz w:val="21"/>
          <w:szCs w:val="21"/>
        </w:rPr>
        <w:t>2、工作要求</w:t>
      </w:r>
    </w:p>
    <w:p w14:paraId="0B3BAAEA">
      <w:pPr>
        <w:rPr>
          <w:rFonts w:hint="eastAsia" w:ascii="宋体" w:hAnsi="宋体" w:eastAsia="宋体" w:cs="宋体"/>
          <w:color w:val="000000"/>
          <w:sz w:val="21"/>
          <w:szCs w:val="21"/>
        </w:rPr>
      </w:pPr>
      <w:r>
        <w:rPr>
          <w:rFonts w:hint="eastAsia" w:ascii="宋体" w:hAnsi="宋体" w:eastAsia="宋体" w:cs="宋体"/>
          <w:color w:val="000000"/>
          <w:sz w:val="21"/>
          <w:szCs w:val="21"/>
        </w:rPr>
        <w:t>2.1 投标人应按照服务具体要求的内容和时间期限开展约定调查研究，提供针对本服务内容的详细实施方案、实施计划、服务质量保证措施。实施方案需包括（但不限于）现场采样、水样前处理、DNA提取、PCR扩增、高通量测序、生物信息学分析、质量保证与质量控制等。</w:t>
      </w:r>
    </w:p>
    <w:p w14:paraId="7CF01B20">
      <w:pPr>
        <w:rPr>
          <w:rFonts w:hint="eastAsia" w:ascii="宋体" w:hAnsi="宋体" w:eastAsia="宋体" w:cs="宋体"/>
          <w:color w:val="000000"/>
          <w:sz w:val="21"/>
          <w:szCs w:val="21"/>
        </w:rPr>
      </w:pPr>
      <w:r>
        <w:rPr>
          <w:rFonts w:hint="eastAsia" w:ascii="宋体" w:hAnsi="宋体" w:eastAsia="宋体" w:cs="宋体"/>
          <w:color w:val="000000"/>
          <w:sz w:val="21"/>
          <w:szCs w:val="21"/>
        </w:rPr>
        <w:t>2.2 投标人应对项目产生的全部数据提供存储和备份服务，数据分析完后移交给采购人。</w:t>
      </w:r>
    </w:p>
    <w:p w14:paraId="68981DCE">
      <w:pPr>
        <w:rPr>
          <w:rFonts w:hint="eastAsia" w:ascii="宋体" w:hAnsi="宋体" w:eastAsia="宋体" w:cs="宋体"/>
          <w:color w:val="000000"/>
          <w:sz w:val="21"/>
          <w:szCs w:val="21"/>
        </w:rPr>
      </w:pPr>
      <w:r>
        <w:rPr>
          <w:rFonts w:hint="eastAsia" w:ascii="宋体" w:hAnsi="宋体" w:eastAsia="宋体" w:cs="宋体"/>
          <w:color w:val="000000"/>
          <w:sz w:val="21"/>
          <w:szCs w:val="21"/>
        </w:rPr>
        <w:t>表</w:t>
      </w: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 SEQ 表 \* ARABIC </w:instrText>
      </w:r>
      <w:r>
        <w:rPr>
          <w:rFonts w:hint="eastAsia" w:ascii="宋体" w:hAnsi="宋体" w:eastAsia="宋体" w:cs="宋体"/>
          <w:color w:val="000000"/>
          <w:sz w:val="21"/>
          <w:szCs w:val="21"/>
        </w:rPr>
        <w:fldChar w:fldCharType="separate"/>
      </w:r>
      <w:r>
        <w:rPr>
          <w:rFonts w:hint="eastAsia" w:ascii="宋体" w:hAnsi="宋体" w:eastAsia="宋体" w:cs="宋体"/>
          <w:color w:val="000000"/>
          <w:sz w:val="21"/>
          <w:szCs w:val="21"/>
        </w:rPr>
        <w:t>2</w:t>
      </w:r>
      <w:r>
        <w:rPr>
          <w:rFonts w:hint="eastAsia" w:ascii="宋体" w:hAnsi="宋体" w:eastAsia="宋体" w:cs="宋体"/>
          <w:color w:val="000000"/>
          <w:sz w:val="21"/>
          <w:szCs w:val="21"/>
        </w:rPr>
        <w:fldChar w:fldCharType="end"/>
      </w:r>
      <w:r>
        <w:rPr>
          <w:rFonts w:hint="eastAsia" w:ascii="宋体" w:hAnsi="宋体" w:eastAsia="宋体" w:cs="宋体"/>
          <w:color w:val="000000"/>
          <w:sz w:val="21"/>
          <w:szCs w:val="21"/>
        </w:rPr>
        <w:t>杭州湾、乐清湾环境DNA（鱼类、中华鲟）监测要求一览表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1"/>
        <w:gridCol w:w="1679"/>
        <w:gridCol w:w="4340"/>
        <w:gridCol w:w="1502"/>
      </w:tblGrid>
      <w:tr w14:paraId="0C831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784" w:type="dxa"/>
            <w:noWrap/>
            <w:vAlign w:val="center"/>
          </w:tcPr>
          <w:p w14:paraId="3196C031">
            <w:pPr>
              <w:pStyle w:val="111"/>
              <w:adjustRightInd w:val="0"/>
              <w:snapToGrid w:val="0"/>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项目名称</w:t>
            </w:r>
          </w:p>
        </w:tc>
        <w:tc>
          <w:tcPr>
            <w:tcW w:w="1399" w:type="dxa"/>
            <w:noWrap/>
            <w:vAlign w:val="center"/>
          </w:tcPr>
          <w:p w14:paraId="66D71EF0">
            <w:pPr>
              <w:pStyle w:val="111"/>
              <w:adjustRightInd w:val="0"/>
              <w:snapToGrid w:val="0"/>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站位</w:t>
            </w:r>
          </w:p>
        </w:tc>
        <w:tc>
          <w:tcPr>
            <w:tcW w:w="3616" w:type="dxa"/>
            <w:noWrap/>
            <w:vAlign w:val="center"/>
          </w:tcPr>
          <w:p w14:paraId="58C52012">
            <w:pPr>
              <w:pStyle w:val="111"/>
              <w:adjustRightInd w:val="0"/>
              <w:snapToGrid w:val="0"/>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项目要素</w:t>
            </w:r>
          </w:p>
        </w:tc>
        <w:tc>
          <w:tcPr>
            <w:tcW w:w="1251" w:type="dxa"/>
            <w:noWrap/>
            <w:vAlign w:val="center"/>
          </w:tcPr>
          <w:p w14:paraId="36B88E9C">
            <w:pPr>
              <w:pStyle w:val="111"/>
              <w:adjustRightInd w:val="0"/>
              <w:snapToGrid w:val="0"/>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监测周期</w:t>
            </w:r>
          </w:p>
        </w:tc>
      </w:tr>
      <w:tr w14:paraId="43DF5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784" w:type="dxa"/>
            <w:vMerge w:val="restart"/>
            <w:noWrap/>
            <w:vAlign w:val="center"/>
          </w:tcPr>
          <w:p w14:paraId="72537644">
            <w:pPr>
              <w:pStyle w:val="111"/>
              <w:adjustRightInd w:val="0"/>
              <w:snapToGrid w:val="0"/>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杭州湾、乐清湾环境DNA（鱼类、中华鲟）多样性调查项目</w:t>
            </w:r>
          </w:p>
        </w:tc>
        <w:tc>
          <w:tcPr>
            <w:tcW w:w="1399" w:type="dxa"/>
            <w:vMerge w:val="restart"/>
            <w:noWrap/>
            <w:vAlign w:val="center"/>
          </w:tcPr>
          <w:p w14:paraId="051B2318">
            <w:pPr>
              <w:pStyle w:val="111"/>
              <w:adjustRightInd w:val="0"/>
              <w:snapToGrid w:val="0"/>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HZW01-HZW14、YQW01-YQW13</w:t>
            </w:r>
          </w:p>
        </w:tc>
        <w:tc>
          <w:tcPr>
            <w:tcW w:w="3616" w:type="dxa"/>
            <w:noWrap/>
            <w:vAlign w:val="center"/>
          </w:tcPr>
          <w:p w14:paraId="4E0E90DB">
            <w:pPr>
              <w:pStyle w:val="111"/>
              <w:adjustRightInd w:val="0"/>
              <w:snapToGrid w:val="0"/>
              <w:ind w:firstLine="0" w:firstLine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样本采集：记录点位信息、生境照片、平行样采集和无菌操作等</w:t>
            </w:r>
          </w:p>
        </w:tc>
        <w:tc>
          <w:tcPr>
            <w:tcW w:w="1251" w:type="dxa"/>
            <w:noWrap/>
            <w:vAlign w:val="center"/>
          </w:tcPr>
          <w:p w14:paraId="0652C441">
            <w:pPr>
              <w:pStyle w:val="111"/>
              <w:adjustRightInd w:val="0"/>
              <w:snapToGrid w:val="0"/>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1周</w:t>
            </w:r>
          </w:p>
        </w:tc>
      </w:tr>
      <w:tr w14:paraId="61E50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784" w:type="dxa"/>
            <w:vMerge w:val="continue"/>
            <w:noWrap/>
            <w:vAlign w:val="center"/>
          </w:tcPr>
          <w:p w14:paraId="780C893A">
            <w:pPr>
              <w:pStyle w:val="111"/>
              <w:adjustRightInd w:val="0"/>
              <w:snapToGrid w:val="0"/>
              <w:ind w:firstLine="0" w:firstLineChars="0"/>
              <w:jc w:val="center"/>
              <w:rPr>
                <w:rFonts w:hint="eastAsia" w:ascii="宋体" w:hAnsi="宋体" w:eastAsia="宋体" w:cs="宋体"/>
                <w:color w:val="000000"/>
                <w:sz w:val="21"/>
                <w:szCs w:val="21"/>
              </w:rPr>
            </w:pPr>
          </w:p>
        </w:tc>
        <w:tc>
          <w:tcPr>
            <w:tcW w:w="1399" w:type="dxa"/>
            <w:vMerge w:val="continue"/>
            <w:noWrap/>
            <w:vAlign w:val="center"/>
          </w:tcPr>
          <w:p w14:paraId="02C3AC5C">
            <w:pPr>
              <w:pStyle w:val="111"/>
              <w:adjustRightInd w:val="0"/>
              <w:snapToGrid w:val="0"/>
              <w:ind w:firstLine="0" w:firstLineChars="0"/>
              <w:jc w:val="center"/>
              <w:rPr>
                <w:rFonts w:hint="eastAsia" w:ascii="宋体" w:hAnsi="宋体" w:eastAsia="宋体" w:cs="宋体"/>
                <w:color w:val="000000"/>
                <w:sz w:val="21"/>
                <w:szCs w:val="21"/>
              </w:rPr>
            </w:pPr>
          </w:p>
        </w:tc>
        <w:tc>
          <w:tcPr>
            <w:tcW w:w="3616" w:type="dxa"/>
            <w:noWrap/>
            <w:vAlign w:val="center"/>
          </w:tcPr>
          <w:p w14:paraId="524168BD">
            <w:pPr>
              <w:pStyle w:val="111"/>
              <w:adjustRightInd w:val="0"/>
              <w:snapToGrid w:val="0"/>
              <w:ind w:firstLine="0" w:firstLine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实验室分析：DNA提取、PCR扩增、高通量测序等</w:t>
            </w:r>
          </w:p>
        </w:tc>
        <w:tc>
          <w:tcPr>
            <w:tcW w:w="1251" w:type="dxa"/>
            <w:noWrap/>
            <w:vAlign w:val="center"/>
          </w:tcPr>
          <w:p w14:paraId="16C94E4E">
            <w:pPr>
              <w:pStyle w:val="111"/>
              <w:adjustRightInd w:val="0"/>
              <w:snapToGrid w:val="0"/>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2个月</w:t>
            </w:r>
          </w:p>
        </w:tc>
      </w:tr>
      <w:tr w14:paraId="53061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784" w:type="dxa"/>
            <w:vMerge w:val="continue"/>
            <w:noWrap/>
            <w:vAlign w:val="center"/>
          </w:tcPr>
          <w:p w14:paraId="149342F6">
            <w:pPr>
              <w:pStyle w:val="111"/>
              <w:adjustRightInd w:val="0"/>
              <w:snapToGrid w:val="0"/>
              <w:ind w:firstLine="0" w:firstLineChars="0"/>
              <w:jc w:val="center"/>
              <w:rPr>
                <w:rFonts w:hint="eastAsia" w:ascii="宋体" w:hAnsi="宋体" w:eastAsia="宋体" w:cs="宋体"/>
                <w:color w:val="000000"/>
                <w:sz w:val="21"/>
                <w:szCs w:val="21"/>
              </w:rPr>
            </w:pPr>
          </w:p>
        </w:tc>
        <w:tc>
          <w:tcPr>
            <w:tcW w:w="1399" w:type="dxa"/>
            <w:vMerge w:val="continue"/>
            <w:noWrap/>
            <w:vAlign w:val="center"/>
          </w:tcPr>
          <w:p w14:paraId="60CD613B">
            <w:pPr>
              <w:pStyle w:val="111"/>
              <w:adjustRightInd w:val="0"/>
              <w:snapToGrid w:val="0"/>
              <w:ind w:firstLine="0" w:firstLineChars="0"/>
              <w:jc w:val="center"/>
              <w:rPr>
                <w:rFonts w:hint="eastAsia" w:ascii="宋体" w:hAnsi="宋体" w:eastAsia="宋体" w:cs="宋体"/>
                <w:color w:val="000000"/>
                <w:sz w:val="21"/>
                <w:szCs w:val="21"/>
              </w:rPr>
            </w:pPr>
          </w:p>
        </w:tc>
        <w:tc>
          <w:tcPr>
            <w:tcW w:w="3616" w:type="dxa"/>
            <w:noWrap/>
            <w:vAlign w:val="center"/>
          </w:tcPr>
          <w:p w14:paraId="45731440">
            <w:pPr>
              <w:pStyle w:val="111"/>
              <w:adjustRightInd w:val="0"/>
              <w:snapToGrid w:val="0"/>
              <w:ind w:firstLine="0" w:firstLine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数据分析与报告编制：原始鱼类物种OTU序列数据集、多样性分析、鱼类生物样品环境DNA分析图谱、中华鲟环境DNA空间分布以及1份《杭州湾、乐清湾鱼类环境DNA（鱼类、中华鲟）生物多样性分析报告》</w:t>
            </w:r>
          </w:p>
        </w:tc>
        <w:tc>
          <w:tcPr>
            <w:tcW w:w="1251" w:type="dxa"/>
            <w:noWrap/>
            <w:vAlign w:val="center"/>
          </w:tcPr>
          <w:p w14:paraId="5FC8A69A">
            <w:pPr>
              <w:pStyle w:val="111"/>
              <w:adjustRightInd w:val="0"/>
              <w:snapToGrid w:val="0"/>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1个月</w:t>
            </w:r>
          </w:p>
        </w:tc>
      </w:tr>
    </w:tbl>
    <w:p w14:paraId="7AB08FD4">
      <w:pPr>
        <w:pStyle w:val="164"/>
        <w:widowControl/>
        <w:numPr>
          <w:ilvl w:val="0"/>
          <w:numId w:val="5"/>
        </w:numPr>
        <w:ind w:firstLine="200" w:firstLineChars="0"/>
        <w:jc w:val="left"/>
        <w:textAlignment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项目其他要求</w:t>
      </w:r>
    </w:p>
    <w:p w14:paraId="79641511">
      <w:pPr>
        <w:rPr>
          <w:rFonts w:hint="eastAsia" w:ascii="宋体" w:hAnsi="宋体" w:eastAsia="宋体" w:cs="宋体"/>
          <w:color w:val="000000"/>
          <w:sz w:val="21"/>
          <w:szCs w:val="21"/>
        </w:rPr>
      </w:pPr>
      <w:r>
        <w:rPr>
          <w:rFonts w:hint="eastAsia" w:ascii="宋体" w:hAnsi="宋体" w:eastAsia="宋体" w:cs="宋体"/>
          <w:color w:val="000000"/>
          <w:sz w:val="21"/>
          <w:szCs w:val="21"/>
        </w:rPr>
        <w:t>1、质量控制：</w:t>
      </w:r>
    </w:p>
    <w:p w14:paraId="3A7C9CF9">
      <w:pPr>
        <w:rPr>
          <w:rFonts w:hint="eastAsia" w:ascii="宋体" w:hAnsi="宋体" w:eastAsia="宋体" w:cs="宋体"/>
          <w:color w:val="000000"/>
          <w:sz w:val="21"/>
          <w:szCs w:val="21"/>
        </w:rPr>
      </w:pPr>
      <w:r>
        <w:rPr>
          <w:rFonts w:hint="eastAsia" w:ascii="宋体" w:hAnsi="宋体" w:eastAsia="宋体" w:cs="宋体"/>
          <w:color w:val="000000"/>
          <w:sz w:val="21"/>
          <w:szCs w:val="21"/>
        </w:rPr>
        <w:t>（1）阴性对照</w:t>
      </w:r>
    </w:p>
    <w:p w14:paraId="282C3C54">
      <w:pPr>
        <w:rPr>
          <w:rFonts w:hint="eastAsia" w:ascii="宋体" w:hAnsi="宋体" w:eastAsia="宋体" w:cs="宋体"/>
          <w:color w:val="000000"/>
          <w:sz w:val="21"/>
          <w:szCs w:val="21"/>
        </w:rPr>
      </w:pPr>
      <w:r>
        <w:rPr>
          <w:rFonts w:hint="eastAsia" w:ascii="宋体" w:hAnsi="宋体" w:eastAsia="宋体" w:cs="宋体"/>
          <w:color w:val="000000"/>
          <w:sz w:val="21"/>
          <w:szCs w:val="21"/>
        </w:rPr>
        <w:t>在样品采集、前处理、DNA提取、PCR扩增阶段，分别设置阴性对照。</w:t>
      </w:r>
    </w:p>
    <w:p w14:paraId="261CDA52">
      <w:pPr>
        <w:rPr>
          <w:rFonts w:hint="eastAsia" w:ascii="宋体" w:hAnsi="宋体" w:eastAsia="宋体" w:cs="宋体"/>
          <w:color w:val="000000"/>
          <w:sz w:val="21"/>
          <w:szCs w:val="21"/>
        </w:rPr>
      </w:pPr>
      <w:r>
        <w:rPr>
          <w:rFonts w:hint="eastAsia" w:ascii="宋体" w:hAnsi="宋体" w:eastAsia="宋体" w:cs="宋体"/>
          <w:color w:val="000000"/>
          <w:sz w:val="21"/>
          <w:szCs w:val="21"/>
        </w:rPr>
        <w:t>（2）阳性对照</w:t>
      </w:r>
    </w:p>
    <w:p w14:paraId="3A8271A9">
      <w:pPr>
        <w:rPr>
          <w:rFonts w:hint="eastAsia" w:ascii="宋体" w:hAnsi="宋体" w:eastAsia="宋体" w:cs="宋体"/>
          <w:color w:val="000000"/>
          <w:sz w:val="21"/>
          <w:szCs w:val="21"/>
        </w:rPr>
      </w:pPr>
      <w:r>
        <w:rPr>
          <w:rFonts w:hint="eastAsia" w:ascii="宋体" w:hAnsi="宋体" w:eastAsia="宋体" w:cs="宋体"/>
          <w:color w:val="000000"/>
          <w:sz w:val="21"/>
          <w:szCs w:val="21"/>
        </w:rPr>
        <w:t>在DNA提取，PCR扩增和测序过程中均需设置阳性对照。</w:t>
      </w:r>
    </w:p>
    <w:p w14:paraId="08588F46">
      <w:pPr>
        <w:rPr>
          <w:rFonts w:hint="eastAsia" w:ascii="宋体" w:hAnsi="宋体" w:eastAsia="宋体" w:cs="宋体"/>
          <w:color w:val="000000"/>
          <w:sz w:val="21"/>
          <w:szCs w:val="21"/>
        </w:rPr>
      </w:pPr>
      <w:r>
        <w:rPr>
          <w:rFonts w:hint="eastAsia" w:ascii="宋体" w:hAnsi="宋体" w:eastAsia="宋体" w:cs="宋体"/>
          <w:color w:val="000000"/>
          <w:sz w:val="21"/>
          <w:szCs w:val="21"/>
        </w:rPr>
        <w:t>2、质控评估：</w:t>
      </w:r>
    </w:p>
    <w:p w14:paraId="010D3443">
      <w:pPr>
        <w:rPr>
          <w:rFonts w:hint="eastAsia" w:ascii="宋体" w:hAnsi="宋体" w:eastAsia="宋体" w:cs="宋体"/>
          <w:color w:val="000000"/>
          <w:sz w:val="21"/>
          <w:szCs w:val="21"/>
        </w:rPr>
      </w:pPr>
      <w:r>
        <w:rPr>
          <w:rFonts w:hint="eastAsia" w:ascii="宋体" w:hAnsi="宋体" w:eastAsia="宋体" w:cs="宋体"/>
          <w:color w:val="000000"/>
          <w:sz w:val="21"/>
          <w:szCs w:val="21"/>
        </w:rPr>
        <w:t>（1）平行性</w:t>
      </w:r>
    </w:p>
    <w:p w14:paraId="697D64C9">
      <w:pPr>
        <w:rPr>
          <w:rFonts w:hint="eastAsia" w:ascii="宋体" w:hAnsi="宋体" w:eastAsia="宋体" w:cs="宋体"/>
          <w:color w:val="000000"/>
          <w:sz w:val="21"/>
          <w:szCs w:val="21"/>
        </w:rPr>
      </w:pPr>
      <w:r>
        <w:rPr>
          <w:rFonts w:hint="eastAsia" w:ascii="宋体" w:hAnsi="宋体" w:eastAsia="宋体" w:cs="宋体"/>
          <w:color w:val="000000"/>
          <w:sz w:val="21"/>
          <w:szCs w:val="21"/>
        </w:rPr>
        <w:t>在采样、DNA提取、PCR扩增和测序过程中均应设置重复样品。</w:t>
      </w:r>
    </w:p>
    <w:p w14:paraId="3813F616">
      <w:pPr>
        <w:rPr>
          <w:rFonts w:hint="eastAsia" w:ascii="宋体" w:hAnsi="宋体" w:eastAsia="宋体" w:cs="宋体"/>
          <w:color w:val="000000"/>
          <w:sz w:val="21"/>
          <w:szCs w:val="21"/>
        </w:rPr>
      </w:pPr>
      <w:r>
        <w:rPr>
          <w:rFonts w:hint="eastAsia" w:ascii="宋体" w:hAnsi="宋体" w:eastAsia="宋体" w:cs="宋体"/>
          <w:color w:val="000000"/>
          <w:sz w:val="21"/>
          <w:szCs w:val="21"/>
        </w:rPr>
        <w:t>（2）线性相关性</w:t>
      </w:r>
    </w:p>
    <w:p w14:paraId="10E8CE5B">
      <w:pPr>
        <w:rPr>
          <w:rFonts w:hint="eastAsia" w:ascii="宋体" w:hAnsi="宋体" w:eastAsia="宋体" w:cs="宋体"/>
          <w:color w:val="000000"/>
          <w:sz w:val="21"/>
          <w:szCs w:val="21"/>
        </w:rPr>
      </w:pPr>
      <w:r>
        <w:rPr>
          <w:rFonts w:hint="eastAsia" w:ascii="宋体" w:hAnsi="宋体" w:eastAsia="宋体" w:cs="宋体"/>
          <w:color w:val="000000"/>
          <w:sz w:val="21"/>
          <w:szCs w:val="21"/>
        </w:rPr>
        <w:t>将阳性质控样品按一定比例（5倍或者10倍）稀释，不少于5个浓度，用于评价监测结果的线性相关性，每一个浓度平行测3次。</w:t>
      </w:r>
    </w:p>
    <w:p w14:paraId="60F9A012">
      <w:pPr>
        <w:rPr>
          <w:rFonts w:hint="eastAsia" w:ascii="宋体" w:hAnsi="宋体" w:eastAsia="宋体" w:cs="宋体"/>
          <w:color w:val="000000"/>
          <w:sz w:val="21"/>
          <w:szCs w:val="21"/>
        </w:rPr>
      </w:pPr>
      <w:r>
        <w:rPr>
          <w:rFonts w:hint="eastAsia" w:ascii="宋体" w:hAnsi="宋体" w:eastAsia="宋体" w:cs="宋体"/>
          <w:color w:val="000000"/>
          <w:sz w:val="21"/>
          <w:szCs w:val="21"/>
        </w:rPr>
        <w:t>（3）准确度</w:t>
      </w:r>
    </w:p>
    <w:p w14:paraId="28863A37">
      <w:pPr>
        <w:rPr>
          <w:rFonts w:hint="eastAsia" w:ascii="宋体" w:hAnsi="宋体" w:eastAsia="宋体" w:cs="宋体"/>
          <w:color w:val="000000"/>
          <w:sz w:val="21"/>
          <w:szCs w:val="21"/>
        </w:rPr>
      </w:pPr>
      <w:r>
        <w:rPr>
          <w:rFonts w:hint="eastAsia" w:ascii="宋体" w:hAnsi="宋体" w:eastAsia="宋体" w:cs="宋体"/>
          <w:color w:val="000000"/>
          <w:sz w:val="21"/>
          <w:szCs w:val="21"/>
        </w:rPr>
        <w:t>使用阳性质控样品或稀释至线性范围的标准样品评估监测的准确度。</w:t>
      </w:r>
    </w:p>
    <w:p w14:paraId="1DE49ACD">
      <w:pPr>
        <w:rPr>
          <w:rFonts w:hint="eastAsia" w:ascii="宋体" w:hAnsi="宋体" w:eastAsia="宋体" w:cs="宋体"/>
          <w:color w:val="000000"/>
          <w:sz w:val="21"/>
          <w:szCs w:val="21"/>
        </w:rPr>
      </w:pPr>
      <w:r>
        <w:rPr>
          <w:rFonts w:hint="eastAsia" w:ascii="宋体" w:hAnsi="宋体" w:eastAsia="宋体" w:cs="宋体"/>
          <w:color w:val="000000"/>
          <w:sz w:val="21"/>
          <w:szCs w:val="21"/>
        </w:rPr>
        <w:t>（4）重复性</w:t>
      </w:r>
    </w:p>
    <w:p w14:paraId="5B7C55F6">
      <w:pPr>
        <w:rPr>
          <w:rFonts w:hint="eastAsia" w:ascii="宋体" w:hAnsi="宋体" w:eastAsia="宋体" w:cs="宋体"/>
          <w:color w:val="000000"/>
          <w:sz w:val="21"/>
          <w:szCs w:val="21"/>
        </w:rPr>
      </w:pPr>
      <w:r>
        <w:rPr>
          <w:rFonts w:hint="eastAsia" w:ascii="宋体" w:hAnsi="宋体" w:eastAsia="宋体" w:cs="宋体"/>
          <w:color w:val="000000"/>
          <w:sz w:val="21"/>
          <w:szCs w:val="21"/>
        </w:rPr>
        <w:t>使用高、低两个浓度的标准样品评价监测的重复性。对于同一个样品平行监测10次，根据公式计算相对标准偏差RSD（%）。</w:t>
      </w:r>
    </w:p>
    <w:p w14:paraId="44FC1917">
      <w:pPr>
        <w:rPr>
          <w:rFonts w:hint="eastAsia" w:ascii="宋体" w:hAnsi="宋体" w:eastAsia="宋体" w:cs="宋体"/>
          <w:color w:val="000000"/>
          <w:sz w:val="21"/>
          <w:szCs w:val="21"/>
        </w:rPr>
      </w:pPr>
      <w:r>
        <w:rPr>
          <w:rFonts w:hint="eastAsia" w:ascii="宋体" w:hAnsi="宋体" w:eastAsia="宋体" w:cs="宋体"/>
          <w:color w:val="000000"/>
          <w:sz w:val="21"/>
          <w:szCs w:val="21"/>
        </w:rPr>
        <w:t>（5）假阴性率</w:t>
      </w:r>
    </w:p>
    <w:p w14:paraId="4695CF24">
      <w:pPr>
        <w:rPr>
          <w:rFonts w:hint="eastAsia" w:ascii="宋体" w:hAnsi="宋体" w:eastAsia="宋体" w:cs="宋体"/>
          <w:color w:val="000000"/>
          <w:sz w:val="21"/>
          <w:szCs w:val="21"/>
        </w:rPr>
      </w:pPr>
      <w:r>
        <w:rPr>
          <w:rFonts w:hint="eastAsia" w:ascii="宋体" w:hAnsi="宋体" w:eastAsia="宋体" w:cs="宋体"/>
          <w:color w:val="000000"/>
          <w:sz w:val="21"/>
          <w:szCs w:val="21"/>
        </w:rPr>
        <w:t>使用阳性质控样品或稀释至线性范围的标准样品评估监测的假阴性率。</w:t>
      </w:r>
    </w:p>
    <w:p w14:paraId="2BE13DCB">
      <w:pPr>
        <w:rPr>
          <w:rFonts w:hint="eastAsia" w:ascii="宋体" w:hAnsi="宋体" w:eastAsia="宋体" w:cs="宋体"/>
          <w:color w:val="000000"/>
          <w:sz w:val="21"/>
          <w:szCs w:val="21"/>
        </w:rPr>
      </w:pPr>
      <w:r>
        <w:rPr>
          <w:rFonts w:hint="eastAsia" w:ascii="宋体" w:hAnsi="宋体" w:eastAsia="宋体" w:cs="宋体"/>
          <w:color w:val="000000"/>
          <w:sz w:val="21"/>
          <w:szCs w:val="21"/>
        </w:rPr>
        <w:t>（6）假阳性率</w:t>
      </w:r>
    </w:p>
    <w:p w14:paraId="419B72D4">
      <w:pPr>
        <w:rPr>
          <w:rFonts w:hint="eastAsia" w:ascii="宋体" w:hAnsi="宋体" w:eastAsia="宋体" w:cs="宋体"/>
          <w:color w:val="000000"/>
          <w:sz w:val="21"/>
          <w:szCs w:val="21"/>
        </w:rPr>
      </w:pPr>
      <w:r>
        <w:rPr>
          <w:rFonts w:hint="eastAsia" w:ascii="宋体" w:hAnsi="宋体" w:eastAsia="宋体" w:cs="宋体"/>
          <w:color w:val="000000"/>
          <w:sz w:val="21"/>
          <w:szCs w:val="21"/>
        </w:rPr>
        <w:t>使用阳性质控样品或稀释至线性范围的标准样品评估监测的假阳性率。</w:t>
      </w:r>
    </w:p>
    <w:p w14:paraId="0AA4D207">
      <w:pPr>
        <w:rPr>
          <w:rFonts w:hint="eastAsia" w:ascii="宋体" w:hAnsi="宋体" w:eastAsia="宋体" w:cs="宋体"/>
          <w:color w:val="000000"/>
          <w:sz w:val="21"/>
          <w:szCs w:val="21"/>
        </w:rPr>
      </w:pPr>
      <w:r>
        <w:rPr>
          <w:rFonts w:hint="eastAsia" w:ascii="宋体" w:hAnsi="宋体" w:eastAsia="宋体" w:cs="宋体"/>
          <w:color w:val="000000"/>
          <w:sz w:val="21"/>
          <w:szCs w:val="21"/>
        </w:rPr>
        <w:t>3、水环境指标</w:t>
      </w:r>
    </w:p>
    <w:p w14:paraId="64E2D25D">
      <w:pPr>
        <w:rPr>
          <w:rFonts w:hint="eastAsia" w:ascii="宋体" w:hAnsi="宋体" w:eastAsia="宋体" w:cs="宋体"/>
          <w:color w:val="000000"/>
          <w:sz w:val="21"/>
          <w:szCs w:val="21"/>
        </w:rPr>
      </w:pPr>
      <w:r>
        <w:rPr>
          <w:rFonts w:hint="eastAsia" w:ascii="宋体" w:hAnsi="宋体" w:eastAsia="宋体" w:cs="宋体"/>
          <w:color w:val="000000"/>
          <w:sz w:val="21"/>
          <w:szCs w:val="21"/>
        </w:rPr>
        <w:t>水温、pH、溶解氧、化学需氧量、盐度、氨氮、硝酸盐氮、亚硝酸盐氮、活性磷酸盐、石油类、悬浮物质、重金属（铜、锌、总铬、汞、镉、铅、砷）、叶绿素a；</w:t>
      </w:r>
    </w:p>
    <w:p w14:paraId="626514A2">
      <w:pPr>
        <w:rPr>
          <w:rFonts w:hint="eastAsia" w:ascii="宋体" w:hAnsi="宋体" w:eastAsia="宋体" w:cs="宋体"/>
          <w:color w:val="000000"/>
          <w:sz w:val="21"/>
          <w:szCs w:val="21"/>
        </w:rPr>
      </w:pPr>
      <w:r>
        <w:rPr>
          <w:rFonts w:hint="eastAsia" w:ascii="宋体" w:hAnsi="宋体" w:eastAsia="宋体" w:cs="宋体"/>
          <w:color w:val="000000"/>
          <w:sz w:val="21"/>
          <w:szCs w:val="21"/>
        </w:rPr>
        <w:t>4、人员要求</w:t>
      </w:r>
    </w:p>
    <w:p w14:paraId="3D745120">
      <w:pPr>
        <w:rPr>
          <w:rFonts w:hint="eastAsia" w:ascii="宋体" w:hAnsi="宋体" w:eastAsia="宋体" w:cs="宋体"/>
          <w:color w:val="000000"/>
          <w:sz w:val="21"/>
          <w:szCs w:val="21"/>
        </w:rPr>
      </w:pPr>
      <w:r>
        <w:rPr>
          <w:rFonts w:hint="eastAsia" w:ascii="宋体" w:hAnsi="宋体" w:eastAsia="宋体" w:cs="宋体"/>
          <w:color w:val="000000"/>
          <w:sz w:val="21"/>
          <w:szCs w:val="21"/>
        </w:rPr>
        <w:t>投标人应根据招标文件中的工作内容要求，在投标文件中详细列出本项目的主要人员及分工做出说明。</w:t>
      </w:r>
    </w:p>
    <w:p w14:paraId="7A4D95C1">
      <w:pPr>
        <w:rPr>
          <w:rFonts w:hint="eastAsia" w:ascii="宋体" w:hAnsi="宋体" w:eastAsia="宋体" w:cs="宋体"/>
          <w:color w:val="000000"/>
          <w:sz w:val="21"/>
          <w:szCs w:val="21"/>
        </w:rPr>
      </w:pPr>
      <w:r>
        <w:rPr>
          <w:rFonts w:hint="eastAsia" w:ascii="宋体" w:hAnsi="宋体" w:eastAsia="宋体" w:cs="宋体"/>
          <w:color w:val="000000"/>
          <w:sz w:val="21"/>
          <w:szCs w:val="21"/>
        </w:rPr>
        <w:t>投标人团队成员应具备与本采购需求相关工作经验。</w:t>
      </w:r>
    </w:p>
    <w:p w14:paraId="25D513EA">
      <w:pPr>
        <w:rPr>
          <w:rFonts w:hint="eastAsia" w:ascii="宋体" w:hAnsi="宋体" w:eastAsia="宋体" w:cs="宋体"/>
          <w:color w:val="000000"/>
          <w:sz w:val="21"/>
          <w:szCs w:val="21"/>
        </w:rPr>
      </w:pPr>
      <w:r>
        <w:rPr>
          <w:rFonts w:hint="eastAsia" w:ascii="宋体" w:hAnsi="宋体" w:eastAsia="宋体" w:cs="宋体"/>
          <w:color w:val="000000"/>
          <w:sz w:val="21"/>
          <w:szCs w:val="21"/>
        </w:rPr>
        <w:t>投标人项目负责人应具有相关专业正高级职称，熟悉杭州湾和乐清湾海洋生态系统基本情况特点，参与过类似项目工作。</w:t>
      </w:r>
    </w:p>
    <w:p w14:paraId="77531659">
      <w:pPr>
        <w:pStyle w:val="164"/>
        <w:widowControl/>
        <w:numPr>
          <w:ilvl w:val="0"/>
          <w:numId w:val="5"/>
        </w:numPr>
        <w:ind w:firstLine="200" w:firstLineChars="0"/>
        <w:jc w:val="left"/>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成果及要求</w:t>
      </w:r>
    </w:p>
    <w:p w14:paraId="730F1906">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中标人应确保在项目合同规定结束日期通过甲方组织的成果验收，并提交全面且详细的</w:t>
      </w:r>
      <w:r>
        <w:rPr>
          <w:rFonts w:hint="eastAsia" w:ascii="宋体" w:hAnsi="宋体" w:eastAsia="宋体" w:cs="宋体"/>
          <w:color w:val="000000"/>
          <w:sz w:val="21"/>
          <w:szCs w:val="21"/>
          <w:lang w:val="en-US" w:eastAsia="zh-CN"/>
        </w:rPr>
        <w:t>分析</w:t>
      </w:r>
      <w:r>
        <w:rPr>
          <w:rFonts w:hint="eastAsia" w:ascii="宋体" w:hAnsi="宋体" w:eastAsia="宋体" w:cs="宋体"/>
          <w:color w:val="000000"/>
          <w:sz w:val="21"/>
          <w:szCs w:val="21"/>
        </w:rPr>
        <w:t>报告和相关资料，包括报告纸质盖章版1份，电子版1份。数据和资料集电子版以光盘、U盘等固定介质存储容器方式提交1份。成果</w:t>
      </w:r>
      <w:r>
        <w:rPr>
          <w:rFonts w:hint="eastAsia" w:ascii="宋体" w:hAnsi="宋体" w:eastAsia="宋体" w:cs="宋体"/>
          <w:color w:val="000000"/>
          <w:sz w:val="21"/>
          <w:szCs w:val="21"/>
          <w:lang w:val="en-US" w:eastAsia="zh-CN"/>
        </w:rPr>
        <w:t>内容包括</w:t>
      </w:r>
      <w:r>
        <w:rPr>
          <w:rFonts w:hint="eastAsia" w:ascii="宋体" w:hAnsi="宋体" w:eastAsia="宋体" w:cs="宋体"/>
          <w:color w:val="000000"/>
          <w:sz w:val="21"/>
          <w:szCs w:val="21"/>
        </w:rPr>
        <w:t>：原始鱼类物种OTU序列数据集、环境DNA分析图谱及《杭州湾、乐清湾环境DNA（鱼类、中华鲟）生物多样性分析报告》1套。原始数据集应包括原始序列、数据分析过程文件、对比注释所用的数据库文件（需为fasta格式）、水环境指标数据。报告文本应具体包括采样、实验室分析、测序、数据分析及质量控制全过程。</w:t>
      </w:r>
    </w:p>
    <w:p w14:paraId="6F907480">
      <w:pPr>
        <w:pStyle w:val="164"/>
        <w:widowControl/>
        <w:numPr>
          <w:ilvl w:val="0"/>
          <w:numId w:val="5"/>
        </w:numPr>
        <w:ind w:firstLine="200" w:firstLineChars="0"/>
        <w:jc w:val="left"/>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rPr>
        <w:t>商务要求</w:t>
      </w:r>
    </w:p>
    <w:p w14:paraId="207DF873">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项目时间为合同签订之日起至2025.12.31。</w:t>
      </w:r>
    </w:p>
    <w:p w14:paraId="3E98B992">
      <w:pPr>
        <w:rPr>
          <w:rFonts w:hint="eastAsia" w:ascii="宋体" w:hAnsi="宋体" w:eastAsia="宋体" w:cs="宋体"/>
          <w:color w:val="000000"/>
          <w:sz w:val="21"/>
          <w:szCs w:val="21"/>
        </w:rPr>
      </w:pPr>
      <w:r>
        <w:rPr>
          <w:rFonts w:hint="eastAsia" w:ascii="宋体" w:hAnsi="宋体" w:eastAsia="宋体" w:cs="宋体"/>
          <w:color w:val="000000"/>
          <w:sz w:val="21"/>
          <w:szCs w:val="21"/>
        </w:rPr>
        <w:t>本项目实行总承包报价，报价为采购人指定服务范围内的全部价格，至少包括：</w:t>
      </w:r>
    </w:p>
    <w:p w14:paraId="2BFBC12F">
      <w:pPr>
        <w:rPr>
          <w:rFonts w:hint="eastAsia" w:ascii="宋体" w:hAnsi="宋体" w:eastAsia="宋体" w:cs="宋体"/>
          <w:color w:val="000000"/>
          <w:sz w:val="21"/>
          <w:szCs w:val="21"/>
        </w:rPr>
      </w:pPr>
      <w:r>
        <w:rPr>
          <w:rFonts w:hint="eastAsia" w:ascii="宋体" w:hAnsi="宋体" w:eastAsia="宋体" w:cs="宋体"/>
          <w:color w:val="000000"/>
          <w:sz w:val="21"/>
          <w:szCs w:val="21"/>
        </w:rPr>
        <w:t>（1）服务的价格（包括人工、材料、设备等）；</w:t>
      </w:r>
    </w:p>
    <w:p w14:paraId="084FEFBC">
      <w:pPr>
        <w:rPr>
          <w:rFonts w:hint="eastAsia" w:ascii="宋体" w:hAnsi="宋体" w:eastAsia="宋体" w:cs="宋体"/>
          <w:color w:val="000000"/>
          <w:sz w:val="21"/>
          <w:szCs w:val="21"/>
        </w:rPr>
      </w:pPr>
      <w:r>
        <w:rPr>
          <w:rFonts w:hint="eastAsia" w:ascii="宋体" w:hAnsi="宋体" w:eastAsia="宋体" w:cs="宋体"/>
          <w:color w:val="000000"/>
          <w:sz w:val="21"/>
          <w:szCs w:val="21"/>
        </w:rPr>
        <w:t>（2）必要的保险费用和各项税金；</w:t>
      </w:r>
    </w:p>
    <w:p w14:paraId="17994875">
      <w:pPr>
        <w:rPr>
          <w:rFonts w:hint="eastAsia" w:ascii="宋体" w:hAnsi="宋体" w:eastAsia="宋体" w:cs="宋体"/>
          <w:color w:val="000000"/>
          <w:sz w:val="21"/>
          <w:szCs w:val="21"/>
        </w:rPr>
      </w:pPr>
      <w:r>
        <w:rPr>
          <w:rFonts w:hint="eastAsia" w:ascii="宋体" w:hAnsi="宋体" w:eastAsia="宋体" w:cs="宋体"/>
          <w:color w:val="000000"/>
          <w:sz w:val="21"/>
          <w:szCs w:val="21"/>
        </w:rPr>
        <w:t>（3）与本项目有关的其他一切费用。</w:t>
      </w:r>
    </w:p>
    <w:p w14:paraId="7499503B">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采购人不再支付成交价格以外的任何费用。</w:t>
      </w:r>
    </w:p>
    <w:p w14:paraId="58C9AE85">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2、项目服务时间及服务地点</w:t>
      </w:r>
    </w:p>
    <w:p w14:paraId="3B74160A">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（1）服务期限：合同签订后</w:t>
      </w:r>
    </w:p>
    <w:p w14:paraId="21834DF6">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（2）服务地点：杭州湾和乐清湾海域</w:t>
      </w:r>
    </w:p>
    <w:p w14:paraId="7DA95D21">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3、服务交付时间及交付地点</w:t>
      </w:r>
    </w:p>
    <w:p w14:paraId="475D0128">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（1）交付时间：2025年12月15日前。</w:t>
      </w:r>
    </w:p>
    <w:p w14:paraId="619F28FC">
      <w:pP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（2）交付地点：浙江省海洋生态环境监测</w:t>
      </w:r>
      <w:r>
        <w:rPr>
          <w:rFonts w:hint="eastAsia" w:ascii="宋体" w:hAnsi="宋体" w:cs="宋体"/>
          <w:color w:val="000000"/>
          <w:sz w:val="21"/>
          <w:szCs w:val="21"/>
          <w:highlight w:val="none"/>
          <w:lang w:val="en-US" w:eastAsia="zh-CN"/>
        </w:rPr>
        <w:t>中心</w:t>
      </w:r>
    </w:p>
    <w:p w14:paraId="74810EC1">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4、付款条件</w:t>
      </w:r>
    </w:p>
    <w:p w14:paraId="7C96D3BC">
      <w:pPr>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合同签订之日起</w:t>
      </w:r>
      <w:r>
        <w:rPr>
          <w:rFonts w:hint="eastAsia" w:ascii="宋体" w:hAnsi="宋体" w:eastAsia="宋体" w:cs="宋体"/>
          <w:color w:val="000000"/>
          <w:sz w:val="21"/>
          <w:szCs w:val="21"/>
          <w:highlight w:val="none"/>
          <w:lang w:val="en-US" w:eastAsia="zh-CN"/>
        </w:rPr>
        <w:t>7</w:t>
      </w:r>
      <w:r>
        <w:rPr>
          <w:rFonts w:hint="eastAsia" w:ascii="宋体" w:hAnsi="宋体" w:eastAsia="宋体" w:cs="宋体"/>
          <w:color w:val="000000"/>
          <w:sz w:val="21"/>
          <w:szCs w:val="21"/>
          <w:highlight w:val="none"/>
        </w:rPr>
        <w:t>个工作日内支付合同款的50%；通过采购人组织的成果验收后7个工作日内支付项目合同余款。付款前成交供应商先开具增值税发票给采购人</w:t>
      </w:r>
    </w:p>
    <w:p w14:paraId="34297FA7">
      <w:pPr>
        <w:adjustRightInd w:val="0"/>
        <w:snapToGrid w:val="0"/>
        <w:spacing w:line="360" w:lineRule="auto"/>
        <w:ind w:firstLine="420" w:firstLineChars="200"/>
        <w:jc w:val="left"/>
        <w:rPr>
          <w:rFonts w:hint="eastAsia" w:ascii="宋体" w:hAnsi="宋体" w:eastAsia="宋体" w:cs="宋体"/>
          <w:color w:val="000000"/>
          <w:sz w:val="21"/>
          <w:szCs w:val="21"/>
        </w:rPr>
      </w:pPr>
    </w:p>
    <w:p w14:paraId="041F607E">
      <w:pPr>
        <w:spacing w:line="360" w:lineRule="auto"/>
        <w:jc w:val="center"/>
        <w:rPr>
          <w:rFonts w:ascii="Times New Roman" w:hAnsi="Times New Roman" w:cs="Times New Roman"/>
          <w:b/>
          <w:bCs/>
          <w:sz w:val="30"/>
          <w:szCs w:val="30"/>
        </w:rPr>
      </w:pPr>
    </w:p>
    <w:p w14:paraId="43BFBA18">
      <w:pPr>
        <w:spacing w:line="360" w:lineRule="auto"/>
        <w:jc w:val="center"/>
        <w:rPr>
          <w:rFonts w:ascii="Times New Roman" w:hAnsi="Times New Roman" w:cs="Times New Roman"/>
          <w:b/>
          <w:bCs/>
          <w:sz w:val="30"/>
          <w:szCs w:val="30"/>
        </w:rPr>
      </w:pPr>
    </w:p>
    <w:p w14:paraId="38DC1619"/>
    <w:p w14:paraId="0ED3303F">
      <w:pPr>
        <w:spacing w:line="360" w:lineRule="auto"/>
        <w:jc w:val="center"/>
        <w:rPr>
          <w:rFonts w:hint="eastAsia" w:ascii="Times New Roman" w:hAnsi="Times New Roman" w:cs="Times New Roman"/>
          <w:b/>
          <w:bCs/>
          <w:color w:val="000000" w:themeColor="text1"/>
          <w:sz w:val="30"/>
          <w:szCs w:val="30"/>
        </w:rPr>
      </w:pPr>
    </w:p>
    <w:p w14:paraId="14D4AFE1">
      <w:pPr>
        <w:spacing w:line="360" w:lineRule="auto"/>
        <w:jc w:val="center"/>
        <w:rPr>
          <w:rFonts w:ascii="Times New Roman" w:hAnsi="Times New Roman" w:cs="Times New Roman"/>
          <w:b/>
          <w:bCs/>
          <w:color w:val="000000" w:themeColor="text1"/>
          <w:sz w:val="30"/>
          <w:szCs w:val="30"/>
        </w:rPr>
      </w:pPr>
    </w:p>
    <w:p w14:paraId="3445E54B">
      <w:pPr>
        <w:spacing w:line="360" w:lineRule="auto"/>
        <w:jc w:val="center"/>
        <w:rPr>
          <w:rFonts w:ascii="Times New Roman" w:hAnsi="Times New Roman" w:cs="Times New Roman"/>
          <w:b/>
          <w:bCs/>
          <w:color w:val="000000" w:themeColor="text1"/>
          <w:spacing w:val="12"/>
          <w:sz w:val="40"/>
          <w:szCs w:val="40"/>
        </w:rPr>
      </w:pPr>
      <w:r>
        <w:rPr>
          <w:rFonts w:ascii="Times New Roman" w:hAnsi="Times New Roman" w:cs="Times New Roman"/>
          <w:b/>
          <w:bCs/>
          <w:color w:val="000000" w:themeColor="text1"/>
          <w:sz w:val="30"/>
          <w:szCs w:val="30"/>
        </w:rPr>
        <w:t>第三章供应商须知</w:t>
      </w:r>
    </w:p>
    <w:p w14:paraId="4F2F650A">
      <w:pPr>
        <w:spacing w:line="360" w:lineRule="auto"/>
        <w:jc w:val="center"/>
        <w:rPr>
          <w:rFonts w:ascii="Times New Roman" w:hAnsi="Times New Roman" w:cs="Times New Roman"/>
          <w:b/>
          <w:bCs/>
          <w:color w:val="000000" w:themeColor="text1"/>
          <w:sz w:val="30"/>
          <w:szCs w:val="30"/>
        </w:rPr>
      </w:pPr>
      <w:r>
        <w:rPr>
          <w:rFonts w:ascii="Times New Roman" w:hAnsi="Times New Roman" w:cs="Times New Roman"/>
          <w:b/>
          <w:bCs/>
          <w:color w:val="000000" w:themeColor="text1"/>
          <w:sz w:val="30"/>
          <w:szCs w:val="30"/>
        </w:rPr>
        <w:t>前附表</w:t>
      </w:r>
    </w:p>
    <w:tbl>
      <w:tblPr>
        <w:tblStyle w:val="24"/>
        <w:tblW w:w="9299"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70"/>
        <w:gridCol w:w="1435"/>
        <w:gridCol w:w="3586"/>
        <w:gridCol w:w="1134"/>
        <w:gridCol w:w="19"/>
        <w:gridCol w:w="2555"/>
      </w:tblGrid>
      <w:tr w14:paraId="3EF5F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blCellSpacing w:w="7" w:type="dxa"/>
          <w:jc w:val="center"/>
        </w:trPr>
        <w:tc>
          <w:tcPr>
            <w:tcW w:w="549" w:type="dxa"/>
            <w:shd w:val="clear" w:color="auto" w:fill="E0E0E0"/>
            <w:vAlign w:val="center"/>
          </w:tcPr>
          <w:p w14:paraId="5BB6C759">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序号</w:t>
            </w:r>
          </w:p>
        </w:tc>
        <w:tc>
          <w:tcPr>
            <w:tcW w:w="8708" w:type="dxa"/>
            <w:gridSpan w:val="5"/>
            <w:shd w:val="clear" w:color="auto" w:fill="E0E0E0"/>
            <w:vAlign w:val="center"/>
          </w:tcPr>
          <w:p w14:paraId="24F0679C">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内容说明及要求</w:t>
            </w:r>
          </w:p>
        </w:tc>
      </w:tr>
      <w:tr w14:paraId="79077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2" w:hRule="atLeast"/>
          <w:tblCellSpacing w:w="7" w:type="dxa"/>
          <w:jc w:val="center"/>
        </w:trPr>
        <w:tc>
          <w:tcPr>
            <w:tcW w:w="549" w:type="dxa"/>
            <w:shd w:val="clear" w:color="auto" w:fill="E0E0E0"/>
            <w:vAlign w:val="center"/>
          </w:tcPr>
          <w:p w14:paraId="7202D646">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1</w:t>
            </w:r>
          </w:p>
        </w:tc>
        <w:tc>
          <w:tcPr>
            <w:tcW w:w="1421" w:type="dxa"/>
            <w:shd w:val="clear" w:color="auto" w:fill="E0E0E0"/>
            <w:vAlign w:val="center"/>
          </w:tcPr>
          <w:p w14:paraId="0D3BB06D">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项目名称</w:t>
            </w:r>
          </w:p>
        </w:tc>
        <w:tc>
          <w:tcPr>
            <w:tcW w:w="3572" w:type="dxa"/>
            <w:shd w:val="clear" w:color="auto" w:fill="FFFFFF"/>
            <w:vAlign w:val="center"/>
          </w:tcPr>
          <w:p w14:paraId="0984D7BA">
            <w:pPr>
              <w:spacing w:before="100" w:beforeAutospacing="1" w:after="100" w:afterAutospacing="1" w:line="360" w:lineRule="exact"/>
              <w:rPr>
                <w:rFonts w:ascii="Times New Roman" w:hAnsi="Times New Roman" w:cs="Times New Roman"/>
                <w:color w:val="000000" w:themeColor="text1"/>
                <w:kern w:val="0"/>
              </w:rPr>
            </w:pPr>
            <w:r>
              <w:rPr>
                <w:rFonts w:hint="eastAsia" w:ascii="Times New Roman" w:hAnsi="Times New Roman" w:cs="Times New Roman"/>
                <w:color w:val="000000" w:themeColor="text1"/>
                <w:shd w:val="clear" w:color="auto" w:fill="FFFFFF"/>
              </w:rPr>
              <w:t>2025年杭州湾乐清湾鱼类环境DNA多样性调查项目</w:t>
            </w:r>
          </w:p>
        </w:tc>
        <w:tc>
          <w:tcPr>
            <w:tcW w:w="1120" w:type="dxa"/>
            <w:shd w:val="clear" w:color="auto" w:fill="E0E0E0"/>
            <w:vAlign w:val="center"/>
          </w:tcPr>
          <w:p w14:paraId="02CD8BE3">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采购编号</w:t>
            </w:r>
          </w:p>
        </w:tc>
        <w:tc>
          <w:tcPr>
            <w:tcW w:w="2553" w:type="dxa"/>
            <w:gridSpan w:val="2"/>
            <w:shd w:val="clear" w:color="auto" w:fill="FFFFFF"/>
            <w:vAlign w:val="center"/>
          </w:tcPr>
          <w:p w14:paraId="7C9BB5B4">
            <w:pPr>
              <w:spacing w:before="100" w:beforeAutospacing="1" w:after="100" w:afterAutospacing="1" w:line="360" w:lineRule="exact"/>
              <w:rPr>
                <w:rFonts w:hint="eastAsia" w:ascii="Times New Roman" w:hAnsi="Times New Roman" w:eastAsia="宋体" w:cs="Times New Roman"/>
                <w:color w:val="000000" w:themeColor="text1"/>
                <w:lang w:eastAsia="zh-CN"/>
              </w:rPr>
            </w:pPr>
            <w:r>
              <w:rPr>
                <w:rFonts w:hint="eastAsia" w:ascii="Times New Roman" w:hAnsi="Times New Roman" w:cs="Times New Roman"/>
                <w:color w:val="000000" w:themeColor="text1"/>
                <w:highlight w:val="none"/>
                <w:lang w:eastAsia="zh-CN"/>
              </w:rPr>
              <w:t>ZHCG2025-13</w:t>
            </w:r>
          </w:p>
        </w:tc>
      </w:tr>
      <w:tr w14:paraId="2EAA0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2" w:hRule="atLeast"/>
          <w:tblCellSpacing w:w="7" w:type="dxa"/>
          <w:jc w:val="center"/>
        </w:trPr>
        <w:tc>
          <w:tcPr>
            <w:tcW w:w="549" w:type="dxa"/>
            <w:shd w:val="clear" w:color="auto" w:fill="E0E0E0"/>
            <w:vAlign w:val="center"/>
          </w:tcPr>
          <w:p w14:paraId="1E5E1437">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2</w:t>
            </w:r>
          </w:p>
        </w:tc>
        <w:tc>
          <w:tcPr>
            <w:tcW w:w="1421" w:type="dxa"/>
            <w:shd w:val="clear" w:color="auto" w:fill="E0E0E0"/>
            <w:vAlign w:val="center"/>
          </w:tcPr>
          <w:p w14:paraId="5EA11857">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采购内容</w:t>
            </w:r>
          </w:p>
        </w:tc>
        <w:tc>
          <w:tcPr>
            <w:tcW w:w="3572" w:type="dxa"/>
            <w:shd w:val="clear" w:color="auto" w:fill="FFFFFF"/>
            <w:vAlign w:val="center"/>
          </w:tcPr>
          <w:p w14:paraId="7894F267">
            <w:pPr>
              <w:spacing w:before="100" w:beforeAutospacing="1" w:after="100" w:afterAutospacing="1" w:line="360" w:lineRule="exact"/>
              <w:rPr>
                <w:rFonts w:ascii="Times New Roman" w:hAnsi="Times New Roman" w:cs="Times New Roman"/>
                <w:color w:val="000000" w:themeColor="text1"/>
                <w:shd w:val="clear" w:color="auto" w:fill="FFFFFF"/>
              </w:rPr>
            </w:pPr>
            <w:r>
              <w:rPr>
                <w:rFonts w:ascii="Times New Roman" w:hAnsi="Times New Roman" w:cs="Times New Roman"/>
                <w:color w:val="000000" w:themeColor="text1"/>
              </w:rPr>
              <w:t>详见第二章采购需求</w:t>
            </w:r>
          </w:p>
        </w:tc>
        <w:tc>
          <w:tcPr>
            <w:tcW w:w="1139" w:type="dxa"/>
            <w:gridSpan w:val="2"/>
            <w:shd w:val="clear" w:color="auto" w:fill="FFFFFF"/>
            <w:vAlign w:val="center"/>
          </w:tcPr>
          <w:p w14:paraId="1D0DCB7A">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资金来源</w:t>
            </w:r>
          </w:p>
        </w:tc>
        <w:tc>
          <w:tcPr>
            <w:tcW w:w="2534" w:type="dxa"/>
            <w:shd w:val="clear" w:color="auto" w:fill="FFFFFF"/>
            <w:vAlign w:val="center"/>
          </w:tcPr>
          <w:p w14:paraId="3301165A">
            <w:pPr>
              <w:spacing w:before="100" w:beforeAutospacing="1" w:after="100" w:afterAutospacing="1" w:line="360" w:lineRule="exact"/>
              <w:rPr>
                <w:rFonts w:ascii="Times New Roman" w:hAnsi="Times New Roman" w:cs="Times New Roman"/>
                <w:color w:val="000000" w:themeColor="text1"/>
                <w:shd w:val="clear" w:color="auto" w:fill="FFFFFF"/>
              </w:rPr>
            </w:pPr>
            <w:r>
              <w:rPr>
                <w:rFonts w:ascii="Times New Roman" w:hAnsi="Times New Roman" w:cs="Times New Roman"/>
                <w:color w:val="000000" w:themeColor="text1"/>
              </w:rPr>
              <w:t>财政性资金</w:t>
            </w:r>
          </w:p>
        </w:tc>
      </w:tr>
      <w:tr w14:paraId="4D629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2" w:hRule="atLeast"/>
          <w:tblCellSpacing w:w="7" w:type="dxa"/>
          <w:jc w:val="center"/>
        </w:trPr>
        <w:tc>
          <w:tcPr>
            <w:tcW w:w="549" w:type="dxa"/>
            <w:shd w:val="clear" w:color="auto" w:fill="E0E0E0"/>
            <w:vAlign w:val="center"/>
          </w:tcPr>
          <w:p w14:paraId="076C0345">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3</w:t>
            </w:r>
          </w:p>
        </w:tc>
        <w:tc>
          <w:tcPr>
            <w:tcW w:w="1421" w:type="dxa"/>
            <w:shd w:val="clear" w:color="auto" w:fill="E0E0E0"/>
            <w:vAlign w:val="center"/>
          </w:tcPr>
          <w:p w14:paraId="65EC3169">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项目预算</w:t>
            </w:r>
          </w:p>
        </w:tc>
        <w:tc>
          <w:tcPr>
            <w:tcW w:w="7273" w:type="dxa"/>
            <w:gridSpan w:val="4"/>
            <w:shd w:val="clear" w:color="auto" w:fill="FFFFFF"/>
            <w:vAlign w:val="center"/>
          </w:tcPr>
          <w:p w14:paraId="4CBF22FF">
            <w:pPr>
              <w:spacing w:before="100" w:beforeAutospacing="1" w:after="100" w:afterAutospacing="1" w:line="360" w:lineRule="exact"/>
              <w:rPr>
                <w:rFonts w:ascii="Times New Roman" w:hAnsi="Times New Roman" w:cs="Times New Roman"/>
                <w:color w:val="000000" w:themeColor="text1"/>
                <w:kern w:val="0"/>
              </w:rPr>
            </w:pPr>
            <w:r>
              <w:rPr>
                <w:rFonts w:hint="eastAsia" w:ascii="Times New Roman" w:hAnsi="Times New Roman" w:cs="Times New Roman"/>
                <w:color w:val="000000" w:themeColor="text1"/>
              </w:rPr>
              <w:t>25万元</w:t>
            </w:r>
            <w:r>
              <w:rPr>
                <w:rFonts w:ascii="Times New Roman" w:hAnsi="Times New Roman" w:cs="Times New Roman"/>
                <w:color w:val="000000" w:themeColor="text1"/>
              </w:rPr>
              <w:t>。</w:t>
            </w:r>
          </w:p>
        </w:tc>
      </w:tr>
      <w:tr w14:paraId="15C4B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33" w:hRule="atLeast"/>
          <w:tblCellSpacing w:w="7" w:type="dxa"/>
          <w:jc w:val="center"/>
        </w:trPr>
        <w:tc>
          <w:tcPr>
            <w:tcW w:w="549" w:type="dxa"/>
            <w:shd w:val="clear" w:color="auto" w:fill="E0E0E0"/>
            <w:vAlign w:val="center"/>
          </w:tcPr>
          <w:p w14:paraId="57D0126A">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4</w:t>
            </w:r>
          </w:p>
        </w:tc>
        <w:tc>
          <w:tcPr>
            <w:tcW w:w="1421" w:type="dxa"/>
            <w:shd w:val="clear" w:color="auto" w:fill="E0E0E0"/>
            <w:vAlign w:val="center"/>
          </w:tcPr>
          <w:p w14:paraId="4CE7DB57">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踏勘现场</w:t>
            </w:r>
          </w:p>
        </w:tc>
        <w:tc>
          <w:tcPr>
            <w:tcW w:w="7273" w:type="dxa"/>
            <w:gridSpan w:val="4"/>
            <w:shd w:val="clear" w:color="auto" w:fill="FFFFFF"/>
            <w:vAlign w:val="center"/>
          </w:tcPr>
          <w:p w14:paraId="72E1E114">
            <w:pPr>
              <w:spacing w:before="100" w:beforeAutospacing="1" w:after="100" w:afterAutospacing="1" w:line="360" w:lineRule="exact"/>
              <w:jc w:val="left"/>
              <w:rPr>
                <w:rFonts w:ascii="Times New Roman" w:hAnsi="Times New Roman" w:cs="Times New Roman"/>
                <w:bCs/>
                <w:color w:val="000000" w:themeColor="text1"/>
              </w:rPr>
            </w:pPr>
            <w:r>
              <w:rPr>
                <w:rFonts w:ascii="Times New Roman" w:hAnsi="Times New Roman" w:cs="Times New Roman"/>
                <w:bCs/>
                <w:color w:val="000000" w:themeColor="text1"/>
              </w:rPr>
              <w:t>代理机构不组织踏勘，如供应商需进行现场踏勘的，须跟采购人进行协商。但供应商不得因此使采购人承担有关责任和蒙受损失，投标人应承担踏勘现场的责任和风险。</w:t>
            </w:r>
          </w:p>
        </w:tc>
      </w:tr>
      <w:tr w14:paraId="6019E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2" w:hRule="atLeast"/>
          <w:tblCellSpacing w:w="7" w:type="dxa"/>
          <w:jc w:val="center"/>
        </w:trPr>
        <w:tc>
          <w:tcPr>
            <w:tcW w:w="549" w:type="dxa"/>
            <w:shd w:val="clear" w:color="auto" w:fill="E0E0E0"/>
            <w:vAlign w:val="center"/>
          </w:tcPr>
          <w:p w14:paraId="455B39FA">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5</w:t>
            </w:r>
          </w:p>
        </w:tc>
        <w:tc>
          <w:tcPr>
            <w:tcW w:w="1421" w:type="dxa"/>
            <w:shd w:val="clear" w:color="auto" w:fill="E0E0E0"/>
            <w:vAlign w:val="center"/>
          </w:tcPr>
          <w:p w14:paraId="1A9B5A09">
            <w:pPr>
              <w:spacing w:before="100" w:beforeAutospacing="1" w:after="100" w:afterAutospacing="1" w:line="360" w:lineRule="exact"/>
              <w:jc w:val="center"/>
              <w:rPr>
                <w:rFonts w:ascii="Times New Roman" w:hAnsi="Times New Roman" w:cs="Times New Roman"/>
                <w:color w:val="000000" w:themeColor="text1"/>
              </w:rPr>
            </w:pPr>
            <w:r>
              <w:rPr>
                <w:rFonts w:ascii="Times New Roman" w:hAnsi="Times New Roman" w:cs="Times New Roman"/>
                <w:b/>
                <w:color w:val="000000" w:themeColor="text1"/>
              </w:rPr>
              <w:t>服务期限</w:t>
            </w:r>
          </w:p>
        </w:tc>
        <w:tc>
          <w:tcPr>
            <w:tcW w:w="7273" w:type="dxa"/>
            <w:gridSpan w:val="4"/>
            <w:shd w:val="clear" w:color="auto" w:fill="FFFFFF"/>
            <w:vAlign w:val="center"/>
          </w:tcPr>
          <w:p w14:paraId="466097BA">
            <w:pPr>
              <w:spacing w:before="100" w:beforeAutospacing="1" w:after="100" w:afterAutospacing="1" w:line="360" w:lineRule="exact"/>
              <w:jc w:val="left"/>
              <w:rPr>
                <w:rFonts w:ascii="Times New Roman" w:hAnsi="Times New Roman" w:cs="Times New Roman"/>
                <w:bCs/>
                <w:color w:val="000000" w:themeColor="text1"/>
              </w:rPr>
            </w:pPr>
            <w:r>
              <w:rPr>
                <w:rFonts w:hint="eastAsia" w:ascii="Times New Roman" w:hAnsi="Times New Roman" w:cs="Times New Roman"/>
                <w:bCs/>
                <w:color w:val="000000" w:themeColor="text1"/>
              </w:rPr>
              <w:t>合同签订之日起至2025年12月31日止</w:t>
            </w:r>
            <w:r>
              <w:rPr>
                <w:rFonts w:ascii="Times New Roman" w:hAnsi="Times New Roman" w:cs="Times New Roman"/>
                <w:bCs/>
                <w:color w:val="000000" w:themeColor="text1"/>
              </w:rPr>
              <w:t>。</w:t>
            </w:r>
          </w:p>
        </w:tc>
      </w:tr>
      <w:tr w14:paraId="54CC1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2" w:hRule="atLeast"/>
          <w:tblCellSpacing w:w="7" w:type="dxa"/>
          <w:jc w:val="center"/>
        </w:trPr>
        <w:tc>
          <w:tcPr>
            <w:tcW w:w="549" w:type="dxa"/>
            <w:shd w:val="clear" w:color="auto" w:fill="E0E0E0"/>
            <w:vAlign w:val="center"/>
          </w:tcPr>
          <w:p w14:paraId="4E936A3C">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6</w:t>
            </w:r>
          </w:p>
        </w:tc>
        <w:tc>
          <w:tcPr>
            <w:tcW w:w="1421" w:type="dxa"/>
            <w:shd w:val="clear" w:color="auto" w:fill="E0E0E0"/>
            <w:vAlign w:val="center"/>
          </w:tcPr>
          <w:p w14:paraId="33A66604">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投标有效期</w:t>
            </w:r>
          </w:p>
        </w:tc>
        <w:tc>
          <w:tcPr>
            <w:tcW w:w="7273" w:type="dxa"/>
            <w:gridSpan w:val="4"/>
            <w:shd w:val="clear" w:color="auto" w:fill="FFFFFF"/>
            <w:vAlign w:val="center"/>
          </w:tcPr>
          <w:p w14:paraId="3626A300">
            <w:pPr>
              <w:spacing w:before="100" w:beforeAutospacing="1" w:after="100" w:afterAutospacing="1" w:line="360" w:lineRule="exact"/>
              <w:rPr>
                <w:rFonts w:ascii="Times New Roman" w:hAnsi="Times New Roman" w:cs="Times New Roman"/>
                <w:color w:val="000000" w:themeColor="text1"/>
              </w:rPr>
            </w:pPr>
            <w:r>
              <w:rPr>
                <w:rFonts w:ascii="Times New Roman" w:hAnsi="Times New Roman" w:cs="Times New Roman"/>
                <w:color w:val="000000" w:themeColor="text1"/>
              </w:rPr>
              <w:t>90日历天。（从开标截止之日起）。</w:t>
            </w:r>
          </w:p>
        </w:tc>
      </w:tr>
      <w:tr w14:paraId="56BAC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2" w:hRule="atLeast"/>
          <w:tblCellSpacing w:w="7" w:type="dxa"/>
          <w:jc w:val="center"/>
        </w:trPr>
        <w:tc>
          <w:tcPr>
            <w:tcW w:w="549" w:type="dxa"/>
            <w:shd w:val="clear" w:color="auto" w:fill="E0E0E0"/>
            <w:vAlign w:val="center"/>
          </w:tcPr>
          <w:p w14:paraId="67B8C17A">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7</w:t>
            </w:r>
          </w:p>
        </w:tc>
        <w:tc>
          <w:tcPr>
            <w:tcW w:w="1421" w:type="dxa"/>
            <w:shd w:val="clear" w:color="auto" w:fill="E0E0E0"/>
            <w:vAlign w:val="center"/>
          </w:tcPr>
          <w:p w14:paraId="7F9C4906">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评标办法</w:t>
            </w:r>
          </w:p>
        </w:tc>
        <w:tc>
          <w:tcPr>
            <w:tcW w:w="7273" w:type="dxa"/>
            <w:gridSpan w:val="4"/>
            <w:shd w:val="clear" w:color="auto" w:fill="FFFFFF"/>
            <w:vAlign w:val="center"/>
          </w:tcPr>
          <w:p w14:paraId="12E6DD1A">
            <w:pPr>
              <w:spacing w:before="100" w:beforeAutospacing="1" w:after="100" w:afterAutospacing="1" w:line="360" w:lineRule="exact"/>
              <w:rPr>
                <w:rFonts w:ascii="Times New Roman" w:hAnsi="Times New Roman" w:cs="Times New Roman"/>
                <w:color w:val="000000" w:themeColor="text1"/>
              </w:rPr>
            </w:pPr>
            <w:r>
              <w:rPr>
                <w:rFonts w:ascii="Times New Roman" w:hAnsi="Times New Roman" w:cs="Times New Roman"/>
                <w:color w:val="000000" w:themeColor="text1"/>
              </w:rPr>
              <w:t>综合评分法</w:t>
            </w:r>
          </w:p>
        </w:tc>
      </w:tr>
      <w:tr w14:paraId="565FB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2" w:hRule="atLeast"/>
          <w:tblCellSpacing w:w="7" w:type="dxa"/>
          <w:jc w:val="center"/>
        </w:trPr>
        <w:tc>
          <w:tcPr>
            <w:tcW w:w="549" w:type="dxa"/>
            <w:shd w:val="clear" w:color="auto" w:fill="E0E0E0"/>
            <w:vAlign w:val="center"/>
          </w:tcPr>
          <w:p w14:paraId="06E1A5A9">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8</w:t>
            </w:r>
          </w:p>
        </w:tc>
        <w:tc>
          <w:tcPr>
            <w:tcW w:w="1421" w:type="dxa"/>
            <w:shd w:val="clear" w:color="auto" w:fill="E0E0E0"/>
            <w:vAlign w:val="center"/>
          </w:tcPr>
          <w:p w14:paraId="40D8E56C">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签订合同</w:t>
            </w:r>
          </w:p>
        </w:tc>
        <w:tc>
          <w:tcPr>
            <w:tcW w:w="7273" w:type="dxa"/>
            <w:gridSpan w:val="4"/>
            <w:shd w:val="clear" w:color="auto" w:fill="FFFFFF"/>
            <w:vAlign w:val="center"/>
          </w:tcPr>
          <w:p w14:paraId="757F5621">
            <w:pPr>
              <w:spacing w:before="100" w:beforeAutospacing="1" w:after="100" w:afterAutospacing="1" w:line="360" w:lineRule="exact"/>
              <w:jc w:val="left"/>
              <w:rPr>
                <w:rFonts w:ascii="Times New Roman" w:hAnsi="Times New Roman" w:cs="Times New Roman"/>
                <w:color w:val="000000" w:themeColor="text1"/>
              </w:rPr>
            </w:pPr>
            <w:r>
              <w:rPr>
                <w:rFonts w:ascii="Times New Roman" w:hAnsi="Times New Roman" w:cs="Times New Roman"/>
                <w:color w:val="000000" w:themeColor="text1"/>
              </w:rPr>
              <w:t>中标通知书发出后</w:t>
            </w:r>
            <w:r>
              <w:rPr>
                <w:rFonts w:ascii="Times New Roman" w:hAnsi="Times New Roman" w:cs="Times New Roman"/>
                <w:color w:val="000000" w:themeColor="text1"/>
                <w:u w:val="single"/>
              </w:rPr>
              <w:t xml:space="preserve"> 30 </w:t>
            </w:r>
            <w:r>
              <w:rPr>
                <w:rFonts w:ascii="Times New Roman" w:hAnsi="Times New Roman" w:cs="Times New Roman"/>
                <w:color w:val="000000" w:themeColor="text1"/>
              </w:rPr>
              <w:t>天内。</w:t>
            </w:r>
          </w:p>
        </w:tc>
      </w:tr>
      <w:tr w14:paraId="62504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4" w:hRule="atLeast"/>
          <w:tblCellSpacing w:w="7" w:type="dxa"/>
          <w:jc w:val="center"/>
        </w:trPr>
        <w:tc>
          <w:tcPr>
            <w:tcW w:w="549" w:type="dxa"/>
            <w:shd w:val="clear" w:color="auto" w:fill="E0E0E0"/>
            <w:vAlign w:val="center"/>
          </w:tcPr>
          <w:p w14:paraId="298D611E">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9</w:t>
            </w:r>
          </w:p>
        </w:tc>
        <w:tc>
          <w:tcPr>
            <w:tcW w:w="1421" w:type="dxa"/>
            <w:shd w:val="clear" w:color="auto" w:fill="E0E0E0"/>
            <w:vAlign w:val="center"/>
          </w:tcPr>
          <w:p w14:paraId="063C0051">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资金结算</w:t>
            </w:r>
          </w:p>
        </w:tc>
        <w:tc>
          <w:tcPr>
            <w:tcW w:w="7273" w:type="dxa"/>
            <w:gridSpan w:val="4"/>
            <w:shd w:val="clear" w:color="auto" w:fill="FFFFFF"/>
            <w:vAlign w:val="center"/>
          </w:tcPr>
          <w:p w14:paraId="0BE444F7">
            <w:pPr>
              <w:widowControl/>
              <w:spacing w:line="360" w:lineRule="auto"/>
              <w:jc w:val="left"/>
              <w:textAlignment w:val="center"/>
              <w:rPr>
                <w:color w:val="000000" w:themeColor="text1"/>
              </w:rPr>
            </w:pPr>
            <w:r>
              <w:rPr>
                <w:rFonts w:hint="eastAsia"/>
                <w:b/>
                <w:bCs/>
                <w:color w:val="000000" w:themeColor="text1"/>
              </w:rPr>
              <w:t>合同签订之日起7个工作日内支付合同款的50%；通过采购人组织的成果验收后7个工作日内支付项目合同余款。付款前成交供应商先开具增值税发票给采购人。</w:t>
            </w:r>
          </w:p>
        </w:tc>
      </w:tr>
      <w:tr w14:paraId="40F13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43" w:hRule="atLeast"/>
          <w:tblCellSpacing w:w="7" w:type="dxa"/>
          <w:jc w:val="center"/>
        </w:trPr>
        <w:tc>
          <w:tcPr>
            <w:tcW w:w="549" w:type="dxa"/>
            <w:shd w:val="clear" w:color="auto" w:fill="E0E0E0"/>
            <w:vAlign w:val="center"/>
          </w:tcPr>
          <w:p w14:paraId="7CC0A158">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10</w:t>
            </w:r>
          </w:p>
        </w:tc>
        <w:tc>
          <w:tcPr>
            <w:tcW w:w="1421" w:type="dxa"/>
            <w:shd w:val="clear" w:color="auto" w:fill="E0E0E0"/>
            <w:vAlign w:val="center"/>
          </w:tcPr>
          <w:p w14:paraId="7E549F29">
            <w:pPr>
              <w:spacing w:line="276" w:lineRule="auto"/>
              <w:jc w:val="center"/>
              <w:rPr>
                <w:rFonts w:ascii="Times New Roman" w:hAnsi="Times New Roman" w:cs="Times New Roman"/>
                <w:b/>
                <w:color w:val="000000" w:themeColor="text1"/>
              </w:rPr>
            </w:pPr>
            <w:r>
              <w:rPr>
                <w:rFonts w:ascii="Times New Roman" w:hAnsi="Times New Roman" w:cs="Times New Roman"/>
                <w:b/>
                <w:color w:val="000000" w:themeColor="text1"/>
              </w:rPr>
              <w:t>投标报价</w:t>
            </w:r>
          </w:p>
          <w:p w14:paraId="17049397">
            <w:pPr>
              <w:spacing w:line="276" w:lineRule="auto"/>
              <w:jc w:val="center"/>
              <w:rPr>
                <w:rFonts w:ascii="Times New Roman" w:hAnsi="Times New Roman" w:cs="Times New Roman"/>
                <w:b/>
                <w:color w:val="000000" w:themeColor="text1"/>
              </w:rPr>
            </w:pPr>
            <w:r>
              <w:rPr>
                <w:rFonts w:ascii="Times New Roman" w:hAnsi="Times New Roman" w:cs="Times New Roman"/>
                <w:b/>
                <w:color w:val="000000" w:themeColor="text1"/>
              </w:rPr>
              <w:t>与费用</w:t>
            </w:r>
          </w:p>
        </w:tc>
        <w:tc>
          <w:tcPr>
            <w:tcW w:w="7273" w:type="dxa"/>
            <w:gridSpan w:val="4"/>
            <w:shd w:val="clear" w:color="auto" w:fill="FFFFFF"/>
            <w:vAlign w:val="center"/>
          </w:tcPr>
          <w:p w14:paraId="74DBF223">
            <w:pPr>
              <w:numPr>
                <w:ilvl w:val="0"/>
                <w:numId w:val="6"/>
              </w:numPr>
              <w:spacing w:before="100" w:beforeAutospacing="1" w:after="100" w:afterAutospacing="1" w:line="360" w:lineRule="auto"/>
              <w:jc w:val="left"/>
              <w:rPr>
                <w:rFonts w:ascii="Times New Roman" w:hAnsi="Times New Roman" w:cs="Times New Roman"/>
                <w:color w:val="000000" w:themeColor="text1"/>
              </w:rPr>
            </w:pPr>
            <w:r>
              <w:rPr>
                <w:rFonts w:ascii="Times New Roman" w:hAnsi="Times New Roman" w:cs="Times New Roman"/>
                <w:bCs/>
                <w:color w:val="000000" w:themeColor="text1"/>
              </w:rPr>
              <w:t>本项目投标应以人民币报价；是履行合同的最终价格，</w:t>
            </w:r>
            <w:r>
              <w:rPr>
                <w:rFonts w:hint="eastAsia" w:ascii="Times New Roman" w:hAnsi="Times New Roman" w:cs="Times New Roman"/>
                <w:bCs/>
                <w:color w:val="000000" w:themeColor="text1"/>
              </w:rPr>
              <w:t>实行总承包报价，报价为采购人指定服务范围内的全部价格，至少包括：服务的价格（包括人工、材料、设备等）；必要的保险费用和各项税金；代理服务费及与本项目有关的其他一切费用。</w:t>
            </w:r>
          </w:p>
          <w:p w14:paraId="455A5CF2">
            <w:pPr>
              <w:numPr>
                <w:ilvl w:val="0"/>
                <w:numId w:val="6"/>
              </w:numPr>
              <w:spacing w:before="100" w:beforeAutospacing="1" w:after="100" w:afterAutospacing="1" w:line="360" w:lineRule="auto"/>
              <w:jc w:val="left"/>
              <w:rPr>
                <w:rFonts w:ascii="Times New Roman" w:hAnsi="Times New Roman" w:cs="Times New Roman"/>
                <w:color w:val="000000" w:themeColor="text1"/>
              </w:rPr>
            </w:pPr>
            <w:r>
              <w:rPr>
                <w:rFonts w:ascii="Times New Roman" w:hAnsi="Times New Roman" w:cs="Times New Roman"/>
                <w:bCs/>
                <w:color w:val="000000" w:themeColor="text1"/>
              </w:rPr>
              <w:t>不论投标结果如何，供应商均应自行承担所有与投标有关的全部费用。</w:t>
            </w:r>
          </w:p>
        </w:tc>
      </w:tr>
      <w:tr w14:paraId="2DC6D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3" w:hRule="atLeast"/>
          <w:tblCellSpacing w:w="7" w:type="dxa"/>
          <w:jc w:val="center"/>
        </w:trPr>
        <w:tc>
          <w:tcPr>
            <w:tcW w:w="549" w:type="dxa"/>
            <w:shd w:val="clear" w:color="auto" w:fill="E0E0E0"/>
            <w:vAlign w:val="center"/>
          </w:tcPr>
          <w:p w14:paraId="345EA547">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11</w:t>
            </w:r>
          </w:p>
        </w:tc>
        <w:tc>
          <w:tcPr>
            <w:tcW w:w="1421" w:type="dxa"/>
            <w:shd w:val="clear" w:color="auto" w:fill="E0E0E0"/>
            <w:vAlign w:val="center"/>
          </w:tcPr>
          <w:p w14:paraId="0C2B3A38">
            <w:pPr>
              <w:spacing w:line="360" w:lineRule="auto"/>
              <w:jc w:val="center"/>
              <w:rPr>
                <w:rFonts w:ascii="Times New Roman" w:hAnsi="Times New Roman" w:cs="Times New Roman"/>
                <w:b/>
                <w:color w:val="000000" w:themeColor="text1"/>
              </w:rPr>
            </w:pPr>
            <w:r>
              <w:rPr>
                <w:rFonts w:ascii="Times New Roman" w:hAnsi="Times New Roman" w:cs="Times New Roman"/>
                <w:b/>
                <w:color w:val="000000" w:themeColor="text1"/>
              </w:rPr>
              <w:t>采购代理</w:t>
            </w:r>
          </w:p>
          <w:p w14:paraId="68D5DD23">
            <w:pPr>
              <w:spacing w:line="360" w:lineRule="auto"/>
              <w:jc w:val="center"/>
              <w:rPr>
                <w:rFonts w:ascii="Times New Roman" w:hAnsi="Times New Roman" w:cs="Times New Roman"/>
                <w:b/>
                <w:color w:val="000000" w:themeColor="text1"/>
              </w:rPr>
            </w:pPr>
            <w:r>
              <w:rPr>
                <w:rFonts w:ascii="Times New Roman" w:hAnsi="Times New Roman" w:cs="Times New Roman"/>
                <w:b/>
                <w:color w:val="000000" w:themeColor="text1"/>
              </w:rPr>
              <w:t>服务费</w:t>
            </w:r>
          </w:p>
        </w:tc>
        <w:tc>
          <w:tcPr>
            <w:tcW w:w="7273" w:type="dxa"/>
            <w:gridSpan w:val="4"/>
            <w:shd w:val="clear" w:color="auto" w:fill="FFFFFF"/>
            <w:vAlign w:val="center"/>
          </w:tcPr>
          <w:p w14:paraId="453759DD">
            <w:pPr>
              <w:numPr>
                <w:ilvl w:val="0"/>
                <w:numId w:val="0"/>
              </w:numPr>
              <w:spacing w:line="360" w:lineRule="exact"/>
              <w:rPr>
                <w:color w:val="000000"/>
              </w:rPr>
            </w:pPr>
            <w:r>
              <w:rPr>
                <w:rFonts w:hint="eastAsia"/>
                <w:color w:val="000000"/>
                <w:highlight w:val="none"/>
                <w:lang w:val="en-US" w:eastAsia="zh-CN"/>
              </w:rPr>
              <w:t>中标服务费的收取：本采</w:t>
            </w:r>
            <w:r>
              <w:rPr>
                <w:rFonts w:hint="eastAsia"/>
                <w:color w:val="000000"/>
                <w:lang w:val="en-US" w:eastAsia="zh-CN"/>
              </w:rPr>
              <w:t>购代理机构参考国家发改委发改办价格[2003]857号通知和国家计委计价格[2002]1980号文件规定的服务类招标费率标准，以中标价为基数打七折向中标人收取招标服务费，低于保底收费7000元的按保底收费收取。</w:t>
            </w:r>
          </w:p>
          <w:p w14:paraId="4F7D716C">
            <w:pPr>
              <w:snapToGrid w:val="0"/>
              <w:spacing w:line="360" w:lineRule="auto"/>
              <w:rPr>
                <w:rFonts w:ascii="Times New Roman" w:hAnsi="Times New Roman" w:cs="Times New Roman"/>
                <w:color w:val="000000"/>
              </w:rPr>
            </w:pPr>
            <w:r>
              <w:rPr>
                <w:rFonts w:ascii="Times New Roman" w:hAnsi="Times New Roman" w:cs="Times New Roman"/>
                <w:b/>
                <w:bCs/>
                <w:color w:val="000000"/>
              </w:rPr>
              <w:t>采购代理费由中标人支付，中标人在领取中标通知书</w:t>
            </w:r>
            <w:r>
              <w:rPr>
                <w:rFonts w:hint="eastAsia" w:ascii="Times New Roman" w:hAnsi="Times New Roman" w:cs="Times New Roman"/>
                <w:b/>
                <w:bCs/>
                <w:color w:val="000000"/>
                <w:lang w:val="en-US" w:eastAsia="zh-CN"/>
              </w:rPr>
              <w:t>后十五个工作日内</w:t>
            </w:r>
            <w:r>
              <w:rPr>
                <w:rFonts w:ascii="Times New Roman" w:hAnsi="Times New Roman" w:cs="Times New Roman"/>
                <w:b/>
                <w:bCs/>
                <w:color w:val="000000"/>
              </w:rPr>
              <w:t>一次性付清</w:t>
            </w:r>
            <w:r>
              <w:rPr>
                <w:rFonts w:ascii="Times New Roman" w:hAnsi="Times New Roman" w:cs="Times New Roman"/>
                <w:color w:val="000000"/>
              </w:rPr>
              <w:t>。</w:t>
            </w:r>
          </w:p>
          <w:p w14:paraId="07ACCD46">
            <w:pPr>
              <w:numPr>
                <w:ilvl w:val="0"/>
                <w:numId w:val="0"/>
              </w:numPr>
              <w:spacing w:line="360" w:lineRule="exact"/>
              <w:rPr>
                <w:rFonts w:hint="eastAsia" w:eastAsia="宋体" w:cs="Times New Roman"/>
                <w:color w:val="000000"/>
                <w:lang w:val="en-US" w:eastAsia="zh-CN"/>
              </w:rPr>
            </w:pPr>
            <w:r>
              <w:rPr>
                <w:rFonts w:hint="eastAsia" w:eastAsia="宋体" w:cs="Times New Roman"/>
                <w:color w:val="000000"/>
                <w:lang w:val="en-US" w:eastAsia="zh-CN"/>
              </w:rPr>
              <w:t>收款账号：</w:t>
            </w:r>
          </w:p>
          <w:p w14:paraId="64D6E825">
            <w:pPr>
              <w:numPr>
                <w:ilvl w:val="0"/>
                <w:numId w:val="0"/>
              </w:numPr>
              <w:spacing w:line="360" w:lineRule="exact"/>
              <w:rPr>
                <w:rFonts w:hint="eastAsia" w:eastAsia="宋体" w:cs="Times New Roman"/>
                <w:color w:val="000000"/>
                <w:lang w:val="en-US" w:eastAsia="zh-CN"/>
              </w:rPr>
            </w:pPr>
            <w:r>
              <w:rPr>
                <w:rFonts w:hint="eastAsia" w:eastAsia="宋体" w:cs="Times New Roman"/>
                <w:color w:val="000000"/>
                <w:lang w:val="en-US" w:eastAsia="zh-CN"/>
              </w:rPr>
              <w:t>收款单位（户名）：浙江自贸区中昊工程管理有限公司</w:t>
            </w:r>
          </w:p>
          <w:p w14:paraId="17577B80">
            <w:pPr>
              <w:numPr>
                <w:ilvl w:val="0"/>
                <w:numId w:val="0"/>
              </w:numPr>
              <w:spacing w:line="360" w:lineRule="exact"/>
              <w:rPr>
                <w:rFonts w:hint="eastAsia" w:eastAsia="宋体" w:cs="Times New Roman"/>
                <w:color w:val="000000"/>
                <w:lang w:val="en-US" w:eastAsia="zh-CN"/>
              </w:rPr>
            </w:pPr>
            <w:r>
              <w:rPr>
                <w:rFonts w:hint="eastAsia" w:eastAsia="宋体" w:cs="Times New Roman"/>
                <w:color w:val="000000"/>
                <w:lang w:val="en-US" w:eastAsia="zh-CN"/>
              </w:rPr>
              <w:t>开户银行：建行舟山定海支行</w:t>
            </w:r>
          </w:p>
          <w:p w14:paraId="0729D212">
            <w:pPr>
              <w:pStyle w:val="23"/>
              <w:ind w:firstLine="210"/>
              <w:rPr>
                <w:color w:val="000000" w:themeColor="text1"/>
              </w:rPr>
            </w:pPr>
            <w:r>
              <w:rPr>
                <w:rFonts w:hint="eastAsia" w:eastAsia="宋体" w:cs="Times New Roman"/>
                <w:color w:val="000000"/>
                <w:lang w:val="en-US" w:eastAsia="zh-CN"/>
              </w:rPr>
              <w:t>银行账号：33001706235050001511</w:t>
            </w:r>
          </w:p>
        </w:tc>
      </w:tr>
      <w:tr w14:paraId="61290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7" w:hRule="atLeast"/>
          <w:tblCellSpacing w:w="7" w:type="dxa"/>
          <w:jc w:val="center"/>
        </w:trPr>
        <w:tc>
          <w:tcPr>
            <w:tcW w:w="549" w:type="dxa"/>
            <w:shd w:val="clear" w:color="auto" w:fill="E0E0E0"/>
            <w:vAlign w:val="center"/>
          </w:tcPr>
          <w:p w14:paraId="1226588C">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1</w:t>
            </w:r>
            <w:r>
              <w:rPr>
                <w:rFonts w:hint="eastAsia" w:ascii="Times New Roman" w:hAnsi="Times New Roman" w:cs="Times New Roman"/>
                <w:b/>
                <w:color w:val="000000" w:themeColor="text1"/>
              </w:rPr>
              <w:t>2</w:t>
            </w:r>
          </w:p>
        </w:tc>
        <w:tc>
          <w:tcPr>
            <w:tcW w:w="1421" w:type="dxa"/>
            <w:shd w:val="clear" w:color="auto" w:fill="E0E0E0"/>
            <w:vAlign w:val="center"/>
          </w:tcPr>
          <w:p w14:paraId="4F01E035">
            <w:pPr>
              <w:spacing w:line="276" w:lineRule="auto"/>
              <w:jc w:val="center"/>
              <w:rPr>
                <w:rFonts w:ascii="Times New Roman" w:hAnsi="Times New Roman" w:cs="Times New Roman"/>
                <w:b/>
                <w:color w:val="000000" w:themeColor="text1"/>
              </w:rPr>
            </w:pPr>
            <w:r>
              <w:rPr>
                <w:rFonts w:ascii="Times New Roman" w:hAnsi="Times New Roman" w:cs="Times New Roman"/>
                <w:b/>
                <w:color w:val="000000" w:themeColor="text1"/>
              </w:rPr>
              <w:t>履约保证金</w:t>
            </w:r>
          </w:p>
        </w:tc>
        <w:tc>
          <w:tcPr>
            <w:tcW w:w="7273" w:type="dxa"/>
            <w:gridSpan w:val="4"/>
            <w:shd w:val="clear" w:color="auto" w:fill="FFFFFF"/>
            <w:vAlign w:val="center"/>
          </w:tcPr>
          <w:p w14:paraId="38C4CB5E">
            <w:pPr>
              <w:spacing w:line="360" w:lineRule="auto"/>
              <w:rPr>
                <w:rFonts w:ascii="Times New Roman" w:hAnsi="Times New Roman" w:cs="Times New Roman"/>
                <w:color w:val="000000" w:themeColor="text1"/>
                <w:szCs w:val="24"/>
              </w:rPr>
            </w:pPr>
            <w:r>
              <w:rPr>
                <w:rFonts w:hint="eastAsia" w:ascii="Times New Roman" w:hAnsi="Times New Roman" w:cs="Times New Roman"/>
                <w:color w:val="000000" w:themeColor="text1"/>
                <w:szCs w:val="24"/>
              </w:rPr>
              <w:t>/</w:t>
            </w:r>
          </w:p>
        </w:tc>
      </w:tr>
      <w:tr w14:paraId="747AB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7" w:hRule="atLeast"/>
          <w:tblCellSpacing w:w="7" w:type="dxa"/>
          <w:jc w:val="center"/>
        </w:trPr>
        <w:tc>
          <w:tcPr>
            <w:tcW w:w="549" w:type="dxa"/>
            <w:shd w:val="clear" w:color="auto" w:fill="E0E0E0"/>
            <w:vAlign w:val="center"/>
          </w:tcPr>
          <w:p w14:paraId="1282784E">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1</w:t>
            </w:r>
            <w:r>
              <w:rPr>
                <w:rFonts w:hint="eastAsia" w:ascii="Times New Roman" w:hAnsi="Times New Roman" w:cs="Times New Roman"/>
                <w:b/>
                <w:color w:val="000000" w:themeColor="text1"/>
              </w:rPr>
              <w:t>3</w:t>
            </w:r>
          </w:p>
        </w:tc>
        <w:tc>
          <w:tcPr>
            <w:tcW w:w="1421" w:type="dxa"/>
            <w:shd w:val="clear" w:color="auto" w:fill="E0E0E0"/>
            <w:vAlign w:val="center"/>
          </w:tcPr>
          <w:p w14:paraId="11FEF62B">
            <w:pPr>
              <w:spacing w:line="276" w:lineRule="auto"/>
              <w:jc w:val="center"/>
              <w:rPr>
                <w:rFonts w:ascii="Times New Roman" w:hAnsi="Times New Roman" w:cs="Times New Roman"/>
                <w:b/>
                <w:color w:val="000000" w:themeColor="text1"/>
              </w:rPr>
            </w:pPr>
            <w:r>
              <w:rPr>
                <w:rFonts w:ascii="Times New Roman" w:hAnsi="Times New Roman" w:cs="Times New Roman"/>
                <w:b/>
                <w:color w:val="000000" w:themeColor="text1"/>
              </w:rPr>
              <w:t>投标文件</w:t>
            </w:r>
          </w:p>
          <w:p w14:paraId="69363948">
            <w:pPr>
              <w:spacing w:line="276" w:lineRule="auto"/>
              <w:jc w:val="center"/>
              <w:rPr>
                <w:rFonts w:ascii="Times New Roman" w:hAnsi="Times New Roman" w:cs="Times New Roman"/>
                <w:b/>
                <w:color w:val="000000" w:themeColor="text1"/>
              </w:rPr>
            </w:pPr>
            <w:r>
              <w:rPr>
                <w:rFonts w:ascii="Times New Roman" w:hAnsi="Times New Roman" w:cs="Times New Roman"/>
                <w:b/>
                <w:color w:val="000000" w:themeColor="text1"/>
              </w:rPr>
              <w:t>的组成</w:t>
            </w:r>
          </w:p>
        </w:tc>
        <w:tc>
          <w:tcPr>
            <w:tcW w:w="7273" w:type="dxa"/>
            <w:gridSpan w:val="4"/>
            <w:shd w:val="clear" w:color="auto" w:fill="FFFFFF"/>
            <w:vAlign w:val="center"/>
          </w:tcPr>
          <w:p w14:paraId="161AA0B5">
            <w:pPr>
              <w:spacing w:line="360" w:lineRule="exact"/>
              <w:rPr>
                <w:rFonts w:ascii="Times New Roman" w:hAnsi="Times New Roman" w:cs="Times New Roman"/>
                <w:color w:val="000000" w:themeColor="text1"/>
              </w:rPr>
            </w:pPr>
            <w:r>
              <w:rPr>
                <w:rFonts w:ascii="Times New Roman" w:hAnsi="Times New Roman" w:cs="Times New Roman"/>
                <w:color w:val="000000" w:themeColor="text1"/>
              </w:rPr>
              <w:t>本项目实行电子投标。</w:t>
            </w:r>
          </w:p>
          <w:p w14:paraId="081A2209">
            <w:pPr>
              <w:pStyle w:val="2"/>
              <w:spacing w:after="0" w:line="360" w:lineRule="exact"/>
              <w:rPr>
                <w:rFonts w:ascii="Times New Roman" w:hAnsi="Times New Roman" w:cs="Times New Roman"/>
                <w:color w:val="000000" w:themeColor="text1"/>
                <w:kern w:val="2"/>
                <w:sz w:val="21"/>
                <w:szCs w:val="21"/>
              </w:rPr>
            </w:pPr>
            <w:r>
              <w:rPr>
                <w:rFonts w:ascii="Times New Roman" w:hAnsi="Times New Roman" w:cs="Times New Roman"/>
                <w:color w:val="000000" w:themeColor="text1"/>
                <w:sz w:val="21"/>
              </w:rPr>
              <w:t>投标文件由资格响应文件、商务及技术响应文件、报价文件</w:t>
            </w:r>
            <w:r>
              <w:rPr>
                <w:rFonts w:hint="eastAsia" w:ascii="Times New Roman" w:hAnsi="Times New Roman" w:cs="Times New Roman"/>
                <w:color w:val="000000" w:themeColor="text1"/>
                <w:sz w:val="21"/>
              </w:rPr>
              <w:t>三部分组成</w:t>
            </w:r>
            <w:r>
              <w:rPr>
                <w:rFonts w:ascii="Times New Roman" w:hAnsi="Times New Roman" w:cs="Times New Roman"/>
                <w:color w:val="000000" w:themeColor="text1"/>
                <w:sz w:val="21"/>
              </w:rPr>
              <w:t>。</w:t>
            </w:r>
          </w:p>
        </w:tc>
      </w:tr>
      <w:tr w14:paraId="0EF1F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7" w:hRule="atLeast"/>
          <w:tblCellSpacing w:w="7" w:type="dxa"/>
          <w:jc w:val="center"/>
        </w:trPr>
        <w:tc>
          <w:tcPr>
            <w:tcW w:w="549" w:type="dxa"/>
            <w:shd w:val="clear" w:color="auto" w:fill="E0E0E0"/>
            <w:vAlign w:val="center"/>
          </w:tcPr>
          <w:p w14:paraId="0FE81F27">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1</w:t>
            </w:r>
            <w:r>
              <w:rPr>
                <w:rFonts w:hint="eastAsia" w:ascii="Times New Roman" w:hAnsi="Times New Roman" w:cs="Times New Roman"/>
                <w:b/>
                <w:color w:val="000000" w:themeColor="text1"/>
              </w:rPr>
              <w:t>4</w:t>
            </w:r>
          </w:p>
        </w:tc>
        <w:tc>
          <w:tcPr>
            <w:tcW w:w="1421" w:type="dxa"/>
            <w:shd w:val="clear" w:color="auto" w:fill="E0E0E0"/>
            <w:vAlign w:val="center"/>
          </w:tcPr>
          <w:p w14:paraId="1CF321A3">
            <w:pPr>
              <w:spacing w:line="276" w:lineRule="auto"/>
              <w:jc w:val="center"/>
              <w:rPr>
                <w:rFonts w:ascii="Times New Roman" w:hAnsi="Times New Roman" w:cs="Times New Roman"/>
                <w:b/>
                <w:color w:val="000000" w:themeColor="text1"/>
              </w:rPr>
            </w:pPr>
            <w:r>
              <w:rPr>
                <w:rFonts w:ascii="Times New Roman" w:hAnsi="Times New Roman" w:cs="Times New Roman"/>
                <w:b/>
                <w:color w:val="000000" w:themeColor="text1"/>
              </w:rPr>
              <w:t>投标文件</w:t>
            </w:r>
          </w:p>
          <w:p w14:paraId="0C0832F0">
            <w:pPr>
              <w:spacing w:line="276" w:lineRule="auto"/>
              <w:jc w:val="center"/>
              <w:rPr>
                <w:rFonts w:ascii="Times New Roman" w:hAnsi="Times New Roman" w:cs="Times New Roman"/>
                <w:b/>
                <w:color w:val="000000" w:themeColor="text1"/>
              </w:rPr>
            </w:pPr>
            <w:r>
              <w:rPr>
                <w:rFonts w:ascii="Times New Roman" w:hAnsi="Times New Roman" w:cs="Times New Roman"/>
                <w:b/>
                <w:color w:val="000000" w:themeColor="text1"/>
              </w:rPr>
              <w:t>的递交</w:t>
            </w:r>
          </w:p>
        </w:tc>
        <w:tc>
          <w:tcPr>
            <w:tcW w:w="7273" w:type="dxa"/>
            <w:gridSpan w:val="4"/>
            <w:shd w:val="clear" w:color="auto" w:fill="FFFFFF"/>
            <w:vAlign w:val="center"/>
          </w:tcPr>
          <w:p w14:paraId="7754A75E">
            <w:pPr>
              <w:ind w:firstLine="420" w:firstLineChars="200"/>
              <w:rPr>
                <w:rFonts w:ascii="Times New Roman" w:hAnsi="Times New Roman"/>
              </w:rPr>
            </w:pPr>
            <w:r>
              <w:rPr>
                <w:rFonts w:ascii="Times New Roman" w:hAnsi="Times New Roman"/>
              </w:rPr>
              <w:t>根据《浙江省政府采购项目电子交易管理暂行办法》第二十条规定，本次投标允许投标人递交电子备份投标文件</w:t>
            </w:r>
            <w:r>
              <w:rPr>
                <w:rFonts w:ascii="Times New Roman" w:hAnsi="Times New Roman"/>
                <w:b/>
                <w:bCs/>
              </w:rPr>
              <w:t>（后缀名为.bfbs）</w:t>
            </w:r>
            <w:r>
              <w:rPr>
                <w:rFonts w:ascii="Times New Roman" w:hAnsi="Times New Roman"/>
              </w:rPr>
              <w:t>，但不强制要求提交，未</w:t>
            </w:r>
            <w:r>
              <w:rPr>
                <w:rFonts w:hint="eastAsia" w:ascii="Times New Roman" w:hAnsi="Times New Roman"/>
              </w:rPr>
              <w:t>提交</w:t>
            </w:r>
            <w:r>
              <w:rPr>
                <w:rFonts w:ascii="Times New Roman" w:hAnsi="Times New Roman"/>
              </w:rPr>
              <w:t>造成项目开评标活动无法进行下去的，投标无效，相关风险由投标人自行承担。</w:t>
            </w:r>
          </w:p>
          <w:p w14:paraId="5009E28B">
            <w:pPr>
              <w:rPr>
                <w:rFonts w:ascii="Times New Roman" w:hAnsi="Times New Roman"/>
              </w:rPr>
            </w:pPr>
            <w:r>
              <w:rPr>
                <w:rFonts w:ascii="Times New Roman" w:hAnsi="Times New Roman"/>
              </w:rPr>
              <w:t>1、在开标截止时间前须在政采云系统里上传加密的电子版投标文件。</w:t>
            </w:r>
          </w:p>
          <w:p w14:paraId="4589271D">
            <w:pPr>
              <w:rPr>
                <w:rFonts w:ascii="Times New Roman" w:hAnsi="Times New Roman"/>
                <w:shd w:val="clear" w:color="auto" w:fill="FFFFFF"/>
              </w:rPr>
            </w:pPr>
            <w:r>
              <w:rPr>
                <w:rFonts w:ascii="Times New Roman" w:hAnsi="Times New Roman"/>
              </w:rPr>
              <w:t>2、</w:t>
            </w:r>
            <w:r>
              <w:rPr>
                <w:rFonts w:ascii="Times New Roman" w:hAnsi="Times New Roman"/>
                <w:shd w:val="clear" w:color="auto" w:fill="FFFFFF"/>
              </w:rPr>
              <w:t>备份投标文件递交的方式为：</w:t>
            </w:r>
            <w:r>
              <w:rPr>
                <w:rFonts w:ascii="Times New Roman" w:hAnsi="Times New Roman"/>
                <w:b/>
                <w:bCs/>
                <w:shd w:val="clear" w:color="auto" w:fill="FFFFFF"/>
              </w:rPr>
              <w:t>邮寄或</w:t>
            </w:r>
            <w:r>
              <w:rPr>
                <w:rFonts w:hint="eastAsia" w:ascii="Times New Roman" w:hAnsi="Times New Roman"/>
                <w:b/>
                <w:bCs/>
                <w:shd w:val="clear" w:color="auto" w:fill="FFFFFF"/>
              </w:rPr>
              <w:t>邮箱（</w:t>
            </w:r>
            <w:r>
              <w:rPr>
                <w:rFonts w:ascii="Times New Roman" w:hAnsi="Times New Roman"/>
                <w:b/>
                <w:bCs/>
                <w:shd w:val="clear" w:color="auto" w:fill="FFFFFF"/>
              </w:rPr>
              <w:t>备份文件</w:t>
            </w:r>
            <w:r>
              <w:rPr>
                <w:rFonts w:hint="eastAsia" w:ascii="Times New Roman" w:hAnsi="Times New Roman"/>
                <w:b/>
                <w:bCs/>
                <w:shd w:val="clear" w:color="auto" w:fill="FFFFFF"/>
              </w:rPr>
              <w:t>的</w:t>
            </w:r>
            <w:r>
              <w:rPr>
                <w:rFonts w:ascii="Times New Roman" w:hAnsi="Times New Roman"/>
                <w:b/>
                <w:bCs/>
                <w:shd w:val="clear" w:color="auto" w:fill="FFFFFF"/>
              </w:rPr>
              <w:t>后缀名为.bfbs</w:t>
            </w:r>
            <w:r>
              <w:rPr>
                <w:rFonts w:hint="eastAsia" w:ascii="Times New Roman" w:hAnsi="Times New Roman"/>
                <w:b/>
                <w:bCs/>
                <w:shd w:val="clear" w:color="auto" w:fill="FFFFFF"/>
              </w:rPr>
              <w:t>）</w:t>
            </w:r>
            <w:r>
              <w:rPr>
                <w:rFonts w:ascii="Times New Roman" w:hAnsi="Times New Roman"/>
                <w:shd w:val="clear" w:color="auto" w:fill="FFFFFF"/>
              </w:rPr>
              <w:t>。</w:t>
            </w:r>
          </w:p>
          <w:p w14:paraId="472C3ED4">
            <w:pPr>
              <w:snapToGrid w:val="0"/>
              <w:rPr>
                <w:rFonts w:ascii="Times New Roman" w:hAnsi="Times New Roman"/>
                <w:b/>
                <w:bCs/>
              </w:rPr>
            </w:pPr>
            <w:r>
              <w:rPr>
                <w:rFonts w:hint="eastAsia" w:ascii="Times New Roman" w:hAnsi="Times New Roman"/>
                <w:b/>
                <w:bCs/>
              </w:rPr>
              <w:t>2.1邮寄</w:t>
            </w:r>
            <w:r>
              <w:rPr>
                <w:rFonts w:ascii="Times New Roman" w:hAnsi="Times New Roman"/>
                <w:b/>
                <w:bCs/>
              </w:rPr>
              <w:t>地址：舟山市定海区临城街道百川道9号910（科创园区）</w:t>
            </w:r>
          </w:p>
          <w:p w14:paraId="301F884F">
            <w:pPr>
              <w:snapToGrid w:val="0"/>
              <w:rPr>
                <w:rFonts w:ascii="Times New Roman" w:hAnsi="Times New Roman"/>
                <w:b/>
                <w:bCs/>
              </w:rPr>
            </w:pPr>
            <w:r>
              <w:rPr>
                <w:rFonts w:ascii="Times New Roman" w:hAnsi="Times New Roman"/>
                <w:b/>
                <w:bCs/>
              </w:rPr>
              <w:t>收件人：</w:t>
            </w:r>
            <w:r>
              <w:rPr>
                <w:rFonts w:hint="eastAsia" w:ascii="Times New Roman" w:hAnsi="Times New Roman"/>
                <w:b/>
                <w:bCs/>
              </w:rPr>
              <w:t>张璐</w:t>
            </w:r>
            <w:r>
              <w:rPr>
                <w:rFonts w:ascii="Times New Roman" w:hAnsi="Times New Roman"/>
                <w:b/>
                <w:bCs/>
              </w:rPr>
              <w:t>，电话：0580-2119100</w:t>
            </w:r>
          </w:p>
          <w:p w14:paraId="591D1576">
            <w:pPr>
              <w:snapToGrid w:val="0"/>
              <w:rPr>
                <w:rFonts w:ascii="Times New Roman" w:hAnsi="Times New Roman"/>
                <w:b/>
                <w:bCs/>
              </w:rPr>
            </w:pPr>
            <w:r>
              <w:rPr>
                <w:rFonts w:hint="eastAsia" w:ascii="Times New Roman" w:hAnsi="Times New Roman"/>
                <w:b/>
                <w:bCs/>
              </w:rPr>
              <w:t>2.2邮箱：41688047@qq.com</w:t>
            </w:r>
          </w:p>
          <w:p w14:paraId="271222EC">
            <w:pPr>
              <w:pStyle w:val="23"/>
              <w:ind w:firstLine="210"/>
            </w:pPr>
            <w:r>
              <w:t>采用邮箱送达备份文件的，投标人将备份文件压缩加密后发至邮箱，当解密发生失败时，代理公司将通过电话获取文件密码。</w:t>
            </w:r>
          </w:p>
          <w:p w14:paraId="60D5202B">
            <w:pPr>
              <w:rPr>
                <w:rFonts w:ascii="Times New Roman" w:hAnsi="Times New Roman"/>
              </w:rPr>
            </w:pPr>
            <w:r>
              <w:rPr>
                <w:rFonts w:ascii="Times New Roman" w:hAnsi="Times New Roman"/>
              </w:rPr>
              <w:t>3、备份投标文件，介质可以是U盘或DVD光盘，只允许存储一个文件。</w:t>
            </w:r>
          </w:p>
          <w:p w14:paraId="3C1CB0C5">
            <w:pPr>
              <w:rPr>
                <w:rFonts w:ascii="Times New Roman" w:hAnsi="Times New Roman"/>
              </w:rPr>
            </w:pPr>
            <w:r>
              <w:rPr>
                <w:rFonts w:ascii="Times New Roman" w:hAnsi="Times New Roman"/>
              </w:rPr>
              <w:t>4、当发生投标人未按时解密时，代理机构将启用已提交的备份投标文件。</w:t>
            </w:r>
          </w:p>
          <w:p w14:paraId="44090E95">
            <w:pPr>
              <w:rPr>
                <w:rFonts w:ascii="Times New Roman" w:hAnsi="Times New Roman"/>
              </w:rPr>
            </w:pPr>
            <w:r>
              <w:rPr>
                <w:rFonts w:ascii="Times New Roman" w:hAnsi="Times New Roman"/>
              </w:rPr>
              <w:t>5、以下情形视为</w:t>
            </w:r>
            <w:r>
              <w:rPr>
                <w:rFonts w:ascii="Times New Roman" w:hAnsi="Times New Roman"/>
                <w:b/>
                <w:bCs/>
              </w:rPr>
              <w:t>未提交有效投标文件</w:t>
            </w:r>
            <w:r>
              <w:rPr>
                <w:rFonts w:ascii="Times New Roman" w:hAnsi="Times New Roman"/>
              </w:rPr>
              <w:t>：</w:t>
            </w:r>
          </w:p>
          <w:p w14:paraId="22639AA5">
            <w:pPr>
              <w:rPr>
                <w:rFonts w:ascii="Times New Roman" w:hAnsi="Times New Roman"/>
              </w:rPr>
            </w:pPr>
            <w:r>
              <w:rPr>
                <w:rFonts w:ascii="Times New Roman" w:hAnsi="Times New Roman"/>
              </w:rPr>
              <w:t>5.1仅提交备份投标文件的；</w:t>
            </w:r>
          </w:p>
          <w:p w14:paraId="5535BC8E">
            <w:pPr>
              <w:rPr>
                <w:rFonts w:ascii="Times New Roman" w:hAnsi="Times New Roman"/>
              </w:rPr>
            </w:pPr>
            <w:r>
              <w:rPr>
                <w:rFonts w:ascii="Times New Roman" w:hAnsi="Times New Roman"/>
              </w:rPr>
              <w:t>5.2投标人未按时解密，且提交备份投标文件无效的；</w:t>
            </w:r>
          </w:p>
          <w:p w14:paraId="4692C206">
            <w:pPr>
              <w:rPr>
                <w:rFonts w:ascii="Times New Roman" w:hAnsi="Times New Roman"/>
              </w:rPr>
            </w:pPr>
            <w:r>
              <w:rPr>
                <w:rFonts w:ascii="Times New Roman" w:hAnsi="Times New Roman"/>
              </w:rPr>
              <w:t>5.3投标人未按时解密，且提交的备份投标文件不明确，存在一个或一个以上备选（替代）备份投标文件。</w:t>
            </w:r>
          </w:p>
          <w:p w14:paraId="1846544A">
            <w:pPr>
              <w:rPr>
                <w:rFonts w:ascii="Times New Roman" w:hAnsi="Times New Roman"/>
              </w:rPr>
            </w:pPr>
            <w:r>
              <w:rPr>
                <w:rFonts w:ascii="Times New Roman" w:hAnsi="Times New Roman"/>
              </w:rPr>
              <w:t>6、投标人递交备份投标文件时，如出现下列情况之一的，</w:t>
            </w:r>
            <w:r>
              <w:rPr>
                <w:rFonts w:ascii="Times New Roman" w:hAnsi="Times New Roman"/>
                <w:b/>
                <w:bCs/>
              </w:rPr>
              <w:t>将被拒收</w:t>
            </w:r>
            <w:r>
              <w:rPr>
                <w:rFonts w:hint="eastAsia" w:ascii="Times New Roman" w:hAnsi="Times New Roman"/>
                <w:b/>
                <w:bCs/>
              </w:rPr>
              <w:t>（此条款仅针对邮寄的备份文件）</w:t>
            </w:r>
            <w:r>
              <w:rPr>
                <w:rFonts w:ascii="Times New Roman" w:hAnsi="Times New Roman"/>
                <w:b/>
                <w:bCs/>
              </w:rPr>
              <w:t>：</w:t>
            </w:r>
          </w:p>
          <w:p w14:paraId="0BA842C1">
            <w:pPr>
              <w:rPr>
                <w:rFonts w:ascii="Times New Roman" w:hAnsi="Times New Roman"/>
              </w:rPr>
            </w:pPr>
            <w:r>
              <w:rPr>
                <w:rFonts w:ascii="Times New Roman" w:hAnsi="Times New Roman"/>
              </w:rPr>
              <w:t>6.1未按规定密封或标记的投标文件；</w:t>
            </w:r>
          </w:p>
          <w:p w14:paraId="2776F785">
            <w:pPr>
              <w:rPr>
                <w:rFonts w:ascii="Times New Roman" w:hAnsi="Times New Roman"/>
              </w:rPr>
            </w:pPr>
            <w:r>
              <w:rPr>
                <w:rFonts w:ascii="Times New Roman" w:hAnsi="Times New Roman"/>
              </w:rPr>
              <w:t>6.2由于包装不妥，在送交途中严重损坏的；</w:t>
            </w:r>
          </w:p>
          <w:p w14:paraId="430520FE">
            <w:pPr>
              <w:spacing w:line="360" w:lineRule="exact"/>
              <w:rPr>
                <w:rFonts w:ascii="Times New Roman" w:hAnsi="Times New Roman" w:cs="Times New Roman"/>
                <w:color w:val="000000" w:themeColor="text1"/>
                <w:szCs w:val="24"/>
              </w:rPr>
            </w:pPr>
            <w:r>
              <w:rPr>
                <w:rFonts w:ascii="Times New Roman" w:hAnsi="Times New Roman"/>
              </w:rPr>
              <w:t>6.3超过规定时间送达的。</w:t>
            </w:r>
          </w:p>
        </w:tc>
      </w:tr>
      <w:tr w14:paraId="4043C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61" w:hRule="atLeast"/>
          <w:tblCellSpacing w:w="7" w:type="dxa"/>
          <w:jc w:val="center"/>
        </w:trPr>
        <w:tc>
          <w:tcPr>
            <w:tcW w:w="549" w:type="dxa"/>
            <w:shd w:val="clear" w:color="auto" w:fill="E0E0E0"/>
            <w:vAlign w:val="center"/>
          </w:tcPr>
          <w:p w14:paraId="64D25EDE">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1</w:t>
            </w:r>
            <w:r>
              <w:rPr>
                <w:rFonts w:hint="eastAsia" w:ascii="Times New Roman" w:hAnsi="Times New Roman" w:cs="Times New Roman"/>
                <w:b/>
                <w:color w:val="000000" w:themeColor="text1"/>
              </w:rPr>
              <w:t>5</w:t>
            </w:r>
          </w:p>
        </w:tc>
        <w:tc>
          <w:tcPr>
            <w:tcW w:w="1421" w:type="dxa"/>
            <w:shd w:val="clear" w:color="auto" w:fill="E0E0E0"/>
            <w:vAlign w:val="center"/>
          </w:tcPr>
          <w:p w14:paraId="3FB8E177">
            <w:pPr>
              <w:spacing w:line="276" w:lineRule="auto"/>
              <w:jc w:val="center"/>
              <w:rPr>
                <w:rFonts w:ascii="Times New Roman" w:hAnsi="Times New Roman" w:cs="Times New Roman"/>
                <w:b/>
                <w:color w:val="000000" w:themeColor="text1"/>
              </w:rPr>
            </w:pPr>
            <w:r>
              <w:rPr>
                <w:rFonts w:ascii="Times New Roman" w:hAnsi="Times New Roman" w:cs="Times New Roman"/>
                <w:b/>
                <w:color w:val="000000" w:themeColor="text1"/>
              </w:rPr>
              <w:t>投标文件</w:t>
            </w:r>
          </w:p>
          <w:p w14:paraId="13099C31">
            <w:pPr>
              <w:spacing w:line="276" w:lineRule="auto"/>
              <w:jc w:val="center"/>
              <w:rPr>
                <w:rFonts w:ascii="Times New Roman" w:hAnsi="Times New Roman" w:cs="Times New Roman"/>
                <w:b/>
                <w:color w:val="000000" w:themeColor="text1"/>
              </w:rPr>
            </w:pPr>
            <w:r>
              <w:rPr>
                <w:rFonts w:ascii="Times New Roman" w:hAnsi="Times New Roman" w:cs="Times New Roman"/>
                <w:b/>
                <w:color w:val="000000" w:themeColor="text1"/>
              </w:rPr>
              <w:t>的密封要求</w:t>
            </w:r>
          </w:p>
        </w:tc>
        <w:tc>
          <w:tcPr>
            <w:tcW w:w="7273" w:type="dxa"/>
            <w:gridSpan w:val="4"/>
            <w:shd w:val="clear" w:color="auto" w:fill="FFFFFF"/>
            <w:vAlign w:val="center"/>
          </w:tcPr>
          <w:p w14:paraId="59958375">
            <w:pPr>
              <w:spacing w:line="360" w:lineRule="exact"/>
              <w:rPr>
                <w:rFonts w:ascii="Times New Roman" w:hAnsi="Times New Roman" w:cs="Times New Roman"/>
                <w:color w:val="000000" w:themeColor="text1"/>
              </w:rPr>
            </w:pPr>
            <w:r>
              <w:rPr>
                <w:rFonts w:ascii="Times New Roman" w:hAnsi="Times New Roman" w:cs="Times New Roman"/>
                <w:color w:val="000000" w:themeColor="text1"/>
              </w:rPr>
              <w:t>1、供应商线上制作投标文件并采用CA数字证书进行电子签章及加密。</w:t>
            </w:r>
          </w:p>
          <w:p w14:paraId="33F629AC">
            <w:pPr>
              <w:spacing w:line="360" w:lineRule="exact"/>
              <w:rPr>
                <w:rFonts w:ascii="Times New Roman" w:hAnsi="Times New Roman" w:cs="Times New Roman"/>
                <w:color w:val="000000" w:themeColor="text1"/>
                <w:szCs w:val="24"/>
              </w:rPr>
            </w:pPr>
            <w:r>
              <w:rPr>
                <w:rFonts w:ascii="Times New Roman" w:hAnsi="Times New Roman" w:cs="Times New Roman"/>
                <w:color w:val="000000" w:themeColor="text1"/>
              </w:rPr>
              <w:t>2、供应商邮寄或现场递交的备份投标文件应密封封装，注明投标人名称、项目名称并封口处加盖公章。</w:t>
            </w:r>
          </w:p>
        </w:tc>
      </w:tr>
      <w:tr w14:paraId="29805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7" w:hRule="atLeast"/>
          <w:tblCellSpacing w:w="7" w:type="dxa"/>
          <w:jc w:val="center"/>
        </w:trPr>
        <w:tc>
          <w:tcPr>
            <w:tcW w:w="549" w:type="dxa"/>
            <w:shd w:val="clear" w:color="auto" w:fill="E0E0E0"/>
            <w:vAlign w:val="center"/>
          </w:tcPr>
          <w:p w14:paraId="35789B7B">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1</w:t>
            </w:r>
            <w:r>
              <w:rPr>
                <w:rFonts w:hint="eastAsia" w:ascii="Times New Roman" w:hAnsi="Times New Roman" w:cs="Times New Roman"/>
                <w:b/>
                <w:color w:val="000000" w:themeColor="text1"/>
              </w:rPr>
              <w:t>6</w:t>
            </w:r>
          </w:p>
        </w:tc>
        <w:tc>
          <w:tcPr>
            <w:tcW w:w="1421" w:type="dxa"/>
            <w:shd w:val="clear" w:color="auto" w:fill="E0E0E0"/>
            <w:vAlign w:val="center"/>
          </w:tcPr>
          <w:p w14:paraId="7F2D22DF">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投标文件提交/开标截止时间</w:t>
            </w:r>
          </w:p>
        </w:tc>
        <w:tc>
          <w:tcPr>
            <w:tcW w:w="7273" w:type="dxa"/>
            <w:gridSpan w:val="4"/>
            <w:shd w:val="clear" w:color="auto" w:fill="FFFFFF"/>
            <w:vAlign w:val="center"/>
          </w:tcPr>
          <w:p w14:paraId="201845E1">
            <w:pPr>
              <w:spacing w:line="360" w:lineRule="exact"/>
              <w:rPr>
                <w:rFonts w:ascii="Times New Roman" w:hAnsi="Times New Roman" w:cs="Times New Roman"/>
                <w:color w:val="000000" w:themeColor="text1"/>
              </w:rPr>
            </w:pPr>
            <w:r>
              <w:rPr>
                <w:rFonts w:hint="eastAsia" w:ascii="Times New Roman" w:hAnsi="Times New Roman" w:cs="Times New Roman"/>
                <w:color w:val="000000" w:themeColor="text1"/>
              </w:rPr>
              <w:t>   </w:t>
            </w:r>
            <w:r>
              <w:rPr>
                <w:rFonts w:hint="eastAsia" w:ascii="Times New Roman" w:hAnsi="Times New Roman" w:cs="Times New Roman"/>
                <w:color w:val="000000" w:themeColor="text1"/>
                <w:sz w:val="21"/>
                <w:szCs w:val="21"/>
              </w:rPr>
              <w:t> </w:t>
            </w:r>
            <w:r>
              <w:rPr>
                <w:rFonts w:hint="eastAsia" w:ascii="Times New Roman" w:hAnsi="Times New Roman" w:cs="Times New Roman"/>
                <w:color w:val="000000" w:themeColor="text1"/>
                <w:sz w:val="21"/>
                <w:szCs w:val="21"/>
                <w:highlight w:val="yellow"/>
              </w:rPr>
              <w:t>202</w:t>
            </w:r>
            <w:r>
              <w:rPr>
                <w:rFonts w:hint="eastAsia" w:ascii="Times New Roman" w:hAnsi="Times New Roman" w:cs="Times New Roman"/>
                <w:color w:val="000000" w:themeColor="text1"/>
                <w:sz w:val="21"/>
                <w:szCs w:val="21"/>
                <w:highlight w:val="yellow"/>
                <w:lang w:val="en-US" w:eastAsia="zh-CN"/>
              </w:rPr>
              <w:t>5</w:t>
            </w:r>
            <w:r>
              <w:rPr>
                <w:rFonts w:hint="eastAsia" w:ascii="Times New Roman" w:hAnsi="Times New Roman" w:cs="Times New Roman"/>
                <w:color w:val="000000" w:themeColor="text1"/>
                <w:sz w:val="21"/>
                <w:szCs w:val="21"/>
                <w:highlight w:val="yellow"/>
              </w:rPr>
              <w:t>年</w:t>
            </w:r>
            <w:r>
              <w:rPr>
                <w:rFonts w:hint="eastAsia" w:ascii="Times New Roman" w:hAnsi="Times New Roman" w:cs="Times New Roman"/>
                <w:color w:val="000000" w:themeColor="text1"/>
                <w:sz w:val="21"/>
                <w:szCs w:val="21"/>
                <w:highlight w:val="yellow"/>
                <w:lang w:val="en-US" w:eastAsia="zh-CN"/>
              </w:rPr>
              <w:t xml:space="preserve">  </w:t>
            </w:r>
            <w:r>
              <w:rPr>
                <w:rFonts w:hint="eastAsia" w:ascii="Times New Roman" w:hAnsi="Times New Roman" w:cs="Times New Roman"/>
                <w:color w:val="000000" w:themeColor="text1"/>
                <w:sz w:val="21"/>
                <w:szCs w:val="21"/>
                <w:highlight w:val="yellow"/>
              </w:rPr>
              <w:t>月</w:t>
            </w:r>
            <w:r>
              <w:rPr>
                <w:rFonts w:hint="eastAsia" w:ascii="Times New Roman" w:hAnsi="Times New Roman" w:cs="Times New Roman"/>
                <w:color w:val="000000" w:themeColor="text1"/>
                <w:sz w:val="21"/>
                <w:szCs w:val="21"/>
                <w:highlight w:val="yellow"/>
                <w:lang w:val="en-US" w:eastAsia="zh-CN"/>
              </w:rPr>
              <w:t xml:space="preserve">  </w:t>
            </w:r>
            <w:r>
              <w:rPr>
                <w:rFonts w:hint="eastAsia" w:ascii="Times New Roman" w:hAnsi="Times New Roman" w:cs="Times New Roman"/>
                <w:color w:val="000000" w:themeColor="text1"/>
                <w:sz w:val="21"/>
                <w:szCs w:val="21"/>
                <w:highlight w:val="yellow"/>
              </w:rPr>
              <w:t>日 14:30</w:t>
            </w:r>
            <w:bookmarkStart w:id="4" w:name="_GoBack"/>
            <w:bookmarkEnd w:id="4"/>
          </w:p>
        </w:tc>
      </w:tr>
      <w:tr w14:paraId="575A0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7" w:hRule="atLeast"/>
          <w:tblCellSpacing w:w="7" w:type="dxa"/>
          <w:jc w:val="center"/>
        </w:trPr>
        <w:tc>
          <w:tcPr>
            <w:tcW w:w="549" w:type="dxa"/>
            <w:shd w:val="clear" w:color="auto" w:fill="E0E0E0"/>
            <w:vAlign w:val="center"/>
          </w:tcPr>
          <w:p w14:paraId="31F9BEA7">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1</w:t>
            </w:r>
            <w:r>
              <w:rPr>
                <w:rFonts w:hint="eastAsia" w:ascii="Times New Roman" w:hAnsi="Times New Roman" w:cs="Times New Roman"/>
                <w:b/>
                <w:color w:val="000000" w:themeColor="text1"/>
              </w:rPr>
              <w:t>7</w:t>
            </w:r>
          </w:p>
        </w:tc>
        <w:tc>
          <w:tcPr>
            <w:tcW w:w="1421" w:type="dxa"/>
            <w:shd w:val="clear" w:color="auto" w:fill="E0E0E0"/>
            <w:vAlign w:val="center"/>
          </w:tcPr>
          <w:p w14:paraId="62B6C4F5">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供应商注册</w:t>
            </w:r>
          </w:p>
        </w:tc>
        <w:tc>
          <w:tcPr>
            <w:tcW w:w="7273" w:type="dxa"/>
            <w:gridSpan w:val="4"/>
            <w:shd w:val="clear" w:color="auto" w:fill="FFFFFF"/>
            <w:vAlign w:val="center"/>
          </w:tcPr>
          <w:p w14:paraId="5F233BD6">
            <w:pPr>
              <w:spacing w:line="360" w:lineRule="exact"/>
              <w:ind w:firstLine="420"/>
              <w:jc w:val="left"/>
              <w:rPr>
                <w:rFonts w:ascii="Times New Roman" w:hAnsi="Times New Roman" w:cs="Times New Roman"/>
                <w:bCs/>
                <w:snapToGrid w:val="0"/>
                <w:color w:val="000000" w:themeColor="text1"/>
                <w:kern w:val="0"/>
              </w:rPr>
            </w:pPr>
            <w:r>
              <w:rPr>
                <w:rFonts w:ascii="Times New Roman" w:hAnsi="Times New Roman" w:cs="Times New Roman"/>
                <w:bCs/>
                <w:snapToGrid w:val="0"/>
                <w:color w:val="000000" w:themeColor="text1"/>
                <w:kern w:val="0"/>
              </w:rPr>
              <w:t>各供应商须在投标截止时间前根据浙江省财政厅《关于开展政府采购投标人网上注册登记和诚信管理工作的通知》（浙财采监【2010】8号文）的要求，通过浙江政府采购网申请注册加入政府采购供应商库。以免影响享受相关政策优惠及成交后的款项支付。</w:t>
            </w:r>
          </w:p>
          <w:p w14:paraId="402F9401">
            <w:pPr>
              <w:spacing w:line="360" w:lineRule="exact"/>
              <w:ind w:firstLine="420"/>
              <w:jc w:val="left"/>
              <w:rPr>
                <w:rFonts w:ascii="Times New Roman" w:hAnsi="Times New Roman" w:cs="Times New Roman"/>
                <w:color w:val="000000" w:themeColor="text1"/>
              </w:rPr>
            </w:pPr>
            <w:r>
              <w:rPr>
                <w:rFonts w:ascii="Times New Roman" w:hAnsi="Times New Roman" w:cs="Times New Roman"/>
                <w:bCs/>
                <w:snapToGrid w:val="0"/>
                <w:color w:val="000000" w:themeColor="text1"/>
                <w:kern w:val="0"/>
              </w:rPr>
              <w:t>供应商在申请注册前，请认真阅读，学习《中华人民共和国政府采购法》和《浙江省政府采购供应商注册及诚信管理暂行办法》等相关法规规定。</w:t>
            </w:r>
          </w:p>
        </w:tc>
      </w:tr>
      <w:tr w14:paraId="05B20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87" w:hRule="atLeast"/>
          <w:tblCellSpacing w:w="7" w:type="dxa"/>
          <w:jc w:val="center"/>
        </w:trPr>
        <w:tc>
          <w:tcPr>
            <w:tcW w:w="549" w:type="dxa"/>
            <w:shd w:val="clear" w:color="auto" w:fill="E0E0E0"/>
            <w:vAlign w:val="center"/>
          </w:tcPr>
          <w:p w14:paraId="324F5417">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1</w:t>
            </w:r>
            <w:r>
              <w:rPr>
                <w:rFonts w:hint="eastAsia" w:ascii="Times New Roman" w:hAnsi="Times New Roman" w:cs="Times New Roman"/>
                <w:b/>
                <w:color w:val="000000" w:themeColor="text1"/>
              </w:rPr>
              <w:t>8</w:t>
            </w:r>
          </w:p>
        </w:tc>
        <w:tc>
          <w:tcPr>
            <w:tcW w:w="1421" w:type="dxa"/>
            <w:shd w:val="clear" w:color="auto" w:fill="E0E0E0"/>
            <w:vAlign w:val="center"/>
          </w:tcPr>
          <w:p w14:paraId="6C6A103B">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不良信用记录查询</w:t>
            </w:r>
          </w:p>
        </w:tc>
        <w:tc>
          <w:tcPr>
            <w:tcW w:w="7273" w:type="dxa"/>
            <w:gridSpan w:val="4"/>
            <w:shd w:val="clear" w:color="auto" w:fill="FFFFFF"/>
            <w:vAlign w:val="center"/>
          </w:tcPr>
          <w:p w14:paraId="413EBAD3">
            <w:pPr>
              <w:spacing w:line="360" w:lineRule="exact"/>
              <w:rPr>
                <w:rFonts w:ascii="Times New Roman" w:hAnsi="Times New Roman" w:cs="Times New Roman"/>
                <w:color w:val="000000" w:themeColor="text1"/>
              </w:rPr>
            </w:pPr>
            <w:r>
              <w:rPr>
                <w:rFonts w:ascii="Times New Roman" w:hAnsi="Times New Roman" w:cs="Times New Roman"/>
                <w:color w:val="000000" w:themeColor="text1"/>
              </w:rPr>
              <w:t>根据财库[2016]125号文件：</w:t>
            </w:r>
          </w:p>
          <w:p w14:paraId="429669BE">
            <w:pPr>
              <w:spacing w:line="360" w:lineRule="exact"/>
              <w:rPr>
                <w:rFonts w:ascii="Times New Roman" w:hAnsi="Times New Roman" w:cs="Times New Roman"/>
                <w:color w:val="000000" w:themeColor="text1"/>
              </w:rPr>
            </w:pPr>
            <w:r>
              <w:rPr>
                <w:rFonts w:ascii="Times New Roman" w:hAnsi="Times New Roman" w:cs="Times New Roman"/>
                <w:color w:val="000000" w:themeColor="text1"/>
              </w:rPr>
              <w:t>1、至本项目投标截止前未被列入“信用中国”网站</w:t>
            </w:r>
            <w:r>
              <w:rPr>
                <w:rFonts w:hint="eastAsia" w:ascii="Times New Roman" w:hAnsi="Times New Roman" w:cs="Times New Roman"/>
                <w:color w:val="000000" w:themeColor="text1"/>
              </w:rPr>
              <w:t>（</w:t>
            </w:r>
            <w:r>
              <w:rPr>
                <w:rFonts w:ascii="Times New Roman" w:hAnsi="Times New Roman" w:cs="Times New Roman"/>
                <w:color w:val="000000" w:themeColor="text1"/>
              </w:rPr>
              <w:t>www.creditchina.gov.cn)“记录失信被执行人或重大税收违法案件当事人名单”记录名单。</w:t>
            </w:r>
          </w:p>
          <w:p w14:paraId="0980CB9D">
            <w:pPr>
              <w:spacing w:line="360" w:lineRule="exact"/>
              <w:rPr>
                <w:rFonts w:ascii="Times New Roman" w:hAnsi="Times New Roman" w:cs="Times New Roman"/>
                <w:color w:val="000000" w:themeColor="text1"/>
              </w:rPr>
            </w:pPr>
            <w:r>
              <w:rPr>
                <w:rFonts w:ascii="Times New Roman" w:hAnsi="Times New Roman" w:cs="Times New Roman"/>
                <w:color w:val="000000" w:themeColor="text1"/>
              </w:rPr>
              <w:t>2、至本项目投标截止前不处于中国政府采购网</w:t>
            </w:r>
            <w:r>
              <w:rPr>
                <w:rFonts w:hint="eastAsia" w:ascii="Times New Roman" w:hAnsi="Times New Roman" w:cs="Times New Roman"/>
                <w:color w:val="000000" w:themeColor="text1"/>
              </w:rPr>
              <w:t>（</w:t>
            </w:r>
            <w:r>
              <w:rPr>
                <w:rFonts w:ascii="Times New Roman" w:hAnsi="Times New Roman" w:cs="Times New Roman"/>
                <w:color w:val="000000" w:themeColor="text1"/>
              </w:rPr>
              <w:t>www.ccgp.gov.cn)“政府采购严重违法失信行为信息记录”中的禁止参加政府采购活动期间。</w:t>
            </w:r>
          </w:p>
          <w:p w14:paraId="364D4F1C">
            <w:pPr>
              <w:spacing w:line="360" w:lineRule="exact"/>
              <w:rPr>
                <w:rFonts w:ascii="Times New Roman" w:hAnsi="Times New Roman" w:cs="Times New Roman"/>
                <w:color w:val="000000" w:themeColor="text1"/>
                <w:szCs w:val="24"/>
              </w:rPr>
            </w:pPr>
            <w:r>
              <w:rPr>
                <w:rFonts w:ascii="Times New Roman" w:hAnsi="Times New Roman" w:cs="Times New Roman"/>
                <w:color w:val="000000" w:themeColor="text1"/>
              </w:rPr>
              <w:t>二个渠道提供</w:t>
            </w:r>
            <w:r>
              <w:rPr>
                <w:rFonts w:ascii="Times New Roman" w:hAnsi="Times New Roman" w:cs="Times New Roman"/>
                <w:b/>
                <w:color w:val="000000" w:themeColor="text1"/>
              </w:rPr>
              <w:t>查询截图。</w:t>
            </w:r>
            <w:r>
              <w:rPr>
                <w:rFonts w:ascii="Times New Roman" w:hAnsi="Times New Roman" w:cs="Times New Roman"/>
                <w:color w:val="000000" w:themeColor="text1"/>
              </w:rPr>
              <w:t>对列入失信被执行人、重大税收违法案件当事人名单、政府采购严重违法失信行为记录名单的投标人，</w:t>
            </w:r>
            <w:r>
              <w:rPr>
                <w:rFonts w:ascii="Times New Roman" w:hAnsi="Times New Roman" w:cs="Times New Roman"/>
                <w:b/>
                <w:color w:val="000000" w:themeColor="text1"/>
              </w:rPr>
              <w:t>其投标将作无效标处理</w:t>
            </w:r>
            <w:r>
              <w:rPr>
                <w:rFonts w:ascii="Times New Roman" w:hAnsi="Times New Roman" w:cs="Times New Roman"/>
                <w:color w:val="000000" w:themeColor="text1"/>
              </w:rPr>
              <w:t>。</w:t>
            </w:r>
            <w:r>
              <w:rPr>
                <w:rFonts w:ascii="Times New Roman" w:hAnsi="Times New Roman" w:cs="Times New Roman"/>
                <w:color w:val="000000" w:themeColor="text1"/>
              </w:rPr>
              <w:br w:type="textWrapping"/>
            </w:r>
            <w:r>
              <w:rPr>
                <w:rFonts w:ascii="Times New Roman" w:hAnsi="Times New Roman" w:cs="Times New Roman"/>
                <w:color w:val="000000" w:themeColor="text1"/>
              </w:rPr>
              <w:t>采购代理机构在投标截止日对投标人信用记录进行查询，以代理机构在开标当日的查询记录为准。</w:t>
            </w:r>
          </w:p>
        </w:tc>
      </w:tr>
      <w:tr w14:paraId="41628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32" w:hRule="atLeast"/>
          <w:tblCellSpacing w:w="7" w:type="dxa"/>
          <w:jc w:val="center"/>
        </w:trPr>
        <w:tc>
          <w:tcPr>
            <w:tcW w:w="549" w:type="dxa"/>
            <w:shd w:val="clear" w:color="auto" w:fill="E0E0E0"/>
            <w:vAlign w:val="center"/>
          </w:tcPr>
          <w:p w14:paraId="749FB6C1">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1</w:t>
            </w:r>
            <w:r>
              <w:rPr>
                <w:rFonts w:hint="eastAsia" w:ascii="Times New Roman" w:hAnsi="Times New Roman" w:cs="Times New Roman"/>
                <w:b/>
                <w:color w:val="000000" w:themeColor="text1"/>
              </w:rPr>
              <w:t>9</w:t>
            </w:r>
          </w:p>
        </w:tc>
        <w:tc>
          <w:tcPr>
            <w:tcW w:w="1421" w:type="dxa"/>
            <w:shd w:val="clear" w:color="auto" w:fill="E0E0E0"/>
            <w:vAlign w:val="center"/>
          </w:tcPr>
          <w:p w14:paraId="2BFB0965">
            <w:pPr>
              <w:snapToGrid w:val="0"/>
              <w:spacing w:line="360" w:lineRule="auto"/>
              <w:ind w:firstLine="422" w:firstLineChars="200"/>
              <w:rPr>
                <w:rFonts w:ascii="宋体" w:cs="Times New Roman"/>
                <w:b/>
              </w:rPr>
            </w:pPr>
            <w:r>
              <w:rPr>
                <w:rFonts w:hint="eastAsia" w:ascii="宋体" w:hAnsi="宋体"/>
                <w:b/>
              </w:rPr>
              <w:t>分包</w:t>
            </w:r>
          </w:p>
        </w:tc>
        <w:tc>
          <w:tcPr>
            <w:tcW w:w="7273" w:type="dxa"/>
            <w:gridSpan w:val="4"/>
            <w:shd w:val="clear" w:color="auto" w:fill="FFFFFF"/>
            <w:vAlign w:val="center"/>
          </w:tcPr>
          <w:p w14:paraId="53EC4C81">
            <w:pPr>
              <w:spacing w:line="360" w:lineRule="auto"/>
              <w:rPr>
                <w:rFonts w:ascii="宋体" w:hAnsi="宋体" w:cs="宋体"/>
              </w:rPr>
            </w:pPr>
            <w:r>
              <w:rPr>
                <w:rFonts w:hint="eastAsia" w:ascii="宋体" w:hAnsi="宋体" w:cs="宋体"/>
                <w:kern w:val="0"/>
              </w:rPr>
              <w:t>☐ A</w:t>
            </w:r>
            <w:r>
              <w:rPr>
                <w:rFonts w:hint="eastAsia" w:ascii="宋体" w:hAnsi="宋体" w:cs="宋体"/>
              </w:rPr>
              <w:t>同意将非主体、非关键性的工作分包。</w:t>
            </w:r>
          </w:p>
          <w:p w14:paraId="328A301D">
            <w:pPr>
              <w:spacing w:line="360" w:lineRule="auto"/>
              <w:rPr>
                <w:rFonts w:cs="Times New Roman"/>
                <w:szCs w:val="24"/>
              </w:rPr>
            </w:pPr>
            <w:r>
              <w:rPr>
                <w:rFonts w:hint="eastAsia" w:ascii="宋体" w:hAnsi="宋体" w:cs="宋体"/>
                <w:kern w:val="0"/>
              </w:rPr>
              <w:sym w:font="Wingdings" w:char="F0FE"/>
            </w:r>
            <w:r>
              <w:rPr>
                <w:rFonts w:hint="eastAsia" w:ascii="宋体" w:hAnsi="宋体" w:cs="宋体"/>
                <w:b/>
                <w:bCs/>
                <w:kern w:val="0"/>
              </w:rPr>
              <w:t xml:space="preserve"> B</w:t>
            </w:r>
            <w:r>
              <w:rPr>
                <w:rFonts w:hint="eastAsia" w:ascii="宋体" w:hAnsi="宋体" w:cs="宋体"/>
                <w:b/>
                <w:bCs/>
              </w:rPr>
              <w:t>不同意分包</w:t>
            </w:r>
            <w:r>
              <w:rPr>
                <w:rFonts w:hint="eastAsia" w:ascii="宋体" w:hAnsi="宋体" w:cs="宋体"/>
              </w:rPr>
              <w:t>。</w:t>
            </w:r>
          </w:p>
        </w:tc>
      </w:tr>
      <w:tr w14:paraId="33338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36" w:hRule="atLeast"/>
          <w:tblCellSpacing w:w="7" w:type="dxa"/>
          <w:jc w:val="center"/>
        </w:trPr>
        <w:tc>
          <w:tcPr>
            <w:tcW w:w="549" w:type="dxa"/>
            <w:shd w:val="clear" w:color="auto" w:fill="E0E0E0"/>
            <w:vAlign w:val="center"/>
          </w:tcPr>
          <w:p w14:paraId="37F4759C">
            <w:pPr>
              <w:spacing w:before="100" w:beforeAutospacing="1" w:after="100" w:afterAutospacing="1" w:line="360" w:lineRule="exact"/>
              <w:jc w:val="center"/>
              <w:rPr>
                <w:rFonts w:ascii="Times New Roman" w:hAnsi="Times New Roman" w:cs="Times New Roman"/>
                <w:b/>
                <w:color w:val="000000" w:themeColor="text1"/>
              </w:rPr>
            </w:pPr>
            <w:r>
              <w:rPr>
                <w:rFonts w:hint="eastAsia" w:ascii="Times New Roman" w:hAnsi="Times New Roman" w:cs="Times New Roman"/>
                <w:b/>
                <w:color w:val="000000" w:themeColor="text1"/>
              </w:rPr>
              <w:t>20</w:t>
            </w:r>
          </w:p>
        </w:tc>
        <w:tc>
          <w:tcPr>
            <w:tcW w:w="1421" w:type="dxa"/>
            <w:shd w:val="clear" w:color="auto" w:fill="E0E0E0"/>
            <w:vAlign w:val="center"/>
          </w:tcPr>
          <w:p w14:paraId="4B354E70">
            <w:pPr>
              <w:snapToGrid w:val="0"/>
              <w:spacing w:line="360" w:lineRule="auto"/>
              <w:jc w:val="center"/>
              <w:rPr>
                <w:rFonts w:ascii="Times New Roman" w:hAnsi="Times New Roman" w:cs="Times New Roman"/>
                <w:b/>
              </w:rPr>
            </w:pPr>
            <w:r>
              <w:rPr>
                <w:rFonts w:hint="eastAsia" w:ascii="宋体" w:hAnsi="宋体"/>
                <w:b/>
              </w:rPr>
              <w:t>开标前答疑会或现场考察</w:t>
            </w:r>
          </w:p>
        </w:tc>
        <w:tc>
          <w:tcPr>
            <w:tcW w:w="7273" w:type="dxa"/>
            <w:gridSpan w:val="4"/>
            <w:shd w:val="clear" w:color="auto" w:fill="FFFFFF"/>
            <w:vAlign w:val="center"/>
          </w:tcPr>
          <w:p w14:paraId="6D1616B8">
            <w:pPr>
              <w:spacing w:line="360" w:lineRule="auto"/>
              <w:rPr>
                <w:rFonts w:ascii="宋体" w:hAnsi="宋体" w:cs="宋体"/>
                <w:b/>
                <w:bCs/>
              </w:rPr>
            </w:pPr>
            <w:r>
              <w:rPr>
                <w:rFonts w:hint="eastAsia" w:ascii="宋体" w:hAnsi="宋体" w:cs="宋体"/>
                <w:b/>
                <w:bCs/>
                <w:kern w:val="0"/>
              </w:rPr>
              <w:sym w:font="Wingdings" w:char="F0FE"/>
            </w:r>
            <w:r>
              <w:rPr>
                <w:rFonts w:hint="eastAsia" w:ascii="宋体" w:hAnsi="宋体" w:cs="宋体"/>
                <w:b/>
                <w:bCs/>
                <w:kern w:val="0"/>
              </w:rPr>
              <w:t>A</w:t>
            </w:r>
            <w:r>
              <w:rPr>
                <w:rFonts w:hint="eastAsia" w:ascii="宋体" w:hAnsi="宋体" w:cs="宋体"/>
                <w:b/>
                <w:bCs/>
              </w:rPr>
              <w:t>不组织。</w:t>
            </w:r>
          </w:p>
          <w:p w14:paraId="54324EBE">
            <w:pPr>
              <w:spacing w:line="360" w:lineRule="auto"/>
              <w:rPr>
                <w:rFonts w:ascii="Times New Roman" w:hAnsi="Times New Roman" w:cs="Times New Roman"/>
                <w:szCs w:val="24"/>
              </w:rPr>
            </w:pPr>
            <w:r>
              <w:rPr>
                <w:rFonts w:hint="eastAsia" w:ascii="宋体" w:hAnsi="宋体" w:cs="宋体"/>
                <w:kern w:val="0"/>
              </w:rPr>
              <w:t>☐B组织，</w:t>
            </w:r>
            <w:r>
              <w:rPr>
                <w:rFonts w:hint="eastAsia" w:ascii="宋体" w:hAnsi="宋体" w:cs="宋体"/>
              </w:rPr>
              <w:t>时间：地点：，联系人：，联系方式：。</w:t>
            </w:r>
          </w:p>
        </w:tc>
      </w:tr>
      <w:tr w14:paraId="603CF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45" w:hRule="atLeast"/>
          <w:tblCellSpacing w:w="7" w:type="dxa"/>
          <w:jc w:val="center"/>
        </w:trPr>
        <w:tc>
          <w:tcPr>
            <w:tcW w:w="549" w:type="dxa"/>
            <w:shd w:val="clear" w:color="auto" w:fill="E0E0E0"/>
            <w:vAlign w:val="center"/>
          </w:tcPr>
          <w:p w14:paraId="34B2628D">
            <w:pPr>
              <w:spacing w:before="100" w:beforeAutospacing="1" w:after="100" w:afterAutospacing="1" w:line="360" w:lineRule="exact"/>
              <w:jc w:val="center"/>
              <w:rPr>
                <w:rFonts w:ascii="Times New Roman" w:hAnsi="Times New Roman" w:cs="Times New Roman"/>
                <w:b/>
                <w:color w:val="000000" w:themeColor="text1"/>
              </w:rPr>
            </w:pPr>
            <w:r>
              <w:rPr>
                <w:rFonts w:hint="eastAsia" w:ascii="Times New Roman" w:hAnsi="Times New Roman" w:cs="Times New Roman"/>
                <w:b/>
                <w:color w:val="000000" w:themeColor="text1"/>
              </w:rPr>
              <w:t>21</w:t>
            </w:r>
          </w:p>
        </w:tc>
        <w:tc>
          <w:tcPr>
            <w:tcW w:w="1421" w:type="dxa"/>
            <w:shd w:val="clear" w:color="auto" w:fill="E0E0E0"/>
            <w:vAlign w:val="center"/>
          </w:tcPr>
          <w:p w14:paraId="3D81EF0E">
            <w:pPr>
              <w:snapToGrid w:val="0"/>
              <w:spacing w:line="360" w:lineRule="auto"/>
              <w:jc w:val="center"/>
              <w:rPr>
                <w:rFonts w:ascii="宋体" w:hAnsi="宋体" w:cs="宋体"/>
                <w:b/>
                <w:color w:val="FF0000"/>
                <w:kern w:val="0"/>
              </w:rPr>
            </w:pPr>
            <w:r>
              <w:rPr>
                <w:rFonts w:hint="eastAsia" w:ascii="宋体" w:hAnsi="宋体"/>
                <w:b/>
              </w:rPr>
              <w:t>样品提供</w:t>
            </w:r>
          </w:p>
        </w:tc>
        <w:tc>
          <w:tcPr>
            <w:tcW w:w="7273" w:type="dxa"/>
            <w:gridSpan w:val="4"/>
            <w:shd w:val="clear" w:color="auto" w:fill="FFFFFF"/>
            <w:vAlign w:val="center"/>
          </w:tcPr>
          <w:p w14:paraId="4E4595E4">
            <w:pPr>
              <w:spacing w:line="360" w:lineRule="auto"/>
              <w:rPr>
                <w:rFonts w:ascii="宋体" w:hAnsi="宋体" w:cs="宋体"/>
                <w:b/>
                <w:bCs/>
              </w:rPr>
            </w:pPr>
            <w:r>
              <w:rPr>
                <w:rFonts w:hint="eastAsia" w:ascii="宋体" w:hAnsi="宋体" w:cs="宋体"/>
                <w:b/>
                <w:bCs/>
                <w:kern w:val="0"/>
              </w:rPr>
              <w:sym w:font="Wingdings" w:char="00FE"/>
            </w:r>
            <w:r>
              <w:rPr>
                <w:rFonts w:hint="eastAsia" w:ascii="宋体" w:hAnsi="宋体" w:cs="宋体"/>
                <w:b/>
                <w:bCs/>
                <w:kern w:val="0"/>
              </w:rPr>
              <w:t>A</w:t>
            </w:r>
            <w:r>
              <w:rPr>
                <w:rFonts w:hint="eastAsia" w:ascii="宋体" w:hAnsi="宋体" w:cs="宋体"/>
                <w:b/>
                <w:bCs/>
              </w:rPr>
              <w:t>不要求提供。</w:t>
            </w:r>
          </w:p>
          <w:p w14:paraId="48705983">
            <w:pPr>
              <w:spacing w:line="360" w:lineRule="auto"/>
              <w:rPr>
                <w:rFonts w:ascii="宋体" w:hAnsi="宋体" w:cs="宋体"/>
                <w:kern w:val="0"/>
              </w:rPr>
            </w:pPr>
            <w:r>
              <w:rPr>
                <w:rFonts w:hint="eastAsia" w:ascii="宋体" w:hAnsi="宋体" w:cs="宋体"/>
                <w:kern w:val="0"/>
              </w:rPr>
              <w:sym w:font="Wingdings" w:char="00A8"/>
            </w:r>
            <w:r>
              <w:rPr>
                <w:rFonts w:hint="eastAsia" w:ascii="宋体" w:hAnsi="宋体" w:cs="宋体"/>
                <w:kern w:val="0"/>
              </w:rPr>
              <w:t>B要求提供，</w:t>
            </w:r>
          </w:p>
          <w:p w14:paraId="2EDCDEEA">
            <w:pPr>
              <w:spacing w:line="360" w:lineRule="auto"/>
              <w:rPr>
                <w:rFonts w:ascii="宋体" w:hAnsi="宋体" w:cs="宋体"/>
                <w:kern w:val="0"/>
              </w:rPr>
            </w:pPr>
            <w:r>
              <w:rPr>
                <w:rFonts w:hint="eastAsia" w:ascii="宋体" w:hAnsi="宋体" w:cs="宋体"/>
                <w:kern w:val="0"/>
              </w:rPr>
              <w:t>（1）</w:t>
            </w:r>
            <w:r>
              <w:rPr>
                <w:rFonts w:hint="eastAsia" w:ascii="宋体" w:hAnsi="宋体" w:cs="宋体"/>
                <w:snapToGrid w:val="0"/>
                <w:kern w:val="28"/>
              </w:rPr>
              <w:t>样品：</w:t>
            </w:r>
            <w:r>
              <w:rPr>
                <w:rFonts w:hint="eastAsia" w:ascii="宋体" w:hAnsi="宋体" w:cs="宋体"/>
                <w:kern w:val="0"/>
              </w:rPr>
              <w:t>；</w:t>
            </w:r>
          </w:p>
          <w:p w14:paraId="5FC2D1E1">
            <w:pPr>
              <w:spacing w:line="360" w:lineRule="auto"/>
              <w:rPr>
                <w:rFonts w:ascii="宋体" w:hAnsi="宋体" w:cs="宋体"/>
                <w:kern w:val="0"/>
              </w:rPr>
            </w:pPr>
            <w:r>
              <w:rPr>
                <w:rFonts w:hint="eastAsia" w:ascii="宋体" w:hAnsi="宋体" w:cs="宋体"/>
                <w:kern w:val="0"/>
              </w:rPr>
              <w:t>（2）</w:t>
            </w:r>
            <w:r>
              <w:rPr>
                <w:rFonts w:hint="eastAsia" w:ascii="宋体" w:hAnsi="宋体" w:cs="宋体"/>
                <w:snapToGrid w:val="0"/>
                <w:kern w:val="28"/>
              </w:rPr>
              <w:t>样品制作的标准和要求：</w:t>
            </w:r>
            <w:r>
              <w:rPr>
                <w:rFonts w:hint="eastAsia" w:ascii="宋体" w:hAnsi="宋体" w:cs="宋体"/>
                <w:kern w:val="0"/>
              </w:rPr>
              <w:t>；</w:t>
            </w:r>
          </w:p>
          <w:p w14:paraId="7F328225">
            <w:pPr>
              <w:spacing w:line="360" w:lineRule="auto"/>
              <w:rPr>
                <w:rFonts w:ascii="宋体" w:hAnsi="宋体" w:cs="宋体"/>
                <w:kern w:val="0"/>
              </w:rPr>
            </w:pPr>
            <w:r>
              <w:rPr>
                <w:rFonts w:hint="eastAsia" w:ascii="宋体" w:hAnsi="宋体" w:cs="宋体"/>
                <w:kern w:val="0"/>
              </w:rPr>
              <w:t>（3）样品的评审方法以及评审标准</w:t>
            </w:r>
            <w:r>
              <w:rPr>
                <w:rFonts w:hint="eastAsia" w:ascii="宋体" w:hAnsi="宋体" w:cs="宋体"/>
                <w:snapToGrid w:val="0"/>
                <w:kern w:val="28"/>
              </w:rPr>
              <w:t>：详见</w:t>
            </w:r>
            <w:r>
              <w:rPr>
                <w:rFonts w:hint="eastAsia" w:ascii="宋体" w:hAnsi="宋体" w:cs="宋体"/>
                <w:u w:val="single"/>
              </w:rPr>
              <w:t>评标办法</w:t>
            </w:r>
            <w:r>
              <w:rPr>
                <w:rFonts w:hint="eastAsia" w:ascii="宋体" w:hAnsi="宋体" w:cs="宋体"/>
                <w:kern w:val="0"/>
              </w:rPr>
              <w:t>；</w:t>
            </w:r>
          </w:p>
          <w:p w14:paraId="2306182A">
            <w:pPr>
              <w:spacing w:line="360" w:lineRule="auto"/>
              <w:rPr>
                <w:rFonts w:ascii="宋体" w:hAnsi="宋体" w:cs="宋体"/>
                <w:kern w:val="0"/>
              </w:rPr>
            </w:pPr>
            <w:r>
              <w:rPr>
                <w:rFonts w:hint="eastAsia" w:ascii="宋体" w:hAnsi="宋体" w:cs="宋体"/>
                <w:kern w:val="0"/>
              </w:rPr>
              <w:t>（4）是否需要随样品提交检测报告：</w:t>
            </w:r>
            <w:r>
              <w:rPr>
                <w:rFonts w:hint="eastAsia" w:ascii="宋体" w:hAnsi="宋体" w:cs="宋体"/>
                <w:kern w:val="0"/>
              </w:rPr>
              <w:sym w:font="Wingdings" w:char="00A8"/>
            </w:r>
            <w:r>
              <w:rPr>
                <w:rFonts w:hint="eastAsia" w:ascii="宋体" w:hAnsi="宋体" w:cs="宋体"/>
                <w:kern w:val="0"/>
              </w:rPr>
              <w:t>否；☐是，检测机构的要求</w:t>
            </w:r>
            <w:r>
              <w:rPr>
                <w:rFonts w:hint="eastAsia" w:ascii="宋体" w:hAnsi="宋体" w:cs="宋体"/>
              </w:rPr>
              <w:t>：</w:t>
            </w:r>
            <w:r>
              <w:rPr>
                <w:rFonts w:hint="eastAsia" w:ascii="宋体" w:hAnsi="宋体" w:cs="宋体"/>
                <w:kern w:val="0"/>
              </w:rPr>
              <w:t>；检测内容</w:t>
            </w:r>
            <w:r>
              <w:rPr>
                <w:rFonts w:hint="eastAsia" w:ascii="宋体" w:hAnsi="宋体" w:cs="宋体"/>
              </w:rPr>
              <w:t>：</w:t>
            </w:r>
            <w:r>
              <w:rPr>
                <w:rFonts w:hint="eastAsia" w:ascii="宋体" w:hAnsi="宋体" w:cs="宋体"/>
                <w:kern w:val="0"/>
              </w:rPr>
              <w:t>。</w:t>
            </w:r>
          </w:p>
          <w:p w14:paraId="324E6AEE">
            <w:pPr>
              <w:spacing w:line="360" w:lineRule="auto"/>
              <w:rPr>
                <w:rFonts w:ascii="宋体" w:hAnsi="宋体" w:cs="宋体"/>
              </w:rPr>
            </w:pPr>
            <w:r>
              <w:rPr>
                <w:rFonts w:hint="eastAsia" w:ascii="宋体" w:hAnsi="宋体" w:cs="宋体"/>
              </w:rPr>
              <w:t>（5）提供样品的时间：</w:t>
            </w:r>
            <w:r>
              <w:rPr>
                <w:rFonts w:hint="eastAsia" w:ascii="宋体" w:hAnsi="宋体" w:cs="宋体"/>
                <w:kern w:val="0"/>
              </w:rPr>
              <w:t>地点：联系人：</w:t>
            </w:r>
            <w:r>
              <w:rPr>
                <w:rFonts w:hint="eastAsia" w:ascii="宋体" w:hAnsi="宋体" w:cs="宋体"/>
                <w:kern w:val="28"/>
              </w:rPr>
              <w:t>联系电话：</w:t>
            </w:r>
            <w:r>
              <w:rPr>
                <w:rFonts w:hint="eastAsia" w:ascii="宋体" w:hAnsi="宋体" w:cs="宋体"/>
              </w:rPr>
              <w:t>请投标人在上述时间内提供样品并按规定位置安装完毕。超过截止时间的，采购人或采购代理机构将不予接收，并将清场并封闭样品现场。</w:t>
            </w:r>
          </w:p>
          <w:p w14:paraId="00E2F3FE">
            <w:pPr>
              <w:spacing w:line="360" w:lineRule="auto"/>
              <w:rPr>
                <w:rFonts w:ascii="宋体" w:hAnsi="宋体" w:cs="宋体"/>
              </w:rPr>
            </w:pPr>
            <w:r>
              <w:rPr>
                <w:rFonts w:hint="eastAsia" w:ascii="宋体" w:hAnsi="宋体" w:cs="宋体"/>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31B69F76">
            <w:pPr>
              <w:spacing w:line="360" w:lineRule="auto"/>
              <w:rPr>
                <w:rFonts w:cs="Times New Roman"/>
                <w:color w:val="FF0000"/>
                <w:szCs w:val="24"/>
              </w:rPr>
            </w:pPr>
            <w:r>
              <w:rPr>
                <w:rFonts w:hint="eastAsia" w:ascii="宋体" w:hAnsi="宋体" w:cs="宋体"/>
              </w:rPr>
              <w:t>（7）制作、运输、安装和保管样品所发生的一切费用由投标人自理。</w:t>
            </w:r>
          </w:p>
        </w:tc>
      </w:tr>
      <w:tr w14:paraId="00086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62" w:hRule="atLeast"/>
          <w:tblCellSpacing w:w="7" w:type="dxa"/>
          <w:jc w:val="center"/>
        </w:trPr>
        <w:tc>
          <w:tcPr>
            <w:tcW w:w="549" w:type="dxa"/>
            <w:shd w:val="clear" w:color="auto" w:fill="E0E0E0"/>
            <w:vAlign w:val="center"/>
          </w:tcPr>
          <w:p w14:paraId="36A0B820">
            <w:pPr>
              <w:spacing w:before="100" w:beforeAutospacing="1" w:after="100" w:afterAutospacing="1" w:line="360" w:lineRule="exact"/>
              <w:jc w:val="center"/>
              <w:rPr>
                <w:rFonts w:ascii="Times New Roman" w:hAnsi="Times New Roman" w:cs="Times New Roman"/>
                <w:b/>
                <w:color w:val="000000" w:themeColor="text1"/>
              </w:rPr>
            </w:pPr>
            <w:r>
              <w:rPr>
                <w:rFonts w:hint="eastAsia" w:ascii="Times New Roman" w:hAnsi="Times New Roman" w:cs="Times New Roman"/>
                <w:b/>
                <w:color w:val="000000" w:themeColor="text1"/>
              </w:rPr>
              <w:t>21</w:t>
            </w:r>
          </w:p>
        </w:tc>
        <w:tc>
          <w:tcPr>
            <w:tcW w:w="1421" w:type="dxa"/>
            <w:shd w:val="clear" w:color="auto" w:fill="E0E0E0"/>
            <w:vAlign w:val="center"/>
          </w:tcPr>
          <w:p w14:paraId="65BE4D57">
            <w:pPr>
              <w:snapToGrid w:val="0"/>
              <w:spacing w:line="360" w:lineRule="auto"/>
              <w:jc w:val="center"/>
              <w:rPr>
                <w:rFonts w:ascii="宋体" w:hAnsi="宋体" w:cs="宋体"/>
                <w:b/>
                <w:color w:val="FF0000"/>
                <w:kern w:val="0"/>
              </w:rPr>
            </w:pPr>
            <w:r>
              <w:rPr>
                <w:rFonts w:hint="eastAsia" w:ascii="宋体" w:hAnsi="宋体" w:cs="宋体"/>
                <w:kern w:val="0"/>
              </w:rPr>
              <w:t>方案讲解演示</w:t>
            </w:r>
          </w:p>
        </w:tc>
        <w:tc>
          <w:tcPr>
            <w:tcW w:w="7273" w:type="dxa"/>
            <w:gridSpan w:val="4"/>
            <w:shd w:val="clear" w:color="auto" w:fill="FFFFFF"/>
            <w:vAlign w:val="center"/>
          </w:tcPr>
          <w:p w14:paraId="0788CC25">
            <w:pPr>
              <w:spacing w:line="360" w:lineRule="auto"/>
            </w:pPr>
            <w:sdt>
              <w:sdtPr>
                <w:rPr>
                  <w:rFonts w:hint="eastAsia"/>
                </w:rPr>
                <w:id w:val="4372058"/>
              </w:sdtPr>
              <w:sdtEndPr>
                <w:rPr>
                  <w:rFonts w:hint="eastAsia"/>
                </w:rPr>
              </w:sdtEndPr>
              <w:sdtContent>
                <w:r>
                  <w:rPr>
                    <w:rFonts w:hint="eastAsia"/>
                  </w:rPr>
                  <w:sym w:font="Wingdings" w:char="00FE"/>
                </w:r>
              </w:sdtContent>
            </w:sdt>
            <w:r>
              <w:rPr>
                <w:rFonts w:hint="eastAsia"/>
              </w:rPr>
              <w:t>A不组织。</w:t>
            </w:r>
          </w:p>
          <w:p w14:paraId="0033DD85">
            <w:pPr>
              <w:spacing w:line="360" w:lineRule="auto"/>
              <w:rPr>
                <w:rFonts w:cs="Times New Roman"/>
                <w:kern w:val="0"/>
                <w:sz w:val="24"/>
                <w:szCs w:val="24"/>
              </w:rPr>
            </w:pPr>
            <w:r>
              <w:rPr>
                <w:rFonts w:hint="eastAsia"/>
              </w:rPr>
              <w:sym w:font="Wingdings" w:char="00A8"/>
            </w:r>
            <w:r>
              <w:rPr>
                <w:rFonts w:hint="eastAsia"/>
              </w:rPr>
              <w:t>B组织</w:t>
            </w:r>
          </w:p>
        </w:tc>
      </w:tr>
      <w:tr w14:paraId="7149F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62" w:hRule="atLeast"/>
          <w:tblCellSpacing w:w="7" w:type="dxa"/>
          <w:jc w:val="center"/>
        </w:trPr>
        <w:tc>
          <w:tcPr>
            <w:tcW w:w="549" w:type="dxa"/>
            <w:shd w:val="clear" w:color="auto" w:fill="E0E0E0"/>
            <w:vAlign w:val="center"/>
          </w:tcPr>
          <w:p w14:paraId="4A6EA3D3">
            <w:pPr>
              <w:spacing w:before="100" w:beforeAutospacing="1" w:after="100" w:afterAutospacing="1" w:line="360" w:lineRule="exact"/>
              <w:jc w:val="center"/>
              <w:rPr>
                <w:rFonts w:ascii="Times New Roman" w:hAnsi="Times New Roman" w:cs="Times New Roman"/>
                <w:b/>
                <w:color w:val="000000" w:themeColor="text1"/>
              </w:rPr>
            </w:pPr>
            <w:r>
              <w:rPr>
                <w:rFonts w:hint="eastAsia" w:ascii="Times New Roman" w:hAnsi="Times New Roman" w:cs="Times New Roman"/>
                <w:b/>
                <w:color w:val="000000" w:themeColor="text1"/>
              </w:rPr>
              <w:t>22</w:t>
            </w:r>
          </w:p>
        </w:tc>
        <w:tc>
          <w:tcPr>
            <w:tcW w:w="1421" w:type="dxa"/>
            <w:shd w:val="clear" w:color="auto" w:fill="E0E0E0"/>
            <w:vAlign w:val="center"/>
          </w:tcPr>
          <w:p w14:paraId="502210AE">
            <w:pPr>
              <w:adjustRightInd w:val="0"/>
              <w:snapToGrid w:val="0"/>
              <w:jc w:val="center"/>
              <w:rPr>
                <w:rFonts w:ascii="Times New Roman" w:hAnsi="Times New Roman" w:cs="Times New Roman"/>
                <w:color w:val="000000" w:themeColor="text1"/>
              </w:rPr>
            </w:pPr>
            <w:r>
              <w:rPr>
                <w:rFonts w:hint="eastAsia" w:ascii="宋体" w:hAnsi="宋体"/>
                <w:b/>
              </w:rPr>
              <w:t>是否允许采购进口产品</w:t>
            </w:r>
          </w:p>
        </w:tc>
        <w:tc>
          <w:tcPr>
            <w:tcW w:w="7273" w:type="dxa"/>
            <w:gridSpan w:val="4"/>
            <w:shd w:val="clear" w:color="auto" w:fill="FFFFFF"/>
            <w:vAlign w:val="center"/>
          </w:tcPr>
          <w:p w14:paraId="4E55DAF8">
            <w:pPr>
              <w:snapToGrid w:val="0"/>
              <w:rPr>
                <w:rFonts w:ascii="宋体" w:hAnsi="宋体" w:cs="宋体"/>
                <w:kern w:val="0"/>
              </w:rPr>
            </w:pPr>
            <w:r>
              <w:rPr>
                <w:rFonts w:ascii="Wingdings" w:hAnsi="Wingdings" w:cs="宋体"/>
                <w:kern w:val="0"/>
              </w:rPr>
              <w:sym w:font="Wingdings" w:char="00FE"/>
            </w:r>
            <w:r>
              <w:rPr>
                <w:rFonts w:hint="eastAsia" w:ascii="宋体" w:hAnsi="宋体" w:cs="宋体"/>
                <w:kern w:val="0"/>
              </w:rPr>
              <w:t>本项目不允许采购进口产品。</w:t>
            </w:r>
          </w:p>
          <w:p w14:paraId="550A4914">
            <w:pPr>
              <w:snapToGrid w:val="0"/>
              <w:rPr>
                <w:rFonts w:ascii="Times New Roman" w:hAnsi="Times New Roman" w:cs="Times New Roman"/>
                <w:color w:val="000000" w:themeColor="text1"/>
              </w:rPr>
            </w:pPr>
            <w:r>
              <w:rPr>
                <w:rFonts w:hint="eastAsia" w:ascii="宋体" w:hAnsi="宋体" w:cs="宋体"/>
                <w:kern w:val="0"/>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7DFD2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8" w:hRule="atLeast"/>
          <w:tblCellSpacing w:w="7" w:type="dxa"/>
          <w:jc w:val="center"/>
        </w:trPr>
        <w:tc>
          <w:tcPr>
            <w:tcW w:w="549" w:type="dxa"/>
            <w:shd w:val="clear" w:color="auto" w:fill="E0E0E0"/>
            <w:vAlign w:val="center"/>
          </w:tcPr>
          <w:p w14:paraId="023AAD1F">
            <w:pPr>
              <w:spacing w:before="100" w:beforeAutospacing="1" w:after="100" w:afterAutospacing="1" w:line="360" w:lineRule="exact"/>
              <w:jc w:val="center"/>
              <w:rPr>
                <w:rFonts w:ascii="Times New Roman" w:hAnsi="Times New Roman" w:cs="Times New Roman"/>
                <w:b/>
                <w:color w:val="000000" w:themeColor="text1"/>
              </w:rPr>
            </w:pPr>
            <w:r>
              <w:rPr>
                <w:rFonts w:hint="eastAsia" w:ascii="Times New Roman" w:hAnsi="Times New Roman" w:cs="Times New Roman"/>
                <w:b/>
                <w:color w:val="000000" w:themeColor="text1"/>
              </w:rPr>
              <w:t>23</w:t>
            </w:r>
          </w:p>
        </w:tc>
        <w:tc>
          <w:tcPr>
            <w:tcW w:w="1421" w:type="dxa"/>
            <w:shd w:val="clear" w:color="auto" w:fill="E0E0E0"/>
            <w:vAlign w:val="center"/>
          </w:tcPr>
          <w:p w14:paraId="1595188D">
            <w:pPr>
              <w:adjustRightInd w:val="0"/>
              <w:snapToGrid w:val="0"/>
              <w:jc w:val="center"/>
              <w:rPr>
                <w:rFonts w:ascii="Times New Roman" w:hAnsi="Times New Roman" w:cs="Times New Roman"/>
                <w:b/>
                <w:color w:val="000000" w:themeColor="text1"/>
              </w:rPr>
            </w:pPr>
            <w:r>
              <w:rPr>
                <w:rFonts w:hint="eastAsia" w:ascii="宋体" w:hAnsi="宋体"/>
                <w:b/>
              </w:rPr>
              <w:t>项目属性与核心产品</w:t>
            </w:r>
          </w:p>
        </w:tc>
        <w:tc>
          <w:tcPr>
            <w:tcW w:w="7273" w:type="dxa"/>
            <w:gridSpan w:val="4"/>
            <w:shd w:val="clear" w:color="auto" w:fill="FFFFFF"/>
            <w:vAlign w:val="center"/>
          </w:tcPr>
          <w:p w14:paraId="4B29C10C">
            <w:pPr>
              <w:snapToGrid w:val="0"/>
              <w:rPr>
                <w:rFonts w:ascii="宋体" w:hAnsi="宋体" w:cs="宋体"/>
              </w:rPr>
            </w:pPr>
            <w:r>
              <w:rPr>
                <w:rFonts w:ascii="Wingdings" w:hAnsi="Wingdings" w:cs="宋体"/>
                <w:kern w:val="0"/>
              </w:rPr>
              <w:sym w:font="Wingdings" w:char="00A8"/>
            </w:r>
            <w:r>
              <w:rPr>
                <w:rFonts w:hint="eastAsia" w:ascii="宋体" w:hAnsi="宋体" w:cs="宋体"/>
                <w:kern w:val="0"/>
              </w:rPr>
              <w:t>A</w:t>
            </w:r>
            <w:r>
              <w:rPr>
                <w:rFonts w:hint="eastAsia" w:ascii="宋体" w:hAnsi="宋体" w:cs="宋体"/>
              </w:rPr>
              <w:t>货物类，单一产品或</w:t>
            </w:r>
            <w:r>
              <w:rPr>
                <w:rFonts w:hint="eastAsia" w:ascii="宋体" w:hAnsi="宋体" w:cs="宋体"/>
                <w:kern w:val="0"/>
              </w:rPr>
              <w:t>核心产品为：</w:t>
            </w:r>
          </w:p>
          <w:p w14:paraId="54783E5D">
            <w:pPr>
              <w:snapToGrid w:val="0"/>
              <w:rPr>
                <w:rFonts w:ascii="Times New Roman" w:hAnsi="Times New Roman" w:cs="Times New Roman"/>
                <w:color w:val="000000" w:themeColor="text1"/>
              </w:rPr>
            </w:pPr>
            <w:r>
              <w:rPr>
                <w:rFonts w:ascii="Wingdings" w:hAnsi="Wingdings" w:cs="宋体"/>
                <w:kern w:val="0"/>
              </w:rPr>
              <w:sym w:font="Wingdings" w:char="00FE"/>
            </w:r>
            <w:r>
              <w:rPr>
                <w:rFonts w:hint="eastAsia" w:ascii="宋体" w:hAnsi="宋体" w:cs="宋体"/>
                <w:kern w:val="0"/>
              </w:rPr>
              <w:t>B</w:t>
            </w:r>
            <w:r>
              <w:rPr>
                <w:rFonts w:hint="eastAsia" w:ascii="宋体" w:hAnsi="宋体" w:cs="宋体"/>
              </w:rPr>
              <w:t>服务类。</w:t>
            </w:r>
          </w:p>
        </w:tc>
      </w:tr>
      <w:tr w14:paraId="49B7F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95" w:hRule="atLeast"/>
          <w:tblCellSpacing w:w="7" w:type="dxa"/>
          <w:jc w:val="center"/>
        </w:trPr>
        <w:tc>
          <w:tcPr>
            <w:tcW w:w="549" w:type="dxa"/>
            <w:shd w:val="clear" w:color="auto" w:fill="E0E0E0"/>
            <w:vAlign w:val="center"/>
          </w:tcPr>
          <w:p w14:paraId="1BCC524E">
            <w:pPr>
              <w:spacing w:before="100" w:beforeAutospacing="1" w:after="100" w:afterAutospacing="1" w:line="360" w:lineRule="exact"/>
              <w:jc w:val="center"/>
              <w:rPr>
                <w:rFonts w:ascii="Times New Roman" w:hAnsi="Times New Roman" w:cs="Times New Roman"/>
                <w:b/>
                <w:color w:val="000000" w:themeColor="text1"/>
              </w:rPr>
            </w:pPr>
            <w:r>
              <w:rPr>
                <w:rFonts w:hint="eastAsia" w:ascii="Times New Roman" w:hAnsi="Times New Roman" w:cs="Times New Roman"/>
                <w:b/>
                <w:color w:val="000000" w:themeColor="text1"/>
              </w:rPr>
              <w:t>24</w:t>
            </w:r>
          </w:p>
        </w:tc>
        <w:tc>
          <w:tcPr>
            <w:tcW w:w="1421" w:type="dxa"/>
            <w:shd w:val="clear" w:color="auto" w:fill="E0E0E0"/>
            <w:vAlign w:val="center"/>
          </w:tcPr>
          <w:p w14:paraId="29756566">
            <w:pPr>
              <w:jc w:val="center"/>
              <w:rPr>
                <w:rFonts w:ascii="宋体" w:hAnsi="宋体" w:cs="宋体"/>
                <w:b/>
                <w:kern w:val="0"/>
              </w:rPr>
            </w:pPr>
            <w:r>
              <w:rPr>
                <w:rFonts w:hint="eastAsia" w:ascii="宋体" w:hAnsi="宋体"/>
                <w:b/>
              </w:rPr>
              <w:t>采购标的对应的中小企业划分标准所属行业</w:t>
            </w:r>
          </w:p>
        </w:tc>
        <w:tc>
          <w:tcPr>
            <w:tcW w:w="7273" w:type="dxa"/>
            <w:gridSpan w:val="4"/>
            <w:shd w:val="clear" w:color="auto" w:fill="FFFFFF"/>
            <w:vAlign w:val="center"/>
          </w:tcPr>
          <w:p w14:paraId="201E9120">
            <w:pPr>
              <w:adjustRightInd w:val="0"/>
              <w:snapToGrid w:val="0"/>
              <w:jc w:val="left"/>
              <w:rPr>
                <w:color w:val="000000" w:themeColor="text1"/>
              </w:rPr>
            </w:pPr>
            <w:r>
              <w:rPr>
                <w:rFonts w:hint="eastAsia"/>
              </w:rPr>
              <w:t>所属行业：其他未列明行业</w:t>
            </w:r>
          </w:p>
          <w:tbl>
            <w:tblPr>
              <w:tblStyle w:val="24"/>
              <w:tblW w:w="6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6"/>
              <w:gridCol w:w="1020"/>
              <w:gridCol w:w="1035"/>
              <w:gridCol w:w="1151"/>
              <w:gridCol w:w="1166"/>
              <w:gridCol w:w="919"/>
            </w:tblGrid>
            <w:tr w14:paraId="48F98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566" w:type="dxa"/>
                  <w:vAlign w:val="center"/>
                </w:tcPr>
                <w:p w14:paraId="4BA52A54">
                  <w:pPr>
                    <w:widowControl/>
                    <w:wordWrap w:val="0"/>
                    <w:spacing w:line="360" w:lineRule="atLeast"/>
                    <w:jc w:val="center"/>
                    <w:textAlignment w:val="center"/>
                  </w:pPr>
                  <w:r>
                    <w:rPr>
                      <w:rFonts w:ascii="Arial" w:hAnsi="Arial" w:cs="Arial"/>
                      <w:b/>
                      <w:bCs/>
                      <w:kern w:val="0"/>
                      <w:sz w:val="18"/>
                      <w:szCs w:val="18"/>
                    </w:rPr>
                    <w:t>行业名称</w:t>
                  </w:r>
                </w:p>
              </w:tc>
              <w:tc>
                <w:tcPr>
                  <w:tcW w:w="1020" w:type="dxa"/>
                  <w:vAlign w:val="center"/>
                </w:tcPr>
                <w:p w14:paraId="7BFF9C9C">
                  <w:pPr>
                    <w:widowControl/>
                    <w:wordWrap w:val="0"/>
                    <w:spacing w:line="360" w:lineRule="atLeast"/>
                    <w:jc w:val="center"/>
                    <w:textAlignment w:val="center"/>
                  </w:pPr>
                  <w:r>
                    <w:rPr>
                      <w:rFonts w:ascii="Arial" w:hAnsi="Arial" w:cs="Arial"/>
                      <w:b/>
                      <w:bCs/>
                      <w:kern w:val="0"/>
                      <w:sz w:val="18"/>
                      <w:szCs w:val="18"/>
                    </w:rPr>
                    <w:t>指标名称</w:t>
                  </w:r>
                </w:p>
              </w:tc>
              <w:tc>
                <w:tcPr>
                  <w:tcW w:w="1035" w:type="dxa"/>
                  <w:vAlign w:val="center"/>
                </w:tcPr>
                <w:p w14:paraId="560ADF5E">
                  <w:pPr>
                    <w:widowControl/>
                    <w:wordWrap w:val="0"/>
                    <w:spacing w:line="360" w:lineRule="atLeast"/>
                    <w:jc w:val="center"/>
                    <w:textAlignment w:val="center"/>
                  </w:pPr>
                  <w:r>
                    <w:rPr>
                      <w:rFonts w:ascii="Arial" w:hAnsi="Arial" w:cs="Arial"/>
                      <w:b/>
                      <w:bCs/>
                      <w:kern w:val="0"/>
                      <w:sz w:val="18"/>
                      <w:szCs w:val="18"/>
                    </w:rPr>
                    <w:t>计量单位</w:t>
                  </w:r>
                </w:p>
              </w:tc>
              <w:tc>
                <w:tcPr>
                  <w:tcW w:w="1151" w:type="dxa"/>
                  <w:vAlign w:val="center"/>
                </w:tcPr>
                <w:p w14:paraId="4773B0CB">
                  <w:pPr>
                    <w:widowControl/>
                    <w:wordWrap w:val="0"/>
                    <w:spacing w:line="360" w:lineRule="atLeast"/>
                    <w:jc w:val="center"/>
                    <w:textAlignment w:val="center"/>
                  </w:pPr>
                  <w:r>
                    <w:rPr>
                      <w:rFonts w:ascii="Arial" w:hAnsi="Arial" w:cs="Arial"/>
                      <w:b/>
                      <w:bCs/>
                      <w:kern w:val="0"/>
                      <w:sz w:val="18"/>
                      <w:szCs w:val="18"/>
                    </w:rPr>
                    <w:t>中型</w:t>
                  </w:r>
                </w:p>
              </w:tc>
              <w:tc>
                <w:tcPr>
                  <w:tcW w:w="1166" w:type="dxa"/>
                  <w:vAlign w:val="center"/>
                </w:tcPr>
                <w:p w14:paraId="263C26FD">
                  <w:pPr>
                    <w:widowControl/>
                    <w:wordWrap w:val="0"/>
                    <w:spacing w:line="360" w:lineRule="atLeast"/>
                    <w:jc w:val="center"/>
                    <w:textAlignment w:val="center"/>
                  </w:pPr>
                  <w:r>
                    <w:rPr>
                      <w:rFonts w:ascii="Arial" w:hAnsi="Arial" w:cs="Arial"/>
                      <w:b/>
                      <w:bCs/>
                      <w:kern w:val="0"/>
                      <w:sz w:val="18"/>
                      <w:szCs w:val="18"/>
                    </w:rPr>
                    <w:t>小型</w:t>
                  </w:r>
                </w:p>
              </w:tc>
              <w:tc>
                <w:tcPr>
                  <w:tcW w:w="919" w:type="dxa"/>
                  <w:vAlign w:val="center"/>
                </w:tcPr>
                <w:p w14:paraId="69E991E3">
                  <w:pPr>
                    <w:widowControl/>
                    <w:wordWrap w:val="0"/>
                    <w:spacing w:line="360" w:lineRule="atLeast"/>
                    <w:jc w:val="center"/>
                    <w:textAlignment w:val="center"/>
                  </w:pPr>
                  <w:r>
                    <w:rPr>
                      <w:rFonts w:ascii="Arial" w:hAnsi="Arial" w:cs="Arial"/>
                      <w:b/>
                      <w:bCs/>
                      <w:kern w:val="0"/>
                      <w:sz w:val="18"/>
                      <w:szCs w:val="18"/>
                    </w:rPr>
                    <w:t>微型</w:t>
                  </w:r>
                </w:p>
              </w:tc>
            </w:tr>
            <w:tr w14:paraId="76E37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566" w:type="dxa"/>
                  <w:vAlign w:val="center"/>
                </w:tcPr>
                <w:p w14:paraId="360D0E4A">
                  <w:pPr>
                    <w:widowControl/>
                    <w:wordWrap w:val="0"/>
                    <w:spacing w:line="360" w:lineRule="atLeast"/>
                    <w:jc w:val="center"/>
                    <w:textAlignment w:val="center"/>
                    <w:rPr>
                      <w:rFonts w:ascii="Arial" w:hAnsi="Arial" w:cs="Arial"/>
                      <w:kern w:val="0"/>
                      <w:sz w:val="18"/>
                      <w:szCs w:val="18"/>
                    </w:rPr>
                  </w:pPr>
                  <w:r>
                    <w:rPr>
                      <w:rFonts w:hint="eastAsia" w:ascii="Arial" w:hAnsi="Arial" w:cs="Arial"/>
                      <w:kern w:val="0"/>
                      <w:sz w:val="18"/>
                      <w:szCs w:val="18"/>
                    </w:rPr>
                    <w:t>其他未列明行业</w:t>
                  </w:r>
                </w:p>
              </w:tc>
              <w:tc>
                <w:tcPr>
                  <w:tcW w:w="1020" w:type="dxa"/>
                  <w:vAlign w:val="center"/>
                </w:tcPr>
                <w:p w14:paraId="4BFD0938">
                  <w:pPr>
                    <w:widowControl/>
                    <w:wordWrap w:val="0"/>
                    <w:spacing w:line="360" w:lineRule="atLeast"/>
                    <w:jc w:val="center"/>
                    <w:textAlignment w:val="center"/>
                    <w:rPr>
                      <w:rFonts w:ascii="Arial" w:hAnsi="Arial" w:cs="Arial"/>
                      <w:kern w:val="0"/>
                      <w:sz w:val="18"/>
                      <w:szCs w:val="18"/>
                    </w:rPr>
                  </w:pPr>
                  <w:r>
                    <w:rPr>
                      <w:rFonts w:ascii="Arial" w:hAnsi="Arial" w:cs="Arial"/>
                      <w:kern w:val="0"/>
                      <w:sz w:val="18"/>
                      <w:szCs w:val="18"/>
                    </w:rPr>
                    <w:t>从业人员</w:t>
                  </w:r>
                  <w:r>
                    <w:rPr>
                      <w:rFonts w:hint="eastAsia" w:ascii="Arial" w:hAnsi="Arial" w:cs="Arial"/>
                      <w:kern w:val="0"/>
                      <w:sz w:val="18"/>
                      <w:szCs w:val="18"/>
                    </w:rPr>
                    <w:t>（</w:t>
                  </w:r>
                  <w:r>
                    <w:rPr>
                      <w:rFonts w:ascii="Arial" w:hAnsi="Arial" w:cs="Arial"/>
                      <w:kern w:val="0"/>
                      <w:sz w:val="18"/>
                      <w:szCs w:val="18"/>
                    </w:rPr>
                    <w:t>X)</w:t>
                  </w:r>
                </w:p>
              </w:tc>
              <w:tc>
                <w:tcPr>
                  <w:tcW w:w="1035" w:type="dxa"/>
                  <w:vAlign w:val="center"/>
                </w:tcPr>
                <w:p w14:paraId="60F0A5A6">
                  <w:pPr>
                    <w:widowControl/>
                    <w:wordWrap w:val="0"/>
                    <w:spacing w:line="360" w:lineRule="atLeast"/>
                    <w:jc w:val="center"/>
                    <w:textAlignment w:val="center"/>
                    <w:rPr>
                      <w:rFonts w:ascii="Arial" w:hAnsi="Arial" w:cs="Arial"/>
                      <w:kern w:val="0"/>
                      <w:sz w:val="18"/>
                      <w:szCs w:val="18"/>
                    </w:rPr>
                  </w:pPr>
                  <w:r>
                    <w:rPr>
                      <w:rFonts w:ascii="Arial" w:hAnsi="Arial" w:cs="Arial"/>
                      <w:kern w:val="0"/>
                      <w:sz w:val="18"/>
                      <w:szCs w:val="18"/>
                    </w:rPr>
                    <w:t>人</w:t>
                  </w:r>
                </w:p>
              </w:tc>
              <w:tc>
                <w:tcPr>
                  <w:tcW w:w="1151" w:type="dxa"/>
                  <w:vAlign w:val="center"/>
                </w:tcPr>
                <w:p w14:paraId="767F361A">
                  <w:pPr>
                    <w:widowControl/>
                    <w:wordWrap w:val="0"/>
                    <w:spacing w:line="360" w:lineRule="atLeast"/>
                    <w:jc w:val="center"/>
                    <w:textAlignment w:val="center"/>
                    <w:rPr>
                      <w:rFonts w:ascii="Arial" w:hAnsi="Arial" w:cs="Arial"/>
                      <w:kern w:val="0"/>
                      <w:sz w:val="18"/>
                      <w:szCs w:val="18"/>
                    </w:rPr>
                  </w:pPr>
                  <w:r>
                    <w:rPr>
                      <w:rFonts w:ascii="Arial" w:hAnsi="Arial" w:cs="Arial"/>
                      <w:kern w:val="0"/>
                      <w:sz w:val="18"/>
                      <w:szCs w:val="18"/>
                    </w:rPr>
                    <w:t>100≤X&lt;300</w:t>
                  </w:r>
                </w:p>
              </w:tc>
              <w:tc>
                <w:tcPr>
                  <w:tcW w:w="1166" w:type="dxa"/>
                  <w:vAlign w:val="center"/>
                </w:tcPr>
                <w:p w14:paraId="17DED190">
                  <w:pPr>
                    <w:widowControl/>
                    <w:wordWrap w:val="0"/>
                    <w:spacing w:line="360" w:lineRule="atLeast"/>
                    <w:jc w:val="center"/>
                    <w:textAlignment w:val="center"/>
                    <w:rPr>
                      <w:rFonts w:ascii="Arial" w:hAnsi="Arial" w:cs="Arial"/>
                      <w:kern w:val="0"/>
                      <w:sz w:val="18"/>
                      <w:szCs w:val="18"/>
                    </w:rPr>
                  </w:pPr>
                  <w:r>
                    <w:rPr>
                      <w:rFonts w:ascii="Arial" w:hAnsi="Arial" w:cs="Arial"/>
                      <w:kern w:val="0"/>
                      <w:sz w:val="18"/>
                      <w:szCs w:val="18"/>
                    </w:rPr>
                    <w:t>10≤X&lt;100</w:t>
                  </w:r>
                </w:p>
              </w:tc>
              <w:tc>
                <w:tcPr>
                  <w:tcW w:w="919" w:type="dxa"/>
                  <w:vAlign w:val="center"/>
                </w:tcPr>
                <w:p w14:paraId="5BADDB12">
                  <w:pPr>
                    <w:widowControl/>
                    <w:wordWrap w:val="0"/>
                    <w:spacing w:line="360" w:lineRule="atLeast"/>
                    <w:jc w:val="center"/>
                    <w:textAlignment w:val="center"/>
                    <w:rPr>
                      <w:rFonts w:ascii="Arial" w:hAnsi="Arial" w:cs="Arial"/>
                      <w:kern w:val="0"/>
                      <w:sz w:val="18"/>
                      <w:szCs w:val="18"/>
                    </w:rPr>
                  </w:pPr>
                  <w:r>
                    <w:rPr>
                      <w:rFonts w:ascii="Arial" w:hAnsi="Arial" w:cs="Arial"/>
                      <w:kern w:val="0"/>
                      <w:sz w:val="18"/>
                      <w:szCs w:val="18"/>
                    </w:rPr>
                    <w:t>X&lt;10</w:t>
                  </w:r>
                </w:p>
              </w:tc>
            </w:tr>
          </w:tbl>
          <w:p w14:paraId="2BA65EF9">
            <w:pPr>
              <w:pStyle w:val="13"/>
              <w:ind w:firstLine="301"/>
              <w:rPr>
                <w:rFonts w:ascii="宋体" w:hAnsi="宋体" w:cs="宋体"/>
                <w:sz w:val="21"/>
                <w:szCs w:val="21"/>
              </w:rPr>
            </w:pPr>
          </w:p>
        </w:tc>
      </w:tr>
    </w:tbl>
    <w:p w14:paraId="5E14E687">
      <w:pPr>
        <w:pStyle w:val="2"/>
      </w:pPr>
    </w:p>
    <w:p w14:paraId="354FED54">
      <w:pPr>
        <w:jc w:val="center"/>
        <w:rPr>
          <w:rFonts w:ascii="Times New Roman" w:hAnsi="Times New Roman" w:cs="Times New Roman"/>
          <w:b/>
          <w:bCs/>
          <w:color w:val="000000" w:themeColor="text1"/>
          <w:sz w:val="24"/>
          <w:szCs w:val="24"/>
        </w:rPr>
      </w:pPr>
    </w:p>
    <w:p w14:paraId="3BAAEC06">
      <w:pPr>
        <w:jc w:val="center"/>
        <w:rPr>
          <w:rFonts w:ascii="Times New Roman" w:hAnsi="Times New Roman" w:cs="Times New Roman"/>
          <w:b/>
          <w:bCs/>
          <w:color w:val="000000" w:themeColor="text1"/>
          <w:sz w:val="24"/>
          <w:szCs w:val="24"/>
        </w:rPr>
      </w:pPr>
    </w:p>
    <w:p w14:paraId="70DC86C2">
      <w:pPr>
        <w:jc w:val="center"/>
        <w:rPr>
          <w:rFonts w:ascii="Times New Roman" w:hAnsi="Times New Roman" w:cs="Times New Roman"/>
          <w:b/>
          <w:bCs/>
          <w:color w:val="000000" w:themeColor="text1"/>
          <w:sz w:val="24"/>
          <w:szCs w:val="24"/>
        </w:rPr>
      </w:pPr>
    </w:p>
    <w:p w14:paraId="18019B7F">
      <w:pPr>
        <w:jc w:val="center"/>
        <w:rPr>
          <w:rFonts w:ascii="Times New Roman" w:hAnsi="Times New Roman" w:cs="Times New Roman"/>
          <w:b/>
          <w:bCs/>
          <w:color w:val="000000" w:themeColor="text1"/>
          <w:sz w:val="24"/>
          <w:szCs w:val="24"/>
        </w:rPr>
      </w:pPr>
    </w:p>
    <w:p w14:paraId="3DB8034C">
      <w:pPr>
        <w:jc w:val="center"/>
        <w:rPr>
          <w:rFonts w:ascii="Times New Roman" w:hAnsi="Times New Roman" w:cs="Times New Roman"/>
          <w:b/>
          <w:bCs/>
          <w:color w:val="000000" w:themeColor="text1"/>
          <w:sz w:val="24"/>
          <w:szCs w:val="24"/>
        </w:rPr>
      </w:pPr>
    </w:p>
    <w:p w14:paraId="240265DA">
      <w:pPr>
        <w:jc w:val="center"/>
        <w:rPr>
          <w:rFonts w:ascii="Times New Roman" w:hAnsi="Times New Roman" w:cs="Times New Roman"/>
          <w:b/>
          <w:bCs/>
          <w:color w:val="000000" w:themeColor="text1"/>
          <w:sz w:val="24"/>
          <w:szCs w:val="24"/>
        </w:rPr>
      </w:pPr>
    </w:p>
    <w:p w14:paraId="6891DE80">
      <w:pPr>
        <w:jc w:val="center"/>
        <w:rPr>
          <w:rFonts w:ascii="Times New Roman" w:hAnsi="Times New Roman" w:cs="Times New Roman"/>
          <w:b/>
          <w:bCs/>
          <w:color w:val="000000" w:themeColor="text1"/>
          <w:sz w:val="24"/>
          <w:szCs w:val="24"/>
        </w:rPr>
      </w:pPr>
    </w:p>
    <w:p w14:paraId="6F0213E4">
      <w:pPr>
        <w:jc w:val="center"/>
        <w:rPr>
          <w:rFonts w:ascii="Times New Roman" w:hAnsi="Times New Roman" w:cs="Times New Roman"/>
          <w:b/>
          <w:bCs/>
          <w:color w:val="000000" w:themeColor="text1"/>
          <w:sz w:val="24"/>
          <w:szCs w:val="24"/>
        </w:rPr>
      </w:pPr>
    </w:p>
    <w:p w14:paraId="7D42085B">
      <w:pPr>
        <w:jc w:val="center"/>
        <w:rPr>
          <w:rFonts w:ascii="Times New Roman" w:hAnsi="Times New Roman" w:cs="Times New Roman"/>
          <w:b/>
          <w:bCs/>
          <w:color w:val="000000" w:themeColor="text1"/>
          <w:sz w:val="24"/>
          <w:szCs w:val="24"/>
        </w:rPr>
      </w:pPr>
    </w:p>
    <w:p w14:paraId="50F488F9">
      <w:pPr>
        <w:jc w:val="center"/>
        <w:rPr>
          <w:rFonts w:ascii="Times New Roman" w:hAnsi="Times New Roman" w:cs="Times New Roman"/>
          <w:b/>
          <w:bCs/>
          <w:color w:val="000000" w:themeColor="text1"/>
          <w:sz w:val="24"/>
          <w:szCs w:val="24"/>
        </w:rPr>
      </w:pPr>
    </w:p>
    <w:p w14:paraId="550C9C80">
      <w:pPr>
        <w:jc w:val="center"/>
        <w:rPr>
          <w:rFonts w:ascii="Times New Roman" w:hAnsi="Times New Roman" w:cs="Times New Roman"/>
          <w:b/>
          <w:bCs/>
          <w:color w:val="000000" w:themeColor="text1"/>
          <w:sz w:val="24"/>
          <w:szCs w:val="24"/>
        </w:rPr>
      </w:pPr>
    </w:p>
    <w:p w14:paraId="689ECB59">
      <w:pPr>
        <w:jc w:val="center"/>
        <w:rPr>
          <w:rFonts w:ascii="Times New Roman" w:hAnsi="Times New Roman" w:cs="Times New Roman"/>
          <w:b/>
          <w:bCs/>
          <w:color w:val="000000" w:themeColor="text1"/>
          <w:sz w:val="24"/>
          <w:szCs w:val="24"/>
        </w:rPr>
      </w:pPr>
    </w:p>
    <w:p w14:paraId="34205D37">
      <w:pPr>
        <w:jc w:val="center"/>
        <w:rPr>
          <w:rFonts w:ascii="Times New Roman" w:hAnsi="Times New Roman" w:cs="Times New Roman"/>
          <w:b/>
          <w:bCs/>
          <w:color w:val="000000" w:themeColor="text1"/>
          <w:sz w:val="24"/>
          <w:szCs w:val="24"/>
        </w:rPr>
      </w:pPr>
    </w:p>
    <w:p w14:paraId="1F7F29B0">
      <w:pPr>
        <w:jc w:val="center"/>
        <w:rPr>
          <w:rFonts w:ascii="Times New Roman" w:hAnsi="Times New Roman" w:cs="Times New Roman"/>
          <w:b/>
          <w:bCs/>
          <w:color w:val="000000" w:themeColor="text1"/>
          <w:sz w:val="24"/>
          <w:szCs w:val="24"/>
        </w:rPr>
      </w:pPr>
    </w:p>
    <w:p w14:paraId="1C532737">
      <w:pPr>
        <w:jc w:val="center"/>
        <w:rPr>
          <w:rFonts w:ascii="Times New Roman" w:hAnsi="Times New Roman" w:cs="Times New Roman"/>
          <w:b/>
          <w:bCs/>
          <w:color w:val="000000" w:themeColor="text1"/>
          <w:sz w:val="24"/>
          <w:szCs w:val="24"/>
        </w:rPr>
      </w:pPr>
    </w:p>
    <w:p w14:paraId="7EA98990">
      <w:pPr>
        <w:jc w:val="center"/>
        <w:rPr>
          <w:rFonts w:ascii="Times New Roman" w:hAnsi="Times New Roman" w:cs="Times New Roman"/>
          <w:b/>
          <w:bCs/>
          <w:color w:val="000000" w:themeColor="text1"/>
          <w:sz w:val="24"/>
          <w:szCs w:val="24"/>
        </w:rPr>
      </w:pPr>
    </w:p>
    <w:p w14:paraId="2D916D3F">
      <w:pPr>
        <w:jc w:val="center"/>
        <w:rPr>
          <w:rFonts w:ascii="Times New Roman" w:hAnsi="Times New Roman" w:cs="Times New Roman"/>
          <w:b/>
          <w:bCs/>
          <w:color w:val="000000" w:themeColor="text1"/>
          <w:sz w:val="24"/>
          <w:szCs w:val="24"/>
        </w:rPr>
      </w:pPr>
    </w:p>
    <w:p w14:paraId="1B5C3E85">
      <w:pPr>
        <w:jc w:val="center"/>
        <w:rPr>
          <w:rFonts w:ascii="Times New Roman" w:hAnsi="Times New Roman" w:cs="Times New Roman"/>
          <w:b/>
          <w:bCs/>
          <w:color w:val="000000" w:themeColor="text1"/>
          <w:sz w:val="24"/>
          <w:szCs w:val="24"/>
        </w:rPr>
      </w:pPr>
    </w:p>
    <w:p w14:paraId="4CDC7F87">
      <w:pPr>
        <w:jc w:val="center"/>
        <w:rPr>
          <w:rFonts w:ascii="Times New Roman" w:hAnsi="Times New Roman" w:cs="Times New Roman"/>
          <w:b/>
          <w:bCs/>
          <w:color w:val="000000" w:themeColor="text1"/>
          <w:sz w:val="24"/>
          <w:szCs w:val="24"/>
        </w:rPr>
      </w:pPr>
    </w:p>
    <w:p w14:paraId="3454D423">
      <w:pPr>
        <w:jc w:val="center"/>
        <w:rPr>
          <w:rFonts w:ascii="Times New Roman" w:hAnsi="Times New Roman" w:cs="Times New Roman"/>
          <w:b/>
          <w:bCs/>
          <w:color w:val="000000" w:themeColor="text1"/>
          <w:sz w:val="24"/>
          <w:szCs w:val="24"/>
        </w:rPr>
      </w:pPr>
    </w:p>
    <w:p w14:paraId="7B731A0E">
      <w:pPr>
        <w:jc w:val="center"/>
        <w:rPr>
          <w:rFonts w:ascii="Times New Roman" w:hAnsi="Times New Roman" w:cs="Times New Roman"/>
          <w:b/>
          <w:bCs/>
          <w:color w:val="000000" w:themeColor="text1"/>
          <w:sz w:val="24"/>
          <w:szCs w:val="24"/>
        </w:rPr>
      </w:pPr>
    </w:p>
    <w:p w14:paraId="7AAA81C3">
      <w:pPr>
        <w:jc w:val="center"/>
        <w:rPr>
          <w:rFonts w:ascii="Times New Roman" w:hAnsi="Times New Roman" w:cs="Times New Roman"/>
          <w:b/>
          <w:bCs/>
          <w:color w:val="000000" w:themeColor="text1"/>
          <w:sz w:val="24"/>
          <w:szCs w:val="24"/>
        </w:rPr>
      </w:pPr>
    </w:p>
    <w:p w14:paraId="48B09024">
      <w:pPr>
        <w:jc w:val="center"/>
        <w:rPr>
          <w:rFonts w:ascii="Times New Roman" w:hAnsi="Times New Roman" w:cs="Times New Roman"/>
          <w:b/>
          <w:bCs/>
          <w:color w:val="000000" w:themeColor="text1"/>
          <w:sz w:val="24"/>
          <w:szCs w:val="24"/>
        </w:rPr>
      </w:pPr>
    </w:p>
    <w:p w14:paraId="102911DC">
      <w:pPr>
        <w:pStyle w:val="10"/>
        <w:rPr>
          <w:rFonts w:ascii="Times New Roman" w:hAnsi="Times New Roman" w:cs="Times New Roman"/>
          <w:b/>
          <w:bCs/>
          <w:color w:val="000000" w:themeColor="text1"/>
          <w:sz w:val="24"/>
          <w:szCs w:val="24"/>
        </w:rPr>
      </w:pPr>
    </w:p>
    <w:p w14:paraId="649CFCE2">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一、总则</w:t>
      </w:r>
    </w:p>
    <w:p w14:paraId="2AFC51AF">
      <w:pPr>
        <w:pStyle w:val="57"/>
        <w:snapToGrid w:val="0"/>
        <w:spacing w:beforeLines="0" w:afterLines="0" w:line="360" w:lineRule="auto"/>
        <w:ind w:firstLine="422" w:firstLineChars="200"/>
        <w:contextualSpacing/>
        <w:rPr>
          <w:rFonts w:ascii="Times New Roman" w:hAnsi="Times New Roman" w:eastAsia="宋体" w:cs="Times New Roman"/>
          <w:b/>
          <w:bCs/>
          <w:color w:val="000000" w:themeColor="text1"/>
          <w:sz w:val="21"/>
          <w:szCs w:val="21"/>
        </w:rPr>
      </w:pPr>
      <w:r>
        <w:rPr>
          <w:rFonts w:ascii="Times New Roman" w:hAnsi="Times New Roman" w:eastAsia="宋体" w:cs="Times New Roman"/>
          <w:b/>
          <w:bCs/>
          <w:color w:val="000000" w:themeColor="text1"/>
          <w:sz w:val="21"/>
          <w:szCs w:val="21"/>
        </w:rPr>
        <w:t>（一）适用范围</w:t>
      </w:r>
    </w:p>
    <w:p w14:paraId="3AEB2650">
      <w:pPr>
        <w:snapToGrid w:val="0"/>
        <w:spacing w:line="360" w:lineRule="auto"/>
        <w:ind w:right="-506" w:rightChars="-241"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本采购文件适用于</w:t>
      </w:r>
      <w:r>
        <w:rPr>
          <w:rFonts w:hint="eastAsia" w:ascii="Times New Roman" w:hAnsi="Times New Roman" w:cs="Times New Roman"/>
          <w:color w:val="000000" w:themeColor="text1"/>
        </w:rPr>
        <w:t>2025年杭州湾乐清湾鱼类环境DNA多样性调查项目</w:t>
      </w:r>
      <w:r>
        <w:rPr>
          <w:rFonts w:ascii="Times New Roman" w:hAnsi="Times New Roman" w:cs="Times New Roman"/>
          <w:color w:val="000000" w:themeColor="text1"/>
        </w:rPr>
        <w:t>的招标、投标、评标、定标、验收、合同履约、付款等行为（</w:t>
      </w:r>
      <w:r>
        <w:rPr>
          <w:rFonts w:hint="eastAsia" w:ascii="Times New Roman" w:hAnsi="Times New Roman" w:cs="Times New Roman"/>
          <w:color w:val="000000" w:themeColor="text1"/>
        </w:rPr>
        <w:t>法律法规</w:t>
      </w:r>
      <w:r>
        <w:rPr>
          <w:rFonts w:ascii="Times New Roman" w:hAnsi="Times New Roman" w:cs="Times New Roman"/>
          <w:color w:val="000000" w:themeColor="text1"/>
        </w:rPr>
        <w:t>另有规定的，从其规定）。</w:t>
      </w:r>
    </w:p>
    <w:p w14:paraId="457C99CF">
      <w:pPr>
        <w:pStyle w:val="57"/>
        <w:snapToGrid w:val="0"/>
        <w:spacing w:beforeLines="0" w:afterLines="0" w:line="360" w:lineRule="auto"/>
        <w:ind w:firstLine="422" w:firstLineChars="200"/>
        <w:contextualSpacing/>
        <w:rPr>
          <w:rFonts w:ascii="Times New Roman" w:hAnsi="Times New Roman" w:eastAsia="宋体" w:cs="Times New Roman"/>
          <w:b/>
          <w:bCs/>
          <w:color w:val="000000" w:themeColor="text1"/>
          <w:sz w:val="21"/>
          <w:szCs w:val="21"/>
        </w:rPr>
      </w:pPr>
      <w:r>
        <w:rPr>
          <w:rFonts w:ascii="Times New Roman" w:hAnsi="Times New Roman" w:eastAsia="宋体" w:cs="Times New Roman"/>
          <w:b/>
          <w:bCs/>
          <w:color w:val="000000" w:themeColor="text1"/>
          <w:sz w:val="21"/>
          <w:szCs w:val="21"/>
        </w:rPr>
        <w:t>（二）定义</w:t>
      </w:r>
    </w:p>
    <w:p w14:paraId="6929C565">
      <w:pPr>
        <w:snapToGrid w:val="0"/>
        <w:spacing w:line="360" w:lineRule="auto"/>
        <w:ind w:right="-506" w:rightChars="-241"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1.招标采购单位系指组织本次招标的代理机构和采购单位（“采购人”）。</w:t>
      </w:r>
    </w:p>
    <w:p w14:paraId="570B6F29">
      <w:pPr>
        <w:snapToGrid w:val="0"/>
        <w:spacing w:line="360" w:lineRule="auto"/>
        <w:ind w:right="-506" w:rightChars="-241"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2.“投标人</w:t>
      </w:r>
      <w:r>
        <w:rPr>
          <w:rFonts w:hint="eastAsia" w:ascii="Times New Roman" w:hAnsi="Times New Roman" w:cs="Times New Roman"/>
          <w:color w:val="000000" w:themeColor="text1"/>
        </w:rPr>
        <w:t>、供应商</w:t>
      </w:r>
      <w:r>
        <w:rPr>
          <w:rFonts w:ascii="Times New Roman" w:hAnsi="Times New Roman" w:cs="Times New Roman"/>
          <w:color w:val="000000" w:themeColor="text1"/>
        </w:rPr>
        <w:t>”系指向采购人提交投标响应文件的单位或个人。</w:t>
      </w:r>
    </w:p>
    <w:p w14:paraId="5EB86CDB">
      <w:pPr>
        <w:snapToGrid w:val="0"/>
        <w:spacing w:line="360" w:lineRule="auto"/>
        <w:ind w:right="-506" w:rightChars="-241"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3.“产品”系指供方按采购文件规定，须向采购人提供的一切设备、保险、税金、备品备件、工具、手册</w:t>
      </w:r>
      <w:r>
        <w:rPr>
          <w:rFonts w:hint="eastAsia" w:ascii="Times New Roman" w:hAnsi="Times New Roman" w:cs="Times New Roman"/>
          <w:color w:val="000000" w:themeColor="text1"/>
        </w:rPr>
        <w:t>及其他有关</w:t>
      </w:r>
      <w:r>
        <w:rPr>
          <w:rFonts w:ascii="Times New Roman" w:hAnsi="Times New Roman" w:cs="Times New Roman"/>
          <w:color w:val="000000" w:themeColor="text1"/>
        </w:rPr>
        <w:t>技术资料和材料。</w:t>
      </w:r>
    </w:p>
    <w:p w14:paraId="7F30FAF4">
      <w:pPr>
        <w:snapToGrid w:val="0"/>
        <w:spacing w:line="360" w:lineRule="auto"/>
        <w:ind w:right="-506" w:rightChars="-241"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4.“服务”系指采购文件规定投标人须承担的安装、调试、技术协助、校准、培训、技术指导以及其他类似的义务。</w:t>
      </w:r>
    </w:p>
    <w:p w14:paraId="62EA663A">
      <w:pPr>
        <w:snapToGrid w:val="0"/>
        <w:spacing w:line="360" w:lineRule="auto"/>
        <w:ind w:right="-506" w:rightChars="-241"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5.“项目”系指投标人按采购文件规定向采购人提供的产品和服务。</w:t>
      </w:r>
    </w:p>
    <w:p w14:paraId="176F8B99">
      <w:pPr>
        <w:spacing w:line="360" w:lineRule="auto"/>
        <w:ind w:right="3" w:firstLine="420" w:firstLineChars="200"/>
        <w:contextualSpacing/>
        <w:rPr>
          <w:rFonts w:ascii="Times New Roman" w:hAnsi="Times New Roman" w:cs="Times New Roman"/>
          <w:color w:val="000000" w:themeColor="text1"/>
        </w:rPr>
      </w:pPr>
      <w:r>
        <w:rPr>
          <w:rFonts w:ascii="Times New Roman" w:hAnsi="Times New Roman" w:cs="Times New Roman"/>
          <w:color w:val="000000" w:themeColor="text1"/>
        </w:rPr>
        <w:t>6.“中标人”是指经审查通过，并经公示无异议的投标人。</w:t>
      </w:r>
    </w:p>
    <w:p w14:paraId="4F03D6BF">
      <w:pPr>
        <w:snapToGrid w:val="0"/>
        <w:spacing w:line="360" w:lineRule="auto"/>
        <w:ind w:right="-506" w:rightChars="-241"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7.“书面形式”包括信函、传真、电报、电子文档等。</w:t>
      </w:r>
    </w:p>
    <w:p w14:paraId="48118FEB">
      <w:pPr>
        <w:snapToGrid w:val="0"/>
        <w:spacing w:line="360" w:lineRule="auto"/>
        <w:ind w:right="-506" w:rightChars="-241"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8.</w:t>
      </w:r>
      <w:r>
        <w:rPr>
          <w:rFonts w:ascii="Times New Roman" w:hAnsi="Times New Roman" w:cs="Times New Roman"/>
          <w:b/>
          <w:bCs/>
          <w:color w:val="000000" w:themeColor="text1"/>
        </w:rPr>
        <w:t xml:space="preserve"> “▲”系指实质性要求条款，未响应的作无效标处理。</w:t>
      </w:r>
    </w:p>
    <w:p w14:paraId="6A787522">
      <w:pPr>
        <w:snapToGrid w:val="0"/>
        <w:spacing w:line="360" w:lineRule="auto"/>
        <w:ind w:firstLine="422" w:firstLineChars="200"/>
        <w:contextualSpacing/>
        <w:jc w:val="left"/>
        <w:outlineLvl w:val="1"/>
        <w:rPr>
          <w:rFonts w:ascii="Times New Roman" w:hAnsi="Times New Roman" w:cs="Times New Roman"/>
          <w:b/>
          <w:bCs/>
          <w:color w:val="000000" w:themeColor="text1"/>
        </w:rPr>
      </w:pPr>
      <w:r>
        <w:rPr>
          <w:rFonts w:ascii="Times New Roman" w:hAnsi="Times New Roman" w:cs="Times New Roman"/>
          <w:b/>
          <w:bCs/>
          <w:color w:val="000000" w:themeColor="text1"/>
        </w:rPr>
        <w:t>（三）采购方式</w:t>
      </w:r>
    </w:p>
    <w:p w14:paraId="2B99ED1F">
      <w:pPr>
        <w:snapToGrid w:val="0"/>
        <w:spacing w:line="360" w:lineRule="auto"/>
        <w:ind w:right="-506" w:rightChars="-241"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本次采购采用公开采购方式进行。</w:t>
      </w:r>
    </w:p>
    <w:p w14:paraId="41B440A8">
      <w:pPr>
        <w:pStyle w:val="57"/>
        <w:snapToGrid w:val="0"/>
        <w:spacing w:beforeLines="0" w:afterLines="0" w:line="360" w:lineRule="auto"/>
        <w:ind w:firstLine="417" w:firstLineChars="198"/>
        <w:contextualSpacing/>
        <w:rPr>
          <w:rFonts w:ascii="Times New Roman" w:hAnsi="Times New Roman" w:eastAsia="宋体" w:cs="Times New Roman"/>
          <w:b/>
          <w:bCs/>
          <w:color w:val="000000" w:themeColor="text1"/>
          <w:sz w:val="21"/>
          <w:szCs w:val="21"/>
        </w:rPr>
      </w:pPr>
      <w:r>
        <w:rPr>
          <w:rFonts w:ascii="Times New Roman" w:hAnsi="Times New Roman" w:eastAsia="宋体" w:cs="Times New Roman"/>
          <w:b/>
          <w:bCs/>
          <w:color w:val="000000" w:themeColor="text1"/>
          <w:sz w:val="21"/>
          <w:szCs w:val="21"/>
        </w:rPr>
        <w:t>（四）采购预算</w:t>
      </w:r>
    </w:p>
    <w:p w14:paraId="037C398F">
      <w:pPr>
        <w:pStyle w:val="2"/>
        <w:spacing w:after="0" w:line="360" w:lineRule="auto"/>
        <w:ind w:firstLine="422" w:firstLineChars="200"/>
        <w:contextualSpacing/>
        <w:rPr>
          <w:rFonts w:ascii="Times New Roman" w:hAnsi="Times New Roman" w:cs="Times New Roman"/>
          <w:color w:val="000000" w:themeColor="text1"/>
        </w:rPr>
      </w:pPr>
      <w:r>
        <w:rPr>
          <w:rFonts w:ascii="Times New Roman" w:hAnsi="Times New Roman" w:cs="Times New Roman"/>
          <w:b/>
          <w:bCs/>
          <w:color w:val="000000" w:themeColor="text1"/>
          <w:sz w:val="21"/>
          <w:szCs w:val="21"/>
        </w:rPr>
        <w:t>本</w:t>
      </w:r>
      <w:r>
        <w:rPr>
          <w:rFonts w:ascii="Times New Roman" w:hAnsi="Times New Roman" w:cs="Times New Roman"/>
          <w:b/>
          <w:bCs/>
          <w:color w:val="000000" w:themeColor="text1"/>
          <w:kern w:val="2"/>
          <w:sz w:val="21"/>
          <w:szCs w:val="21"/>
        </w:rPr>
        <w:t>次采购以</w:t>
      </w:r>
      <w:r>
        <w:rPr>
          <w:rFonts w:ascii="Times New Roman" w:hAnsi="Times New Roman" w:cs="Times New Roman"/>
          <w:b/>
          <w:bCs/>
          <w:color w:val="000000" w:themeColor="text1"/>
          <w:sz w:val="21"/>
          <w:szCs w:val="21"/>
        </w:rPr>
        <w:t>预算价</w:t>
      </w:r>
      <w:r>
        <w:rPr>
          <w:rFonts w:hint="eastAsia" w:ascii="Times New Roman" w:hAnsi="Times New Roman" w:cs="Times New Roman"/>
          <w:b/>
          <w:bCs/>
          <w:color w:val="000000" w:themeColor="text1"/>
          <w:sz w:val="21"/>
          <w:szCs w:val="21"/>
          <w:u w:val="single"/>
        </w:rPr>
        <w:t>25万元</w:t>
      </w:r>
      <w:r>
        <w:rPr>
          <w:rFonts w:ascii="Times New Roman" w:hAnsi="Times New Roman" w:cs="Times New Roman"/>
          <w:color w:val="000000" w:themeColor="text1"/>
          <w:sz w:val="21"/>
          <w:szCs w:val="21"/>
        </w:rPr>
        <w:t>作为上限价。</w:t>
      </w:r>
    </w:p>
    <w:p w14:paraId="4485C71E">
      <w:pPr>
        <w:pStyle w:val="57"/>
        <w:numPr>
          <w:ilvl w:val="0"/>
          <w:numId w:val="7"/>
        </w:numPr>
        <w:snapToGrid w:val="0"/>
        <w:spacing w:beforeLines="0" w:afterLines="0" w:line="360" w:lineRule="auto"/>
        <w:ind w:firstLine="417" w:firstLineChars="198"/>
        <w:contextualSpacing/>
        <w:rPr>
          <w:rFonts w:ascii="Times New Roman" w:hAnsi="Times New Roman" w:eastAsia="宋体" w:cs="Times New Roman"/>
          <w:b/>
          <w:bCs/>
          <w:color w:val="000000" w:themeColor="text1"/>
          <w:sz w:val="21"/>
          <w:szCs w:val="21"/>
        </w:rPr>
      </w:pPr>
      <w:r>
        <w:rPr>
          <w:rFonts w:ascii="Times New Roman" w:hAnsi="Times New Roman" w:eastAsia="宋体" w:cs="Times New Roman"/>
          <w:b/>
          <w:bCs/>
          <w:color w:val="000000" w:themeColor="text1"/>
          <w:sz w:val="21"/>
          <w:szCs w:val="21"/>
        </w:rPr>
        <w:t>费用</w:t>
      </w:r>
    </w:p>
    <w:p w14:paraId="3A37065F">
      <w:pPr>
        <w:snapToGrid w:val="0"/>
        <w:spacing w:line="360" w:lineRule="auto"/>
        <w:ind w:right="-506" w:rightChars="-241"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不论采购结果如何，投标人均应自行承担所有与投标有关的全部费用（采购文件另有规定除外）。</w:t>
      </w:r>
    </w:p>
    <w:p w14:paraId="73F0024F">
      <w:pPr>
        <w:pStyle w:val="57"/>
        <w:numPr>
          <w:ilvl w:val="0"/>
          <w:numId w:val="7"/>
        </w:numPr>
        <w:snapToGrid w:val="0"/>
        <w:spacing w:beforeLines="0" w:afterLines="0" w:line="360" w:lineRule="auto"/>
        <w:ind w:firstLine="417" w:firstLineChars="198"/>
        <w:contextualSpacing/>
        <w:rPr>
          <w:rFonts w:ascii="Times New Roman" w:hAnsi="Times New Roman" w:eastAsia="宋体" w:cs="Times New Roman"/>
          <w:b/>
          <w:bCs/>
          <w:color w:val="000000" w:themeColor="text1"/>
          <w:sz w:val="21"/>
          <w:szCs w:val="21"/>
        </w:rPr>
      </w:pPr>
      <w:r>
        <w:rPr>
          <w:rFonts w:ascii="Times New Roman" w:hAnsi="Times New Roman" w:eastAsia="宋体" w:cs="Times New Roman"/>
          <w:b/>
          <w:bCs/>
          <w:color w:val="000000" w:themeColor="text1"/>
          <w:sz w:val="21"/>
          <w:szCs w:val="21"/>
        </w:rPr>
        <w:t>联合体投标</w:t>
      </w:r>
    </w:p>
    <w:p w14:paraId="49093C99">
      <w:pPr>
        <w:snapToGrid w:val="0"/>
        <w:spacing w:line="360" w:lineRule="auto"/>
        <w:ind w:right="-506" w:rightChars="-241"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本项目不接受联合体投标。</w:t>
      </w:r>
    </w:p>
    <w:p w14:paraId="391C676C">
      <w:pPr>
        <w:pStyle w:val="57"/>
        <w:numPr>
          <w:ilvl w:val="0"/>
          <w:numId w:val="7"/>
        </w:numPr>
        <w:snapToGrid w:val="0"/>
        <w:spacing w:beforeLines="0" w:afterLines="0" w:line="360" w:lineRule="auto"/>
        <w:ind w:firstLine="417" w:firstLineChars="198"/>
        <w:contextualSpacing/>
        <w:rPr>
          <w:rFonts w:ascii="Times New Roman" w:hAnsi="Times New Roman" w:eastAsia="宋体" w:cs="Times New Roman"/>
          <w:b/>
          <w:bCs/>
          <w:color w:val="000000" w:themeColor="text1"/>
          <w:sz w:val="21"/>
          <w:szCs w:val="21"/>
        </w:rPr>
      </w:pPr>
      <w:r>
        <w:rPr>
          <w:rFonts w:ascii="Times New Roman" w:hAnsi="Times New Roman" w:eastAsia="宋体" w:cs="Times New Roman"/>
          <w:b/>
          <w:bCs/>
          <w:color w:val="000000" w:themeColor="text1"/>
          <w:sz w:val="21"/>
          <w:szCs w:val="21"/>
        </w:rPr>
        <w:t>转包与分包</w:t>
      </w:r>
    </w:p>
    <w:p w14:paraId="45579E6F">
      <w:pPr>
        <w:snapToGrid w:val="0"/>
        <w:spacing w:line="360" w:lineRule="auto"/>
        <w:ind w:firstLine="420" w:firstLineChars="200"/>
        <w:contextualSpacing/>
        <w:rPr>
          <w:rFonts w:ascii="Times New Roman" w:hAnsi="Times New Roman" w:cs="Times New Roman"/>
          <w:color w:val="000000" w:themeColor="text1"/>
        </w:rPr>
      </w:pPr>
      <w:r>
        <w:rPr>
          <w:rFonts w:ascii="Times New Roman" w:hAnsi="Times New Roman" w:cs="Times New Roman"/>
          <w:color w:val="000000" w:themeColor="text1"/>
        </w:rPr>
        <w:t>1.本项目不允许转包。</w:t>
      </w:r>
    </w:p>
    <w:p w14:paraId="0AF10368">
      <w:pPr>
        <w:pStyle w:val="2"/>
        <w:spacing w:after="0" w:line="360" w:lineRule="auto"/>
        <w:ind w:firstLine="420" w:firstLineChars="200"/>
        <w:contextualSpacing/>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2.本项目不允许分包。</w:t>
      </w:r>
    </w:p>
    <w:p w14:paraId="47E4924A">
      <w:pPr>
        <w:spacing w:line="360" w:lineRule="auto"/>
        <w:ind w:firstLine="422" w:firstLineChars="200"/>
        <w:contextualSpacing/>
        <w:rPr>
          <w:rFonts w:ascii="Times New Roman" w:hAnsi="Times New Roman" w:cs="Times New Roman"/>
          <w:b/>
          <w:bCs/>
          <w:color w:val="000000" w:themeColor="text1"/>
        </w:rPr>
      </w:pPr>
      <w:r>
        <w:rPr>
          <w:rFonts w:ascii="Times New Roman" w:hAnsi="Times New Roman" w:cs="Times New Roman"/>
          <w:b/>
          <w:bCs/>
          <w:color w:val="000000" w:themeColor="text1"/>
        </w:rPr>
        <w:t>（八）踏勘现场和投标费用</w:t>
      </w:r>
    </w:p>
    <w:p w14:paraId="766A700D">
      <w:pPr>
        <w:spacing w:line="360" w:lineRule="auto"/>
        <w:ind w:firstLine="420" w:firstLineChars="200"/>
        <w:contextualSpacing/>
        <w:rPr>
          <w:rFonts w:ascii="Times New Roman" w:hAnsi="Times New Roman" w:cs="Times New Roman"/>
          <w:color w:val="000000" w:themeColor="text1"/>
        </w:rPr>
      </w:pPr>
      <w:r>
        <w:rPr>
          <w:rFonts w:ascii="Times New Roman" w:hAnsi="Times New Roman" w:cs="Times New Roman"/>
          <w:color w:val="000000" w:themeColor="text1"/>
        </w:rPr>
        <w:t>1．投标人可以对项目实施现场及周围环境进行踏勘，以便获取有关编制投标文件和签署合同所涉及现场的资料。投标人应承担踏勘现场所发生的自身费用。</w:t>
      </w:r>
    </w:p>
    <w:p w14:paraId="2014027C">
      <w:pPr>
        <w:spacing w:line="360" w:lineRule="auto"/>
        <w:ind w:firstLine="420" w:firstLineChars="200"/>
        <w:contextualSpacing/>
        <w:rPr>
          <w:rFonts w:ascii="Times New Roman" w:hAnsi="Times New Roman" w:cs="Times New Roman"/>
          <w:color w:val="000000" w:themeColor="text1"/>
        </w:rPr>
      </w:pPr>
      <w:r>
        <w:rPr>
          <w:rFonts w:ascii="Times New Roman" w:hAnsi="Times New Roman" w:cs="Times New Roman"/>
          <w:color w:val="000000" w:themeColor="text1"/>
        </w:rPr>
        <w:t>2．</w:t>
      </w:r>
      <w:r>
        <w:rPr>
          <w:rFonts w:hint="eastAsia" w:ascii="Times New Roman" w:hAnsi="Times New Roman" w:cs="Times New Roman"/>
          <w:color w:val="000000" w:themeColor="text1"/>
          <w:lang w:eastAsia="zh-CN"/>
        </w:rPr>
        <w:t>采购人</w:t>
      </w:r>
      <w:r>
        <w:rPr>
          <w:rFonts w:ascii="Times New Roman" w:hAnsi="Times New Roman" w:cs="Times New Roman"/>
          <w:color w:val="000000" w:themeColor="text1"/>
        </w:rPr>
        <w:t>向投标人提供的有关现场的数据和资料，是</w:t>
      </w:r>
      <w:r>
        <w:rPr>
          <w:rFonts w:hint="eastAsia" w:ascii="Times New Roman" w:hAnsi="Times New Roman" w:cs="Times New Roman"/>
          <w:color w:val="000000" w:themeColor="text1"/>
          <w:lang w:eastAsia="zh-CN"/>
        </w:rPr>
        <w:t>采购人</w:t>
      </w:r>
      <w:r>
        <w:rPr>
          <w:rFonts w:ascii="Times New Roman" w:hAnsi="Times New Roman" w:cs="Times New Roman"/>
          <w:color w:val="000000" w:themeColor="text1"/>
        </w:rPr>
        <w:t>现有的能被投标人利用的资料，</w:t>
      </w:r>
      <w:r>
        <w:rPr>
          <w:rFonts w:hint="eastAsia" w:ascii="Times New Roman" w:hAnsi="Times New Roman" w:cs="Times New Roman"/>
          <w:color w:val="000000" w:themeColor="text1"/>
          <w:lang w:eastAsia="zh-CN"/>
        </w:rPr>
        <w:t>采购人</w:t>
      </w:r>
      <w:r>
        <w:rPr>
          <w:rFonts w:ascii="Times New Roman" w:hAnsi="Times New Roman" w:cs="Times New Roman"/>
          <w:color w:val="000000" w:themeColor="text1"/>
        </w:rPr>
        <w:t>对投标人做出的任何推论、理解和结论不负责任。</w:t>
      </w:r>
    </w:p>
    <w:p w14:paraId="01375350">
      <w:pPr>
        <w:spacing w:line="360" w:lineRule="auto"/>
        <w:ind w:firstLine="420" w:firstLineChars="200"/>
        <w:contextualSpacing/>
        <w:rPr>
          <w:rFonts w:ascii="Times New Roman" w:hAnsi="Times New Roman" w:cs="Times New Roman"/>
          <w:color w:val="000000" w:themeColor="text1"/>
        </w:rPr>
      </w:pPr>
      <w:r>
        <w:rPr>
          <w:rFonts w:ascii="Times New Roman" w:hAnsi="Times New Roman" w:cs="Times New Roman"/>
          <w:color w:val="000000" w:themeColor="text1"/>
        </w:rPr>
        <w:t>3．经</w:t>
      </w:r>
      <w:r>
        <w:rPr>
          <w:rFonts w:hint="eastAsia" w:ascii="Times New Roman" w:hAnsi="Times New Roman" w:cs="Times New Roman"/>
          <w:color w:val="000000" w:themeColor="text1"/>
          <w:lang w:eastAsia="zh-CN"/>
        </w:rPr>
        <w:t>采购人</w:t>
      </w:r>
      <w:r>
        <w:rPr>
          <w:rFonts w:ascii="Times New Roman" w:hAnsi="Times New Roman" w:cs="Times New Roman"/>
          <w:color w:val="000000" w:themeColor="text1"/>
        </w:rPr>
        <w:t>允许，投标人可为踏勘目的进入</w:t>
      </w:r>
      <w:r>
        <w:rPr>
          <w:rFonts w:hint="eastAsia" w:ascii="Times New Roman" w:hAnsi="Times New Roman" w:cs="Times New Roman"/>
          <w:color w:val="000000" w:themeColor="text1"/>
          <w:lang w:eastAsia="zh-CN"/>
        </w:rPr>
        <w:t>采购人</w:t>
      </w:r>
      <w:r>
        <w:rPr>
          <w:rFonts w:ascii="Times New Roman" w:hAnsi="Times New Roman" w:cs="Times New Roman"/>
          <w:color w:val="000000" w:themeColor="text1"/>
        </w:rPr>
        <w:t>的项目现场，但投标人不得因此使</w:t>
      </w:r>
      <w:r>
        <w:rPr>
          <w:rFonts w:hint="eastAsia" w:ascii="Times New Roman" w:hAnsi="Times New Roman" w:cs="Times New Roman"/>
          <w:color w:val="000000" w:themeColor="text1"/>
          <w:lang w:eastAsia="zh-CN"/>
        </w:rPr>
        <w:t>采购人</w:t>
      </w:r>
      <w:r>
        <w:rPr>
          <w:rFonts w:ascii="Times New Roman" w:hAnsi="Times New Roman" w:cs="Times New Roman"/>
          <w:color w:val="000000" w:themeColor="text1"/>
        </w:rPr>
        <w:t>承担有关的责任和蒙受损失。投标人应承担踏勘现场的责任和风险。</w:t>
      </w:r>
    </w:p>
    <w:p w14:paraId="79A24EC6">
      <w:pPr>
        <w:spacing w:line="360" w:lineRule="auto"/>
        <w:ind w:firstLine="420" w:firstLineChars="200"/>
        <w:contextualSpacing/>
        <w:rPr>
          <w:rFonts w:ascii="Times New Roman" w:hAnsi="Times New Roman" w:cs="Times New Roman"/>
          <w:color w:val="000000" w:themeColor="text1"/>
        </w:rPr>
      </w:pPr>
      <w:r>
        <w:rPr>
          <w:rFonts w:ascii="Times New Roman" w:hAnsi="Times New Roman" w:cs="Times New Roman"/>
          <w:color w:val="000000" w:themeColor="text1"/>
        </w:rPr>
        <w:t>4．无论投标结果如何，投标人自行承担其所有与参加投标有关的全部费用。投标文件一律不退还。</w:t>
      </w:r>
    </w:p>
    <w:p w14:paraId="79E4DF35">
      <w:pPr>
        <w:pStyle w:val="57"/>
        <w:snapToGrid w:val="0"/>
        <w:spacing w:beforeLines="0" w:afterLines="0" w:line="360" w:lineRule="auto"/>
        <w:ind w:left="416" w:leftChars="198"/>
        <w:contextualSpacing/>
        <w:rPr>
          <w:rFonts w:ascii="Times New Roman" w:hAnsi="Times New Roman" w:eastAsia="宋体" w:cs="Times New Roman"/>
          <w:b/>
          <w:bCs/>
          <w:color w:val="000000" w:themeColor="text1"/>
          <w:sz w:val="21"/>
          <w:szCs w:val="21"/>
        </w:rPr>
      </w:pPr>
      <w:r>
        <w:rPr>
          <w:rFonts w:ascii="Times New Roman" w:hAnsi="Times New Roman" w:eastAsia="宋体" w:cs="Times New Roman"/>
          <w:b/>
          <w:bCs/>
          <w:color w:val="000000" w:themeColor="text1"/>
          <w:sz w:val="21"/>
          <w:szCs w:val="21"/>
        </w:rPr>
        <w:t>▲（九）特别说明：</w:t>
      </w:r>
    </w:p>
    <w:p w14:paraId="74D985CB">
      <w:pPr>
        <w:pStyle w:val="2"/>
        <w:spacing w:after="0" w:line="360" w:lineRule="auto"/>
        <w:ind w:firstLine="480"/>
        <w:contextualSpacing/>
        <w:rPr>
          <w:rFonts w:ascii="Times New Roman" w:hAnsi="Times New Roman" w:cs="Times New Roman"/>
          <w:color w:val="000000" w:themeColor="text1"/>
        </w:rPr>
      </w:pPr>
      <w:r>
        <w:rPr>
          <w:rFonts w:ascii="Times New Roman" w:hAnsi="Times New Roman" w:cs="Times New Roman"/>
          <w:snapToGrid w:val="0"/>
          <w:color w:val="000000" w:themeColor="text1"/>
          <w:sz w:val="21"/>
          <w:szCs w:val="21"/>
        </w:rPr>
        <w:t>1.对投标人的限制</w:t>
      </w:r>
    </w:p>
    <w:p w14:paraId="1048E3A1">
      <w:pPr>
        <w:snapToGrid w:val="0"/>
        <w:spacing w:line="360" w:lineRule="auto"/>
        <w:ind w:firstLine="422" w:firstLineChars="200"/>
        <w:contextualSpacing/>
        <w:jc w:val="left"/>
        <w:rPr>
          <w:rFonts w:ascii="Times New Roman" w:hAnsi="Times New Roman" w:cs="Times New Roman"/>
          <w:b/>
          <w:bCs/>
          <w:color w:val="000000" w:themeColor="text1"/>
        </w:rPr>
      </w:pPr>
      <w:r>
        <w:rPr>
          <w:rFonts w:ascii="Times New Roman" w:hAnsi="Times New Roman" w:cs="Times New Roman"/>
          <w:b/>
          <w:bCs/>
          <w:snapToGrid w:val="0"/>
          <w:color w:val="000000" w:themeColor="text1"/>
          <w:kern w:val="0"/>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投标。</w:t>
      </w:r>
    </w:p>
    <w:p w14:paraId="16FFE07E">
      <w:pPr>
        <w:snapToGrid w:val="0"/>
        <w:spacing w:line="360" w:lineRule="auto"/>
        <w:ind w:right="-506" w:rightChars="-241"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2.投标人投标所使用的资格、信誉、荣誉、业绩与企业认证必须为本法人所拥有。投标人投标所使用的采购项目实施人员必须为本法人员工（或必须为本法人或控股公司正式员工）。</w:t>
      </w:r>
    </w:p>
    <w:p w14:paraId="5C733CC1">
      <w:pPr>
        <w:snapToGrid w:val="0"/>
        <w:spacing w:line="360" w:lineRule="auto"/>
        <w:ind w:right="-506" w:rightChars="-241"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3.投标人应仔细阅读采购文件的所有内容，按照采购文件的要求提交投标响应文件，并对所提供的全部资料的真实性承担法律责任。</w:t>
      </w:r>
    </w:p>
    <w:p w14:paraId="7B7B5DA0">
      <w:pPr>
        <w:pStyle w:val="57"/>
        <w:snapToGrid w:val="0"/>
        <w:spacing w:beforeLines="0" w:afterLines="0" w:line="360" w:lineRule="auto"/>
        <w:ind w:left="416" w:leftChars="198"/>
        <w:contextualSpacing/>
        <w:rPr>
          <w:rFonts w:ascii="Times New Roman" w:hAnsi="Times New Roman" w:eastAsia="宋体" w:cs="Times New Roman"/>
          <w:b/>
          <w:bCs/>
          <w:color w:val="000000" w:themeColor="text1"/>
          <w:sz w:val="21"/>
          <w:szCs w:val="21"/>
        </w:rPr>
      </w:pPr>
      <w:r>
        <w:rPr>
          <w:rFonts w:ascii="Times New Roman" w:hAnsi="Times New Roman" w:eastAsia="宋体" w:cs="Times New Roman"/>
          <w:b/>
          <w:bCs/>
          <w:color w:val="000000" w:themeColor="text1"/>
          <w:sz w:val="21"/>
          <w:szCs w:val="21"/>
        </w:rPr>
        <w:t>（十）质疑和投诉</w:t>
      </w:r>
    </w:p>
    <w:p w14:paraId="07EC5A69">
      <w:pPr>
        <w:pStyle w:val="57"/>
        <w:snapToGrid w:val="0"/>
        <w:spacing w:beforeLines="0" w:afterLines="0" w:line="360" w:lineRule="auto"/>
        <w:ind w:firstLine="413" w:firstLineChars="196"/>
        <w:contextualSpacing/>
        <w:rPr>
          <w:rFonts w:ascii="Times New Roman" w:hAnsi="Times New Roman" w:eastAsia="宋体" w:cs="Times New Roman"/>
          <w:b/>
          <w:bCs/>
          <w:color w:val="000000" w:themeColor="text1"/>
          <w:sz w:val="21"/>
          <w:szCs w:val="21"/>
        </w:rPr>
      </w:pPr>
      <w:r>
        <w:rPr>
          <w:rFonts w:ascii="Times New Roman" w:hAnsi="Times New Roman" w:eastAsia="宋体" w:cs="Times New Roman"/>
          <w:b/>
          <w:bCs/>
          <w:color w:val="000000" w:themeColor="text1"/>
          <w:sz w:val="21"/>
          <w:szCs w:val="21"/>
        </w:rPr>
        <w:t>1、质疑</w:t>
      </w:r>
    </w:p>
    <w:p w14:paraId="590C04AF">
      <w:pPr>
        <w:spacing w:line="360" w:lineRule="auto"/>
        <w:ind w:firstLine="420"/>
        <w:contextualSpacing/>
        <w:rPr>
          <w:rFonts w:ascii="Times New Roman" w:hAnsi="Times New Roman" w:cs="Times New Roman"/>
          <w:color w:val="000000" w:themeColor="text1"/>
        </w:rPr>
      </w:pPr>
      <w:r>
        <w:rPr>
          <w:rFonts w:ascii="Times New Roman" w:hAnsi="Times New Roman" w:cs="Times New Roman"/>
          <w:color w:val="000000" w:themeColor="text1"/>
        </w:rPr>
        <w:t>1.1</w:t>
      </w:r>
      <w:r>
        <w:rPr>
          <w:rFonts w:ascii="Times New Roman" w:hAnsi="Times New Roman" w:cs="Times New Roman"/>
          <w:color w:val="000000" w:themeColor="text1"/>
          <w:kern w:val="0"/>
        </w:rPr>
        <w:t>根据财政部94号令（《政府采购质疑和投诉办法》）的规定，</w:t>
      </w:r>
      <w:r>
        <w:rPr>
          <w:rFonts w:ascii="Times New Roman" w:hAnsi="Times New Roman" w:cs="Times New Roman"/>
          <w:color w:val="000000" w:themeColor="text1"/>
        </w:rPr>
        <w:t>投标人认为采购文件、招标过程和中标、成交结果使自己的权益受到损害的，可以在知道或者应知其权益受到损害之日起七个工作日内，以书面形式向招标代理机构提出质疑，投标人在法定质疑期内一次性提出针对同一采购程序环节的质疑。</w:t>
      </w:r>
    </w:p>
    <w:p w14:paraId="7575DE43">
      <w:pPr>
        <w:spacing w:line="360" w:lineRule="auto"/>
        <w:ind w:firstLine="420"/>
        <w:contextualSpacing/>
        <w:rPr>
          <w:rFonts w:ascii="Times New Roman" w:hAnsi="Times New Roman" w:cs="Times New Roman"/>
          <w:color w:val="000000" w:themeColor="text1"/>
        </w:rPr>
      </w:pPr>
      <w:r>
        <w:rPr>
          <w:rFonts w:ascii="Times New Roman" w:hAnsi="Times New Roman" w:cs="Times New Roman"/>
          <w:color w:val="000000" w:themeColor="text1"/>
        </w:rPr>
        <w:t>（1）投标人如认为招标公告信息使自身的合法权益受到损害的，应于自招标公告期限届满之日起七个工作日内以书面形式向招标代理机构提出质疑；</w:t>
      </w:r>
    </w:p>
    <w:p w14:paraId="39F57581">
      <w:pPr>
        <w:spacing w:line="360" w:lineRule="auto"/>
        <w:ind w:firstLine="420"/>
        <w:contextualSpacing/>
        <w:rPr>
          <w:rFonts w:ascii="Times New Roman" w:hAnsi="Times New Roman" w:cs="Times New Roman"/>
          <w:color w:val="000000" w:themeColor="text1"/>
        </w:rPr>
      </w:pPr>
      <w:r>
        <w:rPr>
          <w:rFonts w:ascii="Times New Roman" w:hAnsi="Times New Roman" w:cs="Times New Roman"/>
          <w:color w:val="000000" w:themeColor="text1"/>
        </w:rPr>
        <w:t>（2）投标人如认为采购文件使自身的合法权益受到损害的，应按投标人须知前附表中质疑一栏中规定时间内提出要求；</w:t>
      </w:r>
    </w:p>
    <w:p w14:paraId="32E21C44">
      <w:pPr>
        <w:spacing w:line="360" w:lineRule="auto"/>
        <w:ind w:firstLine="420"/>
        <w:contextualSpacing/>
        <w:rPr>
          <w:rFonts w:ascii="Times New Roman" w:hAnsi="Times New Roman" w:cs="Times New Roman"/>
          <w:color w:val="000000" w:themeColor="text1"/>
        </w:rPr>
      </w:pPr>
      <w:r>
        <w:rPr>
          <w:rFonts w:ascii="Times New Roman" w:hAnsi="Times New Roman" w:cs="Times New Roman"/>
          <w:color w:val="000000" w:themeColor="text1"/>
        </w:rPr>
        <w:t>（3）对采购过程提出质疑的，为各采购程序环节结束之日；</w:t>
      </w:r>
    </w:p>
    <w:p w14:paraId="5FF5D682">
      <w:pPr>
        <w:spacing w:line="360" w:lineRule="auto"/>
        <w:ind w:firstLine="420"/>
        <w:contextualSpacing/>
        <w:rPr>
          <w:rFonts w:ascii="Times New Roman" w:hAnsi="Times New Roman" w:cs="Times New Roman"/>
          <w:color w:val="000000" w:themeColor="text1"/>
        </w:rPr>
      </w:pPr>
      <w:r>
        <w:rPr>
          <w:rFonts w:ascii="Times New Roman" w:hAnsi="Times New Roman" w:cs="Times New Roman"/>
          <w:color w:val="000000" w:themeColor="text1"/>
        </w:rPr>
        <w:t>（4）投标人如认为招标过程和中标结果使自身的合法权益受到损害的，应于中标结果公告期限届满之日起七个工作日内以书面形式向招标代理机构一次性提出针对同一采购程序环节的质疑。</w:t>
      </w:r>
    </w:p>
    <w:p w14:paraId="055B4344">
      <w:pPr>
        <w:spacing w:line="360" w:lineRule="auto"/>
        <w:ind w:firstLine="420"/>
        <w:contextualSpacing/>
        <w:rPr>
          <w:rFonts w:ascii="Times New Roman" w:hAnsi="Times New Roman" w:cs="Times New Roman"/>
          <w:color w:val="000000" w:themeColor="text1"/>
        </w:rPr>
      </w:pPr>
      <w:r>
        <w:rPr>
          <w:rFonts w:ascii="Times New Roman" w:hAnsi="Times New Roman" w:cs="Times New Roman"/>
          <w:color w:val="000000" w:themeColor="text1"/>
        </w:rPr>
        <w:t>1.2提出质疑的投标人（以下简称质疑投标人）应当是参与所质疑项目采购活动的投标人。</w:t>
      </w:r>
    </w:p>
    <w:p w14:paraId="5210939D">
      <w:pPr>
        <w:spacing w:line="360" w:lineRule="auto"/>
        <w:ind w:firstLine="420"/>
        <w:contextualSpacing/>
        <w:rPr>
          <w:rFonts w:ascii="Times New Roman" w:hAnsi="Times New Roman" w:cs="Times New Roman"/>
          <w:color w:val="000000" w:themeColor="text1"/>
        </w:rPr>
      </w:pPr>
      <w:r>
        <w:rPr>
          <w:rFonts w:ascii="Times New Roman" w:hAnsi="Times New Roman" w:cs="Times New Roman"/>
          <w:color w:val="000000" w:themeColor="text1"/>
        </w:rPr>
        <w:t>1.3投标人为自然人的，应当由本人签字；投标人为法人或者其他组织的，应当由法定代表人、主要负责人，并加盖公章。</w:t>
      </w:r>
    </w:p>
    <w:p w14:paraId="6385C799">
      <w:pPr>
        <w:spacing w:line="360" w:lineRule="auto"/>
        <w:ind w:firstLine="420"/>
        <w:contextualSpacing/>
        <w:rPr>
          <w:rFonts w:ascii="Times New Roman" w:hAnsi="Times New Roman" w:cs="Times New Roman"/>
          <w:color w:val="000000" w:themeColor="text1"/>
        </w:rPr>
      </w:pPr>
      <w:r>
        <w:rPr>
          <w:rFonts w:ascii="Times New Roman" w:hAnsi="Times New Roman" w:cs="Times New Roman"/>
          <w:color w:val="000000" w:themeColor="text1"/>
        </w:rPr>
        <w:t>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14:paraId="0CF44B0A">
      <w:pPr>
        <w:spacing w:line="360" w:lineRule="auto"/>
        <w:ind w:firstLine="420"/>
        <w:contextualSpacing/>
        <w:rPr>
          <w:rFonts w:ascii="Times New Roman" w:hAnsi="Times New Roman" w:cs="Times New Roman"/>
          <w:color w:val="000000" w:themeColor="text1"/>
        </w:rPr>
      </w:pPr>
      <w:r>
        <w:rPr>
          <w:rFonts w:ascii="Times New Roman" w:hAnsi="Times New Roman" w:cs="Times New Roman"/>
          <w:color w:val="000000" w:themeColor="text1"/>
        </w:rPr>
        <w:t>以联合体形式参加政府采购活动的，其投诉应当由组成联合体的所有投标人共同提出。</w:t>
      </w:r>
    </w:p>
    <w:p w14:paraId="7433DD7D">
      <w:pPr>
        <w:spacing w:line="360" w:lineRule="auto"/>
        <w:ind w:firstLine="420"/>
        <w:contextualSpacing/>
        <w:rPr>
          <w:rFonts w:ascii="Times New Roman" w:hAnsi="Times New Roman" w:cs="Times New Roman"/>
          <w:color w:val="000000" w:themeColor="text1"/>
        </w:rPr>
      </w:pPr>
      <w:r>
        <w:rPr>
          <w:rFonts w:ascii="Times New Roman" w:hAnsi="Times New Roman" w:cs="Times New Roman"/>
          <w:color w:val="000000" w:themeColor="text1"/>
        </w:rPr>
        <w:t>1.4投标人提交的质疑书需一式三份，质疑书至少应包括下列主要内容：</w:t>
      </w:r>
    </w:p>
    <w:p w14:paraId="4E026F82">
      <w:pPr>
        <w:spacing w:line="360" w:lineRule="auto"/>
        <w:ind w:firstLine="420"/>
        <w:contextualSpacing/>
        <w:rPr>
          <w:rFonts w:ascii="Times New Roman" w:hAnsi="Times New Roman" w:cs="Times New Roman"/>
          <w:color w:val="000000" w:themeColor="text1"/>
        </w:rPr>
      </w:pPr>
      <w:r>
        <w:rPr>
          <w:rFonts w:ascii="Times New Roman" w:hAnsi="Times New Roman" w:cs="Times New Roman"/>
          <w:color w:val="000000" w:themeColor="text1"/>
        </w:rPr>
        <w:t>（一）投标人的姓名或者名称、地址、邮编、联系人及联系电话；</w:t>
      </w:r>
    </w:p>
    <w:p w14:paraId="69D4A99A">
      <w:pPr>
        <w:spacing w:line="360" w:lineRule="auto"/>
        <w:ind w:firstLine="420"/>
        <w:contextualSpacing/>
        <w:rPr>
          <w:rFonts w:ascii="Times New Roman" w:hAnsi="Times New Roman" w:cs="Times New Roman"/>
          <w:color w:val="000000" w:themeColor="text1"/>
        </w:rPr>
      </w:pPr>
      <w:r>
        <w:rPr>
          <w:rFonts w:ascii="Times New Roman" w:hAnsi="Times New Roman" w:cs="Times New Roman"/>
          <w:color w:val="000000" w:themeColor="text1"/>
        </w:rPr>
        <w:t>（二）质疑项目的名称、编号；</w:t>
      </w:r>
    </w:p>
    <w:p w14:paraId="388F79BE">
      <w:pPr>
        <w:spacing w:line="360" w:lineRule="auto"/>
        <w:ind w:firstLine="420"/>
        <w:contextualSpacing/>
        <w:rPr>
          <w:rFonts w:ascii="Times New Roman" w:hAnsi="Times New Roman" w:cs="Times New Roman"/>
          <w:color w:val="000000" w:themeColor="text1"/>
        </w:rPr>
      </w:pPr>
      <w:r>
        <w:rPr>
          <w:rFonts w:ascii="Times New Roman" w:hAnsi="Times New Roman" w:cs="Times New Roman"/>
          <w:color w:val="000000" w:themeColor="text1"/>
        </w:rPr>
        <w:t>（三）具体、明确的质疑事项和与质疑事项相关的请求；</w:t>
      </w:r>
    </w:p>
    <w:p w14:paraId="04BB6B3E">
      <w:pPr>
        <w:spacing w:line="360" w:lineRule="auto"/>
        <w:ind w:firstLine="420"/>
        <w:contextualSpacing/>
        <w:rPr>
          <w:rFonts w:ascii="Times New Roman" w:hAnsi="Times New Roman" w:cs="Times New Roman"/>
          <w:color w:val="000000" w:themeColor="text1"/>
        </w:rPr>
      </w:pPr>
      <w:r>
        <w:rPr>
          <w:rFonts w:ascii="Times New Roman" w:hAnsi="Times New Roman" w:cs="Times New Roman"/>
          <w:color w:val="000000" w:themeColor="text1"/>
        </w:rPr>
        <w:t>（四）事实依据；</w:t>
      </w:r>
    </w:p>
    <w:p w14:paraId="1DE1CA53">
      <w:pPr>
        <w:spacing w:line="360" w:lineRule="auto"/>
        <w:ind w:firstLine="420"/>
        <w:contextualSpacing/>
        <w:rPr>
          <w:rFonts w:ascii="Times New Roman" w:hAnsi="Times New Roman" w:cs="Times New Roman"/>
          <w:color w:val="000000" w:themeColor="text1"/>
        </w:rPr>
      </w:pPr>
      <w:r>
        <w:rPr>
          <w:rFonts w:ascii="Times New Roman" w:hAnsi="Times New Roman" w:cs="Times New Roman"/>
          <w:color w:val="000000" w:themeColor="text1"/>
        </w:rPr>
        <w:t>（五）必要的法律依据；</w:t>
      </w:r>
    </w:p>
    <w:p w14:paraId="5842E4C5">
      <w:pPr>
        <w:spacing w:line="360" w:lineRule="auto"/>
        <w:ind w:firstLine="420"/>
        <w:contextualSpacing/>
        <w:rPr>
          <w:rFonts w:ascii="Times New Roman" w:hAnsi="Times New Roman" w:cs="Times New Roman"/>
          <w:color w:val="000000" w:themeColor="text1"/>
        </w:rPr>
      </w:pPr>
      <w:r>
        <w:rPr>
          <w:rFonts w:ascii="Times New Roman" w:hAnsi="Times New Roman" w:cs="Times New Roman"/>
          <w:color w:val="000000" w:themeColor="text1"/>
        </w:rPr>
        <w:t>（六）提出质疑的日期。</w:t>
      </w:r>
    </w:p>
    <w:p w14:paraId="46D7355B">
      <w:pPr>
        <w:spacing w:line="360" w:lineRule="auto"/>
        <w:ind w:firstLine="420"/>
        <w:contextualSpacing/>
        <w:rPr>
          <w:rFonts w:ascii="Times New Roman" w:hAnsi="Times New Roman" w:cs="Times New Roman"/>
          <w:color w:val="000000" w:themeColor="text1"/>
          <w:shd w:val="clear" w:color="auto" w:fill="FFFFFF"/>
        </w:rPr>
      </w:pPr>
      <w:r>
        <w:rPr>
          <w:rFonts w:ascii="Times New Roman" w:hAnsi="Times New Roman" w:cs="Times New Roman"/>
          <w:color w:val="000000" w:themeColor="text1"/>
        </w:rPr>
        <w:t>1.5</w:t>
      </w:r>
      <w:r>
        <w:rPr>
          <w:rFonts w:ascii="Times New Roman" w:hAnsi="Times New Roman" w:cs="Times New Roman"/>
          <w:color w:val="000000" w:themeColor="text1"/>
          <w:shd w:val="clear" w:color="auto" w:fill="FFFFFF"/>
        </w:rPr>
        <w:t>采购人、采购代理机构不得拒收质疑投标人在法定质疑期内发出的质疑函，应当在收到质疑函后7个工作日内作出答复，质疑答复的内容不得涉及商业秘密，并以书面形式通知质疑投标人和其他有关投标人。</w:t>
      </w:r>
    </w:p>
    <w:p w14:paraId="1416839C">
      <w:pPr>
        <w:pStyle w:val="57"/>
        <w:snapToGrid w:val="0"/>
        <w:spacing w:beforeLines="0" w:afterLines="0" w:line="360" w:lineRule="auto"/>
        <w:ind w:firstLine="413" w:firstLineChars="196"/>
        <w:contextualSpacing/>
        <w:rPr>
          <w:rFonts w:ascii="Times New Roman" w:hAnsi="Times New Roman" w:eastAsia="宋体" w:cs="Times New Roman"/>
          <w:b/>
          <w:bCs/>
          <w:color w:val="000000" w:themeColor="text1"/>
          <w:sz w:val="21"/>
          <w:szCs w:val="21"/>
        </w:rPr>
      </w:pPr>
      <w:r>
        <w:rPr>
          <w:rFonts w:ascii="Times New Roman" w:hAnsi="Times New Roman" w:eastAsia="宋体" w:cs="Times New Roman"/>
          <w:b/>
          <w:bCs/>
          <w:color w:val="000000" w:themeColor="text1"/>
          <w:sz w:val="21"/>
          <w:szCs w:val="21"/>
        </w:rPr>
        <w:t>2、投诉</w:t>
      </w:r>
    </w:p>
    <w:p w14:paraId="2CDB9F7D">
      <w:pPr>
        <w:spacing w:line="360" w:lineRule="auto"/>
        <w:ind w:firstLine="420"/>
        <w:contextualSpacing/>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2.1质疑投标人对采购人、采购代理机构的答复不满意，或者采购人、采购代理机构未在规定时间内作出答复的，可以在答复期满后15个工作日内向</w:t>
      </w:r>
      <w:r>
        <w:rPr>
          <w:rFonts w:ascii="Times New Roman" w:hAnsi="Times New Roman" w:cs="Times New Roman"/>
          <w:color w:val="000000" w:themeColor="text1"/>
          <w:kern w:val="0"/>
        </w:rPr>
        <w:t>《政府采购质疑和投诉办法》</w:t>
      </w:r>
      <w:r>
        <w:rPr>
          <w:rFonts w:ascii="Times New Roman" w:hAnsi="Times New Roman" w:cs="Times New Roman"/>
          <w:color w:val="000000" w:themeColor="text1"/>
          <w:shd w:val="clear" w:color="auto" w:fill="FFFFFF"/>
        </w:rPr>
        <w:t>第六条规定的财政部门提起投诉。</w:t>
      </w:r>
    </w:p>
    <w:p w14:paraId="6605F8F8">
      <w:pPr>
        <w:spacing w:line="360" w:lineRule="auto"/>
        <w:ind w:firstLine="420"/>
        <w:contextualSpacing/>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2.2投标人投诉的事项不得超出已质疑事项的范围，但基于质疑答复内容提出的投诉事项除外。</w:t>
      </w:r>
    </w:p>
    <w:p w14:paraId="3377A30A">
      <w:pPr>
        <w:spacing w:line="360" w:lineRule="auto"/>
        <w:ind w:firstLine="420"/>
        <w:contextualSpacing/>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2.3投诉人提起投诉应当符合下列条件：</w:t>
      </w:r>
    </w:p>
    <w:p w14:paraId="52571210">
      <w:pPr>
        <w:spacing w:line="360" w:lineRule="auto"/>
        <w:ind w:firstLine="420"/>
        <w:contextualSpacing/>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（一）提起投诉前已依法进行质疑；</w:t>
      </w:r>
    </w:p>
    <w:p w14:paraId="4BA226EB">
      <w:pPr>
        <w:spacing w:line="360" w:lineRule="auto"/>
        <w:ind w:firstLine="420"/>
        <w:contextualSpacing/>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（二）投诉书内容符合本办法的规定；</w:t>
      </w:r>
    </w:p>
    <w:p w14:paraId="5DB82C0D">
      <w:pPr>
        <w:spacing w:line="360" w:lineRule="auto"/>
        <w:ind w:firstLine="420"/>
        <w:contextualSpacing/>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（三）在投诉有效期限内提起投诉；</w:t>
      </w:r>
    </w:p>
    <w:p w14:paraId="158CAE1E">
      <w:pPr>
        <w:spacing w:line="360" w:lineRule="auto"/>
        <w:ind w:firstLine="420"/>
        <w:contextualSpacing/>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（四）同一投诉事项未经财政部门投诉处理；</w:t>
      </w:r>
    </w:p>
    <w:p w14:paraId="516B469D">
      <w:pPr>
        <w:spacing w:line="360" w:lineRule="auto"/>
        <w:ind w:firstLine="420"/>
        <w:contextualSpacing/>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（五）财政部规定的其他条件。</w:t>
      </w:r>
    </w:p>
    <w:p w14:paraId="1848A082">
      <w:pPr>
        <w:spacing w:line="360" w:lineRule="auto"/>
        <w:ind w:firstLine="420"/>
        <w:contextualSpacing/>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2.4投诉人在全国范围12个月内三次以上投诉查无实据的，由财政部门列入不良行为记录名单。</w:t>
      </w:r>
    </w:p>
    <w:p w14:paraId="32D76E04">
      <w:pPr>
        <w:spacing w:line="360" w:lineRule="auto"/>
        <w:ind w:firstLine="420"/>
        <w:contextualSpacing/>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2.5投诉人有下列行为之一的，属于虚假、恶意投诉，由财政部门列入不良行为记录名单，禁止其1至3年内参加政府采购活动：</w:t>
      </w:r>
    </w:p>
    <w:p w14:paraId="52093F73">
      <w:pPr>
        <w:spacing w:line="360" w:lineRule="auto"/>
        <w:ind w:firstLine="420"/>
        <w:contextualSpacing/>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（一）捏造事实；</w:t>
      </w:r>
    </w:p>
    <w:p w14:paraId="3C2276D3">
      <w:pPr>
        <w:spacing w:line="360" w:lineRule="auto"/>
        <w:ind w:firstLine="420"/>
        <w:contextualSpacing/>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（二）提供虚假材料；</w:t>
      </w:r>
    </w:p>
    <w:p w14:paraId="75E856D5">
      <w:pPr>
        <w:spacing w:line="360" w:lineRule="auto"/>
        <w:ind w:firstLine="420"/>
        <w:contextualSpacing/>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（三）以非法手段取得证明材料。证据来源的合法性存在明显疑问，投诉人无法证明其取得方式合法的，视为以非法手段取得证明材料。</w:t>
      </w:r>
    </w:p>
    <w:p w14:paraId="3A9C54BE">
      <w:pPr>
        <w:spacing w:line="360" w:lineRule="auto"/>
        <w:ind w:firstLine="420"/>
        <w:contextualSpacing/>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2.6</w:t>
      </w:r>
      <w:r>
        <w:rPr>
          <w:rFonts w:ascii="Times New Roman" w:hAnsi="Times New Roman" w:cs="Times New Roman"/>
          <w:color w:val="000000" w:themeColor="text1"/>
          <w:kern w:val="0"/>
        </w:rPr>
        <w:t>政府采购投标人质疑函范本，详见格式。</w:t>
      </w:r>
    </w:p>
    <w:p w14:paraId="78229E70">
      <w:pPr>
        <w:pStyle w:val="57"/>
        <w:spacing w:beforeLines="0" w:afterLines="0" w:line="360" w:lineRule="auto"/>
        <w:ind w:right="-506" w:rightChars="-241"/>
        <w:contextualSpacing/>
        <w:jc w:val="center"/>
        <w:rPr>
          <w:rFonts w:ascii="Times New Roman" w:hAnsi="Times New Roman" w:eastAsia="宋体" w:cs="Times New Roman"/>
          <w:b/>
          <w:bCs/>
          <w:color w:val="000000" w:themeColor="text1"/>
        </w:rPr>
      </w:pPr>
      <w:r>
        <w:rPr>
          <w:rFonts w:ascii="Times New Roman" w:hAnsi="Times New Roman" w:eastAsia="宋体" w:cs="Times New Roman"/>
          <w:b/>
          <w:bCs/>
          <w:color w:val="000000" w:themeColor="text1"/>
        </w:rPr>
        <w:t>二、采购文件</w:t>
      </w:r>
    </w:p>
    <w:p w14:paraId="699C4DC9">
      <w:pPr>
        <w:spacing w:line="360" w:lineRule="auto"/>
        <w:ind w:right="-241"/>
        <w:contextualSpacing/>
        <w:jc w:val="left"/>
        <w:rPr>
          <w:rFonts w:ascii="Times New Roman" w:hAnsi="Times New Roman" w:cs="Times New Roman"/>
          <w:b/>
          <w:bCs/>
          <w:color w:val="000000" w:themeColor="text1"/>
        </w:rPr>
      </w:pPr>
      <w:r>
        <w:rPr>
          <w:rFonts w:ascii="Times New Roman" w:hAnsi="Times New Roman" w:cs="Times New Roman"/>
          <w:b/>
          <w:bCs/>
          <w:color w:val="000000" w:themeColor="text1"/>
        </w:rPr>
        <w:t>（一）采购文件的构成。本采购文件由以下</w:t>
      </w:r>
      <w:r>
        <w:rPr>
          <w:rFonts w:hint="eastAsia" w:ascii="Times New Roman" w:hAnsi="Times New Roman" w:cs="Times New Roman"/>
          <w:b/>
          <w:bCs/>
          <w:color w:val="000000" w:themeColor="text1"/>
        </w:rPr>
        <w:t>部分</w:t>
      </w:r>
      <w:r>
        <w:rPr>
          <w:rFonts w:ascii="Times New Roman" w:hAnsi="Times New Roman" w:cs="Times New Roman"/>
          <w:b/>
          <w:bCs/>
          <w:color w:val="000000" w:themeColor="text1"/>
        </w:rPr>
        <w:t>组成：</w:t>
      </w:r>
    </w:p>
    <w:p w14:paraId="0D0C2FB0">
      <w:pPr>
        <w:spacing w:line="360" w:lineRule="auto"/>
        <w:ind w:firstLine="420" w:firstLineChars="200"/>
        <w:contextualSpacing/>
        <w:rPr>
          <w:rFonts w:ascii="Times New Roman" w:hAnsi="Times New Roman" w:cs="Times New Roman"/>
          <w:color w:val="000000" w:themeColor="text1"/>
        </w:rPr>
      </w:pPr>
      <w:r>
        <w:rPr>
          <w:rFonts w:ascii="Times New Roman" w:hAnsi="Times New Roman" w:cs="Times New Roman"/>
          <w:color w:val="000000" w:themeColor="text1"/>
        </w:rPr>
        <w:t>第一章采购公告</w:t>
      </w:r>
    </w:p>
    <w:p w14:paraId="1BAC1EC3">
      <w:pPr>
        <w:spacing w:line="360" w:lineRule="auto"/>
        <w:ind w:firstLine="420" w:firstLineChars="200"/>
        <w:contextualSpacing/>
        <w:rPr>
          <w:rFonts w:ascii="Times New Roman" w:hAnsi="Times New Roman" w:cs="Times New Roman"/>
          <w:color w:val="000000" w:themeColor="text1"/>
        </w:rPr>
      </w:pPr>
      <w:r>
        <w:rPr>
          <w:rFonts w:ascii="Times New Roman" w:hAnsi="Times New Roman" w:cs="Times New Roman"/>
          <w:color w:val="000000" w:themeColor="text1"/>
        </w:rPr>
        <w:t>第二章采购需求</w:t>
      </w:r>
    </w:p>
    <w:p w14:paraId="12440BD8">
      <w:pPr>
        <w:spacing w:line="360" w:lineRule="auto"/>
        <w:ind w:firstLine="420" w:firstLineChars="200"/>
        <w:contextualSpacing/>
        <w:rPr>
          <w:rFonts w:ascii="Times New Roman" w:hAnsi="Times New Roman" w:cs="Times New Roman"/>
          <w:color w:val="000000" w:themeColor="text1"/>
        </w:rPr>
      </w:pPr>
      <w:r>
        <w:rPr>
          <w:rFonts w:ascii="Times New Roman" w:hAnsi="Times New Roman" w:cs="Times New Roman"/>
          <w:color w:val="000000" w:themeColor="text1"/>
        </w:rPr>
        <w:t>第三章投标人须知</w:t>
      </w:r>
    </w:p>
    <w:p w14:paraId="3C22062B">
      <w:pPr>
        <w:spacing w:line="360" w:lineRule="auto"/>
        <w:ind w:firstLine="420" w:firstLineChars="200"/>
        <w:contextualSpacing/>
        <w:rPr>
          <w:rFonts w:ascii="Times New Roman" w:hAnsi="Times New Roman" w:cs="Times New Roman"/>
          <w:color w:val="000000" w:themeColor="text1"/>
        </w:rPr>
      </w:pPr>
      <w:r>
        <w:rPr>
          <w:rFonts w:ascii="Times New Roman" w:hAnsi="Times New Roman" w:cs="Times New Roman"/>
          <w:color w:val="000000" w:themeColor="text1"/>
        </w:rPr>
        <w:t>第四章评标办法及标准</w:t>
      </w:r>
    </w:p>
    <w:p w14:paraId="2A9A0426">
      <w:pPr>
        <w:spacing w:line="360" w:lineRule="auto"/>
        <w:ind w:firstLine="420" w:firstLineChars="200"/>
        <w:contextualSpacing/>
        <w:rPr>
          <w:rFonts w:ascii="Times New Roman" w:hAnsi="Times New Roman" w:cs="Times New Roman"/>
          <w:color w:val="000000" w:themeColor="text1"/>
        </w:rPr>
      </w:pPr>
      <w:r>
        <w:rPr>
          <w:rFonts w:ascii="Times New Roman" w:hAnsi="Times New Roman" w:cs="Times New Roman"/>
          <w:color w:val="000000" w:themeColor="text1"/>
        </w:rPr>
        <w:t>第五章合同主要条款</w:t>
      </w:r>
    </w:p>
    <w:p w14:paraId="6ECDF9B0">
      <w:pPr>
        <w:spacing w:line="360" w:lineRule="auto"/>
        <w:ind w:firstLine="420" w:firstLineChars="200"/>
        <w:contextualSpacing/>
        <w:rPr>
          <w:rFonts w:ascii="Times New Roman" w:hAnsi="Times New Roman" w:cs="Times New Roman"/>
          <w:color w:val="000000" w:themeColor="text1"/>
        </w:rPr>
      </w:pPr>
      <w:r>
        <w:rPr>
          <w:rFonts w:ascii="Times New Roman" w:hAnsi="Times New Roman" w:cs="Times New Roman"/>
          <w:color w:val="000000" w:themeColor="text1"/>
        </w:rPr>
        <w:t>第六章投标文件相关格式</w:t>
      </w:r>
    </w:p>
    <w:p w14:paraId="37A593D7">
      <w:pPr>
        <w:spacing w:line="360" w:lineRule="auto"/>
        <w:ind w:right="-238"/>
        <w:contextualSpacing/>
        <w:jc w:val="left"/>
        <w:rPr>
          <w:rFonts w:ascii="Times New Roman" w:hAnsi="Times New Roman" w:cs="Times New Roman"/>
          <w:b/>
          <w:bCs/>
          <w:color w:val="000000" w:themeColor="text1"/>
        </w:rPr>
      </w:pPr>
      <w:r>
        <w:rPr>
          <w:rFonts w:ascii="Times New Roman" w:hAnsi="Times New Roman" w:cs="Times New Roman"/>
          <w:b/>
          <w:bCs/>
          <w:color w:val="000000" w:themeColor="text1"/>
        </w:rPr>
        <w:t>（二）投标人的风险</w:t>
      </w:r>
    </w:p>
    <w:p w14:paraId="63478AED">
      <w:pPr>
        <w:spacing w:line="360" w:lineRule="auto"/>
        <w:ind w:firstLine="420" w:firstLineChars="200"/>
        <w:contextualSpacing/>
        <w:rPr>
          <w:rFonts w:ascii="Times New Roman" w:hAnsi="Times New Roman" w:cs="Times New Roman"/>
          <w:color w:val="000000" w:themeColor="text1"/>
        </w:rPr>
      </w:pPr>
      <w:r>
        <w:rPr>
          <w:rFonts w:ascii="Times New Roman" w:hAnsi="Times New Roman" w:cs="Times New Roman"/>
          <w:color w:val="000000" w:themeColor="text1"/>
        </w:rPr>
        <w:t>投标人没有按照采购文件要求提供全部资料，或者投标人没有对采购文件在各方面作出实质性响应是投标人的风险，责任自负。</w:t>
      </w:r>
    </w:p>
    <w:p w14:paraId="7FB32485">
      <w:pPr>
        <w:spacing w:line="360" w:lineRule="auto"/>
        <w:ind w:right="-238"/>
        <w:contextualSpacing/>
        <w:jc w:val="left"/>
        <w:rPr>
          <w:rFonts w:ascii="Times New Roman" w:hAnsi="Times New Roman" w:cs="Times New Roman"/>
          <w:b/>
          <w:bCs/>
          <w:color w:val="000000" w:themeColor="text1"/>
        </w:rPr>
      </w:pPr>
      <w:r>
        <w:rPr>
          <w:rFonts w:ascii="Times New Roman" w:hAnsi="Times New Roman" w:cs="Times New Roman"/>
          <w:b/>
          <w:bCs/>
          <w:color w:val="000000" w:themeColor="text1"/>
        </w:rPr>
        <w:t>（三）采购文件的澄清与修改</w:t>
      </w:r>
    </w:p>
    <w:p w14:paraId="148655C5">
      <w:pPr>
        <w:spacing w:line="360" w:lineRule="auto"/>
        <w:ind w:firstLine="420" w:firstLineChars="200"/>
        <w:contextualSpacing/>
        <w:rPr>
          <w:rFonts w:ascii="Times New Roman" w:hAnsi="Times New Roman" w:cs="Times New Roman"/>
          <w:color w:val="000000" w:themeColor="text1"/>
        </w:rPr>
      </w:pPr>
      <w:r>
        <w:rPr>
          <w:rFonts w:ascii="Times New Roman" w:hAnsi="Times New Roman" w:cs="Times New Roman"/>
          <w:color w:val="000000" w:themeColor="text1"/>
        </w:rPr>
        <w:t>1、投标人应认真阅读本采购文件，发现其中有误或有要求不合理的，投标人须在采购公告期限届满之日起7个工作日内，以书面形式一次性向采购人和采购代理机构提出。招标采购单位对已发出的采购文件进行必要澄清、答复、修改或补充的，应当在采购文件要求提交投标文件截止时间15天前，在财政部门指定的政府采购信息发布媒体上发布更正公告，并通知所有已报名的潜在投标人。</w:t>
      </w:r>
    </w:p>
    <w:p w14:paraId="1987B7BE">
      <w:pPr>
        <w:spacing w:line="360" w:lineRule="auto"/>
        <w:ind w:firstLine="420" w:firstLineChars="200"/>
        <w:contextualSpacing/>
        <w:rPr>
          <w:rFonts w:ascii="Times New Roman" w:hAnsi="Times New Roman" w:cs="Times New Roman"/>
          <w:color w:val="000000" w:themeColor="text1"/>
        </w:rPr>
      </w:pPr>
      <w:r>
        <w:rPr>
          <w:rFonts w:ascii="Times New Roman" w:hAnsi="Times New Roman" w:cs="Times New Roman"/>
          <w:color w:val="000000" w:themeColor="text1"/>
        </w:rPr>
        <w:t>2、采购文件的答复、澄清、修改、补充通知实质上改变采购需求相关内容，且自采购文件的答复、澄清、修改、补充通知发出之日起至投标截止时间止不足15天的，招标采购单位可视情况推迟投标截止时间和开标时间，按规定在财政部门指定的政府采购信息发布媒体上发布变更公告，并将变更后的时间通知所有已报名的潜在投标人。</w:t>
      </w:r>
    </w:p>
    <w:p w14:paraId="498655F4">
      <w:pPr>
        <w:spacing w:line="360" w:lineRule="auto"/>
        <w:ind w:firstLine="420" w:firstLineChars="200"/>
        <w:contextualSpacing/>
        <w:rPr>
          <w:rFonts w:ascii="Times New Roman" w:hAnsi="Times New Roman" w:cs="Times New Roman"/>
          <w:color w:val="000000" w:themeColor="text1"/>
        </w:rPr>
      </w:pPr>
      <w:r>
        <w:rPr>
          <w:rFonts w:ascii="Times New Roman" w:hAnsi="Times New Roman" w:cs="Times New Roman"/>
          <w:color w:val="000000" w:themeColor="text1"/>
        </w:rPr>
        <w:t>3、采购文件澄清、答复、修改、补充的内容为采购文件的组成部分。当采购文件与采购文件的答复、澄清、修改、补充通知就同一内容的表述不一致时，以最后发出的变更公告为准。</w:t>
      </w:r>
    </w:p>
    <w:p w14:paraId="23D52BDE">
      <w:pPr>
        <w:spacing w:line="360" w:lineRule="auto"/>
        <w:ind w:firstLine="420" w:firstLineChars="200"/>
        <w:contextualSpacing/>
        <w:rPr>
          <w:rFonts w:ascii="Times New Roman" w:hAnsi="Times New Roman" w:cs="Times New Roman"/>
          <w:color w:val="000000" w:themeColor="text1"/>
        </w:rPr>
      </w:pPr>
      <w:r>
        <w:rPr>
          <w:rFonts w:ascii="Times New Roman" w:hAnsi="Times New Roman" w:cs="Times New Roman"/>
          <w:color w:val="000000" w:themeColor="text1"/>
        </w:rPr>
        <w:t>4、采购文件的澄清、答复、修改或补充都应该通过本代理机构以法定形式发布。</w:t>
      </w:r>
    </w:p>
    <w:p w14:paraId="54814907">
      <w:pPr>
        <w:pStyle w:val="57"/>
        <w:snapToGrid w:val="0"/>
        <w:spacing w:before="159" w:after="159" w:line="360" w:lineRule="auto"/>
        <w:ind w:right="-506" w:rightChars="-241"/>
        <w:jc w:val="center"/>
        <w:rPr>
          <w:rFonts w:hAnsi="宋体" w:eastAsia="宋体"/>
          <w:b/>
          <w:sz w:val="28"/>
          <w:szCs w:val="28"/>
        </w:rPr>
      </w:pPr>
      <w:r>
        <w:rPr>
          <w:rFonts w:hint="eastAsia" w:hAnsi="宋体" w:eastAsia="宋体"/>
          <w:b/>
          <w:sz w:val="28"/>
          <w:szCs w:val="28"/>
        </w:rPr>
        <w:t>三、投标文件的编制</w:t>
      </w:r>
    </w:p>
    <w:p w14:paraId="20CC092A">
      <w:pPr>
        <w:snapToGrid w:val="0"/>
        <w:spacing w:line="360" w:lineRule="auto"/>
        <w:ind w:right="55" w:firstLine="472" w:firstLineChars="196"/>
        <w:jc w:val="left"/>
        <w:outlineLvl w:val="0"/>
        <w:rPr>
          <w:rFonts w:ascii="宋体"/>
          <w:b/>
          <w:sz w:val="24"/>
        </w:rPr>
      </w:pPr>
      <w:r>
        <w:rPr>
          <w:rFonts w:hint="eastAsia" w:ascii="宋体"/>
          <w:b/>
          <w:sz w:val="24"/>
        </w:rPr>
        <w:t>（</w:t>
      </w:r>
      <w:r>
        <w:rPr>
          <w:rFonts w:hint="eastAsia" w:ascii="宋体" w:hAnsi="宋体"/>
          <w:b/>
        </w:rPr>
        <w:t>一）投标文件的组成</w:t>
      </w:r>
    </w:p>
    <w:p w14:paraId="4904C38F">
      <w:pPr>
        <w:snapToGrid w:val="0"/>
        <w:spacing w:line="360" w:lineRule="auto"/>
        <w:ind w:right="55" w:firstLine="411" w:firstLineChars="196"/>
        <w:jc w:val="left"/>
        <w:outlineLvl w:val="0"/>
        <w:rPr>
          <w:rFonts w:ascii="Times New Roman" w:hAnsi="Times New Roman"/>
        </w:rPr>
      </w:pPr>
      <w:r>
        <w:rPr>
          <w:rFonts w:hint="eastAsia" w:ascii="Times New Roman" w:hAnsi="Times New Roman"/>
        </w:rPr>
        <w:t>投标文件由资格响应文件、商务及技术响应文件、报价文件三部分组成。</w:t>
      </w:r>
      <w:r>
        <w:rPr>
          <w:rFonts w:hint="eastAsia" w:ascii="Times New Roman" w:hAnsi="Times New Roman"/>
          <w:u w:val="single"/>
        </w:rPr>
        <w:t>电子投标文件中所须加盖公章部分均采用CA签章</w:t>
      </w:r>
      <w:r>
        <w:rPr>
          <w:rFonts w:hint="eastAsia" w:ascii="Times New Roman" w:hAnsi="Times New Roman"/>
        </w:rPr>
        <w:t>。（投标文件的组成和格式见本采购文件第六章）</w:t>
      </w:r>
    </w:p>
    <w:p w14:paraId="2533F502">
      <w:pPr>
        <w:snapToGrid w:val="0"/>
        <w:spacing w:line="360" w:lineRule="auto"/>
        <w:ind w:right="55" w:firstLine="413" w:firstLineChars="196"/>
        <w:jc w:val="left"/>
        <w:outlineLvl w:val="0"/>
        <w:rPr>
          <w:rFonts w:ascii="宋体" w:hAnsi="宋体"/>
          <w:b/>
        </w:rPr>
      </w:pPr>
      <w:r>
        <w:rPr>
          <w:rFonts w:hint="eastAsia" w:ascii="宋体" w:hAnsi="宋体"/>
          <w:b/>
        </w:rPr>
        <w:t>（二）投标文件的编制</w:t>
      </w:r>
    </w:p>
    <w:p w14:paraId="17B158B9">
      <w:pPr>
        <w:snapToGrid w:val="0"/>
        <w:spacing w:line="360" w:lineRule="auto"/>
        <w:ind w:right="55" w:firstLine="411" w:firstLineChars="196"/>
        <w:jc w:val="left"/>
        <w:outlineLvl w:val="0"/>
        <w:rPr>
          <w:rFonts w:ascii="Times New Roman" w:hAnsi="Times New Roman"/>
        </w:rPr>
      </w:pPr>
      <w:r>
        <w:rPr>
          <w:rFonts w:hint="eastAsia" w:ascii="Times New Roman" w:hAnsi="Times New Roman"/>
        </w:rPr>
        <w:t>投标人应根据“政采云供应商项目采购－电子交易操作指南”及本采购文件规定的格式和顺序编制电子投标文件并进行关联定位。</w:t>
      </w:r>
    </w:p>
    <w:p w14:paraId="316C575F">
      <w:pPr>
        <w:snapToGrid w:val="0"/>
        <w:spacing w:line="360" w:lineRule="auto"/>
        <w:ind w:right="55" w:firstLine="411" w:firstLineChars="196"/>
        <w:jc w:val="left"/>
        <w:outlineLvl w:val="0"/>
        <w:rPr>
          <w:rFonts w:ascii="宋体"/>
          <w:b/>
          <w:sz w:val="24"/>
        </w:rPr>
      </w:pPr>
      <w:r>
        <w:rPr>
          <w:rFonts w:hint="eastAsia" w:ascii="宋体" w:hAnsi="宋体"/>
        </w:rPr>
        <w:t>（三）</w:t>
      </w:r>
      <w:r>
        <w:rPr>
          <w:rFonts w:hint="eastAsia" w:ascii="宋体" w:hAnsi="宋体"/>
          <w:b/>
        </w:rPr>
        <w:t>投标文件的语言及计量</w:t>
      </w:r>
    </w:p>
    <w:p w14:paraId="774E8228">
      <w:pPr>
        <w:snapToGrid w:val="0"/>
        <w:spacing w:line="360" w:lineRule="auto"/>
        <w:ind w:firstLine="420" w:firstLineChars="200"/>
        <w:jc w:val="left"/>
        <w:rPr>
          <w:rFonts w:ascii="宋体" w:cs="宋体"/>
        </w:rPr>
      </w:pPr>
      <w:r>
        <w:rPr>
          <w:rFonts w:ascii="宋体" w:hAnsi="宋体" w:cs="宋体"/>
        </w:rPr>
        <w:t>1.</w:t>
      </w:r>
      <w:r>
        <w:rPr>
          <w:rFonts w:hint="eastAsia" w:ascii="宋体" w:hAnsi="宋体" w:cs="宋体"/>
        </w:rPr>
        <w:t>投标文件以及投标人与采购人就有关投标事宜的所有来往函电，均应以中文汉语书写。除签名、盖章、专用名称等特殊情形外，以中文汉语以外的文字表述的投标文件视同未提供。</w:t>
      </w:r>
    </w:p>
    <w:p w14:paraId="6371ACDF">
      <w:pPr>
        <w:snapToGrid w:val="0"/>
        <w:spacing w:line="360" w:lineRule="auto"/>
        <w:ind w:firstLine="420" w:firstLineChars="200"/>
        <w:jc w:val="left"/>
        <w:rPr>
          <w:rFonts w:ascii="宋体" w:cs="宋体"/>
        </w:rPr>
      </w:pPr>
      <w:r>
        <w:rPr>
          <w:rFonts w:ascii="宋体" w:hAnsi="宋体" w:cs="宋体"/>
        </w:rPr>
        <w:t>2.</w:t>
      </w:r>
      <w:r>
        <w:rPr>
          <w:rFonts w:hint="eastAsia" w:ascii="宋体" w:hAnsi="宋体" w:cs="宋体"/>
        </w:rPr>
        <w:t>投标计量单位，采购文件已有明确规定的，使用采购文件规定的计量单位；采购文件没有规定的，应采用中华人民共和国法定计量单位（货币单位：人民币元），否则视同未响应。</w:t>
      </w:r>
    </w:p>
    <w:p w14:paraId="640F8588">
      <w:pPr>
        <w:tabs>
          <w:tab w:val="left" w:pos="0"/>
        </w:tabs>
        <w:spacing w:line="360" w:lineRule="auto"/>
        <w:ind w:firstLine="422" w:firstLineChars="200"/>
        <w:rPr>
          <w:rFonts w:ascii="宋体"/>
          <w:b/>
        </w:rPr>
      </w:pPr>
      <w:r>
        <w:rPr>
          <w:rFonts w:hint="eastAsia" w:ascii="宋体" w:hAnsi="宋体"/>
          <w:b/>
        </w:rPr>
        <w:t>（四）响应报价</w:t>
      </w:r>
    </w:p>
    <w:p w14:paraId="0EDA13F7">
      <w:pPr>
        <w:spacing w:before="100" w:beforeAutospacing="1" w:after="100" w:afterAutospacing="1" w:line="360" w:lineRule="auto"/>
        <w:ind w:firstLine="420" w:firstLineChars="200"/>
        <w:jc w:val="left"/>
        <w:rPr>
          <w:rFonts w:ascii="Times New Roman" w:hAnsi="Times New Roman" w:cs="Times New Roman"/>
          <w:bCs/>
          <w:color w:val="000000" w:themeColor="text1"/>
        </w:rPr>
      </w:pPr>
      <w:r>
        <w:rPr>
          <w:rFonts w:hint="eastAsia" w:ascii="Times New Roman" w:hAnsi="Times New Roman" w:cs="Times New Roman"/>
          <w:bCs/>
          <w:color w:val="000000" w:themeColor="text1"/>
        </w:rPr>
        <w:t>1. 投标报价应以人民币报价，投标人报价应是包括为采购人指定服务范围内的全部价格，至少包括：服务的价格（包括人工、材料、设备等）；必要的保险费用和各项税金；代理服务费及与本项目有关的其他一切费用。不论投标结果如何，供应商均应自行承担所有与投标有关的全部费用。</w:t>
      </w:r>
    </w:p>
    <w:p w14:paraId="0EF34018">
      <w:pPr>
        <w:spacing w:before="100" w:beforeAutospacing="1" w:after="100" w:afterAutospacing="1" w:line="360" w:lineRule="auto"/>
        <w:ind w:firstLine="420" w:firstLineChars="200"/>
        <w:jc w:val="left"/>
        <w:rPr>
          <w:rFonts w:ascii="Times New Roman" w:hAnsi="Times New Roman" w:cs="Times New Roman"/>
          <w:bCs/>
          <w:color w:val="000000" w:themeColor="text1"/>
        </w:rPr>
      </w:pPr>
      <w:r>
        <w:rPr>
          <w:rFonts w:hint="eastAsia" w:ascii="Times New Roman" w:hAnsi="Times New Roman" w:cs="Times New Roman"/>
          <w:bCs/>
          <w:color w:val="000000" w:themeColor="text1"/>
        </w:rPr>
        <w:t>2.投标文件针对同一内容只允许有一个报价，有选择的或有条件的报价将不予接受。</w:t>
      </w:r>
    </w:p>
    <w:p w14:paraId="18411F19">
      <w:pPr>
        <w:snapToGrid w:val="0"/>
        <w:spacing w:line="360" w:lineRule="auto"/>
        <w:ind w:firstLine="413" w:firstLineChars="196"/>
        <w:jc w:val="left"/>
        <w:outlineLvl w:val="0"/>
        <w:rPr>
          <w:rFonts w:ascii="宋体"/>
          <w:b/>
        </w:rPr>
      </w:pPr>
      <w:r>
        <w:rPr>
          <w:rFonts w:hint="eastAsia" w:ascii="宋体" w:hAnsi="宋体"/>
          <w:b/>
        </w:rPr>
        <w:t>（五）投标文件的有效期</w:t>
      </w:r>
    </w:p>
    <w:p w14:paraId="516A568A">
      <w:pPr>
        <w:pStyle w:val="9"/>
        <w:numPr>
          <w:ilvl w:val="0"/>
          <w:numId w:val="0"/>
        </w:numPr>
        <w:tabs>
          <w:tab w:val="left" w:pos="454"/>
          <w:tab w:val="left" w:pos="720"/>
          <w:tab w:val="left" w:pos="900"/>
        </w:tabs>
        <w:snapToGrid w:val="0"/>
        <w:spacing w:line="360" w:lineRule="auto"/>
        <w:ind w:right="-506" w:rightChars="-241" w:firstLine="420" w:firstLineChars="200"/>
        <w:rPr>
          <w:rFonts w:ascii="宋体"/>
        </w:rPr>
      </w:pPr>
      <w:r>
        <w:rPr>
          <w:rFonts w:ascii="宋体" w:hAnsi="宋体"/>
        </w:rPr>
        <w:t>1.</w:t>
      </w:r>
      <w:r>
        <w:rPr>
          <w:rFonts w:hint="eastAsia" w:ascii="宋体" w:hAnsi="宋体"/>
        </w:rPr>
        <w:t>自投标截止日起</w:t>
      </w:r>
      <w:r>
        <w:rPr>
          <w:rFonts w:ascii="宋体" w:hAnsi="宋体"/>
          <w:b/>
          <w:u w:val="single"/>
        </w:rPr>
        <w:t xml:space="preserve">90 </w:t>
      </w:r>
      <w:r>
        <w:rPr>
          <w:rFonts w:hint="eastAsia" w:ascii="宋体" w:hAnsi="宋体"/>
          <w:b/>
        </w:rPr>
        <w:t>天</w:t>
      </w:r>
      <w:r>
        <w:rPr>
          <w:rFonts w:hint="eastAsia" w:ascii="宋体" w:hAnsi="宋体"/>
        </w:rPr>
        <w:t>投标文件应保持有效。有效期不足的投标文件将被拒绝。</w:t>
      </w:r>
    </w:p>
    <w:p w14:paraId="4E7D1B01">
      <w:pPr>
        <w:snapToGrid w:val="0"/>
        <w:spacing w:line="360" w:lineRule="auto"/>
        <w:ind w:right="-86" w:rightChars="-41" w:firstLine="420" w:firstLineChars="200"/>
        <w:jc w:val="left"/>
        <w:outlineLvl w:val="0"/>
        <w:rPr>
          <w:rFonts w:ascii="宋体"/>
        </w:rPr>
      </w:pPr>
      <w:r>
        <w:rPr>
          <w:rFonts w:ascii="宋体" w:hAnsi="宋体"/>
        </w:rPr>
        <w:t>2.</w:t>
      </w:r>
      <w:r>
        <w:rPr>
          <w:rFonts w:hint="eastAsia" w:ascii="宋体" w:hAnsi="宋体"/>
        </w:rPr>
        <w:t>在特殊情况下，采购人可与投标人协商延长投标书的有效期，这种要求和答复均以书面形式进行。</w:t>
      </w:r>
    </w:p>
    <w:p w14:paraId="46DAA3E4">
      <w:pPr>
        <w:snapToGrid w:val="0"/>
        <w:spacing w:line="360" w:lineRule="auto"/>
        <w:ind w:right="55" w:firstLine="420" w:firstLineChars="200"/>
        <w:jc w:val="left"/>
        <w:outlineLvl w:val="0"/>
        <w:rPr>
          <w:rFonts w:ascii="宋体"/>
        </w:rPr>
      </w:pPr>
      <w:r>
        <w:rPr>
          <w:rFonts w:ascii="宋体" w:hAnsi="宋体"/>
        </w:rPr>
        <w:t>3.</w:t>
      </w:r>
      <w:r>
        <w:rPr>
          <w:rFonts w:hint="eastAsia" w:ascii="宋体" w:hAnsi="宋体"/>
        </w:rPr>
        <w:t>中标人的投标文件自开标之日起至合同履行完毕止均应保持有效。</w:t>
      </w:r>
    </w:p>
    <w:p w14:paraId="300716D1">
      <w:pPr>
        <w:snapToGrid w:val="0"/>
        <w:spacing w:line="360" w:lineRule="auto"/>
        <w:ind w:firstLine="413" w:firstLineChars="196"/>
        <w:jc w:val="left"/>
        <w:rPr>
          <w:rFonts w:ascii="宋体"/>
          <w:b/>
        </w:rPr>
      </w:pPr>
      <w:r>
        <w:rPr>
          <w:rFonts w:hint="eastAsia" w:ascii="宋体" w:hAnsi="宋体"/>
          <w:b/>
        </w:rPr>
        <w:t>（六）投标文件的包装、递交、修改和撤回</w:t>
      </w:r>
    </w:p>
    <w:p w14:paraId="5B5313D3">
      <w:pPr>
        <w:snapToGrid w:val="0"/>
        <w:spacing w:line="360" w:lineRule="auto"/>
        <w:ind w:right="-86" w:rightChars="-41" w:firstLine="420" w:firstLineChars="200"/>
        <w:jc w:val="left"/>
        <w:rPr>
          <w:rFonts w:ascii="宋体"/>
        </w:rPr>
      </w:pPr>
      <w:r>
        <w:rPr>
          <w:rFonts w:ascii="宋体" w:hAnsi="宋体"/>
        </w:rPr>
        <w:t>1</w:t>
      </w:r>
      <w:r>
        <w:rPr>
          <w:rFonts w:hint="eastAsia" w:ascii="宋体" w:hAnsi="宋体"/>
        </w:rPr>
        <w:t>、投标人应当在截止时间前完成电子版响应文件的传输递交，并可以补充、修改或者撤回响应文件。补充或者修改响应文件的，应当先行撤回原文件，补充、修改后重新传输递交。投标截止时间前未完成传输的，视为撤回响应文件。响应截止时间后送达的响应文件，将被政采云平台拒收。</w:t>
      </w:r>
    </w:p>
    <w:p w14:paraId="2B01ADE0">
      <w:pPr>
        <w:snapToGrid w:val="0"/>
        <w:spacing w:line="360" w:lineRule="auto"/>
        <w:ind w:right="-86" w:rightChars="-41" w:firstLine="420" w:firstLineChars="200"/>
        <w:jc w:val="left"/>
        <w:rPr>
          <w:rFonts w:ascii="宋体"/>
        </w:rPr>
      </w:pPr>
      <w:r>
        <w:rPr>
          <w:rFonts w:ascii="宋体" w:hAnsi="宋体"/>
        </w:rPr>
        <w:t>2</w:t>
      </w:r>
      <w:r>
        <w:rPr>
          <w:rFonts w:hint="eastAsia" w:ascii="宋体" w:hAnsi="宋体"/>
        </w:rPr>
        <w:t>、投标人除按规定时间在政采云系统中上传经加密的电子投标文件外，同时还可按采购文件要求邮寄到指定地点。</w:t>
      </w:r>
    </w:p>
    <w:p w14:paraId="079564B7">
      <w:pPr>
        <w:snapToGrid w:val="0"/>
        <w:spacing w:line="360" w:lineRule="auto"/>
        <w:ind w:right="-86" w:rightChars="-41" w:firstLine="420" w:firstLineChars="200"/>
        <w:jc w:val="left"/>
        <w:rPr>
          <w:rFonts w:ascii="宋体"/>
        </w:rPr>
      </w:pPr>
      <w:r>
        <w:rPr>
          <w:rFonts w:ascii="宋体" w:hAnsi="宋体"/>
        </w:rPr>
        <w:t>3</w:t>
      </w:r>
      <w:r>
        <w:rPr>
          <w:rFonts w:hint="eastAsia" w:ascii="宋体" w:hAnsi="宋体"/>
        </w:rPr>
        <w:t>、响应文件未按时解密，投标人提供了备份响应文件的，以备份响应文件作为依据，否则视为响应文件撤回。响应文件已按时解密的，备份响应文件自动失效。</w:t>
      </w:r>
    </w:p>
    <w:p w14:paraId="39B4DEE1">
      <w:pPr>
        <w:snapToGrid w:val="0"/>
        <w:spacing w:line="360" w:lineRule="auto"/>
        <w:ind w:firstLine="420" w:firstLineChars="200"/>
        <w:outlineLvl w:val="2"/>
        <w:rPr>
          <w:rFonts w:ascii="宋体"/>
        </w:rPr>
      </w:pPr>
      <w:r>
        <w:rPr>
          <w:rFonts w:ascii="宋体" w:hAnsi="宋体"/>
        </w:rPr>
        <w:t>4</w:t>
      </w:r>
      <w:r>
        <w:rPr>
          <w:rFonts w:hint="eastAsia" w:ascii="宋体" w:hAnsi="宋体"/>
        </w:rPr>
        <w:t>、备份投标文件须密封封装。包装封面上应注明投标人名称，封口处加盖投标人公章。</w:t>
      </w:r>
    </w:p>
    <w:p w14:paraId="5AD39BD1">
      <w:pPr>
        <w:spacing w:line="360" w:lineRule="auto"/>
        <w:ind w:firstLine="420"/>
        <w:rPr>
          <w:rFonts w:ascii="宋体"/>
        </w:rPr>
      </w:pPr>
      <w:r>
        <w:rPr>
          <w:rFonts w:hint="eastAsia" w:ascii="宋体" w:hAnsi="宋体"/>
          <w:b/>
        </w:rPr>
        <w:t>（七）投标无效的情形</w:t>
      </w:r>
    </w:p>
    <w:p w14:paraId="0F2188F8">
      <w:pPr>
        <w:pStyle w:val="57"/>
        <w:snapToGrid w:val="0"/>
        <w:spacing w:beforeLines="0" w:afterLines="0" w:line="360" w:lineRule="auto"/>
        <w:ind w:right="-86" w:rightChars="-41" w:firstLine="415" w:firstLineChars="198"/>
        <w:rPr>
          <w:rFonts w:hAnsi="宋体" w:eastAsia="宋体"/>
          <w:sz w:val="21"/>
          <w:szCs w:val="21"/>
        </w:rPr>
      </w:pPr>
      <w:r>
        <w:rPr>
          <w:rFonts w:hint="eastAsia" w:hAnsi="宋体" w:eastAsia="宋体"/>
          <w:sz w:val="21"/>
          <w:szCs w:val="21"/>
        </w:rPr>
        <w:t>实质上没有响应采购文件要求的投标将被视为无效投标。投标人不得通过修正或撤销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在不影响公平竞争的前提下，采购文件中参与同一标段（包）的供应商存在以下情形的，其投标文件相应无效：MAC地址相同、计算机硬盘序列号相同、采购文件细节错误一致且无合理解释的等情形。投标人修改、补正投标文件后，不影响评标委员会对其投标文件所作的评价和评分结果。</w:t>
      </w:r>
    </w:p>
    <w:p w14:paraId="197F7705">
      <w:pPr>
        <w:pStyle w:val="57"/>
        <w:numPr>
          <w:ilvl w:val="0"/>
          <w:numId w:val="8"/>
        </w:numPr>
        <w:snapToGrid w:val="0"/>
        <w:spacing w:beforeLines="0" w:afterLines="0" w:line="360" w:lineRule="auto"/>
        <w:ind w:left="840" w:leftChars="400" w:firstLine="417" w:firstLineChars="198"/>
        <w:rPr>
          <w:rFonts w:hAnsi="宋体" w:eastAsia="宋体"/>
          <w:b/>
          <w:bCs/>
          <w:sz w:val="21"/>
          <w:szCs w:val="21"/>
        </w:rPr>
      </w:pPr>
      <w:r>
        <w:rPr>
          <w:rFonts w:hint="eastAsia" w:hAnsi="宋体" w:eastAsia="宋体"/>
          <w:b/>
          <w:bCs/>
          <w:sz w:val="21"/>
          <w:szCs w:val="21"/>
        </w:rPr>
        <w:t>符合性审查</w:t>
      </w:r>
    </w:p>
    <w:p w14:paraId="0401CF1F">
      <w:pPr>
        <w:pStyle w:val="57"/>
        <w:snapToGrid w:val="0"/>
        <w:spacing w:beforeLines="0" w:afterLines="0" w:line="360" w:lineRule="auto"/>
        <w:ind w:firstLine="422" w:firstLineChars="200"/>
        <w:rPr>
          <w:rFonts w:hAnsi="宋体" w:eastAsia="宋体"/>
          <w:b/>
          <w:color w:val="FF0000"/>
          <w:sz w:val="21"/>
          <w:szCs w:val="21"/>
        </w:rPr>
      </w:pPr>
      <w:r>
        <w:rPr>
          <w:rFonts w:hint="eastAsia" w:hAnsi="宋体" w:eastAsia="宋体" w:cs="Calibri"/>
          <w:b/>
          <w:color w:val="FF0000"/>
          <w:sz w:val="21"/>
          <w:szCs w:val="21"/>
        </w:rPr>
        <w:t>1.1商务评审时，如发现下列情形之一的，投标文件将被视为无效投标：</w:t>
      </w:r>
    </w:p>
    <w:p w14:paraId="35F5F43F">
      <w:pPr>
        <w:pStyle w:val="15"/>
        <w:spacing w:line="360" w:lineRule="auto"/>
        <w:ind w:firstLine="415" w:firstLineChars="198"/>
        <w:rPr>
          <w:rFonts w:hAnsi="宋体"/>
          <w:bCs/>
          <w:sz w:val="21"/>
          <w:szCs w:val="21"/>
        </w:rPr>
      </w:pPr>
      <w:r>
        <w:rPr>
          <w:rFonts w:hint="eastAsia" w:hAnsi="宋体"/>
          <w:bCs/>
          <w:sz w:val="21"/>
          <w:szCs w:val="21"/>
        </w:rPr>
        <w:t>1.1.1投标响应文件未按采购文件要求签字、盖章的；</w:t>
      </w:r>
    </w:p>
    <w:p w14:paraId="12DF2445">
      <w:pPr>
        <w:pStyle w:val="15"/>
        <w:spacing w:line="360" w:lineRule="auto"/>
        <w:ind w:firstLine="415" w:firstLineChars="198"/>
        <w:rPr>
          <w:rFonts w:hAnsi="宋体"/>
          <w:bCs/>
          <w:sz w:val="21"/>
          <w:szCs w:val="21"/>
        </w:rPr>
      </w:pPr>
      <w:r>
        <w:rPr>
          <w:rFonts w:hint="eastAsia" w:hAnsi="宋体"/>
          <w:bCs/>
          <w:sz w:val="21"/>
          <w:szCs w:val="21"/>
        </w:rPr>
        <w:t>1.1.2投标文件组成内容不齐全的；</w:t>
      </w:r>
    </w:p>
    <w:p w14:paraId="478B4B9D">
      <w:pPr>
        <w:pStyle w:val="15"/>
        <w:spacing w:line="360" w:lineRule="auto"/>
        <w:ind w:firstLine="415" w:firstLineChars="198"/>
        <w:rPr>
          <w:rFonts w:hAnsi="宋体"/>
          <w:bCs/>
          <w:sz w:val="21"/>
          <w:szCs w:val="21"/>
        </w:rPr>
      </w:pPr>
      <w:r>
        <w:rPr>
          <w:rFonts w:hint="eastAsia" w:hAnsi="宋体"/>
          <w:bCs/>
          <w:sz w:val="21"/>
          <w:szCs w:val="21"/>
        </w:rPr>
        <w:t>1.1.3投标响应文件的实质性内容未使用中文表述、意思表述不明确、前后矛盾或者使用计量单位不符合采购文件要求的；（经评审小组认定并符合本采购文件规定的情形除外）</w:t>
      </w:r>
    </w:p>
    <w:p w14:paraId="2520AF57">
      <w:pPr>
        <w:pStyle w:val="15"/>
        <w:spacing w:line="360" w:lineRule="auto"/>
        <w:ind w:firstLine="415" w:firstLineChars="198"/>
        <w:rPr>
          <w:rFonts w:hAnsi="宋体"/>
          <w:bCs/>
          <w:sz w:val="21"/>
          <w:szCs w:val="21"/>
        </w:rPr>
      </w:pPr>
      <w:r>
        <w:rPr>
          <w:rFonts w:hint="eastAsia" w:hAnsi="宋体"/>
          <w:bCs/>
          <w:sz w:val="21"/>
          <w:szCs w:val="21"/>
        </w:rPr>
        <w:t>1.1.4投标响应文件的关键内容字迹模糊、无法辨认的，或者投标响应文件中经修正的内容字迹模糊难以辨认或者修改处未按规定签名盖章的；</w:t>
      </w:r>
    </w:p>
    <w:p w14:paraId="07D480EC">
      <w:pPr>
        <w:pStyle w:val="15"/>
        <w:spacing w:line="360" w:lineRule="auto"/>
        <w:ind w:firstLine="415" w:firstLineChars="198"/>
        <w:rPr>
          <w:rFonts w:hAnsi="宋体"/>
          <w:bCs/>
          <w:sz w:val="21"/>
          <w:szCs w:val="21"/>
        </w:rPr>
      </w:pPr>
      <w:r>
        <w:rPr>
          <w:rFonts w:hint="eastAsia" w:hAnsi="宋体"/>
          <w:bCs/>
          <w:sz w:val="21"/>
          <w:szCs w:val="21"/>
        </w:rPr>
        <w:t>1.1.5服务期、投标有效期等商务条款不能满足采购文件要求的；</w:t>
      </w:r>
    </w:p>
    <w:p w14:paraId="12CB12D5">
      <w:pPr>
        <w:pStyle w:val="15"/>
        <w:spacing w:line="360" w:lineRule="auto"/>
        <w:ind w:firstLine="415" w:firstLineChars="198"/>
        <w:rPr>
          <w:rFonts w:hAnsi="宋体"/>
          <w:bCs/>
          <w:sz w:val="21"/>
          <w:szCs w:val="21"/>
        </w:rPr>
      </w:pPr>
      <w:r>
        <w:rPr>
          <w:rFonts w:hint="eastAsia" w:hAnsi="宋体"/>
          <w:bCs/>
          <w:sz w:val="21"/>
          <w:szCs w:val="21"/>
        </w:rPr>
        <w:t>1.1.6在资格、商务技术部分中出现投投标报价信息的；</w:t>
      </w:r>
    </w:p>
    <w:p w14:paraId="6D24FA7A">
      <w:pPr>
        <w:pStyle w:val="15"/>
        <w:spacing w:line="360" w:lineRule="auto"/>
        <w:ind w:firstLine="415" w:firstLineChars="198"/>
        <w:rPr>
          <w:rFonts w:hAnsi="宋体"/>
          <w:bCs/>
          <w:sz w:val="21"/>
          <w:szCs w:val="21"/>
        </w:rPr>
      </w:pPr>
      <w:r>
        <w:rPr>
          <w:rFonts w:hint="eastAsia" w:hAnsi="宋体"/>
          <w:bCs/>
          <w:sz w:val="21"/>
          <w:szCs w:val="21"/>
        </w:rPr>
        <w:t>1.1.7不响应采购文件实质性要求或者投标响应文件有</w:t>
      </w:r>
      <w:r>
        <w:rPr>
          <w:rFonts w:hint="eastAsia" w:hAnsi="宋体"/>
          <w:bCs/>
          <w:sz w:val="21"/>
          <w:szCs w:val="21"/>
          <w:lang w:eastAsia="zh-CN"/>
        </w:rPr>
        <w:t>采购人</w:t>
      </w:r>
      <w:r>
        <w:rPr>
          <w:rFonts w:hint="eastAsia" w:hAnsi="宋体"/>
          <w:bCs/>
          <w:sz w:val="21"/>
          <w:szCs w:val="21"/>
        </w:rPr>
        <w:t>不能接受的附加条件的；</w:t>
      </w:r>
    </w:p>
    <w:p w14:paraId="4F7F3AA7">
      <w:pPr>
        <w:pStyle w:val="15"/>
        <w:spacing w:line="360" w:lineRule="auto"/>
        <w:ind w:firstLine="415" w:firstLineChars="198"/>
        <w:rPr>
          <w:rFonts w:hAnsi="宋体"/>
          <w:bCs/>
          <w:sz w:val="21"/>
          <w:szCs w:val="21"/>
        </w:rPr>
      </w:pPr>
      <w:r>
        <w:rPr>
          <w:rFonts w:hint="eastAsia" w:hAnsi="宋体"/>
          <w:bCs/>
          <w:sz w:val="21"/>
          <w:szCs w:val="21"/>
        </w:rPr>
        <w:t>1.1.8投标文件没有按采购文件要求响应有标“▲”的条款的资料和材料的；</w:t>
      </w:r>
    </w:p>
    <w:p w14:paraId="613F62F7">
      <w:pPr>
        <w:ind w:firstLine="420" w:firstLineChars="200"/>
        <w:rPr>
          <w:rFonts w:ascii="宋体" w:hAnsi="宋体" w:cs="宋体"/>
          <w:bCs/>
        </w:rPr>
      </w:pPr>
      <w:r>
        <w:rPr>
          <w:rFonts w:hint="eastAsia" w:ascii="宋体" w:hAnsi="宋体" w:cs="宋体"/>
          <w:bCs/>
        </w:rPr>
        <w:t>1.1.9</w:t>
      </w:r>
      <w:r>
        <w:rPr>
          <w:rFonts w:hint="eastAsia" w:hAnsi="宋体" w:cs="宋体"/>
          <w:bCs/>
        </w:rPr>
        <w:t>发生采购文件规定的其他无效响应条款的。</w:t>
      </w:r>
    </w:p>
    <w:p w14:paraId="0EF0345E">
      <w:pPr>
        <w:spacing w:line="360" w:lineRule="auto"/>
        <w:ind w:firstLine="420"/>
        <w:rPr>
          <w:rFonts w:ascii="宋体"/>
          <w:b/>
          <w:color w:val="FF0000"/>
        </w:rPr>
      </w:pPr>
      <w:r>
        <w:rPr>
          <w:rFonts w:hint="eastAsia" w:ascii="宋体" w:hAnsi="宋体"/>
          <w:b/>
          <w:color w:val="FF0000"/>
        </w:rPr>
        <w:t>1.</w:t>
      </w:r>
      <w:r>
        <w:rPr>
          <w:rFonts w:ascii="宋体" w:hAnsi="宋体"/>
          <w:b/>
          <w:color w:val="FF0000"/>
        </w:rPr>
        <w:t>2</w:t>
      </w:r>
      <w:r>
        <w:rPr>
          <w:rFonts w:hint="eastAsia" w:ascii="宋体" w:hAnsi="宋体"/>
          <w:b/>
          <w:color w:val="FF0000"/>
        </w:rPr>
        <w:t>、在技术评审时，如发现下列情形之一的，</w:t>
      </w:r>
      <w:r>
        <w:rPr>
          <w:rFonts w:hint="eastAsia" w:ascii="宋体" w:hAnsi="宋体"/>
          <w:b/>
          <w:bCs/>
          <w:color w:val="FF0000"/>
        </w:rPr>
        <w:t>投标文件将被视为无效响应：</w:t>
      </w:r>
    </w:p>
    <w:p w14:paraId="05A79305">
      <w:pPr>
        <w:spacing w:line="360" w:lineRule="auto"/>
        <w:ind w:firstLine="420"/>
        <w:rPr>
          <w:rFonts w:ascii="宋体"/>
        </w:rPr>
      </w:pPr>
      <w:r>
        <w:rPr>
          <w:rFonts w:hint="eastAsia" w:ascii="宋体" w:hAnsi="宋体"/>
        </w:rPr>
        <w:t>1.</w:t>
      </w:r>
      <w:r>
        <w:rPr>
          <w:rFonts w:ascii="宋体" w:hAnsi="宋体"/>
        </w:rPr>
        <w:t>2.1</w:t>
      </w:r>
      <w:r>
        <w:rPr>
          <w:rFonts w:hint="eastAsia" w:hAnsi="宋体" w:cs="宋体"/>
        </w:rPr>
        <w:t>投标文件标明的响应或偏离与事实不符或虚假投标的</w:t>
      </w:r>
      <w:r>
        <w:rPr>
          <w:rFonts w:hint="eastAsia" w:ascii="宋体" w:hAnsi="宋体"/>
        </w:rPr>
        <w:t>；</w:t>
      </w:r>
    </w:p>
    <w:p w14:paraId="279C1851">
      <w:pPr>
        <w:spacing w:line="360" w:lineRule="auto"/>
        <w:ind w:firstLine="420" w:firstLineChars="200"/>
        <w:rPr>
          <w:rFonts w:ascii="宋体"/>
        </w:rPr>
      </w:pPr>
      <w:r>
        <w:rPr>
          <w:rFonts w:hint="eastAsia" w:ascii="宋体" w:hAnsi="宋体"/>
          <w:bCs/>
        </w:rPr>
        <w:t>1.</w:t>
      </w:r>
      <w:r>
        <w:rPr>
          <w:rFonts w:ascii="宋体" w:hAnsi="宋体"/>
          <w:bCs/>
        </w:rPr>
        <w:t>2.2</w:t>
      </w:r>
      <w:r>
        <w:rPr>
          <w:rFonts w:hint="eastAsia" w:ascii="宋体" w:hAnsi="宋体"/>
          <w:bCs/>
        </w:rPr>
        <w:t>明显不符合采购文件标明的质量标准，或者采购文件中标“</w:t>
      </w:r>
      <w:r>
        <w:rPr>
          <w:rFonts w:hint="eastAsia" w:ascii="宋体" w:hAnsi="宋体"/>
          <w:b/>
        </w:rPr>
        <w:t>▲</w:t>
      </w:r>
      <w:r>
        <w:rPr>
          <w:rFonts w:hint="eastAsia" w:ascii="宋体" w:hAnsi="宋体"/>
          <w:bCs/>
        </w:rPr>
        <w:t>”的技术参数、条款（如有）发生实质性偏离的；</w:t>
      </w:r>
    </w:p>
    <w:p w14:paraId="5189B5F0">
      <w:pPr>
        <w:spacing w:line="360" w:lineRule="auto"/>
        <w:ind w:firstLine="420"/>
        <w:rPr>
          <w:rFonts w:ascii="宋体" w:hAnsi="宋体"/>
        </w:rPr>
      </w:pPr>
      <w:r>
        <w:rPr>
          <w:rFonts w:hint="eastAsia" w:ascii="宋体" w:hAnsi="宋体"/>
        </w:rPr>
        <w:t>1.</w:t>
      </w:r>
      <w:r>
        <w:rPr>
          <w:rFonts w:ascii="宋体" w:hAnsi="宋体"/>
        </w:rPr>
        <w:t>2.3</w:t>
      </w:r>
      <w:r>
        <w:rPr>
          <w:rFonts w:hint="eastAsia" w:ascii="宋体" w:hAnsi="宋体"/>
        </w:rPr>
        <w:t>投标技术方案不明确，存在一个或一个以上备选（替代）投标方案的；</w:t>
      </w:r>
    </w:p>
    <w:p w14:paraId="1F404E4B">
      <w:pPr>
        <w:spacing w:line="360" w:lineRule="auto"/>
        <w:ind w:firstLine="420"/>
        <w:rPr>
          <w:rFonts w:ascii="宋体"/>
          <w:b/>
          <w:bCs/>
          <w:color w:val="FF0000"/>
        </w:rPr>
      </w:pPr>
      <w:r>
        <w:rPr>
          <w:rFonts w:hint="eastAsia" w:ascii="宋体" w:hAnsi="宋体"/>
          <w:b/>
          <w:bCs/>
          <w:color w:val="FF0000"/>
        </w:rPr>
        <w:t>1.3、在投标报价文件评审时，如发现下列情形之一的，投标文件将被视为无效响应：</w:t>
      </w:r>
    </w:p>
    <w:p w14:paraId="49228A89">
      <w:pPr>
        <w:spacing w:line="360" w:lineRule="auto"/>
        <w:ind w:firstLine="420" w:firstLineChars="200"/>
        <w:rPr>
          <w:rFonts w:hAnsi="宋体" w:cs="宋体"/>
          <w:bCs/>
        </w:rPr>
      </w:pPr>
      <w:r>
        <w:rPr>
          <w:rFonts w:hint="eastAsia" w:ascii="宋体" w:hAnsi="宋体"/>
          <w:bCs/>
        </w:rPr>
        <w:t>1.3.1</w:t>
      </w:r>
      <w:r>
        <w:rPr>
          <w:rFonts w:hint="eastAsia" w:hAnsi="宋体" w:cs="宋体"/>
          <w:bCs/>
        </w:rPr>
        <w:t>未按采购文件要求签字、盖章的；</w:t>
      </w:r>
    </w:p>
    <w:p w14:paraId="1921C57E">
      <w:pPr>
        <w:pStyle w:val="15"/>
        <w:spacing w:line="360" w:lineRule="auto"/>
        <w:ind w:firstLine="415" w:firstLineChars="198"/>
      </w:pPr>
      <w:r>
        <w:rPr>
          <w:rFonts w:hint="eastAsia" w:hAnsi="宋体"/>
          <w:bCs/>
          <w:sz w:val="21"/>
          <w:szCs w:val="21"/>
        </w:rPr>
        <w:t>1.3.2没有按采购文件要求响应有标“▲”的条款的资料和材料的。</w:t>
      </w:r>
    </w:p>
    <w:p w14:paraId="00E2BA58">
      <w:pPr>
        <w:spacing w:line="360" w:lineRule="auto"/>
        <w:ind w:firstLine="420" w:firstLineChars="200"/>
        <w:rPr>
          <w:rFonts w:ascii="宋体" w:hAnsi="宋体"/>
          <w:bCs/>
        </w:rPr>
      </w:pPr>
      <w:r>
        <w:rPr>
          <w:rFonts w:hint="eastAsia" w:ascii="宋体" w:hAnsi="宋体"/>
          <w:bCs/>
        </w:rPr>
        <w:t>1.3.3未采用人民币报价或者未按照采购文件标明的币种报价的；</w:t>
      </w:r>
    </w:p>
    <w:p w14:paraId="24ABFA16">
      <w:pPr>
        <w:spacing w:line="360" w:lineRule="auto"/>
        <w:ind w:firstLine="420" w:firstLineChars="200"/>
        <w:rPr>
          <w:rFonts w:ascii="宋体" w:hAnsi="宋体"/>
          <w:bCs/>
        </w:rPr>
      </w:pPr>
      <w:r>
        <w:rPr>
          <w:rFonts w:hint="eastAsia" w:ascii="宋体" w:hAnsi="宋体"/>
          <w:bCs/>
        </w:rPr>
        <w:t>1.3.4报价超出最高限价，或者超出采购预算金额，采购人不能支付的；投标人的投标报价出现明显低于其他符合性通过投标人的报价，且不能提供其报价合理性的证明。</w:t>
      </w:r>
    </w:p>
    <w:p w14:paraId="1E1C94A1">
      <w:pPr>
        <w:spacing w:line="360" w:lineRule="auto"/>
        <w:ind w:firstLine="420" w:firstLineChars="200"/>
        <w:rPr>
          <w:rFonts w:hAnsi="宋体" w:cs="宋体"/>
        </w:rPr>
      </w:pPr>
      <w:r>
        <w:rPr>
          <w:rFonts w:hint="eastAsia" w:ascii="宋体" w:hAnsi="宋体"/>
          <w:bCs/>
        </w:rPr>
        <w:t>1.3.5投标报价具</w:t>
      </w:r>
      <w:r>
        <w:rPr>
          <w:rFonts w:hint="eastAsia" w:hAnsi="宋体" w:cs="宋体"/>
        </w:rPr>
        <w:t>有选择性，或者开标价格与投标文件承诺的优惠（折扣）价格不一致的；</w:t>
      </w:r>
    </w:p>
    <w:p w14:paraId="44AF70FE">
      <w:pPr>
        <w:spacing w:line="360" w:lineRule="auto"/>
        <w:ind w:firstLine="420"/>
        <w:rPr>
          <w:rFonts w:hAnsi="宋体" w:cs="宋体"/>
          <w:color w:val="FF0000"/>
        </w:rPr>
      </w:pPr>
      <w:r>
        <w:rPr>
          <w:rFonts w:hint="eastAsia" w:hAnsi="宋体" w:cs="宋体"/>
          <w:color w:val="FF0000"/>
        </w:rPr>
        <w:t>2、</w:t>
      </w:r>
      <w:r>
        <w:rPr>
          <w:rFonts w:hint="eastAsia" w:ascii="宋体" w:hAnsi="宋体"/>
          <w:b/>
          <w:bCs/>
          <w:color w:val="FF0000"/>
        </w:rPr>
        <w:t>以下情形视为未提交有效投标文件被视为无效响应：</w:t>
      </w:r>
    </w:p>
    <w:p w14:paraId="22D752B1">
      <w:pPr>
        <w:spacing w:line="360" w:lineRule="auto"/>
        <w:ind w:firstLine="420"/>
        <w:rPr>
          <w:rFonts w:hAnsi="宋体" w:cs="宋体"/>
        </w:rPr>
      </w:pPr>
      <w:r>
        <w:rPr>
          <w:rFonts w:hint="eastAsia" w:hAnsi="宋体" w:cs="宋体"/>
        </w:rPr>
        <w:t>2.1仅提交备份投标文件的；</w:t>
      </w:r>
    </w:p>
    <w:p w14:paraId="667AA6B7">
      <w:pPr>
        <w:spacing w:line="360" w:lineRule="auto"/>
        <w:ind w:firstLine="420"/>
        <w:rPr>
          <w:rFonts w:hAnsi="宋体" w:cs="宋体"/>
        </w:rPr>
      </w:pPr>
      <w:r>
        <w:rPr>
          <w:rFonts w:hint="eastAsia" w:hAnsi="宋体" w:cs="宋体"/>
        </w:rPr>
        <w:t>2.2投标人未按时解密，且提交备份投标文件无效的；</w:t>
      </w:r>
    </w:p>
    <w:p w14:paraId="0E3A923C">
      <w:pPr>
        <w:spacing w:line="360" w:lineRule="auto"/>
        <w:ind w:firstLine="420"/>
        <w:rPr>
          <w:rFonts w:hAnsi="宋体" w:cs="宋体"/>
        </w:rPr>
      </w:pPr>
      <w:r>
        <w:rPr>
          <w:rFonts w:hint="eastAsia" w:hAnsi="宋体" w:cs="宋体"/>
        </w:rPr>
        <w:t>2.3投标人未按时解密，且提交的备份投标文件不明确，存在一个或一个以上备选（替代）备份投标文件。</w:t>
      </w:r>
    </w:p>
    <w:p w14:paraId="4CEC3958">
      <w:pPr>
        <w:spacing w:line="360" w:lineRule="auto"/>
        <w:ind w:firstLine="420"/>
        <w:rPr>
          <w:rFonts w:ascii="宋体" w:hAnsi="宋体"/>
          <w:b/>
          <w:bCs/>
          <w:color w:val="FF0000"/>
        </w:rPr>
      </w:pPr>
      <w:r>
        <w:rPr>
          <w:rFonts w:hint="eastAsia" w:ascii="宋体" w:hAnsi="宋体"/>
          <w:b/>
          <w:bCs/>
          <w:color w:val="FF0000"/>
        </w:rPr>
        <w:t>3、除政府采购法律法规规章规定的属于恶意串通、视为串通投标情形外，在不影响公平竞争的前提下，采购文件中参与同一标段(包)的供应商存在以下情形之一且无法合理解释的，其投标（响应）文件无效：</w:t>
      </w:r>
    </w:p>
    <w:p w14:paraId="264379C1">
      <w:pPr>
        <w:spacing w:line="360" w:lineRule="auto"/>
        <w:ind w:firstLine="420"/>
        <w:rPr>
          <w:rFonts w:hAnsi="宋体" w:cs="宋体"/>
          <w:highlight w:val="yellow"/>
        </w:rPr>
      </w:pPr>
      <w:r>
        <w:rPr>
          <w:rFonts w:hint="eastAsia" w:hAnsi="宋体" w:cs="宋体"/>
          <w:highlight w:val="yellow"/>
        </w:rPr>
        <w:t>3.1不同投标人的电子投标（响应）文件上传计算机的网卡MAC地址或硬盘序列号等硬件信息相同的；</w:t>
      </w:r>
    </w:p>
    <w:p w14:paraId="69F1F07D">
      <w:pPr>
        <w:spacing w:line="360" w:lineRule="auto"/>
        <w:ind w:firstLine="420"/>
        <w:rPr>
          <w:rFonts w:hAnsi="宋体" w:cs="宋体"/>
          <w:highlight w:val="yellow"/>
        </w:rPr>
      </w:pPr>
      <w:r>
        <w:rPr>
          <w:rFonts w:hint="eastAsia" w:hAnsi="宋体" w:cs="宋体"/>
          <w:highlight w:val="yellow"/>
        </w:rPr>
        <w:t>3.2.上传的电子投标（响应）文件若出现使用本项目其他投标（响应）投标人的数字证书加密的，或者加盖本项目其他投标（响应）投标人的电子印章的；</w:t>
      </w:r>
    </w:p>
    <w:p w14:paraId="7323B107">
      <w:pPr>
        <w:spacing w:line="360" w:lineRule="auto"/>
        <w:ind w:firstLine="420"/>
        <w:rPr>
          <w:rFonts w:hAnsi="宋体" w:cs="宋体"/>
          <w:highlight w:val="yellow"/>
        </w:rPr>
      </w:pPr>
      <w:r>
        <w:rPr>
          <w:rFonts w:hint="eastAsia" w:hAnsi="宋体" w:cs="宋体"/>
          <w:highlight w:val="yellow"/>
        </w:rPr>
        <w:t>3.3不同投标人的投标（响应）文件的内容存在3处（含）以上错误一致的；</w:t>
      </w:r>
    </w:p>
    <w:p w14:paraId="0CBB467B">
      <w:pPr>
        <w:spacing w:line="360" w:lineRule="auto"/>
        <w:ind w:firstLine="420"/>
        <w:rPr>
          <w:rFonts w:hAnsi="宋体" w:cs="宋体"/>
        </w:rPr>
      </w:pPr>
      <w:r>
        <w:rPr>
          <w:rFonts w:hint="eastAsia" w:hAnsi="宋体" w:cs="宋体"/>
          <w:highlight w:val="yellow"/>
        </w:rPr>
        <w:t>3.4不同投标人联系人为同一人或不同联系人的联系电话一致的。</w:t>
      </w:r>
    </w:p>
    <w:p w14:paraId="44449E20">
      <w:pPr>
        <w:spacing w:line="360" w:lineRule="auto"/>
        <w:ind w:firstLine="420"/>
        <w:rPr>
          <w:rFonts w:hAnsi="宋体" w:cs="宋体"/>
          <w:highlight w:val="yellow"/>
        </w:rPr>
      </w:pPr>
      <w:r>
        <w:rPr>
          <w:rFonts w:hint="eastAsia" w:hAnsi="宋体" w:cs="宋体"/>
        </w:rPr>
        <w:t>4、法律法规和采购文件规定的其他无效情形。</w:t>
      </w:r>
    </w:p>
    <w:p w14:paraId="5AE4A757">
      <w:pPr>
        <w:pStyle w:val="66"/>
        <w:snapToGrid w:val="0"/>
        <w:spacing w:line="360" w:lineRule="auto"/>
        <w:ind w:right="-86" w:rightChars="-41" w:firstLine="441" w:firstLineChars="209"/>
        <w:rPr>
          <w:rFonts w:hAnsi="宋体"/>
        </w:rPr>
      </w:pPr>
      <w:r>
        <w:rPr>
          <w:rFonts w:hint="eastAsia" w:ascii="宋体" w:hAnsi="宋体"/>
          <w:b/>
        </w:rPr>
        <w:t>（八）</w:t>
      </w:r>
      <w:r>
        <w:rPr>
          <w:rFonts w:hint="eastAsia" w:hAnsi="宋体"/>
          <w:b/>
        </w:rPr>
        <w:t>出现以下情形，导致电子交易平台无法正常运行，或者无法保证电子交易的公平、公正和安全时，中止电子交易活动：</w:t>
      </w:r>
    </w:p>
    <w:p w14:paraId="5E29730C">
      <w:pPr>
        <w:pStyle w:val="66"/>
        <w:snapToGrid w:val="0"/>
        <w:spacing w:line="360" w:lineRule="auto"/>
        <w:ind w:right="-86" w:rightChars="-41" w:firstLine="438" w:firstLineChars="209"/>
        <w:rPr>
          <w:rFonts w:hAnsi="宋体"/>
        </w:rPr>
      </w:pPr>
      <w:r>
        <w:rPr>
          <w:rFonts w:hint="eastAsia" w:hAnsi="宋体"/>
        </w:rPr>
        <w:t>（</w:t>
      </w:r>
      <w:r>
        <w:rPr>
          <w:rFonts w:hAnsi="宋体"/>
        </w:rPr>
        <w:t>1</w:t>
      </w:r>
      <w:r>
        <w:rPr>
          <w:rFonts w:hint="eastAsia" w:hAnsi="宋体"/>
        </w:rPr>
        <w:t>）电子交易平台发生故障而无法登录访问的；</w:t>
      </w:r>
    </w:p>
    <w:p w14:paraId="2580C6EB">
      <w:pPr>
        <w:pStyle w:val="66"/>
        <w:snapToGrid w:val="0"/>
        <w:spacing w:line="360" w:lineRule="auto"/>
        <w:ind w:right="-86" w:rightChars="-41" w:firstLine="438" w:firstLineChars="209"/>
        <w:rPr>
          <w:rFonts w:hAnsi="宋体"/>
        </w:rPr>
      </w:pPr>
      <w:r>
        <w:rPr>
          <w:rFonts w:hint="eastAsia" w:hAnsi="宋体"/>
        </w:rPr>
        <w:t>（</w:t>
      </w:r>
      <w:r>
        <w:rPr>
          <w:rFonts w:hAnsi="宋体"/>
        </w:rPr>
        <w:t>2</w:t>
      </w:r>
      <w:r>
        <w:rPr>
          <w:rFonts w:hint="eastAsia" w:hAnsi="宋体"/>
        </w:rPr>
        <w:t>）电子交易平台应用或数据库出现错误，不能进行正常操作的；</w:t>
      </w:r>
    </w:p>
    <w:p w14:paraId="3D791F10">
      <w:pPr>
        <w:pStyle w:val="66"/>
        <w:snapToGrid w:val="0"/>
        <w:spacing w:line="360" w:lineRule="auto"/>
        <w:ind w:right="-86" w:rightChars="-41" w:firstLine="438" w:firstLineChars="209"/>
        <w:rPr>
          <w:rFonts w:hAnsi="宋体"/>
        </w:rPr>
      </w:pPr>
      <w:r>
        <w:rPr>
          <w:rFonts w:hint="eastAsia" w:hAnsi="宋体"/>
        </w:rPr>
        <w:t>（</w:t>
      </w:r>
      <w:r>
        <w:rPr>
          <w:rFonts w:hAnsi="宋体"/>
        </w:rPr>
        <w:t>3</w:t>
      </w:r>
      <w:r>
        <w:rPr>
          <w:rFonts w:hint="eastAsia" w:hAnsi="宋体"/>
        </w:rPr>
        <w:t>）电子交易平台发现严重安全漏洞，有潜在泄密危险的；</w:t>
      </w:r>
    </w:p>
    <w:p w14:paraId="5C2C5D55">
      <w:pPr>
        <w:pStyle w:val="66"/>
        <w:snapToGrid w:val="0"/>
        <w:spacing w:line="360" w:lineRule="auto"/>
        <w:ind w:right="-86" w:rightChars="-41" w:firstLine="438" w:firstLineChars="209"/>
        <w:rPr>
          <w:rFonts w:hAnsi="宋体"/>
        </w:rPr>
      </w:pPr>
      <w:r>
        <w:rPr>
          <w:rFonts w:hint="eastAsia" w:hAnsi="宋体"/>
        </w:rPr>
        <w:t>（</w:t>
      </w:r>
      <w:r>
        <w:rPr>
          <w:rFonts w:hAnsi="宋体"/>
        </w:rPr>
        <w:t>4</w:t>
      </w:r>
      <w:r>
        <w:rPr>
          <w:rFonts w:hint="eastAsia" w:hAnsi="宋体"/>
        </w:rPr>
        <w:t>）病毒发作导致不能进行正常操作的；</w:t>
      </w:r>
    </w:p>
    <w:p w14:paraId="0A3F63D1">
      <w:pPr>
        <w:pStyle w:val="66"/>
        <w:snapToGrid w:val="0"/>
        <w:spacing w:line="360" w:lineRule="auto"/>
        <w:ind w:right="-86" w:rightChars="-41" w:firstLine="438" w:firstLineChars="209"/>
        <w:rPr>
          <w:rFonts w:hAnsi="宋体"/>
        </w:rPr>
      </w:pPr>
      <w:r>
        <w:rPr>
          <w:rFonts w:hint="eastAsia" w:hAnsi="宋体"/>
        </w:rPr>
        <w:t>（</w:t>
      </w:r>
      <w:r>
        <w:rPr>
          <w:rFonts w:hAnsi="宋体"/>
        </w:rPr>
        <w:t>5</w:t>
      </w:r>
      <w:r>
        <w:rPr>
          <w:rFonts w:hint="eastAsia" w:hAnsi="宋体"/>
        </w:rPr>
        <w:t>）其他无法保证电子交易的公平、公正和安全的情况。</w:t>
      </w:r>
    </w:p>
    <w:p w14:paraId="266219C1">
      <w:pPr>
        <w:pStyle w:val="66"/>
        <w:snapToGrid w:val="0"/>
        <w:spacing w:line="360" w:lineRule="auto"/>
        <w:ind w:right="-86" w:rightChars="-41" w:firstLine="438" w:firstLineChars="209"/>
        <w:rPr>
          <w:rFonts w:hAnsi="宋体"/>
        </w:rPr>
      </w:pPr>
      <w:r>
        <w:rPr>
          <w:rFonts w:hint="eastAsia" w:hAnsi="宋体"/>
        </w:rPr>
        <w:t>出现前款规定情形，不影响采购公平、公正性的，代理机构可以待上述情形消除后继续组织电子交易活动，也可以决定某些环节以纸质形式进行；影响或可能影响采购公平、公正性的，重新采购。</w:t>
      </w:r>
    </w:p>
    <w:p w14:paraId="0AEE945B">
      <w:pPr>
        <w:pStyle w:val="66"/>
        <w:snapToGrid w:val="0"/>
        <w:spacing w:line="360" w:lineRule="auto"/>
        <w:ind w:right="-86" w:rightChars="-41" w:firstLine="441" w:firstLineChars="209"/>
        <w:rPr>
          <w:rFonts w:ascii="宋体" w:hAnsi="宋体"/>
          <w:b/>
        </w:rPr>
      </w:pPr>
      <w:r>
        <w:rPr>
          <w:rFonts w:hint="eastAsia" w:ascii="宋体" w:hAnsi="宋体"/>
          <w:b/>
        </w:rPr>
        <w:t>（九）有效投标文件不足三家时，重新组织招标。</w:t>
      </w:r>
    </w:p>
    <w:p w14:paraId="4D2A42B8">
      <w:pPr>
        <w:pStyle w:val="66"/>
        <w:spacing w:line="360" w:lineRule="auto"/>
        <w:ind w:right="-86" w:rightChars="-41" w:firstLine="587" w:firstLineChars="209"/>
        <w:contextualSpacing/>
        <w:rPr>
          <w:rFonts w:ascii="Times New Roman" w:hAnsi="Times New Roman" w:cs="Times New Roman"/>
          <w:b/>
          <w:bCs/>
          <w:color w:val="000000" w:themeColor="text1"/>
          <w:sz w:val="28"/>
          <w:szCs w:val="28"/>
        </w:rPr>
      </w:pPr>
    </w:p>
    <w:p w14:paraId="0E491DF3">
      <w:pPr>
        <w:pStyle w:val="57"/>
        <w:spacing w:beforeLines="0" w:afterLines="0" w:line="360" w:lineRule="auto"/>
        <w:ind w:right="-506" w:rightChars="-241"/>
        <w:contextualSpacing/>
        <w:jc w:val="center"/>
        <w:rPr>
          <w:rFonts w:ascii="Times New Roman" w:hAnsi="Times New Roman" w:eastAsia="宋体" w:cs="Times New Roman"/>
          <w:b/>
          <w:bCs/>
          <w:color w:val="000000" w:themeColor="text1"/>
        </w:rPr>
      </w:pPr>
      <w:r>
        <w:rPr>
          <w:rFonts w:ascii="Times New Roman" w:hAnsi="Times New Roman" w:eastAsia="宋体" w:cs="Times New Roman"/>
          <w:b/>
          <w:bCs/>
          <w:color w:val="000000" w:themeColor="text1"/>
        </w:rPr>
        <w:t>四、开标</w:t>
      </w:r>
    </w:p>
    <w:p w14:paraId="2CAE02F4">
      <w:pPr>
        <w:pStyle w:val="66"/>
        <w:spacing w:line="360" w:lineRule="auto"/>
        <w:ind w:right="-86" w:rightChars="-41" w:firstLine="441" w:firstLineChars="209"/>
        <w:contextualSpacing/>
        <w:rPr>
          <w:rFonts w:ascii="Times New Roman" w:hAnsi="Times New Roman" w:cs="Times New Roman"/>
          <w:b/>
          <w:bCs/>
          <w:color w:val="000000" w:themeColor="text1"/>
        </w:rPr>
      </w:pPr>
      <w:r>
        <w:rPr>
          <w:rFonts w:ascii="Times New Roman" w:hAnsi="Times New Roman" w:cs="Times New Roman"/>
          <w:b/>
          <w:bCs/>
          <w:color w:val="000000" w:themeColor="text1"/>
        </w:rPr>
        <w:t>电子招投标开标及评审程序</w:t>
      </w:r>
    </w:p>
    <w:p w14:paraId="724AABCF">
      <w:pPr>
        <w:spacing w:line="360" w:lineRule="auto"/>
        <w:ind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1、采购组织机构按照规定的时间通过政采云系统组织开标、开启响应文件，所有投标人均应当准时在线参加。</w:t>
      </w:r>
    </w:p>
    <w:p w14:paraId="3CEB051B">
      <w:pPr>
        <w:spacing w:line="360" w:lineRule="auto"/>
        <w:ind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2、投标截止时间后，投标人登录政采云平台，用“项目采购</w:t>
      </w:r>
      <w:r>
        <w:rPr>
          <w:rFonts w:hint="eastAsia" w:ascii="Times New Roman" w:hAnsi="Times New Roman" w:cs="Times New Roman"/>
          <w:color w:val="000000" w:themeColor="text1"/>
        </w:rPr>
        <w:t>－</w:t>
      </w:r>
      <w:r>
        <w:rPr>
          <w:rFonts w:ascii="Times New Roman" w:hAnsi="Times New Roman" w:cs="Times New Roman"/>
          <w:color w:val="000000" w:themeColor="text1"/>
        </w:rPr>
        <w:t>开标评标”功能对电子投标文件进行</w:t>
      </w:r>
      <w:r>
        <w:rPr>
          <w:rFonts w:ascii="Times New Roman" w:hAnsi="Times New Roman" w:cs="Times New Roman"/>
          <w:b/>
          <w:bCs/>
          <w:color w:val="000000" w:themeColor="text1"/>
        </w:rPr>
        <w:t>在线解密。</w:t>
      </w:r>
      <w:r>
        <w:rPr>
          <w:rFonts w:ascii="Times New Roman" w:hAnsi="Times New Roman" w:cs="Times New Roman"/>
          <w:color w:val="000000" w:themeColor="text1"/>
        </w:rPr>
        <w:t>在线解密电子投标文件时间</w:t>
      </w:r>
      <w:r>
        <w:rPr>
          <w:rFonts w:ascii="Times New Roman" w:hAnsi="Times New Roman" w:cs="Times New Roman"/>
          <w:b/>
          <w:bCs/>
          <w:color w:val="000000" w:themeColor="text1"/>
        </w:rPr>
        <w:t>为开标时间起半个小时内；</w:t>
      </w:r>
    </w:p>
    <w:p w14:paraId="1C8479B1">
      <w:pPr>
        <w:spacing w:line="360" w:lineRule="auto"/>
        <w:ind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3、采购人或代理机构对资格响应文件进行评审，评标委员会对商务技术响应文件进行评审；</w:t>
      </w:r>
    </w:p>
    <w:p w14:paraId="069D4A97">
      <w:pPr>
        <w:spacing w:line="360" w:lineRule="auto"/>
        <w:ind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4、在系统上公开报价开标情况；</w:t>
      </w:r>
    </w:p>
    <w:p w14:paraId="562CF4B3">
      <w:pPr>
        <w:spacing w:line="360" w:lineRule="auto"/>
        <w:ind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5、评标委员会对报价情况进行评审；</w:t>
      </w:r>
    </w:p>
    <w:p w14:paraId="230AAAE6">
      <w:pPr>
        <w:spacing w:line="360" w:lineRule="auto"/>
        <w:ind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6、在系统上公布评审结果。</w:t>
      </w:r>
    </w:p>
    <w:p w14:paraId="5692672F">
      <w:pPr>
        <w:spacing w:line="360" w:lineRule="auto"/>
        <w:ind w:firstLine="420" w:firstLineChars="200"/>
        <w:contextualSpacing/>
        <w:jc w:val="left"/>
        <w:rPr>
          <w:rFonts w:ascii="Times New Roman" w:hAnsi="Times New Roman" w:cs="Times New Roman"/>
          <w:b/>
          <w:bCs/>
          <w:color w:val="000000" w:themeColor="text1"/>
          <w:sz w:val="28"/>
          <w:szCs w:val="28"/>
        </w:rPr>
      </w:pPr>
      <w:r>
        <w:rPr>
          <w:rFonts w:ascii="Times New Roman" w:hAnsi="Times New Roman" w:cs="Times New Roman"/>
          <w:color w:val="000000" w:themeColor="text1"/>
        </w:rPr>
        <w:t>特别说明：政采云公司如对电子化开标及评审程序有调整的，按调整后的程序操作。</w:t>
      </w:r>
    </w:p>
    <w:p w14:paraId="0CF5CE74">
      <w:pPr>
        <w:pStyle w:val="57"/>
        <w:spacing w:beforeLines="0" w:afterLines="0" w:line="360" w:lineRule="auto"/>
        <w:ind w:right="-506" w:rightChars="-241"/>
        <w:contextualSpacing/>
        <w:jc w:val="center"/>
        <w:rPr>
          <w:rFonts w:ascii="Times New Roman" w:hAnsi="Times New Roman" w:eastAsia="宋体" w:cs="Times New Roman"/>
          <w:b/>
          <w:bCs/>
          <w:color w:val="000000" w:themeColor="text1"/>
        </w:rPr>
      </w:pPr>
      <w:r>
        <w:rPr>
          <w:rFonts w:ascii="Times New Roman" w:hAnsi="Times New Roman" w:eastAsia="宋体" w:cs="Times New Roman"/>
          <w:b/>
          <w:bCs/>
          <w:color w:val="000000" w:themeColor="text1"/>
        </w:rPr>
        <w:t>五、评标</w:t>
      </w:r>
    </w:p>
    <w:p w14:paraId="20907774">
      <w:pPr>
        <w:pStyle w:val="66"/>
        <w:spacing w:line="360" w:lineRule="auto"/>
        <w:ind w:firstLine="422" w:firstLineChars="200"/>
        <w:contextualSpacing/>
        <w:outlineLvl w:val="1"/>
        <w:rPr>
          <w:rFonts w:ascii="Times New Roman" w:hAnsi="Times New Roman" w:cs="Times New Roman"/>
          <w:b/>
          <w:bCs/>
          <w:color w:val="000000" w:themeColor="text1"/>
        </w:rPr>
      </w:pPr>
      <w:r>
        <w:rPr>
          <w:rFonts w:ascii="Times New Roman" w:hAnsi="Times New Roman" w:cs="Times New Roman"/>
          <w:b/>
          <w:bCs/>
          <w:color w:val="000000" w:themeColor="text1"/>
        </w:rPr>
        <w:t>（一）组建评标委员会</w:t>
      </w:r>
    </w:p>
    <w:p w14:paraId="7D5BB350">
      <w:pPr>
        <w:pStyle w:val="57"/>
        <w:spacing w:beforeLines="0" w:afterLines="0" w:line="360" w:lineRule="auto"/>
        <w:ind w:right="-87" w:firstLine="420" w:firstLineChars="200"/>
        <w:contextualSpacing/>
        <w:rPr>
          <w:rFonts w:ascii="Times New Roman" w:hAnsi="Times New Roman" w:eastAsia="宋体" w:cs="Times New Roman"/>
          <w:color w:val="000000" w:themeColor="text1"/>
          <w:sz w:val="21"/>
          <w:szCs w:val="21"/>
        </w:rPr>
      </w:pPr>
      <w:r>
        <w:rPr>
          <w:rFonts w:ascii="Times New Roman" w:hAnsi="Times New Roman" w:eastAsia="宋体" w:cs="Times New Roman"/>
          <w:color w:val="000000" w:themeColor="text1"/>
          <w:sz w:val="21"/>
          <w:szCs w:val="21"/>
        </w:rPr>
        <w:t>本项目评标委员会由</w:t>
      </w:r>
      <w:r>
        <w:rPr>
          <w:rFonts w:ascii="Times New Roman" w:hAnsi="Times New Roman" w:eastAsia="宋体" w:cs="Times New Roman"/>
          <w:color w:val="000000" w:themeColor="text1"/>
          <w:sz w:val="21"/>
          <w:szCs w:val="21"/>
          <w:u w:val="single"/>
        </w:rPr>
        <w:t>5</w:t>
      </w:r>
      <w:r>
        <w:rPr>
          <w:rFonts w:ascii="Times New Roman" w:hAnsi="Times New Roman" w:eastAsia="宋体" w:cs="Times New Roman"/>
          <w:color w:val="000000" w:themeColor="text1"/>
          <w:sz w:val="21"/>
          <w:szCs w:val="21"/>
        </w:rPr>
        <w:t>人组成。</w:t>
      </w:r>
    </w:p>
    <w:p w14:paraId="3444A9DE">
      <w:pPr>
        <w:pStyle w:val="66"/>
        <w:spacing w:line="360" w:lineRule="auto"/>
        <w:ind w:firstLine="422" w:firstLineChars="200"/>
        <w:contextualSpacing/>
        <w:outlineLvl w:val="1"/>
        <w:rPr>
          <w:rFonts w:ascii="Times New Roman" w:hAnsi="Times New Roman" w:cs="Times New Roman"/>
          <w:b/>
          <w:bCs/>
          <w:color w:val="000000" w:themeColor="text1"/>
        </w:rPr>
      </w:pPr>
      <w:r>
        <w:rPr>
          <w:rFonts w:ascii="Times New Roman" w:hAnsi="Times New Roman" w:cs="Times New Roman"/>
          <w:b/>
          <w:bCs/>
          <w:color w:val="000000" w:themeColor="text1"/>
        </w:rPr>
        <w:t>（二）评标程序</w:t>
      </w:r>
    </w:p>
    <w:p w14:paraId="0960DDB9">
      <w:pPr>
        <w:spacing w:line="360" w:lineRule="auto"/>
        <w:ind w:right="-87" w:firstLine="413" w:firstLineChars="196"/>
        <w:contextualSpacing/>
        <w:rPr>
          <w:rFonts w:ascii="Times New Roman" w:hAnsi="Times New Roman" w:cs="Times New Roman"/>
          <w:color w:val="000000" w:themeColor="text1"/>
        </w:rPr>
      </w:pPr>
      <w:r>
        <w:rPr>
          <w:rFonts w:ascii="Times New Roman" w:hAnsi="Times New Roman" w:cs="Times New Roman"/>
          <w:b/>
          <w:bCs/>
          <w:color w:val="000000" w:themeColor="text1"/>
        </w:rPr>
        <w:t>1.投标文件初审。</w:t>
      </w:r>
    </w:p>
    <w:p w14:paraId="0F25BFC2">
      <w:pPr>
        <w:spacing w:line="360" w:lineRule="auto"/>
        <w:ind w:right="-87" w:firstLine="420" w:firstLineChars="200"/>
        <w:contextualSpacing/>
        <w:rPr>
          <w:rFonts w:ascii="Times New Roman" w:hAnsi="Times New Roman" w:cs="Times New Roman"/>
          <w:b/>
          <w:bCs/>
          <w:color w:val="000000" w:themeColor="text1"/>
        </w:rPr>
      </w:pPr>
      <w:r>
        <w:rPr>
          <w:rFonts w:ascii="Times New Roman" w:hAnsi="Times New Roman" w:cs="Times New Roman"/>
          <w:color w:val="000000" w:themeColor="text1"/>
        </w:rPr>
        <w:t>初审分为资格性检查和符合性检查。</w:t>
      </w:r>
    </w:p>
    <w:p w14:paraId="178EEADE">
      <w:pPr>
        <w:spacing w:line="360" w:lineRule="auto"/>
        <w:ind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1.1资格性检查。依据法律法规和采购文件的规定，对投标文件中的资格证明等进行审查，以确定</w:t>
      </w:r>
      <w:r>
        <w:rPr>
          <w:rFonts w:hint="eastAsia" w:ascii="Times New Roman" w:hAnsi="Times New Roman" w:cs="Times New Roman"/>
          <w:color w:val="000000" w:themeColor="text1"/>
        </w:rPr>
        <w:t>投标</w:t>
      </w:r>
      <w:r>
        <w:rPr>
          <w:rFonts w:ascii="Times New Roman" w:hAnsi="Times New Roman" w:cs="Times New Roman"/>
          <w:color w:val="000000" w:themeColor="text1"/>
        </w:rPr>
        <w:t>人是否具备投标资格。</w:t>
      </w:r>
    </w:p>
    <w:p w14:paraId="6D3E223F">
      <w:pPr>
        <w:spacing w:line="360" w:lineRule="auto"/>
        <w:ind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1.2符合性检查。依据采购文件的规定，从投标文件的有效性、完整性和对采购文件的响应程度进行审查，以确定是否对采购文件的实质性要求</w:t>
      </w:r>
      <w:r>
        <w:rPr>
          <w:rFonts w:hint="eastAsia" w:ascii="Times New Roman" w:hAnsi="Times New Roman" w:cs="Times New Roman"/>
          <w:color w:val="000000" w:themeColor="text1"/>
        </w:rPr>
        <w:t>做出</w:t>
      </w:r>
      <w:r>
        <w:rPr>
          <w:rFonts w:ascii="Times New Roman" w:hAnsi="Times New Roman" w:cs="Times New Roman"/>
          <w:color w:val="000000" w:themeColor="text1"/>
        </w:rPr>
        <w:t>响应。</w:t>
      </w:r>
    </w:p>
    <w:p w14:paraId="651C31AC">
      <w:pPr>
        <w:spacing w:line="360" w:lineRule="auto"/>
        <w:ind w:right="-87" w:firstLine="413" w:firstLineChars="196"/>
        <w:contextualSpacing/>
        <w:rPr>
          <w:rFonts w:ascii="Times New Roman" w:hAnsi="Times New Roman" w:cs="Times New Roman"/>
          <w:b/>
          <w:bCs/>
          <w:color w:val="000000" w:themeColor="text1"/>
        </w:rPr>
      </w:pPr>
      <w:r>
        <w:rPr>
          <w:rFonts w:ascii="Times New Roman" w:hAnsi="Times New Roman" w:cs="Times New Roman"/>
          <w:b/>
          <w:bCs/>
          <w:color w:val="000000" w:themeColor="text1"/>
        </w:rPr>
        <w:t>2.实质审查</w:t>
      </w:r>
    </w:p>
    <w:p w14:paraId="1E6C53E4">
      <w:pPr>
        <w:spacing w:line="360" w:lineRule="auto"/>
        <w:ind w:firstLine="420" w:firstLineChars="200"/>
        <w:contextualSpacing/>
        <w:rPr>
          <w:rFonts w:ascii="Times New Roman" w:hAnsi="Times New Roman" w:cs="Times New Roman"/>
          <w:color w:val="000000" w:themeColor="text1"/>
          <w:kern w:val="0"/>
        </w:rPr>
      </w:pPr>
      <w:r>
        <w:rPr>
          <w:rFonts w:ascii="Times New Roman" w:hAnsi="Times New Roman" w:cs="Times New Roman"/>
          <w:color w:val="000000" w:themeColor="text1"/>
          <w:kern w:val="0"/>
        </w:rPr>
        <w:t>（1）评标委员会审查投标文件的实质性内容是否符合采购文件的实质性要求。</w:t>
      </w:r>
    </w:p>
    <w:p w14:paraId="48BB3759">
      <w:pPr>
        <w:spacing w:line="360" w:lineRule="auto"/>
        <w:ind w:firstLine="420" w:firstLineChars="200"/>
        <w:contextualSpacing/>
        <w:rPr>
          <w:rFonts w:ascii="Times New Roman" w:hAnsi="Times New Roman" w:cs="Times New Roman"/>
          <w:color w:val="000000" w:themeColor="text1"/>
          <w:kern w:val="0"/>
        </w:rPr>
      </w:pPr>
      <w:r>
        <w:rPr>
          <w:rFonts w:ascii="Times New Roman" w:hAnsi="Times New Roman" w:cs="Times New Roman"/>
          <w:color w:val="000000" w:themeColor="text1"/>
          <w:kern w:val="0"/>
        </w:rPr>
        <w:t>（2）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14:paraId="0D3C5073">
      <w:pPr>
        <w:spacing w:line="360" w:lineRule="auto"/>
        <w:ind w:firstLine="420" w:firstLineChars="200"/>
        <w:contextualSpacing/>
        <w:rPr>
          <w:rFonts w:ascii="Times New Roman" w:hAnsi="Times New Roman" w:cs="Times New Roman"/>
          <w:color w:val="000000" w:themeColor="text1"/>
          <w:kern w:val="0"/>
        </w:rPr>
      </w:pPr>
      <w:r>
        <w:rPr>
          <w:rFonts w:ascii="Times New Roman" w:hAnsi="Times New Roman" w:cs="Times New Roman"/>
          <w:color w:val="000000" w:themeColor="text1"/>
          <w:kern w:val="0"/>
        </w:rPr>
        <w:t>（3）评审小组商务、技术方案响应性评定；</w:t>
      </w:r>
    </w:p>
    <w:p w14:paraId="3EE64EA1">
      <w:pPr>
        <w:spacing w:line="360" w:lineRule="auto"/>
        <w:ind w:firstLine="420" w:firstLineChars="200"/>
        <w:contextualSpacing/>
        <w:rPr>
          <w:rFonts w:ascii="Times New Roman" w:hAnsi="Times New Roman" w:cs="Times New Roman"/>
          <w:color w:val="000000" w:themeColor="text1"/>
          <w:kern w:val="0"/>
        </w:rPr>
      </w:pPr>
      <w:r>
        <w:rPr>
          <w:rFonts w:ascii="Times New Roman" w:hAnsi="Times New Roman" w:cs="Times New Roman"/>
          <w:color w:val="000000" w:themeColor="text1"/>
          <w:kern w:val="0"/>
        </w:rPr>
        <w:t>（4）各投标人的技术得分为所有评委的有效评分的算术平均数。</w:t>
      </w:r>
    </w:p>
    <w:p w14:paraId="4284CCDA">
      <w:pPr>
        <w:spacing w:line="360" w:lineRule="auto"/>
        <w:ind w:firstLine="420" w:firstLineChars="200"/>
        <w:contextualSpacing/>
        <w:rPr>
          <w:rFonts w:ascii="Times New Roman" w:hAnsi="Times New Roman" w:cs="Times New Roman"/>
          <w:b/>
          <w:bCs/>
          <w:color w:val="000000" w:themeColor="text1"/>
        </w:rPr>
      </w:pPr>
      <w:r>
        <w:rPr>
          <w:rFonts w:ascii="Times New Roman" w:hAnsi="Times New Roman" w:cs="Times New Roman"/>
          <w:color w:val="000000" w:themeColor="text1"/>
          <w:kern w:val="0"/>
        </w:rPr>
        <w:t>（5）评标委员会完成评标后，系统对各部分得分汇总，计算出本项目综合评估分。评标委员会按</w:t>
      </w:r>
      <w:r>
        <w:rPr>
          <w:rFonts w:ascii="Times New Roman" w:hAnsi="Times New Roman" w:cs="Times New Roman"/>
          <w:color w:val="000000" w:themeColor="text1"/>
        </w:rPr>
        <w:t>评标原则通过电子系统向采购人及采购代理机构提交评审报告。</w:t>
      </w:r>
    </w:p>
    <w:p w14:paraId="7788ABAE">
      <w:pPr>
        <w:spacing w:line="360" w:lineRule="auto"/>
        <w:ind w:firstLine="422" w:firstLineChars="200"/>
        <w:contextualSpacing/>
        <w:rPr>
          <w:rFonts w:ascii="Times New Roman" w:hAnsi="Times New Roman" w:cs="Times New Roman"/>
          <w:b/>
          <w:bCs/>
          <w:color w:val="000000" w:themeColor="text1"/>
        </w:rPr>
      </w:pPr>
      <w:r>
        <w:rPr>
          <w:rFonts w:ascii="Times New Roman" w:hAnsi="Times New Roman" w:cs="Times New Roman"/>
          <w:b/>
          <w:bCs/>
          <w:color w:val="000000" w:themeColor="text1"/>
        </w:rPr>
        <w:t>（三）澄清问题的形式</w:t>
      </w:r>
    </w:p>
    <w:p w14:paraId="40A0A772">
      <w:pPr>
        <w:spacing w:line="360" w:lineRule="auto"/>
        <w:ind w:right="-87" w:firstLine="420" w:firstLineChars="200"/>
        <w:contextualSpacing/>
        <w:rPr>
          <w:rFonts w:ascii="Times New Roman" w:hAnsi="Times New Roman" w:cs="Times New Roman"/>
          <w:color w:val="000000" w:themeColor="text1"/>
        </w:rPr>
      </w:pPr>
      <w:r>
        <w:rPr>
          <w:rFonts w:ascii="Times New Roman" w:hAnsi="Times New Roman" w:cs="Times New Roman"/>
          <w:color w:val="000000" w:themeColor="text1"/>
        </w:rPr>
        <w:t>对投标文件中含义不明确、同类问题表述不一致或者有明显文字和计算错误的内容，评标委员会可要求投标人作出必要的澄清、说明或者纠正。投标人与评审小组通过电子交易平台交换数据电文的形式进行，给予投标人提交澄清说明或补正的时间不少于半个小时，投标人已经明确表示澄清说明或补正完毕的除外。不得超出投标文件的范围或者改变投标文件的实质性内容。</w:t>
      </w:r>
    </w:p>
    <w:p w14:paraId="45888D8E">
      <w:pPr>
        <w:spacing w:line="360" w:lineRule="auto"/>
        <w:ind w:firstLine="422" w:firstLineChars="200"/>
        <w:contextualSpacing/>
        <w:rPr>
          <w:rFonts w:ascii="Times New Roman" w:hAnsi="Times New Roman" w:cs="Times New Roman"/>
          <w:b/>
          <w:bCs/>
          <w:color w:val="000000" w:themeColor="text1"/>
        </w:rPr>
      </w:pPr>
      <w:r>
        <w:rPr>
          <w:rFonts w:ascii="Times New Roman" w:hAnsi="Times New Roman" w:cs="Times New Roman"/>
          <w:b/>
          <w:bCs/>
          <w:color w:val="000000" w:themeColor="text1"/>
        </w:rPr>
        <w:t>（四）错误修正</w:t>
      </w:r>
    </w:p>
    <w:p w14:paraId="3F1E32CF">
      <w:pPr>
        <w:pStyle w:val="15"/>
        <w:spacing w:line="360" w:lineRule="auto"/>
        <w:ind w:firstLine="420" w:firstLineChars="200"/>
        <w:contextualSpacing/>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投标文件如果出现计算或表达上的错误，修正错误的原则如下：</w:t>
      </w:r>
    </w:p>
    <w:p w14:paraId="4103D669">
      <w:pPr>
        <w:pStyle w:val="15"/>
        <w:spacing w:line="360" w:lineRule="auto"/>
        <w:ind w:right="-85" w:firstLine="420" w:firstLineChars="200"/>
        <w:contextualSpacing/>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（1）投标文件中开标一览表（报价表）内容与投标文件中相应内容不一致的，以开标一览表（报价表）为准；</w:t>
      </w:r>
    </w:p>
    <w:p w14:paraId="5BA6750B">
      <w:pPr>
        <w:pStyle w:val="15"/>
        <w:spacing w:line="360" w:lineRule="auto"/>
        <w:ind w:right="-85" w:firstLine="420" w:firstLineChars="200"/>
        <w:contextualSpacing/>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（2）大写金额和小写金额不一致的，以大写金额为准；</w:t>
      </w:r>
    </w:p>
    <w:p w14:paraId="3103405E">
      <w:pPr>
        <w:pStyle w:val="15"/>
        <w:spacing w:line="360" w:lineRule="auto"/>
        <w:ind w:right="-85"/>
        <w:contextualSpacing/>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（3）单价金额小数点或者百分比有明显错位的，以开标一览表的总价为准，并修改单价；</w:t>
      </w:r>
    </w:p>
    <w:p w14:paraId="4DFF0EC7">
      <w:pPr>
        <w:pStyle w:val="15"/>
        <w:spacing w:line="360" w:lineRule="auto"/>
        <w:ind w:firstLine="415" w:firstLineChars="198"/>
        <w:contextualSpacing/>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（4）总价金额与按单价汇总金额不一致的，以单价金额计算结果为准。</w:t>
      </w:r>
    </w:p>
    <w:p w14:paraId="25FCEF13">
      <w:pPr>
        <w:pStyle w:val="15"/>
        <w:spacing w:line="360" w:lineRule="auto"/>
        <w:ind w:firstLine="415" w:firstLineChars="198"/>
        <w:contextualSpacing/>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同时出现两种以上不一致的，按照前款规定的顺序修正。按上述修正错误的原则及方法调整或修正投标文件的投标报价，投标人同意并签字确认后，调整后的投标报价对投标人具有约束作用。如果投标人不接受修正后的报价，则其投标将作为无效投标处理。</w:t>
      </w:r>
    </w:p>
    <w:p w14:paraId="2BA21236">
      <w:pPr>
        <w:pStyle w:val="15"/>
        <w:spacing w:line="360" w:lineRule="auto"/>
        <w:ind w:firstLine="417" w:firstLineChars="198"/>
        <w:contextualSpacing/>
        <w:rPr>
          <w:rFonts w:ascii="Times New Roman" w:hAnsi="Times New Roman" w:cs="Times New Roman"/>
          <w:color w:val="000000" w:themeColor="text1"/>
          <w:sz w:val="21"/>
          <w:szCs w:val="21"/>
        </w:rPr>
      </w:pPr>
      <w:r>
        <w:rPr>
          <w:rFonts w:ascii="Times New Roman" w:hAnsi="Times New Roman" w:cs="Times New Roman"/>
          <w:b/>
          <w:bCs/>
          <w:color w:val="000000" w:themeColor="text1"/>
          <w:sz w:val="21"/>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18E4EB87">
      <w:pPr>
        <w:pStyle w:val="57"/>
        <w:spacing w:beforeLines="0" w:afterLines="0" w:line="360" w:lineRule="auto"/>
        <w:ind w:right="-87" w:firstLine="422" w:firstLineChars="200"/>
        <w:contextualSpacing/>
        <w:rPr>
          <w:rFonts w:ascii="Times New Roman" w:hAnsi="Times New Roman" w:eastAsia="宋体" w:cs="Times New Roman"/>
          <w:b/>
          <w:bCs/>
          <w:color w:val="000000" w:themeColor="text1"/>
          <w:sz w:val="21"/>
          <w:szCs w:val="21"/>
        </w:rPr>
      </w:pPr>
      <w:r>
        <w:rPr>
          <w:rFonts w:ascii="Times New Roman" w:hAnsi="Times New Roman" w:eastAsia="宋体" w:cs="Times New Roman"/>
          <w:b/>
          <w:bCs/>
          <w:color w:val="000000" w:themeColor="text1"/>
          <w:sz w:val="21"/>
          <w:szCs w:val="21"/>
        </w:rPr>
        <w:t>（五）评标原则和评标办法</w:t>
      </w:r>
    </w:p>
    <w:p w14:paraId="61987CBD">
      <w:pPr>
        <w:pStyle w:val="15"/>
        <w:spacing w:line="360" w:lineRule="auto"/>
        <w:ind w:firstLine="420" w:firstLineChars="200"/>
        <w:contextualSpacing/>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14:paraId="5EDA4B05">
      <w:pPr>
        <w:pStyle w:val="15"/>
        <w:spacing w:line="360" w:lineRule="auto"/>
        <w:ind w:firstLine="420" w:firstLineChars="200"/>
        <w:contextualSpacing/>
        <w:rPr>
          <w:rFonts w:ascii="Times New Roman" w:hAnsi="Times New Roman" w:cs="Times New Roman"/>
          <w:color w:val="000000" w:themeColor="text1"/>
        </w:rPr>
      </w:pPr>
      <w:r>
        <w:rPr>
          <w:rFonts w:ascii="Times New Roman" w:hAnsi="Times New Roman" w:cs="Times New Roman"/>
          <w:color w:val="000000" w:themeColor="text1"/>
          <w:sz w:val="21"/>
          <w:szCs w:val="21"/>
        </w:rPr>
        <w:t>2、评标办法。本项目评标办法是</w:t>
      </w:r>
      <w:r>
        <w:rPr>
          <w:rFonts w:ascii="Times New Roman" w:hAnsi="Times New Roman" w:cs="Times New Roman"/>
          <w:color w:val="000000" w:themeColor="text1"/>
          <w:sz w:val="21"/>
          <w:szCs w:val="21"/>
          <w:u w:val="single"/>
        </w:rPr>
        <w:t>综合评分法</w:t>
      </w:r>
      <w:r>
        <w:rPr>
          <w:rFonts w:ascii="Times New Roman" w:hAnsi="Times New Roman" w:cs="Times New Roman"/>
          <w:color w:val="000000" w:themeColor="text1"/>
          <w:sz w:val="21"/>
          <w:szCs w:val="21"/>
        </w:rPr>
        <w:t>，具体评标内容及评分标准等详见《第四章：评标办法及评分标准》。</w:t>
      </w:r>
    </w:p>
    <w:p w14:paraId="06355AFC">
      <w:pPr>
        <w:widowControl/>
        <w:spacing w:line="360" w:lineRule="auto"/>
        <w:ind w:right="-87" w:firstLine="422" w:firstLineChars="200"/>
        <w:contextualSpacing/>
        <w:rPr>
          <w:rFonts w:ascii="Times New Roman" w:hAnsi="Times New Roman" w:cs="Times New Roman"/>
          <w:b/>
          <w:bCs/>
          <w:color w:val="000000" w:themeColor="text1"/>
        </w:rPr>
      </w:pPr>
      <w:r>
        <w:rPr>
          <w:rFonts w:ascii="Times New Roman" w:hAnsi="Times New Roman" w:cs="Times New Roman"/>
          <w:b/>
          <w:bCs/>
          <w:color w:val="000000" w:themeColor="text1"/>
        </w:rPr>
        <w:t>（六）评标过程的监控</w:t>
      </w:r>
    </w:p>
    <w:p w14:paraId="54BFEDE1">
      <w:pPr>
        <w:pStyle w:val="57"/>
        <w:spacing w:beforeLines="0" w:afterLines="0" w:line="360" w:lineRule="auto"/>
        <w:ind w:right="-87" w:firstLine="420" w:firstLineChars="200"/>
        <w:contextualSpacing/>
        <w:rPr>
          <w:rFonts w:ascii="Times New Roman" w:hAnsi="Times New Roman" w:eastAsia="宋体" w:cs="Times New Roman"/>
          <w:b/>
          <w:bCs/>
          <w:color w:val="000000" w:themeColor="text1"/>
          <w:sz w:val="28"/>
          <w:szCs w:val="28"/>
        </w:rPr>
      </w:pPr>
      <w:r>
        <w:rPr>
          <w:rFonts w:ascii="Times New Roman" w:hAnsi="Times New Roman" w:eastAsia="宋体" w:cs="Times New Roman"/>
          <w:color w:val="000000" w:themeColor="text1"/>
          <w:sz w:val="21"/>
          <w:szCs w:val="21"/>
        </w:rPr>
        <w:t>本项目评标过程实行全程录音、录像监控。</w:t>
      </w:r>
    </w:p>
    <w:p w14:paraId="5EE94210">
      <w:pPr>
        <w:pStyle w:val="57"/>
        <w:spacing w:beforeLines="0" w:afterLines="0" w:line="360" w:lineRule="auto"/>
        <w:ind w:right="-506" w:rightChars="-241"/>
        <w:contextualSpacing/>
        <w:jc w:val="center"/>
        <w:rPr>
          <w:rFonts w:ascii="Times New Roman" w:hAnsi="Times New Roman" w:eastAsia="宋体" w:cs="Times New Roman"/>
          <w:b/>
          <w:bCs/>
          <w:color w:val="000000" w:themeColor="text1"/>
        </w:rPr>
      </w:pPr>
      <w:r>
        <w:rPr>
          <w:rFonts w:ascii="Times New Roman" w:hAnsi="Times New Roman" w:eastAsia="宋体" w:cs="Times New Roman"/>
          <w:b/>
          <w:bCs/>
          <w:color w:val="000000" w:themeColor="text1"/>
        </w:rPr>
        <w:t>六、定标</w:t>
      </w:r>
    </w:p>
    <w:p w14:paraId="48E77588">
      <w:pPr>
        <w:pStyle w:val="15"/>
        <w:spacing w:line="360" w:lineRule="auto"/>
        <w:ind w:firstLine="415" w:firstLineChars="198"/>
        <w:contextualSpacing/>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（一）确定中标人。本项目由采购人事先授权评审小组确定中标候选人3名。推荐第一名中标候选人为中标人，经采购人确认后，确定项目中标人，同时发布采购结果公告，发出中标通知书。</w:t>
      </w:r>
    </w:p>
    <w:p w14:paraId="5C48AA5B">
      <w:pPr>
        <w:pStyle w:val="15"/>
        <w:spacing w:line="360" w:lineRule="auto"/>
        <w:ind w:firstLine="415" w:firstLineChars="198"/>
        <w:contextualSpacing/>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1.采购代理机构在评标结束后在2个工作日内将评审报告交采购人确认。</w:t>
      </w:r>
    </w:p>
    <w:p w14:paraId="7D382C62">
      <w:pPr>
        <w:pStyle w:val="15"/>
        <w:spacing w:line="360" w:lineRule="auto"/>
        <w:ind w:firstLine="415" w:firstLineChars="198"/>
        <w:contextualSpacing/>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2.投标人对评审结果无异议的，采购人应在收到评审报告后5个工作日内对评审结果进行确认。如有投标人对评审结果提出质疑的，采购人可在质疑处理完毕后确定中标人。</w:t>
      </w:r>
    </w:p>
    <w:p w14:paraId="55E6B787">
      <w:pPr>
        <w:pStyle w:val="15"/>
        <w:spacing w:line="360" w:lineRule="auto"/>
        <w:ind w:firstLine="415" w:firstLineChars="198"/>
        <w:contextualSpacing/>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3.采购人依法确定中标人后2个工作日内，采购代理机构以书面形式发出《中标通知书》,并同时在相关网站上发布中标公告。</w:t>
      </w:r>
    </w:p>
    <w:p w14:paraId="433D316B">
      <w:pPr>
        <w:pStyle w:val="15"/>
        <w:spacing w:line="360" w:lineRule="auto"/>
        <w:ind w:firstLine="415" w:firstLineChars="198"/>
        <w:contextualSpacing/>
        <w:rPr>
          <w:rFonts w:ascii="Times New Roman" w:hAnsi="Times New Roman" w:cs="Times New Roman"/>
          <w:b/>
          <w:bCs/>
          <w:color w:val="000000" w:themeColor="text1"/>
          <w:sz w:val="28"/>
          <w:szCs w:val="28"/>
        </w:rPr>
      </w:pPr>
      <w:r>
        <w:rPr>
          <w:rFonts w:ascii="Times New Roman" w:hAnsi="Times New Roman" w:cs="Times New Roman"/>
          <w:color w:val="000000" w:themeColor="text1"/>
          <w:sz w:val="21"/>
          <w:szCs w:val="21"/>
        </w:rPr>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14:paraId="38AD9474">
      <w:pPr>
        <w:pStyle w:val="57"/>
        <w:spacing w:beforeLines="0" w:afterLines="0" w:line="360" w:lineRule="auto"/>
        <w:ind w:right="-506" w:rightChars="-241"/>
        <w:contextualSpacing/>
        <w:jc w:val="center"/>
        <w:rPr>
          <w:rFonts w:ascii="Times New Roman" w:hAnsi="Times New Roman" w:eastAsia="宋体" w:cs="Times New Roman"/>
          <w:b/>
          <w:bCs/>
          <w:color w:val="000000" w:themeColor="text1"/>
        </w:rPr>
      </w:pPr>
      <w:r>
        <w:rPr>
          <w:rFonts w:ascii="Times New Roman" w:hAnsi="Times New Roman" w:eastAsia="宋体" w:cs="Times New Roman"/>
          <w:b/>
          <w:bCs/>
          <w:color w:val="000000" w:themeColor="text1"/>
        </w:rPr>
        <w:t>七、合同授予</w:t>
      </w:r>
    </w:p>
    <w:p w14:paraId="4FA2C6D8">
      <w:pPr>
        <w:pStyle w:val="15"/>
        <w:spacing w:line="360" w:lineRule="auto"/>
        <w:ind w:firstLine="417" w:firstLineChars="198"/>
        <w:contextualSpacing/>
        <w:rPr>
          <w:rFonts w:ascii="Times New Roman" w:hAnsi="Times New Roman" w:cs="Times New Roman"/>
          <w:b/>
          <w:bCs/>
          <w:color w:val="000000" w:themeColor="text1"/>
          <w:sz w:val="21"/>
          <w:szCs w:val="21"/>
        </w:rPr>
      </w:pPr>
      <w:r>
        <w:rPr>
          <w:rFonts w:ascii="Times New Roman" w:hAnsi="Times New Roman" w:cs="Times New Roman"/>
          <w:b/>
          <w:bCs/>
          <w:color w:val="000000" w:themeColor="text1"/>
          <w:sz w:val="21"/>
          <w:szCs w:val="21"/>
        </w:rPr>
        <w:t>（一）签订合同</w:t>
      </w:r>
    </w:p>
    <w:p w14:paraId="5F38F40C">
      <w:pPr>
        <w:pStyle w:val="15"/>
        <w:spacing w:line="360" w:lineRule="auto"/>
        <w:ind w:firstLine="415" w:firstLineChars="198"/>
        <w:contextualSpacing/>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1、中标人应自接到中标通知书后30日内与采购人</w:t>
      </w:r>
      <w:r>
        <w:rPr>
          <w:rFonts w:hint="eastAsia" w:ascii="Times New Roman" w:hAnsi="Times New Roman" w:cs="Times New Roman"/>
          <w:color w:val="000000" w:themeColor="text1"/>
          <w:sz w:val="21"/>
          <w:szCs w:val="21"/>
        </w:rPr>
        <w:t>签订合同</w:t>
      </w:r>
      <w:r>
        <w:rPr>
          <w:rFonts w:ascii="Times New Roman" w:hAnsi="Times New Roman" w:cs="Times New Roman"/>
          <w:color w:val="000000" w:themeColor="text1"/>
          <w:sz w:val="21"/>
          <w:szCs w:val="21"/>
        </w:rPr>
        <w:t>。同时，采购代理机构对合同内容进行审查，如发现与采购结果和投标承诺内容不一致的，应予以纠正。</w:t>
      </w:r>
    </w:p>
    <w:p w14:paraId="5B88E631">
      <w:pPr>
        <w:pStyle w:val="15"/>
        <w:spacing w:line="360" w:lineRule="auto"/>
        <w:ind w:firstLine="415" w:firstLineChars="198"/>
        <w:contextualSpacing/>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2、中标人拖延、拒签合同的，将上报监管部门并取消中标资格。</w:t>
      </w:r>
    </w:p>
    <w:p w14:paraId="3B7C7C6A">
      <w:pPr>
        <w:pStyle w:val="15"/>
        <w:spacing w:line="360" w:lineRule="auto"/>
        <w:ind w:firstLine="415" w:firstLineChars="198"/>
        <w:contextualSpacing/>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3、中标人和采购人签订合同，按合同规定的服务期限履行合同。</w:t>
      </w:r>
    </w:p>
    <w:p w14:paraId="5B6FC12F">
      <w:pPr>
        <w:pStyle w:val="15"/>
        <w:spacing w:line="360" w:lineRule="auto"/>
        <w:ind w:firstLine="415" w:firstLineChars="198"/>
        <w:contextualSpacing/>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14:paraId="07E3556E">
      <w:pPr>
        <w:pStyle w:val="15"/>
        <w:spacing w:line="360" w:lineRule="auto"/>
        <w:ind w:firstLine="415" w:firstLineChars="198"/>
        <w:contextualSpacing/>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（二）合同公告</w:t>
      </w:r>
    </w:p>
    <w:p w14:paraId="502F97B6">
      <w:pPr>
        <w:pStyle w:val="15"/>
        <w:spacing w:line="360" w:lineRule="auto"/>
        <w:ind w:firstLine="415" w:firstLineChars="198"/>
        <w:contextualSpacing/>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采购人应当自政府采购合同签订之日起2个工作日内，将政府采购合同在省级以上人民政府财政部门指定的媒体上公告，但政府采购合同中涉及国家秘密、商业秘密的内容除外。</w:t>
      </w:r>
    </w:p>
    <w:p w14:paraId="26263203">
      <w:pPr>
        <w:pStyle w:val="57"/>
        <w:spacing w:beforeLines="0" w:afterLines="0" w:line="360" w:lineRule="auto"/>
        <w:ind w:right="-506" w:rightChars="-241"/>
        <w:contextualSpacing/>
        <w:jc w:val="center"/>
        <w:rPr>
          <w:rFonts w:ascii="Times New Roman" w:hAnsi="Times New Roman" w:eastAsia="宋体" w:cs="Times New Roman"/>
          <w:b/>
          <w:bCs/>
          <w:color w:val="000000" w:themeColor="text1"/>
        </w:rPr>
      </w:pPr>
      <w:r>
        <w:rPr>
          <w:rFonts w:ascii="Times New Roman" w:hAnsi="Times New Roman" w:eastAsia="宋体" w:cs="Times New Roman"/>
          <w:b/>
          <w:bCs/>
          <w:color w:val="000000" w:themeColor="text1"/>
        </w:rPr>
        <w:t>八、招标代理费</w:t>
      </w:r>
    </w:p>
    <w:p w14:paraId="07646816">
      <w:pPr>
        <w:pStyle w:val="57"/>
        <w:spacing w:beforeLines="0" w:afterLines="0" w:line="360" w:lineRule="auto"/>
        <w:ind w:firstLine="413" w:firstLineChars="196"/>
        <w:contextualSpacing/>
        <w:rPr>
          <w:rFonts w:ascii="Times New Roman" w:hAnsi="Times New Roman" w:eastAsia="宋体" w:cs="Times New Roman"/>
          <w:b/>
          <w:bCs/>
          <w:color w:val="000000" w:themeColor="text1"/>
          <w:sz w:val="21"/>
          <w:szCs w:val="21"/>
        </w:rPr>
      </w:pPr>
      <w:r>
        <w:rPr>
          <w:rFonts w:ascii="Times New Roman" w:hAnsi="Times New Roman" w:eastAsia="宋体" w:cs="Times New Roman"/>
          <w:b/>
          <w:bCs/>
          <w:color w:val="000000" w:themeColor="text1"/>
          <w:sz w:val="21"/>
          <w:szCs w:val="21"/>
        </w:rPr>
        <w:t>（一）招标代理服务费</w:t>
      </w:r>
    </w:p>
    <w:p w14:paraId="62D64EF8">
      <w:pPr>
        <w:spacing w:line="360" w:lineRule="auto"/>
        <w:ind w:firstLine="420" w:firstLineChars="200"/>
        <w:contextualSpacing/>
        <w:rPr>
          <w:rFonts w:ascii="Times New Roman" w:hAnsi="Times New Roman" w:cs="Times New Roman"/>
          <w:b/>
          <w:bCs/>
          <w:color w:val="000000" w:themeColor="text1"/>
          <w:sz w:val="28"/>
          <w:szCs w:val="28"/>
        </w:rPr>
      </w:pPr>
      <w:r>
        <w:rPr>
          <w:rFonts w:ascii="Times New Roman" w:hAnsi="Times New Roman" w:cs="Times New Roman"/>
          <w:snapToGrid w:val="0"/>
          <w:color w:val="000000" w:themeColor="text1"/>
          <w:kern w:val="0"/>
        </w:rPr>
        <w:t>本项目的招标代理费由</w:t>
      </w:r>
      <w:r>
        <w:rPr>
          <w:rFonts w:hint="eastAsia" w:ascii="Times New Roman" w:hAnsi="Times New Roman" w:cs="Times New Roman"/>
          <w:b/>
          <w:bCs/>
          <w:snapToGrid w:val="0"/>
          <w:color w:val="000000" w:themeColor="text1"/>
          <w:kern w:val="0"/>
        </w:rPr>
        <w:t>中标人</w:t>
      </w:r>
      <w:r>
        <w:rPr>
          <w:rFonts w:ascii="Times New Roman" w:hAnsi="Times New Roman" w:cs="Times New Roman"/>
          <w:snapToGrid w:val="0"/>
          <w:color w:val="000000" w:themeColor="text1"/>
          <w:kern w:val="0"/>
        </w:rPr>
        <w:t>支付。</w:t>
      </w:r>
      <w:bookmarkStart w:id="1" w:name="_Toc480187579"/>
    </w:p>
    <w:p w14:paraId="06BB40AF">
      <w:pPr>
        <w:pStyle w:val="57"/>
        <w:spacing w:beforeLines="0" w:afterLines="0" w:line="360" w:lineRule="auto"/>
        <w:ind w:right="-506" w:rightChars="-241"/>
        <w:contextualSpacing/>
        <w:jc w:val="center"/>
        <w:rPr>
          <w:rFonts w:ascii="Times New Roman" w:hAnsi="Times New Roman" w:eastAsia="宋体" w:cs="Times New Roman"/>
          <w:b/>
          <w:bCs/>
          <w:color w:val="000000" w:themeColor="text1"/>
        </w:rPr>
      </w:pPr>
      <w:r>
        <w:rPr>
          <w:rFonts w:ascii="Times New Roman" w:hAnsi="Times New Roman" w:eastAsia="宋体" w:cs="Times New Roman"/>
          <w:b/>
          <w:bCs/>
          <w:color w:val="000000" w:themeColor="text1"/>
        </w:rPr>
        <w:t>九、政府采购政策</w:t>
      </w:r>
    </w:p>
    <w:bookmarkEnd w:id="1"/>
    <w:p w14:paraId="7313CF55">
      <w:pPr>
        <w:spacing w:line="360" w:lineRule="auto"/>
        <w:ind w:firstLine="420" w:firstLineChars="200"/>
        <w:rPr>
          <w:rFonts w:ascii="宋体" w:hAnsi="宋体" w:cs="宋体"/>
        </w:rPr>
      </w:pPr>
      <w:r>
        <w:rPr>
          <w:rFonts w:hint="eastAsia" w:ascii="宋体" w:hAnsi="宋体" w:cs="宋体"/>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75505A23">
      <w:pPr>
        <w:spacing w:line="360" w:lineRule="auto"/>
        <w:ind w:firstLine="420" w:firstLineChars="200"/>
        <w:rPr>
          <w:rFonts w:ascii="宋体" w:hAnsi="宋体" w:cs="宋体"/>
        </w:rPr>
      </w:pPr>
      <w:r>
        <w:rPr>
          <w:rFonts w:hint="eastAsia" w:ascii="宋体" w:hAnsi="宋体" w:cs="宋体"/>
        </w:rPr>
        <w:t>符合中小企业划分标准的个体工商户，在政府采购活动中视同中小企业。</w:t>
      </w:r>
    </w:p>
    <w:p w14:paraId="639B4EC7">
      <w:pPr>
        <w:spacing w:line="360" w:lineRule="auto"/>
        <w:ind w:firstLine="420" w:firstLineChars="200"/>
        <w:rPr>
          <w:rFonts w:ascii="宋体" w:hAnsi="宋体" w:cs="宋体"/>
        </w:rPr>
      </w:pPr>
      <w:r>
        <w:rPr>
          <w:rFonts w:hint="eastAsia" w:ascii="宋体" w:hAnsi="宋体" w:cs="宋体"/>
        </w:rPr>
        <w:t>1.1在政府采购活动中，投标人提供的货物、工程或者服务符合下列情形的，享受中小企业扶持政策：</w:t>
      </w:r>
    </w:p>
    <w:p w14:paraId="351A2F33">
      <w:pPr>
        <w:spacing w:line="360" w:lineRule="auto"/>
        <w:ind w:firstLine="420" w:firstLineChars="200"/>
        <w:rPr>
          <w:rFonts w:ascii="宋体" w:hAnsi="宋体" w:cs="宋体"/>
        </w:rPr>
      </w:pPr>
      <w:r>
        <w:rPr>
          <w:rFonts w:hint="eastAsia" w:ascii="宋体" w:hAnsi="宋体" w:cs="宋体"/>
        </w:rPr>
        <w:t>1.1.1在货物采购项目中，货物由中小企业制造，即货物由中小企业生产且使用该中小企业商号或者注册商标；</w:t>
      </w:r>
    </w:p>
    <w:p w14:paraId="1A0A1F2C">
      <w:pPr>
        <w:spacing w:line="360" w:lineRule="auto"/>
        <w:ind w:firstLine="420" w:firstLineChars="200"/>
        <w:rPr>
          <w:rFonts w:ascii="宋体" w:hAnsi="宋体" w:cs="宋体"/>
        </w:rPr>
      </w:pPr>
      <w:r>
        <w:rPr>
          <w:rFonts w:hint="eastAsia" w:ascii="宋体" w:hAnsi="宋体" w:cs="宋体"/>
        </w:rPr>
        <w:t>1.1.2在工程采购项目中，工程由中小企业承建，即工程施工单位为中小企业；</w:t>
      </w:r>
    </w:p>
    <w:p w14:paraId="13E2ED49">
      <w:pPr>
        <w:spacing w:line="360" w:lineRule="auto"/>
        <w:ind w:firstLine="420" w:firstLineChars="200"/>
        <w:rPr>
          <w:rFonts w:ascii="宋体" w:hAnsi="宋体" w:cs="宋体"/>
        </w:rPr>
      </w:pPr>
      <w:r>
        <w:rPr>
          <w:rFonts w:hint="eastAsia" w:ascii="宋体" w:hAnsi="宋体" w:cs="宋体"/>
        </w:rPr>
        <w:t>1.1.3在服务采购项目中，服务由中小企业承接，即提供服务的人员为中小企业依照《中华人民共和国劳动合同法》订立劳动合同的从业人员。</w:t>
      </w:r>
    </w:p>
    <w:p w14:paraId="69D97ED6">
      <w:pPr>
        <w:spacing w:line="360" w:lineRule="auto"/>
        <w:ind w:firstLine="420" w:firstLineChars="200"/>
        <w:rPr>
          <w:rFonts w:ascii="宋体" w:hAnsi="宋体" w:cs="宋体"/>
        </w:rPr>
      </w:pPr>
      <w:r>
        <w:rPr>
          <w:rFonts w:hint="eastAsia" w:ascii="宋体" w:hAnsi="宋体" w:cs="宋体"/>
        </w:rPr>
        <w:t>在货物采购项目中，投标人提供的货物既有中小企业制造货物，也有大型企业制造货物的，不享受中小企业扶持政策。</w:t>
      </w:r>
    </w:p>
    <w:p w14:paraId="088FE7D9">
      <w:pPr>
        <w:spacing w:line="360" w:lineRule="auto"/>
        <w:ind w:firstLine="420" w:firstLineChars="200"/>
        <w:rPr>
          <w:rFonts w:ascii="宋体" w:hAnsi="宋体" w:cs="宋体"/>
        </w:rPr>
      </w:pPr>
      <w:r>
        <w:rPr>
          <w:rFonts w:hint="eastAsia" w:ascii="宋体" w:hAnsi="宋体" w:cs="宋体"/>
        </w:rPr>
        <w:t>以联合体形式参加政府采购活动，联合体各方均为中小企业的，联合体视同中小企业。其中，联合体各方均为小微企业的，联合体视同小微企业。</w:t>
      </w:r>
    </w:p>
    <w:p w14:paraId="0C147009">
      <w:pPr>
        <w:spacing w:line="360" w:lineRule="auto"/>
        <w:ind w:firstLine="420" w:firstLineChars="200"/>
        <w:rPr>
          <w:rFonts w:ascii="宋体" w:hAnsi="宋体" w:cs="宋体"/>
        </w:rPr>
      </w:pPr>
      <w:r>
        <w:rPr>
          <w:rFonts w:hint="eastAsia" w:ascii="宋体" w:hAnsi="宋体" w:cs="宋体"/>
        </w:rPr>
        <w:t>1.2对于未预留份额专门面向中小企业的政府采购货物或服务项目，以及预留份额政府采购货物或服务项目中的非预留部分标项，对小型和微型企业的投标报价给予</w:t>
      </w:r>
      <w:r>
        <w:rPr>
          <w:rFonts w:hint="eastAsia" w:ascii="宋体" w:hAnsi="宋体" w:cs="宋体"/>
          <w:color w:val="00B0F0"/>
        </w:rPr>
        <w:t>10%</w:t>
      </w:r>
      <w:r>
        <w:rPr>
          <w:rFonts w:hint="eastAsia" w:ascii="宋体" w:hAnsi="宋体" w:cs="宋体"/>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color w:val="00B0F0"/>
        </w:rPr>
        <w:t>6%</w:t>
      </w:r>
      <w:r>
        <w:rPr>
          <w:rFonts w:hint="eastAsia" w:ascii="宋体" w:hAnsi="宋体" w:cs="宋体"/>
        </w:rPr>
        <w:t>的扣除，用扣除后的价格参加评审。组成联合体或者接受分包的小微企业与联合体内其他企业、分包企业之间存在直接控股、管理关系的，不享受价格扣除优惠政策。</w:t>
      </w:r>
    </w:p>
    <w:p w14:paraId="6FE930D0">
      <w:pPr>
        <w:spacing w:line="360" w:lineRule="auto"/>
        <w:ind w:firstLine="420" w:firstLineChars="200"/>
        <w:rPr>
          <w:rFonts w:ascii="宋体" w:hAnsi="宋体" w:cs="宋体"/>
        </w:rPr>
      </w:pPr>
      <w:r>
        <w:rPr>
          <w:rFonts w:hint="eastAsia" w:ascii="宋体" w:hAnsi="宋体" w:cs="宋体"/>
        </w:rPr>
        <w:t>1.3符合《关于促进残疾人就业政府采购政策的通知》（财库〔2017〕141号）规定的条件并提供《残疾人福利性单位声明函》的残疾人福利性单位视同小型、微型企业；</w:t>
      </w:r>
    </w:p>
    <w:p w14:paraId="79C4AE0D">
      <w:pPr>
        <w:spacing w:line="360" w:lineRule="auto"/>
        <w:ind w:firstLine="420" w:firstLineChars="200"/>
        <w:rPr>
          <w:rFonts w:ascii="宋体" w:hAnsi="宋体" w:cs="宋体"/>
        </w:rPr>
      </w:pPr>
      <w:r>
        <w:rPr>
          <w:rFonts w:hint="eastAsia" w:ascii="宋体" w:hAnsi="宋体" w:cs="宋体"/>
        </w:rPr>
        <w:t>1.4符合《关于政府采购支持监狱企业发展有关问题的通知》（财库[2014]68号）规定的监狱企业并提供由省级以上监狱管理局、戒毒管理局（含新疆生产建设兵团）出具的属于监狱企业证明文件的，视同为小型、微型企业。</w:t>
      </w:r>
    </w:p>
    <w:p w14:paraId="176A42C5">
      <w:pPr>
        <w:spacing w:line="360" w:lineRule="auto"/>
        <w:ind w:firstLine="420" w:firstLineChars="200"/>
        <w:rPr>
          <w:rFonts w:ascii="宋体" w:hAnsi="宋体" w:cs="宋体"/>
        </w:rPr>
      </w:pPr>
      <w:r>
        <w:rPr>
          <w:rFonts w:hint="eastAsia" w:ascii="宋体" w:hAnsi="宋体" w:cs="宋体"/>
        </w:rPr>
        <w:t>1.5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150AA9C">
      <w:pPr>
        <w:spacing w:line="360" w:lineRule="auto"/>
        <w:ind w:firstLine="420" w:firstLineChars="200"/>
        <w:rPr>
          <w:rFonts w:ascii="宋体" w:hAnsi="宋体" w:cs="宋体"/>
        </w:rPr>
      </w:pPr>
      <w:r>
        <w:rPr>
          <w:rFonts w:hint="eastAsia" w:ascii="宋体" w:hAnsi="宋体" w:cs="宋体"/>
        </w:rPr>
        <w:t>1.6中小企业享受扶持政策获得政府采购合同的，小微企业不得将合同分包给大中型企业，中型企业不得将合同分包给大型企业。</w:t>
      </w:r>
    </w:p>
    <w:p w14:paraId="0450A7A4">
      <w:pPr>
        <w:spacing w:line="360" w:lineRule="auto"/>
        <w:ind w:firstLine="210" w:firstLineChars="100"/>
        <w:contextualSpacing/>
        <w:rPr>
          <w:rFonts w:hAnsi="宋体" w:cs="宋体"/>
          <w:b/>
          <w:spacing w:val="-4"/>
          <w:sz w:val="28"/>
          <w:szCs w:val="28"/>
        </w:rPr>
      </w:pPr>
      <w:r>
        <w:rPr>
          <w:rFonts w:hint="eastAsia" w:ascii="Times New Roman" w:hAnsi="Times New Roman"/>
        </w:rPr>
        <w:t>2</w:t>
      </w:r>
      <w:r>
        <w:rPr>
          <w:rFonts w:ascii="Times New Roman" w:hAnsi="Times New Roman"/>
        </w:rPr>
        <w:t>、信贷政策</w:t>
      </w:r>
    </w:p>
    <w:p w14:paraId="20C5AB4B">
      <w:pPr>
        <w:spacing w:line="360" w:lineRule="auto"/>
        <w:ind w:firstLine="420" w:firstLineChars="200"/>
        <w:rPr>
          <w:rFonts w:ascii="Times New Roman" w:hAnsi="Times New Roman"/>
        </w:rPr>
      </w:pPr>
      <w:r>
        <w:rPr>
          <w:rFonts w:hint="eastAsia" w:ascii="Times New Roman" w:hAnsi="Times New Roman"/>
        </w:rPr>
        <w:t>2.1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24"/>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4666"/>
        <w:gridCol w:w="1529"/>
        <w:gridCol w:w="1908"/>
      </w:tblGrid>
      <w:tr w14:paraId="31408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63" w:type="dxa"/>
            <w:gridSpan w:val="4"/>
            <w:noWrap/>
            <w:vAlign w:val="center"/>
          </w:tcPr>
          <w:p w14:paraId="69F505B3">
            <w:pPr>
              <w:spacing w:line="400" w:lineRule="exact"/>
              <w:contextualSpacing/>
              <w:jc w:val="center"/>
              <w:rPr>
                <w:rFonts w:ascii="仿宋_GB2312" w:eastAsia="仿宋_GB2312"/>
                <w:color w:val="000000" w:themeColor="text1"/>
                <w:sz w:val="22"/>
                <w:szCs w:val="22"/>
              </w:rPr>
            </w:pPr>
            <w:r>
              <w:rPr>
                <w:rFonts w:hint="eastAsia" w:ascii="仿宋_GB2312" w:eastAsia="仿宋_GB2312"/>
                <w:color w:val="000000" w:themeColor="text1"/>
                <w:sz w:val="22"/>
                <w:szCs w:val="22"/>
              </w:rPr>
              <w:t>舟山市政府采购信用融资合作银行</w:t>
            </w:r>
          </w:p>
        </w:tc>
      </w:tr>
      <w:tr w14:paraId="6715C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0" w:type="dxa"/>
            <w:noWrap/>
            <w:vAlign w:val="center"/>
          </w:tcPr>
          <w:p w14:paraId="258A65D6">
            <w:pPr>
              <w:spacing w:line="400" w:lineRule="exact"/>
              <w:contextualSpacing/>
              <w:jc w:val="center"/>
              <w:rPr>
                <w:rFonts w:ascii="仿宋_GB2312" w:eastAsia="仿宋_GB2312"/>
                <w:color w:val="000000" w:themeColor="text1"/>
                <w:sz w:val="22"/>
                <w:szCs w:val="22"/>
              </w:rPr>
            </w:pPr>
            <w:r>
              <w:rPr>
                <w:rFonts w:hint="eastAsia" w:ascii="仿宋_GB2312" w:eastAsia="仿宋_GB2312"/>
                <w:color w:val="000000" w:themeColor="text1"/>
                <w:sz w:val="22"/>
                <w:szCs w:val="22"/>
              </w:rPr>
              <w:t>银行名称</w:t>
            </w:r>
          </w:p>
        </w:tc>
        <w:tc>
          <w:tcPr>
            <w:tcW w:w="4666" w:type="dxa"/>
            <w:noWrap/>
            <w:vAlign w:val="center"/>
          </w:tcPr>
          <w:p w14:paraId="4BB13B40">
            <w:pPr>
              <w:spacing w:line="400" w:lineRule="exact"/>
              <w:contextualSpacing/>
              <w:jc w:val="center"/>
              <w:rPr>
                <w:rFonts w:ascii="仿宋_GB2312" w:eastAsia="仿宋_GB2312"/>
                <w:color w:val="000000" w:themeColor="text1"/>
                <w:sz w:val="22"/>
                <w:szCs w:val="22"/>
              </w:rPr>
            </w:pPr>
            <w:r>
              <w:rPr>
                <w:rFonts w:hint="eastAsia" w:ascii="仿宋_GB2312" w:eastAsia="仿宋_GB2312"/>
                <w:color w:val="000000" w:themeColor="text1"/>
                <w:sz w:val="22"/>
                <w:szCs w:val="22"/>
              </w:rPr>
              <w:t>各银行介绍的产品特点</w:t>
            </w:r>
          </w:p>
        </w:tc>
        <w:tc>
          <w:tcPr>
            <w:tcW w:w="1529" w:type="dxa"/>
            <w:noWrap/>
            <w:vAlign w:val="center"/>
          </w:tcPr>
          <w:p w14:paraId="0410EE0C">
            <w:pPr>
              <w:spacing w:line="400" w:lineRule="exact"/>
              <w:contextualSpacing/>
              <w:jc w:val="center"/>
              <w:rPr>
                <w:rFonts w:ascii="仿宋_GB2312" w:eastAsia="仿宋_GB2312"/>
                <w:color w:val="000000" w:themeColor="text1"/>
                <w:sz w:val="22"/>
                <w:szCs w:val="22"/>
              </w:rPr>
            </w:pPr>
            <w:r>
              <w:rPr>
                <w:rFonts w:hint="eastAsia" w:ascii="仿宋_GB2312" w:eastAsia="仿宋_GB2312"/>
                <w:color w:val="000000" w:themeColor="text1"/>
                <w:sz w:val="22"/>
                <w:szCs w:val="22"/>
              </w:rPr>
              <w:t>经办人</w:t>
            </w:r>
          </w:p>
        </w:tc>
        <w:tc>
          <w:tcPr>
            <w:tcW w:w="1908" w:type="dxa"/>
            <w:noWrap/>
            <w:vAlign w:val="center"/>
          </w:tcPr>
          <w:p w14:paraId="77D2F519">
            <w:pPr>
              <w:spacing w:line="400" w:lineRule="exact"/>
              <w:contextualSpacing/>
              <w:jc w:val="center"/>
              <w:rPr>
                <w:rFonts w:ascii="仿宋_GB2312" w:eastAsia="仿宋_GB2312"/>
                <w:color w:val="000000" w:themeColor="text1"/>
                <w:sz w:val="22"/>
                <w:szCs w:val="22"/>
              </w:rPr>
            </w:pPr>
            <w:r>
              <w:rPr>
                <w:rFonts w:hint="eastAsia" w:ascii="仿宋_GB2312" w:eastAsia="仿宋_GB2312"/>
                <w:color w:val="000000" w:themeColor="text1"/>
                <w:sz w:val="22"/>
                <w:szCs w:val="22"/>
              </w:rPr>
              <w:t>联系方式</w:t>
            </w:r>
          </w:p>
        </w:tc>
      </w:tr>
      <w:tr w14:paraId="1DFC8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ign w:val="center"/>
          </w:tcPr>
          <w:p w14:paraId="3CB6C4C6">
            <w:p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中国工商银行股份有限公司舟山分行</w:t>
            </w:r>
          </w:p>
        </w:tc>
        <w:tc>
          <w:tcPr>
            <w:tcW w:w="4666" w:type="dxa"/>
            <w:noWrap/>
          </w:tcPr>
          <w:p w14:paraId="024284CA">
            <w:pPr>
              <w:numPr>
                <w:ilvl w:val="0"/>
                <w:numId w:val="9"/>
              </w:numPr>
              <w:spacing w:line="400" w:lineRule="exact"/>
              <w:contextualSpacing/>
              <w:rPr>
                <w:rFonts w:ascii="仿宋_GB2312" w:hAnsi="仿宋_GB2312" w:eastAsia="仿宋_GB2312" w:cs="仿宋_GB2312"/>
                <w:color w:val="000000" w:themeColor="text1"/>
                <w:sz w:val="22"/>
                <w:szCs w:val="22"/>
              </w:rPr>
            </w:pPr>
            <w:r>
              <w:rPr>
                <w:rFonts w:hint="eastAsia" w:ascii="仿宋_GB2312" w:hAnsi="仿宋_GB2312" w:eastAsia="仿宋_GB2312" w:cs="仿宋_GB2312"/>
                <w:color w:val="000000" w:themeColor="text1"/>
                <w:sz w:val="22"/>
                <w:szCs w:val="22"/>
              </w:rPr>
              <w:t>融资额度高，融资金额最高可至订单金额70%，线上申请，随借随还。2.融资利率低，最低可至当期LPR利率。</w:t>
            </w:r>
          </w:p>
          <w:p w14:paraId="21606DAF">
            <w:pPr>
              <w:spacing w:line="400" w:lineRule="exact"/>
              <w:contextualSpacing/>
              <w:rPr>
                <w:rFonts w:ascii="仿宋_GB2312" w:eastAsia="仿宋_GB2312"/>
                <w:color w:val="000000" w:themeColor="text1"/>
                <w:sz w:val="22"/>
                <w:szCs w:val="22"/>
              </w:rPr>
            </w:pPr>
            <w:r>
              <w:rPr>
                <w:rFonts w:hint="eastAsia" w:ascii="仿宋_GB2312" w:hAnsi="仿宋_GB2312" w:eastAsia="仿宋_GB2312" w:cs="仿宋_GB2312"/>
                <w:color w:val="000000" w:themeColor="text1"/>
                <w:sz w:val="22"/>
                <w:szCs w:val="22"/>
              </w:rPr>
              <w:t>3.担保方式灵活，以政府采购合同进行融资，无需另外抵押。</w:t>
            </w:r>
          </w:p>
        </w:tc>
        <w:tc>
          <w:tcPr>
            <w:tcW w:w="1529" w:type="dxa"/>
            <w:noWrap/>
            <w:vAlign w:val="center"/>
          </w:tcPr>
          <w:p w14:paraId="1CBDB858">
            <w:pPr>
              <w:spacing w:line="400" w:lineRule="exact"/>
              <w:contextualSpacing/>
              <w:jc w:val="center"/>
              <w:rPr>
                <w:rFonts w:ascii="仿宋_GB2312" w:eastAsia="仿宋_GB2312"/>
                <w:color w:val="000000" w:themeColor="text1"/>
                <w:sz w:val="22"/>
                <w:szCs w:val="22"/>
              </w:rPr>
            </w:pPr>
            <w:r>
              <w:rPr>
                <w:rFonts w:hint="eastAsia" w:ascii="仿宋_GB2312" w:eastAsia="仿宋_GB2312"/>
                <w:color w:val="000000" w:themeColor="text1"/>
                <w:sz w:val="22"/>
                <w:szCs w:val="22"/>
              </w:rPr>
              <w:t>柳超颖</w:t>
            </w:r>
          </w:p>
        </w:tc>
        <w:tc>
          <w:tcPr>
            <w:tcW w:w="1908" w:type="dxa"/>
            <w:noWrap/>
            <w:vAlign w:val="center"/>
          </w:tcPr>
          <w:p w14:paraId="5A8AA61A">
            <w:p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0580-2166242, 15858076468</w:t>
            </w:r>
          </w:p>
        </w:tc>
      </w:tr>
      <w:tr w14:paraId="2C5C1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noWrap/>
            <w:vAlign w:val="center"/>
          </w:tcPr>
          <w:p w14:paraId="51F9EA63">
            <w:p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中国建设银行股份有限公司舟山分行</w:t>
            </w:r>
          </w:p>
        </w:tc>
        <w:tc>
          <w:tcPr>
            <w:tcW w:w="4666" w:type="dxa"/>
            <w:noWrap/>
          </w:tcPr>
          <w:p w14:paraId="6FDB6F7D">
            <w:pPr>
              <w:numPr>
                <w:ilvl w:val="0"/>
                <w:numId w:val="10"/>
              </w:num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快速便捷：全流程线上操作，通过浙江省政府采购网数据审核信用额度，建行供应链平台快速放款。</w:t>
            </w:r>
          </w:p>
          <w:p w14:paraId="5DD2EC86">
            <w:pPr>
              <w:numPr>
                <w:ilvl w:val="0"/>
                <w:numId w:val="10"/>
              </w:num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申请额度高：单笔融资额度最高可达政府采购合同金额的90%，单户额度最高可达3000万。</w:t>
            </w:r>
          </w:p>
          <w:p w14:paraId="242B45CD">
            <w:pPr>
              <w:numPr>
                <w:ilvl w:val="0"/>
                <w:numId w:val="10"/>
              </w:num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无需额外抵押：以浙江省政府采购网备案公示的政府采购合同进行融资，无需额外抵押担保。</w:t>
            </w:r>
          </w:p>
          <w:p w14:paraId="5F62371D">
            <w:pPr>
              <w:numPr>
                <w:ilvl w:val="0"/>
                <w:numId w:val="10"/>
              </w:num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利率优惠：给予流动资金贷款最优惠利率。</w:t>
            </w:r>
          </w:p>
        </w:tc>
        <w:tc>
          <w:tcPr>
            <w:tcW w:w="1529" w:type="dxa"/>
            <w:noWrap/>
            <w:vAlign w:val="center"/>
          </w:tcPr>
          <w:p w14:paraId="159B0876">
            <w:pPr>
              <w:spacing w:line="400" w:lineRule="exact"/>
              <w:contextualSpacing/>
              <w:jc w:val="center"/>
              <w:rPr>
                <w:rFonts w:ascii="仿宋_GB2312" w:eastAsia="仿宋_GB2312"/>
                <w:color w:val="000000" w:themeColor="text1"/>
                <w:sz w:val="22"/>
                <w:szCs w:val="22"/>
              </w:rPr>
            </w:pPr>
            <w:r>
              <w:rPr>
                <w:rFonts w:hint="eastAsia" w:ascii="仿宋_GB2312" w:eastAsia="仿宋_GB2312"/>
                <w:color w:val="000000" w:themeColor="text1"/>
                <w:sz w:val="22"/>
                <w:szCs w:val="22"/>
              </w:rPr>
              <w:t>普陀片区：蔡妮妮</w:t>
            </w:r>
          </w:p>
          <w:p w14:paraId="5010F0CE">
            <w:pPr>
              <w:spacing w:line="400" w:lineRule="exact"/>
              <w:contextualSpacing/>
              <w:jc w:val="center"/>
              <w:rPr>
                <w:rFonts w:ascii="仿宋_GB2312" w:eastAsia="仿宋_GB2312"/>
                <w:color w:val="000000" w:themeColor="text1"/>
                <w:sz w:val="22"/>
                <w:szCs w:val="22"/>
              </w:rPr>
            </w:pPr>
            <w:r>
              <w:rPr>
                <w:rFonts w:hint="eastAsia" w:ascii="仿宋_GB2312" w:eastAsia="仿宋_GB2312"/>
                <w:color w:val="000000" w:themeColor="text1"/>
                <w:sz w:val="22"/>
                <w:szCs w:val="22"/>
              </w:rPr>
              <w:t>定海片区：杨莹</w:t>
            </w:r>
          </w:p>
          <w:p w14:paraId="54F93380">
            <w:pPr>
              <w:spacing w:line="400" w:lineRule="exact"/>
              <w:contextualSpacing/>
              <w:jc w:val="center"/>
              <w:rPr>
                <w:rFonts w:ascii="仿宋_GB2312" w:eastAsia="仿宋_GB2312"/>
                <w:color w:val="000000" w:themeColor="text1"/>
                <w:sz w:val="22"/>
                <w:szCs w:val="22"/>
              </w:rPr>
            </w:pPr>
            <w:r>
              <w:rPr>
                <w:rFonts w:hint="eastAsia" w:ascii="仿宋_GB2312" w:eastAsia="仿宋_GB2312"/>
                <w:color w:val="000000" w:themeColor="text1"/>
                <w:sz w:val="22"/>
                <w:szCs w:val="22"/>
              </w:rPr>
              <w:t>自贸区片区：方晓</w:t>
            </w:r>
          </w:p>
        </w:tc>
        <w:tc>
          <w:tcPr>
            <w:tcW w:w="1908" w:type="dxa"/>
            <w:noWrap/>
            <w:vAlign w:val="center"/>
          </w:tcPr>
          <w:p w14:paraId="59ACE305">
            <w:p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普陀片区：13957201791</w:t>
            </w:r>
          </w:p>
          <w:p w14:paraId="7DDCAD25">
            <w:p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定海片区：13655803997</w:t>
            </w:r>
          </w:p>
          <w:p w14:paraId="6F3590F7">
            <w:p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自贸区片区：13587086324</w:t>
            </w:r>
          </w:p>
        </w:tc>
      </w:tr>
      <w:tr w14:paraId="025A2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ign w:val="center"/>
          </w:tcPr>
          <w:p w14:paraId="3409E855">
            <w:p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杭州银行股份有限公司舟山市分行</w:t>
            </w:r>
          </w:p>
        </w:tc>
        <w:tc>
          <w:tcPr>
            <w:tcW w:w="4666" w:type="dxa"/>
            <w:noWrap/>
          </w:tcPr>
          <w:p w14:paraId="263E815D">
            <w:p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1529" w:type="dxa"/>
            <w:noWrap/>
            <w:vAlign w:val="center"/>
          </w:tcPr>
          <w:p w14:paraId="73D5ED04">
            <w:pPr>
              <w:spacing w:line="400" w:lineRule="exact"/>
              <w:contextualSpacing/>
              <w:jc w:val="center"/>
              <w:rPr>
                <w:rFonts w:ascii="仿宋_GB2312" w:eastAsia="仿宋_GB2312"/>
                <w:color w:val="000000" w:themeColor="text1"/>
                <w:sz w:val="22"/>
                <w:szCs w:val="22"/>
              </w:rPr>
            </w:pPr>
            <w:r>
              <w:rPr>
                <w:rFonts w:hint="eastAsia" w:ascii="仿宋_GB2312" w:eastAsia="仿宋_GB2312"/>
                <w:color w:val="000000" w:themeColor="text1"/>
                <w:sz w:val="22"/>
                <w:szCs w:val="22"/>
              </w:rPr>
              <w:t>方经理</w:t>
            </w:r>
          </w:p>
        </w:tc>
        <w:tc>
          <w:tcPr>
            <w:tcW w:w="1908" w:type="dxa"/>
            <w:noWrap/>
            <w:vAlign w:val="center"/>
          </w:tcPr>
          <w:p w14:paraId="30DABB1E">
            <w:p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0580-2185201，18205800451</w:t>
            </w:r>
          </w:p>
        </w:tc>
      </w:tr>
      <w:tr w14:paraId="690DD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ign w:val="center"/>
          </w:tcPr>
          <w:p w14:paraId="34D242DE">
            <w:p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招商银行股份有限公司浙江自贸试验区舟山分行</w:t>
            </w:r>
          </w:p>
        </w:tc>
        <w:tc>
          <w:tcPr>
            <w:tcW w:w="4666" w:type="dxa"/>
            <w:noWrap/>
          </w:tcPr>
          <w:p w14:paraId="2CDB6804">
            <w:pPr>
              <w:spacing w:line="400" w:lineRule="exact"/>
              <w:rPr>
                <w:sz w:val="20"/>
                <w:szCs w:val="22"/>
              </w:rPr>
            </w:pPr>
            <w:r>
              <w:rPr>
                <w:rFonts w:hint="eastAsia" w:ascii="仿宋_GB2312" w:hAnsi="仿宋_GB2312" w:eastAsia="仿宋_GB2312" w:cs="仿宋_GB2312"/>
                <w:sz w:val="22"/>
                <w:szCs w:val="22"/>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1529" w:type="dxa"/>
            <w:noWrap/>
            <w:vAlign w:val="center"/>
          </w:tcPr>
          <w:p w14:paraId="43C6E9FA">
            <w:pPr>
              <w:spacing w:line="400" w:lineRule="exact"/>
              <w:contextualSpacing/>
              <w:jc w:val="center"/>
              <w:rPr>
                <w:rFonts w:ascii="仿宋_GB2312" w:eastAsia="仿宋_GB2312"/>
                <w:color w:val="000000" w:themeColor="text1"/>
                <w:sz w:val="22"/>
                <w:szCs w:val="22"/>
              </w:rPr>
            </w:pPr>
            <w:r>
              <w:rPr>
                <w:rFonts w:hint="eastAsia" w:ascii="仿宋_GB2312" w:eastAsia="仿宋_GB2312"/>
                <w:color w:val="000000" w:themeColor="text1"/>
                <w:sz w:val="22"/>
                <w:szCs w:val="22"/>
              </w:rPr>
              <w:t>李玲</w:t>
            </w:r>
          </w:p>
        </w:tc>
        <w:tc>
          <w:tcPr>
            <w:tcW w:w="1908" w:type="dxa"/>
            <w:noWrap/>
            <w:vAlign w:val="center"/>
          </w:tcPr>
          <w:p w14:paraId="57A8FE96">
            <w:p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0580-2061710，13957227971</w:t>
            </w:r>
          </w:p>
        </w:tc>
      </w:tr>
      <w:tr w14:paraId="327F4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460" w:type="dxa"/>
            <w:noWrap/>
            <w:vAlign w:val="center"/>
          </w:tcPr>
          <w:p w14:paraId="776C24B9">
            <w:p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温州银行股份有限公司舟山市分行</w:t>
            </w:r>
          </w:p>
        </w:tc>
        <w:tc>
          <w:tcPr>
            <w:tcW w:w="4666" w:type="dxa"/>
            <w:noWrap/>
          </w:tcPr>
          <w:p w14:paraId="3E4C43FE">
            <w:pPr>
              <w:numPr>
                <w:ilvl w:val="0"/>
                <w:numId w:val="11"/>
              </w:num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单户授信敞口最高不超过1000万元，且最高额度核定一般不超过借款人（含实际控制人控制的其他经营实体）最近13个月合计有效中标合同金额的70%。</w:t>
            </w:r>
          </w:p>
          <w:p w14:paraId="3CB10479">
            <w:pPr>
              <w:numPr>
                <w:ilvl w:val="0"/>
                <w:numId w:val="11"/>
              </w:num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单笔借款额度最高不超过1000万元，单笔业务授信额度不超过“政采云平台”提供的中标通知书承载的中标金额或本次申请授信提供的采购合同金额的80%，且用信金额不超过采购合同未付金额的80%。</w:t>
            </w:r>
          </w:p>
          <w:p w14:paraId="76A01910">
            <w:pPr>
              <w:numPr>
                <w:ilvl w:val="0"/>
                <w:numId w:val="11"/>
              </w:num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借款人中标采购人自行采购项目并向我行发起授信申请的，单笔业务授信敞口不超500万元，且不超过借款人中标通知书承载的中标金额或本次申请授信提供的采购合同的80%。</w:t>
            </w:r>
          </w:p>
          <w:p w14:paraId="2F9F06FB">
            <w:pPr>
              <w:numPr>
                <w:ilvl w:val="0"/>
                <w:numId w:val="11"/>
              </w:num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符合我行采购人资质的，且负债率不超75%，配合应收账款质押登记确认的，并可出具确认函，单笔借款额度可按不超过采购合同的90%办理。</w:t>
            </w:r>
          </w:p>
        </w:tc>
        <w:tc>
          <w:tcPr>
            <w:tcW w:w="1529" w:type="dxa"/>
            <w:noWrap/>
            <w:vAlign w:val="center"/>
          </w:tcPr>
          <w:p w14:paraId="516A277B">
            <w:pPr>
              <w:spacing w:line="400" w:lineRule="exact"/>
              <w:contextualSpacing/>
              <w:jc w:val="center"/>
              <w:rPr>
                <w:rFonts w:ascii="仿宋_GB2312" w:hAnsi="Times New Roman" w:eastAsia="仿宋_GB2312" w:cs="Times New Roman"/>
                <w:color w:val="000000" w:themeColor="text1"/>
                <w:sz w:val="22"/>
                <w:szCs w:val="22"/>
              </w:rPr>
            </w:pPr>
            <w:r>
              <w:rPr>
                <w:rFonts w:hint="eastAsia" w:ascii="仿宋_GB2312" w:eastAsia="仿宋_GB2312"/>
                <w:color w:val="000000" w:themeColor="text1"/>
                <w:sz w:val="22"/>
                <w:szCs w:val="22"/>
              </w:rPr>
              <w:t>郑贤栋</w:t>
            </w:r>
          </w:p>
        </w:tc>
        <w:tc>
          <w:tcPr>
            <w:tcW w:w="1908" w:type="dxa"/>
            <w:noWrap/>
            <w:vAlign w:val="center"/>
          </w:tcPr>
          <w:p w14:paraId="7BC0F90F">
            <w:pPr>
              <w:spacing w:line="400" w:lineRule="exact"/>
              <w:contextualSpacing/>
              <w:rPr>
                <w:rFonts w:ascii="仿宋_GB2312" w:hAnsi="Times New Roman" w:eastAsia="仿宋_GB2312" w:cs="Times New Roman"/>
                <w:color w:val="000000" w:themeColor="text1"/>
                <w:sz w:val="22"/>
                <w:szCs w:val="22"/>
              </w:rPr>
            </w:pPr>
            <w:r>
              <w:rPr>
                <w:rFonts w:hint="eastAsia" w:ascii="仿宋_GB2312" w:eastAsia="仿宋_GB2312"/>
                <w:color w:val="000000" w:themeColor="text1"/>
                <w:sz w:val="22"/>
                <w:szCs w:val="22"/>
              </w:rPr>
              <w:t>058—8866086</w:t>
            </w:r>
          </w:p>
        </w:tc>
      </w:tr>
      <w:tr w14:paraId="172C9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ign w:val="center"/>
          </w:tcPr>
          <w:p w14:paraId="7D1E1782">
            <w:p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交通银行股份有限公司舟山分行</w:t>
            </w:r>
          </w:p>
        </w:tc>
        <w:tc>
          <w:tcPr>
            <w:tcW w:w="4666" w:type="dxa"/>
            <w:noWrap/>
          </w:tcPr>
          <w:p w14:paraId="4FFC85BB">
            <w:pPr>
              <w:spacing w:line="400" w:lineRule="exact"/>
              <w:contextualSpacing/>
              <w:rPr>
                <w:rFonts w:ascii="仿宋_GB2312" w:eastAsia="仿宋_GB2312"/>
                <w:color w:val="000000" w:themeColor="text1"/>
                <w:sz w:val="22"/>
                <w:szCs w:val="22"/>
              </w:rPr>
            </w:pPr>
            <w:r>
              <w:rPr>
                <w:rFonts w:hint="eastAsia" w:ascii="仿宋_GB2312" w:hAnsi="仿宋_GB2312" w:eastAsia="仿宋_GB2312" w:cs="仿宋_GB2312"/>
                <w:sz w:val="22"/>
                <w:szCs w:val="22"/>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sz w:val="20"/>
                <w:szCs w:val="22"/>
              </w:rPr>
              <w:t>PR</w:t>
            </w:r>
            <w:r>
              <w:rPr>
                <w:sz w:val="20"/>
                <w:szCs w:val="22"/>
              </w:rPr>
              <w:t>。</w:t>
            </w:r>
          </w:p>
        </w:tc>
        <w:tc>
          <w:tcPr>
            <w:tcW w:w="1529" w:type="dxa"/>
            <w:noWrap/>
            <w:vAlign w:val="center"/>
          </w:tcPr>
          <w:p w14:paraId="4A9FB960">
            <w:pPr>
              <w:spacing w:line="400" w:lineRule="exact"/>
              <w:contextualSpacing/>
              <w:jc w:val="center"/>
              <w:rPr>
                <w:rFonts w:ascii="仿宋_GB2312" w:eastAsia="仿宋_GB2312"/>
                <w:color w:val="000000" w:themeColor="text1"/>
                <w:sz w:val="22"/>
                <w:szCs w:val="22"/>
              </w:rPr>
            </w:pPr>
            <w:r>
              <w:rPr>
                <w:rFonts w:hint="eastAsia" w:ascii="仿宋_GB2312" w:eastAsia="仿宋_GB2312"/>
                <w:color w:val="000000" w:themeColor="text1"/>
                <w:sz w:val="22"/>
                <w:szCs w:val="22"/>
              </w:rPr>
              <w:t>赵争艳</w:t>
            </w:r>
          </w:p>
        </w:tc>
        <w:tc>
          <w:tcPr>
            <w:tcW w:w="1908" w:type="dxa"/>
            <w:noWrap/>
            <w:vAlign w:val="center"/>
          </w:tcPr>
          <w:p w14:paraId="3D351CFB">
            <w:p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0580-2260728</w:t>
            </w:r>
          </w:p>
          <w:p w14:paraId="0C047CCC">
            <w:p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13758007280</w:t>
            </w:r>
          </w:p>
        </w:tc>
      </w:tr>
      <w:tr w14:paraId="68F33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ign w:val="center"/>
          </w:tcPr>
          <w:p w14:paraId="1539F181">
            <w:p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中信银行股份有限公司舟山分行</w:t>
            </w:r>
          </w:p>
        </w:tc>
        <w:tc>
          <w:tcPr>
            <w:tcW w:w="4666" w:type="dxa"/>
            <w:noWrap/>
          </w:tcPr>
          <w:p w14:paraId="1ABAC2F7">
            <w:p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1529" w:type="dxa"/>
            <w:noWrap/>
            <w:vAlign w:val="center"/>
          </w:tcPr>
          <w:p w14:paraId="5BD01E1D">
            <w:pPr>
              <w:spacing w:line="400" w:lineRule="exact"/>
              <w:contextualSpacing/>
              <w:jc w:val="center"/>
              <w:rPr>
                <w:rFonts w:ascii="仿宋_GB2312" w:hAnsi="Times New Roman" w:eastAsia="仿宋_GB2312" w:cs="Times New Roman"/>
                <w:color w:val="000000" w:themeColor="text1"/>
                <w:sz w:val="22"/>
                <w:szCs w:val="22"/>
              </w:rPr>
            </w:pPr>
            <w:r>
              <w:rPr>
                <w:rFonts w:ascii="仿宋_GB2312" w:eastAsia="仿宋_GB2312"/>
                <w:color w:val="000000" w:themeColor="text1"/>
                <w:sz w:val="22"/>
                <w:szCs w:val="22"/>
              </w:rPr>
              <w:t>黄丽</w:t>
            </w:r>
          </w:p>
        </w:tc>
        <w:tc>
          <w:tcPr>
            <w:tcW w:w="1908" w:type="dxa"/>
            <w:noWrap/>
            <w:vAlign w:val="center"/>
          </w:tcPr>
          <w:p w14:paraId="095E6E2C">
            <w:pPr>
              <w:spacing w:line="400" w:lineRule="exact"/>
              <w:contextualSpacing/>
              <w:rPr>
                <w:rFonts w:ascii="仿宋_GB2312" w:hAnsi="Times New Roman" w:eastAsia="仿宋_GB2312" w:cs="Times New Roman"/>
                <w:color w:val="000000" w:themeColor="text1"/>
                <w:sz w:val="22"/>
                <w:szCs w:val="22"/>
              </w:rPr>
            </w:pPr>
            <w:r>
              <w:rPr>
                <w:rFonts w:ascii="仿宋_GB2312" w:eastAsia="仿宋_GB2312"/>
                <w:color w:val="000000" w:themeColor="text1"/>
                <w:sz w:val="22"/>
                <w:szCs w:val="22"/>
              </w:rPr>
              <w:t>13905808032</w:t>
            </w:r>
          </w:p>
        </w:tc>
      </w:tr>
      <w:tr w14:paraId="1540C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ign w:val="center"/>
          </w:tcPr>
          <w:p w14:paraId="75B6101A">
            <w:p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泰隆银行舟山市分行</w:t>
            </w:r>
          </w:p>
        </w:tc>
        <w:tc>
          <w:tcPr>
            <w:tcW w:w="4666" w:type="dxa"/>
            <w:noWrap/>
          </w:tcPr>
          <w:p w14:paraId="5F99E4FB">
            <w:p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1529" w:type="dxa"/>
            <w:noWrap/>
            <w:vAlign w:val="center"/>
          </w:tcPr>
          <w:p w14:paraId="66D930B8">
            <w:pPr>
              <w:spacing w:line="400" w:lineRule="exact"/>
              <w:contextualSpacing/>
              <w:jc w:val="center"/>
              <w:rPr>
                <w:rFonts w:ascii="仿宋_GB2312" w:eastAsia="仿宋_GB2312"/>
                <w:color w:val="000000" w:themeColor="text1"/>
                <w:sz w:val="22"/>
                <w:szCs w:val="22"/>
              </w:rPr>
            </w:pPr>
            <w:r>
              <w:rPr>
                <w:rFonts w:hint="eastAsia" w:ascii="仿宋_GB2312" w:eastAsia="仿宋_GB2312"/>
                <w:color w:val="000000" w:themeColor="text1"/>
                <w:sz w:val="22"/>
                <w:szCs w:val="22"/>
              </w:rPr>
              <w:t>胡亢宇</w:t>
            </w:r>
          </w:p>
        </w:tc>
        <w:tc>
          <w:tcPr>
            <w:tcW w:w="1908" w:type="dxa"/>
            <w:noWrap/>
            <w:vAlign w:val="center"/>
          </w:tcPr>
          <w:p w14:paraId="7F8B203E">
            <w:p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17605868703</w:t>
            </w:r>
          </w:p>
        </w:tc>
      </w:tr>
      <w:tr w14:paraId="16B89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ign w:val="center"/>
          </w:tcPr>
          <w:p w14:paraId="3133E657">
            <w:p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中国农业银行股份有限公司舟山分行</w:t>
            </w:r>
          </w:p>
        </w:tc>
        <w:tc>
          <w:tcPr>
            <w:tcW w:w="4666" w:type="dxa"/>
            <w:noWrap/>
          </w:tcPr>
          <w:p w14:paraId="41F9EDAD">
            <w:pPr>
              <w:spacing w:line="400" w:lineRule="exact"/>
              <w:contextualSpacing/>
              <w:rPr>
                <w:rFonts w:ascii="仿宋_GB2312" w:hAnsi="Times New Roman" w:eastAsia="仿宋_GB2312" w:cs="Times New Roman"/>
                <w:color w:val="000000" w:themeColor="text1"/>
                <w:sz w:val="22"/>
                <w:szCs w:val="22"/>
              </w:rPr>
            </w:pPr>
            <w:r>
              <w:rPr>
                <w:rFonts w:hint="eastAsia" w:ascii="仿宋_GB2312" w:eastAsia="仿宋_GB2312"/>
                <w:color w:val="000000" w:themeColor="text1"/>
                <w:sz w:val="22"/>
                <w:szCs w:val="22"/>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1529" w:type="dxa"/>
            <w:noWrap/>
            <w:vAlign w:val="center"/>
          </w:tcPr>
          <w:p w14:paraId="7B4D164A">
            <w:pPr>
              <w:spacing w:line="400" w:lineRule="exact"/>
              <w:contextualSpacing/>
              <w:jc w:val="center"/>
              <w:rPr>
                <w:rFonts w:ascii="仿宋_GB2312" w:hAnsi="Times New Roman" w:eastAsia="仿宋_GB2312" w:cs="Times New Roman"/>
                <w:color w:val="000000" w:themeColor="text1"/>
                <w:sz w:val="22"/>
                <w:szCs w:val="22"/>
              </w:rPr>
            </w:pPr>
            <w:r>
              <w:rPr>
                <w:rFonts w:hint="eastAsia" w:ascii="仿宋_GB2312" w:eastAsia="仿宋_GB2312"/>
                <w:color w:val="000000" w:themeColor="text1"/>
                <w:sz w:val="22"/>
                <w:szCs w:val="22"/>
              </w:rPr>
              <w:t>苏华瞻</w:t>
            </w:r>
          </w:p>
        </w:tc>
        <w:tc>
          <w:tcPr>
            <w:tcW w:w="1908" w:type="dxa"/>
            <w:noWrap/>
            <w:vAlign w:val="center"/>
          </w:tcPr>
          <w:p w14:paraId="4DC3B5FB">
            <w:pPr>
              <w:spacing w:line="400" w:lineRule="exact"/>
              <w:contextualSpacing/>
              <w:jc w:val="center"/>
              <w:rPr>
                <w:rFonts w:ascii="仿宋_GB2312" w:hAnsi="Times New Roman" w:eastAsia="仿宋_GB2312" w:cs="Times New Roman"/>
                <w:color w:val="000000" w:themeColor="text1"/>
                <w:sz w:val="22"/>
                <w:szCs w:val="22"/>
              </w:rPr>
            </w:pPr>
            <w:r>
              <w:rPr>
                <w:rFonts w:hint="eastAsia" w:ascii="仿宋_GB2312" w:eastAsia="仿宋_GB2312"/>
                <w:color w:val="000000" w:themeColor="text1"/>
                <w:sz w:val="22"/>
                <w:szCs w:val="22"/>
              </w:rPr>
              <w:t>13967228926</w:t>
            </w:r>
          </w:p>
        </w:tc>
      </w:tr>
      <w:tr w14:paraId="202EA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ign w:val="center"/>
          </w:tcPr>
          <w:p w14:paraId="48E65ABA">
            <w:p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中国邮政储蓄银行股份有限公司舟山市分行</w:t>
            </w:r>
          </w:p>
        </w:tc>
        <w:tc>
          <w:tcPr>
            <w:tcW w:w="4666" w:type="dxa"/>
            <w:noWrap/>
          </w:tcPr>
          <w:p w14:paraId="597C6AAE">
            <w:pPr>
              <w:tabs>
                <w:tab w:val="left" w:pos="0"/>
              </w:tabs>
              <w:spacing w:line="400" w:lineRule="exact"/>
              <w:rPr>
                <w:rFonts w:ascii="仿宋_GB2312" w:hAnsi="Times New Roman" w:eastAsia="仿宋_GB2312" w:cs="Times New Roman"/>
                <w:color w:val="000000" w:themeColor="text1"/>
                <w:sz w:val="22"/>
                <w:szCs w:val="22"/>
              </w:rPr>
            </w:pPr>
            <w:r>
              <w:rPr>
                <w:rFonts w:hint="eastAsia" w:ascii="仿宋_GB2312" w:hAnsi="Times New Roman" w:eastAsia="仿宋_GB2312" w:cs="Times New Roman"/>
                <w:color w:val="000000" w:themeColor="text1"/>
                <w:sz w:val="22"/>
                <w:szCs w:val="22"/>
              </w:rPr>
              <w:t>符合我行基本准入，授信额度使用期最高为2年，单户授信最高为500万，担保方式</w:t>
            </w:r>
            <w:r>
              <w:rPr>
                <w:rFonts w:hint="eastAsia" w:ascii="仿宋_GB2312" w:eastAsia="仿宋_GB2312"/>
                <w:color w:val="000000" w:themeColor="text1"/>
                <w:sz w:val="22"/>
                <w:szCs w:val="22"/>
              </w:rPr>
              <w:t>享受信用贷款执行</w:t>
            </w:r>
            <w:r>
              <w:rPr>
                <w:rFonts w:hint="eastAsia" w:ascii="仿宋_GB2312" w:hAnsi="Times New Roman" w:eastAsia="仿宋_GB2312" w:cs="Times New Roman"/>
                <w:color w:val="000000" w:themeColor="text1"/>
                <w:sz w:val="22"/>
                <w:szCs w:val="22"/>
              </w:rPr>
              <w:t>，利率最低可至当期LPR ，有无还本续贷，12月份线上产品可以自主自贷。</w:t>
            </w:r>
          </w:p>
        </w:tc>
        <w:tc>
          <w:tcPr>
            <w:tcW w:w="1529" w:type="dxa"/>
            <w:noWrap/>
            <w:vAlign w:val="center"/>
          </w:tcPr>
          <w:p w14:paraId="69E45D87">
            <w:pPr>
              <w:spacing w:line="400" w:lineRule="exact"/>
              <w:contextualSpacing/>
              <w:jc w:val="center"/>
              <w:rPr>
                <w:rFonts w:ascii="仿宋_GB2312" w:hAnsi="Times New Roman" w:eastAsia="仿宋_GB2312" w:cs="Times New Roman"/>
                <w:color w:val="000000" w:themeColor="text1"/>
                <w:sz w:val="22"/>
                <w:szCs w:val="22"/>
              </w:rPr>
            </w:pPr>
            <w:r>
              <w:rPr>
                <w:rFonts w:hint="eastAsia" w:ascii="仿宋_GB2312" w:eastAsia="仿宋_GB2312"/>
                <w:color w:val="000000" w:themeColor="text1"/>
                <w:sz w:val="22"/>
                <w:szCs w:val="22"/>
              </w:rPr>
              <w:t>蒋志燕</w:t>
            </w:r>
          </w:p>
        </w:tc>
        <w:tc>
          <w:tcPr>
            <w:tcW w:w="1908" w:type="dxa"/>
            <w:noWrap/>
            <w:vAlign w:val="center"/>
          </w:tcPr>
          <w:p w14:paraId="472E77AC">
            <w:pPr>
              <w:spacing w:line="400" w:lineRule="exact"/>
              <w:contextualSpacing/>
              <w:rPr>
                <w:rFonts w:ascii="仿宋_GB2312" w:hAnsi="Times New Roman" w:eastAsia="仿宋_GB2312" w:cs="Times New Roman"/>
                <w:color w:val="000000" w:themeColor="text1"/>
                <w:sz w:val="22"/>
                <w:szCs w:val="22"/>
              </w:rPr>
            </w:pPr>
            <w:r>
              <w:rPr>
                <w:rFonts w:hint="eastAsia" w:ascii="仿宋_GB2312" w:eastAsia="仿宋_GB2312"/>
                <w:color w:val="000000" w:themeColor="text1"/>
                <w:sz w:val="22"/>
                <w:szCs w:val="22"/>
              </w:rPr>
              <w:t>13732527321</w:t>
            </w:r>
          </w:p>
        </w:tc>
      </w:tr>
    </w:tbl>
    <w:p w14:paraId="1CE9E316">
      <w:pPr>
        <w:rPr>
          <w:rFonts w:ascii="Times New Roman" w:hAnsi="Times New Roman"/>
          <w:bCs/>
        </w:rPr>
      </w:pPr>
      <w:r>
        <w:rPr>
          <w:rFonts w:hint="eastAsia" w:ascii="Times New Roman" w:hAnsi="Times New Roman"/>
          <w:bCs/>
        </w:rPr>
        <w:t>2.2一般步骤</w:t>
      </w:r>
    </w:p>
    <w:p w14:paraId="3514BE95">
      <w:pPr>
        <w:rPr>
          <w:rFonts w:ascii="Times New Roman" w:hAnsi="Times New Roman"/>
          <w:bCs/>
        </w:rPr>
      </w:pPr>
      <w:r>
        <w:rPr>
          <w:rFonts w:hint="eastAsia" w:ascii="Times New Roman" w:hAnsi="Times New Roman"/>
          <w:bCs/>
        </w:rPr>
        <w:t>（1）供应商先与银行对接，办理融资前期手续；</w:t>
      </w:r>
    </w:p>
    <w:p w14:paraId="2C091877">
      <w:pPr>
        <w:rPr>
          <w:rFonts w:ascii="Times New Roman" w:hAnsi="Times New Roman"/>
          <w:bCs/>
        </w:rPr>
      </w:pPr>
      <w:r>
        <w:rPr>
          <w:rFonts w:hint="eastAsia" w:ascii="Times New Roman" w:hAnsi="Times New Roman"/>
          <w:bCs/>
        </w:rPr>
        <w:t>（2）供应商中标后，凭中标通知书等材料，向相关合作银行发出融资申请；</w:t>
      </w:r>
    </w:p>
    <w:p w14:paraId="42703282">
      <w:pPr>
        <w:rPr>
          <w:rFonts w:ascii="Times New Roman" w:hAnsi="Times New Roman"/>
          <w:bCs/>
        </w:rPr>
      </w:pPr>
      <w:r>
        <w:rPr>
          <w:rFonts w:hint="eastAsia" w:ascii="Times New Roman" w:hAnsi="Times New Roman"/>
          <w:bCs/>
        </w:rPr>
        <w:t>（3）银行、供应商线上办理审批、放贷事宜。</w:t>
      </w:r>
    </w:p>
    <w:p w14:paraId="7FAA29F2">
      <w:pPr>
        <w:rPr>
          <w:rFonts w:ascii="Times New Roman" w:hAnsi="Times New Roman"/>
          <w:bCs/>
        </w:rPr>
      </w:pPr>
      <w:r>
        <w:rPr>
          <w:rFonts w:hint="eastAsia" w:ascii="Times New Roman" w:hAnsi="Times New Roman"/>
          <w:bCs/>
        </w:rPr>
        <w:t>2.3注意事项</w:t>
      </w:r>
    </w:p>
    <w:p w14:paraId="48A33DD7">
      <w:pPr>
        <w:rPr>
          <w:rFonts w:ascii="Times New Roman" w:hAnsi="Times New Roman"/>
          <w:bCs/>
        </w:rPr>
      </w:pPr>
      <w:r>
        <w:rPr>
          <w:rFonts w:hint="eastAsia" w:ascii="Times New Roman" w:hAnsi="Times New Roman"/>
          <w:bCs/>
        </w:rPr>
        <w:t>（1）中标供应商需确保政府采购合同的收款账户与融资银行开户账户一致。</w:t>
      </w:r>
    </w:p>
    <w:p w14:paraId="5034FE93">
      <w:pPr>
        <w:rPr>
          <w:rFonts w:ascii="Times New Roman" w:hAnsi="Times New Roman"/>
          <w:bCs/>
        </w:rPr>
      </w:pPr>
      <w:r>
        <w:rPr>
          <w:rFonts w:hint="eastAsia" w:ascii="Times New Roman" w:hAnsi="Times New Roman"/>
          <w:bCs/>
        </w:rPr>
        <w:t>（2）用于政府采购信用融资的政府采购合同，应当包含如下条款：“第条：政府采购合同贷款</w:t>
      </w:r>
    </w:p>
    <w:p w14:paraId="005EC886">
      <w:pPr>
        <w:ind w:firstLine="420" w:firstLineChars="200"/>
        <w:rPr>
          <w:rFonts w:ascii="Times New Roman" w:hAnsi="Times New Roman"/>
          <w:bCs/>
        </w:rPr>
      </w:pPr>
      <w:r>
        <w:rPr>
          <w:rFonts w:hint="eastAsia" w:ascii="Times New Roman" w:hAnsi="Times New Roman"/>
          <w:bCs/>
        </w:rPr>
        <w:t>本合同同时用于乙方向银行（金融机构）申请政府采购信用贷款。</w:t>
      </w:r>
    </w:p>
    <w:p w14:paraId="4991A208">
      <w:pPr>
        <w:ind w:firstLine="420" w:firstLineChars="200"/>
        <w:rPr>
          <w:rFonts w:ascii="Times New Roman" w:hAnsi="Times New Roman"/>
          <w:bCs/>
        </w:rPr>
      </w:pPr>
      <w:r>
        <w:rPr>
          <w:rFonts w:hint="eastAsia" w:ascii="Times New Roman" w:hAnsi="Times New Roman"/>
          <w:bCs/>
        </w:rPr>
        <w:t>本合同一经签订，原则上不得更改乙方收款账户信息。确须更改的，乙方应取得原合同收款账户开户银行书面同意，否则修改后的合同不予备案，采购资金不予支付。”</w:t>
      </w:r>
    </w:p>
    <w:p w14:paraId="45F01F50">
      <w:pPr>
        <w:pStyle w:val="57"/>
        <w:snapToGrid w:val="0"/>
        <w:spacing w:before="159" w:after="159" w:line="360" w:lineRule="auto"/>
        <w:ind w:right="-87"/>
        <w:rPr>
          <w:rFonts w:ascii="Times New Roman" w:hAnsi="Times New Roman" w:cs="Times New Roman"/>
        </w:rPr>
        <w:sectPr>
          <w:footerReference r:id="rId4" w:type="first"/>
          <w:footerReference r:id="rId3" w:type="default"/>
          <w:pgSz w:w="11906" w:h="16838"/>
          <w:pgMar w:top="1531" w:right="1230" w:bottom="1531" w:left="1230" w:header="850" w:footer="584" w:gutter="0"/>
          <w:cols w:space="0" w:num="1"/>
          <w:titlePg/>
          <w:docGrid w:type="lines" w:linePitch="318" w:charSpace="0"/>
        </w:sectPr>
      </w:pPr>
    </w:p>
    <w:p w14:paraId="31CC6A99">
      <w:pPr>
        <w:spacing w:line="360" w:lineRule="auto"/>
        <w:contextualSpacing/>
        <w:jc w:val="center"/>
        <w:rPr>
          <w:rFonts w:ascii="Times New Roman" w:hAnsi="Times New Roman" w:cs="Times New Roman"/>
          <w:b/>
          <w:bCs/>
          <w:color w:val="000000" w:themeColor="text1"/>
          <w:sz w:val="30"/>
          <w:szCs w:val="30"/>
        </w:rPr>
      </w:pPr>
      <w:r>
        <w:rPr>
          <w:rFonts w:ascii="Times New Roman" w:hAnsi="Times New Roman" w:cs="Times New Roman"/>
          <w:b/>
          <w:bCs/>
          <w:color w:val="000000" w:themeColor="text1"/>
          <w:sz w:val="30"/>
          <w:szCs w:val="30"/>
        </w:rPr>
        <w:t>第四章评标办法及评分标准</w:t>
      </w:r>
    </w:p>
    <w:p w14:paraId="69A004BB">
      <w:pPr>
        <w:spacing w:line="360" w:lineRule="auto"/>
        <w:ind w:firstLine="420" w:firstLineChars="200"/>
        <w:contextualSpacing/>
        <w:rPr>
          <w:rFonts w:ascii="Times New Roman" w:hAnsi="Times New Roman" w:cs="Times New Roman"/>
          <w:b/>
          <w:bCs/>
          <w:color w:val="000000" w:themeColor="text1"/>
        </w:rPr>
      </w:pPr>
      <w:r>
        <w:rPr>
          <w:rFonts w:ascii="Times New Roman" w:hAnsi="Times New Roman" w:cs="Times New Roman"/>
          <w:color w:val="000000" w:themeColor="text1"/>
        </w:rPr>
        <w:t>为公正、公平、科学地选择成交人，根据《中华人民共和国政府采购法》等有关法律法规的规定，并结合本项目的实际，制定本办法，本办法适用本项目的评标。</w:t>
      </w:r>
    </w:p>
    <w:p w14:paraId="1BEC35E2">
      <w:pPr>
        <w:autoSpaceDE w:val="0"/>
        <w:autoSpaceDN w:val="0"/>
        <w:spacing w:line="360" w:lineRule="auto"/>
        <w:contextualSpacing/>
        <w:rPr>
          <w:rFonts w:ascii="Times New Roman" w:hAnsi="Times New Roman" w:cs="Times New Roman"/>
          <w:b/>
          <w:bCs/>
          <w:color w:val="000000" w:themeColor="text1"/>
        </w:rPr>
      </w:pPr>
      <w:r>
        <w:rPr>
          <w:rFonts w:ascii="Times New Roman" w:hAnsi="Times New Roman" w:cs="Times New Roman"/>
          <w:b/>
          <w:bCs/>
          <w:color w:val="000000" w:themeColor="text1"/>
        </w:rPr>
        <w:t>一、中标候选人的选取</w:t>
      </w:r>
    </w:p>
    <w:p w14:paraId="65D86857">
      <w:pPr>
        <w:spacing w:line="360" w:lineRule="auto"/>
        <w:ind w:firstLine="420" w:firstLineChars="200"/>
        <w:contextualSpacing/>
        <w:rPr>
          <w:rFonts w:ascii="Times New Roman" w:hAnsi="Times New Roman" w:cs="Times New Roman"/>
          <w:b/>
          <w:bCs/>
          <w:color w:val="000000" w:themeColor="text1"/>
          <w:lang w:val="zh-CN"/>
        </w:rPr>
      </w:pPr>
      <w:r>
        <w:rPr>
          <w:rFonts w:ascii="Times New Roman" w:hAnsi="Times New Roman" w:cs="Times New Roman"/>
          <w:color w:val="000000" w:themeColor="text1"/>
        </w:rPr>
        <w:t>将综合评估分从高到低排序，得出参投标人名次</w:t>
      </w:r>
      <w:r>
        <w:rPr>
          <w:rFonts w:hint="eastAsia" w:ascii="Times New Roman" w:hAnsi="Times New Roman" w:cs="Times New Roman"/>
          <w:color w:val="000000" w:themeColor="text1"/>
        </w:rPr>
        <w:t>，</w:t>
      </w:r>
      <w:r>
        <w:rPr>
          <w:rFonts w:ascii="Times New Roman" w:hAnsi="Times New Roman" w:cs="Times New Roman"/>
          <w:color w:val="000000" w:themeColor="text1"/>
        </w:rPr>
        <w:t>按照综合评估分名次推荐中标候选人3名。得分相同时，按投标报价由低到高顺序排列，得分且投标报价相同的，按技术指标优劣顺序排列。</w:t>
      </w:r>
    </w:p>
    <w:p w14:paraId="5E12F72C">
      <w:pPr>
        <w:spacing w:line="360" w:lineRule="auto"/>
        <w:contextualSpacing/>
        <w:rPr>
          <w:rFonts w:ascii="Times New Roman" w:hAnsi="Times New Roman" w:cs="Times New Roman"/>
          <w:b/>
          <w:bCs/>
          <w:color w:val="000000" w:themeColor="text1"/>
        </w:rPr>
      </w:pPr>
      <w:r>
        <w:rPr>
          <w:rFonts w:ascii="Times New Roman" w:hAnsi="Times New Roman" w:cs="Times New Roman"/>
          <w:b/>
          <w:bCs/>
          <w:color w:val="000000" w:themeColor="text1"/>
        </w:rPr>
        <w:t>二、成交人选取依据</w:t>
      </w:r>
    </w:p>
    <w:p w14:paraId="5BD86143">
      <w:pPr>
        <w:spacing w:line="360" w:lineRule="auto"/>
        <w:ind w:firstLine="420" w:firstLineChars="200"/>
        <w:contextualSpacing/>
        <w:rPr>
          <w:rFonts w:ascii="Times New Roman" w:hAnsi="Times New Roman" w:cs="Times New Roman"/>
          <w:color w:val="000000" w:themeColor="text1"/>
        </w:rPr>
      </w:pPr>
      <w:r>
        <w:rPr>
          <w:rFonts w:ascii="Times New Roman" w:hAnsi="Times New Roman" w:cs="Times New Roman"/>
          <w:color w:val="000000" w:themeColor="text1"/>
        </w:rPr>
        <w:t>评审小组根据综合评估分得分排序，推荐第一名中标候选人为中标人，经采购人确认后，确定项目中标人，同时发布采购结果公告，发出中标通知书。</w:t>
      </w:r>
    </w:p>
    <w:p w14:paraId="25E973DE">
      <w:pPr>
        <w:spacing w:line="360" w:lineRule="auto"/>
        <w:contextualSpacing/>
        <w:rPr>
          <w:rFonts w:ascii="Times New Roman" w:hAnsi="Times New Roman" w:cs="Times New Roman"/>
          <w:b/>
          <w:bCs/>
          <w:color w:val="000000" w:themeColor="text1"/>
        </w:rPr>
      </w:pPr>
      <w:r>
        <w:rPr>
          <w:rFonts w:ascii="Times New Roman" w:hAnsi="Times New Roman" w:cs="Times New Roman"/>
          <w:b/>
          <w:bCs/>
          <w:color w:val="000000" w:themeColor="text1"/>
        </w:rPr>
        <w:t>三、综合评估分计分方法</w:t>
      </w:r>
    </w:p>
    <w:p w14:paraId="50C07AA4">
      <w:pPr>
        <w:autoSpaceDE w:val="0"/>
        <w:autoSpaceDN w:val="0"/>
        <w:spacing w:line="360" w:lineRule="auto"/>
        <w:ind w:firstLine="420" w:firstLineChars="200"/>
        <w:contextualSpacing/>
        <w:rPr>
          <w:rFonts w:ascii="Times New Roman" w:hAnsi="Times New Roman" w:cs="Times New Roman"/>
          <w:color w:val="000000" w:themeColor="text1"/>
          <w:lang w:val="zh-CN"/>
        </w:rPr>
      </w:pPr>
      <w:r>
        <w:rPr>
          <w:rFonts w:ascii="Times New Roman" w:hAnsi="Times New Roman" w:cs="Times New Roman"/>
          <w:color w:val="000000" w:themeColor="text1"/>
          <w:lang w:val="zh-CN"/>
        </w:rPr>
        <w:t>满足采购文件要求且投标价格最低的投标报价为评标基准价，其价格分为满分，其他投标人的价格分按下列公式计算：投标报价得分＝（评标基准价/投标报价）×价格权重×100。</w:t>
      </w:r>
    </w:p>
    <w:p w14:paraId="35282252">
      <w:pPr>
        <w:pStyle w:val="2"/>
        <w:spacing w:line="360" w:lineRule="auto"/>
        <w:ind w:firstLine="420" w:firstLineChars="200"/>
        <w:rPr>
          <w:rFonts w:ascii="Times New Roman" w:hAnsi="Times New Roman" w:cs="Times New Roman"/>
          <w:color w:val="000000" w:themeColor="text1"/>
          <w:kern w:val="2"/>
          <w:sz w:val="21"/>
          <w:szCs w:val="21"/>
          <w:lang w:val="zh-CN"/>
        </w:rPr>
      </w:pPr>
      <w:r>
        <w:rPr>
          <w:rFonts w:ascii="Times New Roman" w:hAnsi="Times New Roman" w:cs="Times New Roman"/>
          <w:color w:val="000000" w:themeColor="text1"/>
          <w:kern w:val="2"/>
          <w:sz w:val="21"/>
          <w:szCs w:val="21"/>
          <w:lang w:val="zh-CN"/>
        </w:rPr>
        <w:t>根据《政府采购促进中小企业发展暂行办法》第五条</w:t>
      </w:r>
      <w:r>
        <w:rPr>
          <w:rFonts w:hint="eastAsia" w:ascii="Times New Roman" w:hAnsi="Times New Roman" w:cs="Times New Roman"/>
          <w:color w:val="000000" w:themeColor="text1"/>
          <w:kern w:val="2"/>
          <w:sz w:val="21"/>
          <w:szCs w:val="21"/>
          <w:lang w:val="zh-CN"/>
        </w:rPr>
        <w:t>、浙财采监[2022]3号</w:t>
      </w:r>
      <w:r>
        <w:rPr>
          <w:rFonts w:ascii="Times New Roman" w:hAnsi="Times New Roman" w:cs="Times New Roman"/>
          <w:color w:val="000000" w:themeColor="text1"/>
          <w:kern w:val="2"/>
          <w:sz w:val="21"/>
          <w:szCs w:val="21"/>
          <w:lang w:val="zh-CN"/>
        </w:rPr>
        <w:t>的规定，本项目针对小型和微型企业产品的价格给予</w:t>
      </w:r>
      <w:r>
        <w:rPr>
          <w:rFonts w:hint="eastAsia" w:ascii="Times New Roman" w:hAnsi="Times New Roman" w:cs="Times New Roman"/>
          <w:color w:val="000000" w:themeColor="text1"/>
          <w:kern w:val="2"/>
          <w:sz w:val="21"/>
          <w:szCs w:val="21"/>
          <w:lang w:val="zh-CN"/>
        </w:rPr>
        <w:t>10</w:t>
      </w:r>
      <w:r>
        <w:rPr>
          <w:rFonts w:ascii="Times New Roman" w:hAnsi="Times New Roman" w:cs="Times New Roman"/>
          <w:color w:val="000000" w:themeColor="text1"/>
          <w:kern w:val="2"/>
          <w:sz w:val="21"/>
          <w:szCs w:val="21"/>
          <w:lang w:val="zh-CN"/>
        </w:rPr>
        <w:t>%的扣除的优惠，用扣除后的价格参与评审（若为联合体投标的，其小微企业价格扣除优惠按第三章投标人须知中的相关说明进行认定）。</w:t>
      </w:r>
    </w:p>
    <w:p w14:paraId="6519DE7C">
      <w:pPr>
        <w:autoSpaceDE w:val="0"/>
        <w:autoSpaceDN w:val="0"/>
        <w:spacing w:line="360" w:lineRule="auto"/>
        <w:ind w:firstLine="420" w:firstLineChars="200"/>
        <w:contextualSpacing/>
        <w:rPr>
          <w:rFonts w:ascii="Times New Roman" w:hAnsi="Times New Roman" w:cs="Times New Roman"/>
          <w:color w:val="000000" w:themeColor="text1"/>
        </w:rPr>
      </w:pPr>
      <w:r>
        <w:rPr>
          <w:rFonts w:ascii="Times New Roman" w:hAnsi="Times New Roman" w:cs="Times New Roman"/>
          <w:color w:val="000000" w:themeColor="text1"/>
        </w:rPr>
        <w:t>在评分时，各投标人投标报价得分保留小数点后二位，第三位四舍五入。评审专家打分准确到小数点后一位，综合评估分=商务技术部分得分＋投标报价得分，商务技术部分得分为所有评委评分的算术平均值，得分保留小数点后二位。</w:t>
      </w:r>
    </w:p>
    <w:tbl>
      <w:tblPr>
        <w:tblStyle w:val="24"/>
        <w:tblW w:w="8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7"/>
        <w:gridCol w:w="2693"/>
      </w:tblGrid>
      <w:tr w14:paraId="66F8F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387" w:type="dxa"/>
            <w:vAlign w:val="center"/>
          </w:tcPr>
          <w:p w14:paraId="335DEF31">
            <w:pPr>
              <w:spacing w:line="360" w:lineRule="auto"/>
              <w:ind w:firstLine="630" w:firstLineChars="300"/>
              <w:rPr>
                <w:rFonts w:ascii="Times New Roman" w:hAnsi="Times New Roman" w:cs="Times New Roman"/>
                <w:color w:val="000000" w:themeColor="text1"/>
              </w:rPr>
            </w:pPr>
            <w:r>
              <w:rPr>
                <w:rFonts w:ascii="Times New Roman" w:hAnsi="Times New Roman" w:cs="Times New Roman"/>
                <w:color w:val="000000" w:themeColor="text1"/>
                <w:lang w:val="zh-CN"/>
              </w:rPr>
              <w:t>评价指标和各评价权重指标：</w:t>
            </w:r>
            <w:r>
              <w:rPr>
                <w:rFonts w:ascii="Times New Roman" w:hAnsi="Times New Roman" w:cs="Times New Roman"/>
                <w:color w:val="000000" w:themeColor="text1"/>
              </w:rPr>
              <w:t>评标指标</w:t>
            </w:r>
          </w:p>
        </w:tc>
        <w:tc>
          <w:tcPr>
            <w:tcW w:w="2693" w:type="dxa"/>
            <w:vAlign w:val="center"/>
          </w:tcPr>
          <w:p w14:paraId="4EB332F0">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权重（％）</w:t>
            </w:r>
          </w:p>
        </w:tc>
      </w:tr>
      <w:tr w14:paraId="6E8F5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387" w:type="dxa"/>
            <w:vAlign w:val="center"/>
          </w:tcPr>
          <w:p w14:paraId="1C85F0EA">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投标报价</w:t>
            </w:r>
          </w:p>
        </w:tc>
        <w:tc>
          <w:tcPr>
            <w:tcW w:w="2693" w:type="dxa"/>
            <w:vAlign w:val="center"/>
          </w:tcPr>
          <w:p w14:paraId="5F8B131F">
            <w:pPr>
              <w:spacing w:line="360" w:lineRule="auto"/>
              <w:jc w:val="center"/>
              <w:rPr>
                <w:rFonts w:ascii="Times New Roman" w:hAnsi="Times New Roman" w:cs="Times New Roman"/>
                <w:color w:val="000000" w:themeColor="text1"/>
                <w:highlight w:val="none"/>
              </w:rPr>
            </w:pPr>
            <w:r>
              <w:rPr>
                <w:rFonts w:hint="eastAsia" w:ascii="Times New Roman" w:hAnsi="Times New Roman" w:cs="Times New Roman"/>
                <w:color w:val="000000" w:themeColor="text1"/>
                <w:highlight w:val="none"/>
              </w:rPr>
              <w:t>10</w:t>
            </w:r>
          </w:p>
        </w:tc>
      </w:tr>
      <w:tr w14:paraId="4EE03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387" w:type="dxa"/>
            <w:vAlign w:val="center"/>
          </w:tcPr>
          <w:p w14:paraId="452C74BF">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商务</w:t>
            </w:r>
            <w:r>
              <w:rPr>
                <w:rFonts w:hint="eastAsia" w:ascii="Times New Roman" w:hAnsi="Times New Roman" w:cs="Times New Roman"/>
                <w:color w:val="000000" w:themeColor="text1"/>
              </w:rPr>
              <w:t>资信</w:t>
            </w:r>
            <w:r>
              <w:rPr>
                <w:rFonts w:ascii="Times New Roman" w:hAnsi="Times New Roman" w:cs="Times New Roman"/>
                <w:color w:val="000000" w:themeColor="text1"/>
              </w:rPr>
              <w:t>部分</w:t>
            </w:r>
          </w:p>
        </w:tc>
        <w:tc>
          <w:tcPr>
            <w:tcW w:w="2693" w:type="dxa"/>
            <w:vAlign w:val="center"/>
          </w:tcPr>
          <w:p w14:paraId="68CFF397">
            <w:pPr>
              <w:spacing w:line="360" w:lineRule="auto"/>
              <w:jc w:val="center"/>
              <w:rPr>
                <w:rFonts w:ascii="Times New Roman" w:hAnsi="Times New Roman" w:cs="Times New Roman"/>
                <w:color w:val="000000" w:themeColor="text1"/>
                <w:highlight w:val="none"/>
              </w:rPr>
            </w:pPr>
            <w:r>
              <w:rPr>
                <w:rFonts w:hint="eastAsia" w:ascii="Times New Roman" w:hAnsi="Times New Roman" w:cs="Times New Roman"/>
                <w:color w:val="000000" w:themeColor="text1"/>
                <w:highlight w:val="none"/>
              </w:rPr>
              <w:t>35</w:t>
            </w:r>
          </w:p>
        </w:tc>
      </w:tr>
      <w:tr w14:paraId="60584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387" w:type="dxa"/>
            <w:vAlign w:val="center"/>
          </w:tcPr>
          <w:p w14:paraId="00CC38B9">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技术部分</w:t>
            </w:r>
          </w:p>
        </w:tc>
        <w:tc>
          <w:tcPr>
            <w:tcW w:w="2693" w:type="dxa"/>
            <w:vAlign w:val="center"/>
          </w:tcPr>
          <w:p w14:paraId="23779525">
            <w:pPr>
              <w:spacing w:line="360" w:lineRule="auto"/>
              <w:jc w:val="center"/>
              <w:rPr>
                <w:rFonts w:ascii="Times New Roman" w:hAnsi="Times New Roman" w:cs="Times New Roman"/>
                <w:color w:val="000000" w:themeColor="text1"/>
                <w:highlight w:val="none"/>
              </w:rPr>
            </w:pPr>
            <w:r>
              <w:rPr>
                <w:rFonts w:hint="eastAsia" w:ascii="Times New Roman" w:hAnsi="Times New Roman" w:cs="Times New Roman"/>
                <w:color w:val="000000" w:themeColor="text1"/>
                <w:highlight w:val="none"/>
              </w:rPr>
              <w:t>55</w:t>
            </w:r>
          </w:p>
        </w:tc>
      </w:tr>
      <w:tr w14:paraId="10F7E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387" w:type="dxa"/>
            <w:vAlign w:val="center"/>
          </w:tcPr>
          <w:p w14:paraId="1EF9A7B8">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合计</w:t>
            </w:r>
          </w:p>
        </w:tc>
        <w:tc>
          <w:tcPr>
            <w:tcW w:w="2693" w:type="dxa"/>
            <w:vAlign w:val="center"/>
          </w:tcPr>
          <w:p w14:paraId="5114B247">
            <w:pPr>
              <w:spacing w:line="360" w:lineRule="auto"/>
              <w:jc w:val="center"/>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100</w:t>
            </w:r>
          </w:p>
        </w:tc>
      </w:tr>
    </w:tbl>
    <w:p w14:paraId="72453B1F">
      <w:pPr>
        <w:pStyle w:val="15"/>
        <w:snapToGrid w:val="0"/>
        <w:spacing w:line="360" w:lineRule="auto"/>
        <w:rPr>
          <w:rFonts w:ascii="Times New Roman" w:hAnsi="Times New Roman" w:cs="Times New Roman"/>
          <w:b/>
          <w:bCs/>
          <w:color w:val="000000" w:themeColor="text1"/>
          <w:sz w:val="22"/>
          <w:szCs w:val="22"/>
        </w:rPr>
      </w:pPr>
    </w:p>
    <w:p w14:paraId="2F49F105">
      <w:pPr>
        <w:rPr>
          <w:rFonts w:ascii="Times New Roman" w:hAnsi="Times New Roman" w:cs="Times New Roman"/>
          <w:b/>
          <w:bCs/>
          <w:color w:val="000000" w:themeColor="text1"/>
          <w:sz w:val="22"/>
          <w:szCs w:val="22"/>
        </w:rPr>
      </w:pPr>
    </w:p>
    <w:p w14:paraId="19846EAB">
      <w:pPr>
        <w:pStyle w:val="2"/>
        <w:rPr>
          <w:rFonts w:ascii="Times New Roman" w:hAnsi="Times New Roman" w:cs="Times New Roman"/>
          <w:b/>
          <w:bCs/>
          <w:color w:val="000000" w:themeColor="text1"/>
          <w:sz w:val="22"/>
          <w:szCs w:val="22"/>
        </w:rPr>
      </w:pPr>
    </w:p>
    <w:p w14:paraId="69D6933C">
      <w:pPr>
        <w:pStyle w:val="23"/>
        <w:ind w:firstLine="221"/>
        <w:rPr>
          <w:b/>
          <w:bCs/>
          <w:color w:val="000000" w:themeColor="text1"/>
          <w:sz w:val="22"/>
          <w:szCs w:val="22"/>
        </w:rPr>
      </w:pPr>
    </w:p>
    <w:p w14:paraId="2C8FFBBF">
      <w:pPr>
        <w:rPr>
          <w:rFonts w:ascii="Times New Roman" w:hAnsi="Times New Roman" w:cs="Times New Roman"/>
          <w:b/>
          <w:bCs/>
          <w:color w:val="000000" w:themeColor="text1"/>
          <w:sz w:val="22"/>
          <w:szCs w:val="22"/>
        </w:rPr>
      </w:pPr>
    </w:p>
    <w:p w14:paraId="6715890A">
      <w:pPr>
        <w:pStyle w:val="15"/>
        <w:numPr>
          <w:ilvl w:val="0"/>
          <w:numId w:val="12"/>
        </w:numPr>
        <w:snapToGrid w:val="0"/>
        <w:spacing w:line="360" w:lineRule="auto"/>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评标内容及标准</w:t>
      </w:r>
    </w:p>
    <w:tbl>
      <w:tblPr>
        <w:tblStyle w:val="24"/>
        <w:tblW w:w="8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6420"/>
        <w:gridCol w:w="934"/>
      </w:tblGrid>
      <w:tr w14:paraId="1E841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26" w:type="dxa"/>
            <w:tcBorders>
              <w:top w:val="single" w:color="auto" w:sz="4" w:space="0"/>
              <w:left w:val="single" w:color="auto" w:sz="4" w:space="0"/>
              <w:bottom w:val="single" w:color="auto" w:sz="4" w:space="0"/>
              <w:right w:val="single" w:color="auto" w:sz="4" w:space="0"/>
            </w:tcBorders>
            <w:noWrap/>
            <w:vAlign w:val="center"/>
          </w:tcPr>
          <w:p w14:paraId="1DF92034">
            <w:pPr>
              <w:adjustRightInd w:val="0"/>
              <w:snapToGrid w:val="0"/>
              <w:spacing w:line="400" w:lineRule="exact"/>
              <w:jc w:val="center"/>
              <w:rPr>
                <w:rFonts w:ascii="Times New Roman" w:hAnsi="Times New Roman" w:cs="Times New Roman"/>
                <w:color w:val="000000"/>
              </w:rPr>
            </w:pPr>
            <w:r>
              <w:rPr>
                <w:rFonts w:hint="eastAsia" w:ascii="Times New Roman" w:hAnsi="Times New Roman" w:cs="Times New Roman"/>
                <w:color w:val="000000"/>
              </w:rPr>
              <w:t>内容</w:t>
            </w:r>
          </w:p>
        </w:tc>
        <w:tc>
          <w:tcPr>
            <w:tcW w:w="6420" w:type="dxa"/>
            <w:tcBorders>
              <w:top w:val="single" w:color="auto" w:sz="4" w:space="0"/>
              <w:left w:val="single" w:color="auto" w:sz="4" w:space="0"/>
              <w:bottom w:val="single" w:color="auto" w:sz="4" w:space="0"/>
              <w:right w:val="single" w:color="auto" w:sz="4" w:space="0"/>
            </w:tcBorders>
            <w:noWrap/>
            <w:vAlign w:val="center"/>
          </w:tcPr>
          <w:p w14:paraId="55E50EBE">
            <w:pPr>
              <w:adjustRightInd w:val="0"/>
              <w:snapToGrid w:val="0"/>
              <w:spacing w:line="400" w:lineRule="exact"/>
              <w:jc w:val="center"/>
              <w:rPr>
                <w:rFonts w:ascii="Times New Roman" w:hAnsi="Times New Roman" w:cs="Times New Roman"/>
                <w:color w:val="000000"/>
              </w:rPr>
            </w:pPr>
            <w:r>
              <w:rPr>
                <w:rFonts w:hint="eastAsia" w:ascii="Times New Roman" w:hAnsi="Times New Roman" w:cs="Times New Roman"/>
                <w:color w:val="000000"/>
              </w:rPr>
              <w:t>评分项目</w:t>
            </w:r>
          </w:p>
        </w:tc>
        <w:tc>
          <w:tcPr>
            <w:tcW w:w="934" w:type="dxa"/>
            <w:tcBorders>
              <w:top w:val="single" w:color="auto" w:sz="4" w:space="0"/>
              <w:left w:val="single" w:color="auto" w:sz="4" w:space="0"/>
              <w:bottom w:val="single" w:color="auto" w:sz="4" w:space="0"/>
              <w:right w:val="single" w:color="auto" w:sz="4" w:space="0"/>
            </w:tcBorders>
            <w:noWrap/>
            <w:vAlign w:val="center"/>
          </w:tcPr>
          <w:p w14:paraId="162C6A78">
            <w:pPr>
              <w:adjustRightInd w:val="0"/>
              <w:snapToGrid w:val="0"/>
              <w:spacing w:line="400" w:lineRule="exact"/>
              <w:jc w:val="center"/>
              <w:rPr>
                <w:rFonts w:ascii="Times New Roman" w:hAnsi="Times New Roman" w:cs="Times New Roman"/>
                <w:color w:val="000000"/>
              </w:rPr>
            </w:pPr>
            <w:r>
              <w:rPr>
                <w:rFonts w:hint="eastAsia" w:ascii="Times New Roman" w:hAnsi="Times New Roman" w:cs="Times New Roman"/>
                <w:color w:val="000000"/>
              </w:rPr>
              <w:t>分值</w:t>
            </w:r>
          </w:p>
        </w:tc>
      </w:tr>
      <w:tr w14:paraId="2076D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226" w:type="dxa"/>
            <w:tcBorders>
              <w:top w:val="single" w:color="auto" w:sz="4" w:space="0"/>
              <w:left w:val="single" w:color="auto" w:sz="4" w:space="0"/>
              <w:bottom w:val="single" w:color="auto" w:sz="4" w:space="0"/>
              <w:right w:val="single" w:color="auto" w:sz="4" w:space="0"/>
            </w:tcBorders>
            <w:noWrap/>
            <w:vAlign w:val="center"/>
          </w:tcPr>
          <w:p w14:paraId="2F6AEDF8">
            <w:pPr>
              <w:adjustRightInd w:val="0"/>
              <w:snapToGrid w:val="0"/>
              <w:spacing w:line="400" w:lineRule="exact"/>
              <w:jc w:val="center"/>
              <w:rPr>
                <w:rFonts w:ascii="Times New Roman" w:hAnsi="Times New Roman" w:cs="Times New Roman"/>
                <w:b/>
                <w:bCs/>
                <w:color w:val="000000"/>
              </w:rPr>
            </w:pPr>
            <w:r>
              <w:rPr>
                <w:rFonts w:hint="eastAsia" w:ascii="Times New Roman" w:hAnsi="Times New Roman" w:cs="Times New Roman"/>
                <w:b/>
                <w:bCs/>
                <w:color w:val="000000"/>
              </w:rPr>
              <w:t>报价部分</w:t>
            </w:r>
          </w:p>
          <w:p w14:paraId="6A513266">
            <w:pPr>
              <w:adjustRightInd w:val="0"/>
              <w:snapToGrid w:val="0"/>
              <w:spacing w:line="400" w:lineRule="exact"/>
              <w:jc w:val="center"/>
              <w:rPr>
                <w:rFonts w:ascii="Times New Roman" w:hAnsi="Times New Roman" w:cs="Times New Roman"/>
                <w:color w:val="000000"/>
              </w:rPr>
            </w:pPr>
            <w:r>
              <w:rPr>
                <w:rFonts w:hint="eastAsia" w:ascii="Times New Roman" w:hAnsi="Times New Roman" w:cs="Times New Roman"/>
                <w:b/>
                <w:bCs/>
                <w:color w:val="000000"/>
              </w:rPr>
              <w:t>（1</w:t>
            </w:r>
            <w:r>
              <w:rPr>
                <w:rFonts w:ascii="Times New Roman" w:hAnsi="Times New Roman" w:cs="Times New Roman"/>
                <w:b/>
                <w:bCs/>
                <w:color w:val="000000"/>
              </w:rPr>
              <w:t>0</w:t>
            </w:r>
            <w:r>
              <w:rPr>
                <w:rFonts w:hint="eastAsia" w:ascii="Times New Roman" w:hAnsi="Times New Roman" w:cs="Times New Roman"/>
                <w:b/>
                <w:bCs/>
                <w:color w:val="000000"/>
              </w:rPr>
              <w:t>分）</w:t>
            </w:r>
          </w:p>
        </w:tc>
        <w:tc>
          <w:tcPr>
            <w:tcW w:w="6420" w:type="dxa"/>
            <w:tcBorders>
              <w:top w:val="single" w:color="auto" w:sz="4" w:space="0"/>
              <w:left w:val="single" w:color="auto" w:sz="4" w:space="0"/>
              <w:bottom w:val="single" w:color="auto" w:sz="4" w:space="0"/>
              <w:right w:val="single" w:color="auto" w:sz="4" w:space="0"/>
            </w:tcBorders>
            <w:noWrap/>
            <w:vAlign w:val="center"/>
          </w:tcPr>
          <w:p w14:paraId="30C9F0F1">
            <w:pPr>
              <w:pStyle w:val="10"/>
              <w:widowControl/>
              <w:ind w:firstLine="0"/>
              <w:rPr>
                <w:rFonts w:ascii="宋体" w:hAnsi="宋体" w:cs="宋体"/>
                <w:color w:val="000000"/>
                <w:lang w:val="zh-CN"/>
              </w:rPr>
            </w:pPr>
            <w:r>
              <w:rPr>
                <w:rFonts w:hint="eastAsia" w:ascii="宋体" w:hAnsi="宋体" w:cs="宋体"/>
                <w:color w:val="000000"/>
              </w:rPr>
              <w:t>1、</w:t>
            </w:r>
            <w:r>
              <w:rPr>
                <w:rFonts w:hint="eastAsia" w:ascii="宋体" w:hAnsi="宋体" w:cs="宋体"/>
                <w:color w:val="000000"/>
                <w:lang w:val="zh-CN"/>
              </w:rPr>
              <w:t>满足采购文件要求且投标价格最低的投标报价为评标基准价，其价格分为满分，其他投标人的价格分按下列公式计算：投标报价得分＝（评标基准价/投标报价）×价格权重×100。</w:t>
            </w:r>
          </w:p>
          <w:p w14:paraId="46469E4F">
            <w:pPr>
              <w:pStyle w:val="10"/>
              <w:widowControl/>
              <w:ind w:firstLine="0"/>
            </w:pPr>
            <w:r>
              <w:rPr>
                <w:rFonts w:hint="eastAsia" w:ascii="宋体" w:hAnsi="宋体" w:cs="宋体"/>
                <w:color w:val="000000"/>
              </w:rPr>
              <w:t>2、</w:t>
            </w:r>
            <w:r>
              <w:rPr>
                <w:rFonts w:hint="eastAsia" w:ascii="宋体" w:hAnsi="宋体" w:cs="宋体"/>
                <w:color w:val="000000"/>
                <w:lang w:val="zh-CN"/>
              </w:rPr>
              <w:t>本项目针对小型和微型企业的价格给予</w:t>
            </w:r>
            <w:r>
              <w:rPr>
                <w:rFonts w:hint="eastAsia" w:ascii="宋体" w:hAnsi="宋体" w:cs="宋体"/>
                <w:color w:val="000000"/>
              </w:rPr>
              <w:t>10</w:t>
            </w:r>
            <w:r>
              <w:rPr>
                <w:rFonts w:hint="eastAsia" w:ascii="宋体" w:hAnsi="宋体" w:cs="宋体"/>
                <w:color w:val="000000"/>
                <w:lang w:val="zh-CN"/>
              </w:rPr>
              <w:t>%的扣除的优惠，用扣除后的价格参与评审。即小型或微型企业的评审报价=投标报价×</w:t>
            </w:r>
            <w:r>
              <w:rPr>
                <w:rFonts w:hint="eastAsia" w:ascii="宋体" w:hAnsi="宋体" w:cs="宋体"/>
                <w:color w:val="000000"/>
              </w:rPr>
              <w:t>9</w:t>
            </w:r>
            <w:r>
              <w:rPr>
                <w:rFonts w:hint="eastAsia" w:ascii="宋体" w:hAnsi="宋体" w:cs="宋体"/>
                <w:color w:val="000000"/>
                <w:lang w:val="zh-CN"/>
              </w:rPr>
              <w:t>0%；其他企业产品的评审报价=投标报价。</w:t>
            </w:r>
          </w:p>
        </w:tc>
        <w:tc>
          <w:tcPr>
            <w:tcW w:w="934" w:type="dxa"/>
            <w:tcBorders>
              <w:top w:val="single" w:color="auto" w:sz="4" w:space="0"/>
              <w:left w:val="single" w:color="auto" w:sz="4" w:space="0"/>
              <w:bottom w:val="single" w:color="auto" w:sz="4" w:space="0"/>
              <w:right w:val="single" w:color="auto" w:sz="4" w:space="0"/>
            </w:tcBorders>
            <w:noWrap/>
            <w:vAlign w:val="center"/>
          </w:tcPr>
          <w:p w14:paraId="32E2235F">
            <w:pPr>
              <w:adjustRightInd w:val="0"/>
              <w:snapToGrid w:val="0"/>
              <w:spacing w:line="400" w:lineRule="exact"/>
              <w:jc w:val="center"/>
              <w:rPr>
                <w:rFonts w:ascii="Times New Roman" w:hAnsi="Times New Roman" w:cs="Times New Roman"/>
                <w:color w:val="000000"/>
              </w:rPr>
            </w:pPr>
            <w:r>
              <w:rPr>
                <w:rFonts w:hint="eastAsia" w:ascii="Times New Roman" w:hAnsi="Times New Roman" w:cs="Times New Roman"/>
                <w:color w:val="000000"/>
              </w:rPr>
              <w:t>1</w:t>
            </w:r>
            <w:r>
              <w:rPr>
                <w:rFonts w:ascii="Times New Roman" w:hAnsi="Times New Roman" w:cs="Times New Roman"/>
                <w:color w:val="000000"/>
              </w:rPr>
              <w:t>0</w:t>
            </w:r>
            <w:r>
              <w:rPr>
                <w:rFonts w:hint="eastAsia" w:ascii="Times New Roman" w:hAnsi="Times New Roman" w:cs="Times New Roman"/>
                <w:color w:val="000000"/>
              </w:rPr>
              <w:t>分</w:t>
            </w:r>
          </w:p>
        </w:tc>
      </w:tr>
      <w:tr w14:paraId="7E1A5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580" w:type="dxa"/>
            <w:gridSpan w:val="3"/>
            <w:tcBorders>
              <w:top w:val="single" w:color="auto" w:sz="4" w:space="0"/>
              <w:left w:val="single" w:color="auto" w:sz="4" w:space="0"/>
              <w:bottom w:val="single" w:color="auto" w:sz="4" w:space="0"/>
              <w:right w:val="single" w:color="auto" w:sz="4" w:space="0"/>
            </w:tcBorders>
            <w:noWrap/>
            <w:vAlign w:val="center"/>
          </w:tcPr>
          <w:p w14:paraId="1200C18D">
            <w:pPr>
              <w:adjustRightInd w:val="0"/>
              <w:snapToGrid w:val="0"/>
              <w:spacing w:line="400" w:lineRule="exact"/>
              <w:jc w:val="left"/>
              <w:rPr>
                <w:rFonts w:ascii="Times New Roman" w:hAnsi="Times New Roman" w:cs="Times New Roman"/>
                <w:b/>
                <w:bCs/>
                <w:color w:val="000000"/>
              </w:rPr>
            </w:pPr>
            <w:r>
              <w:rPr>
                <w:rFonts w:hint="eastAsia" w:ascii="Times New Roman" w:hAnsi="Times New Roman" w:cs="Times New Roman"/>
                <w:b/>
                <w:bCs/>
                <w:color w:val="000000"/>
              </w:rPr>
              <w:t>商务部分（35分）</w:t>
            </w:r>
          </w:p>
        </w:tc>
      </w:tr>
      <w:tr w14:paraId="11DA8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1226" w:type="dxa"/>
            <w:tcBorders>
              <w:top w:val="single" w:color="auto" w:sz="4" w:space="0"/>
              <w:left w:val="single" w:color="auto" w:sz="4" w:space="0"/>
              <w:bottom w:val="single" w:color="auto" w:sz="4" w:space="0"/>
              <w:right w:val="single" w:color="auto" w:sz="4" w:space="0"/>
            </w:tcBorders>
            <w:noWrap/>
            <w:vAlign w:val="center"/>
          </w:tcPr>
          <w:p w14:paraId="1ED4AFCD">
            <w:pPr>
              <w:pStyle w:val="72"/>
              <w:spacing w:line="400" w:lineRule="exact"/>
              <w:jc w:val="center"/>
              <w:rPr>
                <w:rFonts w:ascii="Times New Roman" w:cs="Times New Roman"/>
                <w:kern w:val="2"/>
                <w:sz w:val="21"/>
                <w:szCs w:val="21"/>
              </w:rPr>
            </w:pPr>
            <w:r>
              <w:rPr>
                <w:rFonts w:hint="eastAsia" w:ascii="Times New Roman" w:cs="Times New Roman"/>
                <w:kern w:val="2"/>
                <w:sz w:val="21"/>
                <w:szCs w:val="21"/>
              </w:rPr>
              <w:t>认证证书</w:t>
            </w:r>
          </w:p>
        </w:tc>
        <w:tc>
          <w:tcPr>
            <w:tcW w:w="6420" w:type="dxa"/>
            <w:tcBorders>
              <w:top w:val="single" w:color="auto" w:sz="4" w:space="0"/>
              <w:left w:val="single" w:color="auto" w:sz="4" w:space="0"/>
              <w:bottom w:val="single" w:color="auto" w:sz="4" w:space="0"/>
              <w:right w:val="single" w:color="auto" w:sz="4" w:space="0"/>
            </w:tcBorders>
            <w:noWrap/>
            <w:vAlign w:val="center"/>
          </w:tcPr>
          <w:p w14:paraId="2E7DFDC8">
            <w:pPr>
              <w:pStyle w:val="10"/>
              <w:widowControl/>
              <w:ind w:firstLine="0"/>
              <w:rPr>
                <w:rFonts w:ascii="Times New Roman" w:hAnsi="Times New Roman" w:cs="Times New Roman"/>
                <w:color w:val="000000"/>
              </w:rPr>
            </w:pPr>
            <w:r>
              <w:rPr>
                <w:rFonts w:hint="eastAsia" w:ascii="Times New Roman" w:hAnsi="Times New Roman" w:cs="Times New Roman"/>
                <w:color w:val="000000"/>
              </w:rPr>
              <w:t>提供有效期内具有行政管理部门颁发的检验检测机构资质认定证书（</w:t>
            </w:r>
            <w:r>
              <w:rPr>
                <w:rFonts w:ascii="Times New Roman" w:hAnsi="Times New Roman" w:cs="Times New Roman"/>
                <w:color w:val="000000"/>
              </w:rPr>
              <w:t>CMA</w:t>
            </w:r>
            <w:r>
              <w:rPr>
                <w:rFonts w:hint="eastAsia" w:ascii="宋体" w:hAnsi="宋体" w:cs="宋体"/>
                <w:color w:val="000000"/>
              </w:rPr>
              <w:t>）文件（认证范围须包括游泳动物和鱼类浮游生物）得</w:t>
            </w:r>
            <w:r>
              <w:rPr>
                <w:rFonts w:hint="eastAsia" w:ascii="Times New Roman" w:hAnsi="Times New Roman" w:cs="Times New Roman"/>
                <w:color w:val="000000"/>
              </w:rPr>
              <w:t>3</w:t>
            </w:r>
            <w:r>
              <w:rPr>
                <w:rFonts w:hint="eastAsia" w:ascii="宋体" w:hAnsi="宋体" w:cs="宋体"/>
                <w:color w:val="000000"/>
              </w:rPr>
              <w:t>分；</w:t>
            </w:r>
          </w:p>
          <w:p w14:paraId="608FE1D6">
            <w:pPr>
              <w:pStyle w:val="10"/>
              <w:widowControl/>
              <w:ind w:firstLine="0"/>
              <w:rPr>
                <w:rFonts w:ascii="Times New Roman" w:hAnsi="Times New Roman" w:cs="Times New Roman"/>
                <w:color w:val="000000"/>
              </w:rPr>
            </w:pPr>
            <w:r>
              <w:rPr>
                <w:rFonts w:hint="eastAsia" w:ascii="Times New Roman" w:hAnsi="Times New Roman" w:cs="Times New Roman"/>
                <w:color w:val="000000"/>
              </w:rPr>
              <w:t>提供有效期内</w:t>
            </w:r>
            <w:r>
              <w:rPr>
                <w:rFonts w:hint="eastAsia"/>
              </w:rPr>
              <w:t>环境管理体系认证证书（</w:t>
            </w:r>
            <w:r>
              <w:rPr>
                <w:rFonts w:hint="eastAsia" w:ascii="Times New Roman" w:hAnsi="Times New Roman" w:cs="Times New Roman"/>
                <w:color w:val="000000"/>
              </w:rPr>
              <w:t>ISO 14001</w:t>
            </w:r>
            <w:r>
              <w:rPr>
                <w:rFonts w:hint="eastAsia"/>
              </w:rPr>
              <w:t>）</w:t>
            </w:r>
            <w:r>
              <w:rPr>
                <w:rFonts w:hint="eastAsia" w:ascii="Times New Roman" w:hAnsi="Times New Roman" w:cs="Times New Roman"/>
                <w:color w:val="000000"/>
              </w:rPr>
              <w:t>得2</w:t>
            </w:r>
            <w:r>
              <w:rPr>
                <w:rFonts w:hint="eastAsia" w:ascii="宋体" w:hAnsi="宋体" w:cs="宋体"/>
                <w:color w:val="000000"/>
              </w:rPr>
              <w:t>分；</w:t>
            </w:r>
          </w:p>
          <w:p w14:paraId="5FEF9B48">
            <w:pPr>
              <w:pStyle w:val="2"/>
              <w:spacing w:after="0" w:line="400" w:lineRule="exact"/>
              <w:jc w:val="left"/>
              <w:rPr>
                <w:rFonts w:ascii="宋体" w:hAnsi="宋体" w:cs="宋体"/>
                <w:color w:val="000000"/>
                <w:kern w:val="2"/>
                <w:sz w:val="21"/>
                <w:szCs w:val="21"/>
              </w:rPr>
            </w:pPr>
            <w:r>
              <w:rPr>
                <w:rFonts w:hint="eastAsia" w:ascii="Times New Roman" w:hAnsi="Times New Roman" w:cs="Times New Roman"/>
                <w:color w:val="000000"/>
                <w:kern w:val="2"/>
                <w:sz w:val="21"/>
                <w:szCs w:val="21"/>
              </w:rPr>
              <w:t>提供有效期内职业健康安全管理体系认证证书（</w:t>
            </w:r>
            <w:r>
              <w:rPr>
                <w:rFonts w:ascii="Times New Roman" w:hAnsi="Times New Roman" w:cs="Times New Roman"/>
                <w:color w:val="000000"/>
                <w:kern w:val="2"/>
                <w:sz w:val="21"/>
                <w:szCs w:val="21"/>
              </w:rPr>
              <w:t>ISO 45001</w:t>
            </w:r>
            <w:r>
              <w:rPr>
                <w:rFonts w:hint="eastAsia" w:ascii="宋体" w:hAnsi="宋体" w:cs="宋体"/>
                <w:color w:val="000000"/>
                <w:kern w:val="2"/>
                <w:sz w:val="21"/>
                <w:szCs w:val="21"/>
              </w:rPr>
              <w:t>）得</w:t>
            </w:r>
            <w:r>
              <w:rPr>
                <w:rFonts w:ascii="Times New Roman" w:hAnsi="Times New Roman" w:cs="Times New Roman"/>
                <w:color w:val="000000"/>
                <w:kern w:val="2"/>
                <w:sz w:val="21"/>
                <w:szCs w:val="21"/>
              </w:rPr>
              <w:t>2</w:t>
            </w:r>
            <w:r>
              <w:rPr>
                <w:rFonts w:hint="eastAsia" w:ascii="宋体" w:hAnsi="宋体" w:cs="宋体"/>
                <w:color w:val="000000"/>
                <w:kern w:val="2"/>
                <w:sz w:val="21"/>
                <w:szCs w:val="21"/>
              </w:rPr>
              <w:t>分；</w:t>
            </w:r>
          </w:p>
          <w:p w14:paraId="520CB130">
            <w:pPr>
              <w:pStyle w:val="23"/>
              <w:ind w:firstLine="211"/>
            </w:pPr>
            <w:r>
              <w:rPr>
                <w:rFonts w:hint="eastAsia" w:ascii="宋体" w:hAnsi="宋体" w:cs="Tahoma"/>
                <w:b/>
                <w:bCs/>
              </w:rPr>
              <w:t>注：投标人须提供加盖公章后的有效期内的认证证书，未提供的不得分。</w:t>
            </w:r>
          </w:p>
        </w:tc>
        <w:tc>
          <w:tcPr>
            <w:tcW w:w="934" w:type="dxa"/>
            <w:tcBorders>
              <w:top w:val="single" w:color="auto" w:sz="4" w:space="0"/>
              <w:left w:val="single" w:color="auto" w:sz="4" w:space="0"/>
              <w:bottom w:val="single" w:color="auto" w:sz="4" w:space="0"/>
              <w:right w:val="single" w:color="auto" w:sz="4" w:space="0"/>
            </w:tcBorders>
            <w:noWrap/>
            <w:vAlign w:val="center"/>
          </w:tcPr>
          <w:p w14:paraId="38765DC4">
            <w:pPr>
              <w:adjustRightInd w:val="0"/>
              <w:snapToGrid w:val="0"/>
              <w:spacing w:line="400" w:lineRule="exact"/>
              <w:jc w:val="center"/>
              <w:rPr>
                <w:rFonts w:ascii="Times New Roman" w:hAnsi="Times New Roman" w:cs="Times New Roman"/>
                <w:color w:val="000000"/>
              </w:rPr>
            </w:pPr>
            <w:r>
              <w:rPr>
                <w:rFonts w:hint="eastAsia" w:ascii="Times New Roman" w:hAnsi="Times New Roman" w:cs="Times New Roman"/>
                <w:color w:val="000000"/>
              </w:rPr>
              <w:t>7分</w:t>
            </w:r>
          </w:p>
        </w:tc>
      </w:tr>
      <w:tr w14:paraId="08C27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jc w:val="center"/>
        </w:trPr>
        <w:tc>
          <w:tcPr>
            <w:tcW w:w="1226" w:type="dxa"/>
            <w:tcBorders>
              <w:top w:val="single" w:color="auto" w:sz="4" w:space="0"/>
              <w:left w:val="single" w:color="auto" w:sz="4" w:space="0"/>
              <w:bottom w:val="single" w:color="auto" w:sz="4" w:space="0"/>
              <w:right w:val="single" w:color="auto" w:sz="4" w:space="0"/>
            </w:tcBorders>
            <w:noWrap/>
            <w:vAlign w:val="center"/>
          </w:tcPr>
          <w:p w14:paraId="2FCF6E0F">
            <w:pPr>
              <w:pStyle w:val="72"/>
              <w:spacing w:line="400" w:lineRule="exact"/>
              <w:jc w:val="center"/>
              <w:rPr>
                <w:rFonts w:ascii="Times New Roman" w:cs="Times New Roman"/>
                <w:kern w:val="2"/>
                <w:sz w:val="21"/>
                <w:szCs w:val="21"/>
              </w:rPr>
            </w:pPr>
            <w:r>
              <w:rPr>
                <w:rFonts w:hint="eastAsia" w:ascii="Times New Roman" w:cs="Times New Roman"/>
                <w:kern w:val="2"/>
                <w:sz w:val="21"/>
                <w:szCs w:val="21"/>
              </w:rPr>
              <w:t>同类项目业绩</w:t>
            </w:r>
          </w:p>
        </w:tc>
        <w:tc>
          <w:tcPr>
            <w:tcW w:w="6420" w:type="dxa"/>
            <w:tcBorders>
              <w:top w:val="single" w:color="auto" w:sz="4" w:space="0"/>
              <w:left w:val="single" w:color="auto" w:sz="4" w:space="0"/>
              <w:bottom w:val="single" w:color="auto" w:sz="4" w:space="0"/>
              <w:right w:val="single" w:color="auto" w:sz="4" w:space="0"/>
            </w:tcBorders>
            <w:noWrap/>
            <w:vAlign w:val="center"/>
          </w:tcPr>
          <w:p w14:paraId="5603011E">
            <w:pPr>
              <w:pStyle w:val="2"/>
              <w:spacing w:after="0" w:line="400" w:lineRule="exact"/>
              <w:jc w:val="left"/>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202</w:t>
            </w:r>
            <w:r>
              <w:rPr>
                <w:rFonts w:hint="eastAsia" w:ascii="Times New Roman" w:hAnsi="Times New Roman" w:cs="Times New Roman"/>
                <w:color w:val="000000"/>
                <w:kern w:val="2"/>
                <w:sz w:val="21"/>
                <w:szCs w:val="21"/>
                <w:lang w:val="en-US" w:eastAsia="zh-CN"/>
              </w:rPr>
              <w:t>2</w:t>
            </w:r>
            <w:r>
              <w:rPr>
                <w:rFonts w:hint="eastAsia" w:ascii="Times New Roman" w:hAnsi="Times New Roman" w:cs="Times New Roman"/>
                <w:color w:val="000000"/>
                <w:kern w:val="2"/>
                <w:sz w:val="21"/>
                <w:szCs w:val="21"/>
              </w:rPr>
              <w:t>年1月1日至今具有同类海洋环境DNA相关业绩。每提供一个合同得1分，最高得1分。</w:t>
            </w:r>
          </w:p>
          <w:p w14:paraId="5A8A8411">
            <w:pPr>
              <w:pStyle w:val="2"/>
              <w:spacing w:after="0" w:line="400" w:lineRule="exact"/>
              <w:jc w:val="left"/>
              <w:rPr>
                <w:rFonts w:ascii="Times New Roman" w:hAnsi="Times New Roman" w:cs="Times New Roman"/>
                <w:color w:val="000000"/>
                <w:kern w:val="2"/>
                <w:sz w:val="21"/>
                <w:szCs w:val="21"/>
              </w:rPr>
            </w:pPr>
            <w:r>
              <w:rPr>
                <w:rFonts w:hint="eastAsia" w:ascii="Times New Roman" w:hAnsi="Times New Roman" w:cs="Times New Roman"/>
                <w:b/>
                <w:bCs/>
                <w:color w:val="000000"/>
                <w:kern w:val="2"/>
                <w:sz w:val="21"/>
                <w:szCs w:val="21"/>
              </w:rPr>
              <w:t>注：投标人须提供加盖公章的合同扫描件等证明材料，时间以合同签订时间为准。</w:t>
            </w:r>
          </w:p>
        </w:tc>
        <w:tc>
          <w:tcPr>
            <w:tcW w:w="934" w:type="dxa"/>
            <w:tcBorders>
              <w:top w:val="single" w:color="auto" w:sz="4" w:space="0"/>
              <w:left w:val="single" w:color="auto" w:sz="4" w:space="0"/>
              <w:bottom w:val="single" w:color="auto" w:sz="4" w:space="0"/>
              <w:right w:val="single" w:color="auto" w:sz="4" w:space="0"/>
            </w:tcBorders>
            <w:noWrap/>
            <w:vAlign w:val="center"/>
          </w:tcPr>
          <w:p w14:paraId="18569D66">
            <w:pPr>
              <w:adjustRightInd w:val="0"/>
              <w:snapToGrid w:val="0"/>
              <w:spacing w:line="400" w:lineRule="exact"/>
              <w:jc w:val="center"/>
              <w:rPr>
                <w:rFonts w:ascii="Times New Roman" w:hAnsi="Times New Roman" w:cs="Times New Roman"/>
                <w:color w:val="000000"/>
              </w:rPr>
            </w:pPr>
            <w:r>
              <w:rPr>
                <w:rFonts w:hint="eastAsia" w:ascii="Times New Roman" w:hAnsi="Times New Roman" w:cs="Times New Roman"/>
                <w:color w:val="000000"/>
              </w:rPr>
              <w:t>1分</w:t>
            </w:r>
          </w:p>
        </w:tc>
      </w:tr>
      <w:tr w14:paraId="298C6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1226" w:type="dxa"/>
            <w:tcBorders>
              <w:top w:val="single" w:color="auto" w:sz="4" w:space="0"/>
              <w:left w:val="single" w:color="auto" w:sz="4" w:space="0"/>
              <w:bottom w:val="single" w:color="auto" w:sz="4" w:space="0"/>
              <w:right w:val="single" w:color="auto" w:sz="4" w:space="0"/>
            </w:tcBorders>
            <w:noWrap/>
            <w:vAlign w:val="center"/>
          </w:tcPr>
          <w:p w14:paraId="1AE6B476">
            <w:pPr>
              <w:adjustRightInd w:val="0"/>
              <w:snapToGrid w:val="0"/>
              <w:spacing w:line="400" w:lineRule="exact"/>
              <w:jc w:val="center"/>
              <w:rPr>
                <w:rFonts w:ascii="Times New Roman" w:hAnsi="Times New Roman" w:cs="Times New Roman"/>
                <w:color w:val="000000"/>
              </w:rPr>
            </w:pPr>
            <w:r>
              <w:rPr>
                <w:rFonts w:hint="eastAsia" w:ascii="Times New Roman" w:hAnsi="Times New Roman" w:cs="Times New Roman"/>
                <w:color w:val="000000"/>
              </w:rPr>
              <w:t>项目人员配置</w:t>
            </w:r>
          </w:p>
        </w:tc>
        <w:tc>
          <w:tcPr>
            <w:tcW w:w="6420" w:type="dxa"/>
            <w:tcBorders>
              <w:top w:val="single" w:color="auto" w:sz="4" w:space="0"/>
              <w:left w:val="single" w:color="auto" w:sz="4" w:space="0"/>
              <w:bottom w:val="single" w:color="auto" w:sz="4" w:space="0"/>
              <w:right w:val="single" w:color="auto" w:sz="4" w:space="0"/>
            </w:tcBorders>
            <w:noWrap/>
            <w:vAlign w:val="center"/>
          </w:tcPr>
          <w:p w14:paraId="19D351E5">
            <w:pPr>
              <w:adjustRightInd w:val="0"/>
              <w:snapToGrid w:val="0"/>
              <w:spacing w:line="400" w:lineRule="exact"/>
              <w:jc w:val="left"/>
              <w:rPr>
                <w:rFonts w:ascii="Times New Roman" w:hAnsi="Times New Roman" w:cs="Times New Roman"/>
                <w:color w:val="000000"/>
              </w:rPr>
            </w:pPr>
            <w:r>
              <w:rPr>
                <w:rFonts w:hint="eastAsia" w:ascii="Times New Roman" w:hAnsi="Times New Roman" w:cs="Times New Roman"/>
                <w:color w:val="000000"/>
              </w:rPr>
              <w:t>（1）项目负责人具备环境相关专业（含海洋生态、海洋生物学、环境科学、环境管理等相关专业）正高级职称的得3分；</w:t>
            </w:r>
          </w:p>
          <w:p w14:paraId="32D028CE">
            <w:pPr>
              <w:adjustRightInd w:val="0"/>
              <w:snapToGrid w:val="0"/>
              <w:spacing w:line="400" w:lineRule="exact"/>
              <w:jc w:val="left"/>
              <w:rPr>
                <w:rFonts w:ascii="Times New Roman" w:hAnsi="Times New Roman" w:cs="Times New Roman"/>
                <w:color w:val="000000"/>
              </w:rPr>
            </w:pPr>
            <w:r>
              <w:rPr>
                <w:rFonts w:hint="eastAsia" w:ascii="Times New Roman" w:hAnsi="Times New Roman" w:cs="Times New Roman"/>
                <w:color w:val="000000"/>
              </w:rPr>
              <w:t>项目组成员具有生物学、生物信息学等相关专业副高级或以上职称的，每人得2分，最高12分（一人多本证书的按一人计算）。</w:t>
            </w:r>
          </w:p>
          <w:p w14:paraId="70C6170D">
            <w:pPr>
              <w:adjustRightInd w:val="0"/>
              <w:snapToGrid w:val="0"/>
              <w:spacing w:line="400" w:lineRule="exact"/>
              <w:jc w:val="left"/>
              <w:rPr>
                <w:rFonts w:ascii="Times New Roman" w:hAnsi="Times New Roman" w:cs="Times New Roman"/>
                <w:color w:val="000000"/>
              </w:rPr>
            </w:pPr>
            <w:r>
              <w:rPr>
                <w:rFonts w:hint="eastAsia" w:ascii="Times New Roman" w:hAnsi="Times New Roman" w:cs="Times New Roman"/>
                <w:color w:val="000000"/>
              </w:rPr>
              <w:t>（2）项目团队人员监测/检测能力（满分12分）</w:t>
            </w:r>
          </w:p>
          <w:p w14:paraId="4E4361AF">
            <w:pPr>
              <w:adjustRightInd w:val="0"/>
              <w:snapToGrid w:val="0"/>
              <w:spacing w:line="400" w:lineRule="exact"/>
              <w:jc w:val="left"/>
              <w:rPr>
                <w:rFonts w:ascii="Times New Roman" w:hAnsi="Times New Roman" w:cs="Times New Roman"/>
                <w:color w:val="000000"/>
              </w:rPr>
            </w:pPr>
            <w:r>
              <w:rPr>
                <w:rFonts w:hint="eastAsia" w:ascii="Times New Roman" w:hAnsi="Times New Roman" w:cs="Times New Roman"/>
                <w:color w:val="000000"/>
              </w:rPr>
              <w:t>投标人项目团队人员具有海洋监/检测资质证书或环境监测人员技术考核合格证的得每人得2分，最高12分。</w:t>
            </w:r>
          </w:p>
          <w:p w14:paraId="38996DEC">
            <w:pPr>
              <w:adjustRightInd w:val="0"/>
              <w:snapToGrid w:val="0"/>
              <w:spacing w:line="400" w:lineRule="exact"/>
              <w:jc w:val="left"/>
              <w:rPr>
                <w:rFonts w:ascii="Times New Roman" w:hAnsi="Times New Roman" w:cs="Times New Roman"/>
                <w:color w:val="000000"/>
              </w:rPr>
            </w:pPr>
            <w:r>
              <w:rPr>
                <w:rFonts w:hint="eastAsia" w:ascii="Times New Roman" w:hAnsi="Times New Roman" w:cs="Times New Roman"/>
                <w:color w:val="000000"/>
              </w:rPr>
              <w:t>注：提供加盖公章的证书扫描件，未提供不得分。</w:t>
            </w:r>
          </w:p>
        </w:tc>
        <w:tc>
          <w:tcPr>
            <w:tcW w:w="934" w:type="dxa"/>
            <w:tcBorders>
              <w:top w:val="single" w:color="auto" w:sz="4" w:space="0"/>
              <w:left w:val="single" w:color="auto" w:sz="4" w:space="0"/>
              <w:bottom w:val="single" w:color="auto" w:sz="4" w:space="0"/>
              <w:right w:val="single" w:color="auto" w:sz="4" w:space="0"/>
            </w:tcBorders>
            <w:noWrap/>
            <w:vAlign w:val="center"/>
          </w:tcPr>
          <w:p w14:paraId="3CEEFA03">
            <w:pPr>
              <w:adjustRightInd w:val="0"/>
              <w:snapToGrid w:val="0"/>
              <w:spacing w:line="400" w:lineRule="exact"/>
              <w:jc w:val="center"/>
              <w:rPr>
                <w:rFonts w:ascii="Times New Roman" w:hAnsi="Times New Roman" w:cs="Times New Roman"/>
                <w:color w:val="000000"/>
              </w:rPr>
            </w:pPr>
            <w:r>
              <w:rPr>
                <w:rFonts w:hint="eastAsia" w:ascii="Times New Roman" w:hAnsi="Times New Roman" w:cs="Times New Roman"/>
                <w:color w:val="000000"/>
              </w:rPr>
              <w:t>27分</w:t>
            </w:r>
          </w:p>
        </w:tc>
      </w:tr>
      <w:tr w14:paraId="0A5B7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8580" w:type="dxa"/>
            <w:gridSpan w:val="3"/>
            <w:tcBorders>
              <w:top w:val="single" w:color="auto" w:sz="4" w:space="0"/>
              <w:left w:val="single" w:color="auto" w:sz="4" w:space="0"/>
              <w:bottom w:val="single" w:color="auto" w:sz="4" w:space="0"/>
              <w:right w:val="single" w:color="auto" w:sz="4" w:space="0"/>
            </w:tcBorders>
            <w:noWrap/>
            <w:vAlign w:val="center"/>
          </w:tcPr>
          <w:p w14:paraId="0BCF3F31">
            <w:pPr>
              <w:adjustRightInd w:val="0"/>
              <w:snapToGrid w:val="0"/>
              <w:spacing w:line="400" w:lineRule="exact"/>
              <w:jc w:val="left"/>
              <w:rPr>
                <w:rFonts w:ascii="Times New Roman" w:hAnsi="Times New Roman" w:cs="Times New Roman"/>
                <w:b/>
                <w:bCs/>
                <w:color w:val="000000"/>
              </w:rPr>
            </w:pPr>
            <w:r>
              <w:rPr>
                <w:rFonts w:hint="eastAsia" w:ascii="Times New Roman" w:hAnsi="Times New Roman" w:cs="Times New Roman"/>
                <w:b/>
                <w:bCs/>
                <w:color w:val="000000"/>
              </w:rPr>
              <w:t>技术部分（55分）</w:t>
            </w:r>
          </w:p>
        </w:tc>
      </w:tr>
      <w:tr w14:paraId="60D91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1226" w:type="dxa"/>
            <w:tcBorders>
              <w:top w:val="single" w:color="auto" w:sz="4" w:space="0"/>
              <w:left w:val="single" w:color="auto" w:sz="4" w:space="0"/>
              <w:bottom w:val="single" w:color="auto" w:sz="4" w:space="0"/>
              <w:right w:val="single" w:color="auto" w:sz="4" w:space="0"/>
            </w:tcBorders>
            <w:noWrap/>
            <w:vAlign w:val="center"/>
          </w:tcPr>
          <w:p w14:paraId="33DE97D0">
            <w:pPr>
              <w:adjustRightInd w:val="0"/>
              <w:snapToGrid w:val="0"/>
              <w:spacing w:line="400" w:lineRule="exact"/>
              <w:jc w:val="center"/>
              <w:rPr>
                <w:rFonts w:ascii="Times New Roman" w:hAnsi="Times New Roman" w:cs="Times New Roman" w:eastAsiaTheme="minorEastAsia"/>
                <w:color w:val="000000"/>
              </w:rPr>
            </w:pPr>
            <w:r>
              <w:rPr>
                <w:rFonts w:hint="eastAsia" w:ascii="Times New Roman" w:hAnsi="Times New Roman" w:cs="Times New Roman"/>
                <w:color w:val="000000"/>
              </w:rPr>
              <w:t>背景调查</w:t>
            </w:r>
          </w:p>
        </w:tc>
        <w:tc>
          <w:tcPr>
            <w:tcW w:w="6420" w:type="dxa"/>
            <w:tcBorders>
              <w:top w:val="single" w:color="auto" w:sz="4" w:space="0"/>
              <w:left w:val="single" w:color="auto" w:sz="4" w:space="0"/>
              <w:bottom w:val="single" w:color="auto" w:sz="4" w:space="0"/>
              <w:right w:val="single" w:color="auto" w:sz="4" w:space="0"/>
            </w:tcBorders>
            <w:noWrap/>
            <w:vAlign w:val="center"/>
          </w:tcPr>
          <w:p w14:paraId="0C6961A3">
            <w:pPr>
              <w:adjustRightInd w:val="0"/>
              <w:jc w:val="left"/>
              <w:rPr>
                <w:rFonts w:ascii="宋体" w:hAnsi="宋体" w:cs="宋体"/>
                <w:color w:val="000000" w:themeColor="text1"/>
              </w:rPr>
            </w:pPr>
            <w:r>
              <w:rPr>
                <w:rFonts w:hint="eastAsia" w:ascii="宋体" w:hAnsi="宋体" w:cs="宋体"/>
                <w:color w:val="000000" w:themeColor="text1"/>
              </w:rPr>
              <w:t>评委根据投标人对本项目背景研究内容详实程度打分。</w:t>
            </w:r>
          </w:p>
          <w:p w14:paraId="66AA98DF">
            <w:pPr>
              <w:adjustRightInd w:val="0"/>
              <w:jc w:val="left"/>
              <w:rPr>
                <w:rFonts w:ascii="宋体" w:hAnsi="宋体" w:cs="宋体"/>
                <w:color w:val="000000" w:themeColor="text1"/>
              </w:rPr>
            </w:pPr>
            <w:r>
              <w:rPr>
                <w:rFonts w:hint="eastAsia" w:ascii="宋体" w:hAnsi="宋体" w:cs="宋体"/>
                <w:color w:val="000000" w:themeColor="text1"/>
              </w:rPr>
              <w:t>内容全面，背景分析准确、方案合理，得6分；</w:t>
            </w:r>
          </w:p>
          <w:p w14:paraId="1DCBEE59">
            <w:pPr>
              <w:adjustRightInd w:val="0"/>
              <w:jc w:val="left"/>
              <w:rPr>
                <w:rFonts w:ascii="宋体" w:hAnsi="宋体" w:cs="宋体"/>
                <w:color w:val="000000" w:themeColor="text1"/>
              </w:rPr>
            </w:pPr>
            <w:r>
              <w:rPr>
                <w:rFonts w:hint="eastAsia" w:ascii="宋体" w:hAnsi="宋体" w:cs="宋体"/>
                <w:color w:val="000000" w:themeColor="text1"/>
              </w:rPr>
              <w:t>内容较全面，背景分析较准确、方案较合理，得3分；</w:t>
            </w:r>
          </w:p>
          <w:p w14:paraId="680C579D">
            <w:pPr>
              <w:adjustRightInd w:val="0"/>
              <w:jc w:val="left"/>
              <w:rPr>
                <w:rFonts w:ascii="宋体" w:hAnsi="宋体" w:cs="宋体"/>
                <w:color w:val="000000" w:themeColor="text1"/>
              </w:rPr>
            </w:pPr>
            <w:r>
              <w:rPr>
                <w:rFonts w:hint="eastAsia" w:ascii="宋体" w:hAnsi="宋体" w:cs="宋体"/>
                <w:color w:val="000000" w:themeColor="text1"/>
              </w:rPr>
              <w:t>内容不够全面，背景分析不准确、方案有欠缺的，得1分；</w:t>
            </w:r>
          </w:p>
          <w:p w14:paraId="7B995A08">
            <w:pPr>
              <w:adjustRightInd w:val="0"/>
              <w:snapToGrid w:val="0"/>
              <w:spacing w:line="400" w:lineRule="exact"/>
              <w:jc w:val="left"/>
              <w:rPr>
                <w:rFonts w:ascii="Times New Roman" w:hAnsi="Times New Roman" w:cs="Times New Roman"/>
                <w:color w:val="000000"/>
              </w:rPr>
            </w:pPr>
            <w:r>
              <w:rPr>
                <w:rFonts w:hint="eastAsia" w:ascii="Times New Roman" w:hAnsi="Times New Roman"/>
              </w:rPr>
              <w:t>未提供不得分</w:t>
            </w:r>
            <w:r>
              <w:rPr>
                <w:rFonts w:hint="eastAsia" w:ascii="Times New Roman" w:hAnsi="Times New Roman"/>
                <w:lang w:val="en-GB"/>
              </w:rPr>
              <w:t>。</w:t>
            </w:r>
          </w:p>
        </w:tc>
        <w:tc>
          <w:tcPr>
            <w:tcW w:w="934" w:type="dxa"/>
            <w:tcBorders>
              <w:top w:val="single" w:color="auto" w:sz="4" w:space="0"/>
              <w:left w:val="single" w:color="auto" w:sz="4" w:space="0"/>
              <w:bottom w:val="single" w:color="auto" w:sz="4" w:space="0"/>
              <w:right w:val="single" w:color="auto" w:sz="4" w:space="0"/>
            </w:tcBorders>
            <w:noWrap/>
            <w:vAlign w:val="center"/>
          </w:tcPr>
          <w:p w14:paraId="33066A3E">
            <w:pPr>
              <w:adjustRightInd w:val="0"/>
              <w:snapToGrid w:val="0"/>
              <w:spacing w:line="400" w:lineRule="exact"/>
              <w:jc w:val="center"/>
              <w:rPr>
                <w:rFonts w:ascii="Times New Roman" w:hAnsi="Times New Roman" w:cs="Times New Roman"/>
                <w:color w:val="000000"/>
              </w:rPr>
            </w:pPr>
            <w:r>
              <w:rPr>
                <w:rFonts w:hint="eastAsia" w:ascii="Times New Roman" w:hAnsi="Times New Roman" w:cs="Times New Roman"/>
                <w:color w:val="000000"/>
              </w:rPr>
              <w:t>6分</w:t>
            </w:r>
          </w:p>
        </w:tc>
      </w:tr>
      <w:tr w14:paraId="03D6E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1226" w:type="dxa"/>
            <w:tcBorders>
              <w:top w:val="single" w:color="auto" w:sz="4" w:space="0"/>
              <w:left w:val="single" w:color="auto" w:sz="4" w:space="0"/>
              <w:bottom w:val="single" w:color="auto" w:sz="4" w:space="0"/>
              <w:right w:val="single" w:color="auto" w:sz="4" w:space="0"/>
            </w:tcBorders>
            <w:noWrap/>
            <w:vAlign w:val="center"/>
          </w:tcPr>
          <w:p w14:paraId="541F57ED">
            <w:pPr>
              <w:adjustRightInd w:val="0"/>
              <w:snapToGrid w:val="0"/>
              <w:spacing w:line="400" w:lineRule="exact"/>
              <w:rPr>
                <w:rFonts w:ascii="Times New Roman" w:hAnsi="Times New Roman" w:cs="Times New Roman"/>
                <w:color w:val="000000"/>
              </w:rPr>
            </w:pPr>
            <w:r>
              <w:rPr>
                <w:rFonts w:hint="eastAsia" w:ascii="Times New Roman" w:hAnsi="Times New Roman" w:cs="Times New Roman"/>
                <w:color w:val="000000"/>
              </w:rPr>
              <w:t>实施方案</w:t>
            </w:r>
          </w:p>
        </w:tc>
        <w:tc>
          <w:tcPr>
            <w:tcW w:w="6420" w:type="dxa"/>
            <w:tcBorders>
              <w:top w:val="single" w:color="auto" w:sz="4" w:space="0"/>
              <w:left w:val="single" w:color="auto" w:sz="4" w:space="0"/>
              <w:bottom w:val="single" w:color="auto" w:sz="4" w:space="0"/>
              <w:right w:val="single" w:color="auto" w:sz="4" w:space="0"/>
            </w:tcBorders>
            <w:noWrap/>
            <w:vAlign w:val="center"/>
          </w:tcPr>
          <w:p w14:paraId="3ACF8C78">
            <w:pPr>
              <w:adjustRightInd w:val="0"/>
              <w:jc w:val="left"/>
              <w:rPr>
                <w:rFonts w:hint="eastAsia" w:ascii="宋体" w:hAnsi="宋体" w:cs="宋体"/>
                <w:color w:val="000000" w:themeColor="text1"/>
              </w:rPr>
            </w:pPr>
            <w:r>
              <w:rPr>
                <w:rFonts w:hint="eastAsia" w:ascii="宋体" w:hAnsi="宋体" w:cs="宋体"/>
                <w:color w:val="000000" w:themeColor="text1"/>
              </w:rPr>
              <w:t>评委根据投标人对本项目的实施方案进行打分，方案内容包含</w:t>
            </w:r>
            <w:r>
              <w:rPr>
                <w:rFonts w:hint="eastAsia" w:ascii="宋体" w:hAnsi="宋体" w:cs="宋体"/>
                <w:color w:val="000000" w:themeColor="text1"/>
                <w:highlight w:val="none"/>
              </w:rPr>
              <w:t>（现场采样、水样前处理、DNA提取、PCR扩增、高通量测序、生物信息学分析）</w:t>
            </w:r>
            <w:r>
              <w:rPr>
                <w:rFonts w:hint="eastAsia" w:ascii="宋体" w:hAnsi="宋体" w:cs="宋体"/>
                <w:color w:val="000000" w:themeColor="text1"/>
              </w:rPr>
              <w:t>。</w:t>
            </w:r>
          </w:p>
          <w:p w14:paraId="79FA685D">
            <w:pPr>
              <w:adjustRightInd w:val="0"/>
              <w:jc w:val="left"/>
              <w:rPr>
                <w:rFonts w:ascii="宋体" w:hAnsi="宋体" w:cs="宋体"/>
                <w:color w:val="000000" w:themeColor="text1"/>
              </w:rPr>
            </w:pPr>
            <w:r>
              <w:rPr>
                <w:rFonts w:hint="eastAsia" w:ascii="宋体" w:hAnsi="宋体" w:cs="宋体"/>
                <w:color w:val="000000" w:themeColor="text1"/>
              </w:rPr>
              <w:t>方案构思合理、科学的得10分；</w:t>
            </w:r>
          </w:p>
          <w:p w14:paraId="7793EF16">
            <w:pPr>
              <w:adjustRightInd w:val="0"/>
              <w:jc w:val="left"/>
              <w:rPr>
                <w:rFonts w:ascii="宋体" w:hAnsi="宋体" w:cs="宋体"/>
                <w:color w:val="000000" w:themeColor="text1"/>
              </w:rPr>
            </w:pPr>
            <w:r>
              <w:rPr>
                <w:rFonts w:hint="eastAsia" w:ascii="宋体" w:hAnsi="宋体" w:cs="宋体"/>
                <w:color w:val="000000" w:themeColor="text1"/>
              </w:rPr>
              <w:t>方案构思较合理、科学的得7分；</w:t>
            </w:r>
          </w:p>
          <w:p w14:paraId="393BA0A8">
            <w:pPr>
              <w:adjustRightInd w:val="0"/>
              <w:jc w:val="left"/>
              <w:rPr>
                <w:rFonts w:ascii="宋体" w:hAnsi="宋体" w:cs="宋体"/>
                <w:color w:val="000000" w:themeColor="text1"/>
              </w:rPr>
            </w:pPr>
            <w:r>
              <w:rPr>
                <w:rFonts w:hint="eastAsia" w:ascii="宋体" w:hAnsi="宋体" w:cs="宋体"/>
                <w:color w:val="000000" w:themeColor="text1"/>
              </w:rPr>
              <w:t>方案构思不合理或措施不科学的得3分；</w:t>
            </w:r>
          </w:p>
          <w:p w14:paraId="74B483BC">
            <w:pPr>
              <w:pStyle w:val="10"/>
              <w:ind w:firstLine="0"/>
              <w:rPr>
                <w:rFonts w:ascii="宋体" w:hAnsi="宋体" w:cs="宋体"/>
                <w:color w:val="000000" w:themeColor="text1"/>
              </w:rPr>
            </w:pPr>
            <w:r>
              <w:rPr>
                <w:rFonts w:hint="eastAsia" w:ascii="Times New Roman" w:hAnsi="Times New Roman"/>
              </w:rPr>
              <w:t>未提供不得分</w:t>
            </w:r>
            <w:r>
              <w:rPr>
                <w:rFonts w:hint="eastAsia" w:ascii="Times New Roman" w:hAnsi="Times New Roman"/>
                <w:lang w:val="en-GB"/>
              </w:rPr>
              <w:t>。</w:t>
            </w:r>
          </w:p>
        </w:tc>
        <w:tc>
          <w:tcPr>
            <w:tcW w:w="934" w:type="dxa"/>
            <w:tcBorders>
              <w:top w:val="single" w:color="auto" w:sz="4" w:space="0"/>
              <w:left w:val="single" w:color="auto" w:sz="4" w:space="0"/>
              <w:bottom w:val="single" w:color="auto" w:sz="4" w:space="0"/>
              <w:right w:val="single" w:color="auto" w:sz="4" w:space="0"/>
            </w:tcBorders>
            <w:noWrap/>
            <w:vAlign w:val="center"/>
          </w:tcPr>
          <w:p w14:paraId="10B1A209">
            <w:pPr>
              <w:adjustRightInd w:val="0"/>
              <w:snapToGrid w:val="0"/>
              <w:spacing w:line="400" w:lineRule="exact"/>
              <w:jc w:val="center"/>
              <w:rPr>
                <w:rFonts w:ascii="Times New Roman" w:hAnsi="Times New Roman" w:cs="Times New Roman" w:eastAsiaTheme="minorEastAsia"/>
                <w:color w:val="000000"/>
              </w:rPr>
            </w:pPr>
            <w:r>
              <w:rPr>
                <w:rFonts w:hint="eastAsia" w:ascii="Times New Roman" w:hAnsi="Times New Roman" w:cs="Times New Roman"/>
                <w:color w:val="000000"/>
              </w:rPr>
              <w:t>10分</w:t>
            </w:r>
          </w:p>
        </w:tc>
      </w:tr>
      <w:tr w14:paraId="0677C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1226" w:type="dxa"/>
            <w:tcBorders>
              <w:top w:val="single" w:color="auto" w:sz="4" w:space="0"/>
              <w:left w:val="single" w:color="auto" w:sz="4" w:space="0"/>
              <w:bottom w:val="single" w:color="auto" w:sz="4" w:space="0"/>
              <w:right w:val="single" w:color="auto" w:sz="4" w:space="0"/>
            </w:tcBorders>
            <w:noWrap/>
            <w:vAlign w:val="center"/>
          </w:tcPr>
          <w:p w14:paraId="619377C2">
            <w:pPr>
              <w:adjustRightInd w:val="0"/>
              <w:jc w:val="left"/>
              <w:rPr>
                <w:rFonts w:ascii="宋体" w:hAnsi="宋体" w:cs="宋体"/>
                <w:color w:val="000000" w:themeColor="text1"/>
              </w:rPr>
            </w:pPr>
            <w:r>
              <w:rPr>
                <w:rFonts w:hint="eastAsia" w:ascii="宋体" w:hAnsi="宋体" w:cs="宋体"/>
                <w:color w:val="000000" w:themeColor="text1"/>
              </w:rPr>
              <w:t>质量保证措施</w:t>
            </w:r>
          </w:p>
          <w:p w14:paraId="4815ACA1">
            <w:pPr>
              <w:adjustRightInd w:val="0"/>
              <w:snapToGrid w:val="0"/>
              <w:spacing w:line="400" w:lineRule="exact"/>
              <w:jc w:val="center"/>
              <w:rPr>
                <w:rFonts w:ascii="Times New Roman" w:hAnsi="Times New Roman" w:cs="Times New Roman" w:eastAsiaTheme="minorEastAsia"/>
                <w:color w:val="000000"/>
              </w:rPr>
            </w:pPr>
          </w:p>
        </w:tc>
        <w:tc>
          <w:tcPr>
            <w:tcW w:w="6420" w:type="dxa"/>
            <w:tcBorders>
              <w:top w:val="single" w:color="auto" w:sz="4" w:space="0"/>
              <w:left w:val="single" w:color="auto" w:sz="4" w:space="0"/>
              <w:bottom w:val="single" w:color="auto" w:sz="4" w:space="0"/>
              <w:right w:val="single" w:color="auto" w:sz="4" w:space="0"/>
            </w:tcBorders>
            <w:noWrap/>
            <w:vAlign w:val="center"/>
          </w:tcPr>
          <w:p w14:paraId="1A28B365">
            <w:pPr>
              <w:adjustRightInd w:val="0"/>
              <w:jc w:val="left"/>
              <w:rPr>
                <w:rFonts w:ascii="宋体" w:hAnsi="宋体" w:cs="宋体"/>
                <w:color w:val="000000" w:themeColor="text1"/>
              </w:rPr>
            </w:pPr>
            <w:r>
              <w:rPr>
                <w:rFonts w:hint="eastAsia" w:ascii="宋体" w:hAnsi="宋体" w:cs="宋体"/>
                <w:color w:val="000000" w:themeColor="text1"/>
              </w:rPr>
              <w:t>评标委员会对投标人提出的质量保证措施进行综合评定。</w:t>
            </w:r>
          </w:p>
          <w:p w14:paraId="27C5D62A">
            <w:pPr>
              <w:adjustRightInd w:val="0"/>
              <w:jc w:val="left"/>
              <w:rPr>
                <w:rFonts w:ascii="宋体" w:hAnsi="宋体" w:cs="宋体"/>
                <w:color w:val="000000" w:themeColor="text1"/>
              </w:rPr>
            </w:pPr>
            <w:r>
              <w:rPr>
                <w:rFonts w:hint="eastAsia" w:ascii="宋体" w:hAnsi="宋体" w:cs="宋体"/>
                <w:color w:val="000000" w:themeColor="text1"/>
              </w:rPr>
              <w:t>投标人提供的质量保证体系完备周全，具有切实可行的保证措施，得8分；</w:t>
            </w:r>
          </w:p>
          <w:p w14:paraId="04E2E5B0">
            <w:pPr>
              <w:adjustRightInd w:val="0"/>
              <w:jc w:val="left"/>
              <w:rPr>
                <w:rFonts w:ascii="宋体" w:hAnsi="宋体" w:cs="宋体"/>
                <w:color w:val="000000" w:themeColor="text1"/>
              </w:rPr>
            </w:pPr>
            <w:r>
              <w:rPr>
                <w:rFonts w:hint="eastAsia" w:ascii="宋体" w:hAnsi="宋体" w:cs="宋体"/>
                <w:color w:val="000000" w:themeColor="text1"/>
              </w:rPr>
              <w:t>投标人提供的质量保证体系较为完备周全，保证措施较贴合实际，得5分；</w:t>
            </w:r>
          </w:p>
          <w:p w14:paraId="42810A9D">
            <w:pPr>
              <w:adjustRightInd w:val="0"/>
              <w:jc w:val="left"/>
              <w:rPr>
                <w:rFonts w:ascii="宋体" w:hAnsi="宋体" w:cs="宋体"/>
                <w:color w:val="000000" w:themeColor="text1"/>
              </w:rPr>
            </w:pPr>
            <w:r>
              <w:rPr>
                <w:rFonts w:hint="eastAsia" w:ascii="宋体" w:hAnsi="宋体" w:cs="宋体"/>
                <w:color w:val="000000" w:themeColor="text1"/>
              </w:rPr>
              <w:t>投标人提供质量保证体系的描述，内容简单空泛，保证措施不完善，得3分；</w:t>
            </w:r>
          </w:p>
          <w:p w14:paraId="5E568C9D">
            <w:pPr>
              <w:adjustRightInd w:val="0"/>
              <w:snapToGrid w:val="0"/>
              <w:spacing w:line="400" w:lineRule="exact"/>
              <w:jc w:val="left"/>
              <w:rPr>
                <w:rFonts w:ascii="Times New Roman" w:hAnsi="Times New Roman" w:cs="Times New Roman"/>
                <w:color w:val="000000"/>
              </w:rPr>
            </w:pPr>
            <w:r>
              <w:rPr>
                <w:rFonts w:hint="eastAsia" w:ascii="Times New Roman" w:hAnsi="Times New Roman"/>
              </w:rPr>
              <w:t>未提供不得分</w:t>
            </w:r>
            <w:r>
              <w:rPr>
                <w:rFonts w:hint="eastAsia" w:ascii="Times New Roman" w:hAnsi="Times New Roman"/>
                <w:lang w:val="en-GB"/>
              </w:rPr>
              <w:t>。</w:t>
            </w:r>
          </w:p>
        </w:tc>
        <w:tc>
          <w:tcPr>
            <w:tcW w:w="934" w:type="dxa"/>
            <w:tcBorders>
              <w:top w:val="single" w:color="auto" w:sz="4" w:space="0"/>
              <w:left w:val="single" w:color="auto" w:sz="4" w:space="0"/>
              <w:bottom w:val="single" w:color="auto" w:sz="4" w:space="0"/>
              <w:right w:val="single" w:color="auto" w:sz="4" w:space="0"/>
            </w:tcBorders>
            <w:noWrap/>
            <w:vAlign w:val="center"/>
          </w:tcPr>
          <w:p w14:paraId="6323D29E">
            <w:pPr>
              <w:adjustRightInd w:val="0"/>
              <w:snapToGrid w:val="0"/>
              <w:spacing w:line="400" w:lineRule="exact"/>
              <w:jc w:val="center"/>
              <w:rPr>
                <w:rFonts w:ascii="Times New Roman" w:hAnsi="Times New Roman" w:cs="Times New Roman" w:eastAsiaTheme="minorEastAsia"/>
                <w:color w:val="000000"/>
              </w:rPr>
            </w:pPr>
            <w:r>
              <w:rPr>
                <w:rFonts w:hint="eastAsia" w:ascii="Times New Roman" w:hAnsi="Times New Roman" w:cs="Times New Roman"/>
                <w:color w:val="000000"/>
              </w:rPr>
              <w:t>8分</w:t>
            </w:r>
          </w:p>
        </w:tc>
      </w:tr>
      <w:tr w14:paraId="289F4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1226" w:type="dxa"/>
            <w:tcBorders>
              <w:top w:val="single" w:color="auto" w:sz="4" w:space="0"/>
              <w:left w:val="single" w:color="auto" w:sz="4" w:space="0"/>
              <w:bottom w:val="single" w:color="auto" w:sz="4" w:space="0"/>
              <w:right w:val="single" w:color="auto" w:sz="4" w:space="0"/>
            </w:tcBorders>
            <w:noWrap/>
            <w:vAlign w:val="center"/>
          </w:tcPr>
          <w:p w14:paraId="066AB355">
            <w:pPr>
              <w:adjustRightInd w:val="0"/>
              <w:snapToGrid w:val="0"/>
              <w:spacing w:line="400" w:lineRule="exact"/>
              <w:jc w:val="center"/>
              <w:rPr>
                <w:rFonts w:ascii="Times New Roman" w:hAnsi="Times New Roman" w:cs="Times New Roman" w:eastAsiaTheme="minorEastAsia"/>
                <w:color w:val="000000"/>
              </w:rPr>
            </w:pPr>
            <w:r>
              <w:rPr>
                <w:rFonts w:hint="eastAsia" w:ascii="Times New Roman" w:hAnsi="Times New Roman" w:cs="Times New Roman"/>
                <w:color w:val="000000"/>
              </w:rPr>
              <w:t>进度安排</w:t>
            </w:r>
          </w:p>
        </w:tc>
        <w:tc>
          <w:tcPr>
            <w:tcW w:w="6420" w:type="dxa"/>
            <w:tcBorders>
              <w:top w:val="single" w:color="auto" w:sz="4" w:space="0"/>
              <w:left w:val="single" w:color="auto" w:sz="4" w:space="0"/>
              <w:bottom w:val="single" w:color="auto" w:sz="4" w:space="0"/>
              <w:right w:val="single" w:color="auto" w:sz="4" w:space="0"/>
            </w:tcBorders>
            <w:noWrap/>
            <w:vAlign w:val="center"/>
          </w:tcPr>
          <w:p w14:paraId="4794341E">
            <w:pPr>
              <w:adjustRightInd w:val="0"/>
              <w:jc w:val="left"/>
              <w:rPr>
                <w:rFonts w:ascii="宋体" w:hAnsi="宋体" w:cs="宋体"/>
                <w:color w:val="000000" w:themeColor="text1"/>
              </w:rPr>
            </w:pPr>
            <w:r>
              <w:rPr>
                <w:rFonts w:hint="eastAsia" w:ascii="宋体" w:hAnsi="宋体" w:cs="宋体"/>
                <w:color w:val="000000" w:themeColor="text1"/>
              </w:rPr>
              <w:t>评标委员会对投标人的工作进度安排进行综合评定</w:t>
            </w:r>
          </w:p>
          <w:p w14:paraId="172AB79C">
            <w:pPr>
              <w:adjustRightInd w:val="0"/>
              <w:jc w:val="left"/>
              <w:rPr>
                <w:rFonts w:ascii="宋体" w:hAnsi="宋体" w:cs="宋体"/>
                <w:color w:val="000000" w:themeColor="text1"/>
              </w:rPr>
            </w:pPr>
            <w:r>
              <w:rPr>
                <w:rFonts w:hint="eastAsia" w:ascii="宋体" w:hAnsi="宋体" w:cs="宋体"/>
                <w:color w:val="000000" w:themeColor="text1"/>
              </w:rPr>
              <w:t>工作计划安排内容非常充实，能结合项目实际，表述清晰，合理可行的，得8分；</w:t>
            </w:r>
          </w:p>
          <w:p w14:paraId="5B79D3CB">
            <w:pPr>
              <w:adjustRightInd w:val="0"/>
              <w:jc w:val="left"/>
              <w:rPr>
                <w:rFonts w:ascii="宋体" w:hAnsi="宋体" w:cs="宋体"/>
                <w:color w:val="000000" w:themeColor="text1"/>
              </w:rPr>
            </w:pPr>
            <w:r>
              <w:rPr>
                <w:rFonts w:hint="eastAsia" w:ascii="宋体" w:hAnsi="宋体" w:cs="宋体"/>
                <w:color w:val="000000" w:themeColor="text1"/>
              </w:rPr>
              <w:t>工作计划安排内容较充实，较为合理可行的，得5分；</w:t>
            </w:r>
          </w:p>
          <w:p w14:paraId="3BF09F6D">
            <w:pPr>
              <w:adjustRightInd w:val="0"/>
              <w:jc w:val="left"/>
              <w:rPr>
                <w:rFonts w:ascii="宋体" w:hAnsi="宋体" w:cs="宋体"/>
                <w:color w:val="000000" w:themeColor="text1"/>
              </w:rPr>
            </w:pPr>
            <w:r>
              <w:rPr>
                <w:rFonts w:hint="eastAsia" w:ascii="宋体" w:hAnsi="宋体" w:cs="宋体"/>
                <w:color w:val="000000" w:themeColor="text1"/>
              </w:rPr>
              <w:t>工作计划安排内容一般，表述含糊的，得2分；</w:t>
            </w:r>
          </w:p>
          <w:p w14:paraId="5400C587">
            <w:pPr>
              <w:adjustRightInd w:val="0"/>
              <w:snapToGrid w:val="0"/>
              <w:spacing w:line="400" w:lineRule="exact"/>
              <w:jc w:val="left"/>
              <w:rPr>
                <w:rFonts w:ascii="Times New Roman" w:hAnsi="Times New Roman" w:cs="Times New Roman"/>
                <w:color w:val="000000"/>
              </w:rPr>
            </w:pPr>
            <w:r>
              <w:rPr>
                <w:rFonts w:hint="eastAsia" w:ascii="Times New Roman" w:hAnsi="Times New Roman"/>
              </w:rPr>
              <w:t>未提供不得分</w:t>
            </w:r>
            <w:r>
              <w:rPr>
                <w:rFonts w:hint="eastAsia" w:ascii="Times New Roman" w:hAnsi="Times New Roman"/>
                <w:lang w:val="en-GB"/>
              </w:rPr>
              <w:t>。</w:t>
            </w:r>
          </w:p>
        </w:tc>
        <w:tc>
          <w:tcPr>
            <w:tcW w:w="934" w:type="dxa"/>
            <w:tcBorders>
              <w:top w:val="single" w:color="auto" w:sz="4" w:space="0"/>
              <w:left w:val="single" w:color="auto" w:sz="4" w:space="0"/>
              <w:bottom w:val="single" w:color="auto" w:sz="4" w:space="0"/>
              <w:right w:val="single" w:color="auto" w:sz="4" w:space="0"/>
            </w:tcBorders>
            <w:noWrap/>
            <w:vAlign w:val="center"/>
          </w:tcPr>
          <w:p w14:paraId="0780581C">
            <w:pPr>
              <w:adjustRightInd w:val="0"/>
              <w:snapToGrid w:val="0"/>
              <w:spacing w:line="400" w:lineRule="exact"/>
              <w:jc w:val="center"/>
              <w:rPr>
                <w:rFonts w:ascii="Times New Roman" w:hAnsi="Times New Roman" w:cs="Times New Roman" w:eastAsiaTheme="minorEastAsia"/>
                <w:color w:val="000000"/>
              </w:rPr>
            </w:pPr>
            <w:r>
              <w:rPr>
                <w:rFonts w:hint="eastAsia" w:ascii="Times New Roman" w:hAnsi="Times New Roman" w:cs="Times New Roman"/>
                <w:color w:val="000000"/>
              </w:rPr>
              <w:t>8分</w:t>
            </w:r>
          </w:p>
        </w:tc>
      </w:tr>
      <w:tr w14:paraId="07755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1226" w:type="dxa"/>
            <w:tcBorders>
              <w:top w:val="single" w:color="auto" w:sz="4" w:space="0"/>
              <w:left w:val="single" w:color="auto" w:sz="4" w:space="0"/>
              <w:bottom w:val="single" w:color="auto" w:sz="4" w:space="0"/>
              <w:right w:val="single" w:color="auto" w:sz="4" w:space="0"/>
            </w:tcBorders>
            <w:noWrap/>
            <w:vAlign w:val="center"/>
          </w:tcPr>
          <w:p w14:paraId="5F486EE0">
            <w:pPr>
              <w:adjustRightInd w:val="0"/>
              <w:snapToGrid w:val="0"/>
              <w:spacing w:line="400" w:lineRule="exact"/>
              <w:jc w:val="center"/>
              <w:rPr>
                <w:rFonts w:ascii="Times New Roman" w:hAnsi="Times New Roman" w:cs="Times New Roman"/>
                <w:color w:val="000000"/>
              </w:rPr>
            </w:pPr>
            <w:r>
              <w:rPr>
                <w:rFonts w:hint="eastAsia" w:ascii="Times New Roman" w:hAnsi="Times New Roman" w:cs="Times New Roman"/>
                <w:color w:val="000000"/>
              </w:rPr>
              <w:t>设备情况</w:t>
            </w:r>
          </w:p>
        </w:tc>
        <w:tc>
          <w:tcPr>
            <w:tcW w:w="6420" w:type="dxa"/>
            <w:tcBorders>
              <w:top w:val="single" w:color="auto" w:sz="4" w:space="0"/>
              <w:left w:val="single" w:color="auto" w:sz="4" w:space="0"/>
              <w:bottom w:val="single" w:color="auto" w:sz="4" w:space="0"/>
              <w:right w:val="single" w:color="auto" w:sz="4" w:space="0"/>
            </w:tcBorders>
            <w:noWrap/>
            <w:vAlign w:val="center"/>
          </w:tcPr>
          <w:p w14:paraId="4D6B40D1">
            <w:pPr>
              <w:spacing w:line="400" w:lineRule="exact"/>
              <w:rPr>
                <w:rFonts w:ascii="Times New Roman" w:hAnsi="Times New Roman"/>
                <w:lang w:val="en-GB"/>
              </w:rPr>
            </w:pPr>
            <w:r>
              <w:rPr>
                <w:rFonts w:hint="eastAsia" w:ascii="Times New Roman" w:hAnsi="Times New Roman"/>
                <w:lang w:val="en-GB"/>
              </w:rPr>
              <w:t>根据投标人具备的满足本项</w:t>
            </w:r>
            <w:r>
              <w:rPr>
                <w:rFonts w:hint="eastAsia" w:ascii="Times New Roman" w:hAnsi="Times New Roman"/>
                <w:lang w:val="en-US" w:eastAsia="zh-CN"/>
              </w:rPr>
              <w:t>目</w:t>
            </w:r>
            <w:r>
              <w:rPr>
                <w:rFonts w:hint="eastAsia" w:ascii="Times New Roman" w:hAnsi="Times New Roman"/>
              </w:rPr>
              <w:t>调查</w:t>
            </w:r>
            <w:r>
              <w:rPr>
                <w:rFonts w:hint="eastAsia" w:ascii="Times New Roman" w:hAnsi="Times New Roman"/>
                <w:lang w:val="en-GB"/>
              </w:rPr>
              <w:t>工作所需的实验室面积大小、仪器配置、检验检测环境条件等情况进行综合评议。</w:t>
            </w:r>
          </w:p>
          <w:p w14:paraId="6BBC662E">
            <w:pPr>
              <w:spacing w:line="400" w:lineRule="exact"/>
              <w:rPr>
                <w:rFonts w:ascii="Times New Roman" w:hAnsi="Times New Roman"/>
                <w:lang w:val="en-GB"/>
              </w:rPr>
            </w:pPr>
            <w:r>
              <w:rPr>
                <w:rFonts w:hint="eastAsia" w:ascii="宋体" w:hAnsi="宋体" w:cs="宋体"/>
                <w:lang w:val="en-GB"/>
              </w:rPr>
              <w:t>①</w:t>
            </w:r>
            <w:r>
              <w:rPr>
                <w:rFonts w:hint="eastAsia" w:ascii="Times New Roman" w:hAnsi="Times New Roman"/>
                <w:lang w:val="en-GB"/>
              </w:rPr>
              <w:t>实验室面积、仪器配置和检验检测环境条件等满足项目需求，综合情况排名第一的，得</w:t>
            </w:r>
            <w:r>
              <w:rPr>
                <w:rFonts w:hint="eastAsia" w:ascii="Times New Roman" w:hAnsi="Times New Roman"/>
              </w:rPr>
              <w:t>10</w:t>
            </w:r>
            <w:r>
              <w:rPr>
                <w:rFonts w:hint="eastAsia" w:ascii="Times New Roman" w:hAnsi="Times New Roman"/>
                <w:lang w:val="en-GB"/>
              </w:rPr>
              <w:t>分。</w:t>
            </w:r>
          </w:p>
          <w:p w14:paraId="6180E634">
            <w:pPr>
              <w:spacing w:line="400" w:lineRule="exact"/>
              <w:rPr>
                <w:rFonts w:ascii="Times New Roman" w:hAnsi="Times New Roman"/>
                <w:lang w:val="en-GB"/>
              </w:rPr>
            </w:pPr>
            <w:r>
              <w:rPr>
                <w:rFonts w:hint="eastAsia" w:ascii="宋体" w:hAnsi="宋体" w:cs="宋体"/>
                <w:lang w:val="en-GB"/>
              </w:rPr>
              <w:t>②</w:t>
            </w:r>
            <w:r>
              <w:rPr>
                <w:rFonts w:hint="eastAsia" w:ascii="Times New Roman" w:hAnsi="Times New Roman"/>
                <w:lang w:val="en-GB"/>
              </w:rPr>
              <w:t>实验室面积、仪器配置和检验检测环境条件等满足项目需求，综合情况排名第二的，得</w:t>
            </w:r>
            <w:r>
              <w:rPr>
                <w:rFonts w:hint="eastAsia" w:ascii="Times New Roman" w:hAnsi="Times New Roman"/>
              </w:rPr>
              <w:t>7</w:t>
            </w:r>
            <w:r>
              <w:rPr>
                <w:rFonts w:hint="eastAsia" w:ascii="Times New Roman" w:hAnsi="Times New Roman"/>
                <w:lang w:val="en-GB"/>
              </w:rPr>
              <w:t>分。</w:t>
            </w:r>
          </w:p>
          <w:p w14:paraId="40F3A054">
            <w:pPr>
              <w:spacing w:line="400" w:lineRule="exact"/>
              <w:rPr>
                <w:rFonts w:ascii="Times New Roman" w:hAnsi="Times New Roman"/>
                <w:color w:val="000000"/>
                <w:lang w:val="en-GB"/>
              </w:rPr>
            </w:pPr>
            <w:r>
              <w:rPr>
                <w:rFonts w:hint="eastAsia" w:ascii="宋体" w:hAnsi="宋体" w:cs="宋体"/>
                <w:lang w:val="en-GB"/>
              </w:rPr>
              <w:t>③</w:t>
            </w:r>
            <w:r>
              <w:rPr>
                <w:rFonts w:hint="eastAsia" w:ascii="Times New Roman" w:hAnsi="Times New Roman"/>
                <w:lang w:val="en-GB"/>
              </w:rPr>
              <w:t>实验室面积、仪器配置和检验检测环境条件等综合情况排名第三及之后的，根据与项目需求的匹配程度打分，得</w:t>
            </w:r>
            <w:r>
              <w:rPr>
                <w:rFonts w:hint="eastAsia" w:ascii="Times New Roman" w:hAnsi="Times New Roman"/>
              </w:rPr>
              <w:t>3</w:t>
            </w:r>
            <w:r>
              <w:rPr>
                <w:rFonts w:hint="eastAsia" w:ascii="Times New Roman" w:hAnsi="Times New Roman"/>
                <w:lang w:val="en-GB"/>
              </w:rPr>
              <w:t>分。</w:t>
            </w:r>
          </w:p>
          <w:p w14:paraId="2BF0643E">
            <w:pPr>
              <w:adjustRightInd w:val="0"/>
              <w:snapToGrid w:val="0"/>
              <w:spacing w:line="400" w:lineRule="exact"/>
              <w:jc w:val="left"/>
              <w:rPr>
                <w:rFonts w:ascii="Times New Roman" w:hAnsi="Times New Roman" w:cs="Times New Roman"/>
                <w:color w:val="000000"/>
              </w:rPr>
            </w:pPr>
            <w:r>
              <w:rPr>
                <w:rFonts w:hint="eastAsia" w:ascii="Times New Roman" w:hAnsi="Times New Roman"/>
                <w:lang w:val="en-GB"/>
              </w:rPr>
              <w:t>注：提供房屋租赁合同或房产证、实验室平面布置图等相关证明材料，</w:t>
            </w:r>
            <w:r>
              <w:rPr>
                <w:rFonts w:hint="eastAsia" w:ascii="Times New Roman" w:hAnsi="Times New Roman"/>
              </w:rPr>
              <w:t>未提供不得分</w:t>
            </w:r>
            <w:r>
              <w:rPr>
                <w:rFonts w:hint="eastAsia" w:ascii="Times New Roman" w:hAnsi="Times New Roman"/>
                <w:lang w:val="en-GB"/>
              </w:rPr>
              <w:t>。</w:t>
            </w:r>
          </w:p>
        </w:tc>
        <w:tc>
          <w:tcPr>
            <w:tcW w:w="934" w:type="dxa"/>
            <w:tcBorders>
              <w:top w:val="single" w:color="auto" w:sz="4" w:space="0"/>
              <w:left w:val="single" w:color="auto" w:sz="4" w:space="0"/>
              <w:bottom w:val="single" w:color="auto" w:sz="4" w:space="0"/>
              <w:right w:val="single" w:color="auto" w:sz="4" w:space="0"/>
            </w:tcBorders>
            <w:noWrap/>
            <w:vAlign w:val="center"/>
          </w:tcPr>
          <w:p w14:paraId="0AED21B3">
            <w:pPr>
              <w:adjustRightInd w:val="0"/>
              <w:snapToGrid w:val="0"/>
              <w:spacing w:line="400" w:lineRule="exact"/>
              <w:jc w:val="center"/>
              <w:rPr>
                <w:rFonts w:ascii="Times New Roman" w:hAnsi="Times New Roman" w:cs="Times New Roman"/>
                <w:color w:val="000000"/>
              </w:rPr>
            </w:pPr>
            <w:r>
              <w:rPr>
                <w:rFonts w:hint="eastAsia" w:ascii="Times New Roman" w:hAnsi="Times New Roman" w:cs="Times New Roman"/>
                <w:color w:val="000000"/>
              </w:rPr>
              <w:t>10分</w:t>
            </w:r>
          </w:p>
        </w:tc>
      </w:tr>
      <w:tr w14:paraId="249CC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51" w:hRule="atLeast"/>
          <w:jc w:val="center"/>
        </w:trPr>
        <w:tc>
          <w:tcPr>
            <w:tcW w:w="1226" w:type="dxa"/>
            <w:vAlign w:val="center"/>
          </w:tcPr>
          <w:p w14:paraId="2F504F4F">
            <w:pPr>
              <w:adjustRightInd w:val="0"/>
              <w:snapToGrid w:val="0"/>
              <w:spacing w:line="400" w:lineRule="exact"/>
              <w:jc w:val="left"/>
              <w:rPr>
                <w:rFonts w:ascii="Times New Roman" w:hAnsi="Times New Roman"/>
              </w:rPr>
            </w:pPr>
            <w:r>
              <w:rPr>
                <w:rFonts w:hint="eastAsia" w:ascii="Times New Roman" w:hAnsi="Times New Roman"/>
              </w:rPr>
              <w:t>保密制度</w:t>
            </w:r>
          </w:p>
        </w:tc>
        <w:tc>
          <w:tcPr>
            <w:tcW w:w="6420" w:type="dxa"/>
            <w:vAlign w:val="center"/>
          </w:tcPr>
          <w:p w14:paraId="77329F41">
            <w:pPr>
              <w:spacing w:line="400" w:lineRule="exact"/>
              <w:rPr>
                <w:rFonts w:hint="eastAsia" w:ascii="Times New Roman" w:hAnsi="Times New Roman" w:eastAsia="宋体"/>
                <w:lang w:val="en-GB"/>
              </w:rPr>
            </w:pPr>
            <w:r>
              <w:rPr>
                <w:rFonts w:hint="eastAsia" w:ascii="Times New Roman" w:hAnsi="Times New Roman" w:eastAsia="宋体"/>
                <w:lang w:val="en-GB"/>
              </w:rPr>
              <w:t>投标人具有严格的保密管理制度，对涉密数据的管理、使用、生产、提供有明确的保障措施，进行综合评议。</w:t>
            </w:r>
          </w:p>
          <w:p w14:paraId="56F86000">
            <w:pPr>
              <w:spacing w:line="400" w:lineRule="exact"/>
              <w:rPr>
                <w:rFonts w:hint="eastAsia" w:ascii="Times New Roman" w:hAnsi="Times New Roman" w:eastAsia="宋体"/>
                <w:lang w:val="en-US" w:eastAsia="zh-CN"/>
              </w:rPr>
            </w:pPr>
            <w:r>
              <w:rPr>
                <w:rFonts w:hint="eastAsia" w:ascii="Times New Roman" w:hAnsi="Times New Roman" w:eastAsia="宋体"/>
                <w:lang w:val="en-US" w:eastAsia="zh-CN"/>
              </w:rPr>
              <w:t>方案内容完整、程序到位，制度严明的得4分；</w:t>
            </w:r>
          </w:p>
          <w:p w14:paraId="462AA03F">
            <w:pPr>
              <w:spacing w:line="400" w:lineRule="exact"/>
              <w:rPr>
                <w:rFonts w:hint="eastAsia" w:ascii="Times New Roman" w:hAnsi="Times New Roman" w:eastAsia="宋体"/>
                <w:lang w:val="en-US" w:eastAsia="zh-CN"/>
              </w:rPr>
            </w:pPr>
            <w:r>
              <w:rPr>
                <w:rFonts w:hint="eastAsia" w:ascii="Times New Roman" w:hAnsi="Times New Roman" w:eastAsia="宋体"/>
                <w:lang w:val="en-US" w:eastAsia="zh-CN"/>
              </w:rPr>
              <w:t>方案内容欠佳或制度不够清晰的得2分；</w:t>
            </w:r>
          </w:p>
          <w:p w14:paraId="45AA4FA4">
            <w:pPr>
              <w:spacing w:line="400" w:lineRule="exact"/>
              <w:rPr>
                <w:rFonts w:hint="eastAsia" w:ascii="Times New Roman" w:hAnsi="Times New Roman" w:eastAsia="宋体"/>
                <w:lang w:val="en-US" w:eastAsia="zh-CN"/>
              </w:rPr>
            </w:pPr>
            <w:r>
              <w:rPr>
                <w:rFonts w:hint="eastAsia" w:ascii="Times New Roman" w:hAnsi="Times New Roman" w:eastAsia="宋体"/>
                <w:lang w:val="en-US" w:eastAsia="zh-CN"/>
              </w:rPr>
              <w:t>方案存在明显缺陷的得1分；</w:t>
            </w:r>
          </w:p>
          <w:p w14:paraId="1948EEA7">
            <w:pPr>
              <w:spacing w:line="400" w:lineRule="exact"/>
              <w:rPr>
                <w:rFonts w:hint="default"/>
                <w:lang w:val="en-US" w:eastAsia="zh-CN"/>
              </w:rPr>
            </w:pPr>
            <w:r>
              <w:rPr>
                <w:rFonts w:hint="eastAsia" w:ascii="Times New Roman" w:hAnsi="Times New Roman" w:eastAsia="宋体"/>
                <w:lang w:val="en-US" w:eastAsia="zh-CN"/>
              </w:rPr>
              <w:t>未提供不得分。</w:t>
            </w:r>
          </w:p>
        </w:tc>
        <w:tc>
          <w:tcPr>
            <w:tcW w:w="934" w:type="dxa"/>
            <w:vAlign w:val="center"/>
          </w:tcPr>
          <w:p w14:paraId="03725960">
            <w:pPr>
              <w:adjustRightInd w:val="0"/>
              <w:snapToGrid w:val="0"/>
              <w:spacing w:line="400" w:lineRule="exact"/>
              <w:jc w:val="center"/>
              <w:rPr>
                <w:rFonts w:ascii="Times New Roman" w:hAnsi="Times New Roman"/>
              </w:rPr>
            </w:pPr>
            <w:r>
              <w:rPr>
                <w:rFonts w:hint="eastAsia" w:ascii="Times New Roman" w:hAnsi="Times New Roman"/>
              </w:rPr>
              <w:t>4分</w:t>
            </w:r>
          </w:p>
        </w:tc>
      </w:tr>
      <w:tr w14:paraId="3192F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1226" w:type="dxa"/>
            <w:vAlign w:val="center"/>
          </w:tcPr>
          <w:p w14:paraId="60734273">
            <w:pPr>
              <w:adjustRightInd w:val="0"/>
              <w:snapToGrid w:val="0"/>
              <w:spacing w:line="400" w:lineRule="exact"/>
              <w:jc w:val="center"/>
              <w:rPr>
                <w:rFonts w:ascii="Times New Roman" w:hAnsi="Times New Roman"/>
              </w:rPr>
            </w:pPr>
            <w:r>
              <w:rPr>
                <w:rFonts w:hint="eastAsia" w:ascii="Times New Roman" w:hAnsi="Times New Roman"/>
                <w:lang w:val="en-GB"/>
              </w:rPr>
              <w:t>成果保障措施</w:t>
            </w:r>
          </w:p>
        </w:tc>
        <w:tc>
          <w:tcPr>
            <w:tcW w:w="6420" w:type="dxa"/>
            <w:vAlign w:val="center"/>
          </w:tcPr>
          <w:p w14:paraId="3581DF24">
            <w:pPr>
              <w:adjustRightInd w:val="0"/>
              <w:spacing w:line="288" w:lineRule="auto"/>
              <w:outlineLvl w:val="0"/>
              <w:rPr>
                <w:rFonts w:hint="eastAsia" w:ascii="Times New Roman" w:hAnsi="Times New Roman"/>
                <w:lang w:val="en-GB"/>
              </w:rPr>
            </w:pPr>
            <w:r>
              <w:rPr>
                <w:rFonts w:hint="eastAsia" w:ascii="Times New Roman" w:hAnsi="Times New Roman"/>
                <w:lang w:val="en-GB"/>
              </w:rPr>
              <w:t>针对招标文件要求，投标人承诺实现的成果目标的完整性，成果文件的多样性，以及预期成果文件提交的及时性情况进行评价。</w:t>
            </w:r>
          </w:p>
          <w:p w14:paraId="471DFE8A">
            <w:pPr>
              <w:adjustRightInd w:val="0"/>
              <w:spacing w:line="288" w:lineRule="auto"/>
              <w:outlineLvl w:val="0"/>
              <w:rPr>
                <w:rFonts w:hint="eastAsia" w:ascii="Times New Roman" w:hAnsi="Times New Roman" w:eastAsia="宋体"/>
                <w:lang w:val="en-GB" w:eastAsia="zh-CN"/>
              </w:rPr>
            </w:pPr>
            <w:r>
              <w:rPr>
                <w:rFonts w:hint="eastAsia" w:ascii="Times New Roman" w:hAnsi="Times New Roman" w:eastAsia="宋体"/>
                <w:lang w:val="en-US" w:eastAsia="zh-CN"/>
              </w:rPr>
              <w:t>措施</w:t>
            </w:r>
            <w:r>
              <w:rPr>
                <w:rFonts w:hint="eastAsia" w:ascii="Times New Roman" w:hAnsi="Times New Roman" w:eastAsia="宋体"/>
                <w:lang w:val="en-GB"/>
              </w:rPr>
              <w:t>内容完善详细可实施性强得</w:t>
            </w:r>
            <w:r>
              <w:rPr>
                <w:rFonts w:hint="eastAsia" w:ascii="Times New Roman" w:hAnsi="Times New Roman" w:eastAsia="宋体"/>
                <w:lang w:val="en-US" w:eastAsia="zh-CN"/>
              </w:rPr>
              <w:t>5</w:t>
            </w:r>
            <w:r>
              <w:rPr>
                <w:rFonts w:hint="eastAsia" w:ascii="Times New Roman" w:hAnsi="Times New Roman" w:eastAsia="宋体"/>
                <w:lang w:val="en-GB"/>
              </w:rPr>
              <w:t>分</w:t>
            </w:r>
            <w:r>
              <w:rPr>
                <w:rFonts w:hint="eastAsia" w:ascii="Times New Roman" w:hAnsi="Times New Roman" w:eastAsia="宋体"/>
                <w:lang w:val="en-GB" w:eastAsia="zh-CN"/>
              </w:rPr>
              <w:t>；</w:t>
            </w:r>
          </w:p>
          <w:p w14:paraId="098831AE">
            <w:pPr>
              <w:adjustRightInd w:val="0"/>
              <w:spacing w:line="288" w:lineRule="auto"/>
              <w:outlineLvl w:val="0"/>
              <w:rPr>
                <w:rFonts w:hint="eastAsia" w:ascii="Times New Roman" w:hAnsi="Times New Roman" w:eastAsia="宋体"/>
                <w:lang w:val="en-GB" w:eastAsia="zh-CN"/>
              </w:rPr>
            </w:pPr>
            <w:r>
              <w:rPr>
                <w:rFonts w:hint="eastAsia" w:ascii="Times New Roman" w:hAnsi="Times New Roman" w:eastAsia="宋体"/>
                <w:lang w:val="en-US" w:eastAsia="zh-CN"/>
              </w:rPr>
              <w:t>措施</w:t>
            </w:r>
            <w:r>
              <w:rPr>
                <w:rFonts w:hint="eastAsia" w:ascii="Times New Roman" w:hAnsi="Times New Roman" w:eastAsia="宋体"/>
                <w:lang w:val="en-GB"/>
              </w:rPr>
              <w:t>内容基本完善描述简略可实施得</w:t>
            </w:r>
            <w:r>
              <w:rPr>
                <w:rFonts w:hint="eastAsia" w:ascii="Times New Roman" w:hAnsi="Times New Roman" w:eastAsia="宋体"/>
                <w:lang w:val="en-US" w:eastAsia="zh-CN"/>
              </w:rPr>
              <w:t>3</w:t>
            </w:r>
            <w:r>
              <w:rPr>
                <w:rFonts w:hint="eastAsia" w:ascii="Times New Roman" w:hAnsi="Times New Roman" w:eastAsia="宋体"/>
                <w:lang w:val="en-GB"/>
              </w:rPr>
              <w:t>分</w:t>
            </w:r>
            <w:r>
              <w:rPr>
                <w:rFonts w:hint="eastAsia" w:ascii="Times New Roman" w:hAnsi="Times New Roman" w:eastAsia="宋体"/>
                <w:lang w:val="en-GB" w:eastAsia="zh-CN"/>
              </w:rPr>
              <w:t>；</w:t>
            </w:r>
          </w:p>
          <w:p w14:paraId="64DCA794">
            <w:pPr>
              <w:adjustRightInd w:val="0"/>
              <w:spacing w:line="288" w:lineRule="auto"/>
              <w:outlineLvl w:val="0"/>
              <w:rPr>
                <w:rFonts w:hint="eastAsia" w:ascii="Times New Roman" w:hAnsi="Times New Roman" w:eastAsia="宋体"/>
                <w:lang w:val="en-GB"/>
              </w:rPr>
            </w:pPr>
            <w:r>
              <w:rPr>
                <w:rFonts w:hint="eastAsia" w:ascii="Times New Roman" w:hAnsi="Times New Roman" w:eastAsia="宋体"/>
                <w:lang w:val="en-US" w:eastAsia="zh-CN"/>
              </w:rPr>
              <w:t>措施</w:t>
            </w:r>
            <w:r>
              <w:rPr>
                <w:rFonts w:hint="eastAsia" w:ascii="Times New Roman" w:hAnsi="Times New Roman" w:eastAsia="宋体"/>
                <w:lang w:val="en-GB"/>
              </w:rPr>
              <w:t>内容简略基本可行或内容欠缺较大需完善后实施得</w:t>
            </w:r>
            <w:r>
              <w:rPr>
                <w:rFonts w:hint="eastAsia" w:ascii="Times New Roman" w:hAnsi="Times New Roman" w:eastAsia="宋体"/>
                <w:lang w:val="en-US" w:eastAsia="zh-CN"/>
              </w:rPr>
              <w:t>1</w:t>
            </w:r>
            <w:r>
              <w:rPr>
                <w:rFonts w:hint="eastAsia" w:ascii="Times New Roman" w:hAnsi="Times New Roman" w:eastAsia="宋体"/>
                <w:lang w:val="en-GB"/>
              </w:rPr>
              <w:t>分</w:t>
            </w:r>
            <w:r>
              <w:rPr>
                <w:rFonts w:hint="eastAsia" w:ascii="Times New Roman" w:hAnsi="Times New Roman" w:eastAsia="宋体"/>
                <w:lang w:val="en-GB" w:eastAsia="zh-CN"/>
              </w:rPr>
              <w:t>。</w:t>
            </w:r>
          </w:p>
          <w:p w14:paraId="22D4A368">
            <w:pPr>
              <w:adjustRightInd w:val="0"/>
              <w:spacing w:line="288" w:lineRule="auto"/>
              <w:outlineLvl w:val="0"/>
              <w:rPr>
                <w:rFonts w:ascii="Times New Roman" w:hAnsi="Times New Roman"/>
                <w:lang w:val="en-GB"/>
              </w:rPr>
            </w:pPr>
            <w:r>
              <w:rPr>
                <w:rFonts w:hint="eastAsia" w:ascii="Times New Roman" w:hAnsi="Times New Roman" w:eastAsia="宋体"/>
                <w:lang w:val="en-GB"/>
              </w:rPr>
              <w:t>未提供不得分。</w:t>
            </w:r>
          </w:p>
        </w:tc>
        <w:tc>
          <w:tcPr>
            <w:tcW w:w="934" w:type="dxa"/>
            <w:vAlign w:val="center"/>
          </w:tcPr>
          <w:p w14:paraId="526F6339">
            <w:pPr>
              <w:adjustRightInd w:val="0"/>
              <w:snapToGrid w:val="0"/>
              <w:spacing w:line="400" w:lineRule="exact"/>
              <w:jc w:val="center"/>
              <w:rPr>
                <w:rFonts w:ascii="Times New Roman" w:hAnsi="Times New Roman"/>
              </w:rPr>
            </w:pPr>
            <w:r>
              <w:rPr>
                <w:rFonts w:hint="eastAsia" w:ascii="Times New Roman" w:hAnsi="Times New Roman"/>
              </w:rPr>
              <w:t>5分</w:t>
            </w:r>
          </w:p>
        </w:tc>
      </w:tr>
      <w:tr w14:paraId="53B22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1226" w:type="dxa"/>
            <w:vAlign w:val="center"/>
          </w:tcPr>
          <w:p w14:paraId="100999CE">
            <w:pPr>
              <w:adjustRightInd w:val="0"/>
              <w:snapToGrid w:val="0"/>
              <w:spacing w:line="400" w:lineRule="exact"/>
              <w:jc w:val="center"/>
              <w:rPr>
                <w:rFonts w:ascii="Times New Roman" w:hAnsi="Times New Roman"/>
              </w:rPr>
            </w:pPr>
            <w:r>
              <w:rPr>
                <w:rFonts w:hint="eastAsia" w:ascii="Times New Roman" w:hAnsi="Times New Roman"/>
              </w:rPr>
              <w:t>调查工作的重难点</w:t>
            </w:r>
          </w:p>
        </w:tc>
        <w:tc>
          <w:tcPr>
            <w:tcW w:w="6420" w:type="dxa"/>
            <w:vAlign w:val="center"/>
          </w:tcPr>
          <w:p w14:paraId="01515BCC">
            <w:pPr>
              <w:adjustRightInd w:val="0"/>
              <w:spacing w:line="288" w:lineRule="auto"/>
              <w:outlineLvl w:val="0"/>
              <w:rPr>
                <w:rFonts w:hint="eastAsia" w:ascii="Times New Roman" w:hAnsi="Times New Roman" w:eastAsia="宋体"/>
                <w:lang w:val="en-GB"/>
              </w:rPr>
            </w:pPr>
            <w:r>
              <w:rPr>
                <w:rFonts w:hint="eastAsia" w:ascii="Times New Roman" w:hAnsi="Times New Roman"/>
                <w:lang w:val="en-GB"/>
              </w:rPr>
              <w:t>针</w:t>
            </w:r>
            <w:r>
              <w:rPr>
                <w:rFonts w:hint="eastAsia" w:ascii="Times New Roman" w:hAnsi="Times New Roman" w:eastAsia="宋体"/>
                <w:lang w:val="en-GB"/>
              </w:rPr>
              <w:t>对本项目调查工作中重点、难点问题进行分析并提出解决方案进行打分。</w:t>
            </w:r>
          </w:p>
          <w:p w14:paraId="48EF6C27">
            <w:pPr>
              <w:adjustRightInd w:val="0"/>
              <w:spacing w:line="288" w:lineRule="auto"/>
              <w:outlineLvl w:val="0"/>
              <w:rPr>
                <w:rFonts w:hint="eastAsia" w:ascii="Times New Roman" w:hAnsi="Times New Roman" w:eastAsia="宋体"/>
                <w:lang w:val="en-US" w:eastAsia="zh-CN"/>
              </w:rPr>
            </w:pPr>
            <w:r>
              <w:rPr>
                <w:rFonts w:hint="eastAsia" w:ascii="Times New Roman" w:hAnsi="Times New Roman" w:eastAsia="宋体"/>
                <w:lang w:val="en-US" w:eastAsia="zh-CN"/>
              </w:rPr>
              <w:t>重难点分析精准、解决方案可操作性强的得4分；</w:t>
            </w:r>
          </w:p>
          <w:p w14:paraId="7572298C">
            <w:pPr>
              <w:adjustRightInd w:val="0"/>
              <w:spacing w:line="288" w:lineRule="auto"/>
              <w:outlineLvl w:val="0"/>
              <w:rPr>
                <w:rFonts w:hint="eastAsia" w:ascii="Times New Roman" w:hAnsi="Times New Roman" w:eastAsia="宋体"/>
                <w:lang w:val="en-US" w:eastAsia="zh-CN"/>
              </w:rPr>
            </w:pPr>
            <w:r>
              <w:rPr>
                <w:rFonts w:hint="eastAsia" w:ascii="Times New Roman" w:hAnsi="Times New Roman" w:eastAsia="宋体"/>
                <w:lang w:val="en-US" w:eastAsia="zh-CN"/>
              </w:rPr>
              <w:t>重难点分析基本准确，解决方案可实施性一般的得2分；</w:t>
            </w:r>
          </w:p>
          <w:p w14:paraId="5A285739">
            <w:pPr>
              <w:adjustRightInd w:val="0"/>
              <w:spacing w:line="288" w:lineRule="auto"/>
              <w:outlineLvl w:val="0"/>
              <w:rPr>
                <w:rFonts w:hint="eastAsia" w:ascii="Times New Roman" w:hAnsi="Times New Roman" w:eastAsia="宋体"/>
                <w:lang w:val="en-US" w:eastAsia="zh-CN"/>
              </w:rPr>
            </w:pPr>
            <w:r>
              <w:rPr>
                <w:rFonts w:hint="eastAsia" w:ascii="Times New Roman" w:hAnsi="Times New Roman" w:eastAsia="宋体"/>
                <w:lang w:val="en-US" w:eastAsia="zh-CN"/>
              </w:rPr>
              <w:t>重难点分析有偏差，解决方案实施困难的得1分；</w:t>
            </w:r>
          </w:p>
          <w:p w14:paraId="4ECA7DF8">
            <w:pPr>
              <w:adjustRightInd w:val="0"/>
              <w:spacing w:line="288" w:lineRule="auto"/>
              <w:outlineLvl w:val="0"/>
              <w:rPr>
                <w:rFonts w:hint="default"/>
                <w:lang w:val="en-US" w:eastAsia="zh-CN"/>
              </w:rPr>
            </w:pPr>
            <w:r>
              <w:rPr>
                <w:rFonts w:hint="eastAsia" w:ascii="Times New Roman" w:hAnsi="Times New Roman" w:eastAsia="宋体"/>
                <w:lang w:val="en-GB"/>
              </w:rPr>
              <w:t>未提供不得分。</w:t>
            </w:r>
          </w:p>
        </w:tc>
        <w:tc>
          <w:tcPr>
            <w:tcW w:w="934" w:type="dxa"/>
            <w:vAlign w:val="center"/>
          </w:tcPr>
          <w:p w14:paraId="1AE6BF98">
            <w:pPr>
              <w:adjustRightInd w:val="0"/>
              <w:snapToGrid w:val="0"/>
              <w:spacing w:line="400" w:lineRule="exact"/>
              <w:jc w:val="center"/>
              <w:rPr>
                <w:rFonts w:ascii="Times New Roman" w:hAnsi="Times New Roman"/>
              </w:rPr>
            </w:pPr>
            <w:r>
              <w:rPr>
                <w:rFonts w:hint="eastAsia" w:ascii="Times New Roman" w:hAnsi="Times New Roman"/>
              </w:rPr>
              <w:t>4分</w:t>
            </w:r>
          </w:p>
        </w:tc>
      </w:tr>
    </w:tbl>
    <w:p w14:paraId="620D9BE2"/>
    <w:p w14:paraId="66ED292E">
      <w:pPr>
        <w:jc w:val="center"/>
        <w:rPr>
          <w:rFonts w:ascii="Times New Roman" w:hAnsi="Times New Roman" w:cs="Times New Roman"/>
          <w:b/>
          <w:bCs/>
          <w:color w:val="000000" w:themeColor="text1"/>
          <w:sz w:val="32"/>
          <w:szCs w:val="32"/>
        </w:rPr>
      </w:pPr>
    </w:p>
    <w:p w14:paraId="5E610C40">
      <w:pPr>
        <w:jc w:val="center"/>
        <w:rPr>
          <w:rFonts w:ascii="Times New Roman" w:hAnsi="Times New Roman" w:cs="Times New Roman"/>
          <w:b/>
          <w:bCs/>
          <w:color w:val="000000" w:themeColor="text1"/>
          <w:sz w:val="32"/>
          <w:szCs w:val="32"/>
        </w:rPr>
      </w:pPr>
    </w:p>
    <w:p w14:paraId="150985C8">
      <w:pPr>
        <w:jc w:val="center"/>
        <w:rPr>
          <w:rFonts w:ascii="Times New Roman" w:hAnsi="Times New Roman" w:cs="Times New Roman"/>
          <w:b/>
          <w:bCs/>
          <w:color w:val="000000" w:themeColor="text1"/>
          <w:sz w:val="32"/>
          <w:szCs w:val="32"/>
        </w:rPr>
      </w:pPr>
    </w:p>
    <w:p w14:paraId="3B390445">
      <w:pPr>
        <w:jc w:val="center"/>
        <w:rPr>
          <w:rFonts w:ascii="Times New Roman" w:hAnsi="Times New Roman" w:cs="Times New Roman"/>
          <w:b/>
          <w:bCs/>
          <w:color w:val="000000" w:themeColor="text1"/>
          <w:sz w:val="32"/>
          <w:szCs w:val="32"/>
        </w:rPr>
      </w:pPr>
    </w:p>
    <w:p w14:paraId="6EDC0E40">
      <w:pPr>
        <w:jc w:val="center"/>
        <w:rPr>
          <w:rFonts w:ascii="Times New Roman" w:hAnsi="Times New Roman" w:cs="Times New Roman"/>
          <w:b/>
          <w:bCs/>
          <w:color w:val="000000" w:themeColor="text1"/>
          <w:sz w:val="32"/>
          <w:szCs w:val="32"/>
        </w:rPr>
      </w:pPr>
    </w:p>
    <w:p w14:paraId="615A6237">
      <w:pPr>
        <w:jc w:val="center"/>
        <w:rPr>
          <w:rFonts w:ascii="Times New Roman" w:hAnsi="Times New Roman" w:cs="Times New Roman"/>
          <w:b/>
          <w:bCs/>
          <w:color w:val="000000" w:themeColor="text1"/>
          <w:sz w:val="32"/>
          <w:szCs w:val="32"/>
        </w:rPr>
      </w:pPr>
    </w:p>
    <w:p w14:paraId="732FF90E">
      <w:pPr>
        <w:jc w:val="center"/>
        <w:rPr>
          <w:rFonts w:ascii="Times New Roman" w:hAnsi="Times New Roman" w:cs="Times New Roman"/>
          <w:b/>
          <w:bCs/>
          <w:color w:val="000000" w:themeColor="text1"/>
          <w:sz w:val="32"/>
          <w:szCs w:val="32"/>
        </w:rPr>
      </w:pPr>
    </w:p>
    <w:p w14:paraId="5A5F79CB">
      <w:pPr>
        <w:jc w:val="center"/>
        <w:rPr>
          <w:rFonts w:ascii="Times New Roman" w:hAnsi="Times New Roman" w:cs="Times New Roman"/>
          <w:b/>
          <w:bCs/>
          <w:color w:val="000000" w:themeColor="text1"/>
          <w:sz w:val="32"/>
          <w:szCs w:val="32"/>
        </w:rPr>
      </w:pPr>
    </w:p>
    <w:p w14:paraId="5029E700">
      <w:pPr>
        <w:jc w:val="center"/>
        <w:rPr>
          <w:rFonts w:ascii="Times New Roman" w:hAnsi="Times New Roman" w:cs="Times New Roman"/>
          <w:b/>
          <w:bCs/>
          <w:color w:val="000000" w:themeColor="text1"/>
          <w:sz w:val="32"/>
          <w:szCs w:val="32"/>
        </w:rPr>
      </w:pPr>
    </w:p>
    <w:p w14:paraId="45F9CC6F">
      <w:pPr>
        <w:jc w:val="center"/>
        <w:rPr>
          <w:rFonts w:ascii="Times New Roman" w:hAnsi="Times New Roman" w:cs="Times New Roman"/>
          <w:b/>
          <w:bCs/>
          <w:color w:val="000000" w:themeColor="text1"/>
          <w:sz w:val="32"/>
          <w:szCs w:val="32"/>
        </w:rPr>
      </w:pPr>
    </w:p>
    <w:p w14:paraId="1E31E1C2">
      <w:pPr>
        <w:jc w:val="center"/>
        <w:rPr>
          <w:rFonts w:ascii="Times New Roman" w:hAnsi="Times New Roman" w:cs="Times New Roman"/>
          <w:b/>
          <w:bCs/>
          <w:color w:val="000000" w:themeColor="text1"/>
          <w:sz w:val="32"/>
          <w:szCs w:val="32"/>
        </w:rPr>
      </w:pPr>
    </w:p>
    <w:p w14:paraId="3DF5AA7C">
      <w:pPr>
        <w:jc w:val="center"/>
        <w:rPr>
          <w:rFonts w:ascii="Times New Roman" w:hAnsi="Times New Roman" w:cs="Times New Roman"/>
          <w:b/>
          <w:bCs/>
          <w:color w:val="000000" w:themeColor="text1"/>
          <w:sz w:val="32"/>
          <w:szCs w:val="32"/>
        </w:rPr>
      </w:pPr>
    </w:p>
    <w:p w14:paraId="31E0C17A">
      <w:pPr>
        <w:pStyle w:val="2"/>
      </w:pPr>
    </w:p>
    <w:p w14:paraId="4E8D6715">
      <w:pPr>
        <w:jc w:val="center"/>
        <w:rPr>
          <w:rFonts w:ascii="Times New Roman" w:hAnsi="Times New Roman" w:cs="Times New Roman"/>
          <w:b/>
          <w:bCs/>
          <w:color w:val="000000" w:themeColor="text1"/>
          <w:sz w:val="32"/>
          <w:szCs w:val="32"/>
        </w:rPr>
      </w:pPr>
    </w:p>
    <w:p w14:paraId="59ADE21E">
      <w:pPr>
        <w:jc w:val="center"/>
        <w:rPr>
          <w:rFonts w:ascii="Times New Roman" w:hAnsi="Times New Roman" w:cs="Times New Roman"/>
          <w:color w:val="000000" w:themeColor="text1"/>
          <w:sz w:val="32"/>
          <w:szCs w:val="32"/>
        </w:rPr>
      </w:pPr>
      <w:r>
        <w:rPr>
          <w:rFonts w:ascii="Times New Roman" w:hAnsi="Times New Roman" w:cs="Times New Roman"/>
          <w:b/>
          <w:bCs/>
          <w:color w:val="000000" w:themeColor="text1"/>
          <w:sz w:val="32"/>
          <w:szCs w:val="32"/>
        </w:rPr>
        <w:t>第五章合同主要条款</w:t>
      </w:r>
    </w:p>
    <w:p w14:paraId="0D27C690">
      <w:pPr>
        <w:pStyle w:val="15"/>
        <w:spacing w:line="360" w:lineRule="auto"/>
        <w:ind w:firstLine="496" w:firstLineChars="200"/>
        <w:rPr>
          <w:rFonts w:ascii="Times New Roman" w:hAnsi="Times New Roman" w:cs="Times New Roman"/>
          <w:color w:val="000000"/>
          <w:kern w:val="2"/>
          <w:sz w:val="21"/>
          <w:szCs w:val="21"/>
          <w:lang w:val="zh-CN"/>
        </w:rPr>
      </w:pPr>
      <w:r>
        <w:rPr>
          <w:rFonts w:hint="eastAsia" w:ascii="仿宋_GB2312" w:hAnsi="等线" w:eastAsia="仿宋_GB2312"/>
          <w:spacing w:val="4"/>
          <w:sz w:val="24"/>
        </w:rPr>
        <w:t>（此合同仅供参考，以最终双方签订的合同为准）</w:t>
      </w:r>
      <w:r>
        <w:rPr>
          <w:rFonts w:hint="eastAsia" w:ascii="仿宋_GB2312" w:hAnsi="等线" w:eastAsia="仿宋_GB2312"/>
          <w:spacing w:val="4"/>
          <w:sz w:val="24"/>
        </w:rPr>
        <w:cr/>
      </w:r>
      <w:r>
        <w:rPr>
          <w:rFonts w:hint="eastAsia" w:ascii="Times New Roman" w:hAnsi="Times New Roman" w:cs="Times New Roman"/>
          <w:color w:val="000000"/>
          <w:kern w:val="2"/>
          <w:sz w:val="21"/>
          <w:szCs w:val="21"/>
          <w:lang w:val="zh-CN"/>
        </w:rPr>
        <w:t>项目名称：</w:t>
      </w:r>
    </w:p>
    <w:p w14:paraId="4DD9F1FC">
      <w:pPr>
        <w:pStyle w:val="15"/>
        <w:spacing w:line="360" w:lineRule="auto"/>
        <w:rPr>
          <w:rFonts w:ascii="Times New Roman" w:hAnsi="Times New Roman" w:cs="Times New Roman"/>
          <w:color w:val="000000"/>
          <w:kern w:val="2"/>
          <w:sz w:val="21"/>
          <w:szCs w:val="21"/>
          <w:lang w:val="zh-CN"/>
        </w:rPr>
      </w:pPr>
      <w:r>
        <w:rPr>
          <w:rFonts w:hint="eastAsia" w:ascii="Times New Roman" w:hAnsi="Times New Roman" w:cs="Times New Roman"/>
          <w:color w:val="000000"/>
          <w:kern w:val="2"/>
          <w:sz w:val="21"/>
          <w:szCs w:val="21"/>
          <w:lang w:val="zh-CN"/>
        </w:rPr>
        <w:t>项目编号：</w:t>
      </w:r>
    </w:p>
    <w:p w14:paraId="521FB0BC">
      <w:pPr>
        <w:pStyle w:val="15"/>
        <w:spacing w:line="360" w:lineRule="auto"/>
        <w:rPr>
          <w:rFonts w:ascii="Times New Roman" w:hAnsi="Times New Roman" w:cs="Times New Roman"/>
          <w:color w:val="000000"/>
          <w:kern w:val="2"/>
          <w:sz w:val="21"/>
          <w:szCs w:val="21"/>
          <w:lang w:val="zh-CN"/>
        </w:rPr>
      </w:pPr>
      <w:r>
        <w:rPr>
          <w:rFonts w:hint="eastAsia" w:ascii="Times New Roman" w:hAnsi="Times New Roman" w:cs="Times New Roman"/>
          <w:color w:val="000000"/>
          <w:kern w:val="2"/>
          <w:sz w:val="21"/>
          <w:szCs w:val="21"/>
          <w:lang w:val="zh-CN"/>
        </w:rPr>
        <w:t>甲方：</w:t>
      </w:r>
    </w:p>
    <w:p w14:paraId="3EC8C5AA">
      <w:pPr>
        <w:pStyle w:val="15"/>
        <w:spacing w:line="360" w:lineRule="auto"/>
        <w:rPr>
          <w:rFonts w:ascii="Times New Roman" w:hAnsi="Times New Roman" w:cs="Times New Roman"/>
          <w:color w:val="000000"/>
          <w:kern w:val="2"/>
          <w:sz w:val="21"/>
          <w:szCs w:val="21"/>
          <w:lang w:val="zh-CN"/>
        </w:rPr>
      </w:pPr>
      <w:r>
        <w:rPr>
          <w:rFonts w:hint="eastAsia" w:ascii="Times New Roman" w:hAnsi="Times New Roman" w:cs="Times New Roman"/>
          <w:color w:val="000000"/>
          <w:kern w:val="2"/>
          <w:sz w:val="21"/>
          <w:szCs w:val="21"/>
          <w:lang w:val="zh-CN"/>
        </w:rPr>
        <w:t>乙方：</w:t>
      </w:r>
    </w:p>
    <w:p w14:paraId="7C3140E0">
      <w:pPr>
        <w:pStyle w:val="15"/>
        <w:spacing w:line="360" w:lineRule="auto"/>
        <w:ind w:firstLine="420" w:firstLineChars="200"/>
        <w:rPr>
          <w:rFonts w:ascii="Times New Roman" w:hAnsi="Times New Roman" w:cs="Times New Roman"/>
          <w:color w:val="000000"/>
          <w:kern w:val="2"/>
          <w:sz w:val="21"/>
          <w:szCs w:val="21"/>
          <w:lang w:val="zh-CN"/>
        </w:rPr>
      </w:pPr>
      <w:r>
        <w:rPr>
          <w:rFonts w:hint="eastAsia" w:ascii="Times New Roman" w:hAnsi="Times New Roman" w:cs="Times New Roman"/>
          <w:color w:val="000000"/>
          <w:kern w:val="2"/>
          <w:sz w:val="21"/>
          <w:szCs w:val="21"/>
          <w:lang w:val="zh-CN"/>
        </w:rPr>
        <w:t>甲、乙双方根据浙江省海洋生态环境监测中心关于2025年杭州湾乐清湾鱼类环境DNA多样性调查项目</w:t>
      </w:r>
      <w:r>
        <w:rPr>
          <w:rFonts w:hint="eastAsia" w:ascii="Times New Roman" w:hAnsi="Times New Roman" w:cs="Times New Roman"/>
          <w:color w:val="000000"/>
          <w:kern w:val="2"/>
          <w:sz w:val="21"/>
          <w:szCs w:val="21"/>
        </w:rPr>
        <w:t>公开招标</w:t>
      </w:r>
      <w:r>
        <w:rPr>
          <w:rFonts w:hint="eastAsia" w:ascii="Times New Roman" w:hAnsi="Times New Roman" w:cs="Times New Roman"/>
          <w:color w:val="000000"/>
          <w:kern w:val="2"/>
          <w:sz w:val="21"/>
          <w:szCs w:val="21"/>
          <w:lang w:val="zh-CN"/>
        </w:rPr>
        <w:t>成交的结果，签署本合同。</w:t>
      </w:r>
    </w:p>
    <w:p w14:paraId="59105368">
      <w:pPr>
        <w:spacing w:line="360" w:lineRule="auto"/>
        <w:rPr>
          <w:rFonts w:ascii="Times New Roman" w:hAnsi="Times New Roman" w:cs="Times New Roman"/>
          <w:b/>
          <w:bCs/>
          <w:color w:val="000000"/>
          <w:lang w:val="zh-CN"/>
        </w:rPr>
      </w:pPr>
      <w:r>
        <w:rPr>
          <w:rFonts w:hint="eastAsia" w:ascii="Times New Roman" w:hAnsi="Times New Roman" w:cs="Times New Roman"/>
          <w:b/>
          <w:bCs/>
          <w:color w:val="000000"/>
          <w:lang w:val="zh-CN"/>
        </w:rPr>
        <w:t>一、项目实施内容</w:t>
      </w:r>
    </w:p>
    <w:p w14:paraId="31978D42">
      <w:pPr>
        <w:pStyle w:val="111"/>
        <w:adjustRightInd w:val="0"/>
        <w:snapToGrid w:val="0"/>
        <w:ind w:firstLine="480"/>
        <w:rPr>
          <w:rFonts w:hint="eastAsia" w:ascii="Times New Roman" w:hAnsi="Times New Roman" w:eastAsia="宋体" w:cs="Times New Roman"/>
          <w:color w:val="000000"/>
          <w:kern w:val="2"/>
          <w:sz w:val="21"/>
          <w:szCs w:val="21"/>
          <w:lang w:val="zh-CN" w:eastAsia="zh-CN" w:bidi="ar-SA"/>
        </w:rPr>
      </w:pPr>
      <w:r>
        <w:rPr>
          <w:rFonts w:hint="eastAsia" w:ascii="Times New Roman" w:hAnsi="Times New Roman" w:eastAsia="宋体" w:cs="Times New Roman"/>
          <w:color w:val="000000"/>
          <w:kern w:val="2"/>
          <w:sz w:val="21"/>
          <w:szCs w:val="21"/>
          <w:lang w:val="zh-CN" w:eastAsia="zh-CN" w:bidi="ar-SA"/>
        </w:rPr>
        <w:t>根据项目内容开展2025年杭州湾</w:t>
      </w:r>
      <w:r>
        <w:rPr>
          <w:rFonts w:hint="eastAsia" w:ascii="Times New Roman" w:hAnsi="Times New Roman" w:eastAsia="宋体" w:cs="Times New Roman"/>
          <w:color w:val="000000"/>
          <w:kern w:val="2"/>
          <w:sz w:val="21"/>
          <w:szCs w:val="21"/>
          <w:lang w:val="zh-CN" w:eastAsia="zh-Hans" w:bidi="ar-SA"/>
        </w:rPr>
        <w:t>、乐清湾</w:t>
      </w:r>
      <w:r>
        <w:rPr>
          <w:rFonts w:hint="eastAsia" w:ascii="Times New Roman" w:hAnsi="Times New Roman" w:eastAsia="宋体" w:cs="Times New Roman"/>
          <w:color w:val="000000"/>
          <w:kern w:val="2"/>
          <w:sz w:val="21"/>
          <w:szCs w:val="21"/>
          <w:lang w:val="zh-CN" w:eastAsia="zh-CN" w:bidi="ar-SA"/>
        </w:rPr>
        <w:t>环境DNA（鱼类、中华鲟）样品采集、前处理、数据分析、报告撰写、补充鱼类eDNA条形码数据库等工作，并同步开展采样点位水环境指标测定。采样站位详见表1。</w:t>
      </w:r>
    </w:p>
    <w:p w14:paraId="2B799B89">
      <w:pPr>
        <w:pStyle w:val="111"/>
        <w:adjustRightInd w:val="0"/>
        <w:snapToGrid w:val="0"/>
        <w:ind w:firstLine="480"/>
        <w:rPr>
          <w:rFonts w:ascii="Times New Roman" w:hAnsi="Times New Roman" w:eastAsia="宋体" w:cs="Times New Roman"/>
          <w:color w:val="000000"/>
          <w:sz w:val="24"/>
          <w:szCs w:val="21"/>
        </w:rPr>
      </w:pPr>
    </w:p>
    <w:p w14:paraId="6F4FD9F4">
      <w:pPr>
        <w:pStyle w:val="11"/>
      </w:pPr>
      <w:r>
        <w:t>表</w:t>
      </w:r>
      <w:r>
        <w:fldChar w:fldCharType="begin"/>
      </w:r>
      <w:r>
        <w:instrText xml:space="preserve"> SEQ 表 \* ARABIC </w:instrText>
      </w:r>
      <w:r>
        <w:fldChar w:fldCharType="separate"/>
      </w:r>
      <w:r>
        <w:t>1</w:t>
      </w:r>
      <w:r>
        <w:fldChar w:fldCharType="end"/>
      </w:r>
      <w:r>
        <w:rPr>
          <w:rFonts w:hint="eastAsia"/>
        </w:rPr>
        <w:t xml:space="preserve"> 杭州湾</w:t>
      </w:r>
      <w:r>
        <w:rPr>
          <w:rFonts w:hint="eastAsia"/>
          <w:lang w:eastAsia="zh-Hans"/>
        </w:rPr>
        <w:t>、乐清湾</w:t>
      </w:r>
      <w:r>
        <w:rPr>
          <w:rFonts w:hint="eastAsia"/>
        </w:rPr>
        <w:t>环境DNA（鱼类、中华鲟）监测点位信息</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35"/>
        <w:gridCol w:w="1635"/>
        <w:gridCol w:w="1635"/>
        <w:gridCol w:w="3617"/>
      </w:tblGrid>
      <w:tr w14:paraId="459DBD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27304776">
            <w:r>
              <w:t>监测站位</w:t>
            </w:r>
          </w:p>
        </w:tc>
        <w:tc>
          <w:tcPr>
            <w:tcW w:w="0" w:type="auto"/>
            <w:tcBorders>
              <w:tl2br w:val="nil"/>
              <w:tr2bl w:val="nil"/>
            </w:tcBorders>
            <w:shd w:val="clear" w:color="auto" w:fill="auto"/>
            <w:noWrap/>
            <w:vAlign w:val="center"/>
          </w:tcPr>
          <w:p w14:paraId="3131C431">
            <w:r>
              <w:t>实测经度</w:t>
            </w:r>
          </w:p>
        </w:tc>
        <w:tc>
          <w:tcPr>
            <w:tcW w:w="0" w:type="auto"/>
            <w:tcBorders>
              <w:tl2br w:val="nil"/>
              <w:tr2bl w:val="nil"/>
            </w:tcBorders>
            <w:shd w:val="clear" w:color="auto" w:fill="auto"/>
            <w:noWrap/>
            <w:vAlign w:val="center"/>
          </w:tcPr>
          <w:p w14:paraId="6AA2C072">
            <w:r>
              <w:t>实测纬度</w:t>
            </w:r>
          </w:p>
        </w:tc>
        <w:tc>
          <w:tcPr>
            <w:tcW w:w="0" w:type="auto"/>
            <w:tcBorders>
              <w:tl2br w:val="nil"/>
              <w:tr2bl w:val="nil"/>
            </w:tcBorders>
            <w:shd w:val="clear" w:color="auto" w:fill="auto"/>
            <w:noWrap/>
            <w:vAlign w:val="center"/>
          </w:tcPr>
          <w:p w14:paraId="46C2EB24">
            <w:r>
              <w:rPr>
                <w:rFonts w:hint="eastAsia"/>
              </w:rPr>
              <w:t>指标</w:t>
            </w:r>
          </w:p>
        </w:tc>
      </w:tr>
      <w:tr w14:paraId="5DCD14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35FB2D00">
            <w:r>
              <w:rPr>
                <w:lang w:bidi="ar"/>
              </w:rPr>
              <w:t>HZW01</w:t>
            </w:r>
          </w:p>
        </w:tc>
        <w:tc>
          <w:tcPr>
            <w:tcW w:w="0" w:type="auto"/>
            <w:tcBorders>
              <w:tl2br w:val="nil"/>
              <w:tr2bl w:val="nil"/>
            </w:tcBorders>
            <w:shd w:val="clear" w:color="auto" w:fill="auto"/>
            <w:noWrap/>
            <w:vAlign w:val="center"/>
          </w:tcPr>
          <w:p w14:paraId="12978086">
            <w:r>
              <w:rPr>
                <w:lang w:bidi="ar"/>
              </w:rPr>
              <w:t>121.3550</w:t>
            </w:r>
          </w:p>
        </w:tc>
        <w:tc>
          <w:tcPr>
            <w:tcW w:w="0" w:type="auto"/>
            <w:tcBorders>
              <w:tl2br w:val="nil"/>
              <w:tr2bl w:val="nil"/>
            </w:tcBorders>
            <w:shd w:val="clear" w:color="auto" w:fill="auto"/>
            <w:noWrap/>
            <w:vAlign w:val="center"/>
          </w:tcPr>
          <w:p w14:paraId="1A4DB699">
            <w:r>
              <w:rPr>
                <w:lang w:bidi="ar"/>
              </w:rPr>
              <w:t>30.4047</w:t>
            </w:r>
          </w:p>
        </w:tc>
        <w:tc>
          <w:tcPr>
            <w:tcW w:w="0" w:type="auto"/>
            <w:tcBorders>
              <w:tl2br w:val="nil"/>
              <w:tr2bl w:val="nil"/>
            </w:tcBorders>
            <w:shd w:val="clear" w:color="auto" w:fill="auto"/>
            <w:noWrap/>
            <w:vAlign w:val="center"/>
          </w:tcPr>
          <w:p w14:paraId="30B5A0F4">
            <w:pPr>
              <w:rPr>
                <w:lang w:bidi="ar"/>
              </w:rPr>
            </w:pPr>
            <w:r>
              <w:rPr>
                <w:rFonts w:hint="eastAsia"/>
                <w:lang w:bidi="ar"/>
              </w:rPr>
              <w:t>鱼类、中华鲟环境DNA</w:t>
            </w:r>
          </w:p>
        </w:tc>
      </w:tr>
      <w:tr w14:paraId="227B30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tcBorders>
              <w:tl2br w:val="nil"/>
              <w:tr2bl w:val="nil"/>
            </w:tcBorders>
            <w:shd w:val="clear" w:color="auto" w:fill="auto"/>
            <w:noWrap/>
            <w:vAlign w:val="center"/>
          </w:tcPr>
          <w:p w14:paraId="4BCE90A5">
            <w:r>
              <w:rPr>
                <w:lang w:bidi="ar"/>
              </w:rPr>
              <w:t>HZW02</w:t>
            </w:r>
          </w:p>
        </w:tc>
        <w:tc>
          <w:tcPr>
            <w:tcW w:w="0" w:type="auto"/>
            <w:tcBorders>
              <w:tl2br w:val="nil"/>
              <w:tr2bl w:val="nil"/>
            </w:tcBorders>
            <w:shd w:val="clear" w:color="auto" w:fill="auto"/>
            <w:noWrap/>
            <w:vAlign w:val="center"/>
          </w:tcPr>
          <w:p w14:paraId="6C72FAF6">
            <w:r>
              <w:rPr>
                <w:lang w:bidi="ar"/>
              </w:rPr>
              <w:t>121.5000</w:t>
            </w:r>
          </w:p>
        </w:tc>
        <w:tc>
          <w:tcPr>
            <w:tcW w:w="0" w:type="auto"/>
            <w:tcBorders>
              <w:tl2br w:val="nil"/>
              <w:tr2bl w:val="nil"/>
            </w:tcBorders>
            <w:shd w:val="clear" w:color="auto" w:fill="auto"/>
            <w:noWrap/>
            <w:vAlign w:val="center"/>
          </w:tcPr>
          <w:p w14:paraId="75CDAF2F">
            <w:r>
              <w:rPr>
                <w:lang w:bidi="ar"/>
              </w:rPr>
              <w:t>30.2833</w:t>
            </w:r>
          </w:p>
        </w:tc>
        <w:tc>
          <w:tcPr>
            <w:tcW w:w="0" w:type="auto"/>
            <w:tcBorders>
              <w:tl2br w:val="nil"/>
              <w:tr2bl w:val="nil"/>
            </w:tcBorders>
            <w:shd w:val="clear" w:color="auto" w:fill="auto"/>
            <w:noWrap/>
            <w:vAlign w:val="center"/>
          </w:tcPr>
          <w:p w14:paraId="447511B8">
            <w:pPr>
              <w:rPr>
                <w:lang w:bidi="ar"/>
              </w:rPr>
            </w:pPr>
            <w:r>
              <w:rPr>
                <w:rFonts w:hint="eastAsia"/>
                <w:lang w:bidi="ar"/>
              </w:rPr>
              <w:t>鱼类、中华鲟环境DNA</w:t>
            </w:r>
          </w:p>
        </w:tc>
      </w:tr>
      <w:tr w14:paraId="64FAC4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521054E5">
            <w:r>
              <w:rPr>
                <w:lang w:bidi="ar"/>
              </w:rPr>
              <w:t>HZW03</w:t>
            </w:r>
          </w:p>
        </w:tc>
        <w:tc>
          <w:tcPr>
            <w:tcW w:w="0" w:type="auto"/>
            <w:tcBorders>
              <w:tl2br w:val="nil"/>
              <w:tr2bl w:val="nil"/>
            </w:tcBorders>
            <w:shd w:val="clear" w:color="auto" w:fill="auto"/>
            <w:noWrap/>
            <w:vAlign w:val="center"/>
          </w:tcPr>
          <w:p w14:paraId="775FACEF">
            <w:r>
              <w:rPr>
                <w:lang w:bidi="ar"/>
              </w:rPr>
              <w:t>121.6688</w:t>
            </w:r>
          </w:p>
        </w:tc>
        <w:tc>
          <w:tcPr>
            <w:tcW w:w="0" w:type="auto"/>
            <w:tcBorders>
              <w:tl2br w:val="nil"/>
              <w:tr2bl w:val="nil"/>
            </w:tcBorders>
            <w:shd w:val="clear" w:color="auto" w:fill="auto"/>
            <w:noWrap/>
            <w:vAlign w:val="center"/>
          </w:tcPr>
          <w:p w14:paraId="76E4AF68">
            <w:r>
              <w:rPr>
                <w:lang w:bidi="ar"/>
              </w:rPr>
              <w:t>30.1078</w:t>
            </w:r>
          </w:p>
        </w:tc>
        <w:tc>
          <w:tcPr>
            <w:tcW w:w="0" w:type="auto"/>
            <w:tcBorders>
              <w:tl2br w:val="nil"/>
              <w:tr2bl w:val="nil"/>
            </w:tcBorders>
            <w:shd w:val="clear" w:color="auto" w:fill="auto"/>
            <w:noWrap/>
            <w:vAlign w:val="center"/>
          </w:tcPr>
          <w:p w14:paraId="5117C918">
            <w:pPr>
              <w:rPr>
                <w:lang w:bidi="ar"/>
              </w:rPr>
            </w:pPr>
            <w:r>
              <w:rPr>
                <w:rFonts w:hint="eastAsia"/>
                <w:lang w:bidi="ar"/>
              </w:rPr>
              <w:t>鱼类、中华鲟环境DNA</w:t>
            </w:r>
          </w:p>
        </w:tc>
      </w:tr>
      <w:tr w14:paraId="4B2DA0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215F7D13">
            <w:r>
              <w:rPr>
                <w:lang w:bidi="ar"/>
              </w:rPr>
              <w:t>HZW04</w:t>
            </w:r>
          </w:p>
        </w:tc>
        <w:tc>
          <w:tcPr>
            <w:tcW w:w="0" w:type="auto"/>
            <w:tcBorders>
              <w:tl2br w:val="nil"/>
              <w:tr2bl w:val="nil"/>
            </w:tcBorders>
            <w:shd w:val="clear" w:color="auto" w:fill="auto"/>
            <w:noWrap/>
            <w:vAlign w:val="center"/>
          </w:tcPr>
          <w:p w14:paraId="4FCE265E">
            <w:r>
              <w:rPr>
                <w:lang w:bidi="ar"/>
              </w:rPr>
              <w:t>121.2083</w:t>
            </w:r>
          </w:p>
        </w:tc>
        <w:tc>
          <w:tcPr>
            <w:tcW w:w="0" w:type="auto"/>
            <w:tcBorders>
              <w:tl2br w:val="nil"/>
              <w:tr2bl w:val="nil"/>
            </w:tcBorders>
            <w:shd w:val="clear" w:color="auto" w:fill="auto"/>
            <w:noWrap/>
            <w:vAlign w:val="center"/>
          </w:tcPr>
          <w:p w14:paraId="4F5BDED1">
            <w:r>
              <w:rPr>
                <w:lang w:bidi="ar"/>
              </w:rPr>
              <w:t>30.4583</w:t>
            </w:r>
          </w:p>
        </w:tc>
        <w:tc>
          <w:tcPr>
            <w:tcW w:w="0" w:type="auto"/>
            <w:tcBorders>
              <w:tl2br w:val="nil"/>
              <w:tr2bl w:val="nil"/>
            </w:tcBorders>
            <w:shd w:val="clear" w:color="auto" w:fill="auto"/>
            <w:noWrap/>
            <w:vAlign w:val="center"/>
          </w:tcPr>
          <w:p w14:paraId="27A411AC">
            <w:pPr>
              <w:rPr>
                <w:lang w:bidi="ar"/>
              </w:rPr>
            </w:pPr>
            <w:r>
              <w:rPr>
                <w:rFonts w:hint="eastAsia"/>
                <w:lang w:bidi="ar"/>
              </w:rPr>
              <w:t>鱼类、中华鲟环境DNA</w:t>
            </w:r>
          </w:p>
        </w:tc>
      </w:tr>
      <w:tr w14:paraId="1F1E6C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305C78B3">
            <w:r>
              <w:rPr>
                <w:lang w:bidi="ar"/>
              </w:rPr>
              <w:t>HZW05</w:t>
            </w:r>
          </w:p>
        </w:tc>
        <w:tc>
          <w:tcPr>
            <w:tcW w:w="0" w:type="auto"/>
            <w:tcBorders>
              <w:tl2br w:val="nil"/>
              <w:tr2bl w:val="nil"/>
            </w:tcBorders>
            <w:shd w:val="clear" w:color="auto" w:fill="auto"/>
            <w:noWrap/>
            <w:vAlign w:val="center"/>
          </w:tcPr>
          <w:p w14:paraId="062D253C">
            <w:r>
              <w:rPr>
                <w:lang w:bidi="ar"/>
              </w:rPr>
              <w:t>121.6333</w:t>
            </w:r>
          </w:p>
        </w:tc>
        <w:tc>
          <w:tcPr>
            <w:tcW w:w="0" w:type="auto"/>
            <w:tcBorders>
              <w:tl2br w:val="nil"/>
              <w:tr2bl w:val="nil"/>
            </w:tcBorders>
            <w:shd w:val="clear" w:color="auto" w:fill="auto"/>
            <w:noWrap/>
            <w:vAlign w:val="center"/>
          </w:tcPr>
          <w:p w14:paraId="7FB49D2F">
            <w:r>
              <w:rPr>
                <w:lang w:bidi="ar"/>
              </w:rPr>
              <w:t>30.3667</w:t>
            </w:r>
          </w:p>
        </w:tc>
        <w:tc>
          <w:tcPr>
            <w:tcW w:w="0" w:type="auto"/>
            <w:tcBorders>
              <w:tl2br w:val="nil"/>
              <w:tr2bl w:val="nil"/>
            </w:tcBorders>
            <w:shd w:val="clear" w:color="auto" w:fill="auto"/>
            <w:noWrap/>
            <w:vAlign w:val="center"/>
          </w:tcPr>
          <w:p w14:paraId="3DC67F68">
            <w:pPr>
              <w:rPr>
                <w:lang w:bidi="ar"/>
              </w:rPr>
            </w:pPr>
            <w:r>
              <w:rPr>
                <w:rFonts w:hint="eastAsia"/>
                <w:lang w:bidi="ar"/>
              </w:rPr>
              <w:t>鱼类、中华鲟环境DNA</w:t>
            </w:r>
          </w:p>
        </w:tc>
      </w:tr>
      <w:tr w14:paraId="2A638A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475706D5">
            <w:r>
              <w:rPr>
                <w:lang w:bidi="ar"/>
              </w:rPr>
              <w:t>HZW06</w:t>
            </w:r>
          </w:p>
        </w:tc>
        <w:tc>
          <w:tcPr>
            <w:tcW w:w="0" w:type="auto"/>
            <w:tcBorders>
              <w:tl2br w:val="nil"/>
              <w:tr2bl w:val="nil"/>
            </w:tcBorders>
            <w:shd w:val="clear" w:color="auto" w:fill="auto"/>
            <w:noWrap/>
            <w:vAlign w:val="center"/>
          </w:tcPr>
          <w:p w14:paraId="643D7F1D">
            <w:r>
              <w:rPr>
                <w:lang w:bidi="ar"/>
              </w:rPr>
              <w:t>121.3640</w:t>
            </w:r>
          </w:p>
        </w:tc>
        <w:tc>
          <w:tcPr>
            <w:tcW w:w="0" w:type="auto"/>
            <w:tcBorders>
              <w:tl2br w:val="nil"/>
              <w:tr2bl w:val="nil"/>
            </w:tcBorders>
            <w:shd w:val="clear" w:color="auto" w:fill="auto"/>
            <w:noWrap/>
            <w:vAlign w:val="center"/>
          </w:tcPr>
          <w:p w14:paraId="630ED854">
            <w:r>
              <w:rPr>
                <w:lang w:bidi="ar"/>
              </w:rPr>
              <w:t>30.6240</w:t>
            </w:r>
          </w:p>
        </w:tc>
        <w:tc>
          <w:tcPr>
            <w:tcW w:w="0" w:type="auto"/>
            <w:tcBorders>
              <w:tl2br w:val="nil"/>
              <w:tr2bl w:val="nil"/>
            </w:tcBorders>
            <w:shd w:val="clear" w:color="auto" w:fill="auto"/>
            <w:noWrap/>
            <w:vAlign w:val="center"/>
          </w:tcPr>
          <w:p w14:paraId="44113F96">
            <w:pPr>
              <w:rPr>
                <w:lang w:bidi="ar"/>
              </w:rPr>
            </w:pPr>
            <w:r>
              <w:rPr>
                <w:rFonts w:hint="eastAsia"/>
                <w:lang w:bidi="ar"/>
              </w:rPr>
              <w:t>鱼类、中华鲟环境DNA</w:t>
            </w:r>
          </w:p>
        </w:tc>
      </w:tr>
      <w:tr w14:paraId="69F556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tcBorders>
              <w:tl2br w:val="nil"/>
              <w:tr2bl w:val="nil"/>
            </w:tcBorders>
            <w:shd w:val="clear" w:color="auto" w:fill="auto"/>
            <w:noWrap/>
            <w:vAlign w:val="center"/>
          </w:tcPr>
          <w:p w14:paraId="6B7236A8">
            <w:r>
              <w:rPr>
                <w:lang w:bidi="ar"/>
              </w:rPr>
              <w:t>HZW07</w:t>
            </w:r>
          </w:p>
        </w:tc>
        <w:tc>
          <w:tcPr>
            <w:tcW w:w="0" w:type="auto"/>
            <w:tcBorders>
              <w:tl2br w:val="nil"/>
              <w:tr2bl w:val="nil"/>
            </w:tcBorders>
            <w:shd w:val="clear" w:color="auto" w:fill="auto"/>
            <w:noWrap/>
            <w:vAlign w:val="center"/>
          </w:tcPr>
          <w:p w14:paraId="0C6889E9">
            <w:r>
              <w:rPr>
                <w:lang w:bidi="ar"/>
              </w:rPr>
              <w:t>121.0420</w:t>
            </w:r>
          </w:p>
        </w:tc>
        <w:tc>
          <w:tcPr>
            <w:tcW w:w="0" w:type="auto"/>
            <w:tcBorders>
              <w:tl2br w:val="nil"/>
              <w:tr2bl w:val="nil"/>
            </w:tcBorders>
            <w:shd w:val="clear" w:color="auto" w:fill="auto"/>
            <w:noWrap/>
            <w:vAlign w:val="center"/>
          </w:tcPr>
          <w:p w14:paraId="6CDE4CA1">
            <w:r>
              <w:rPr>
                <w:lang w:bidi="ar"/>
              </w:rPr>
              <w:t>30.4250</w:t>
            </w:r>
          </w:p>
        </w:tc>
        <w:tc>
          <w:tcPr>
            <w:tcW w:w="0" w:type="auto"/>
            <w:tcBorders>
              <w:tl2br w:val="nil"/>
              <w:tr2bl w:val="nil"/>
            </w:tcBorders>
            <w:shd w:val="clear" w:color="auto" w:fill="auto"/>
            <w:noWrap/>
            <w:vAlign w:val="center"/>
          </w:tcPr>
          <w:p w14:paraId="5FA4C3EE">
            <w:pPr>
              <w:rPr>
                <w:lang w:bidi="ar"/>
              </w:rPr>
            </w:pPr>
            <w:r>
              <w:rPr>
                <w:rFonts w:hint="eastAsia"/>
                <w:lang w:bidi="ar"/>
              </w:rPr>
              <w:t>鱼类、中华鲟环境DNA</w:t>
            </w:r>
          </w:p>
        </w:tc>
      </w:tr>
      <w:tr w14:paraId="3ECF8A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3948638F">
            <w:r>
              <w:rPr>
                <w:lang w:bidi="ar"/>
              </w:rPr>
              <w:t>HZW08</w:t>
            </w:r>
          </w:p>
        </w:tc>
        <w:tc>
          <w:tcPr>
            <w:tcW w:w="0" w:type="auto"/>
            <w:tcBorders>
              <w:tl2br w:val="nil"/>
              <w:tr2bl w:val="nil"/>
            </w:tcBorders>
            <w:shd w:val="clear" w:color="auto" w:fill="auto"/>
            <w:noWrap/>
            <w:vAlign w:val="center"/>
          </w:tcPr>
          <w:p w14:paraId="5FF81848">
            <w:r>
              <w:rPr>
                <w:lang w:bidi="ar"/>
              </w:rPr>
              <w:t>121.4830</w:t>
            </w:r>
          </w:p>
        </w:tc>
        <w:tc>
          <w:tcPr>
            <w:tcW w:w="0" w:type="auto"/>
            <w:tcBorders>
              <w:tl2br w:val="nil"/>
              <w:tr2bl w:val="nil"/>
            </w:tcBorders>
            <w:shd w:val="clear" w:color="auto" w:fill="auto"/>
            <w:noWrap/>
            <w:vAlign w:val="center"/>
          </w:tcPr>
          <w:p w14:paraId="0D0FC343">
            <w:r>
              <w:rPr>
                <w:lang w:bidi="ar"/>
              </w:rPr>
              <w:t>30.4000</w:t>
            </w:r>
          </w:p>
        </w:tc>
        <w:tc>
          <w:tcPr>
            <w:tcW w:w="0" w:type="auto"/>
            <w:tcBorders>
              <w:tl2br w:val="nil"/>
              <w:tr2bl w:val="nil"/>
            </w:tcBorders>
            <w:shd w:val="clear" w:color="auto" w:fill="auto"/>
            <w:noWrap/>
            <w:vAlign w:val="center"/>
          </w:tcPr>
          <w:p w14:paraId="5D6C7C3A">
            <w:pPr>
              <w:rPr>
                <w:lang w:bidi="ar"/>
              </w:rPr>
            </w:pPr>
            <w:r>
              <w:rPr>
                <w:rFonts w:hint="eastAsia"/>
                <w:lang w:bidi="ar"/>
              </w:rPr>
              <w:t>鱼类、中华鲟环境DNA</w:t>
            </w:r>
          </w:p>
        </w:tc>
      </w:tr>
      <w:tr w14:paraId="2562C1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60DFCAA8">
            <w:r>
              <w:rPr>
                <w:lang w:bidi="ar"/>
              </w:rPr>
              <w:t>HZW09</w:t>
            </w:r>
          </w:p>
        </w:tc>
        <w:tc>
          <w:tcPr>
            <w:tcW w:w="0" w:type="auto"/>
            <w:tcBorders>
              <w:tl2br w:val="nil"/>
              <w:tr2bl w:val="nil"/>
            </w:tcBorders>
            <w:shd w:val="clear" w:color="auto" w:fill="auto"/>
            <w:noWrap/>
            <w:vAlign w:val="center"/>
          </w:tcPr>
          <w:p w14:paraId="0E8B9DD9">
            <w:r>
              <w:rPr>
                <w:lang w:bidi="ar"/>
              </w:rPr>
              <w:t>121.9200</w:t>
            </w:r>
          </w:p>
        </w:tc>
        <w:tc>
          <w:tcPr>
            <w:tcW w:w="0" w:type="auto"/>
            <w:tcBorders>
              <w:tl2br w:val="nil"/>
              <w:tr2bl w:val="nil"/>
            </w:tcBorders>
            <w:shd w:val="clear" w:color="auto" w:fill="auto"/>
            <w:noWrap/>
            <w:vAlign w:val="center"/>
          </w:tcPr>
          <w:p w14:paraId="5EB4B967">
            <w:r>
              <w:rPr>
                <w:lang w:bidi="ar"/>
              </w:rPr>
              <w:t>30.5850</w:t>
            </w:r>
          </w:p>
        </w:tc>
        <w:tc>
          <w:tcPr>
            <w:tcW w:w="0" w:type="auto"/>
            <w:tcBorders>
              <w:tl2br w:val="nil"/>
              <w:tr2bl w:val="nil"/>
            </w:tcBorders>
            <w:shd w:val="clear" w:color="auto" w:fill="auto"/>
            <w:noWrap/>
            <w:vAlign w:val="center"/>
          </w:tcPr>
          <w:p w14:paraId="5BE2B6D0">
            <w:pPr>
              <w:rPr>
                <w:lang w:bidi="ar"/>
              </w:rPr>
            </w:pPr>
            <w:r>
              <w:rPr>
                <w:rFonts w:hint="eastAsia"/>
                <w:lang w:bidi="ar"/>
              </w:rPr>
              <w:t>鱼类、中华鲟环境DNA</w:t>
            </w:r>
          </w:p>
        </w:tc>
      </w:tr>
      <w:tr w14:paraId="50001C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126DFB54">
            <w:r>
              <w:rPr>
                <w:lang w:bidi="ar"/>
              </w:rPr>
              <w:t>HZW10</w:t>
            </w:r>
          </w:p>
        </w:tc>
        <w:tc>
          <w:tcPr>
            <w:tcW w:w="0" w:type="auto"/>
            <w:tcBorders>
              <w:tl2br w:val="nil"/>
              <w:tr2bl w:val="nil"/>
            </w:tcBorders>
            <w:shd w:val="clear" w:color="auto" w:fill="auto"/>
            <w:noWrap/>
            <w:vAlign w:val="center"/>
          </w:tcPr>
          <w:p w14:paraId="6F27E715">
            <w:r>
              <w:rPr>
                <w:lang w:bidi="ar"/>
              </w:rPr>
              <w:t>121.7447</w:t>
            </w:r>
          </w:p>
        </w:tc>
        <w:tc>
          <w:tcPr>
            <w:tcW w:w="0" w:type="auto"/>
            <w:tcBorders>
              <w:tl2br w:val="nil"/>
              <w:tr2bl w:val="nil"/>
            </w:tcBorders>
            <w:shd w:val="clear" w:color="auto" w:fill="auto"/>
            <w:noWrap/>
            <w:vAlign w:val="center"/>
          </w:tcPr>
          <w:p w14:paraId="474EA46C">
            <w:r>
              <w:rPr>
                <w:lang w:bidi="ar"/>
              </w:rPr>
              <w:t>30.6316</w:t>
            </w:r>
          </w:p>
        </w:tc>
        <w:tc>
          <w:tcPr>
            <w:tcW w:w="0" w:type="auto"/>
            <w:tcBorders>
              <w:tl2br w:val="nil"/>
              <w:tr2bl w:val="nil"/>
            </w:tcBorders>
            <w:shd w:val="clear" w:color="auto" w:fill="auto"/>
            <w:noWrap/>
            <w:vAlign w:val="center"/>
          </w:tcPr>
          <w:p w14:paraId="06DAF3EE">
            <w:pPr>
              <w:rPr>
                <w:lang w:bidi="ar"/>
              </w:rPr>
            </w:pPr>
            <w:r>
              <w:rPr>
                <w:rFonts w:hint="eastAsia"/>
                <w:lang w:bidi="ar"/>
              </w:rPr>
              <w:t>鱼类、中华鲟环境DNA</w:t>
            </w:r>
          </w:p>
        </w:tc>
      </w:tr>
      <w:tr w14:paraId="55431E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6DD3D412">
            <w:r>
              <w:rPr>
                <w:lang w:bidi="ar"/>
              </w:rPr>
              <w:t>HZW11</w:t>
            </w:r>
          </w:p>
        </w:tc>
        <w:tc>
          <w:tcPr>
            <w:tcW w:w="0" w:type="auto"/>
            <w:tcBorders>
              <w:tl2br w:val="nil"/>
              <w:tr2bl w:val="nil"/>
            </w:tcBorders>
            <w:shd w:val="clear" w:color="auto" w:fill="auto"/>
            <w:noWrap/>
            <w:vAlign w:val="center"/>
          </w:tcPr>
          <w:p w14:paraId="55A479CD">
            <w:r>
              <w:rPr>
                <w:lang w:bidi="ar"/>
              </w:rPr>
              <w:t>121.9514</w:t>
            </w:r>
          </w:p>
        </w:tc>
        <w:tc>
          <w:tcPr>
            <w:tcW w:w="0" w:type="auto"/>
            <w:tcBorders>
              <w:tl2br w:val="nil"/>
              <w:tr2bl w:val="nil"/>
            </w:tcBorders>
            <w:shd w:val="clear" w:color="auto" w:fill="auto"/>
            <w:noWrap/>
            <w:vAlign w:val="center"/>
          </w:tcPr>
          <w:p w14:paraId="0525F796">
            <w:r>
              <w:rPr>
                <w:lang w:bidi="ar"/>
              </w:rPr>
              <w:t>30.4288</w:t>
            </w:r>
          </w:p>
        </w:tc>
        <w:tc>
          <w:tcPr>
            <w:tcW w:w="0" w:type="auto"/>
            <w:tcBorders>
              <w:tl2br w:val="nil"/>
              <w:tr2bl w:val="nil"/>
            </w:tcBorders>
            <w:shd w:val="clear" w:color="auto" w:fill="auto"/>
            <w:noWrap/>
            <w:vAlign w:val="center"/>
          </w:tcPr>
          <w:p w14:paraId="74DB271F">
            <w:pPr>
              <w:rPr>
                <w:lang w:bidi="ar"/>
              </w:rPr>
            </w:pPr>
            <w:r>
              <w:rPr>
                <w:rFonts w:hint="eastAsia"/>
                <w:lang w:bidi="ar"/>
              </w:rPr>
              <w:t>鱼类、中华鲟环境DNA</w:t>
            </w:r>
          </w:p>
        </w:tc>
      </w:tr>
      <w:tr w14:paraId="2C1B73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25CCAFC0">
            <w:pPr>
              <w:rPr>
                <w:lang w:bidi="ar"/>
              </w:rPr>
            </w:pPr>
            <w:r>
              <w:rPr>
                <w:rFonts w:hint="eastAsia"/>
                <w:lang w:bidi="ar"/>
              </w:rPr>
              <w:t>HZW12</w:t>
            </w:r>
          </w:p>
        </w:tc>
        <w:tc>
          <w:tcPr>
            <w:tcW w:w="0" w:type="auto"/>
            <w:tcBorders>
              <w:tl2br w:val="nil"/>
              <w:tr2bl w:val="nil"/>
            </w:tcBorders>
            <w:shd w:val="clear" w:color="auto" w:fill="auto"/>
            <w:noWrap/>
            <w:vAlign w:val="center"/>
          </w:tcPr>
          <w:p w14:paraId="27BB6844">
            <w:pPr>
              <w:rPr>
                <w:lang w:bidi="ar"/>
              </w:rPr>
            </w:pPr>
            <w:r>
              <w:rPr>
                <w:rFonts w:hint="eastAsia"/>
                <w:lang w:bidi="ar"/>
              </w:rPr>
              <w:t>121.4868</w:t>
            </w:r>
          </w:p>
        </w:tc>
        <w:tc>
          <w:tcPr>
            <w:tcW w:w="0" w:type="auto"/>
            <w:tcBorders>
              <w:tl2br w:val="nil"/>
              <w:tr2bl w:val="nil"/>
            </w:tcBorders>
            <w:shd w:val="clear" w:color="auto" w:fill="auto"/>
            <w:noWrap/>
            <w:vAlign w:val="center"/>
          </w:tcPr>
          <w:p w14:paraId="4BB880C4">
            <w:pPr>
              <w:rPr>
                <w:lang w:bidi="ar"/>
              </w:rPr>
            </w:pPr>
            <w:r>
              <w:rPr>
                <w:rFonts w:hint="eastAsia"/>
                <w:lang w:bidi="ar"/>
              </w:rPr>
              <w:t>30.5935</w:t>
            </w:r>
          </w:p>
        </w:tc>
        <w:tc>
          <w:tcPr>
            <w:tcW w:w="0" w:type="auto"/>
            <w:tcBorders>
              <w:tl2br w:val="nil"/>
              <w:tr2bl w:val="nil"/>
            </w:tcBorders>
            <w:shd w:val="clear" w:color="auto" w:fill="auto"/>
            <w:noWrap/>
            <w:vAlign w:val="center"/>
          </w:tcPr>
          <w:p w14:paraId="41BB4DD5">
            <w:pPr>
              <w:rPr>
                <w:lang w:bidi="ar"/>
              </w:rPr>
            </w:pPr>
            <w:r>
              <w:rPr>
                <w:rFonts w:hint="eastAsia"/>
                <w:lang w:bidi="ar"/>
              </w:rPr>
              <w:t>鱼类、中华鲟环境DNA</w:t>
            </w:r>
          </w:p>
        </w:tc>
      </w:tr>
      <w:tr w14:paraId="1116C0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1B7BF289">
            <w:pPr>
              <w:rPr>
                <w:lang w:bidi="ar"/>
              </w:rPr>
            </w:pPr>
            <w:r>
              <w:rPr>
                <w:rFonts w:hint="eastAsia"/>
                <w:lang w:bidi="ar"/>
              </w:rPr>
              <w:t>HZW13</w:t>
            </w:r>
          </w:p>
        </w:tc>
        <w:tc>
          <w:tcPr>
            <w:tcW w:w="0" w:type="auto"/>
            <w:tcBorders>
              <w:tl2br w:val="nil"/>
              <w:tr2bl w:val="nil"/>
            </w:tcBorders>
            <w:shd w:val="clear" w:color="auto" w:fill="auto"/>
            <w:noWrap/>
            <w:vAlign w:val="center"/>
          </w:tcPr>
          <w:p w14:paraId="4EE41A64">
            <w:pPr>
              <w:rPr>
                <w:lang w:bidi="ar"/>
              </w:rPr>
            </w:pPr>
            <w:r>
              <w:rPr>
                <w:rFonts w:hint="eastAsia"/>
                <w:lang w:bidi="ar"/>
              </w:rPr>
              <w:t>121.6210</w:t>
            </w:r>
          </w:p>
        </w:tc>
        <w:tc>
          <w:tcPr>
            <w:tcW w:w="0" w:type="auto"/>
            <w:tcBorders>
              <w:tl2br w:val="nil"/>
              <w:tr2bl w:val="nil"/>
            </w:tcBorders>
            <w:shd w:val="clear" w:color="auto" w:fill="auto"/>
            <w:noWrap/>
            <w:vAlign w:val="center"/>
          </w:tcPr>
          <w:p w14:paraId="1D5C5C7B">
            <w:pPr>
              <w:rPr>
                <w:lang w:bidi="ar"/>
              </w:rPr>
            </w:pPr>
            <w:r>
              <w:rPr>
                <w:rFonts w:hint="eastAsia"/>
                <w:lang w:bidi="ar"/>
              </w:rPr>
              <w:t>30.2220</w:t>
            </w:r>
          </w:p>
        </w:tc>
        <w:tc>
          <w:tcPr>
            <w:tcW w:w="0" w:type="auto"/>
            <w:tcBorders>
              <w:tl2br w:val="nil"/>
              <w:tr2bl w:val="nil"/>
            </w:tcBorders>
            <w:shd w:val="clear" w:color="auto" w:fill="auto"/>
            <w:noWrap/>
            <w:vAlign w:val="center"/>
          </w:tcPr>
          <w:p w14:paraId="792A3C29">
            <w:pPr>
              <w:rPr>
                <w:lang w:bidi="ar"/>
              </w:rPr>
            </w:pPr>
            <w:r>
              <w:rPr>
                <w:rFonts w:hint="eastAsia"/>
                <w:lang w:bidi="ar"/>
              </w:rPr>
              <w:t>鱼类、中华鲟环境DNA</w:t>
            </w:r>
          </w:p>
        </w:tc>
      </w:tr>
      <w:tr w14:paraId="4482B4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336EE69D">
            <w:pPr>
              <w:rPr>
                <w:lang w:bidi="ar"/>
              </w:rPr>
            </w:pPr>
            <w:r>
              <w:rPr>
                <w:rFonts w:hint="eastAsia"/>
                <w:lang w:bidi="ar"/>
              </w:rPr>
              <w:t>HZW14</w:t>
            </w:r>
          </w:p>
        </w:tc>
        <w:tc>
          <w:tcPr>
            <w:tcW w:w="0" w:type="auto"/>
            <w:tcBorders>
              <w:tl2br w:val="nil"/>
              <w:tr2bl w:val="nil"/>
            </w:tcBorders>
            <w:shd w:val="clear" w:color="auto" w:fill="auto"/>
            <w:noWrap/>
            <w:vAlign w:val="center"/>
          </w:tcPr>
          <w:p w14:paraId="07E3052A">
            <w:pPr>
              <w:rPr>
                <w:lang w:bidi="ar"/>
              </w:rPr>
            </w:pPr>
            <w:r>
              <w:rPr>
                <w:rFonts w:hint="eastAsia"/>
                <w:lang w:bidi="ar"/>
              </w:rPr>
              <w:t>121.1690</w:t>
            </w:r>
          </w:p>
        </w:tc>
        <w:tc>
          <w:tcPr>
            <w:tcW w:w="0" w:type="auto"/>
            <w:tcBorders>
              <w:tl2br w:val="nil"/>
              <w:tr2bl w:val="nil"/>
            </w:tcBorders>
            <w:shd w:val="clear" w:color="auto" w:fill="auto"/>
            <w:noWrap/>
            <w:vAlign w:val="center"/>
          </w:tcPr>
          <w:p w14:paraId="1CA3AC64">
            <w:pPr>
              <w:rPr>
                <w:lang w:bidi="ar"/>
              </w:rPr>
            </w:pPr>
            <w:r>
              <w:rPr>
                <w:rFonts w:hint="eastAsia"/>
                <w:lang w:bidi="ar"/>
              </w:rPr>
              <w:t>30.5937</w:t>
            </w:r>
          </w:p>
        </w:tc>
        <w:tc>
          <w:tcPr>
            <w:tcW w:w="0" w:type="auto"/>
            <w:tcBorders>
              <w:tl2br w:val="nil"/>
              <w:tr2bl w:val="nil"/>
            </w:tcBorders>
            <w:shd w:val="clear" w:color="auto" w:fill="auto"/>
            <w:noWrap/>
            <w:vAlign w:val="center"/>
          </w:tcPr>
          <w:p w14:paraId="42CB9A67">
            <w:pPr>
              <w:rPr>
                <w:lang w:bidi="ar"/>
              </w:rPr>
            </w:pPr>
            <w:r>
              <w:rPr>
                <w:rFonts w:hint="eastAsia"/>
                <w:lang w:bidi="ar"/>
              </w:rPr>
              <w:t>鱼类、中华鲟环境DNA</w:t>
            </w:r>
          </w:p>
        </w:tc>
      </w:tr>
      <w:tr w14:paraId="3ABFBA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60AB1E5E">
            <w:pPr>
              <w:rPr>
                <w:lang w:bidi="ar"/>
              </w:rPr>
            </w:pPr>
            <w:r>
              <w:rPr>
                <w:rFonts w:hint="eastAsia"/>
                <w:lang w:bidi="ar"/>
              </w:rPr>
              <w:t>YQW01</w:t>
            </w:r>
          </w:p>
        </w:tc>
        <w:tc>
          <w:tcPr>
            <w:tcW w:w="0" w:type="auto"/>
            <w:tcBorders>
              <w:tl2br w:val="nil"/>
              <w:tr2bl w:val="nil"/>
            </w:tcBorders>
            <w:shd w:val="clear" w:color="auto" w:fill="auto"/>
            <w:noWrap/>
            <w:vAlign w:val="bottom"/>
          </w:tcPr>
          <w:p w14:paraId="7B8E6AC2">
            <w:pPr>
              <w:rPr>
                <w:lang w:bidi="ar"/>
              </w:rPr>
            </w:pPr>
            <w:r>
              <w:rPr>
                <w:rFonts w:hint="eastAsia"/>
                <w:lang w:bidi="ar"/>
              </w:rPr>
              <w:t>121.1361</w:t>
            </w:r>
          </w:p>
        </w:tc>
        <w:tc>
          <w:tcPr>
            <w:tcW w:w="0" w:type="auto"/>
            <w:tcBorders>
              <w:tl2br w:val="nil"/>
              <w:tr2bl w:val="nil"/>
            </w:tcBorders>
            <w:shd w:val="clear" w:color="auto" w:fill="auto"/>
            <w:noWrap/>
            <w:vAlign w:val="bottom"/>
          </w:tcPr>
          <w:p w14:paraId="45B58A53">
            <w:pPr>
              <w:rPr>
                <w:lang w:bidi="ar"/>
              </w:rPr>
            </w:pPr>
            <w:r>
              <w:rPr>
                <w:rFonts w:hint="eastAsia"/>
                <w:lang w:bidi="ar"/>
              </w:rPr>
              <w:t>28.2017</w:t>
            </w:r>
          </w:p>
        </w:tc>
        <w:tc>
          <w:tcPr>
            <w:tcW w:w="0" w:type="auto"/>
            <w:tcBorders>
              <w:tl2br w:val="nil"/>
              <w:tr2bl w:val="nil"/>
            </w:tcBorders>
            <w:shd w:val="clear" w:color="auto" w:fill="auto"/>
            <w:noWrap/>
            <w:vAlign w:val="bottom"/>
          </w:tcPr>
          <w:p w14:paraId="58089988">
            <w:pPr>
              <w:rPr>
                <w:lang w:bidi="ar"/>
              </w:rPr>
            </w:pPr>
            <w:r>
              <w:rPr>
                <w:rFonts w:hint="eastAsia"/>
                <w:lang w:bidi="ar"/>
              </w:rPr>
              <w:t>鱼类环境DNA</w:t>
            </w:r>
          </w:p>
        </w:tc>
      </w:tr>
      <w:tr w14:paraId="25E340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4D85A993">
            <w:pPr>
              <w:rPr>
                <w:lang w:bidi="ar"/>
              </w:rPr>
            </w:pPr>
            <w:r>
              <w:rPr>
                <w:rFonts w:hint="eastAsia"/>
                <w:lang w:bidi="ar"/>
              </w:rPr>
              <w:t>YQW02</w:t>
            </w:r>
          </w:p>
        </w:tc>
        <w:tc>
          <w:tcPr>
            <w:tcW w:w="0" w:type="auto"/>
            <w:tcBorders>
              <w:tl2br w:val="nil"/>
              <w:tr2bl w:val="nil"/>
            </w:tcBorders>
            <w:shd w:val="clear" w:color="auto" w:fill="auto"/>
            <w:noWrap/>
            <w:vAlign w:val="bottom"/>
          </w:tcPr>
          <w:p w14:paraId="5959C4D5">
            <w:pPr>
              <w:rPr>
                <w:lang w:bidi="ar"/>
              </w:rPr>
            </w:pPr>
            <w:r>
              <w:rPr>
                <w:rFonts w:hint="eastAsia"/>
                <w:lang w:bidi="ar"/>
              </w:rPr>
              <w:t>121.1367</w:t>
            </w:r>
          </w:p>
        </w:tc>
        <w:tc>
          <w:tcPr>
            <w:tcW w:w="0" w:type="auto"/>
            <w:tcBorders>
              <w:tl2br w:val="nil"/>
              <w:tr2bl w:val="nil"/>
            </w:tcBorders>
            <w:shd w:val="clear" w:color="auto" w:fill="auto"/>
            <w:noWrap/>
            <w:vAlign w:val="bottom"/>
          </w:tcPr>
          <w:p w14:paraId="7ED421A9">
            <w:pPr>
              <w:rPr>
                <w:lang w:bidi="ar"/>
              </w:rPr>
            </w:pPr>
            <w:r>
              <w:rPr>
                <w:rFonts w:hint="eastAsia"/>
                <w:lang w:bidi="ar"/>
              </w:rPr>
              <w:t>28.1583</w:t>
            </w:r>
          </w:p>
        </w:tc>
        <w:tc>
          <w:tcPr>
            <w:tcW w:w="0" w:type="auto"/>
            <w:tcBorders>
              <w:tl2br w:val="nil"/>
              <w:tr2bl w:val="nil"/>
            </w:tcBorders>
            <w:shd w:val="clear" w:color="auto" w:fill="auto"/>
            <w:noWrap/>
            <w:vAlign w:val="bottom"/>
          </w:tcPr>
          <w:p w14:paraId="093F620B">
            <w:pPr>
              <w:rPr>
                <w:lang w:bidi="ar"/>
              </w:rPr>
            </w:pPr>
            <w:r>
              <w:rPr>
                <w:rFonts w:hint="eastAsia"/>
                <w:lang w:bidi="ar"/>
              </w:rPr>
              <w:t>鱼类环境DNA</w:t>
            </w:r>
          </w:p>
        </w:tc>
      </w:tr>
      <w:tr w14:paraId="63211F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258A8101">
            <w:pPr>
              <w:rPr>
                <w:lang w:bidi="ar"/>
              </w:rPr>
            </w:pPr>
            <w:r>
              <w:rPr>
                <w:rFonts w:hint="eastAsia"/>
                <w:lang w:bidi="ar"/>
              </w:rPr>
              <w:t>YQW03</w:t>
            </w:r>
          </w:p>
        </w:tc>
        <w:tc>
          <w:tcPr>
            <w:tcW w:w="0" w:type="auto"/>
            <w:tcBorders>
              <w:tl2br w:val="nil"/>
              <w:tr2bl w:val="nil"/>
            </w:tcBorders>
            <w:shd w:val="clear" w:color="auto" w:fill="auto"/>
            <w:noWrap/>
            <w:vAlign w:val="bottom"/>
          </w:tcPr>
          <w:p w14:paraId="66306E49">
            <w:pPr>
              <w:rPr>
                <w:lang w:bidi="ar"/>
              </w:rPr>
            </w:pPr>
            <w:r>
              <w:rPr>
                <w:lang w:bidi="ar"/>
              </w:rPr>
              <w:t>121.0770</w:t>
            </w:r>
          </w:p>
        </w:tc>
        <w:tc>
          <w:tcPr>
            <w:tcW w:w="0" w:type="auto"/>
            <w:tcBorders>
              <w:tl2br w:val="nil"/>
              <w:tr2bl w:val="nil"/>
            </w:tcBorders>
            <w:shd w:val="clear" w:color="auto" w:fill="auto"/>
            <w:noWrap/>
            <w:vAlign w:val="bottom"/>
          </w:tcPr>
          <w:p w14:paraId="58F9D902">
            <w:pPr>
              <w:rPr>
                <w:lang w:bidi="ar"/>
              </w:rPr>
            </w:pPr>
            <w:r>
              <w:rPr>
                <w:lang w:bidi="ar"/>
              </w:rPr>
              <w:t>28.0910</w:t>
            </w:r>
          </w:p>
        </w:tc>
        <w:tc>
          <w:tcPr>
            <w:tcW w:w="0" w:type="auto"/>
            <w:tcBorders>
              <w:tl2br w:val="nil"/>
              <w:tr2bl w:val="nil"/>
            </w:tcBorders>
            <w:shd w:val="clear" w:color="auto" w:fill="auto"/>
            <w:noWrap/>
            <w:vAlign w:val="bottom"/>
          </w:tcPr>
          <w:p w14:paraId="3A6630FB">
            <w:pPr>
              <w:rPr>
                <w:lang w:bidi="ar"/>
              </w:rPr>
            </w:pPr>
            <w:r>
              <w:rPr>
                <w:rFonts w:hint="eastAsia"/>
                <w:lang w:bidi="ar"/>
              </w:rPr>
              <w:t>鱼类环境DNA</w:t>
            </w:r>
          </w:p>
        </w:tc>
      </w:tr>
      <w:tr w14:paraId="77B2F0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6F96D34E">
            <w:pPr>
              <w:rPr>
                <w:lang w:bidi="ar"/>
              </w:rPr>
            </w:pPr>
            <w:r>
              <w:rPr>
                <w:rFonts w:hint="eastAsia"/>
                <w:lang w:bidi="ar"/>
              </w:rPr>
              <w:t>YQW04</w:t>
            </w:r>
          </w:p>
        </w:tc>
        <w:tc>
          <w:tcPr>
            <w:tcW w:w="0" w:type="auto"/>
            <w:tcBorders>
              <w:tl2br w:val="nil"/>
              <w:tr2bl w:val="nil"/>
            </w:tcBorders>
            <w:shd w:val="clear" w:color="auto" w:fill="auto"/>
            <w:noWrap/>
            <w:vAlign w:val="bottom"/>
          </w:tcPr>
          <w:p w14:paraId="124DE59D">
            <w:pPr>
              <w:rPr>
                <w:lang w:bidi="ar"/>
              </w:rPr>
            </w:pPr>
            <w:r>
              <w:rPr>
                <w:rFonts w:hint="eastAsia"/>
                <w:lang w:bidi="ar"/>
              </w:rPr>
              <w:t>121.1442</w:t>
            </w:r>
          </w:p>
        </w:tc>
        <w:tc>
          <w:tcPr>
            <w:tcW w:w="0" w:type="auto"/>
            <w:tcBorders>
              <w:tl2br w:val="nil"/>
              <w:tr2bl w:val="nil"/>
            </w:tcBorders>
            <w:shd w:val="clear" w:color="auto" w:fill="auto"/>
            <w:noWrap/>
            <w:vAlign w:val="bottom"/>
          </w:tcPr>
          <w:p w14:paraId="64C59F59">
            <w:pPr>
              <w:rPr>
                <w:lang w:bidi="ar"/>
              </w:rPr>
            </w:pPr>
            <w:r>
              <w:rPr>
                <w:rFonts w:hint="eastAsia"/>
                <w:lang w:bidi="ar"/>
              </w:rPr>
              <w:t>28.0075</w:t>
            </w:r>
          </w:p>
        </w:tc>
        <w:tc>
          <w:tcPr>
            <w:tcW w:w="0" w:type="auto"/>
            <w:tcBorders>
              <w:tl2br w:val="nil"/>
              <w:tr2bl w:val="nil"/>
            </w:tcBorders>
            <w:shd w:val="clear" w:color="auto" w:fill="auto"/>
            <w:noWrap/>
            <w:vAlign w:val="bottom"/>
          </w:tcPr>
          <w:p w14:paraId="3E6E0A50">
            <w:pPr>
              <w:rPr>
                <w:lang w:bidi="ar"/>
              </w:rPr>
            </w:pPr>
            <w:r>
              <w:rPr>
                <w:rFonts w:hint="eastAsia"/>
                <w:lang w:bidi="ar"/>
              </w:rPr>
              <w:t>鱼类环境DNA</w:t>
            </w:r>
          </w:p>
        </w:tc>
      </w:tr>
      <w:tr w14:paraId="374BE9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5923A1E7">
            <w:pPr>
              <w:rPr>
                <w:lang w:bidi="ar"/>
              </w:rPr>
            </w:pPr>
            <w:r>
              <w:rPr>
                <w:rFonts w:hint="eastAsia"/>
                <w:lang w:bidi="ar"/>
              </w:rPr>
              <w:t>YQW05</w:t>
            </w:r>
          </w:p>
        </w:tc>
        <w:tc>
          <w:tcPr>
            <w:tcW w:w="0" w:type="auto"/>
            <w:tcBorders>
              <w:tl2br w:val="nil"/>
              <w:tr2bl w:val="nil"/>
            </w:tcBorders>
            <w:shd w:val="clear" w:color="auto" w:fill="auto"/>
            <w:noWrap/>
            <w:vAlign w:val="bottom"/>
          </w:tcPr>
          <w:p w14:paraId="3DEA39E6">
            <w:pPr>
              <w:rPr>
                <w:lang w:bidi="ar"/>
              </w:rPr>
            </w:pPr>
            <w:r>
              <w:rPr>
                <w:rFonts w:hint="eastAsia"/>
                <w:lang w:bidi="ar"/>
              </w:rPr>
              <w:t>120.9728</w:t>
            </w:r>
          </w:p>
        </w:tc>
        <w:tc>
          <w:tcPr>
            <w:tcW w:w="0" w:type="auto"/>
            <w:tcBorders>
              <w:tl2br w:val="nil"/>
              <w:tr2bl w:val="nil"/>
            </w:tcBorders>
            <w:shd w:val="clear" w:color="auto" w:fill="auto"/>
            <w:noWrap/>
            <w:vAlign w:val="bottom"/>
          </w:tcPr>
          <w:p w14:paraId="0900420B">
            <w:pPr>
              <w:rPr>
                <w:lang w:bidi="ar"/>
              </w:rPr>
            </w:pPr>
            <w:r>
              <w:rPr>
                <w:rFonts w:hint="eastAsia"/>
                <w:lang w:bidi="ar"/>
              </w:rPr>
              <w:t>27.9656</w:t>
            </w:r>
          </w:p>
        </w:tc>
        <w:tc>
          <w:tcPr>
            <w:tcW w:w="0" w:type="auto"/>
            <w:tcBorders>
              <w:tl2br w:val="nil"/>
              <w:tr2bl w:val="nil"/>
            </w:tcBorders>
            <w:shd w:val="clear" w:color="auto" w:fill="auto"/>
            <w:noWrap/>
            <w:vAlign w:val="bottom"/>
          </w:tcPr>
          <w:p w14:paraId="7A43A2A0">
            <w:pPr>
              <w:rPr>
                <w:lang w:bidi="ar"/>
              </w:rPr>
            </w:pPr>
            <w:r>
              <w:rPr>
                <w:rFonts w:hint="eastAsia"/>
                <w:lang w:bidi="ar"/>
              </w:rPr>
              <w:t>鱼类环境DNA</w:t>
            </w:r>
          </w:p>
        </w:tc>
      </w:tr>
      <w:tr w14:paraId="3E1320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2F4DA97A">
            <w:pPr>
              <w:rPr>
                <w:lang w:bidi="ar"/>
              </w:rPr>
            </w:pPr>
            <w:r>
              <w:rPr>
                <w:rFonts w:hint="eastAsia"/>
                <w:lang w:bidi="ar"/>
              </w:rPr>
              <w:t>YQW06</w:t>
            </w:r>
          </w:p>
        </w:tc>
        <w:tc>
          <w:tcPr>
            <w:tcW w:w="0" w:type="auto"/>
            <w:tcBorders>
              <w:tl2br w:val="nil"/>
              <w:tr2bl w:val="nil"/>
            </w:tcBorders>
            <w:shd w:val="clear" w:color="auto" w:fill="auto"/>
            <w:noWrap/>
            <w:vAlign w:val="bottom"/>
          </w:tcPr>
          <w:p w14:paraId="35E52B58">
            <w:pPr>
              <w:rPr>
                <w:lang w:bidi="ar"/>
              </w:rPr>
            </w:pPr>
            <w:r>
              <w:rPr>
                <w:rFonts w:hint="eastAsia"/>
                <w:lang w:bidi="ar"/>
              </w:rPr>
              <w:t>121.1022</w:t>
            </w:r>
          </w:p>
        </w:tc>
        <w:tc>
          <w:tcPr>
            <w:tcW w:w="0" w:type="auto"/>
            <w:tcBorders>
              <w:tl2br w:val="nil"/>
              <w:tr2bl w:val="nil"/>
            </w:tcBorders>
            <w:shd w:val="clear" w:color="auto" w:fill="auto"/>
            <w:noWrap/>
            <w:vAlign w:val="bottom"/>
          </w:tcPr>
          <w:p w14:paraId="5EAAB82E">
            <w:pPr>
              <w:rPr>
                <w:lang w:bidi="ar"/>
              </w:rPr>
            </w:pPr>
            <w:r>
              <w:rPr>
                <w:rFonts w:hint="eastAsia"/>
                <w:lang w:bidi="ar"/>
              </w:rPr>
              <w:t>27.9322</w:t>
            </w:r>
          </w:p>
        </w:tc>
        <w:tc>
          <w:tcPr>
            <w:tcW w:w="0" w:type="auto"/>
            <w:tcBorders>
              <w:tl2br w:val="nil"/>
              <w:tr2bl w:val="nil"/>
            </w:tcBorders>
            <w:shd w:val="clear" w:color="auto" w:fill="auto"/>
            <w:noWrap/>
            <w:vAlign w:val="bottom"/>
          </w:tcPr>
          <w:p w14:paraId="6131DC42">
            <w:pPr>
              <w:rPr>
                <w:lang w:bidi="ar"/>
              </w:rPr>
            </w:pPr>
            <w:r>
              <w:rPr>
                <w:rFonts w:hint="eastAsia"/>
                <w:lang w:bidi="ar"/>
              </w:rPr>
              <w:t>鱼类环境DNA</w:t>
            </w:r>
          </w:p>
        </w:tc>
      </w:tr>
      <w:tr w14:paraId="45ECEB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13C1E681">
            <w:pPr>
              <w:rPr>
                <w:lang w:bidi="ar"/>
              </w:rPr>
            </w:pPr>
            <w:r>
              <w:rPr>
                <w:rFonts w:hint="eastAsia"/>
                <w:lang w:bidi="ar"/>
              </w:rPr>
              <w:t>YQW07</w:t>
            </w:r>
          </w:p>
        </w:tc>
        <w:tc>
          <w:tcPr>
            <w:tcW w:w="0" w:type="auto"/>
            <w:tcBorders>
              <w:tl2br w:val="nil"/>
              <w:tr2bl w:val="nil"/>
            </w:tcBorders>
            <w:shd w:val="clear" w:color="auto" w:fill="auto"/>
            <w:noWrap/>
            <w:vAlign w:val="bottom"/>
          </w:tcPr>
          <w:p w14:paraId="7475D152">
            <w:pPr>
              <w:rPr>
                <w:lang w:bidi="ar"/>
              </w:rPr>
            </w:pPr>
            <w:r>
              <w:rPr>
                <w:lang w:bidi="ar"/>
              </w:rPr>
              <w:t>120.939</w:t>
            </w:r>
            <w:r>
              <w:rPr>
                <w:rFonts w:hint="eastAsia"/>
                <w:lang w:bidi="ar"/>
              </w:rPr>
              <w:t>1</w:t>
            </w:r>
          </w:p>
        </w:tc>
        <w:tc>
          <w:tcPr>
            <w:tcW w:w="0" w:type="auto"/>
            <w:tcBorders>
              <w:tl2br w:val="nil"/>
              <w:tr2bl w:val="nil"/>
            </w:tcBorders>
            <w:shd w:val="clear" w:color="auto" w:fill="auto"/>
            <w:noWrap/>
            <w:vAlign w:val="bottom"/>
          </w:tcPr>
          <w:p w14:paraId="1667899F">
            <w:pPr>
              <w:rPr>
                <w:lang w:bidi="ar"/>
              </w:rPr>
            </w:pPr>
            <w:r>
              <w:rPr>
                <w:lang w:bidi="ar"/>
              </w:rPr>
              <w:t>27.8678</w:t>
            </w:r>
          </w:p>
        </w:tc>
        <w:tc>
          <w:tcPr>
            <w:tcW w:w="0" w:type="auto"/>
            <w:tcBorders>
              <w:tl2br w:val="nil"/>
              <w:tr2bl w:val="nil"/>
            </w:tcBorders>
            <w:shd w:val="clear" w:color="auto" w:fill="auto"/>
            <w:noWrap/>
            <w:vAlign w:val="bottom"/>
          </w:tcPr>
          <w:p w14:paraId="228FE46E">
            <w:pPr>
              <w:rPr>
                <w:lang w:bidi="ar"/>
              </w:rPr>
            </w:pPr>
            <w:r>
              <w:rPr>
                <w:rFonts w:hint="eastAsia"/>
                <w:lang w:bidi="ar"/>
              </w:rPr>
              <w:t>鱼类环境DNA</w:t>
            </w:r>
          </w:p>
        </w:tc>
      </w:tr>
      <w:tr w14:paraId="321D45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6F819640">
            <w:pPr>
              <w:rPr>
                <w:lang w:bidi="ar"/>
              </w:rPr>
            </w:pPr>
            <w:r>
              <w:rPr>
                <w:rFonts w:hint="eastAsia"/>
                <w:lang w:bidi="ar"/>
              </w:rPr>
              <w:t>YQW08</w:t>
            </w:r>
          </w:p>
        </w:tc>
        <w:tc>
          <w:tcPr>
            <w:tcW w:w="0" w:type="auto"/>
            <w:tcBorders>
              <w:tl2br w:val="nil"/>
              <w:tr2bl w:val="nil"/>
            </w:tcBorders>
            <w:shd w:val="clear" w:color="auto" w:fill="auto"/>
            <w:noWrap/>
            <w:vAlign w:val="bottom"/>
          </w:tcPr>
          <w:p w14:paraId="581E2DC7">
            <w:pPr>
              <w:rPr>
                <w:lang w:bidi="ar"/>
              </w:rPr>
            </w:pPr>
            <w:r>
              <w:rPr>
                <w:rFonts w:hint="eastAsia"/>
                <w:lang w:bidi="ar"/>
              </w:rPr>
              <w:t>121.0000</w:t>
            </w:r>
          </w:p>
        </w:tc>
        <w:tc>
          <w:tcPr>
            <w:tcW w:w="0" w:type="auto"/>
            <w:tcBorders>
              <w:tl2br w:val="nil"/>
              <w:tr2bl w:val="nil"/>
            </w:tcBorders>
            <w:shd w:val="clear" w:color="auto" w:fill="auto"/>
            <w:noWrap/>
            <w:vAlign w:val="bottom"/>
          </w:tcPr>
          <w:p w14:paraId="330BB437">
            <w:pPr>
              <w:rPr>
                <w:lang w:bidi="ar"/>
              </w:rPr>
            </w:pPr>
            <w:r>
              <w:rPr>
                <w:rFonts w:hint="eastAsia"/>
                <w:lang w:bidi="ar"/>
              </w:rPr>
              <w:t>27.7778</w:t>
            </w:r>
          </w:p>
        </w:tc>
        <w:tc>
          <w:tcPr>
            <w:tcW w:w="0" w:type="auto"/>
            <w:tcBorders>
              <w:tl2br w:val="nil"/>
              <w:tr2bl w:val="nil"/>
            </w:tcBorders>
            <w:shd w:val="clear" w:color="auto" w:fill="auto"/>
            <w:noWrap/>
            <w:vAlign w:val="bottom"/>
          </w:tcPr>
          <w:p w14:paraId="1C373C49">
            <w:pPr>
              <w:rPr>
                <w:lang w:bidi="ar"/>
              </w:rPr>
            </w:pPr>
            <w:r>
              <w:rPr>
                <w:rFonts w:hint="eastAsia"/>
                <w:lang w:bidi="ar"/>
              </w:rPr>
              <w:t>鱼类环境DNA</w:t>
            </w:r>
          </w:p>
        </w:tc>
      </w:tr>
      <w:tr w14:paraId="6D060E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01D1CD23">
            <w:pPr>
              <w:rPr>
                <w:lang w:bidi="ar"/>
              </w:rPr>
            </w:pPr>
            <w:r>
              <w:rPr>
                <w:rFonts w:hint="eastAsia"/>
                <w:lang w:bidi="ar"/>
              </w:rPr>
              <w:t>YQW09</w:t>
            </w:r>
          </w:p>
        </w:tc>
        <w:tc>
          <w:tcPr>
            <w:tcW w:w="0" w:type="auto"/>
            <w:tcBorders>
              <w:tl2br w:val="nil"/>
              <w:tr2bl w:val="nil"/>
            </w:tcBorders>
            <w:shd w:val="clear" w:color="auto" w:fill="auto"/>
            <w:noWrap/>
            <w:vAlign w:val="bottom"/>
          </w:tcPr>
          <w:p w14:paraId="01588D67">
            <w:pPr>
              <w:rPr>
                <w:lang w:bidi="ar"/>
              </w:rPr>
            </w:pPr>
            <w:r>
              <w:rPr>
                <w:rFonts w:hint="eastAsia"/>
                <w:lang w:bidi="ar"/>
              </w:rPr>
              <w:t>121.2333</w:t>
            </w:r>
          </w:p>
        </w:tc>
        <w:tc>
          <w:tcPr>
            <w:tcW w:w="0" w:type="auto"/>
            <w:tcBorders>
              <w:tl2br w:val="nil"/>
              <w:tr2bl w:val="nil"/>
            </w:tcBorders>
            <w:shd w:val="clear" w:color="auto" w:fill="auto"/>
            <w:noWrap/>
            <w:vAlign w:val="bottom"/>
          </w:tcPr>
          <w:p w14:paraId="4CE36FF1">
            <w:pPr>
              <w:rPr>
                <w:lang w:bidi="ar"/>
              </w:rPr>
            </w:pPr>
            <w:r>
              <w:rPr>
                <w:rFonts w:hint="eastAsia"/>
                <w:lang w:bidi="ar"/>
              </w:rPr>
              <w:t>27.8167</w:t>
            </w:r>
          </w:p>
        </w:tc>
        <w:tc>
          <w:tcPr>
            <w:tcW w:w="0" w:type="auto"/>
            <w:tcBorders>
              <w:tl2br w:val="nil"/>
              <w:tr2bl w:val="nil"/>
            </w:tcBorders>
            <w:shd w:val="clear" w:color="auto" w:fill="auto"/>
            <w:noWrap/>
            <w:vAlign w:val="bottom"/>
          </w:tcPr>
          <w:p w14:paraId="05E7EAF4">
            <w:pPr>
              <w:rPr>
                <w:lang w:bidi="ar"/>
              </w:rPr>
            </w:pPr>
            <w:r>
              <w:rPr>
                <w:rFonts w:hint="eastAsia"/>
                <w:lang w:bidi="ar"/>
              </w:rPr>
              <w:t>鱼类环境DNA</w:t>
            </w:r>
          </w:p>
        </w:tc>
      </w:tr>
      <w:tr w14:paraId="0993A8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61014002">
            <w:pPr>
              <w:rPr>
                <w:lang w:bidi="ar"/>
              </w:rPr>
            </w:pPr>
            <w:r>
              <w:rPr>
                <w:rFonts w:hint="eastAsia"/>
                <w:lang w:bidi="ar"/>
              </w:rPr>
              <w:t>YQW10</w:t>
            </w:r>
          </w:p>
        </w:tc>
        <w:tc>
          <w:tcPr>
            <w:tcW w:w="0" w:type="auto"/>
            <w:tcBorders>
              <w:tl2br w:val="nil"/>
              <w:tr2bl w:val="nil"/>
            </w:tcBorders>
            <w:shd w:val="clear" w:color="auto" w:fill="auto"/>
            <w:noWrap/>
            <w:vAlign w:val="bottom"/>
          </w:tcPr>
          <w:p w14:paraId="526A03D2">
            <w:pPr>
              <w:rPr>
                <w:lang w:bidi="ar"/>
              </w:rPr>
            </w:pPr>
            <w:r>
              <w:rPr>
                <w:rFonts w:hint="eastAsia"/>
                <w:lang w:bidi="ar"/>
              </w:rPr>
              <w:t>121.2922</w:t>
            </w:r>
          </w:p>
        </w:tc>
        <w:tc>
          <w:tcPr>
            <w:tcW w:w="0" w:type="auto"/>
            <w:tcBorders>
              <w:tl2br w:val="nil"/>
              <w:tr2bl w:val="nil"/>
            </w:tcBorders>
            <w:shd w:val="clear" w:color="auto" w:fill="auto"/>
            <w:noWrap/>
            <w:vAlign w:val="bottom"/>
          </w:tcPr>
          <w:p w14:paraId="2CCF2326">
            <w:pPr>
              <w:rPr>
                <w:lang w:bidi="ar"/>
              </w:rPr>
            </w:pPr>
            <w:r>
              <w:rPr>
                <w:rFonts w:hint="eastAsia"/>
                <w:lang w:bidi="ar"/>
              </w:rPr>
              <w:t>28.0383</w:t>
            </w:r>
          </w:p>
        </w:tc>
        <w:tc>
          <w:tcPr>
            <w:tcW w:w="0" w:type="auto"/>
            <w:tcBorders>
              <w:tl2br w:val="nil"/>
              <w:tr2bl w:val="nil"/>
            </w:tcBorders>
            <w:shd w:val="clear" w:color="auto" w:fill="auto"/>
            <w:noWrap/>
            <w:vAlign w:val="bottom"/>
          </w:tcPr>
          <w:p w14:paraId="1BD449E1">
            <w:pPr>
              <w:rPr>
                <w:lang w:bidi="ar"/>
              </w:rPr>
            </w:pPr>
            <w:r>
              <w:rPr>
                <w:rFonts w:hint="eastAsia"/>
                <w:lang w:bidi="ar"/>
              </w:rPr>
              <w:t>鱼类环境DNA</w:t>
            </w:r>
          </w:p>
        </w:tc>
      </w:tr>
      <w:tr w14:paraId="4E99AD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3BF5260A">
            <w:pPr>
              <w:rPr>
                <w:lang w:bidi="ar"/>
              </w:rPr>
            </w:pPr>
            <w:r>
              <w:rPr>
                <w:rFonts w:hint="eastAsia"/>
                <w:lang w:bidi="ar"/>
              </w:rPr>
              <w:t>YQW11</w:t>
            </w:r>
          </w:p>
        </w:tc>
        <w:tc>
          <w:tcPr>
            <w:tcW w:w="0" w:type="auto"/>
            <w:tcBorders>
              <w:tl2br w:val="nil"/>
              <w:tr2bl w:val="nil"/>
            </w:tcBorders>
            <w:shd w:val="clear" w:color="auto" w:fill="auto"/>
            <w:noWrap/>
            <w:vAlign w:val="bottom"/>
          </w:tcPr>
          <w:p w14:paraId="7163CFEC">
            <w:pPr>
              <w:rPr>
                <w:lang w:bidi="ar"/>
              </w:rPr>
            </w:pPr>
            <w:r>
              <w:rPr>
                <w:lang w:bidi="ar"/>
              </w:rPr>
              <w:t>121.3131</w:t>
            </w:r>
          </w:p>
        </w:tc>
        <w:tc>
          <w:tcPr>
            <w:tcW w:w="0" w:type="auto"/>
            <w:tcBorders>
              <w:tl2br w:val="nil"/>
              <w:tr2bl w:val="nil"/>
            </w:tcBorders>
            <w:shd w:val="clear" w:color="auto" w:fill="auto"/>
            <w:noWrap/>
            <w:vAlign w:val="bottom"/>
          </w:tcPr>
          <w:p w14:paraId="78CD839F">
            <w:pPr>
              <w:rPr>
                <w:lang w:bidi="ar"/>
              </w:rPr>
            </w:pPr>
            <w:r>
              <w:rPr>
                <w:lang w:bidi="ar"/>
              </w:rPr>
              <w:t>28.1254</w:t>
            </w:r>
          </w:p>
        </w:tc>
        <w:tc>
          <w:tcPr>
            <w:tcW w:w="0" w:type="auto"/>
            <w:tcBorders>
              <w:tl2br w:val="nil"/>
              <w:tr2bl w:val="nil"/>
            </w:tcBorders>
            <w:shd w:val="clear" w:color="auto" w:fill="auto"/>
            <w:noWrap/>
            <w:vAlign w:val="bottom"/>
          </w:tcPr>
          <w:p w14:paraId="0FEB7CFD">
            <w:pPr>
              <w:rPr>
                <w:lang w:bidi="ar"/>
              </w:rPr>
            </w:pPr>
            <w:r>
              <w:rPr>
                <w:rFonts w:hint="eastAsia"/>
                <w:lang w:bidi="ar"/>
              </w:rPr>
              <w:t>鱼类环境DNA</w:t>
            </w:r>
          </w:p>
        </w:tc>
      </w:tr>
      <w:tr w14:paraId="0BE064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759CC7B5">
            <w:pPr>
              <w:rPr>
                <w:lang w:bidi="ar"/>
              </w:rPr>
            </w:pPr>
            <w:r>
              <w:rPr>
                <w:rFonts w:hint="eastAsia"/>
                <w:lang w:bidi="ar"/>
              </w:rPr>
              <w:t>YQW12</w:t>
            </w:r>
          </w:p>
        </w:tc>
        <w:tc>
          <w:tcPr>
            <w:tcW w:w="0" w:type="auto"/>
            <w:tcBorders>
              <w:tl2br w:val="nil"/>
              <w:tr2bl w:val="nil"/>
            </w:tcBorders>
            <w:shd w:val="clear" w:color="auto" w:fill="auto"/>
            <w:noWrap/>
            <w:vAlign w:val="bottom"/>
          </w:tcPr>
          <w:p w14:paraId="570AA214">
            <w:pPr>
              <w:rPr>
                <w:lang w:bidi="ar"/>
              </w:rPr>
            </w:pPr>
            <w:r>
              <w:rPr>
                <w:rFonts w:hint="eastAsia"/>
                <w:lang w:bidi="ar"/>
              </w:rPr>
              <w:t>121.4750</w:t>
            </w:r>
          </w:p>
        </w:tc>
        <w:tc>
          <w:tcPr>
            <w:tcW w:w="0" w:type="auto"/>
            <w:tcBorders>
              <w:tl2br w:val="nil"/>
              <w:tr2bl w:val="nil"/>
            </w:tcBorders>
            <w:shd w:val="clear" w:color="auto" w:fill="auto"/>
            <w:noWrap/>
            <w:vAlign w:val="bottom"/>
          </w:tcPr>
          <w:p w14:paraId="39D7E604">
            <w:pPr>
              <w:rPr>
                <w:lang w:bidi="ar"/>
              </w:rPr>
            </w:pPr>
            <w:r>
              <w:rPr>
                <w:rFonts w:hint="eastAsia"/>
                <w:lang w:bidi="ar"/>
              </w:rPr>
              <w:t>28.0850</w:t>
            </w:r>
          </w:p>
        </w:tc>
        <w:tc>
          <w:tcPr>
            <w:tcW w:w="0" w:type="auto"/>
            <w:tcBorders>
              <w:tl2br w:val="nil"/>
              <w:tr2bl w:val="nil"/>
            </w:tcBorders>
            <w:shd w:val="clear" w:color="auto" w:fill="auto"/>
            <w:noWrap/>
            <w:vAlign w:val="bottom"/>
          </w:tcPr>
          <w:p w14:paraId="029025CA">
            <w:pPr>
              <w:rPr>
                <w:lang w:bidi="ar"/>
              </w:rPr>
            </w:pPr>
            <w:r>
              <w:rPr>
                <w:rFonts w:hint="eastAsia"/>
                <w:lang w:bidi="ar"/>
              </w:rPr>
              <w:t>鱼类环境DNA</w:t>
            </w:r>
          </w:p>
        </w:tc>
      </w:tr>
      <w:tr w14:paraId="093D76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l2br w:val="nil"/>
              <w:tr2bl w:val="nil"/>
            </w:tcBorders>
            <w:shd w:val="clear" w:color="auto" w:fill="auto"/>
            <w:noWrap/>
            <w:vAlign w:val="center"/>
          </w:tcPr>
          <w:p w14:paraId="61B45A37">
            <w:pPr>
              <w:rPr>
                <w:lang w:bidi="ar"/>
              </w:rPr>
            </w:pPr>
            <w:r>
              <w:rPr>
                <w:rFonts w:hint="eastAsia"/>
                <w:lang w:bidi="ar"/>
              </w:rPr>
              <w:t>YQW13</w:t>
            </w:r>
          </w:p>
        </w:tc>
        <w:tc>
          <w:tcPr>
            <w:tcW w:w="0" w:type="auto"/>
            <w:tcBorders>
              <w:tl2br w:val="nil"/>
              <w:tr2bl w:val="nil"/>
            </w:tcBorders>
            <w:shd w:val="clear" w:color="auto" w:fill="auto"/>
            <w:noWrap/>
            <w:vAlign w:val="bottom"/>
          </w:tcPr>
          <w:p w14:paraId="6F09C132">
            <w:pPr>
              <w:rPr>
                <w:lang w:bidi="ar"/>
              </w:rPr>
            </w:pPr>
            <w:r>
              <w:rPr>
                <w:rFonts w:hint="eastAsia"/>
                <w:lang w:bidi="ar"/>
              </w:rPr>
              <w:t>121.502</w:t>
            </w:r>
            <w:r>
              <w:rPr>
                <w:lang w:bidi="ar"/>
              </w:rPr>
              <w:t>0</w:t>
            </w:r>
          </w:p>
        </w:tc>
        <w:tc>
          <w:tcPr>
            <w:tcW w:w="0" w:type="auto"/>
            <w:tcBorders>
              <w:tl2br w:val="nil"/>
              <w:tr2bl w:val="nil"/>
            </w:tcBorders>
            <w:shd w:val="clear" w:color="auto" w:fill="auto"/>
            <w:noWrap/>
            <w:vAlign w:val="bottom"/>
          </w:tcPr>
          <w:p w14:paraId="2FF46660">
            <w:pPr>
              <w:rPr>
                <w:lang w:bidi="ar"/>
              </w:rPr>
            </w:pPr>
            <w:r>
              <w:rPr>
                <w:rFonts w:hint="eastAsia"/>
                <w:lang w:bidi="ar"/>
              </w:rPr>
              <w:t>27.8677</w:t>
            </w:r>
          </w:p>
        </w:tc>
        <w:tc>
          <w:tcPr>
            <w:tcW w:w="0" w:type="auto"/>
            <w:tcBorders>
              <w:tl2br w:val="nil"/>
              <w:tr2bl w:val="nil"/>
            </w:tcBorders>
            <w:shd w:val="clear" w:color="auto" w:fill="auto"/>
            <w:noWrap/>
            <w:vAlign w:val="bottom"/>
          </w:tcPr>
          <w:p w14:paraId="035BD231">
            <w:pPr>
              <w:rPr>
                <w:lang w:bidi="ar"/>
              </w:rPr>
            </w:pPr>
            <w:r>
              <w:rPr>
                <w:rFonts w:hint="eastAsia"/>
                <w:lang w:bidi="ar"/>
              </w:rPr>
              <w:t>鱼类环境DNA</w:t>
            </w:r>
          </w:p>
        </w:tc>
      </w:tr>
    </w:tbl>
    <w:p w14:paraId="270DCF3D">
      <w:pPr>
        <w:spacing w:line="360" w:lineRule="auto"/>
        <w:ind w:firstLine="420"/>
        <w:rPr>
          <w:rFonts w:ascii="Times New Roman" w:hAnsi="Times New Roman" w:cs="Times New Roman"/>
          <w:color w:val="000000"/>
        </w:rPr>
      </w:pPr>
      <w:r>
        <w:rPr>
          <w:rFonts w:hint="eastAsia" w:ascii="Times New Roman" w:hAnsi="Times New Roman" w:cs="Times New Roman"/>
          <w:color w:val="000000"/>
        </w:rPr>
        <w:t>工作要求</w:t>
      </w:r>
    </w:p>
    <w:p w14:paraId="5AA97723">
      <w:pPr>
        <w:rPr>
          <w:rFonts w:hint="eastAsia" w:ascii="Times New Roman" w:hAnsi="Times New Roman" w:eastAsia="宋体" w:cs="Times New Roman"/>
          <w:color w:val="000000"/>
          <w:kern w:val="2"/>
          <w:sz w:val="21"/>
          <w:szCs w:val="21"/>
          <w:lang w:val="zh-CN" w:eastAsia="zh-Hans" w:bidi="ar-SA"/>
        </w:rPr>
      </w:pPr>
      <w:r>
        <w:rPr>
          <w:rFonts w:hint="eastAsia" w:ascii="Times New Roman" w:hAnsi="Times New Roman" w:eastAsia="宋体" w:cs="Times New Roman"/>
          <w:color w:val="000000"/>
          <w:kern w:val="2"/>
          <w:sz w:val="21"/>
          <w:szCs w:val="21"/>
          <w:lang w:val="zh-CN" w:eastAsia="zh-Hans" w:bidi="ar-SA"/>
        </w:rPr>
        <w:t>2.1 投标人应按照服务具体要求的内容和时间期限开展约定调查研究，提供针对本服务内容的详细实施方案、实施计划、服务质量保证措施。实施方案需包括（但不限于）现场采样、水样前处理、DNA提取、PCR扩增、高通量测序、生物信息学分析、质量保证与质量控制等。</w:t>
      </w:r>
    </w:p>
    <w:p w14:paraId="3FC0655A">
      <w:pPr>
        <w:rPr>
          <w:rFonts w:hint="eastAsia" w:ascii="Times New Roman" w:hAnsi="Times New Roman" w:eastAsia="宋体" w:cs="Times New Roman"/>
          <w:color w:val="000000"/>
          <w:kern w:val="2"/>
          <w:sz w:val="21"/>
          <w:szCs w:val="21"/>
          <w:lang w:val="zh-CN" w:eastAsia="zh-Hans" w:bidi="ar-SA"/>
        </w:rPr>
      </w:pPr>
      <w:r>
        <w:rPr>
          <w:rFonts w:hint="eastAsia" w:ascii="Times New Roman" w:hAnsi="Times New Roman" w:eastAsia="宋体" w:cs="Times New Roman"/>
          <w:color w:val="000000"/>
          <w:kern w:val="2"/>
          <w:sz w:val="21"/>
          <w:szCs w:val="21"/>
          <w:lang w:val="zh-CN" w:eastAsia="zh-Hans" w:bidi="ar-SA"/>
        </w:rPr>
        <w:t>2.2 投标人应对项目产生的全部数据提供存储和备份服务，数据分析完后移交给采购人。</w:t>
      </w:r>
    </w:p>
    <w:p w14:paraId="6D84E312">
      <w:pPr>
        <w:pStyle w:val="10"/>
        <w:rPr>
          <w:rFonts w:hint="eastAsia"/>
          <w:lang w:val="zh-CN" w:eastAsia="zh-Hans"/>
        </w:rPr>
      </w:pPr>
    </w:p>
    <w:p w14:paraId="149C1177">
      <w:pPr>
        <w:jc w:val="center"/>
      </w:pPr>
      <w:r>
        <w:t>表</w:t>
      </w:r>
      <w:r>
        <w:fldChar w:fldCharType="begin"/>
      </w:r>
      <w:r>
        <w:instrText xml:space="preserve"> SEQ 表 \* ARABIC </w:instrText>
      </w:r>
      <w:r>
        <w:fldChar w:fldCharType="separate"/>
      </w:r>
      <w:r>
        <w:t>2</w:t>
      </w:r>
      <w:r>
        <w:fldChar w:fldCharType="end"/>
      </w:r>
      <w:r>
        <w:rPr>
          <w:rFonts w:hint="eastAsia"/>
        </w:rPr>
        <w:t xml:space="preserve"> 杭州湾</w:t>
      </w:r>
      <w:r>
        <w:rPr>
          <w:rFonts w:hint="eastAsia"/>
          <w:lang w:eastAsia="zh-Hans"/>
        </w:rPr>
        <w:t>、乐清湾</w:t>
      </w:r>
      <w:r>
        <w:rPr>
          <w:rFonts w:hint="eastAsia"/>
        </w:rPr>
        <w:t>环境DNA（鱼类、中华鲟）监测要求</w:t>
      </w:r>
      <w:r>
        <w:t>一览表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592"/>
        <w:gridCol w:w="4267"/>
        <w:gridCol w:w="1324"/>
      </w:tblGrid>
      <w:tr w14:paraId="26264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339" w:type="dxa"/>
            <w:noWrap/>
            <w:vAlign w:val="center"/>
          </w:tcPr>
          <w:p w14:paraId="31DC8DBD">
            <w:pPr>
              <w:pStyle w:val="111"/>
              <w:adjustRightInd w:val="0"/>
              <w:snapToGrid w:val="0"/>
              <w:ind w:firstLine="0" w:firstLineChars="0"/>
              <w:jc w:val="center"/>
              <w:rPr>
                <w:rFonts w:hint="eastAsia" w:ascii="Times New Roman" w:hAnsi="Times New Roman" w:eastAsia="宋体" w:cs="Times New Roman"/>
                <w:color w:val="000000"/>
                <w:kern w:val="2"/>
                <w:sz w:val="21"/>
                <w:szCs w:val="21"/>
                <w:lang w:val="zh-CN" w:eastAsia="zh-Hans" w:bidi="ar-SA"/>
              </w:rPr>
            </w:pPr>
            <w:r>
              <w:rPr>
                <w:rFonts w:hint="eastAsia" w:ascii="Times New Roman" w:hAnsi="Times New Roman" w:eastAsia="宋体" w:cs="Times New Roman"/>
                <w:color w:val="000000"/>
                <w:kern w:val="2"/>
                <w:sz w:val="21"/>
                <w:szCs w:val="21"/>
                <w:lang w:val="zh-CN" w:eastAsia="zh-Hans" w:bidi="ar-SA"/>
              </w:rPr>
              <w:t>项目名称</w:t>
            </w:r>
          </w:p>
        </w:tc>
        <w:tc>
          <w:tcPr>
            <w:tcW w:w="1592" w:type="dxa"/>
            <w:noWrap/>
            <w:vAlign w:val="center"/>
          </w:tcPr>
          <w:p w14:paraId="4753DCF6">
            <w:pPr>
              <w:pStyle w:val="111"/>
              <w:adjustRightInd w:val="0"/>
              <w:snapToGrid w:val="0"/>
              <w:ind w:firstLine="0" w:firstLineChars="0"/>
              <w:jc w:val="center"/>
              <w:rPr>
                <w:rFonts w:hint="eastAsia" w:ascii="Times New Roman" w:hAnsi="Times New Roman" w:eastAsia="宋体" w:cs="Times New Roman"/>
                <w:color w:val="000000"/>
                <w:kern w:val="2"/>
                <w:sz w:val="21"/>
                <w:szCs w:val="21"/>
                <w:lang w:val="zh-CN" w:eastAsia="zh-Hans" w:bidi="ar-SA"/>
              </w:rPr>
            </w:pPr>
            <w:r>
              <w:rPr>
                <w:rFonts w:hint="eastAsia" w:ascii="Times New Roman" w:hAnsi="Times New Roman" w:eastAsia="宋体" w:cs="Times New Roman"/>
                <w:color w:val="000000"/>
                <w:kern w:val="2"/>
                <w:sz w:val="21"/>
                <w:szCs w:val="21"/>
                <w:lang w:val="zh-CN" w:eastAsia="zh-Hans" w:bidi="ar-SA"/>
              </w:rPr>
              <w:t>站位</w:t>
            </w:r>
          </w:p>
        </w:tc>
        <w:tc>
          <w:tcPr>
            <w:tcW w:w="4267" w:type="dxa"/>
            <w:noWrap/>
            <w:vAlign w:val="center"/>
          </w:tcPr>
          <w:p w14:paraId="45271435">
            <w:pPr>
              <w:pStyle w:val="111"/>
              <w:adjustRightInd w:val="0"/>
              <w:snapToGrid w:val="0"/>
              <w:ind w:firstLine="0" w:firstLineChars="0"/>
              <w:jc w:val="center"/>
              <w:rPr>
                <w:rFonts w:hint="eastAsia" w:ascii="Times New Roman" w:hAnsi="Times New Roman" w:eastAsia="宋体" w:cs="Times New Roman"/>
                <w:color w:val="000000"/>
                <w:kern w:val="2"/>
                <w:sz w:val="21"/>
                <w:szCs w:val="21"/>
                <w:lang w:val="zh-CN" w:eastAsia="zh-Hans" w:bidi="ar-SA"/>
              </w:rPr>
            </w:pPr>
            <w:r>
              <w:rPr>
                <w:rFonts w:hint="eastAsia" w:ascii="Times New Roman" w:hAnsi="Times New Roman" w:eastAsia="宋体" w:cs="Times New Roman"/>
                <w:color w:val="000000"/>
                <w:kern w:val="2"/>
                <w:sz w:val="21"/>
                <w:szCs w:val="21"/>
                <w:lang w:val="zh-CN" w:eastAsia="zh-Hans" w:bidi="ar-SA"/>
              </w:rPr>
              <w:t>项目要素</w:t>
            </w:r>
          </w:p>
        </w:tc>
        <w:tc>
          <w:tcPr>
            <w:tcW w:w="1324" w:type="dxa"/>
            <w:noWrap/>
            <w:vAlign w:val="center"/>
          </w:tcPr>
          <w:p w14:paraId="54916C6F">
            <w:pPr>
              <w:pStyle w:val="111"/>
              <w:adjustRightInd w:val="0"/>
              <w:snapToGrid w:val="0"/>
              <w:ind w:firstLine="0" w:firstLineChars="0"/>
              <w:jc w:val="center"/>
              <w:rPr>
                <w:rFonts w:hint="eastAsia" w:ascii="Times New Roman" w:hAnsi="Times New Roman" w:eastAsia="宋体" w:cs="Times New Roman"/>
                <w:color w:val="000000"/>
                <w:kern w:val="2"/>
                <w:sz w:val="21"/>
                <w:szCs w:val="21"/>
                <w:lang w:val="zh-CN" w:eastAsia="zh-Hans" w:bidi="ar-SA"/>
              </w:rPr>
            </w:pPr>
            <w:r>
              <w:rPr>
                <w:rFonts w:hint="eastAsia" w:ascii="Times New Roman" w:hAnsi="Times New Roman" w:eastAsia="宋体" w:cs="Times New Roman"/>
                <w:color w:val="000000"/>
                <w:kern w:val="2"/>
                <w:sz w:val="21"/>
                <w:szCs w:val="21"/>
                <w:lang w:val="zh-CN" w:eastAsia="zh-Hans" w:bidi="ar-SA"/>
              </w:rPr>
              <w:t>监测周期</w:t>
            </w:r>
          </w:p>
        </w:tc>
      </w:tr>
      <w:tr w14:paraId="57187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39" w:type="dxa"/>
            <w:vMerge w:val="restart"/>
            <w:noWrap/>
            <w:vAlign w:val="center"/>
          </w:tcPr>
          <w:p w14:paraId="07506B47">
            <w:pPr>
              <w:pStyle w:val="111"/>
              <w:adjustRightInd w:val="0"/>
              <w:snapToGrid w:val="0"/>
              <w:ind w:firstLine="0" w:firstLineChars="0"/>
              <w:jc w:val="center"/>
              <w:rPr>
                <w:rFonts w:hint="eastAsia" w:ascii="Times New Roman" w:hAnsi="Times New Roman" w:eastAsia="宋体" w:cs="Times New Roman"/>
                <w:color w:val="000000"/>
                <w:kern w:val="2"/>
                <w:sz w:val="21"/>
                <w:szCs w:val="21"/>
                <w:lang w:val="zh-CN" w:eastAsia="zh-Hans" w:bidi="ar-SA"/>
              </w:rPr>
            </w:pPr>
            <w:r>
              <w:rPr>
                <w:rFonts w:hint="eastAsia" w:ascii="Times New Roman" w:hAnsi="Times New Roman" w:eastAsia="宋体" w:cs="Times New Roman"/>
                <w:color w:val="000000"/>
                <w:kern w:val="2"/>
                <w:sz w:val="21"/>
                <w:szCs w:val="21"/>
                <w:lang w:val="zh-CN" w:eastAsia="zh-Hans" w:bidi="ar-SA"/>
              </w:rPr>
              <w:t>杭州湾、乐清湾环境DNA（鱼类、中华鲟）多样性调查项目</w:t>
            </w:r>
          </w:p>
        </w:tc>
        <w:tc>
          <w:tcPr>
            <w:tcW w:w="1592" w:type="dxa"/>
            <w:vMerge w:val="restart"/>
            <w:noWrap/>
            <w:vAlign w:val="center"/>
          </w:tcPr>
          <w:p w14:paraId="0AF35F77">
            <w:pPr>
              <w:pStyle w:val="111"/>
              <w:adjustRightInd w:val="0"/>
              <w:snapToGrid w:val="0"/>
              <w:ind w:firstLine="0" w:firstLineChars="0"/>
              <w:jc w:val="center"/>
              <w:rPr>
                <w:rFonts w:hint="eastAsia" w:ascii="Times New Roman" w:hAnsi="Times New Roman" w:eastAsia="宋体" w:cs="Times New Roman"/>
                <w:color w:val="000000"/>
                <w:kern w:val="2"/>
                <w:sz w:val="21"/>
                <w:szCs w:val="21"/>
                <w:lang w:val="zh-CN" w:eastAsia="zh-Hans" w:bidi="ar-SA"/>
              </w:rPr>
            </w:pPr>
            <w:r>
              <w:rPr>
                <w:rFonts w:hint="eastAsia" w:ascii="Times New Roman" w:hAnsi="Times New Roman" w:eastAsia="宋体" w:cs="Times New Roman"/>
                <w:color w:val="000000"/>
                <w:kern w:val="2"/>
                <w:sz w:val="21"/>
                <w:szCs w:val="21"/>
                <w:lang w:val="zh-CN" w:eastAsia="zh-Hans" w:bidi="ar-SA"/>
              </w:rPr>
              <w:t>HZW01-HZW14、YQW01-YQW13</w:t>
            </w:r>
          </w:p>
        </w:tc>
        <w:tc>
          <w:tcPr>
            <w:tcW w:w="4267" w:type="dxa"/>
            <w:noWrap/>
            <w:vAlign w:val="center"/>
          </w:tcPr>
          <w:p w14:paraId="597E8474">
            <w:pPr>
              <w:pStyle w:val="111"/>
              <w:adjustRightInd w:val="0"/>
              <w:snapToGrid w:val="0"/>
              <w:ind w:firstLine="0" w:firstLineChars="0"/>
              <w:jc w:val="left"/>
              <w:rPr>
                <w:rFonts w:hint="eastAsia" w:ascii="Times New Roman" w:hAnsi="Times New Roman" w:eastAsia="宋体" w:cs="Times New Roman"/>
                <w:color w:val="000000"/>
                <w:kern w:val="2"/>
                <w:sz w:val="21"/>
                <w:szCs w:val="21"/>
                <w:lang w:val="zh-CN" w:eastAsia="zh-Hans" w:bidi="ar-SA"/>
              </w:rPr>
            </w:pPr>
            <w:r>
              <w:rPr>
                <w:rFonts w:hint="eastAsia" w:ascii="Times New Roman" w:hAnsi="Times New Roman" w:eastAsia="宋体" w:cs="Times New Roman"/>
                <w:color w:val="000000"/>
                <w:kern w:val="2"/>
                <w:sz w:val="21"/>
                <w:szCs w:val="21"/>
                <w:lang w:val="zh-CN" w:eastAsia="zh-Hans" w:bidi="ar-SA"/>
              </w:rPr>
              <w:t>样本采集：记录点位信息、生境照片、平行样采集和无菌操作等</w:t>
            </w:r>
          </w:p>
        </w:tc>
        <w:tc>
          <w:tcPr>
            <w:tcW w:w="1324" w:type="dxa"/>
            <w:noWrap/>
            <w:vAlign w:val="center"/>
          </w:tcPr>
          <w:p w14:paraId="0A6D221A">
            <w:pPr>
              <w:pStyle w:val="111"/>
              <w:adjustRightInd w:val="0"/>
              <w:snapToGrid w:val="0"/>
              <w:ind w:firstLine="0" w:firstLineChars="0"/>
              <w:jc w:val="center"/>
              <w:rPr>
                <w:rFonts w:hint="eastAsia" w:ascii="Times New Roman" w:hAnsi="Times New Roman" w:eastAsia="宋体" w:cs="Times New Roman"/>
                <w:color w:val="000000"/>
                <w:kern w:val="2"/>
                <w:sz w:val="21"/>
                <w:szCs w:val="21"/>
                <w:lang w:val="zh-CN" w:eastAsia="zh-Hans" w:bidi="ar-SA"/>
              </w:rPr>
            </w:pPr>
            <w:r>
              <w:rPr>
                <w:rFonts w:hint="eastAsia" w:ascii="Times New Roman" w:hAnsi="Times New Roman" w:eastAsia="宋体" w:cs="Times New Roman"/>
                <w:color w:val="000000"/>
                <w:kern w:val="2"/>
                <w:sz w:val="21"/>
                <w:szCs w:val="21"/>
                <w:lang w:val="zh-CN" w:eastAsia="zh-Hans" w:bidi="ar-SA"/>
              </w:rPr>
              <w:t>1周</w:t>
            </w:r>
          </w:p>
        </w:tc>
      </w:tr>
      <w:tr w14:paraId="02CB5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39" w:type="dxa"/>
            <w:vMerge w:val="continue"/>
            <w:noWrap/>
            <w:vAlign w:val="center"/>
          </w:tcPr>
          <w:p w14:paraId="3030F49C">
            <w:pPr>
              <w:pStyle w:val="111"/>
              <w:adjustRightInd w:val="0"/>
              <w:snapToGrid w:val="0"/>
              <w:ind w:firstLine="0" w:firstLineChars="0"/>
              <w:jc w:val="center"/>
              <w:rPr>
                <w:rFonts w:hint="eastAsia" w:ascii="Times New Roman" w:hAnsi="Times New Roman" w:eastAsia="宋体" w:cs="Times New Roman"/>
                <w:color w:val="000000"/>
                <w:kern w:val="2"/>
                <w:sz w:val="21"/>
                <w:szCs w:val="21"/>
                <w:lang w:val="zh-CN" w:eastAsia="zh-Hans" w:bidi="ar-SA"/>
              </w:rPr>
            </w:pPr>
          </w:p>
        </w:tc>
        <w:tc>
          <w:tcPr>
            <w:tcW w:w="1592" w:type="dxa"/>
            <w:vMerge w:val="continue"/>
            <w:noWrap/>
            <w:vAlign w:val="center"/>
          </w:tcPr>
          <w:p w14:paraId="7D06CF63">
            <w:pPr>
              <w:pStyle w:val="111"/>
              <w:adjustRightInd w:val="0"/>
              <w:snapToGrid w:val="0"/>
              <w:ind w:firstLine="0" w:firstLineChars="0"/>
              <w:jc w:val="center"/>
              <w:rPr>
                <w:rFonts w:hint="eastAsia" w:ascii="Times New Roman" w:hAnsi="Times New Roman" w:eastAsia="宋体" w:cs="Times New Roman"/>
                <w:color w:val="000000"/>
                <w:kern w:val="2"/>
                <w:sz w:val="21"/>
                <w:szCs w:val="21"/>
                <w:lang w:val="zh-CN" w:eastAsia="zh-Hans" w:bidi="ar-SA"/>
              </w:rPr>
            </w:pPr>
          </w:p>
        </w:tc>
        <w:tc>
          <w:tcPr>
            <w:tcW w:w="4267" w:type="dxa"/>
            <w:noWrap/>
            <w:vAlign w:val="center"/>
          </w:tcPr>
          <w:p w14:paraId="3A08B925">
            <w:pPr>
              <w:pStyle w:val="111"/>
              <w:adjustRightInd w:val="0"/>
              <w:snapToGrid w:val="0"/>
              <w:ind w:firstLine="0" w:firstLineChars="0"/>
              <w:jc w:val="left"/>
              <w:rPr>
                <w:rFonts w:hint="eastAsia" w:ascii="Times New Roman" w:hAnsi="Times New Roman" w:eastAsia="宋体" w:cs="Times New Roman"/>
                <w:color w:val="000000"/>
                <w:kern w:val="2"/>
                <w:sz w:val="21"/>
                <w:szCs w:val="21"/>
                <w:lang w:val="zh-CN" w:eastAsia="zh-Hans" w:bidi="ar-SA"/>
              </w:rPr>
            </w:pPr>
            <w:r>
              <w:rPr>
                <w:rFonts w:hint="eastAsia" w:ascii="Times New Roman" w:hAnsi="Times New Roman" w:eastAsia="宋体" w:cs="Times New Roman"/>
                <w:color w:val="000000"/>
                <w:kern w:val="2"/>
                <w:sz w:val="21"/>
                <w:szCs w:val="21"/>
                <w:lang w:val="zh-CN" w:eastAsia="zh-Hans" w:bidi="ar-SA"/>
              </w:rPr>
              <w:t>实验室分析：DNA提取、PCR扩增、高通量测序等</w:t>
            </w:r>
          </w:p>
        </w:tc>
        <w:tc>
          <w:tcPr>
            <w:tcW w:w="1324" w:type="dxa"/>
            <w:noWrap/>
            <w:vAlign w:val="center"/>
          </w:tcPr>
          <w:p w14:paraId="472EE97D">
            <w:pPr>
              <w:pStyle w:val="111"/>
              <w:adjustRightInd w:val="0"/>
              <w:snapToGrid w:val="0"/>
              <w:ind w:firstLine="0" w:firstLineChars="0"/>
              <w:jc w:val="center"/>
              <w:rPr>
                <w:rFonts w:hint="eastAsia" w:ascii="Times New Roman" w:hAnsi="Times New Roman" w:eastAsia="宋体" w:cs="Times New Roman"/>
                <w:color w:val="000000"/>
                <w:kern w:val="2"/>
                <w:sz w:val="21"/>
                <w:szCs w:val="21"/>
                <w:lang w:val="zh-CN" w:eastAsia="zh-Hans" w:bidi="ar-SA"/>
              </w:rPr>
            </w:pPr>
            <w:r>
              <w:rPr>
                <w:rFonts w:hint="eastAsia" w:ascii="Times New Roman" w:hAnsi="Times New Roman" w:eastAsia="宋体" w:cs="Times New Roman"/>
                <w:color w:val="000000"/>
                <w:kern w:val="2"/>
                <w:sz w:val="21"/>
                <w:szCs w:val="21"/>
                <w:lang w:val="zh-CN" w:eastAsia="zh-Hans" w:bidi="ar-SA"/>
              </w:rPr>
              <w:t>2个月</w:t>
            </w:r>
          </w:p>
        </w:tc>
      </w:tr>
      <w:tr w14:paraId="5A422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339" w:type="dxa"/>
            <w:vMerge w:val="continue"/>
            <w:noWrap/>
            <w:vAlign w:val="center"/>
          </w:tcPr>
          <w:p w14:paraId="74D122AA">
            <w:pPr>
              <w:pStyle w:val="111"/>
              <w:adjustRightInd w:val="0"/>
              <w:snapToGrid w:val="0"/>
              <w:ind w:firstLine="0" w:firstLineChars="0"/>
              <w:jc w:val="center"/>
              <w:rPr>
                <w:rFonts w:hint="eastAsia" w:ascii="Times New Roman" w:hAnsi="Times New Roman" w:eastAsia="宋体" w:cs="Times New Roman"/>
                <w:color w:val="000000"/>
                <w:kern w:val="2"/>
                <w:sz w:val="21"/>
                <w:szCs w:val="21"/>
                <w:lang w:val="zh-CN" w:eastAsia="zh-Hans" w:bidi="ar-SA"/>
              </w:rPr>
            </w:pPr>
          </w:p>
        </w:tc>
        <w:tc>
          <w:tcPr>
            <w:tcW w:w="1592" w:type="dxa"/>
            <w:vMerge w:val="continue"/>
            <w:noWrap/>
            <w:vAlign w:val="center"/>
          </w:tcPr>
          <w:p w14:paraId="75A82E3A">
            <w:pPr>
              <w:pStyle w:val="111"/>
              <w:adjustRightInd w:val="0"/>
              <w:snapToGrid w:val="0"/>
              <w:ind w:firstLine="0" w:firstLineChars="0"/>
              <w:jc w:val="center"/>
              <w:rPr>
                <w:rFonts w:hint="eastAsia" w:ascii="Times New Roman" w:hAnsi="Times New Roman" w:eastAsia="宋体" w:cs="Times New Roman"/>
                <w:color w:val="000000"/>
                <w:kern w:val="2"/>
                <w:sz w:val="21"/>
                <w:szCs w:val="21"/>
                <w:lang w:val="zh-CN" w:eastAsia="zh-Hans" w:bidi="ar-SA"/>
              </w:rPr>
            </w:pPr>
          </w:p>
        </w:tc>
        <w:tc>
          <w:tcPr>
            <w:tcW w:w="4267" w:type="dxa"/>
            <w:noWrap/>
            <w:vAlign w:val="center"/>
          </w:tcPr>
          <w:p w14:paraId="3D6FCF47">
            <w:pPr>
              <w:pStyle w:val="111"/>
              <w:adjustRightInd w:val="0"/>
              <w:snapToGrid w:val="0"/>
              <w:ind w:firstLine="0" w:firstLineChars="0"/>
              <w:jc w:val="left"/>
              <w:rPr>
                <w:rFonts w:hint="eastAsia" w:ascii="Times New Roman" w:hAnsi="Times New Roman" w:eastAsia="宋体" w:cs="Times New Roman"/>
                <w:color w:val="000000"/>
                <w:kern w:val="2"/>
                <w:sz w:val="21"/>
                <w:szCs w:val="21"/>
                <w:lang w:val="zh-CN" w:eastAsia="zh-Hans" w:bidi="ar-SA"/>
              </w:rPr>
            </w:pPr>
            <w:r>
              <w:rPr>
                <w:rFonts w:hint="eastAsia" w:ascii="Times New Roman" w:hAnsi="Times New Roman" w:eastAsia="宋体" w:cs="Times New Roman"/>
                <w:color w:val="000000"/>
                <w:kern w:val="2"/>
                <w:sz w:val="21"/>
                <w:szCs w:val="21"/>
                <w:lang w:val="zh-CN" w:eastAsia="zh-Hans" w:bidi="ar-SA"/>
              </w:rPr>
              <w:t>数据分析与报告编制：原始鱼类物种OTU序列数据集、多样性分析、鱼类生物样品环境DNA分析图谱、中华鲟环境DNA空间分布以及1份《杭州湾、乐清湾鱼类环境DNA（鱼类、中华鲟）生物多样性分析报告》</w:t>
            </w:r>
          </w:p>
        </w:tc>
        <w:tc>
          <w:tcPr>
            <w:tcW w:w="1324" w:type="dxa"/>
            <w:noWrap/>
            <w:vAlign w:val="center"/>
          </w:tcPr>
          <w:p w14:paraId="3F342B3F">
            <w:pPr>
              <w:pStyle w:val="111"/>
              <w:adjustRightInd w:val="0"/>
              <w:snapToGrid w:val="0"/>
              <w:ind w:firstLine="0" w:firstLineChars="0"/>
              <w:jc w:val="center"/>
              <w:rPr>
                <w:rFonts w:hint="eastAsia" w:ascii="Times New Roman" w:hAnsi="Times New Roman" w:eastAsia="宋体" w:cs="Times New Roman"/>
                <w:color w:val="000000"/>
                <w:kern w:val="2"/>
                <w:sz w:val="21"/>
                <w:szCs w:val="21"/>
                <w:lang w:val="zh-CN" w:eastAsia="zh-Hans" w:bidi="ar-SA"/>
              </w:rPr>
            </w:pPr>
            <w:r>
              <w:rPr>
                <w:rFonts w:hint="eastAsia" w:ascii="Times New Roman" w:hAnsi="Times New Roman" w:eastAsia="宋体" w:cs="Times New Roman"/>
                <w:color w:val="000000"/>
                <w:kern w:val="2"/>
                <w:sz w:val="21"/>
                <w:szCs w:val="21"/>
                <w:lang w:val="zh-CN" w:eastAsia="zh-Hans" w:bidi="ar-SA"/>
              </w:rPr>
              <w:t>1个月</w:t>
            </w:r>
          </w:p>
        </w:tc>
      </w:tr>
    </w:tbl>
    <w:p w14:paraId="751099D5">
      <w:pPr>
        <w:spacing w:line="360" w:lineRule="auto"/>
        <w:rPr>
          <w:rFonts w:ascii="Times New Roman" w:hAnsi="Times New Roman" w:cs="Times New Roman"/>
          <w:b/>
          <w:bCs/>
          <w:color w:val="000000"/>
          <w:lang w:val="zh-CN"/>
        </w:rPr>
      </w:pPr>
      <w:r>
        <w:rPr>
          <w:rFonts w:hint="eastAsia" w:ascii="Times New Roman" w:hAnsi="Times New Roman" w:cs="Times New Roman"/>
          <w:b/>
          <w:bCs/>
          <w:color w:val="000000"/>
        </w:rPr>
        <w:t>三、质量控制：</w:t>
      </w:r>
    </w:p>
    <w:p w14:paraId="029C8B87">
      <w:pPr>
        <w:spacing w:line="360" w:lineRule="auto"/>
        <w:ind w:firstLine="420"/>
        <w:rPr>
          <w:rFonts w:hint="eastAsia" w:ascii="Times New Roman" w:hAnsi="Times New Roman" w:cs="Times New Roman"/>
          <w:color w:val="000000"/>
          <w:lang w:val="zh-CN"/>
        </w:rPr>
      </w:pPr>
      <w:r>
        <w:rPr>
          <w:rFonts w:hint="eastAsia" w:ascii="Times New Roman" w:hAnsi="Times New Roman" w:cs="Times New Roman"/>
          <w:color w:val="000000"/>
          <w:lang w:val="zh-CN"/>
        </w:rPr>
        <w:t>1、质量控制：</w:t>
      </w:r>
    </w:p>
    <w:p w14:paraId="4ED48C56">
      <w:pPr>
        <w:spacing w:line="360" w:lineRule="auto"/>
        <w:ind w:firstLine="420"/>
        <w:rPr>
          <w:rFonts w:hint="eastAsia" w:ascii="Times New Roman" w:hAnsi="Times New Roman" w:cs="Times New Roman"/>
          <w:color w:val="000000"/>
          <w:lang w:val="zh-CN"/>
        </w:rPr>
      </w:pPr>
      <w:r>
        <w:rPr>
          <w:rFonts w:hint="eastAsia" w:ascii="Times New Roman" w:hAnsi="Times New Roman" w:cs="Times New Roman"/>
          <w:color w:val="000000"/>
          <w:lang w:val="zh-CN"/>
        </w:rPr>
        <w:t>（1）阴性对照</w:t>
      </w:r>
    </w:p>
    <w:p w14:paraId="47CB33FF">
      <w:pPr>
        <w:spacing w:line="360" w:lineRule="auto"/>
        <w:ind w:firstLine="420"/>
        <w:rPr>
          <w:rFonts w:hint="eastAsia" w:ascii="Times New Roman" w:hAnsi="Times New Roman" w:cs="Times New Roman"/>
          <w:color w:val="000000"/>
          <w:lang w:val="zh-CN"/>
        </w:rPr>
      </w:pPr>
      <w:r>
        <w:rPr>
          <w:rFonts w:hint="eastAsia" w:ascii="Times New Roman" w:hAnsi="Times New Roman" w:cs="Times New Roman"/>
          <w:color w:val="000000"/>
          <w:lang w:val="zh-CN"/>
        </w:rPr>
        <w:t>在样品采集、前处理、DNA提取、PCR扩增阶段，分别设置阴性对照。</w:t>
      </w:r>
    </w:p>
    <w:p w14:paraId="182ED316">
      <w:pPr>
        <w:spacing w:line="360" w:lineRule="auto"/>
        <w:ind w:firstLine="420"/>
        <w:rPr>
          <w:rFonts w:hint="eastAsia" w:ascii="Times New Roman" w:hAnsi="Times New Roman" w:cs="Times New Roman"/>
          <w:color w:val="000000"/>
          <w:lang w:val="zh-CN"/>
        </w:rPr>
      </w:pPr>
      <w:r>
        <w:rPr>
          <w:rFonts w:hint="eastAsia" w:ascii="Times New Roman" w:hAnsi="Times New Roman" w:cs="Times New Roman"/>
          <w:color w:val="000000"/>
          <w:lang w:val="zh-CN"/>
        </w:rPr>
        <w:t>（2）阳性对照</w:t>
      </w:r>
    </w:p>
    <w:p w14:paraId="579654E2">
      <w:pPr>
        <w:spacing w:line="360" w:lineRule="auto"/>
        <w:ind w:firstLine="420"/>
        <w:rPr>
          <w:rFonts w:hint="eastAsia" w:ascii="Times New Roman" w:hAnsi="Times New Roman" w:cs="Times New Roman"/>
          <w:color w:val="000000"/>
          <w:lang w:val="zh-CN"/>
        </w:rPr>
      </w:pPr>
      <w:r>
        <w:rPr>
          <w:rFonts w:hint="eastAsia" w:ascii="Times New Roman" w:hAnsi="Times New Roman" w:cs="Times New Roman"/>
          <w:color w:val="000000"/>
          <w:lang w:val="zh-CN"/>
        </w:rPr>
        <w:t>在DNA提取，PCR扩增和测序过程中均需设置阳性对照。</w:t>
      </w:r>
    </w:p>
    <w:p w14:paraId="766BA4A8">
      <w:pPr>
        <w:spacing w:line="360" w:lineRule="auto"/>
        <w:ind w:firstLine="420"/>
        <w:rPr>
          <w:rFonts w:hint="eastAsia" w:ascii="Times New Roman" w:hAnsi="Times New Roman" w:cs="Times New Roman"/>
          <w:color w:val="000000"/>
          <w:lang w:val="zh-CN"/>
        </w:rPr>
      </w:pPr>
      <w:r>
        <w:rPr>
          <w:rFonts w:hint="eastAsia" w:ascii="Times New Roman" w:hAnsi="Times New Roman" w:cs="Times New Roman"/>
          <w:color w:val="000000"/>
          <w:lang w:val="zh-CN"/>
        </w:rPr>
        <w:t>2、质控评估：</w:t>
      </w:r>
    </w:p>
    <w:p w14:paraId="7F5C6875">
      <w:pPr>
        <w:spacing w:line="360" w:lineRule="auto"/>
        <w:ind w:firstLine="420"/>
        <w:rPr>
          <w:rFonts w:hint="eastAsia" w:ascii="Times New Roman" w:hAnsi="Times New Roman" w:cs="Times New Roman"/>
          <w:color w:val="000000"/>
          <w:lang w:val="zh-CN"/>
        </w:rPr>
      </w:pPr>
      <w:r>
        <w:rPr>
          <w:rFonts w:hint="eastAsia" w:ascii="Times New Roman" w:hAnsi="Times New Roman" w:cs="Times New Roman"/>
          <w:color w:val="000000"/>
          <w:lang w:val="zh-CN"/>
        </w:rPr>
        <w:t>（1）平行性</w:t>
      </w:r>
    </w:p>
    <w:p w14:paraId="54475822">
      <w:pPr>
        <w:spacing w:line="360" w:lineRule="auto"/>
        <w:ind w:firstLine="420"/>
        <w:rPr>
          <w:rFonts w:hint="eastAsia" w:ascii="Times New Roman" w:hAnsi="Times New Roman" w:cs="Times New Roman"/>
          <w:color w:val="000000"/>
          <w:lang w:val="zh-CN"/>
        </w:rPr>
      </w:pPr>
      <w:r>
        <w:rPr>
          <w:rFonts w:hint="eastAsia" w:ascii="Times New Roman" w:hAnsi="Times New Roman" w:cs="Times New Roman"/>
          <w:color w:val="000000"/>
          <w:lang w:val="zh-CN"/>
        </w:rPr>
        <w:t>在采样、DNA提取、PCR扩增和测序过程中均应设置重复样品。</w:t>
      </w:r>
    </w:p>
    <w:p w14:paraId="1C31AC36">
      <w:pPr>
        <w:spacing w:line="360" w:lineRule="auto"/>
        <w:ind w:firstLine="420"/>
        <w:rPr>
          <w:rFonts w:hint="eastAsia" w:ascii="Times New Roman" w:hAnsi="Times New Roman" w:cs="Times New Roman"/>
          <w:color w:val="000000"/>
          <w:lang w:val="zh-CN"/>
        </w:rPr>
      </w:pPr>
      <w:r>
        <w:rPr>
          <w:rFonts w:hint="eastAsia" w:ascii="Times New Roman" w:hAnsi="Times New Roman" w:cs="Times New Roman"/>
          <w:color w:val="000000"/>
          <w:lang w:val="zh-CN"/>
        </w:rPr>
        <w:t>（2）线性相关性</w:t>
      </w:r>
    </w:p>
    <w:p w14:paraId="4DAA9EA1">
      <w:pPr>
        <w:spacing w:line="360" w:lineRule="auto"/>
        <w:ind w:firstLine="420"/>
        <w:rPr>
          <w:rFonts w:hint="eastAsia" w:ascii="Times New Roman" w:hAnsi="Times New Roman" w:cs="Times New Roman"/>
          <w:color w:val="000000"/>
          <w:lang w:val="zh-CN"/>
        </w:rPr>
      </w:pPr>
      <w:r>
        <w:rPr>
          <w:rFonts w:hint="eastAsia" w:ascii="Times New Roman" w:hAnsi="Times New Roman" w:cs="Times New Roman"/>
          <w:color w:val="000000"/>
          <w:lang w:val="zh-CN"/>
        </w:rPr>
        <w:t>将阳性质控样品按一定比例（5倍或者10倍）稀释，不少于5个浓度，用于评价监测结果的线性相关性，每一个浓度平行测3次。</w:t>
      </w:r>
    </w:p>
    <w:p w14:paraId="7170DF4E">
      <w:pPr>
        <w:spacing w:line="360" w:lineRule="auto"/>
        <w:ind w:firstLine="420"/>
        <w:rPr>
          <w:rFonts w:hint="eastAsia" w:ascii="Times New Roman" w:hAnsi="Times New Roman" w:cs="Times New Roman"/>
          <w:color w:val="000000"/>
          <w:lang w:val="zh-CN"/>
        </w:rPr>
      </w:pPr>
      <w:r>
        <w:rPr>
          <w:rFonts w:hint="eastAsia" w:ascii="Times New Roman" w:hAnsi="Times New Roman" w:cs="Times New Roman"/>
          <w:color w:val="000000"/>
          <w:lang w:val="zh-CN"/>
        </w:rPr>
        <w:t>（3）准确度</w:t>
      </w:r>
    </w:p>
    <w:p w14:paraId="0A83759C">
      <w:pPr>
        <w:spacing w:line="360" w:lineRule="auto"/>
        <w:ind w:firstLine="420"/>
        <w:rPr>
          <w:rFonts w:hint="eastAsia" w:ascii="Times New Roman" w:hAnsi="Times New Roman" w:cs="Times New Roman"/>
          <w:color w:val="000000"/>
          <w:lang w:val="zh-CN"/>
        </w:rPr>
      </w:pPr>
      <w:r>
        <w:rPr>
          <w:rFonts w:hint="eastAsia" w:ascii="Times New Roman" w:hAnsi="Times New Roman" w:cs="Times New Roman"/>
          <w:color w:val="000000"/>
          <w:lang w:val="zh-CN"/>
        </w:rPr>
        <w:t>使用阳性质控样品或稀释至线性范围的标准样品评估监测的准确度。</w:t>
      </w:r>
    </w:p>
    <w:p w14:paraId="63DE1AB8">
      <w:pPr>
        <w:spacing w:line="360" w:lineRule="auto"/>
        <w:ind w:firstLine="420"/>
        <w:rPr>
          <w:rFonts w:hint="eastAsia" w:ascii="Times New Roman" w:hAnsi="Times New Roman" w:cs="Times New Roman"/>
          <w:color w:val="000000"/>
          <w:lang w:val="zh-CN"/>
        </w:rPr>
      </w:pPr>
      <w:r>
        <w:rPr>
          <w:rFonts w:hint="eastAsia" w:ascii="Times New Roman" w:hAnsi="Times New Roman" w:cs="Times New Roman"/>
          <w:color w:val="000000"/>
          <w:lang w:val="zh-CN"/>
        </w:rPr>
        <w:t>（4）重复性</w:t>
      </w:r>
    </w:p>
    <w:p w14:paraId="6D6DF9B6">
      <w:pPr>
        <w:spacing w:line="360" w:lineRule="auto"/>
        <w:ind w:firstLine="420"/>
        <w:rPr>
          <w:rFonts w:hint="eastAsia" w:ascii="Times New Roman" w:hAnsi="Times New Roman" w:cs="Times New Roman"/>
          <w:color w:val="000000"/>
          <w:lang w:val="zh-CN"/>
        </w:rPr>
      </w:pPr>
      <w:r>
        <w:rPr>
          <w:rFonts w:hint="eastAsia" w:ascii="Times New Roman" w:hAnsi="Times New Roman" w:cs="Times New Roman"/>
          <w:color w:val="000000"/>
          <w:lang w:val="zh-CN"/>
        </w:rPr>
        <w:t>使用高、低两个浓度的标准样品评价监测的重复性。对于同一个样品平行监测10次，根据公式计算相对标准偏差RSD（%）。</w:t>
      </w:r>
    </w:p>
    <w:p w14:paraId="3307BD40">
      <w:pPr>
        <w:spacing w:line="360" w:lineRule="auto"/>
        <w:ind w:firstLine="420"/>
        <w:rPr>
          <w:rFonts w:hint="eastAsia" w:ascii="Times New Roman" w:hAnsi="Times New Roman" w:cs="Times New Roman"/>
          <w:color w:val="000000"/>
          <w:lang w:val="zh-CN"/>
        </w:rPr>
      </w:pPr>
      <w:r>
        <w:rPr>
          <w:rFonts w:hint="eastAsia" w:ascii="Times New Roman" w:hAnsi="Times New Roman" w:cs="Times New Roman"/>
          <w:color w:val="000000"/>
          <w:lang w:val="zh-CN"/>
        </w:rPr>
        <w:t>（5）假阴性率</w:t>
      </w:r>
    </w:p>
    <w:p w14:paraId="09BA5539">
      <w:pPr>
        <w:spacing w:line="360" w:lineRule="auto"/>
        <w:ind w:firstLine="420"/>
        <w:rPr>
          <w:rFonts w:hint="eastAsia" w:ascii="Times New Roman" w:hAnsi="Times New Roman" w:cs="Times New Roman"/>
          <w:color w:val="000000"/>
          <w:lang w:val="zh-CN"/>
        </w:rPr>
      </w:pPr>
      <w:r>
        <w:rPr>
          <w:rFonts w:hint="eastAsia" w:ascii="Times New Roman" w:hAnsi="Times New Roman" w:cs="Times New Roman"/>
          <w:color w:val="000000"/>
          <w:lang w:val="zh-CN"/>
        </w:rPr>
        <w:t>使用阳性质控样品或稀释至线性范围的标准样品评估监测的假阴性率。</w:t>
      </w:r>
    </w:p>
    <w:p w14:paraId="5A5D0EB8">
      <w:pPr>
        <w:spacing w:line="360" w:lineRule="auto"/>
        <w:ind w:firstLine="420"/>
        <w:rPr>
          <w:rFonts w:hint="eastAsia" w:ascii="Times New Roman" w:hAnsi="Times New Roman" w:cs="Times New Roman"/>
          <w:color w:val="000000"/>
          <w:lang w:val="zh-CN"/>
        </w:rPr>
      </w:pPr>
      <w:r>
        <w:rPr>
          <w:rFonts w:hint="eastAsia" w:ascii="Times New Roman" w:hAnsi="Times New Roman" w:cs="Times New Roman"/>
          <w:color w:val="000000"/>
          <w:lang w:val="zh-CN"/>
        </w:rPr>
        <w:t>（6）假阳性率</w:t>
      </w:r>
    </w:p>
    <w:p w14:paraId="63F9E520">
      <w:pPr>
        <w:spacing w:line="360" w:lineRule="auto"/>
        <w:ind w:firstLine="420"/>
        <w:rPr>
          <w:rFonts w:hint="eastAsia" w:ascii="Times New Roman" w:hAnsi="Times New Roman" w:cs="Times New Roman"/>
          <w:color w:val="000000"/>
          <w:lang w:val="zh-CN"/>
        </w:rPr>
      </w:pPr>
      <w:r>
        <w:rPr>
          <w:rFonts w:hint="eastAsia" w:ascii="Times New Roman" w:hAnsi="Times New Roman" w:cs="Times New Roman"/>
          <w:color w:val="000000"/>
          <w:lang w:val="zh-CN"/>
        </w:rPr>
        <w:t>使用阳性质控样品或稀释至线性范围的标准样品评估监测的假阳性率。</w:t>
      </w:r>
    </w:p>
    <w:p w14:paraId="74775493">
      <w:pPr>
        <w:spacing w:line="360" w:lineRule="auto"/>
        <w:ind w:firstLine="420"/>
        <w:rPr>
          <w:rFonts w:hint="eastAsia" w:ascii="Times New Roman" w:hAnsi="Times New Roman" w:cs="Times New Roman"/>
          <w:color w:val="000000"/>
          <w:lang w:val="zh-CN"/>
        </w:rPr>
      </w:pPr>
      <w:r>
        <w:rPr>
          <w:rFonts w:hint="eastAsia" w:ascii="Times New Roman" w:hAnsi="Times New Roman" w:cs="Times New Roman"/>
          <w:color w:val="000000"/>
          <w:lang w:val="zh-CN"/>
        </w:rPr>
        <w:t>3、水环境指标</w:t>
      </w:r>
    </w:p>
    <w:p w14:paraId="6A4C34FF">
      <w:pPr>
        <w:spacing w:line="360" w:lineRule="auto"/>
        <w:ind w:firstLine="420"/>
        <w:rPr>
          <w:rFonts w:hint="eastAsia" w:ascii="Times New Roman" w:hAnsi="Times New Roman" w:cs="Times New Roman"/>
          <w:color w:val="000000"/>
          <w:lang w:val="zh-CN"/>
        </w:rPr>
      </w:pPr>
      <w:r>
        <w:rPr>
          <w:rFonts w:hint="eastAsia" w:ascii="Times New Roman" w:hAnsi="Times New Roman" w:cs="Times New Roman"/>
          <w:color w:val="000000"/>
          <w:lang w:val="zh-CN"/>
        </w:rPr>
        <w:t>水温、pH、溶解氧、化学需氧量、盐度、氨氮、硝酸盐氮、亚硝酸盐氮、活性磷酸盐、石油类、悬浮物质、重金属（铜、锌、总铬、汞、镉、铅、砷）、叶绿素a；</w:t>
      </w:r>
    </w:p>
    <w:p w14:paraId="57911CB1">
      <w:pPr>
        <w:spacing w:line="360" w:lineRule="auto"/>
        <w:ind w:firstLine="420"/>
        <w:rPr>
          <w:rFonts w:hint="eastAsia" w:ascii="Times New Roman" w:hAnsi="Times New Roman" w:cs="Times New Roman"/>
          <w:color w:val="000000"/>
          <w:lang w:val="zh-CN"/>
        </w:rPr>
      </w:pPr>
      <w:r>
        <w:rPr>
          <w:rFonts w:hint="eastAsia" w:ascii="Times New Roman" w:hAnsi="Times New Roman" w:cs="Times New Roman"/>
          <w:color w:val="000000"/>
          <w:lang w:val="zh-CN"/>
        </w:rPr>
        <w:t>4、人员要求</w:t>
      </w:r>
    </w:p>
    <w:p w14:paraId="7107C8A1">
      <w:pPr>
        <w:spacing w:line="360" w:lineRule="auto"/>
        <w:ind w:firstLine="420"/>
        <w:rPr>
          <w:rFonts w:hint="eastAsia" w:ascii="Times New Roman" w:hAnsi="Times New Roman" w:cs="Times New Roman"/>
          <w:color w:val="000000"/>
          <w:lang w:val="zh-CN"/>
        </w:rPr>
      </w:pPr>
      <w:r>
        <w:rPr>
          <w:rFonts w:hint="eastAsia" w:ascii="Times New Roman" w:hAnsi="Times New Roman" w:cs="Times New Roman"/>
          <w:color w:val="000000"/>
          <w:lang w:val="zh-CN"/>
        </w:rPr>
        <w:t>投标人应根据招标文件中的工作内容要求，在投标文件中详细列出本项目的主要人员及分工做出说明。</w:t>
      </w:r>
    </w:p>
    <w:p w14:paraId="7CE06711">
      <w:pPr>
        <w:spacing w:line="360" w:lineRule="auto"/>
        <w:ind w:firstLine="420"/>
        <w:rPr>
          <w:rFonts w:hint="eastAsia" w:ascii="Times New Roman" w:hAnsi="Times New Roman" w:cs="Times New Roman"/>
          <w:color w:val="000000"/>
          <w:lang w:val="zh-CN"/>
        </w:rPr>
      </w:pPr>
      <w:r>
        <w:rPr>
          <w:rFonts w:hint="eastAsia" w:ascii="Times New Roman" w:hAnsi="Times New Roman" w:cs="Times New Roman"/>
          <w:color w:val="000000"/>
          <w:lang w:val="zh-CN"/>
        </w:rPr>
        <w:t>投标人团队成员应具备与本采购需求相关工作经验。</w:t>
      </w:r>
    </w:p>
    <w:p w14:paraId="30B63D7C">
      <w:pPr>
        <w:spacing w:line="360" w:lineRule="auto"/>
        <w:ind w:firstLine="420"/>
        <w:rPr>
          <w:rFonts w:hint="eastAsia" w:ascii="Times New Roman" w:hAnsi="Times New Roman" w:cs="Times New Roman"/>
          <w:color w:val="000000"/>
          <w:lang w:val="zh-CN"/>
        </w:rPr>
      </w:pPr>
      <w:r>
        <w:rPr>
          <w:rFonts w:hint="eastAsia" w:ascii="Times New Roman" w:hAnsi="Times New Roman" w:cs="Times New Roman"/>
          <w:color w:val="000000"/>
          <w:lang w:val="zh-CN"/>
        </w:rPr>
        <w:t>投标人项目负责人应具有相关专业正高级职称，熟悉杭州湾</w:t>
      </w:r>
      <w:r>
        <w:rPr>
          <w:rFonts w:hint="eastAsia" w:ascii="Times New Roman" w:hAnsi="Times New Roman" w:cs="Times New Roman"/>
          <w:color w:val="000000"/>
          <w:lang w:val="zh-CN" w:eastAsia="zh-Hans"/>
        </w:rPr>
        <w:t>和乐清湾</w:t>
      </w:r>
      <w:r>
        <w:rPr>
          <w:rFonts w:hint="eastAsia" w:ascii="Times New Roman" w:hAnsi="Times New Roman" w:cs="Times New Roman"/>
          <w:color w:val="000000"/>
          <w:lang w:val="zh-CN"/>
        </w:rPr>
        <w:t>海洋生态系统基本情况特点，参与过类似项目工作。</w:t>
      </w:r>
    </w:p>
    <w:p w14:paraId="2E4CACA7">
      <w:pPr>
        <w:adjustRightInd w:val="0"/>
        <w:snapToGrid w:val="0"/>
        <w:spacing w:line="360" w:lineRule="auto"/>
        <w:jc w:val="left"/>
        <w:rPr>
          <w:rFonts w:hint="eastAsia" w:ascii="Times New Roman" w:hAnsi="Times New Roman" w:cs="Times New Roman"/>
          <w:b/>
          <w:bCs/>
          <w:color w:val="000000"/>
          <w:lang w:val="zh-CN"/>
        </w:rPr>
      </w:pPr>
      <w:r>
        <w:rPr>
          <w:rFonts w:hint="eastAsia" w:ascii="Times New Roman" w:hAnsi="Times New Roman" w:cs="Times New Roman"/>
          <w:b/>
          <w:bCs/>
          <w:color w:val="000000"/>
          <w:lang w:val="en-US" w:eastAsia="zh-CN"/>
        </w:rPr>
        <w:t>四、</w:t>
      </w:r>
      <w:r>
        <w:rPr>
          <w:rFonts w:hint="eastAsia" w:ascii="Times New Roman" w:hAnsi="Times New Roman" w:cs="Times New Roman"/>
          <w:b/>
          <w:bCs/>
          <w:color w:val="000000"/>
          <w:lang w:val="zh-CN"/>
        </w:rPr>
        <w:t>成果及要求</w:t>
      </w:r>
    </w:p>
    <w:p w14:paraId="4B7E0057">
      <w:pPr>
        <w:spacing w:line="360" w:lineRule="auto"/>
        <w:ind w:firstLine="420"/>
        <w:rPr>
          <w:rFonts w:hint="eastAsia" w:ascii="Times New Roman" w:hAnsi="Times New Roman" w:cs="Times New Roman"/>
          <w:color w:val="000000"/>
          <w:lang w:val="zh-CN"/>
        </w:rPr>
      </w:pPr>
      <w:r>
        <w:rPr>
          <w:rFonts w:hint="eastAsia" w:ascii="Times New Roman" w:hAnsi="Times New Roman" w:cs="Times New Roman"/>
          <w:color w:val="000000"/>
          <w:lang w:val="en-US" w:eastAsia="zh-CN"/>
        </w:rPr>
        <w:t>乙方</w:t>
      </w:r>
      <w:r>
        <w:rPr>
          <w:rFonts w:hint="eastAsia" w:ascii="Times New Roman" w:hAnsi="Times New Roman" w:cs="Times New Roman"/>
          <w:color w:val="000000"/>
          <w:lang w:val="zh-CN"/>
        </w:rPr>
        <w:t>应确保在项目合同规定结束日期通过甲方组织的成果验收，并提交全面且详细的</w:t>
      </w:r>
      <w:r>
        <w:rPr>
          <w:rFonts w:hint="eastAsia" w:ascii="Times New Roman" w:hAnsi="Times New Roman" w:cs="Times New Roman"/>
          <w:color w:val="000000"/>
          <w:lang w:val="en-US" w:eastAsia="zh-CN"/>
        </w:rPr>
        <w:t>分析</w:t>
      </w:r>
      <w:r>
        <w:rPr>
          <w:rFonts w:hint="eastAsia" w:ascii="Times New Roman" w:hAnsi="Times New Roman" w:cs="Times New Roman"/>
          <w:color w:val="000000"/>
          <w:lang w:val="zh-CN"/>
        </w:rPr>
        <w:t>报告和相关资料，包括报告纸质盖章版1份，电子版1份。数据和资料集电子版以光盘、U盘等固定介质存储容器方式提交1份。成果</w:t>
      </w:r>
      <w:r>
        <w:rPr>
          <w:rFonts w:hint="eastAsia" w:ascii="Times New Roman" w:hAnsi="Times New Roman" w:cs="Times New Roman"/>
          <w:color w:val="000000"/>
          <w:lang w:val="en-US" w:eastAsia="zh-CN"/>
        </w:rPr>
        <w:t>内容包括</w:t>
      </w:r>
      <w:r>
        <w:rPr>
          <w:rFonts w:hint="eastAsia" w:ascii="Times New Roman" w:hAnsi="Times New Roman" w:cs="Times New Roman"/>
          <w:color w:val="000000"/>
          <w:lang w:val="zh-CN"/>
        </w:rPr>
        <w:t>：原始鱼类物种OTU序列数据集、环境DNA分析图谱及《杭州湾、乐清湾环境DNA（鱼类、中华鲟）生物多样性分析报告》1套。原始数据集应包括原始序列、数据分析过程文件、对比注释所用的数据库文件（需为fasta格式）、水环境指标数据。报告文本应具体包括采样、实验室分析、测序、数据分析及质量控制全过程。</w:t>
      </w:r>
    </w:p>
    <w:p w14:paraId="61DAE686">
      <w:pPr>
        <w:spacing w:line="360" w:lineRule="auto"/>
        <w:ind w:firstLine="420"/>
        <w:rPr>
          <w:rFonts w:hint="eastAsia" w:ascii="Times New Roman" w:hAnsi="Times New Roman" w:cs="Times New Roman"/>
          <w:color w:val="000000"/>
          <w:highlight w:val="yellow"/>
          <w:lang w:val="zh-CN"/>
        </w:rPr>
      </w:pPr>
    </w:p>
    <w:p w14:paraId="17CE9228">
      <w:pPr>
        <w:adjustRightInd w:val="0"/>
        <w:snapToGrid w:val="0"/>
        <w:spacing w:line="360" w:lineRule="auto"/>
        <w:jc w:val="left"/>
        <w:rPr>
          <w:rFonts w:ascii="Times New Roman" w:hAnsi="Times New Roman" w:cs="Times New Roman"/>
          <w:b/>
          <w:bCs/>
          <w:color w:val="000000"/>
          <w:lang w:val="zh-CN"/>
        </w:rPr>
      </w:pPr>
      <w:r>
        <w:rPr>
          <w:rFonts w:hint="eastAsia" w:ascii="Times New Roman" w:hAnsi="Times New Roman" w:cs="Times New Roman"/>
          <w:b/>
          <w:bCs/>
          <w:color w:val="000000"/>
        </w:rPr>
        <w:t>五、</w:t>
      </w:r>
      <w:r>
        <w:rPr>
          <w:rFonts w:hint="eastAsia" w:ascii="Times New Roman" w:hAnsi="Times New Roman" w:cs="Times New Roman"/>
          <w:b/>
          <w:bCs/>
          <w:color w:val="000000"/>
          <w:lang w:val="zh-CN"/>
        </w:rPr>
        <w:t>保密要求</w:t>
      </w:r>
    </w:p>
    <w:p w14:paraId="297522D9">
      <w:pPr>
        <w:spacing w:line="360" w:lineRule="auto"/>
        <w:ind w:firstLine="420"/>
        <w:rPr>
          <w:rFonts w:ascii="Times New Roman" w:hAnsi="Times New Roman" w:cs="Times New Roman"/>
          <w:color w:val="000000"/>
          <w:lang w:val="zh-CN"/>
        </w:rPr>
      </w:pPr>
      <w:r>
        <w:rPr>
          <w:rFonts w:hint="eastAsia" w:ascii="Times New Roman" w:hAnsi="Times New Roman" w:cs="Times New Roman"/>
          <w:color w:val="000000"/>
          <w:lang w:val="zh-CN"/>
        </w:rPr>
        <w:t>1</w:t>
      </w:r>
      <w:r>
        <w:rPr>
          <w:rFonts w:hint="eastAsia" w:ascii="Times New Roman" w:hAnsi="Times New Roman" w:cs="Times New Roman"/>
          <w:color w:val="000000"/>
        </w:rPr>
        <w:t>.</w:t>
      </w:r>
      <w:r>
        <w:rPr>
          <w:rFonts w:hint="eastAsia" w:ascii="Times New Roman" w:hAnsi="Times New Roman" w:cs="Times New Roman"/>
          <w:color w:val="000000"/>
          <w:lang w:val="zh-CN"/>
        </w:rPr>
        <w:t>建立严格的保密制度，</w:t>
      </w:r>
      <w:r>
        <w:rPr>
          <w:rFonts w:hint="eastAsia" w:ascii="Times New Roman" w:hAnsi="Times New Roman" w:cs="Times New Roman"/>
          <w:color w:val="000000"/>
        </w:rPr>
        <w:t>成交供应商</w:t>
      </w:r>
      <w:r>
        <w:rPr>
          <w:rFonts w:hint="eastAsia" w:ascii="Times New Roman" w:hAnsi="Times New Roman" w:cs="Times New Roman"/>
          <w:color w:val="000000"/>
          <w:lang w:val="zh-CN"/>
        </w:rPr>
        <w:t>应当加强对工作人员的保密管理及保密知识教育。</w:t>
      </w:r>
    </w:p>
    <w:p w14:paraId="045590BC">
      <w:pPr>
        <w:spacing w:line="360" w:lineRule="auto"/>
        <w:ind w:firstLine="420"/>
        <w:rPr>
          <w:rFonts w:ascii="Times New Roman" w:hAnsi="Times New Roman" w:cs="Times New Roman"/>
          <w:color w:val="000000"/>
          <w:lang w:val="zh-CN"/>
        </w:rPr>
      </w:pPr>
      <w:r>
        <w:rPr>
          <w:rFonts w:hint="eastAsia" w:ascii="Times New Roman" w:hAnsi="Times New Roman" w:cs="Times New Roman"/>
          <w:color w:val="000000"/>
          <w:lang w:val="zh-CN"/>
        </w:rPr>
        <w:t>2</w:t>
      </w:r>
      <w:r>
        <w:rPr>
          <w:rFonts w:hint="eastAsia" w:ascii="Times New Roman" w:hAnsi="Times New Roman" w:cs="Times New Roman"/>
          <w:color w:val="000000"/>
        </w:rPr>
        <w:t>.成交供应商</w:t>
      </w:r>
      <w:r>
        <w:rPr>
          <w:rFonts w:hint="eastAsia" w:ascii="Times New Roman" w:hAnsi="Times New Roman" w:cs="Times New Roman"/>
          <w:color w:val="000000"/>
          <w:lang w:val="zh-CN"/>
        </w:rPr>
        <w:t>须承担与此有关的技术情报和数据资料的保密责任。与本项目有关的资料及数据成果中涉及国家秘密的内容，均要求按照《国家保密法》及相关法律法规执行。</w:t>
      </w:r>
    </w:p>
    <w:p w14:paraId="1B358422">
      <w:pPr>
        <w:pStyle w:val="15"/>
        <w:spacing w:line="360" w:lineRule="auto"/>
        <w:rPr>
          <w:rFonts w:ascii="Times New Roman" w:hAnsi="Times New Roman" w:cs="Times New Roman"/>
          <w:b/>
          <w:bCs/>
          <w:color w:val="000000"/>
          <w:kern w:val="2"/>
          <w:sz w:val="21"/>
          <w:szCs w:val="21"/>
        </w:rPr>
      </w:pPr>
      <w:r>
        <w:rPr>
          <w:rFonts w:hint="eastAsia" w:ascii="Times New Roman" w:hAnsi="Times New Roman" w:cs="Times New Roman"/>
          <w:b/>
          <w:bCs/>
          <w:color w:val="000000"/>
          <w:kern w:val="2"/>
          <w:sz w:val="21"/>
          <w:szCs w:val="21"/>
        </w:rPr>
        <w:t>六、合同金额</w:t>
      </w:r>
    </w:p>
    <w:p w14:paraId="731BDAFA">
      <w:pPr>
        <w:pStyle w:val="15"/>
        <w:spacing w:line="360" w:lineRule="auto"/>
        <w:ind w:firstLine="420" w:firstLineChars="2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 xml:space="preserve"> 本合同金额为（大写）：              元（￥         元）人民币。</w:t>
      </w:r>
    </w:p>
    <w:p w14:paraId="25B4BC99">
      <w:pPr>
        <w:pStyle w:val="15"/>
        <w:spacing w:line="360" w:lineRule="auto"/>
        <w:rPr>
          <w:rFonts w:ascii="Times New Roman" w:hAnsi="Times New Roman" w:cs="Times New Roman"/>
          <w:b/>
          <w:bCs/>
          <w:color w:val="000000"/>
          <w:kern w:val="2"/>
          <w:sz w:val="21"/>
          <w:szCs w:val="21"/>
        </w:rPr>
      </w:pPr>
      <w:r>
        <w:rPr>
          <w:rFonts w:hint="eastAsia" w:ascii="Times New Roman" w:hAnsi="Times New Roman" w:cs="Times New Roman"/>
          <w:b/>
          <w:bCs/>
          <w:color w:val="000000"/>
          <w:kern w:val="2"/>
          <w:sz w:val="21"/>
          <w:szCs w:val="21"/>
        </w:rPr>
        <w:t>七、技术资料</w:t>
      </w:r>
    </w:p>
    <w:p w14:paraId="0F7BC37A">
      <w:pPr>
        <w:pStyle w:val="15"/>
        <w:spacing w:line="360" w:lineRule="auto"/>
        <w:ind w:firstLine="420" w:firstLineChars="2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1.乙方应按采购文件规定的时间向甲方提供有关技术资料。</w:t>
      </w:r>
    </w:p>
    <w:p w14:paraId="09562F78">
      <w:pPr>
        <w:pStyle w:val="15"/>
        <w:spacing w:line="360" w:lineRule="auto"/>
        <w:ind w:firstLine="420" w:firstLineChars="200"/>
        <w:textAlignment w:val="baseline"/>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2.没有甲方事先书面同意，乙方不得将由甲方提供的有关合同或任何合同条文、规格、计划或资料提供给予履行本合同无关的任何其他人。即使向履行本合同有关的人员提供，也应注意保密并限于履行合同的必需范围。</w:t>
      </w:r>
    </w:p>
    <w:p w14:paraId="14579910">
      <w:pPr>
        <w:pStyle w:val="15"/>
        <w:spacing w:line="360" w:lineRule="auto"/>
        <w:rPr>
          <w:rFonts w:ascii="Times New Roman" w:hAnsi="Times New Roman" w:cs="Times New Roman"/>
          <w:b/>
          <w:bCs/>
          <w:color w:val="000000"/>
          <w:kern w:val="2"/>
          <w:sz w:val="21"/>
          <w:szCs w:val="21"/>
        </w:rPr>
      </w:pPr>
      <w:r>
        <w:rPr>
          <w:rFonts w:hint="eastAsia" w:ascii="Times New Roman" w:hAnsi="Times New Roman" w:cs="Times New Roman"/>
          <w:b/>
          <w:bCs/>
          <w:color w:val="000000"/>
          <w:kern w:val="2"/>
          <w:sz w:val="21"/>
          <w:szCs w:val="21"/>
        </w:rPr>
        <w:t>八、知识产权</w:t>
      </w:r>
    </w:p>
    <w:p w14:paraId="7729333E">
      <w:pPr>
        <w:pStyle w:val="15"/>
        <w:spacing w:line="360" w:lineRule="auto"/>
        <w:ind w:firstLine="420" w:firstLineChars="200"/>
        <w:textAlignment w:val="baseline"/>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乙方应保证所提供的成果或任何一部分均不会侵犯任何第三方的知识产权。</w:t>
      </w:r>
    </w:p>
    <w:p w14:paraId="2AEC652B">
      <w:pPr>
        <w:pStyle w:val="15"/>
        <w:spacing w:line="360" w:lineRule="auto"/>
        <w:rPr>
          <w:rFonts w:ascii="Times New Roman" w:hAnsi="Times New Roman" w:cs="Times New Roman"/>
          <w:b/>
          <w:bCs/>
          <w:color w:val="000000"/>
          <w:kern w:val="2"/>
          <w:sz w:val="21"/>
          <w:szCs w:val="21"/>
        </w:rPr>
      </w:pPr>
      <w:r>
        <w:rPr>
          <w:rFonts w:hint="eastAsia" w:ascii="Times New Roman" w:hAnsi="Times New Roman" w:cs="Times New Roman"/>
          <w:b/>
          <w:bCs/>
          <w:color w:val="000000"/>
          <w:kern w:val="2"/>
          <w:sz w:val="21"/>
          <w:szCs w:val="21"/>
        </w:rPr>
        <w:t>九、产权担保</w:t>
      </w:r>
    </w:p>
    <w:p w14:paraId="33156186">
      <w:pPr>
        <w:pStyle w:val="15"/>
        <w:spacing w:line="360" w:lineRule="auto"/>
        <w:ind w:firstLine="420" w:firstLineChars="200"/>
        <w:textAlignment w:val="baseline"/>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乙方保证所交付的货物（或服务）的所有权完全属于乙方且无任何抵押、查封等产权瑕疵。</w:t>
      </w:r>
    </w:p>
    <w:p w14:paraId="1DEAF278">
      <w:pPr>
        <w:pStyle w:val="15"/>
        <w:spacing w:line="360" w:lineRule="auto"/>
        <w:rPr>
          <w:rFonts w:ascii="Times New Roman" w:hAnsi="Times New Roman" w:cs="Times New Roman"/>
          <w:b/>
          <w:bCs/>
          <w:color w:val="000000"/>
          <w:kern w:val="2"/>
          <w:sz w:val="21"/>
          <w:szCs w:val="21"/>
        </w:rPr>
      </w:pPr>
      <w:r>
        <w:rPr>
          <w:rFonts w:hint="eastAsia" w:ascii="Times New Roman" w:hAnsi="Times New Roman" w:cs="Times New Roman"/>
          <w:b/>
          <w:bCs/>
          <w:color w:val="000000"/>
          <w:kern w:val="2"/>
          <w:sz w:val="21"/>
          <w:szCs w:val="21"/>
        </w:rPr>
        <w:t>十、履约保证金</w:t>
      </w:r>
    </w:p>
    <w:p w14:paraId="192F14D0">
      <w:pPr>
        <w:pStyle w:val="15"/>
        <w:spacing w:line="360" w:lineRule="auto"/>
        <w:ind w:firstLine="420" w:firstLineChars="2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本项目免收履约保证金。</w:t>
      </w:r>
    </w:p>
    <w:p w14:paraId="224FD951">
      <w:pPr>
        <w:pStyle w:val="15"/>
        <w:spacing w:line="360" w:lineRule="auto"/>
        <w:rPr>
          <w:rFonts w:ascii="Times New Roman" w:hAnsi="Times New Roman" w:cs="Times New Roman"/>
          <w:b/>
          <w:bCs/>
          <w:color w:val="000000"/>
          <w:kern w:val="2"/>
          <w:sz w:val="21"/>
          <w:szCs w:val="21"/>
        </w:rPr>
      </w:pPr>
      <w:r>
        <w:rPr>
          <w:rFonts w:hint="eastAsia" w:ascii="Times New Roman" w:hAnsi="Times New Roman" w:cs="Times New Roman"/>
          <w:b/>
          <w:bCs/>
          <w:color w:val="000000"/>
          <w:kern w:val="2"/>
          <w:sz w:val="21"/>
          <w:szCs w:val="21"/>
        </w:rPr>
        <w:t>十一、转包或分包</w:t>
      </w:r>
    </w:p>
    <w:p w14:paraId="3E6788D2">
      <w:pPr>
        <w:spacing w:line="360" w:lineRule="auto"/>
        <w:ind w:firstLine="420" w:firstLineChars="200"/>
        <w:rPr>
          <w:rFonts w:ascii="Times New Roman" w:hAnsi="Times New Roman" w:cs="Times New Roman"/>
          <w:color w:val="000000"/>
        </w:rPr>
      </w:pPr>
      <w:r>
        <w:rPr>
          <w:rFonts w:hint="eastAsia" w:ascii="Times New Roman" w:hAnsi="Times New Roman" w:cs="Times New Roman"/>
          <w:color w:val="000000"/>
        </w:rPr>
        <w:t>1.本合同范围的货物（或服务），应由乙方直接供应，不得转让他人供应；</w:t>
      </w:r>
    </w:p>
    <w:p w14:paraId="2C1AAAD2">
      <w:pPr>
        <w:spacing w:line="360" w:lineRule="auto"/>
        <w:ind w:firstLine="420" w:firstLineChars="200"/>
        <w:rPr>
          <w:rFonts w:ascii="Times New Roman" w:hAnsi="Times New Roman" w:cs="Times New Roman"/>
          <w:color w:val="000000"/>
        </w:rPr>
      </w:pPr>
      <w:r>
        <w:rPr>
          <w:rFonts w:hint="eastAsia" w:ascii="Times New Roman" w:hAnsi="Times New Roman" w:cs="Times New Roman"/>
          <w:color w:val="000000"/>
        </w:rPr>
        <w:t>2.除非得到甲方的书面同意，乙方不得将本合同范围的货物（或服务）全部或部分分包给他人供应；</w:t>
      </w:r>
    </w:p>
    <w:p w14:paraId="7D3B2462">
      <w:pPr>
        <w:spacing w:line="360" w:lineRule="auto"/>
        <w:ind w:firstLine="420" w:firstLineChars="200"/>
        <w:rPr>
          <w:rFonts w:ascii="Times New Roman" w:hAnsi="Times New Roman" w:cs="Times New Roman"/>
          <w:color w:val="000000"/>
        </w:rPr>
      </w:pPr>
      <w:r>
        <w:rPr>
          <w:rFonts w:hint="eastAsia" w:ascii="Times New Roman" w:hAnsi="Times New Roman" w:cs="Times New Roman"/>
          <w:color w:val="000000"/>
        </w:rPr>
        <w:t>3.如有转让和未经甲方同意的分包行为，甲方有权解除合同，并追究乙方的违约责任。</w:t>
      </w:r>
    </w:p>
    <w:p w14:paraId="033BE806">
      <w:pPr>
        <w:pStyle w:val="15"/>
        <w:spacing w:line="360" w:lineRule="auto"/>
        <w:rPr>
          <w:rFonts w:ascii="Times New Roman" w:hAnsi="Times New Roman" w:cs="Times New Roman"/>
          <w:b/>
          <w:bCs/>
          <w:color w:val="000000"/>
          <w:kern w:val="2"/>
          <w:sz w:val="21"/>
          <w:szCs w:val="21"/>
        </w:rPr>
      </w:pPr>
      <w:r>
        <w:rPr>
          <w:rFonts w:hint="eastAsia" w:ascii="Times New Roman" w:hAnsi="Times New Roman" w:cs="Times New Roman"/>
          <w:b/>
          <w:bCs/>
          <w:color w:val="000000"/>
          <w:kern w:val="2"/>
          <w:sz w:val="21"/>
          <w:szCs w:val="21"/>
        </w:rPr>
        <w:t>十二、服务期</w:t>
      </w:r>
    </w:p>
    <w:p w14:paraId="05644A70">
      <w:pPr>
        <w:pStyle w:val="15"/>
        <w:spacing w:line="360" w:lineRule="auto"/>
        <w:ind w:firstLine="420" w:firstLineChars="200"/>
        <w:rPr>
          <w:rFonts w:ascii="Times New Roman" w:hAnsi="Times New Roman" w:cs="Times New Roman"/>
          <w:color w:val="000000"/>
          <w:kern w:val="2"/>
          <w:sz w:val="21"/>
          <w:szCs w:val="21"/>
        </w:rPr>
      </w:pPr>
      <w:r>
        <w:rPr>
          <w:rFonts w:hint="eastAsia" w:ascii="Times New Roman" w:hAnsi="Times New Roman" w:cs="Times New Roman"/>
          <w:color w:val="000000" w:themeColor="text1"/>
          <w:sz w:val="21"/>
          <w:szCs w:val="21"/>
        </w:rPr>
        <w:t>合同签订之日起至年月日止</w:t>
      </w:r>
      <w:r>
        <w:rPr>
          <w:rFonts w:hint="eastAsia" w:ascii="Times New Roman" w:hAnsi="Times New Roman" w:cs="Times New Roman"/>
          <w:color w:val="000000"/>
          <w:kern w:val="2"/>
          <w:sz w:val="21"/>
          <w:szCs w:val="21"/>
        </w:rPr>
        <w:t>。</w:t>
      </w:r>
    </w:p>
    <w:p w14:paraId="284A4E9F">
      <w:pPr>
        <w:pStyle w:val="15"/>
        <w:spacing w:line="360" w:lineRule="auto"/>
        <w:rPr>
          <w:rFonts w:ascii="Times New Roman" w:hAnsi="Times New Roman" w:cs="Times New Roman"/>
          <w:b/>
          <w:bCs/>
          <w:color w:val="000000"/>
          <w:kern w:val="2"/>
          <w:sz w:val="21"/>
          <w:szCs w:val="21"/>
        </w:rPr>
      </w:pPr>
      <w:r>
        <w:rPr>
          <w:rFonts w:hint="eastAsia" w:ascii="Times New Roman" w:hAnsi="Times New Roman" w:cs="Times New Roman"/>
          <w:b/>
          <w:bCs/>
          <w:color w:val="000000"/>
          <w:kern w:val="2"/>
          <w:sz w:val="21"/>
          <w:szCs w:val="21"/>
        </w:rPr>
        <w:t>十三、付款方式</w:t>
      </w:r>
    </w:p>
    <w:p w14:paraId="5A50A333">
      <w:pPr>
        <w:spacing w:line="360" w:lineRule="auto"/>
        <w:ind w:firstLine="422" w:firstLineChars="200"/>
        <w:rPr>
          <w:b/>
          <w:bCs/>
          <w:color w:val="000000" w:themeColor="text1"/>
        </w:rPr>
      </w:pPr>
      <w:r>
        <w:rPr>
          <w:rFonts w:hint="eastAsia"/>
          <w:b/>
          <w:bCs/>
          <w:color w:val="000000" w:themeColor="text1"/>
        </w:rPr>
        <w:t>合同签订之日起7个工作日内支付合同款的50%；通过采购人组织的成果验收后7个工作日内支付项目合同余款。付款前成交供应商先开具增值税发票给采购人。</w:t>
      </w:r>
    </w:p>
    <w:p w14:paraId="0C4FA25B">
      <w:pPr>
        <w:spacing w:line="360" w:lineRule="auto"/>
        <w:rPr>
          <w:rFonts w:ascii="Times New Roman" w:hAnsi="Times New Roman" w:cs="Times New Roman"/>
          <w:b/>
          <w:bCs/>
          <w:color w:val="000000"/>
        </w:rPr>
      </w:pPr>
      <w:r>
        <w:rPr>
          <w:rFonts w:hint="eastAsia" w:ascii="Times New Roman" w:hAnsi="Times New Roman" w:cs="Times New Roman"/>
          <w:b/>
          <w:bCs/>
          <w:color w:val="000000"/>
        </w:rPr>
        <w:t>十四、税费</w:t>
      </w:r>
    </w:p>
    <w:p w14:paraId="47C2C66C">
      <w:pPr>
        <w:spacing w:line="360" w:lineRule="auto"/>
        <w:ind w:firstLine="420" w:firstLineChars="200"/>
        <w:rPr>
          <w:rFonts w:ascii="Times New Roman" w:hAnsi="Times New Roman" w:cs="Times New Roman"/>
          <w:color w:val="000000"/>
        </w:rPr>
      </w:pPr>
      <w:r>
        <w:rPr>
          <w:rFonts w:hint="eastAsia" w:ascii="Times New Roman" w:hAnsi="Times New Roman" w:cs="Times New Roman"/>
          <w:color w:val="000000"/>
        </w:rPr>
        <w:t>本合同执行中相关的一切税费均由乙方负担。</w:t>
      </w:r>
    </w:p>
    <w:p w14:paraId="7FC9860D">
      <w:pPr>
        <w:pStyle w:val="15"/>
        <w:spacing w:line="360" w:lineRule="auto"/>
        <w:rPr>
          <w:rFonts w:ascii="Times New Roman" w:hAnsi="Times New Roman" w:cs="Times New Roman"/>
          <w:b/>
          <w:bCs/>
          <w:color w:val="000000"/>
          <w:kern w:val="2"/>
          <w:sz w:val="21"/>
          <w:szCs w:val="21"/>
        </w:rPr>
      </w:pPr>
      <w:r>
        <w:rPr>
          <w:rFonts w:hint="eastAsia" w:ascii="Times New Roman" w:hAnsi="Times New Roman" w:cs="Times New Roman"/>
          <w:b/>
          <w:bCs/>
          <w:color w:val="000000"/>
          <w:kern w:val="2"/>
          <w:sz w:val="21"/>
          <w:szCs w:val="21"/>
        </w:rPr>
        <w:t>十五、质量保证及售后服务</w:t>
      </w:r>
    </w:p>
    <w:p w14:paraId="6D5027BA">
      <w:pPr>
        <w:pStyle w:val="15"/>
        <w:spacing w:line="360" w:lineRule="auto"/>
        <w:ind w:firstLine="420" w:firstLineChars="2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1.项目后续配合服务期，以项目最终成果通过采购人的审核验收为止，及提供后续服务技术支持。</w:t>
      </w:r>
    </w:p>
    <w:p w14:paraId="5D1716B6">
      <w:pPr>
        <w:pStyle w:val="15"/>
        <w:spacing w:line="360" w:lineRule="auto"/>
        <w:ind w:firstLine="420" w:firstLineChars="2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2.响应时有其他服务承诺的，一并履行。</w:t>
      </w:r>
    </w:p>
    <w:p w14:paraId="02257DAD">
      <w:pPr>
        <w:pStyle w:val="15"/>
        <w:spacing w:line="360" w:lineRule="auto"/>
        <w:rPr>
          <w:rFonts w:ascii="Times New Roman" w:hAnsi="Times New Roman" w:cs="Times New Roman"/>
          <w:b/>
          <w:bCs/>
          <w:color w:val="000000"/>
          <w:kern w:val="2"/>
          <w:sz w:val="21"/>
          <w:szCs w:val="21"/>
        </w:rPr>
      </w:pPr>
      <w:r>
        <w:rPr>
          <w:rFonts w:hint="eastAsia" w:ascii="Times New Roman" w:hAnsi="Times New Roman" w:cs="Times New Roman"/>
          <w:b/>
          <w:bCs/>
          <w:color w:val="000000"/>
          <w:kern w:val="2"/>
          <w:sz w:val="21"/>
          <w:szCs w:val="21"/>
        </w:rPr>
        <w:t>十六、违约责任</w:t>
      </w:r>
    </w:p>
    <w:p w14:paraId="081F1DFB">
      <w:pPr>
        <w:pStyle w:val="15"/>
        <w:spacing w:line="360" w:lineRule="auto"/>
        <w:ind w:firstLine="420" w:firstLineChars="2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1.甲方无正当理由拒收服务的，甲方向乙方支付合同款项的5%作为违约金。</w:t>
      </w:r>
    </w:p>
    <w:p w14:paraId="30C3EB0B">
      <w:pPr>
        <w:pStyle w:val="15"/>
        <w:spacing w:line="360" w:lineRule="auto"/>
        <w:ind w:firstLine="420" w:firstLineChars="2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2.甲方无故逾期验收和办理款项支付手续的，甲方应按逾期付款总额每日万分之五向乙方支付违约金。</w:t>
      </w:r>
    </w:p>
    <w:p w14:paraId="7FE30CBB">
      <w:pPr>
        <w:pStyle w:val="15"/>
        <w:spacing w:line="360" w:lineRule="auto"/>
        <w:ind w:firstLine="420" w:firstLineChars="2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 xml:space="preserve">3.乙方逾期提供服务的，乙方应按逾期天数合同总额每日千分之六向甲方支付违约金，由甲方从待付合同款中扣除。逾期超过约定日期10个工作日不能提供服务的，甲方可解除本合同。乙方因逾期提供服务或因其他违约行为导致甲方解除合同的，乙方应向甲方支付合同总金额5%的违约金，如造成甲方损失超过违约金的，超出部分由乙方继续承担赔偿责任。 </w:t>
      </w:r>
    </w:p>
    <w:p w14:paraId="13321ABC">
      <w:pPr>
        <w:pStyle w:val="15"/>
        <w:spacing w:line="360" w:lineRule="auto"/>
        <w:ind w:firstLine="420" w:firstLineChars="2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4.乙方所交的货物（或服务）品种、型号、规格、技术参数、质量不符合合同规定及采购文件规定的标准的，甲方有权拒收该货物（或服务），乙方愿意更新货物（或服务）但逾期交货的，按乙方逾期交货处理。乙方拒绝更新货物（或服务）的，甲方可单方面解除合同。</w:t>
      </w:r>
    </w:p>
    <w:p w14:paraId="101B662F">
      <w:pPr>
        <w:pStyle w:val="15"/>
        <w:spacing w:line="360" w:lineRule="auto"/>
        <w:ind w:firstLine="420" w:firstLineChars="2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5.乙方应保证服务设备区域内的其他有关设施、设备不受损坏，否则由此引起的责任和损失由乙方承担。</w:t>
      </w:r>
    </w:p>
    <w:p w14:paraId="5DDF9216">
      <w:pPr>
        <w:pStyle w:val="15"/>
        <w:spacing w:line="360" w:lineRule="auto"/>
        <w:rPr>
          <w:rFonts w:ascii="Times New Roman" w:hAnsi="Times New Roman" w:cs="Times New Roman"/>
          <w:b/>
          <w:bCs/>
          <w:color w:val="000000"/>
          <w:kern w:val="2"/>
          <w:sz w:val="21"/>
          <w:szCs w:val="21"/>
        </w:rPr>
      </w:pPr>
      <w:r>
        <w:rPr>
          <w:rFonts w:hint="eastAsia" w:ascii="Times New Roman" w:hAnsi="Times New Roman" w:cs="Times New Roman"/>
          <w:b/>
          <w:bCs/>
          <w:color w:val="000000"/>
          <w:kern w:val="2"/>
          <w:sz w:val="21"/>
          <w:szCs w:val="21"/>
        </w:rPr>
        <w:t>十七、不可抗力事件处理</w:t>
      </w:r>
    </w:p>
    <w:p w14:paraId="515F8559">
      <w:pPr>
        <w:pStyle w:val="15"/>
        <w:spacing w:line="360" w:lineRule="auto"/>
        <w:ind w:firstLine="420" w:firstLineChars="2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1.在合同有效期内，任何一方因不可抗力事件导致不能履行合同，则合同履行期可延长，其延长期与不可抗力影响期相同。</w:t>
      </w:r>
    </w:p>
    <w:p w14:paraId="224A393B">
      <w:pPr>
        <w:pStyle w:val="15"/>
        <w:spacing w:line="360" w:lineRule="auto"/>
        <w:ind w:firstLine="420" w:firstLineChars="2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2.不可抗力事件发生后，应立即通知对方，并寄送有关权威机构出具的证明。</w:t>
      </w:r>
    </w:p>
    <w:p w14:paraId="23A78C55">
      <w:pPr>
        <w:pStyle w:val="15"/>
        <w:spacing w:line="360" w:lineRule="auto"/>
        <w:ind w:firstLine="420" w:firstLineChars="2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3.不可抗力事件延续120天以上，双方应通过友好协商，确定是否继续履行合同。</w:t>
      </w:r>
    </w:p>
    <w:p w14:paraId="1E7D1AA1">
      <w:pPr>
        <w:pStyle w:val="15"/>
        <w:spacing w:line="360" w:lineRule="auto"/>
        <w:rPr>
          <w:rFonts w:ascii="Times New Roman" w:hAnsi="Times New Roman" w:cs="Times New Roman"/>
          <w:b/>
          <w:bCs/>
          <w:color w:val="000000"/>
          <w:kern w:val="2"/>
          <w:sz w:val="21"/>
          <w:szCs w:val="21"/>
        </w:rPr>
      </w:pPr>
      <w:r>
        <w:rPr>
          <w:rFonts w:hint="eastAsia" w:ascii="Times New Roman" w:hAnsi="Times New Roman" w:cs="Times New Roman"/>
          <w:b/>
          <w:bCs/>
          <w:color w:val="000000"/>
          <w:kern w:val="2"/>
          <w:sz w:val="21"/>
          <w:szCs w:val="21"/>
        </w:rPr>
        <w:t>十八、诉讼</w:t>
      </w:r>
    </w:p>
    <w:p w14:paraId="10E11D3C">
      <w:pPr>
        <w:pStyle w:val="15"/>
        <w:spacing w:line="360" w:lineRule="auto"/>
        <w:ind w:left="420" w:hanging="420" w:hangingChars="2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 xml:space="preserve">    双方在执行合同中所发生的一切争议，应通过协商解决。如协商不成，可向甲方所在地法院起诉。</w:t>
      </w:r>
    </w:p>
    <w:p w14:paraId="6C6125E3">
      <w:pPr>
        <w:pStyle w:val="15"/>
        <w:spacing w:line="360" w:lineRule="auto"/>
        <w:rPr>
          <w:rFonts w:ascii="Times New Roman" w:hAnsi="Times New Roman" w:cs="Times New Roman"/>
          <w:b/>
          <w:bCs/>
          <w:color w:val="000000"/>
          <w:kern w:val="2"/>
          <w:sz w:val="21"/>
          <w:szCs w:val="21"/>
        </w:rPr>
      </w:pPr>
      <w:r>
        <w:rPr>
          <w:rFonts w:hint="eastAsia" w:ascii="Times New Roman" w:hAnsi="Times New Roman" w:cs="Times New Roman"/>
          <w:b/>
          <w:bCs/>
          <w:color w:val="000000"/>
          <w:kern w:val="2"/>
          <w:sz w:val="21"/>
          <w:szCs w:val="21"/>
        </w:rPr>
        <w:t>十九、合同生效及其他</w:t>
      </w:r>
    </w:p>
    <w:p w14:paraId="79B1E7F1">
      <w:pPr>
        <w:pStyle w:val="15"/>
        <w:spacing w:line="360" w:lineRule="auto"/>
        <w:ind w:firstLine="420" w:firstLineChars="2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1．合同经双方法定代表人或授权代表签字并加盖单位公章后生效。</w:t>
      </w:r>
    </w:p>
    <w:p w14:paraId="33272E02">
      <w:pPr>
        <w:pStyle w:val="15"/>
        <w:spacing w:line="360" w:lineRule="auto"/>
        <w:ind w:firstLine="420" w:firstLineChars="2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2．合同执行中涉及采购资金和采购内容修改或补充的，须经财政部门审批，并签订书面补充协议报政府采购监督管理部门备案，方可作为主合同不可分割的一部分。</w:t>
      </w:r>
    </w:p>
    <w:p w14:paraId="444CD1D2">
      <w:pPr>
        <w:pStyle w:val="15"/>
        <w:spacing w:line="360" w:lineRule="auto"/>
        <w:ind w:firstLine="420" w:firstLineChars="2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3．本合同未尽事宜，遵照相关法律法规有关条文执行。</w:t>
      </w:r>
    </w:p>
    <w:p w14:paraId="49012260">
      <w:pPr>
        <w:pStyle w:val="15"/>
        <w:spacing w:line="360" w:lineRule="auto"/>
        <w:ind w:firstLine="420" w:firstLineChars="2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4.本合同未涉及的部分以2025年杭州湾乐清湾鱼类环境DNA多样性调查项目（编号：</w:t>
      </w:r>
      <w:r>
        <w:rPr>
          <w:rFonts w:hint="eastAsia" w:ascii="Times New Roman" w:hAnsi="Times New Roman" w:cs="Times New Roman"/>
          <w:color w:val="000000"/>
          <w:kern w:val="2"/>
          <w:sz w:val="21"/>
          <w:szCs w:val="21"/>
          <w:lang w:eastAsia="zh-CN"/>
        </w:rPr>
        <w:t>ZHCG2025-13</w:t>
      </w:r>
      <w:r>
        <w:rPr>
          <w:rFonts w:hint="eastAsia" w:ascii="Times New Roman" w:hAnsi="Times New Roman" w:cs="Times New Roman"/>
          <w:color w:val="000000"/>
          <w:kern w:val="2"/>
          <w:sz w:val="21"/>
          <w:szCs w:val="21"/>
        </w:rPr>
        <w:t>）采购文件及其补充、修改文件为准，上述文件和乙方针对本项目的采购响应文件及承诺是本合同的附件，与本合同具有同等法律效力，但附件与主合同的规定不一致时，以主合同为准。</w:t>
      </w:r>
    </w:p>
    <w:p w14:paraId="1EA2797F">
      <w:pPr>
        <w:pStyle w:val="15"/>
        <w:spacing w:line="360" w:lineRule="auto"/>
        <w:ind w:firstLine="420" w:firstLineChars="2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5.本合同正本一式X份，具有同等法律效力，甲乙双方各执X份。</w:t>
      </w:r>
    </w:p>
    <w:p w14:paraId="1A8B667F">
      <w:pPr>
        <w:pStyle w:val="15"/>
        <w:spacing w:line="360" w:lineRule="auto"/>
        <w:rPr>
          <w:rFonts w:ascii="Times New Roman" w:hAnsi="Times New Roman" w:cs="Times New Roman"/>
          <w:color w:val="000000"/>
          <w:kern w:val="2"/>
          <w:sz w:val="21"/>
          <w:szCs w:val="21"/>
        </w:rPr>
      </w:pPr>
    </w:p>
    <w:p w14:paraId="5396C6F6">
      <w:pPr>
        <w:pStyle w:val="15"/>
        <w:spacing w:line="360" w:lineRule="auto"/>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甲方：                                    乙方：</w:t>
      </w:r>
    </w:p>
    <w:p w14:paraId="0AE5B229">
      <w:pPr>
        <w:pStyle w:val="15"/>
        <w:spacing w:line="360" w:lineRule="auto"/>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 xml:space="preserve">（盖章）                                  （盖章） </w:t>
      </w:r>
    </w:p>
    <w:p w14:paraId="2738621B">
      <w:pPr>
        <w:pStyle w:val="15"/>
        <w:spacing w:line="360" w:lineRule="auto"/>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法人或授权代表签字：                      法人或授权代表签字：</w:t>
      </w:r>
    </w:p>
    <w:p w14:paraId="6BB6539A">
      <w:pPr>
        <w:pStyle w:val="15"/>
        <w:spacing w:line="360" w:lineRule="auto"/>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地址：                                    地址：</w:t>
      </w:r>
    </w:p>
    <w:p w14:paraId="6043F891">
      <w:pPr>
        <w:pStyle w:val="15"/>
        <w:spacing w:line="360" w:lineRule="auto"/>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邮编：                                    邮编：</w:t>
      </w:r>
    </w:p>
    <w:p w14:paraId="2E42AF54">
      <w:pPr>
        <w:pStyle w:val="15"/>
        <w:spacing w:line="360" w:lineRule="auto"/>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电话：                                    电话：</w:t>
      </w:r>
    </w:p>
    <w:p w14:paraId="225EBC26">
      <w:pPr>
        <w:pStyle w:val="15"/>
        <w:spacing w:line="360" w:lineRule="auto"/>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传真：                                    传真：</w:t>
      </w:r>
    </w:p>
    <w:p w14:paraId="50230F69">
      <w:pPr>
        <w:pStyle w:val="15"/>
        <w:spacing w:line="360" w:lineRule="auto"/>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 xml:space="preserve">                                      签约时间：    年   月   日</w:t>
      </w:r>
    </w:p>
    <w:p w14:paraId="5F689DBC">
      <w:pPr>
        <w:pStyle w:val="15"/>
        <w:spacing w:line="360" w:lineRule="auto"/>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 xml:space="preserve">                                      签约地点： </w:t>
      </w:r>
    </w:p>
    <w:p w14:paraId="26258AE6">
      <w:pPr>
        <w:tabs>
          <w:tab w:val="left" w:pos="2977"/>
        </w:tabs>
        <w:snapToGrid w:val="0"/>
        <w:spacing w:line="400" w:lineRule="exact"/>
        <w:rPr>
          <w:rFonts w:ascii="仿宋_GB2312" w:eastAsia="仿宋_GB2312"/>
          <w:sz w:val="24"/>
        </w:rPr>
      </w:pPr>
    </w:p>
    <w:p w14:paraId="49980EBD">
      <w:pPr>
        <w:pStyle w:val="2"/>
        <w:rPr>
          <w:rFonts w:ascii="Times New Roman" w:hAnsi="Times New Roman" w:cs="Times New Roman"/>
          <w:color w:val="000000" w:themeColor="text1"/>
          <w:sz w:val="21"/>
          <w:szCs w:val="21"/>
        </w:rPr>
      </w:pPr>
    </w:p>
    <w:p w14:paraId="6ADBA34A">
      <w:pPr>
        <w:rPr>
          <w:rFonts w:ascii="Times New Roman" w:hAnsi="Times New Roman" w:cs="Times New Roman"/>
          <w:b/>
          <w:bCs/>
          <w:color w:val="000000" w:themeColor="text1"/>
        </w:rPr>
      </w:pPr>
    </w:p>
    <w:p w14:paraId="06E20B7B">
      <w:pPr>
        <w:spacing w:line="360" w:lineRule="auto"/>
        <w:ind w:left="645"/>
        <w:rPr>
          <w:rFonts w:ascii="Times New Roman" w:hAnsi="Times New Roman" w:cs="Times New Roman"/>
          <w:b/>
          <w:color w:val="000000" w:themeColor="text1"/>
        </w:rPr>
      </w:pPr>
      <w:r>
        <w:rPr>
          <w:rFonts w:ascii="Times New Roman" w:hAnsi="Times New Roman" w:cs="Times New Roman"/>
          <w:b/>
          <w:color w:val="000000" w:themeColor="text1"/>
        </w:rPr>
        <w:t>注：本合同为示范文本，具体以中标人与采购人所</w:t>
      </w:r>
      <w:r>
        <w:rPr>
          <w:rFonts w:hint="eastAsia" w:ascii="Times New Roman" w:hAnsi="Times New Roman" w:cs="Times New Roman"/>
          <w:b/>
          <w:color w:val="000000" w:themeColor="text1"/>
        </w:rPr>
        <w:t>签订正式合同</w:t>
      </w:r>
      <w:r>
        <w:rPr>
          <w:rFonts w:ascii="Times New Roman" w:hAnsi="Times New Roman" w:cs="Times New Roman"/>
          <w:b/>
          <w:color w:val="000000" w:themeColor="text1"/>
        </w:rPr>
        <w:t>为准。</w:t>
      </w:r>
    </w:p>
    <w:p w14:paraId="26E19CC5">
      <w:pPr>
        <w:pStyle w:val="22"/>
        <w:rPr>
          <w:rFonts w:ascii="Times New Roman" w:hAnsi="Times New Roman" w:cs="Times New Roman"/>
          <w:color w:val="000000" w:themeColor="text1"/>
        </w:rPr>
      </w:pPr>
    </w:p>
    <w:p w14:paraId="1E619AFD">
      <w:pPr>
        <w:rPr>
          <w:rFonts w:ascii="Times New Roman" w:hAnsi="Times New Roman" w:cs="Times New Roman"/>
          <w:b/>
          <w:color w:val="000000" w:themeColor="text1"/>
        </w:rPr>
      </w:pPr>
    </w:p>
    <w:p w14:paraId="7C8EAEF9">
      <w:pPr>
        <w:pStyle w:val="22"/>
        <w:rPr>
          <w:rFonts w:ascii="Times New Roman" w:hAnsi="Times New Roman" w:cs="Times New Roman"/>
          <w:color w:val="000000" w:themeColor="text1"/>
        </w:rPr>
      </w:pPr>
    </w:p>
    <w:p w14:paraId="6248E0A6">
      <w:pPr>
        <w:rPr>
          <w:rFonts w:ascii="Times New Roman" w:hAnsi="Times New Roman" w:cs="Times New Roman"/>
          <w:b/>
          <w:color w:val="000000" w:themeColor="text1"/>
        </w:rPr>
      </w:pPr>
    </w:p>
    <w:p w14:paraId="05DEBEF9">
      <w:pPr>
        <w:pStyle w:val="22"/>
        <w:rPr>
          <w:rFonts w:ascii="Times New Roman" w:hAnsi="Times New Roman" w:cs="Times New Roman"/>
          <w:color w:val="000000" w:themeColor="text1"/>
        </w:rPr>
      </w:pPr>
    </w:p>
    <w:p w14:paraId="23C426FB">
      <w:pPr>
        <w:rPr>
          <w:rFonts w:ascii="Times New Roman" w:hAnsi="Times New Roman" w:cs="Times New Roman"/>
          <w:b/>
          <w:color w:val="000000" w:themeColor="text1"/>
        </w:rPr>
      </w:pPr>
    </w:p>
    <w:p w14:paraId="42512B8C">
      <w:pPr>
        <w:pStyle w:val="22"/>
        <w:rPr>
          <w:rFonts w:ascii="Times New Roman" w:hAnsi="Times New Roman" w:cs="Times New Roman"/>
          <w:color w:val="000000" w:themeColor="text1"/>
        </w:rPr>
      </w:pPr>
    </w:p>
    <w:p w14:paraId="773204D3">
      <w:pPr>
        <w:numPr>
          <w:ilvl w:val="0"/>
          <w:numId w:val="13"/>
        </w:numPr>
        <w:jc w:val="center"/>
        <w:rPr>
          <w:rFonts w:ascii="Times New Roman" w:hAnsi="Times New Roman" w:cs="Times New Roman"/>
          <w:b/>
          <w:bCs/>
          <w:color w:val="000000" w:themeColor="text1"/>
          <w:sz w:val="30"/>
          <w:szCs w:val="30"/>
        </w:rPr>
      </w:pPr>
      <w:bookmarkStart w:id="2" w:name="_Toc451429387"/>
      <w:bookmarkStart w:id="3" w:name="_Toc480187595"/>
      <w:r>
        <w:rPr>
          <w:rFonts w:ascii="Times New Roman" w:hAnsi="Times New Roman" w:cs="Times New Roman"/>
          <w:b/>
          <w:bCs/>
          <w:color w:val="000000" w:themeColor="text1"/>
          <w:sz w:val="30"/>
          <w:szCs w:val="30"/>
        </w:rPr>
        <w:t>投标文件相关格式</w:t>
      </w:r>
    </w:p>
    <w:p w14:paraId="088999F8">
      <w:pPr>
        <w:pStyle w:val="57"/>
        <w:numPr>
          <w:ilvl w:val="255"/>
          <w:numId w:val="0"/>
        </w:numPr>
        <w:spacing w:before="159" w:after="159"/>
        <w:ind w:right="-506" w:rightChars="-241" w:firstLine="420" w:firstLineChars="200"/>
        <w:rPr>
          <w:rFonts w:hAnsi="宋体" w:eastAsia="宋体"/>
          <w:b/>
          <w:sz w:val="21"/>
          <w:szCs w:val="21"/>
        </w:rPr>
      </w:pPr>
      <w:r>
        <w:rPr>
          <w:rFonts w:hint="eastAsia" w:hAnsi="宋体"/>
          <w:sz w:val="21"/>
        </w:rPr>
        <w:t>投标文件由</w:t>
      </w:r>
      <w:r>
        <w:rPr>
          <w:rFonts w:hint="eastAsia" w:ascii="Times New Roman" w:hAnsi="Times New Roman" w:eastAsia="宋体" w:cs="Times New Roman"/>
          <w:sz w:val="21"/>
        </w:rPr>
        <w:t>资格响应文件、商务及技术响应文件、报价文件三部分组成</w:t>
      </w:r>
      <w:r>
        <w:rPr>
          <w:rFonts w:hint="eastAsia" w:ascii="Times New Roman" w:hAnsi="Times New Roman" w:eastAsia="宋体" w:cs="Times New Roman"/>
          <w:sz w:val="21"/>
          <w:szCs w:val="21"/>
        </w:rPr>
        <w:t>。</w:t>
      </w:r>
      <w:r>
        <w:rPr>
          <w:rFonts w:hint="eastAsia" w:hAnsi="宋体"/>
          <w:b/>
          <w:sz w:val="21"/>
          <w:szCs w:val="21"/>
        </w:rPr>
        <w:t>投标文件中涉及的有关内容均须提供合法有效的证明材料扫描</w:t>
      </w:r>
      <w:r>
        <w:rPr>
          <w:rFonts w:hint="eastAsia" w:hAnsi="宋体" w:eastAsia="宋体"/>
          <w:b/>
          <w:sz w:val="21"/>
          <w:szCs w:val="21"/>
        </w:rPr>
        <w:t>件</w:t>
      </w:r>
      <w:r>
        <w:rPr>
          <w:rFonts w:hint="eastAsia" w:hAnsi="宋体"/>
          <w:b/>
          <w:sz w:val="21"/>
          <w:szCs w:val="21"/>
        </w:rPr>
        <w:t>。</w:t>
      </w:r>
      <w:r>
        <w:rPr>
          <w:rFonts w:hint="eastAsia" w:ascii="Times New Roman" w:hAnsi="Times New Roman" w:eastAsia="宋体" w:cs="Times New Roman"/>
          <w:sz w:val="21"/>
          <w:szCs w:val="21"/>
        </w:rPr>
        <w:t>电子投标文件中所须加盖公章部分均采用CA签章。</w:t>
      </w:r>
      <w:r>
        <w:rPr>
          <w:rFonts w:hint="eastAsia" w:hAnsi="宋体"/>
          <w:b/>
          <w:sz w:val="21"/>
          <w:szCs w:val="21"/>
        </w:rPr>
        <w:t>有▲标识的条款为必须提交的资料</w:t>
      </w:r>
      <w:r>
        <w:rPr>
          <w:rFonts w:hint="eastAsia" w:hAnsi="宋体" w:eastAsia="宋体"/>
          <w:b/>
          <w:sz w:val="21"/>
          <w:szCs w:val="21"/>
        </w:rPr>
        <w:t>。</w:t>
      </w:r>
    </w:p>
    <w:p w14:paraId="5559B486">
      <w:pPr>
        <w:pStyle w:val="57"/>
        <w:numPr>
          <w:ilvl w:val="255"/>
          <w:numId w:val="0"/>
        </w:numPr>
        <w:spacing w:before="159" w:after="159"/>
        <w:ind w:right="-506" w:rightChars="-241" w:firstLine="422" w:firstLineChars="200"/>
        <w:rPr>
          <w:rFonts w:hAnsi="宋体" w:eastAsia="宋体"/>
          <w:b/>
          <w:sz w:val="21"/>
          <w:szCs w:val="21"/>
        </w:rPr>
      </w:pPr>
      <w:r>
        <w:rPr>
          <w:rFonts w:hint="eastAsia" w:hAnsi="宋体" w:eastAsia="宋体"/>
          <w:b/>
          <w:sz w:val="21"/>
          <w:szCs w:val="21"/>
        </w:rPr>
        <w:t>▲1、资格响应部分：</w:t>
      </w:r>
    </w:p>
    <w:p w14:paraId="42062F25">
      <w:pPr>
        <w:snapToGrid w:val="0"/>
        <w:spacing w:line="360" w:lineRule="auto"/>
        <w:ind w:firstLine="420" w:firstLineChars="200"/>
        <w:jc w:val="left"/>
        <w:rPr>
          <w:rFonts w:ascii="宋体" w:hAnsi="宋体" w:cs="宋体"/>
        </w:rPr>
      </w:pPr>
      <w:r>
        <w:rPr>
          <w:rFonts w:hint="eastAsia" w:ascii="宋体" w:hAnsi="宋体" w:cs="宋体"/>
        </w:rPr>
        <w:t>基本资格条件：符合《中华人民共和国政府采购法》第二十二条的规定；</w:t>
      </w:r>
    </w:p>
    <w:p w14:paraId="5EFDC8D4">
      <w:pPr>
        <w:snapToGrid w:val="0"/>
        <w:spacing w:line="360" w:lineRule="auto"/>
        <w:ind w:firstLine="420" w:firstLineChars="200"/>
        <w:jc w:val="left"/>
        <w:rPr>
          <w:rFonts w:ascii="宋体" w:hAnsi="宋体" w:cs="宋体"/>
        </w:rPr>
      </w:pPr>
      <w:r>
        <w:rPr>
          <w:rFonts w:hint="eastAsia" w:ascii="宋体" w:hAnsi="宋体" w:cs="宋体"/>
        </w:rPr>
        <w:t>1.1营业执照复印件；</w:t>
      </w:r>
    </w:p>
    <w:p w14:paraId="0C97FD8E">
      <w:pPr>
        <w:snapToGrid w:val="0"/>
        <w:spacing w:line="360" w:lineRule="auto"/>
        <w:ind w:firstLine="420" w:firstLineChars="200"/>
        <w:jc w:val="left"/>
        <w:rPr>
          <w:rFonts w:ascii="宋体" w:hAnsi="宋体" w:cs="宋体"/>
        </w:rPr>
      </w:pPr>
      <w:r>
        <w:rPr>
          <w:rFonts w:hint="eastAsia" w:ascii="宋体" w:hAnsi="宋体" w:cs="宋体"/>
        </w:rPr>
        <w:t>提供在工商部门注册的有效“企业法人营业执照”或“营业执照”</w:t>
      </w:r>
    </w:p>
    <w:p w14:paraId="366B482D">
      <w:pPr>
        <w:snapToGrid w:val="0"/>
        <w:spacing w:line="360" w:lineRule="auto"/>
        <w:ind w:firstLine="420" w:firstLineChars="200"/>
        <w:jc w:val="left"/>
        <w:rPr>
          <w:rFonts w:ascii="宋体" w:hAnsi="宋体" w:cs="宋体"/>
        </w:rPr>
      </w:pPr>
      <w:r>
        <w:rPr>
          <w:rFonts w:hint="eastAsia" w:ascii="宋体" w:hAnsi="宋体" w:cs="宋体"/>
        </w:rPr>
        <w:t>1.1.1特定行业（银行、保险、石油石化、电力、电信、移动、联通等行业）供应商为区域性分支机构的提供总公司（总机构）授权书。（如是）</w:t>
      </w:r>
    </w:p>
    <w:p w14:paraId="1E0A1BAB">
      <w:pPr>
        <w:snapToGrid w:val="0"/>
        <w:spacing w:line="360" w:lineRule="auto"/>
        <w:ind w:firstLine="420" w:firstLineChars="200"/>
        <w:jc w:val="left"/>
        <w:rPr>
          <w:rFonts w:ascii="宋体" w:hAnsi="宋体" w:cs="宋体"/>
        </w:rPr>
      </w:pPr>
      <w:r>
        <w:rPr>
          <w:rFonts w:hint="eastAsia" w:ascii="宋体" w:hAnsi="宋体" w:cs="宋体"/>
        </w:rPr>
        <w:t>1.2《投标函》（格式见附件）；</w:t>
      </w:r>
    </w:p>
    <w:p w14:paraId="5C766A22">
      <w:pPr>
        <w:snapToGrid w:val="0"/>
        <w:spacing w:line="360" w:lineRule="auto"/>
        <w:ind w:firstLine="420" w:firstLineChars="200"/>
        <w:jc w:val="left"/>
        <w:rPr>
          <w:rFonts w:ascii="宋体" w:hAnsi="宋体" w:cs="宋体"/>
        </w:rPr>
      </w:pPr>
      <w:r>
        <w:rPr>
          <w:rFonts w:hint="eastAsia" w:ascii="宋体" w:hAnsi="宋体" w:cs="宋体"/>
        </w:rPr>
        <w:t>1.3法定代表人（负责人）身份证复印件；</w:t>
      </w:r>
    </w:p>
    <w:p w14:paraId="193C01AD">
      <w:pPr>
        <w:snapToGrid w:val="0"/>
        <w:spacing w:line="360" w:lineRule="auto"/>
        <w:ind w:firstLine="420" w:firstLineChars="200"/>
        <w:jc w:val="left"/>
      </w:pPr>
      <w:r>
        <w:rPr>
          <w:rFonts w:hint="eastAsia" w:ascii="宋体" w:hAnsi="宋体" w:cs="宋体"/>
        </w:rPr>
        <w:t>注：证明材料均需加盖公章。</w:t>
      </w:r>
    </w:p>
    <w:p w14:paraId="7C64F7D0">
      <w:pPr>
        <w:pStyle w:val="57"/>
        <w:numPr>
          <w:ilvl w:val="0"/>
          <w:numId w:val="14"/>
        </w:numPr>
        <w:snapToGrid w:val="0"/>
        <w:spacing w:before="159" w:after="159" w:line="360" w:lineRule="auto"/>
        <w:ind w:right="-506" w:rightChars="-241" w:firstLine="417" w:firstLineChars="198"/>
        <w:rPr>
          <w:rFonts w:hAnsi="宋体" w:eastAsia="宋体"/>
          <w:b/>
          <w:sz w:val="21"/>
          <w:szCs w:val="21"/>
        </w:rPr>
      </w:pPr>
      <w:r>
        <w:rPr>
          <w:rFonts w:hint="eastAsia" w:hAnsi="宋体" w:eastAsia="宋体"/>
          <w:b/>
          <w:sz w:val="21"/>
          <w:szCs w:val="21"/>
        </w:rPr>
        <w:t>商务及技术部分：</w:t>
      </w:r>
    </w:p>
    <w:p w14:paraId="42A4530B">
      <w:pPr>
        <w:spacing w:line="360" w:lineRule="auto"/>
        <w:ind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2.1供应商自评表（格式见附件）</w:t>
      </w:r>
    </w:p>
    <w:p w14:paraId="734108B4">
      <w:pPr>
        <w:spacing w:line="360" w:lineRule="auto"/>
        <w:ind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2.2投标人综合</w:t>
      </w:r>
      <w:r>
        <w:rPr>
          <w:rFonts w:hint="eastAsia" w:ascii="Times New Roman" w:hAnsi="Times New Roman" w:cs="Times New Roman"/>
          <w:color w:val="000000" w:themeColor="text1"/>
        </w:rPr>
        <w:t>情况</w:t>
      </w:r>
      <w:r>
        <w:rPr>
          <w:rFonts w:ascii="Times New Roman" w:hAnsi="Times New Roman" w:cs="Times New Roman"/>
          <w:color w:val="000000" w:themeColor="text1"/>
        </w:rPr>
        <w:t>（如有）；</w:t>
      </w:r>
    </w:p>
    <w:p w14:paraId="7B622CE7">
      <w:pPr>
        <w:spacing w:line="360" w:lineRule="auto"/>
        <w:ind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2.3企业业绩（如有）（格式见附件）</w:t>
      </w:r>
    </w:p>
    <w:p w14:paraId="28E04AD8">
      <w:pPr>
        <w:spacing w:line="360" w:lineRule="auto"/>
        <w:ind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2.4项目</w:t>
      </w:r>
      <w:r>
        <w:rPr>
          <w:rFonts w:hint="eastAsia" w:ascii="Times New Roman" w:hAnsi="Times New Roman" w:cs="Times New Roman"/>
          <w:color w:val="000000" w:themeColor="text1"/>
        </w:rPr>
        <w:t>人员配置</w:t>
      </w:r>
      <w:r>
        <w:rPr>
          <w:rFonts w:ascii="Times New Roman" w:hAnsi="Times New Roman" w:cs="Times New Roman"/>
          <w:color w:val="000000" w:themeColor="text1"/>
        </w:rPr>
        <w:t>（项目负责人及其他主要管理人员须提供有效证件/证书等，中标后人员不得随意更换，更换需采购人书面同意）</w:t>
      </w:r>
    </w:p>
    <w:p w14:paraId="2A8AB518">
      <w:pPr>
        <w:pStyle w:val="52"/>
        <w:contextualSpacing/>
        <w:rPr>
          <w:rFonts w:ascii="Times New Roman" w:hAnsi="Times New Roman" w:cs="Times New Roman"/>
          <w:color w:val="000000" w:themeColor="text1"/>
        </w:rPr>
      </w:pPr>
      <w:r>
        <w:rPr>
          <w:rFonts w:ascii="Times New Roman" w:hAnsi="Times New Roman" w:cs="Times New Roman"/>
          <w:color w:val="000000" w:themeColor="text1"/>
        </w:rPr>
        <w:t>2.5</w:t>
      </w:r>
      <w:r>
        <w:rPr>
          <w:rFonts w:hint="eastAsia" w:ascii="Times New Roman" w:hAnsi="Times New Roman" w:cs="Times New Roman"/>
          <w:color w:val="000000" w:themeColor="text1"/>
        </w:rPr>
        <w:t>实施方案</w:t>
      </w:r>
      <w:r>
        <w:rPr>
          <w:rFonts w:ascii="Times New Roman" w:hAnsi="Times New Roman" w:cs="Times New Roman"/>
          <w:color w:val="000000" w:themeColor="text1"/>
        </w:rPr>
        <w:t>（如有）；</w:t>
      </w:r>
    </w:p>
    <w:p w14:paraId="716475BD">
      <w:pPr>
        <w:spacing w:line="360" w:lineRule="auto"/>
        <w:ind w:firstLine="420" w:firstLineChars="200"/>
        <w:contextualSpacing/>
        <w:jc w:val="left"/>
        <w:rPr>
          <w:rFonts w:ascii="Times New Roman" w:hAnsi="Times New Roman" w:cs="Times New Roman"/>
          <w:color w:val="000000" w:themeColor="text1"/>
        </w:rPr>
      </w:pPr>
      <w:r>
        <w:rPr>
          <w:rFonts w:hint="eastAsia" w:ascii="Times New Roman" w:hAnsi="Times New Roman" w:cs="Times New Roman"/>
          <w:color w:val="000000" w:themeColor="text1"/>
        </w:rPr>
        <w:t>2.6商务偏离表（格式见附件）；</w:t>
      </w:r>
    </w:p>
    <w:p w14:paraId="269C3CEA">
      <w:pPr>
        <w:spacing w:line="360" w:lineRule="auto"/>
        <w:ind w:firstLine="420" w:firstLineChars="200"/>
        <w:contextualSpacing/>
        <w:jc w:val="left"/>
        <w:rPr>
          <w:rFonts w:ascii="Times New Roman" w:hAnsi="Times New Roman" w:cs="Times New Roman"/>
          <w:color w:val="000000" w:themeColor="text1"/>
        </w:rPr>
      </w:pPr>
      <w:r>
        <w:rPr>
          <w:rFonts w:hint="eastAsia" w:ascii="Times New Roman" w:hAnsi="Times New Roman" w:cs="Times New Roman"/>
          <w:color w:val="000000" w:themeColor="text1"/>
        </w:rPr>
        <w:t>2.7设备情况（格式自拟）；</w:t>
      </w:r>
    </w:p>
    <w:p w14:paraId="6792BF69">
      <w:pPr>
        <w:spacing w:line="360" w:lineRule="auto"/>
        <w:ind w:firstLine="420" w:firstLineChars="200"/>
        <w:contextualSpacing/>
        <w:jc w:val="left"/>
        <w:rPr>
          <w:rFonts w:ascii="Times New Roman" w:hAnsi="Times New Roman" w:cs="Times New Roman"/>
          <w:color w:val="000000" w:themeColor="text1"/>
        </w:rPr>
      </w:pPr>
      <w:r>
        <w:rPr>
          <w:rFonts w:hint="eastAsia" w:ascii="Times New Roman" w:hAnsi="Times New Roman" w:cs="Times New Roman"/>
          <w:color w:val="000000" w:themeColor="text1"/>
        </w:rPr>
        <w:t>2.8保密制度（如有）；</w:t>
      </w:r>
    </w:p>
    <w:p w14:paraId="32157BD8">
      <w:pPr>
        <w:spacing w:line="360" w:lineRule="auto"/>
        <w:ind w:firstLine="420" w:firstLineChars="200"/>
        <w:contextualSpacing/>
        <w:jc w:val="left"/>
        <w:rPr>
          <w:rFonts w:ascii="Times New Roman" w:hAnsi="Times New Roman" w:cs="Times New Roman"/>
          <w:color w:val="000000" w:themeColor="text1"/>
          <w:highlight w:val="yellow"/>
        </w:rPr>
      </w:pPr>
      <w:r>
        <w:rPr>
          <w:rFonts w:hint="eastAsia" w:ascii="Times New Roman" w:hAnsi="Times New Roman" w:cs="Times New Roman"/>
          <w:color w:val="000000" w:themeColor="text1"/>
        </w:rPr>
        <w:t>2.9</w:t>
      </w:r>
      <w:r>
        <w:rPr>
          <w:rFonts w:hint="eastAsia" w:ascii="Times New Roman" w:hAnsi="Times New Roman"/>
        </w:rPr>
        <w:t>重难点分析及解决方</w:t>
      </w:r>
      <w:r>
        <w:rPr>
          <w:rFonts w:hint="eastAsia" w:ascii="Times New Roman" w:hAnsi="Times New Roman" w:cs="Times New Roman"/>
          <w:color w:val="000000" w:themeColor="text1"/>
        </w:rPr>
        <w:t>案</w:t>
      </w:r>
      <w:r>
        <w:rPr>
          <w:rFonts w:ascii="Times New Roman" w:hAnsi="Times New Roman" w:cs="Times New Roman"/>
          <w:color w:val="000000" w:themeColor="text1"/>
        </w:rPr>
        <w:t>（如有）；</w:t>
      </w:r>
    </w:p>
    <w:p w14:paraId="156E201B">
      <w:pPr>
        <w:spacing w:line="360" w:lineRule="auto"/>
        <w:ind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2.</w:t>
      </w:r>
      <w:r>
        <w:rPr>
          <w:rFonts w:hint="eastAsia" w:ascii="Times New Roman" w:hAnsi="Times New Roman" w:cs="Times New Roman"/>
          <w:color w:val="000000" w:themeColor="text1"/>
        </w:rPr>
        <w:t>10</w:t>
      </w:r>
      <w:r>
        <w:rPr>
          <w:rFonts w:ascii="Times New Roman" w:hAnsi="Times New Roman" w:cs="Times New Roman"/>
          <w:color w:val="000000" w:themeColor="text1"/>
        </w:rPr>
        <w:t>本采购文件要求提供的和投标人认为需要提供</w:t>
      </w:r>
      <w:r>
        <w:rPr>
          <w:rFonts w:hint="eastAsia" w:ascii="Times New Roman" w:hAnsi="Times New Roman" w:cs="Times New Roman"/>
          <w:color w:val="000000" w:themeColor="text1"/>
        </w:rPr>
        <w:t>的其他</w:t>
      </w:r>
      <w:r>
        <w:rPr>
          <w:rFonts w:ascii="Times New Roman" w:hAnsi="Times New Roman" w:cs="Times New Roman"/>
          <w:color w:val="000000" w:themeColor="text1"/>
        </w:rPr>
        <w:t>说明和资料/文件。</w:t>
      </w:r>
    </w:p>
    <w:p w14:paraId="46630F2A">
      <w:pPr>
        <w:spacing w:line="360" w:lineRule="auto"/>
        <w:ind w:firstLine="420" w:firstLineChars="200"/>
        <w:contextualSpacing/>
        <w:rPr>
          <w:rFonts w:ascii="Times New Roman" w:hAnsi="Times New Roman" w:cs="Times New Roman"/>
          <w:b/>
          <w:bCs/>
          <w:color w:val="000000" w:themeColor="text1"/>
          <w:u w:val="single"/>
        </w:rPr>
      </w:pPr>
      <w:r>
        <w:rPr>
          <w:rFonts w:ascii="Times New Roman" w:hAnsi="Times New Roman" w:cs="Times New Roman"/>
          <w:color w:val="000000" w:themeColor="text1"/>
          <w:u w:val="single"/>
        </w:rPr>
        <w:t>2.</w:t>
      </w:r>
      <w:r>
        <w:rPr>
          <w:rFonts w:hint="eastAsia" w:ascii="Times New Roman" w:hAnsi="Times New Roman" w:cs="Times New Roman"/>
          <w:color w:val="000000" w:themeColor="text1"/>
          <w:u w:val="single"/>
        </w:rPr>
        <w:t>11</w:t>
      </w:r>
      <w:r>
        <w:rPr>
          <w:rFonts w:ascii="Times New Roman" w:hAnsi="Times New Roman" w:cs="Times New Roman"/>
          <w:color w:val="000000" w:themeColor="text1"/>
          <w:u w:val="single"/>
        </w:rPr>
        <w:t>政府采购活动现场确认声明书（</w:t>
      </w:r>
      <w:r>
        <w:rPr>
          <w:rFonts w:ascii="Times New Roman" w:hAnsi="Times New Roman" w:cs="Times New Roman"/>
          <w:b/>
          <w:bCs/>
          <w:color w:val="000000" w:themeColor="text1"/>
          <w:u w:val="single"/>
        </w:rPr>
        <w:t>本表在开标截止时间后</w:t>
      </w:r>
      <w:r>
        <w:rPr>
          <w:rFonts w:hint="eastAsia" w:ascii="Times New Roman" w:hAnsi="Times New Roman" w:cs="Times New Roman"/>
          <w:b/>
          <w:bCs/>
          <w:color w:val="000000" w:themeColor="text1"/>
          <w:u w:val="single"/>
        </w:rPr>
        <w:t>，</w:t>
      </w:r>
      <w:r>
        <w:rPr>
          <w:rFonts w:ascii="Times New Roman" w:hAnsi="Times New Roman" w:cs="Times New Roman"/>
          <w:b/>
          <w:bCs/>
          <w:color w:val="000000" w:themeColor="text1"/>
          <w:u w:val="single"/>
        </w:rPr>
        <w:t>尽快填写</w:t>
      </w:r>
      <w:r>
        <w:rPr>
          <w:rFonts w:hint="eastAsia" w:ascii="Times New Roman" w:hAnsi="Times New Roman" w:cs="Times New Roman"/>
          <w:b/>
          <w:bCs/>
          <w:color w:val="000000" w:themeColor="text1"/>
          <w:u w:val="single"/>
        </w:rPr>
        <w:t>完毕</w:t>
      </w:r>
      <w:r>
        <w:rPr>
          <w:rFonts w:ascii="Times New Roman" w:hAnsi="Times New Roman" w:cs="Times New Roman"/>
          <w:b/>
          <w:bCs/>
          <w:color w:val="000000" w:themeColor="text1"/>
          <w:u w:val="single"/>
        </w:rPr>
        <w:t>并加盖公章传至</w:t>
      </w:r>
      <w:r>
        <w:rPr>
          <w:rFonts w:hint="eastAsia" w:ascii="Times New Roman" w:hAnsi="Times New Roman" w:cs="Times New Roman"/>
          <w:b/>
          <w:bCs/>
          <w:color w:val="000000" w:themeColor="text1"/>
          <w:u w:val="single"/>
        </w:rPr>
        <w:t>41688047</w:t>
      </w:r>
      <w:r>
        <w:rPr>
          <w:rFonts w:ascii="Times New Roman" w:hAnsi="Times New Roman" w:cs="Times New Roman"/>
          <w:b/>
          <w:bCs/>
          <w:color w:val="000000" w:themeColor="text1"/>
          <w:u w:val="single"/>
        </w:rPr>
        <w:t>@qq.com）</w:t>
      </w:r>
    </w:p>
    <w:p w14:paraId="080A5462">
      <w:pPr>
        <w:pStyle w:val="57"/>
        <w:snapToGrid w:val="0"/>
        <w:spacing w:before="159" w:after="159" w:line="360" w:lineRule="auto"/>
        <w:ind w:firstLine="422" w:firstLineChars="200"/>
        <w:rPr>
          <w:rFonts w:hAnsi="宋体" w:eastAsia="宋体" w:cs="Times New Roman"/>
          <w:b/>
          <w:bCs/>
          <w:sz w:val="21"/>
          <w:szCs w:val="21"/>
        </w:rPr>
      </w:pPr>
      <w:r>
        <w:rPr>
          <w:rFonts w:hAnsi="宋体" w:eastAsia="宋体"/>
          <w:b/>
          <w:bCs/>
          <w:sz w:val="21"/>
          <w:szCs w:val="21"/>
        </w:rPr>
        <w:t>3</w:t>
      </w:r>
      <w:r>
        <w:rPr>
          <w:rFonts w:hint="eastAsia" w:hAnsi="宋体" w:eastAsia="宋体"/>
          <w:b/>
          <w:bCs/>
          <w:sz w:val="21"/>
          <w:szCs w:val="21"/>
        </w:rPr>
        <w:t>、报价部分：</w:t>
      </w:r>
    </w:p>
    <w:p w14:paraId="4CA508A9">
      <w:pPr>
        <w:snapToGrid w:val="0"/>
        <w:spacing w:line="360" w:lineRule="auto"/>
        <w:ind w:firstLine="210" w:firstLineChars="100"/>
        <w:jc w:val="left"/>
        <w:rPr>
          <w:rFonts w:ascii="宋体" w:cs="Times New Roman"/>
        </w:rPr>
      </w:pPr>
      <w:r>
        <w:rPr>
          <w:rFonts w:hint="eastAsia" w:ascii="宋体" w:cs="宋体"/>
        </w:rPr>
        <w:t>▲</w:t>
      </w:r>
      <w:r>
        <w:rPr>
          <w:rFonts w:ascii="宋体" w:hAnsi="宋体" w:cs="宋体"/>
        </w:rPr>
        <w:t>3.1</w:t>
      </w:r>
      <w:r>
        <w:rPr>
          <w:rFonts w:hint="eastAsia" w:ascii="宋体" w:hAnsi="宋体" w:cs="宋体"/>
        </w:rPr>
        <w:t>开标报价一览表（格式见附件）；</w:t>
      </w:r>
    </w:p>
    <w:p w14:paraId="131C7923">
      <w:pPr>
        <w:snapToGrid w:val="0"/>
        <w:spacing w:line="360" w:lineRule="auto"/>
        <w:ind w:firstLine="420" w:firstLineChars="200"/>
        <w:rPr>
          <w:rFonts w:ascii="宋体" w:hAnsi="宋体" w:cs="宋体"/>
        </w:rPr>
      </w:pPr>
      <w:r>
        <w:rPr>
          <w:rFonts w:ascii="宋体" w:hAnsi="宋体" w:cs="宋体"/>
        </w:rPr>
        <w:t>3.</w:t>
      </w:r>
      <w:r>
        <w:rPr>
          <w:rFonts w:hint="eastAsia" w:ascii="宋体" w:hAnsi="宋体" w:cs="宋体"/>
        </w:rPr>
        <w:t>2</w:t>
      </w:r>
      <w:r>
        <w:rPr>
          <w:rFonts w:hint="eastAsia" w:ascii="宋体" w:hAnsi="宋体" w:cs="宋体"/>
          <w:bCs/>
        </w:rPr>
        <w:t>政策相关证明文件</w:t>
      </w:r>
      <w:r>
        <w:rPr>
          <w:rFonts w:hint="eastAsia" w:ascii="宋体" w:hAnsi="宋体" w:cs="宋体"/>
          <w:b/>
        </w:rPr>
        <w:t>（符合以下三个子项中的任意一项要求即可，</w:t>
      </w:r>
      <w:r>
        <w:rPr>
          <w:rFonts w:hint="eastAsia" w:ascii="宋体" w:hAnsi="宋体" w:cs="宋体"/>
          <w:b/>
          <w:bCs/>
        </w:rPr>
        <w:t>非中小企业无需提供</w:t>
      </w:r>
      <w:r>
        <w:rPr>
          <w:rFonts w:hint="eastAsia" w:ascii="宋体" w:hAnsi="宋体" w:cs="宋体"/>
          <w:b/>
        </w:rPr>
        <w:t>）；</w:t>
      </w:r>
    </w:p>
    <w:p w14:paraId="295F33BD">
      <w:pPr>
        <w:snapToGrid w:val="0"/>
        <w:spacing w:line="360" w:lineRule="auto"/>
        <w:ind w:firstLine="630" w:firstLineChars="300"/>
        <w:jc w:val="left"/>
        <w:rPr>
          <w:rFonts w:ascii="宋体" w:hAnsi="宋体" w:cs="宋体"/>
        </w:rPr>
      </w:pPr>
      <w:r>
        <w:rPr>
          <w:rFonts w:hint="eastAsia" w:ascii="宋体" w:hAnsi="宋体" w:cs="宋体"/>
        </w:rPr>
        <w:t>1、中小企业声明函（格式见附件）；</w:t>
      </w:r>
    </w:p>
    <w:p w14:paraId="1F0C9F81">
      <w:pPr>
        <w:snapToGrid w:val="0"/>
        <w:spacing w:line="360" w:lineRule="auto"/>
        <w:ind w:firstLine="630" w:firstLineChars="300"/>
        <w:jc w:val="left"/>
        <w:rPr>
          <w:rFonts w:ascii="宋体" w:hAnsi="宋体" w:cs="宋体"/>
        </w:rPr>
      </w:pPr>
      <w:r>
        <w:rPr>
          <w:rFonts w:hint="eastAsia" w:ascii="宋体" w:hAnsi="宋体" w:cs="宋体"/>
        </w:rPr>
        <w:t>2、监狱企业声明函（格式见附件）；</w:t>
      </w:r>
    </w:p>
    <w:p w14:paraId="7350767B">
      <w:pPr>
        <w:snapToGrid w:val="0"/>
        <w:spacing w:line="360" w:lineRule="auto"/>
        <w:ind w:firstLine="630" w:firstLineChars="300"/>
        <w:jc w:val="left"/>
        <w:rPr>
          <w:rFonts w:ascii="宋体" w:hAnsi="宋体" w:cs="宋体"/>
        </w:rPr>
      </w:pPr>
      <w:r>
        <w:rPr>
          <w:rFonts w:hint="eastAsia" w:ascii="宋体" w:hAnsi="宋体" w:cs="宋体"/>
        </w:rPr>
        <w:t>3、残疾人福利性单位声明函（格式见附件）；</w:t>
      </w:r>
    </w:p>
    <w:p w14:paraId="527B168F">
      <w:pPr>
        <w:snapToGrid w:val="0"/>
        <w:spacing w:line="360" w:lineRule="auto"/>
        <w:ind w:firstLine="420" w:firstLineChars="200"/>
        <w:jc w:val="left"/>
        <w:rPr>
          <w:rFonts w:ascii="宋体" w:cs="Times New Roman"/>
        </w:rPr>
      </w:pPr>
      <w:r>
        <w:rPr>
          <w:rFonts w:hint="eastAsia" w:ascii="宋体" w:hAnsi="宋体" w:cs="宋体"/>
        </w:rPr>
        <w:t>3.3投标人针对报价需要说明的其他文件和说明（如有，格式自拟）。</w:t>
      </w:r>
    </w:p>
    <w:p w14:paraId="56773BF6">
      <w:pPr>
        <w:pStyle w:val="4"/>
        <w:rPr>
          <w:rFonts w:cs="Times New Roman"/>
        </w:rPr>
      </w:pPr>
    </w:p>
    <w:p w14:paraId="0DB873F6">
      <w:pPr>
        <w:spacing w:line="360" w:lineRule="auto"/>
        <w:rPr>
          <w:rFonts w:ascii="仿宋_GB2312" w:hAnsi="仿宋" w:eastAsia="仿宋_GB2312" w:cs="仿宋_GB2312"/>
          <w:b/>
          <w:bCs/>
          <w:sz w:val="24"/>
        </w:rPr>
      </w:pPr>
      <w:r>
        <w:rPr>
          <w:rFonts w:hint="eastAsia" w:ascii="宋体" w:hAnsi="宋体" w:cs="宋体"/>
          <w:b/>
          <w:bCs/>
          <w:sz w:val="24"/>
          <w:szCs w:val="24"/>
        </w:rPr>
        <w:t>注：</w:t>
      </w:r>
      <w:r>
        <w:rPr>
          <w:rFonts w:hint="eastAsia" w:ascii="仿宋_GB2312" w:hAnsi="仿宋" w:eastAsia="仿宋_GB2312" w:cs="仿宋_GB2312"/>
          <w:b/>
          <w:bCs/>
          <w:sz w:val="24"/>
        </w:rPr>
        <w:t>以上内容是基本格式要求，各投标人可根据自身情况进一步细化。</w:t>
      </w:r>
    </w:p>
    <w:p w14:paraId="2B789765">
      <w:pPr>
        <w:pStyle w:val="23"/>
        <w:ind w:firstLine="210"/>
      </w:pPr>
    </w:p>
    <w:p w14:paraId="29A0C1A6">
      <w:pPr>
        <w:pStyle w:val="20"/>
      </w:pPr>
    </w:p>
    <w:p w14:paraId="75BBDA57"/>
    <w:p w14:paraId="6EFE9286">
      <w:pPr>
        <w:pStyle w:val="2"/>
      </w:pPr>
    </w:p>
    <w:p w14:paraId="6550897E">
      <w:pPr>
        <w:pStyle w:val="23"/>
        <w:ind w:firstLine="210"/>
      </w:pPr>
    </w:p>
    <w:p w14:paraId="76CF6DF7">
      <w:pPr>
        <w:pStyle w:val="20"/>
      </w:pPr>
    </w:p>
    <w:p w14:paraId="6B9A7AF2"/>
    <w:p w14:paraId="4F2460E4">
      <w:pPr>
        <w:pStyle w:val="2"/>
      </w:pPr>
    </w:p>
    <w:p w14:paraId="196BAC5C">
      <w:pPr>
        <w:pStyle w:val="23"/>
        <w:ind w:firstLine="210"/>
      </w:pPr>
    </w:p>
    <w:p w14:paraId="00B89BD7">
      <w:pPr>
        <w:pStyle w:val="20"/>
      </w:pPr>
    </w:p>
    <w:p w14:paraId="1E7415AD"/>
    <w:p w14:paraId="45609EF9">
      <w:pPr>
        <w:pStyle w:val="2"/>
      </w:pPr>
    </w:p>
    <w:p w14:paraId="4423968F">
      <w:pPr>
        <w:pStyle w:val="23"/>
        <w:ind w:firstLine="210"/>
      </w:pPr>
    </w:p>
    <w:p w14:paraId="364FFDFA">
      <w:pPr>
        <w:pStyle w:val="20"/>
      </w:pPr>
    </w:p>
    <w:p w14:paraId="628CBB27"/>
    <w:p w14:paraId="1AE6F729">
      <w:pPr>
        <w:pStyle w:val="2"/>
      </w:pPr>
    </w:p>
    <w:p w14:paraId="34FC9CE1">
      <w:pPr>
        <w:pStyle w:val="23"/>
        <w:ind w:firstLine="210"/>
      </w:pPr>
    </w:p>
    <w:p w14:paraId="034C0881">
      <w:pPr>
        <w:pStyle w:val="20"/>
      </w:pPr>
    </w:p>
    <w:p w14:paraId="3A358562"/>
    <w:p w14:paraId="1B59CC86">
      <w:pPr>
        <w:pStyle w:val="2"/>
      </w:pPr>
    </w:p>
    <w:p w14:paraId="6E02C888">
      <w:pPr>
        <w:pStyle w:val="23"/>
        <w:ind w:firstLine="210"/>
      </w:pPr>
    </w:p>
    <w:p w14:paraId="054F4540">
      <w:pPr>
        <w:pStyle w:val="20"/>
      </w:pPr>
    </w:p>
    <w:p w14:paraId="0B091C11"/>
    <w:p w14:paraId="6AEECB27">
      <w:pPr>
        <w:pStyle w:val="2"/>
      </w:pPr>
    </w:p>
    <w:p w14:paraId="500095FB">
      <w:pPr>
        <w:pStyle w:val="23"/>
        <w:ind w:firstLine="210"/>
      </w:pPr>
    </w:p>
    <w:p w14:paraId="15E8BCA0">
      <w:pPr>
        <w:pStyle w:val="23"/>
        <w:ind w:firstLine="210"/>
      </w:pPr>
    </w:p>
    <w:p w14:paraId="7DDB8A41">
      <w:pPr>
        <w:pStyle w:val="20"/>
      </w:pPr>
    </w:p>
    <w:bookmarkEnd w:id="2"/>
    <w:bookmarkEnd w:id="3"/>
    <w:p w14:paraId="11CDBDC2">
      <w:pPr>
        <w:autoSpaceDE w:val="0"/>
        <w:autoSpaceDN w:val="0"/>
        <w:adjustRightInd w:val="0"/>
        <w:spacing w:line="360" w:lineRule="auto"/>
        <w:outlineLvl w:val="1"/>
        <w:rPr>
          <w:rFonts w:ascii="宋体"/>
          <w:b/>
          <w:bCs/>
          <w:sz w:val="24"/>
        </w:rPr>
      </w:pPr>
      <w:r>
        <w:rPr>
          <w:rFonts w:hint="eastAsia" w:ascii="宋体" w:hAnsi="宋体" w:cs="宋体"/>
          <w:b/>
          <w:sz w:val="30"/>
        </w:rPr>
        <w:t>1、电子投标文件封面</w:t>
      </w:r>
    </w:p>
    <w:p w14:paraId="6124DD60">
      <w:pPr>
        <w:autoSpaceDE w:val="0"/>
        <w:autoSpaceDN w:val="0"/>
        <w:adjustRightInd w:val="0"/>
        <w:spacing w:line="360" w:lineRule="auto"/>
        <w:jc w:val="center"/>
        <w:rPr>
          <w:rFonts w:ascii="宋体"/>
          <w:b/>
          <w:sz w:val="32"/>
          <w:szCs w:val="32"/>
        </w:rPr>
      </w:pPr>
    </w:p>
    <w:p w14:paraId="669160F4">
      <w:pPr>
        <w:pStyle w:val="2"/>
      </w:pPr>
    </w:p>
    <w:p w14:paraId="307D24D8">
      <w:pPr>
        <w:pStyle w:val="2"/>
        <w:jc w:val="center"/>
        <w:rPr>
          <w:rFonts w:ascii="宋体"/>
          <w:b/>
          <w:sz w:val="44"/>
          <w:szCs w:val="44"/>
        </w:rPr>
      </w:pPr>
      <w:r>
        <w:rPr>
          <w:rFonts w:hint="eastAsia" w:ascii="宋体" w:hAnsi="宋体"/>
          <w:b/>
          <w:sz w:val="44"/>
          <w:szCs w:val="44"/>
        </w:rPr>
        <w:t>项目名称</w:t>
      </w:r>
    </w:p>
    <w:p w14:paraId="552919A2">
      <w:pPr>
        <w:pStyle w:val="2"/>
        <w:rPr>
          <w:rFonts w:ascii="宋体"/>
          <w:b/>
          <w:sz w:val="32"/>
          <w:szCs w:val="32"/>
        </w:rPr>
      </w:pPr>
    </w:p>
    <w:p w14:paraId="30E334AF">
      <w:pPr>
        <w:pStyle w:val="2"/>
        <w:rPr>
          <w:rFonts w:ascii="宋体"/>
          <w:b/>
          <w:sz w:val="32"/>
          <w:szCs w:val="32"/>
        </w:rPr>
      </w:pPr>
    </w:p>
    <w:p w14:paraId="67A398A7">
      <w:pPr>
        <w:spacing w:line="360" w:lineRule="auto"/>
        <w:jc w:val="center"/>
        <w:rPr>
          <w:rFonts w:ascii="宋体"/>
          <w:spacing w:val="40"/>
          <w:w w:val="90"/>
          <w:sz w:val="96"/>
          <w:szCs w:val="96"/>
        </w:rPr>
      </w:pPr>
      <w:r>
        <w:rPr>
          <w:rFonts w:hint="eastAsia" w:ascii="宋体" w:hAnsi="宋体"/>
          <w:spacing w:val="40"/>
          <w:w w:val="90"/>
          <w:sz w:val="96"/>
          <w:szCs w:val="96"/>
        </w:rPr>
        <w:t>投标文件</w:t>
      </w:r>
    </w:p>
    <w:p w14:paraId="41AA7CD0">
      <w:pPr>
        <w:autoSpaceDE w:val="0"/>
        <w:autoSpaceDN w:val="0"/>
        <w:adjustRightInd w:val="0"/>
        <w:spacing w:line="360" w:lineRule="auto"/>
        <w:rPr>
          <w:rFonts w:ascii="宋体"/>
          <w:b/>
          <w:sz w:val="32"/>
          <w:szCs w:val="32"/>
        </w:rPr>
      </w:pPr>
    </w:p>
    <w:p w14:paraId="4AB184F9">
      <w:pPr>
        <w:autoSpaceDE w:val="0"/>
        <w:autoSpaceDN w:val="0"/>
        <w:adjustRightInd w:val="0"/>
        <w:spacing w:line="360" w:lineRule="auto"/>
        <w:rPr>
          <w:rFonts w:ascii="宋体"/>
          <w:b/>
          <w:sz w:val="32"/>
          <w:szCs w:val="32"/>
        </w:rPr>
      </w:pPr>
    </w:p>
    <w:p w14:paraId="66E3BE68">
      <w:pPr>
        <w:pStyle w:val="2"/>
      </w:pPr>
    </w:p>
    <w:p w14:paraId="4B930C3B">
      <w:pPr>
        <w:autoSpaceDE w:val="0"/>
        <w:autoSpaceDN w:val="0"/>
        <w:adjustRightInd w:val="0"/>
        <w:spacing w:line="360" w:lineRule="auto"/>
        <w:rPr>
          <w:rFonts w:ascii="宋体"/>
          <w:b/>
          <w:sz w:val="32"/>
          <w:szCs w:val="32"/>
        </w:rPr>
      </w:pPr>
    </w:p>
    <w:p w14:paraId="6064C9D9">
      <w:pPr>
        <w:spacing w:beforeLines="50" w:line="360" w:lineRule="auto"/>
        <w:ind w:left="897" w:leftChars="284" w:hanging="301" w:hangingChars="100"/>
        <w:rPr>
          <w:rFonts w:ascii="宋体" w:hAnsi="宋体"/>
          <w:b/>
          <w:sz w:val="30"/>
          <w:szCs w:val="72"/>
        </w:rPr>
      </w:pPr>
      <w:r>
        <w:rPr>
          <w:rFonts w:hint="eastAsia" w:ascii="宋体" w:hAnsi="宋体"/>
          <w:b/>
          <w:sz w:val="30"/>
          <w:szCs w:val="72"/>
        </w:rPr>
        <w:t xml:space="preserve">项目编号： </w:t>
      </w:r>
    </w:p>
    <w:p w14:paraId="57FE519F">
      <w:pPr>
        <w:spacing w:beforeLines="50" w:line="360" w:lineRule="auto"/>
        <w:ind w:left="897" w:leftChars="284" w:hanging="301" w:hangingChars="100"/>
        <w:rPr>
          <w:rFonts w:ascii="宋体" w:hAnsi="宋体"/>
          <w:b/>
          <w:sz w:val="30"/>
          <w:szCs w:val="72"/>
        </w:rPr>
      </w:pPr>
      <w:r>
        <w:rPr>
          <w:rFonts w:hint="eastAsia" w:ascii="宋体" w:hAnsi="宋体"/>
          <w:b/>
          <w:sz w:val="30"/>
          <w:szCs w:val="72"/>
        </w:rPr>
        <w:t xml:space="preserve">项目名称： </w:t>
      </w:r>
    </w:p>
    <w:p w14:paraId="722B220D">
      <w:pPr>
        <w:spacing w:beforeLines="50" w:line="360" w:lineRule="auto"/>
        <w:ind w:left="897" w:leftChars="284" w:hanging="301" w:hangingChars="100"/>
        <w:rPr>
          <w:rFonts w:ascii="宋体" w:hAnsi="宋体"/>
          <w:b/>
          <w:sz w:val="30"/>
          <w:szCs w:val="72"/>
        </w:rPr>
      </w:pPr>
      <w:r>
        <w:rPr>
          <w:rFonts w:hint="eastAsia" w:ascii="宋体" w:hAnsi="宋体"/>
          <w:b/>
          <w:sz w:val="30"/>
          <w:szCs w:val="72"/>
        </w:rPr>
        <w:t xml:space="preserve">采购人： </w:t>
      </w:r>
    </w:p>
    <w:p w14:paraId="4F295691">
      <w:pPr>
        <w:spacing w:beforeLines="50" w:line="360" w:lineRule="auto"/>
        <w:ind w:left="897" w:leftChars="284" w:hanging="301" w:hangingChars="100"/>
        <w:rPr>
          <w:rFonts w:ascii="宋体" w:hAnsi="宋体"/>
          <w:b/>
          <w:sz w:val="30"/>
          <w:szCs w:val="72"/>
        </w:rPr>
      </w:pPr>
      <w:r>
        <w:rPr>
          <w:rFonts w:hint="eastAsia" w:ascii="宋体" w:hAnsi="宋体"/>
          <w:b/>
          <w:sz w:val="30"/>
          <w:szCs w:val="72"/>
        </w:rPr>
        <w:t xml:space="preserve">供应商： </w:t>
      </w:r>
    </w:p>
    <w:p w14:paraId="384BDD2F">
      <w:pPr>
        <w:spacing w:beforeLines="50" w:line="360" w:lineRule="auto"/>
        <w:ind w:left="897" w:leftChars="284" w:hanging="301" w:hangingChars="100"/>
        <w:rPr>
          <w:rFonts w:ascii="宋体" w:hAnsi="宋体"/>
          <w:b/>
          <w:sz w:val="30"/>
          <w:szCs w:val="72"/>
        </w:rPr>
      </w:pPr>
      <w:r>
        <w:rPr>
          <w:rFonts w:hint="eastAsia" w:ascii="宋体" w:hAnsi="宋体"/>
          <w:b/>
          <w:sz w:val="30"/>
          <w:szCs w:val="72"/>
        </w:rPr>
        <w:t>时    间： 年  月  日</w:t>
      </w:r>
    </w:p>
    <w:p w14:paraId="2ED674EC">
      <w:pPr>
        <w:pStyle w:val="23"/>
        <w:ind w:firstLine="210"/>
      </w:pPr>
    </w:p>
    <w:p w14:paraId="18F896CD">
      <w:pPr>
        <w:pStyle w:val="2"/>
      </w:pPr>
    </w:p>
    <w:p w14:paraId="12FC3374">
      <w:pPr>
        <w:autoSpaceDE w:val="0"/>
        <w:autoSpaceDN w:val="0"/>
        <w:adjustRightInd w:val="0"/>
        <w:spacing w:line="360" w:lineRule="auto"/>
        <w:outlineLvl w:val="1"/>
        <w:rPr>
          <w:rFonts w:ascii="宋体" w:hAnsi="宋体"/>
          <w:b/>
          <w:bCs/>
          <w:sz w:val="24"/>
        </w:rPr>
      </w:pPr>
    </w:p>
    <w:p w14:paraId="37D9C2C1">
      <w:pPr>
        <w:autoSpaceDE w:val="0"/>
        <w:autoSpaceDN w:val="0"/>
        <w:adjustRightInd w:val="0"/>
        <w:spacing w:line="360" w:lineRule="auto"/>
        <w:outlineLvl w:val="1"/>
        <w:rPr>
          <w:rFonts w:ascii="宋体" w:hAnsi="宋体"/>
          <w:b/>
          <w:bCs/>
          <w:sz w:val="24"/>
        </w:rPr>
      </w:pPr>
    </w:p>
    <w:p w14:paraId="4593D95C">
      <w:pPr>
        <w:autoSpaceDE w:val="0"/>
        <w:autoSpaceDN w:val="0"/>
        <w:adjustRightInd w:val="0"/>
        <w:spacing w:line="360" w:lineRule="auto"/>
        <w:outlineLvl w:val="1"/>
        <w:rPr>
          <w:rFonts w:ascii="宋体" w:hAnsi="宋体"/>
          <w:b/>
          <w:bCs/>
          <w:sz w:val="24"/>
        </w:rPr>
      </w:pPr>
    </w:p>
    <w:p w14:paraId="278CDEE5">
      <w:pPr>
        <w:autoSpaceDE w:val="0"/>
        <w:autoSpaceDN w:val="0"/>
        <w:adjustRightInd w:val="0"/>
        <w:spacing w:line="360" w:lineRule="auto"/>
        <w:outlineLvl w:val="1"/>
        <w:rPr>
          <w:rFonts w:ascii="宋体"/>
          <w:b/>
          <w:bCs/>
          <w:sz w:val="24"/>
        </w:rPr>
      </w:pPr>
      <w:r>
        <w:rPr>
          <w:rFonts w:hint="eastAsia" w:ascii="宋体" w:hAnsi="宋体"/>
          <w:b/>
          <w:bCs/>
          <w:sz w:val="24"/>
        </w:rPr>
        <w:t>2、备份电子文件包装封面（邮寄备份文件时提供）</w:t>
      </w:r>
    </w:p>
    <w:p w14:paraId="5CE0F2C5">
      <w:pPr>
        <w:autoSpaceDE w:val="0"/>
        <w:autoSpaceDN w:val="0"/>
        <w:adjustRightInd w:val="0"/>
        <w:spacing w:line="360" w:lineRule="auto"/>
        <w:jc w:val="center"/>
        <w:rPr>
          <w:rFonts w:ascii="宋体"/>
          <w:b/>
          <w:sz w:val="32"/>
          <w:szCs w:val="32"/>
        </w:rPr>
      </w:pPr>
    </w:p>
    <w:p w14:paraId="120A3221">
      <w:pPr>
        <w:pStyle w:val="23"/>
        <w:ind w:firstLine="210"/>
      </w:pPr>
    </w:p>
    <w:p w14:paraId="69C2C1CA">
      <w:pPr>
        <w:pStyle w:val="2"/>
        <w:jc w:val="center"/>
        <w:rPr>
          <w:rFonts w:ascii="宋体"/>
          <w:b/>
          <w:sz w:val="44"/>
          <w:szCs w:val="44"/>
        </w:rPr>
      </w:pPr>
      <w:r>
        <w:rPr>
          <w:rFonts w:hint="eastAsia" w:ascii="宋体" w:hAnsi="宋体"/>
          <w:b/>
          <w:sz w:val="44"/>
          <w:szCs w:val="44"/>
        </w:rPr>
        <w:t>项目名称</w:t>
      </w:r>
    </w:p>
    <w:p w14:paraId="588BD3D3">
      <w:pPr>
        <w:pStyle w:val="2"/>
        <w:rPr>
          <w:rFonts w:ascii="宋体"/>
          <w:b/>
          <w:sz w:val="32"/>
          <w:szCs w:val="32"/>
        </w:rPr>
      </w:pPr>
    </w:p>
    <w:p w14:paraId="204920BF">
      <w:pPr>
        <w:pStyle w:val="2"/>
        <w:rPr>
          <w:rFonts w:ascii="宋体"/>
          <w:b/>
          <w:sz w:val="32"/>
          <w:szCs w:val="32"/>
        </w:rPr>
      </w:pPr>
    </w:p>
    <w:p w14:paraId="0EC84889">
      <w:pPr>
        <w:spacing w:line="360" w:lineRule="auto"/>
        <w:jc w:val="center"/>
        <w:rPr>
          <w:rFonts w:ascii="宋体"/>
          <w:spacing w:val="40"/>
          <w:w w:val="90"/>
          <w:sz w:val="96"/>
          <w:szCs w:val="96"/>
        </w:rPr>
      </w:pPr>
      <w:r>
        <w:rPr>
          <w:rFonts w:hint="eastAsia" w:ascii="宋体" w:hAnsi="宋体"/>
          <w:spacing w:val="40"/>
          <w:w w:val="90"/>
          <w:sz w:val="96"/>
          <w:szCs w:val="96"/>
        </w:rPr>
        <w:t>投标文件</w:t>
      </w:r>
    </w:p>
    <w:p w14:paraId="31FC7795">
      <w:pPr>
        <w:autoSpaceDE w:val="0"/>
        <w:autoSpaceDN w:val="0"/>
        <w:adjustRightInd w:val="0"/>
        <w:spacing w:line="360" w:lineRule="auto"/>
        <w:rPr>
          <w:rFonts w:ascii="宋体"/>
          <w:b/>
          <w:sz w:val="32"/>
          <w:szCs w:val="32"/>
        </w:rPr>
      </w:pPr>
    </w:p>
    <w:p w14:paraId="5F196C5F">
      <w:pPr>
        <w:autoSpaceDE w:val="0"/>
        <w:autoSpaceDN w:val="0"/>
        <w:adjustRightInd w:val="0"/>
        <w:spacing w:line="360" w:lineRule="auto"/>
        <w:rPr>
          <w:rFonts w:ascii="宋体"/>
          <w:b/>
          <w:sz w:val="32"/>
          <w:szCs w:val="32"/>
        </w:rPr>
      </w:pPr>
    </w:p>
    <w:p w14:paraId="4DA240D6">
      <w:pPr>
        <w:pStyle w:val="2"/>
      </w:pPr>
    </w:p>
    <w:p w14:paraId="11B2EEF0">
      <w:pPr>
        <w:autoSpaceDE w:val="0"/>
        <w:autoSpaceDN w:val="0"/>
        <w:adjustRightInd w:val="0"/>
        <w:spacing w:line="360" w:lineRule="auto"/>
        <w:rPr>
          <w:rFonts w:ascii="宋体"/>
          <w:b/>
          <w:sz w:val="32"/>
          <w:szCs w:val="32"/>
        </w:rPr>
      </w:pPr>
    </w:p>
    <w:p w14:paraId="59851392">
      <w:pPr>
        <w:pStyle w:val="89"/>
        <w:spacing w:line="360" w:lineRule="auto"/>
        <w:ind w:left="0" w:right="-252"/>
        <w:rPr>
          <w:rFonts w:ascii="宋体"/>
          <w:sz w:val="32"/>
          <w:szCs w:val="32"/>
          <w:u w:val="single"/>
        </w:rPr>
      </w:pPr>
      <w:r>
        <w:rPr>
          <w:rFonts w:hint="eastAsia" w:ascii="宋体" w:hAnsi="宋体"/>
          <w:sz w:val="32"/>
          <w:szCs w:val="32"/>
        </w:rPr>
        <w:t>投标人名称：（公章）</w:t>
      </w:r>
    </w:p>
    <w:p w14:paraId="718A96F8">
      <w:pPr>
        <w:autoSpaceDE w:val="0"/>
        <w:autoSpaceDN w:val="0"/>
        <w:adjustRightInd w:val="0"/>
        <w:spacing w:line="360" w:lineRule="auto"/>
        <w:rPr>
          <w:rFonts w:ascii="宋体"/>
          <w:b/>
          <w:sz w:val="32"/>
          <w:szCs w:val="32"/>
        </w:rPr>
      </w:pPr>
    </w:p>
    <w:p w14:paraId="16F4D2CE">
      <w:pPr>
        <w:pStyle w:val="2"/>
        <w:rPr>
          <w:rFonts w:ascii="宋体"/>
          <w:b/>
          <w:sz w:val="32"/>
          <w:szCs w:val="32"/>
        </w:rPr>
      </w:pPr>
    </w:p>
    <w:p w14:paraId="41E2E622">
      <w:pPr>
        <w:pStyle w:val="2"/>
        <w:rPr>
          <w:rFonts w:ascii="宋体"/>
          <w:b/>
          <w:sz w:val="32"/>
          <w:szCs w:val="32"/>
        </w:rPr>
      </w:pPr>
    </w:p>
    <w:p w14:paraId="2E695E00">
      <w:pPr>
        <w:spacing w:line="360" w:lineRule="auto"/>
        <w:jc w:val="center"/>
        <w:rPr>
          <w:rFonts w:ascii="宋体"/>
          <w:b/>
          <w:sz w:val="30"/>
          <w:szCs w:val="30"/>
        </w:rPr>
      </w:pPr>
      <w:r>
        <w:rPr>
          <w:rFonts w:hint="eastAsia" w:ascii="宋体" w:hAnsi="宋体"/>
          <w:b/>
          <w:sz w:val="30"/>
          <w:szCs w:val="30"/>
        </w:rPr>
        <w:t>在年月日之前不得启封</w:t>
      </w:r>
    </w:p>
    <w:p w14:paraId="75FF6085">
      <w:pPr>
        <w:pStyle w:val="2"/>
        <w:rPr>
          <w:rFonts w:ascii="宋体" w:hAnsi="宋体"/>
          <w:b/>
          <w:bCs/>
        </w:rPr>
      </w:pPr>
      <w:r>
        <w:rPr>
          <w:rFonts w:ascii="宋体"/>
          <w:b/>
          <w:bCs/>
          <w:szCs w:val="21"/>
        </w:rPr>
        <w:br w:type="page"/>
      </w:r>
      <w:r>
        <w:rPr>
          <w:rFonts w:hint="eastAsia" w:ascii="宋体" w:hAnsi="宋体"/>
          <w:b/>
          <w:bCs/>
        </w:rPr>
        <w:t>3、投标函格式：</w:t>
      </w:r>
    </w:p>
    <w:p w14:paraId="5887DD46">
      <w:pPr>
        <w:snapToGrid w:val="0"/>
        <w:spacing w:beforeLines="50" w:after="50"/>
        <w:jc w:val="center"/>
        <w:rPr>
          <w:rFonts w:ascii="宋体"/>
          <w:b/>
          <w:sz w:val="24"/>
        </w:rPr>
      </w:pPr>
      <w:r>
        <w:rPr>
          <w:rFonts w:hint="eastAsia" w:ascii="宋体" w:hAnsi="宋体"/>
          <w:b/>
          <w:sz w:val="24"/>
        </w:rPr>
        <w:t>投标函</w:t>
      </w:r>
    </w:p>
    <w:p w14:paraId="2404EA01">
      <w:pPr>
        <w:snapToGrid w:val="0"/>
        <w:spacing w:line="360" w:lineRule="auto"/>
        <w:rPr>
          <w:rFonts w:ascii="宋体"/>
        </w:rPr>
      </w:pPr>
      <w:r>
        <w:rPr>
          <w:rFonts w:hint="eastAsia" w:ascii="宋体" w:hAnsi="宋体"/>
        </w:rPr>
        <w:t>致：</w:t>
      </w:r>
      <w:r>
        <w:rPr>
          <w:rFonts w:hint="eastAsia" w:ascii="宋体" w:hAnsi="宋体"/>
          <w:u w:val="single"/>
        </w:rPr>
        <w:t>（采购人）</w:t>
      </w:r>
      <w:r>
        <w:rPr>
          <w:rFonts w:ascii="宋体" w:hAnsi="宋体"/>
        </w:rPr>
        <w:t>_</w:t>
      </w:r>
      <w:r>
        <w:rPr>
          <w:rFonts w:hint="eastAsia" w:ascii="宋体" w:hAnsi="宋体"/>
        </w:rPr>
        <w:t>：</w:t>
      </w:r>
    </w:p>
    <w:p w14:paraId="6632DC16">
      <w:pPr>
        <w:pStyle w:val="92"/>
        <w:spacing w:line="360" w:lineRule="auto"/>
        <w:ind w:right="-91" w:firstLine="404" w:firstLineChars="200"/>
        <w:rPr>
          <w:rFonts w:hAnsi="宋体"/>
          <w:sz w:val="21"/>
          <w:szCs w:val="21"/>
        </w:rPr>
      </w:pPr>
      <w:r>
        <w:rPr>
          <w:rFonts w:hint="eastAsia" w:hAnsi="宋体"/>
          <w:sz w:val="21"/>
          <w:szCs w:val="21"/>
        </w:rPr>
        <w:t>我方</w:t>
      </w:r>
      <w:r>
        <w:rPr>
          <w:rFonts w:hint="eastAsia" w:hAnsi="宋体"/>
          <w:b/>
          <w:sz w:val="21"/>
          <w:szCs w:val="21"/>
          <w:u w:val="single"/>
        </w:rPr>
        <w:t>（</w:t>
      </w:r>
      <w:r>
        <w:rPr>
          <w:rFonts w:hint="eastAsia" w:hAnsi="宋体"/>
          <w:sz w:val="21"/>
          <w:szCs w:val="21"/>
          <w:u w:val="single"/>
        </w:rPr>
        <w:t>投标名称）</w:t>
      </w:r>
      <w:r>
        <w:rPr>
          <w:rFonts w:hint="eastAsia" w:hAnsi="宋体"/>
          <w:sz w:val="21"/>
          <w:szCs w:val="21"/>
        </w:rPr>
        <w:t>已详细审查了贵方采购编号为</w:t>
      </w:r>
      <w:r>
        <w:rPr>
          <w:rFonts w:hint="eastAsia" w:hAnsi="宋体"/>
          <w:b/>
          <w:spacing w:val="20"/>
          <w:sz w:val="21"/>
          <w:szCs w:val="21"/>
          <w:u w:val="single"/>
        </w:rPr>
        <w:t>（</w:t>
      </w:r>
      <w:r>
        <w:rPr>
          <w:rFonts w:hint="eastAsia" w:hAnsi="宋体"/>
          <w:b/>
          <w:sz w:val="21"/>
          <w:szCs w:val="21"/>
          <w:u w:val="single"/>
        </w:rPr>
        <w:t>采购编号）</w:t>
      </w:r>
      <w:r>
        <w:rPr>
          <w:rFonts w:hint="eastAsia" w:hAnsi="宋体"/>
          <w:sz w:val="21"/>
          <w:szCs w:val="21"/>
        </w:rPr>
        <w:t>的</w:t>
      </w:r>
      <w:r>
        <w:rPr>
          <w:rFonts w:hint="eastAsia" w:hAnsi="宋体"/>
          <w:b/>
          <w:sz w:val="21"/>
          <w:szCs w:val="21"/>
          <w:u w:val="single"/>
        </w:rPr>
        <w:t>（项目名称）</w:t>
      </w:r>
      <w:r>
        <w:rPr>
          <w:rFonts w:hint="eastAsia" w:hAnsi="宋体"/>
          <w:sz w:val="21"/>
          <w:szCs w:val="21"/>
        </w:rPr>
        <w:t>采购项目的采购文件及其相关补充文件</w:t>
      </w:r>
      <w:r>
        <w:rPr>
          <w:rFonts w:hint="eastAsia" w:hAnsi="宋体"/>
          <w:b/>
          <w:sz w:val="21"/>
          <w:szCs w:val="21"/>
        </w:rPr>
        <w:t>（若有）</w:t>
      </w:r>
      <w:r>
        <w:rPr>
          <w:rFonts w:hint="eastAsia" w:hAnsi="宋体"/>
          <w:sz w:val="21"/>
          <w:szCs w:val="21"/>
        </w:rPr>
        <w:t>，现就有关事项向采购代理机构郑重承诺如下：</w:t>
      </w:r>
    </w:p>
    <w:p w14:paraId="7239A01F">
      <w:pPr>
        <w:pStyle w:val="92"/>
        <w:spacing w:line="360" w:lineRule="auto"/>
        <w:ind w:right="-91" w:firstLine="404" w:firstLineChars="200"/>
        <w:rPr>
          <w:rFonts w:hAnsi="宋体"/>
          <w:sz w:val="21"/>
          <w:szCs w:val="21"/>
        </w:rPr>
      </w:pPr>
      <w:r>
        <w:rPr>
          <w:rFonts w:hint="eastAsia" w:hAnsi="宋体"/>
          <w:sz w:val="21"/>
          <w:szCs w:val="21"/>
        </w:rPr>
        <w:t>一、具备《中华人民共和国政府采购法》第二十二条第一款规定的条件：</w:t>
      </w:r>
    </w:p>
    <w:p w14:paraId="1EA23B1A">
      <w:pPr>
        <w:pStyle w:val="92"/>
        <w:spacing w:line="360" w:lineRule="auto"/>
        <w:ind w:right="-91" w:firstLine="404" w:firstLineChars="200"/>
        <w:rPr>
          <w:rFonts w:hAnsi="宋体"/>
          <w:sz w:val="21"/>
          <w:szCs w:val="21"/>
        </w:rPr>
      </w:pPr>
      <w:r>
        <w:rPr>
          <w:rFonts w:hint="eastAsia" w:hAnsi="宋体"/>
          <w:sz w:val="21"/>
          <w:szCs w:val="21"/>
        </w:rPr>
        <w:t>1、具有独立承担民事责任的能力；</w:t>
      </w:r>
    </w:p>
    <w:p w14:paraId="58E8C83B">
      <w:pPr>
        <w:pStyle w:val="92"/>
        <w:spacing w:line="360" w:lineRule="auto"/>
        <w:ind w:right="-91" w:firstLine="404" w:firstLineChars="200"/>
        <w:rPr>
          <w:rFonts w:hAnsi="宋体"/>
          <w:sz w:val="21"/>
          <w:szCs w:val="21"/>
        </w:rPr>
      </w:pPr>
      <w:r>
        <w:rPr>
          <w:rFonts w:hint="eastAsia" w:hAnsi="宋体"/>
          <w:sz w:val="21"/>
          <w:szCs w:val="21"/>
        </w:rPr>
        <w:t>2、具有良好的商业信誉和健全的财务会计制度；</w:t>
      </w:r>
    </w:p>
    <w:p w14:paraId="7703D8BE">
      <w:pPr>
        <w:pStyle w:val="92"/>
        <w:spacing w:line="360" w:lineRule="auto"/>
        <w:ind w:right="-91" w:firstLine="404" w:firstLineChars="200"/>
        <w:rPr>
          <w:rFonts w:hAnsi="宋体"/>
          <w:sz w:val="21"/>
          <w:szCs w:val="21"/>
        </w:rPr>
      </w:pPr>
      <w:r>
        <w:rPr>
          <w:rFonts w:hint="eastAsia" w:hAnsi="宋体"/>
          <w:sz w:val="21"/>
          <w:szCs w:val="21"/>
        </w:rPr>
        <w:t>3、具有履行合同所必需的设备和专业技术能力；</w:t>
      </w:r>
    </w:p>
    <w:p w14:paraId="2B6CCF8D">
      <w:pPr>
        <w:pStyle w:val="92"/>
        <w:spacing w:line="360" w:lineRule="auto"/>
        <w:ind w:right="-91" w:firstLine="404" w:firstLineChars="200"/>
        <w:rPr>
          <w:rFonts w:hAnsi="宋体"/>
          <w:sz w:val="21"/>
          <w:szCs w:val="21"/>
        </w:rPr>
      </w:pPr>
      <w:r>
        <w:rPr>
          <w:rFonts w:hint="eastAsia" w:hAnsi="宋体"/>
          <w:sz w:val="21"/>
          <w:szCs w:val="21"/>
        </w:rPr>
        <w:t>4、有依法缴纳税收和社会保障资金的良好记录；</w:t>
      </w:r>
    </w:p>
    <w:p w14:paraId="1204830F">
      <w:pPr>
        <w:pStyle w:val="92"/>
        <w:spacing w:line="360" w:lineRule="auto"/>
        <w:ind w:right="-91" w:firstLine="404" w:firstLineChars="200"/>
        <w:rPr>
          <w:rFonts w:hAnsi="宋体"/>
          <w:sz w:val="21"/>
          <w:szCs w:val="21"/>
        </w:rPr>
      </w:pPr>
      <w:r>
        <w:rPr>
          <w:rFonts w:hint="eastAsia" w:hAnsi="宋体"/>
          <w:sz w:val="21"/>
          <w:szCs w:val="21"/>
        </w:rPr>
        <w:t>5、参加政府采购活动前三年内，在经营活动中没有重大违法记录；</w:t>
      </w:r>
    </w:p>
    <w:p w14:paraId="21C88163">
      <w:pPr>
        <w:pStyle w:val="92"/>
        <w:spacing w:line="360" w:lineRule="auto"/>
        <w:ind w:right="-91" w:firstLine="404" w:firstLineChars="200"/>
        <w:rPr>
          <w:rFonts w:hAnsi="宋体"/>
          <w:sz w:val="21"/>
          <w:szCs w:val="21"/>
        </w:rPr>
      </w:pPr>
      <w:r>
        <w:rPr>
          <w:rFonts w:hint="eastAsia" w:hAnsi="宋体"/>
          <w:sz w:val="21"/>
          <w:szCs w:val="21"/>
        </w:rPr>
        <w:t>6、法律、行政法规规定的其他条件</w:t>
      </w:r>
    </w:p>
    <w:p w14:paraId="367C53F9">
      <w:pPr>
        <w:pStyle w:val="92"/>
        <w:spacing w:line="360" w:lineRule="auto"/>
        <w:ind w:right="-91" w:firstLine="404" w:firstLineChars="200"/>
        <w:rPr>
          <w:rFonts w:hAnsi="宋体"/>
          <w:sz w:val="21"/>
          <w:szCs w:val="21"/>
        </w:rPr>
      </w:pPr>
      <w:r>
        <w:rPr>
          <w:rFonts w:hint="eastAsia" w:hAnsi="宋体"/>
          <w:sz w:val="21"/>
          <w:szCs w:val="21"/>
        </w:rPr>
        <w:t>二、未被“信用中国”（www.creditchina.gov.cn）、“中国政府采购网”（www.ccgp.gov.cn）列入失信被执行人、重大税收违法案件当事人名单、政府采购严重违法失信行为记录名单。</w:t>
      </w:r>
    </w:p>
    <w:p w14:paraId="75F8A98E">
      <w:pPr>
        <w:pStyle w:val="92"/>
        <w:spacing w:line="360" w:lineRule="auto"/>
        <w:ind w:right="-91" w:firstLine="404" w:firstLineChars="200"/>
        <w:rPr>
          <w:rFonts w:hAnsi="宋体"/>
          <w:sz w:val="21"/>
          <w:szCs w:val="21"/>
        </w:rPr>
      </w:pPr>
      <w:r>
        <w:rPr>
          <w:rFonts w:hint="eastAsia" w:hAnsi="宋体"/>
          <w:sz w:val="21"/>
          <w:szCs w:val="21"/>
        </w:rPr>
        <w:t>三、其他</w:t>
      </w:r>
    </w:p>
    <w:p w14:paraId="518BC5BA">
      <w:pPr>
        <w:spacing w:line="360" w:lineRule="auto"/>
        <w:ind w:firstLine="420" w:firstLineChars="200"/>
        <w:jc w:val="left"/>
        <w:rPr>
          <w:rFonts w:ascii="宋体"/>
        </w:rPr>
      </w:pPr>
      <w:r>
        <w:rPr>
          <w:rFonts w:ascii="宋体" w:hAnsi="宋体"/>
        </w:rPr>
        <w:t>1</w:t>
      </w:r>
      <w:r>
        <w:rPr>
          <w:rFonts w:hint="eastAsia" w:ascii="宋体" w:hAnsi="宋体"/>
        </w:rPr>
        <w:t>、我方已详细审查了采购文件的全部内容及其相关补充文件（若有），并完全清晰理解全部内容及相关的补充文件（若有），不存在任何误解之处，同意放弃提出异议和质疑的权利。</w:t>
      </w:r>
    </w:p>
    <w:p w14:paraId="620BE103">
      <w:pPr>
        <w:spacing w:line="360" w:lineRule="auto"/>
        <w:ind w:firstLine="420" w:firstLineChars="200"/>
        <w:jc w:val="left"/>
        <w:rPr>
          <w:rFonts w:ascii="宋体"/>
        </w:rPr>
      </w:pPr>
      <w:r>
        <w:rPr>
          <w:rFonts w:ascii="宋体" w:hAnsi="宋体"/>
        </w:rPr>
        <w:t>2</w:t>
      </w:r>
      <w:r>
        <w:rPr>
          <w:rFonts w:hint="eastAsia" w:ascii="宋体" w:hAnsi="宋体"/>
        </w:rPr>
        <w:t>、我方遵守《中华人民共和国政府采购法》及相关法律法规的规定。同意采购文件中所提到的无效标条款。否则，同意被废除投标资格。</w:t>
      </w:r>
    </w:p>
    <w:p w14:paraId="15BC2737">
      <w:pPr>
        <w:spacing w:line="360" w:lineRule="auto"/>
        <w:ind w:firstLine="420" w:firstLineChars="200"/>
        <w:jc w:val="left"/>
        <w:rPr>
          <w:rFonts w:ascii="宋体"/>
        </w:rPr>
      </w:pPr>
      <w:r>
        <w:rPr>
          <w:rFonts w:ascii="宋体" w:hAnsi="宋体"/>
        </w:rPr>
        <w:t>3</w:t>
      </w:r>
      <w:r>
        <w:rPr>
          <w:rFonts w:hint="eastAsia" w:ascii="宋体" w:hAnsi="宋体"/>
        </w:rPr>
        <w:t>、投标有效期为自开标之日起</w:t>
      </w:r>
      <w:r>
        <w:rPr>
          <w:rFonts w:ascii="宋体" w:hAnsi="宋体"/>
        </w:rPr>
        <w:t>90</w:t>
      </w:r>
      <w:r>
        <w:rPr>
          <w:rFonts w:hint="eastAsia" w:ascii="宋体" w:hAnsi="宋体"/>
        </w:rPr>
        <w:t>天内，如在投标有效期内撤回投标，我方同意被废除投标资格。</w:t>
      </w:r>
    </w:p>
    <w:p w14:paraId="5C3C908A">
      <w:pPr>
        <w:spacing w:line="360" w:lineRule="auto"/>
        <w:ind w:firstLine="420" w:firstLineChars="200"/>
        <w:jc w:val="left"/>
        <w:rPr>
          <w:rFonts w:ascii="宋体"/>
        </w:rPr>
      </w:pPr>
      <w:r>
        <w:rPr>
          <w:rFonts w:hint="eastAsia" w:ascii="宋体" w:hAnsi="宋体"/>
        </w:rPr>
        <w:t>4、我方承诺所提供的一切投标文件已经认真严格审核，内容均为全面真实、准确有效且毫无保留，绝无任何遗漏、虚假、伪造和夸大的成分，若出现违背诚实信用和无如实告知之处，同意被废除投标资格和相关的处罚。</w:t>
      </w:r>
    </w:p>
    <w:p w14:paraId="11BB4F3B">
      <w:pPr>
        <w:pStyle w:val="2"/>
        <w:jc w:val="right"/>
        <w:rPr>
          <w:rFonts w:ascii="宋体"/>
          <w:szCs w:val="21"/>
        </w:rPr>
      </w:pPr>
    </w:p>
    <w:p w14:paraId="28115F93">
      <w:pPr>
        <w:pStyle w:val="2"/>
        <w:jc w:val="right"/>
        <w:rPr>
          <w:rFonts w:ascii="宋体"/>
          <w:szCs w:val="21"/>
        </w:rPr>
      </w:pPr>
    </w:p>
    <w:p w14:paraId="3AB3BF01">
      <w:pPr>
        <w:spacing w:line="360" w:lineRule="auto"/>
        <w:jc w:val="right"/>
        <w:rPr>
          <w:rFonts w:ascii="宋体" w:hAnsi="宋体" w:cs="宋体"/>
          <w:color w:val="000000"/>
        </w:rPr>
      </w:pPr>
      <w:r>
        <w:rPr>
          <w:rFonts w:hint="eastAsia" w:ascii="宋体" w:hAnsi="宋体"/>
        </w:rPr>
        <w:t>投标人名称（公章</w:t>
      </w:r>
      <w:r>
        <w:rPr>
          <w:rFonts w:ascii="宋体" w:hAnsi="宋体"/>
        </w:rPr>
        <w:t>):</w:t>
      </w:r>
    </w:p>
    <w:p w14:paraId="25FC7A3A">
      <w:pPr>
        <w:spacing w:line="360" w:lineRule="auto"/>
        <w:jc w:val="right"/>
        <w:rPr>
          <w:rFonts w:hAnsi="宋体"/>
        </w:rPr>
      </w:pPr>
      <w:r>
        <w:rPr>
          <w:rFonts w:hint="eastAsia" w:hAnsi="宋体"/>
        </w:rPr>
        <w:t>日期：</w:t>
      </w:r>
      <w:r>
        <w:rPr>
          <w:rFonts w:hAnsi="宋体"/>
        </w:rPr>
        <w:t>_____</w:t>
      </w:r>
      <w:r>
        <w:rPr>
          <w:rFonts w:hint="eastAsia" w:hAnsi="宋体"/>
        </w:rPr>
        <w:t>年</w:t>
      </w:r>
      <w:r>
        <w:rPr>
          <w:rFonts w:hAnsi="宋体"/>
        </w:rPr>
        <w:t>___</w:t>
      </w:r>
      <w:r>
        <w:rPr>
          <w:rFonts w:hint="eastAsia" w:hAnsi="宋体"/>
        </w:rPr>
        <w:t>月</w:t>
      </w:r>
      <w:r>
        <w:rPr>
          <w:rFonts w:hAnsi="宋体"/>
        </w:rPr>
        <w:t>___</w:t>
      </w:r>
      <w:r>
        <w:rPr>
          <w:rFonts w:hint="eastAsia" w:hAnsi="宋体"/>
        </w:rPr>
        <w:t>日</w:t>
      </w:r>
    </w:p>
    <w:p w14:paraId="6C127C7C">
      <w:pPr>
        <w:pStyle w:val="62"/>
        <w:snapToGrid w:val="0"/>
        <w:spacing w:before="159" w:after="159" w:line="360" w:lineRule="auto"/>
        <w:rPr>
          <w:b/>
          <w:bCs/>
          <w:sz w:val="21"/>
          <w:szCs w:val="21"/>
          <w:lang w:val="zh-CN"/>
        </w:rPr>
      </w:pPr>
      <w:r>
        <w:rPr>
          <w:rFonts w:hint="eastAsia" w:hAnsi="宋体" w:eastAsia="宋体"/>
          <w:b/>
          <w:bCs/>
          <w:sz w:val="21"/>
          <w:szCs w:val="21"/>
        </w:rPr>
        <w:t>4</w:t>
      </w:r>
      <w:r>
        <w:rPr>
          <w:rFonts w:hint="eastAsia" w:hAnsi="宋体"/>
          <w:b/>
          <w:bCs/>
          <w:sz w:val="21"/>
          <w:szCs w:val="21"/>
          <w:lang w:val="zh-CN"/>
        </w:rPr>
        <w:t>、</w:t>
      </w:r>
      <w:r>
        <w:rPr>
          <w:rFonts w:hint="eastAsia" w:hAnsi="宋体"/>
          <w:b/>
          <w:bCs/>
          <w:sz w:val="21"/>
          <w:szCs w:val="21"/>
        </w:rPr>
        <w:t>供应商自评表</w:t>
      </w:r>
    </w:p>
    <w:tbl>
      <w:tblPr>
        <w:tblStyle w:val="24"/>
        <w:tblpPr w:leftFromText="180" w:rightFromText="180" w:vertAnchor="text" w:horzAnchor="margin" w:tblpX="-67" w:tblpY="14"/>
        <w:tblW w:w="9024" w:type="dxa"/>
        <w:tblInd w:w="0" w:type="dxa"/>
        <w:tblLayout w:type="fixed"/>
        <w:tblCellMar>
          <w:top w:w="0" w:type="dxa"/>
          <w:left w:w="108" w:type="dxa"/>
          <w:bottom w:w="0" w:type="dxa"/>
          <w:right w:w="108" w:type="dxa"/>
        </w:tblCellMar>
      </w:tblPr>
      <w:tblGrid>
        <w:gridCol w:w="708"/>
        <w:gridCol w:w="1609"/>
        <w:gridCol w:w="5012"/>
        <w:gridCol w:w="795"/>
        <w:gridCol w:w="900"/>
      </w:tblGrid>
      <w:tr w14:paraId="7E9CB1B8">
        <w:tblPrEx>
          <w:tblCellMar>
            <w:top w:w="0" w:type="dxa"/>
            <w:left w:w="108" w:type="dxa"/>
            <w:bottom w:w="0" w:type="dxa"/>
            <w:right w:w="108" w:type="dxa"/>
          </w:tblCellMar>
        </w:tblPrEx>
        <w:trPr>
          <w:trHeight w:val="270" w:hRule="atLeast"/>
        </w:trPr>
        <w:tc>
          <w:tcPr>
            <w:tcW w:w="708" w:type="dxa"/>
            <w:tcBorders>
              <w:top w:val="single" w:color="auto" w:sz="8" w:space="0"/>
              <w:left w:val="single" w:color="auto" w:sz="8" w:space="0"/>
              <w:bottom w:val="nil"/>
              <w:right w:val="single" w:color="auto" w:sz="8" w:space="0"/>
            </w:tcBorders>
            <w:shd w:val="clear" w:color="000000" w:fill="FFFFFF"/>
            <w:vAlign w:val="center"/>
          </w:tcPr>
          <w:p w14:paraId="33245A49">
            <w:pPr>
              <w:jc w:val="center"/>
              <w:rPr>
                <w:rFonts w:ascii="宋体" w:cs="宋体"/>
                <w:kern w:val="0"/>
                <w:sz w:val="18"/>
                <w:szCs w:val="18"/>
              </w:rPr>
            </w:pPr>
            <w:r>
              <w:rPr>
                <w:rFonts w:hint="eastAsia" w:ascii="宋体" w:hAnsi="宋体" w:cs="宋体"/>
                <w:kern w:val="0"/>
                <w:sz w:val="18"/>
                <w:szCs w:val="18"/>
              </w:rPr>
              <w:t>序号</w:t>
            </w:r>
          </w:p>
        </w:tc>
        <w:tc>
          <w:tcPr>
            <w:tcW w:w="1609" w:type="dxa"/>
            <w:tcBorders>
              <w:top w:val="single" w:color="auto" w:sz="8" w:space="0"/>
              <w:left w:val="nil"/>
              <w:bottom w:val="nil"/>
              <w:right w:val="single" w:color="auto" w:sz="8" w:space="0"/>
            </w:tcBorders>
            <w:shd w:val="clear" w:color="000000" w:fill="FFFFFF"/>
            <w:vAlign w:val="center"/>
          </w:tcPr>
          <w:p w14:paraId="7AB26B3B">
            <w:pPr>
              <w:jc w:val="center"/>
              <w:rPr>
                <w:rFonts w:ascii="宋体" w:cs="宋体"/>
                <w:kern w:val="0"/>
                <w:sz w:val="18"/>
                <w:szCs w:val="18"/>
              </w:rPr>
            </w:pPr>
            <w:r>
              <w:rPr>
                <w:rFonts w:hint="eastAsia" w:ascii="宋体" w:hAnsi="宋体" w:cs="宋体"/>
                <w:kern w:val="0"/>
                <w:sz w:val="18"/>
                <w:szCs w:val="18"/>
              </w:rPr>
              <w:t>评分</w:t>
            </w:r>
          </w:p>
          <w:p w14:paraId="19C5AFB7">
            <w:pPr>
              <w:jc w:val="center"/>
              <w:rPr>
                <w:rFonts w:ascii="宋体" w:cs="宋体"/>
                <w:kern w:val="0"/>
                <w:sz w:val="18"/>
                <w:szCs w:val="18"/>
              </w:rPr>
            </w:pPr>
            <w:r>
              <w:rPr>
                <w:rFonts w:hint="eastAsia" w:ascii="宋体" w:hAnsi="宋体" w:cs="宋体"/>
                <w:kern w:val="0"/>
                <w:sz w:val="18"/>
                <w:szCs w:val="18"/>
              </w:rPr>
              <w:t>内容</w:t>
            </w:r>
          </w:p>
        </w:tc>
        <w:tc>
          <w:tcPr>
            <w:tcW w:w="5012" w:type="dxa"/>
            <w:tcBorders>
              <w:top w:val="single" w:color="auto" w:sz="8" w:space="0"/>
              <w:left w:val="nil"/>
              <w:bottom w:val="nil"/>
              <w:right w:val="single" w:color="auto" w:sz="4" w:space="0"/>
            </w:tcBorders>
            <w:shd w:val="clear" w:color="000000" w:fill="FFFFFF"/>
            <w:vAlign w:val="center"/>
          </w:tcPr>
          <w:p w14:paraId="68D87ABA">
            <w:pPr>
              <w:jc w:val="center"/>
              <w:rPr>
                <w:rFonts w:ascii="宋体" w:cs="宋体"/>
                <w:kern w:val="0"/>
                <w:sz w:val="18"/>
                <w:szCs w:val="18"/>
              </w:rPr>
            </w:pPr>
            <w:r>
              <w:rPr>
                <w:rFonts w:hint="eastAsia" w:ascii="宋体" w:hAnsi="宋体" w:cs="宋体"/>
                <w:kern w:val="0"/>
                <w:sz w:val="18"/>
                <w:szCs w:val="18"/>
              </w:rPr>
              <w:t>评分原则</w:t>
            </w:r>
          </w:p>
        </w:tc>
        <w:tc>
          <w:tcPr>
            <w:tcW w:w="795" w:type="dxa"/>
            <w:tcBorders>
              <w:top w:val="single" w:color="auto" w:sz="4" w:space="0"/>
              <w:left w:val="single" w:color="auto" w:sz="4" w:space="0"/>
              <w:bottom w:val="single" w:color="auto" w:sz="4" w:space="0"/>
              <w:right w:val="single" w:color="auto" w:sz="4" w:space="0"/>
            </w:tcBorders>
            <w:shd w:val="clear" w:color="000000" w:fill="FFFFFF"/>
            <w:vAlign w:val="center"/>
          </w:tcPr>
          <w:p w14:paraId="06C4F518">
            <w:pPr>
              <w:jc w:val="center"/>
              <w:rPr>
                <w:rFonts w:ascii="宋体" w:cs="宋体"/>
                <w:kern w:val="0"/>
                <w:sz w:val="18"/>
                <w:szCs w:val="18"/>
              </w:rPr>
            </w:pPr>
            <w:r>
              <w:rPr>
                <w:rFonts w:hint="eastAsia" w:ascii="宋体" w:hAnsi="宋体" w:cs="宋体"/>
                <w:kern w:val="0"/>
                <w:sz w:val="18"/>
                <w:szCs w:val="18"/>
              </w:rPr>
              <w:t>自评分</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2D7C0C36">
            <w:pPr>
              <w:jc w:val="center"/>
              <w:rPr>
                <w:rFonts w:ascii="宋体" w:cs="宋体"/>
                <w:kern w:val="0"/>
                <w:sz w:val="18"/>
                <w:szCs w:val="18"/>
              </w:rPr>
            </w:pPr>
            <w:r>
              <w:rPr>
                <w:rFonts w:hint="eastAsia" w:ascii="宋体" w:hAnsi="宋体" w:cs="宋体"/>
                <w:kern w:val="0"/>
                <w:sz w:val="18"/>
                <w:szCs w:val="18"/>
              </w:rPr>
              <w:t>投标文件页码</w:t>
            </w:r>
          </w:p>
        </w:tc>
      </w:tr>
      <w:tr w14:paraId="55F99804">
        <w:tblPrEx>
          <w:tblCellMar>
            <w:top w:w="0" w:type="dxa"/>
            <w:left w:w="108" w:type="dxa"/>
            <w:bottom w:w="0" w:type="dxa"/>
            <w:right w:w="108" w:type="dxa"/>
          </w:tblCellMar>
        </w:tblPrEx>
        <w:trPr>
          <w:trHeight w:val="567"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14:paraId="05915C2A">
            <w:pPr>
              <w:jc w:val="center"/>
              <w:rPr>
                <w:rFonts w:ascii="宋体" w:cs="宋体"/>
                <w:kern w:val="0"/>
                <w:sz w:val="18"/>
                <w:szCs w:val="18"/>
              </w:rPr>
            </w:pPr>
            <w:r>
              <w:rPr>
                <w:rFonts w:ascii="宋体" w:hAnsi="宋体" w:cs="宋体"/>
                <w:kern w:val="0"/>
                <w:sz w:val="18"/>
                <w:szCs w:val="18"/>
              </w:rPr>
              <w:t>1</w:t>
            </w:r>
          </w:p>
        </w:tc>
        <w:tc>
          <w:tcPr>
            <w:tcW w:w="1609" w:type="dxa"/>
            <w:vMerge w:val="restart"/>
            <w:tcBorders>
              <w:top w:val="single" w:color="auto" w:sz="4" w:space="0"/>
              <w:left w:val="single" w:color="auto" w:sz="4" w:space="0"/>
              <w:right w:val="single" w:color="auto" w:sz="4" w:space="0"/>
            </w:tcBorders>
            <w:shd w:val="clear" w:color="000000" w:fill="FFFFFF"/>
            <w:vAlign w:val="center"/>
          </w:tcPr>
          <w:p w14:paraId="064B17A1">
            <w:pPr>
              <w:jc w:val="center"/>
              <w:rPr>
                <w:rFonts w:ascii="宋体" w:cs="宋体"/>
                <w:kern w:val="0"/>
                <w:sz w:val="18"/>
                <w:szCs w:val="18"/>
              </w:rPr>
            </w:pPr>
            <w:r>
              <w:rPr>
                <w:rFonts w:hint="eastAsia" w:ascii="宋体" w:hAnsi="宋体" w:cs="宋体"/>
                <w:kern w:val="0"/>
                <w:sz w:val="18"/>
                <w:szCs w:val="18"/>
              </w:rPr>
              <w:t>商务分</w:t>
            </w:r>
          </w:p>
        </w:tc>
        <w:tc>
          <w:tcPr>
            <w:tcW w:w="5012" w:type="dxa"/>
            <w:tcBorders>
              <w:top w:val="single" w:color="auto" w:sz="4" w:space="0"/>
              <w:left w:val="nil"/>
              <w:bottom w:val="single" w:color="auto" w:sz="4" w:space="0"/>
              <w:right w:val="single" w:color="auto" w:sz="4" w:space="0"/>
            </w:tcBorders>
            <w:shd w:val="clear" w:color="000000" w:fill="FFFFFF"/>
            <w:vAlign w:val="center"/>
          </w:tcPr>
          <w:p w14:paraId="00E0F271">
            <w:pPr>
              <w:spacing w:line="400" w:lineRule="exact"/>
              <w:rPr>
                <w:rFonts w:ascii="宋体" w:cs="宋体"/>
                <w:kern w:val="0"/>
                <w:sz w:val="18"/>
                <w:szCs w:val="18"/>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2BE94F24">
            <w:pPr>
              <w:jc w:val="center"/>
              <w:rPr>
                <w:rFonts w:ascii="宋体" w:cs="宋体"/>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2B353882">
            <w:pPr>
              <w:jc w:val="center"/>
              <w:rPr>
                <w:rFonts w:ascii="宋体" w:cs="宋体"/>
                <w:kern w:val="0"/>
                <w:sz w:val="18"/>
                <w:szCs w:val="18"/>
              </w:rPr>
            </w:pPr>
          </w:p>
        </w:tc>
      </w:tr>
      <w:tr w14:paraId="383A586E">
        <w:tblPrEx>
          <w:tblCellMar>
            <w:top w:w="0" w:type="dxa"/>
            <w:left w:w="108" w:type="dxa"/>
            <w:bottom w:w="0" w:type="dxa"/>
            <w:right w:w="108" w:type="dxa"/>
          </w:tblCellMar>
        </w:tblPrEx>
        <w:trPr>
          <w:trHeight w:val="567" w:hRule="atLeast"/>
        </w:trPr>
        <w:tc>
          <w:tcPr>
            <w:tcW w:w="708" w:type="dxa"/>
            <w:vMerge w:val="continue"/>
            <w:tcBorders>
              <w:top w:val="single" w:color="auto" w:sz="4" w:space="0"/>
              <w:left w:val="single" w:color="auto" w:sz="4" w:space="0"/>
              <w:right w:val="single" w:color="auto" w:sz="4" w:space="0"/>
            </w:tcBorders>
            <w:shd w:val="clear" w:color="000000" w:fill="FFFFFF"/>
            <w:vAlign w:val="center"/>
          </w:tcPr>
          <w:p w14:paraId="3A01EAA8">
            <w:pPr>
              <w:jc w:val="center"/>
              <w:rPr>
                <w:rFonts w:ascii="宋体" w:cs="宋体"/>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12F48841">
            <w:pPr>
              <w:jc w:val="center"/>
              <w:rPr>
                <w:rFonts w:ascii="宋体" w:cs="宋体"/>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7F7F5A8A">
            <w:pPr>
              <w:spacing w:line="400" w:lineRule="exact"/>
              <w:rPr>
                <w:rFonts w:ascii="宋体" w:cs="宋体"/>
                <w:kern w:val="0"/>
                <w:sz w:val="18"/>
                <w:szCs w:val="18"/>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31B52329">
            <w:pPr>
              <w:jc w:val="center"/>
              <w:rPr>
                <w:rFonts w:ascii="宋体" w:cs="宋体"/>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7A045301">
            <w:pPr>
              <w:jc w:val="center"/>
              <w:rPr>
                <w:rFonts w:ascii="宋体" w:cs="宋体"/>
                <w:kern w:val="0"/>
                <w:sz w:val="18"/>
                <w:szCs w:val="18"/>
              </w:rPr>
            </w:pPr>
          </w:p>
        </w:tc>
      </w:tr>
      <w:tr w14:paraId="6264E0ED">
        <w:tblPrEx>
          <w:tblCellMar>
            <w:top w:w="0" w:type="dxa"/>
            <w:left w:w="108" w:type="dxa"/>
            <w:bottom w:w="0" w:type="dxa"/>
            <w:right w:w="108" w:type="dxa"/>
          </w:tblCellMar>
        </w:tblPrEx>
        <w:trPr>
          <w:trHeight w:val="567" w:hRule="atLeast"/>
        </w:trPr>
        <w:tc>
          <w:tcPr>
            <w:tcW w:w="708" w:type="dxa"/>
            <w:vMerge w:val="continue"/>
            <w:tcBorders>
              <w:left w:val="single" w:color="auto" w:sz="4" w:space="0"/>
              <w:bottom w:val="single" w:color="auto" w:sz="4" w:space="0"/>
              <w:right w:val="single" w:color="auto" w:sz="4" w:space="0"/>
            </w:tcBorders>
            <w:shd w:val="clear" w:color="000000" w:fill="FFFFFF"/>
            <w:vAlign w:val="center"/>
          </w:tcPr>
          <w:p w14:paraId="0DD17AD3">
            <w:pPr>
              <w:jc w:val="center"/>
              <w:rPr>
                <w:rFonts w:ascii="宋体" w:cs="宋体"/>
                <w:kern w:val="0"/>
                <w:sz w:val="18"/>
                <w:szCs w:val="18"/>
              </w:rPr>
            </w:pPr>
          </w:p>
        </w:tc>
        <w:tc>
          <w:tcPr>
            <w:tcW w:w="1609" w:type="dxa"/>
            <w:vMerge w:val="continue"/>
            <w:tcBorders>
              <w:left w:val="single" w:color="auto" w:sz="4" w:space="0"/>
              <w:bottom w:val="single" w:color="auto" w:sz="4" w:space="0"/>
              <w:right w:val="single" w:color="auto" w:sz="4" w:space="0"/>
            </w:tcBorders>
            <w:shd w:val="clear" w:color="000000" w:fill="FFFFFF"/>
            <w:vAlign w:val="center"/>
          </w:tcPr>
          <w:p w14:paraId="2C60E3ED">
            <w:pPr>
              <w:jc w:val="center"/>
              <w:rPr>
                <w:rFonts w:ascii="宋体" w:cs="宋体"/>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551407D9">
            <w:pPr>
              <w:spacing w:line="400" w:lineRule="exact"/>
              <w:rPr>
                <w:rFonts w:ascii="宋体" w:cs="宋体"/>
                <w:kern w:val="0"/>
                <w:sz w:val="18"/>
                <w:szCs w:val="18"/>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6FA2F7FA">
            <w:pPr>
              <w:jc w:val="center"/>
              <w:rPr>
                <w:rFonts w:ascii="宋体" w:cs="宋体"/>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6FEA692E">
            <w:pPr>
              <w:jc w:val="center"/>
              <w:rPr>
                <w:rFonts w:ascii="宋体" w:cs="宋体"/>
                <w:kern w:val="0"/>
                <w:sz w:val="18"/>
                <w:szCs w:val="18"/>
              </w:rPr>
            </w:pPr>
          </w:p>
        </w:tc>
      </w:tr>
      <w:tr w14:paraId="21BE3A9D">
        <w:tblPrEx>
          <w:tblCellMar>
            <w:top w:w="0" w:type="dxa"/>
            <w:left w:w="108" w:type="dxa"/>
            <w:bottom w:w="0" w:type="dxa"/>
            <w:right w:w="108" w:type="dxa"/>
          </w:tblCellMar>
        </w:tblPrEx>
        <w:trPr>
          <w:trHeight w:val="567"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14:paraId="298F4105">
            <w:pPr>
              <w:jc w:val="center"/>
              <w:rPr>
                <w:rFonts w:ascii="宋体" w:cs="宋体"/>
                <w:kern w:val="0"/>
                <w:sz w:val="18"/>
                <w:szCs w:val="18"/>
              </w:rPr>
            </w:pPr>
            <w:r>
              <w:rPr>
                <w:rFonts w:ascii="宋体" w:hAnsi="宋体" w:cs="宋体"/>
                <w:kern w:val="0"/>
                <w:sz w:val="18"/>
                <w:szCs w:val="18"/>
              </w:rPr>
              <w:t>2</w:t>
            </w:r>
          </w:p>
        </w:tc>
        <w:tc>
          <w:tcPr>
            <w:tcW w:w="1609" w:type="dxa"/>
            <w:vMerge w:val="restart"/>
            <w:tcBorders>
              <w:top w:val="single" w:color="auto" w:sz="4" w:space="0"/>
              <w:left w:val="single" w:color="auto" w:sz="4" w:space="0"/>
              <w:right w:val="single" w:color="auto" w:sz="4" w:space="0"/>
            </w:tcBorders>
            <w:shd w:val="clear" w:color="000000" w:fill="FFFFFF"/>
            <w:vAlign w:val="center"/>
          </w:tcPr>
          <w:p w14:paraId="5E980FE9">
            <w:pPr>
              <w:jc w:val="center"/>
              <w:rPr>
                <w:rFonts w:ascii="宋体" w:cs="宋体"/>
                <w:kern w:val="0"/>
                <w:sz w:val="18"/>
                <w:szCs w:val="18"/>
              </w:rPr>
            </w:pPr>
            <w:r>
              <w:rPr>
                <w:rFonts w:hint="eastAsia" w:ascii="宋体" w:hAnsi="宋体" w:cs="宋体"/>
                <w:kern w:val="0"/>
                <w:sz w:val="18"/>
                <w:szCs w:val="18"/>
              </w:rPr>
              <w:t>技术分</w:t>
            </w:r>
          </w:p>
          <w:p w14:paraId="075C419F">
            <w:pPr>
              <w:jc w:val="center"/>
              <w:rPr>
                <w:rFonts w:ascii="宋体" w:cs="宋体"/>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4D22EA30">
            <w:pPr>
              <w:spacing w:line="400" w:lineRule="exact"/>
              <w:rPr>
                <w:rFonts w:ascii="宋体"/>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4AEC10BF">
            <w:pPr>
              <w:jc w:val="center"/>
              <w:rPr>
                <w:rFonts w:ascii="宋体" w:cs="宋体"/>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0413E313">
            <w:pPr>
              <w:jc w:val="center"/>
              <w:rPr>
                <w:rFonts w:ascii="宋体" w:cs="宋体"/>
                <w:kern w:val="0"/>
                <w:sz w:val="18"/>
                <w:szCs w:val="18"/>
              </w:rPr>
            </w:pPr>
          </w:p>
        </w:tc>
      </w:tr>
      <w:tr w14:paraId="5470D122">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14:paraId="0723F5E3">
            <w:pPr>
              <w:jc w:val="center"/>
              <w:rPr>
                <w:rFonts w:ascii="宋体" w:cs="宋体"/>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458FD716">
            <w:pPr>
              <w:jc w:val="center"/>
              <w:rPr>
                <w:rFonts w:ascii="宋体" w:cs="宋体"/>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11893950">
            <w:pPr>
              <w:spacing w:line="400" w:lineRule="exact"/>
              <w:rPr>
                <w:rFonts w:ascii="宋体"/>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6A33F420">
            <w:pPr>
              <w:jc w:val="center"/>
              <w:rPr>
                <w:rFonts w:ascii="宋体" w:cs="宋体"/>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031CEF6A">
            <w:pPr>
              <w:jc w:val="center"/>
              <w:rPr>
                <w:rFonts w:ascii="宋体" w:cs="宋体"/>
                <w:kern w:val="0"/>
                <w:sz w:val="18"/>
                <w:szCs w:val="18"/>
              </w:rPr>
            </w:pPr>
          </w:p>
        </w:tc>
      </w:tr>
      <w:tr w14:paraId="50DEC3D0">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14:paraId="4354EBA3">
            <w:pPr>
              <w:jc w:val="center"/>
              <w:rPr>
                <w:rFonts w:ascii="宋体" w:cs="宋体"/>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4440534A">
            <w:pPr>
              <w:jc w:val="center"/>
              <w:rPr>
                <w:rFonts w:ascii="宋体" w:cs="宋体"/>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42B2947F">
            <w:pPr>
              <w:spacing w:line="400" w:lineRule="exact"/>
              <w:rPr>
                <w:rFonts w:ascii="宋体"/>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40561A24">
            <w:pPr>
              <w:jc w:val="center"/>
              <w:rPr>
                <w:rFonts w:ascii="宋体" w:cs="宋体"/>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531916F7">
            <w:pPr>
              <w:jc w:val="center"/>
              <w:rPr>
                <w:rFonts w:ascii="宋体" w:cs="宋体"/>
                <w:kern w:val="0"/>
                <w:sz w:val="18"/>
                <w:szCs w:val="18"/>
              </w:rPr>
            </w:pPr>
          </w:p>
        </w:tc>
      </w:tr>
      <w:tr w14:paraId="3BDE16A7">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14:paraId="18F32CFE">
            <w:pPr>
              <w:jc w:val="center"/>
              <w:rPr>
                <w:rFonts w:ascii="宋体" w:cs="宋体"/>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67C4EA95">
            <w:pPr>
              <w:jc w:val="center"/>
              <w:rPr>
                <w:rFonts w:ascii="宋体" w:cs="宋体"/>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136AB544">
            <w:pPr>
              <w:spacing w:line="400" w:lineRule="exact"/>
              <w:rPr>
                <w:rFonts w:ascii="宋体"/>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2B822FA2">
            <w:pPr>
              <w:jc w:val="center"/>
              <w:rPr>
                <w:rFonts w:ascii="宋体" w:cs="宋体"/>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2FBB0CCF">
            <w:pPr>
              <w:jc w:val="center"/>
              <w:rPr>
                <w:rFonts w:ascii="宋体" w:cs="宋体"/>
                <w:kern w:val="0"/>
                <w:sz w:val="18"/>
                <w:szCs w:val="18"/>
              </w:rPr>
            </w:pPr>
          </w:p>
        </w:tc>
      </w:tr>
      <w:tr w14:paraId="21ABED01">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14:paraId="1A1D339B">
            <w:pPr>
              <w:jc w:val="center"/>
              <w:rPr>
                <w:rFonts w:ascii="宋体" w:cs="宋体"/>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1C1E8615">
            <w:pPr>
              <w:jc w:val="center"/>
              <w:rPr>
                <w:rFonts w:ascii="宋体" w:cs="宋体"/>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10546F9A">
            <w:pPr>
              <w:spacing w:line="400" w:lineRule="exact"/>
              <w:rPr>
                <w:rFonts w:ascii="宋体"/>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1244C119">
            <w:pPr>
              <w:jc w:val="center"/>
              <w:rPr>
                <w:rFonts w:ascii="宋体" w:cs="宋体"/>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6618A030">
            <w:pPr>
              <w:jc w:val="center"/>
              <w:rPr>
                <w:rFonts w:ascii="宋体" w:cs="宋体"/>
                <w:kern w:val="0"/>
                <w:sz w:val="18"/>
                <w:szCs w:val="18"/>
              </w:rPr>
            </w:pPr>
          </w:p>
        </w:tc>
      </w:tr>
      <w:tr w14:paraId="11EAF4E9">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14:paraId="06D9C4FD">
            <w:pPr>
              <w:jc w:val="center"/>
              <w:rPr>
                <w:rFonts w:ascii="宋体" w:cs="宋体"/>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3657BF71">
            <w:pPr>
              <w:jc w:val="center"/>
              <w:rPr>
                <w:rFonts w:ascii="宋体" w:cs="宋体"/>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4B3DCE4A">
            <w:pPr>
              <w:spacing w:line="400" w:lineRule="exact"/>
              <w:rPr>
                <w:rFonts w:ascii="宋体"/>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13F34F35">
            <w:pPr>
              <w:jc w:val="center"/>
              <w:rPr>
                <w:rFonts w:ascii="宋体" w:cs="宋体"/>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03F5884B">
            <w:pPr>
              <w:jc w:val="center"/>
              <w:rPr>
                <w:rFonts w:ascii="宋体" w:cs="宋体"/>
                <w:kern w:val="0"/>
                <w:sz w:val="18"/>
                <w:szCs w:val="18"/>
              </w:rPr>
            </w:pPr>
          </w:p>
        </w:tc>
      </w:tr>
      <w:tr w14:paraId="52E5B86B">
        <w:tblPrEx>
          <w:tblCellMar>
            <w:top w:w="0" w:type="dxa"/>
            <w:left w:w="108" w:type="dxa"/>
            <w:bottom w:w="0" w:type="dxa"/>
            <w:right w:w="108" w:type="dxa"/>
          </w:tblCellMar>
        </w:tblPrEx>
        <w:trPr>
          <w:trHeight w:val="567" w:hRule="atLeast"/>
        </w:trPr>
        <w:tc>
          <w:tcPr>
            <w:tcW w:w="708" w:type="dxa"/>
            <w:vMerge w:val="continue"/>
            <w:tcBorders>
              <w:top w:val="single" w:color="auto" w:sz="4" w:space="0"/>
              <w:left w:val="single" w:color="auto" w:sz="4" w:space="0"/>
              <w:right w:val="single" w:color="auto" w:sz="4" w:space="0"/>
            </w:tcBorders>
            <w:vAlign w:val="center"/>
          </w:tcPr>
          <w:p w14:paraId="58C43AB3">
            <w:pPr>
              <w:jc w:val="center"/>
              <w:rPr>
                <w:rFonts w:ascii="宋体" w:cs="宋体"/>
                <w:kern w:val="0"/>
                <w:sz w:val="18"/>
                <w:szCs w:val="18"/>
              </w:rPr>
            </w:pPr>
          </w:p>
        </w:tc>
        <w:tc>
          <w:tcPr>
            <w:tcW w:w="1609" w:type="dxa"/>
            <w:vMerge w:val="continue"/>
            <w:tcBorders>
              <w:left w:val="single" w:color="auto" w:sz="4" w:space="0"/>
              <w:right w:val="single" w:color="auto" w:sz="4" w:space="0"/>
            </w:tcBorders>
            <w:vAlign w:val="center"/>
          </w:tcPr>
          <w:p w14:paraId="3A98E83E">
            <w:pPr>
              <w:spacing w:line="300" w:lineRule="exact"/>
              <w:jc w:val="center"/>
              <w:rPr>
                <w:rFonts w:ascii="宋体" w:cs="宋体"/>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1136F01F">
            <w:pPr>
              <w:spacing w:line="400" w:lineRule="exact"/>
              <w:rPr>
                <w:rFonts w:ascii="宋体"/>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311F6593">
            <w:pPr>
              <w:jc w:val="center"/>
              <w:rPr>
                <w:rFonts w:ascii="宋体" w:cs="宋体"/>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26DF85BD">
            <w:pPr>
              <w:jc w:val="center"/>
              <w:rPr>
                <w:rFonts w:ascii="宋体" w:cs="宋体"/>
                <w:kern w:val="0"/>
                <w:sz w:val="18"/>
                <w:szCs w:val="18"/>
              </w:rPr>
            </w:pPr>
          </w:p>
        </w:tc>
      </w:tr>
      <w:tr w14:paraId="466C7F5A">
        <w:tblPrEx>
          <w:tblCellMar>
            <w:top w:w="0" w:type="dxa"/>
            <w:left w:w="108" w:type="dxa"/>
            <w:bottom w:w="0" w:type="dxa"/>
            <w:right w:w="108" w:type="dxa"/>
          </w:tblCellMar>
        </w:tblPrEx>
        <w:trPr>
          <w:trHeight w:val="567" w:hRule="atLeast"/>
        </w:trPr>
        <w:tc>
          <w:tcPr>
            <w:tcW w:w="708" w:type="dxa"/>
            <w:vMerge w:val="continue"/>
            <w:tcBorders>
              <w:left w:val="single" w:color="auto" w:sz="4" w:space="0"/>
              <w:bottom w:val="single" w:color="auto" w:sz="4" w:space="0"/>
              <w:right w:val="single" w:color="auto" w:sz="4" w:space="0"/>
            </w:tcBorders>
            <w:vAlign w:val="center"/>
          </w:tcPr>
          <w:p w14:paraId="693666F9">
            <w:pPr>
              <w:jc w:val="center"/>
              <w:rPr>
                <w:rFonts w:ascii="宋体" w:cs="宋体"/>
                <w:kern w:val="0"/>
                <w:sz w:val="18"/>
                <w:szCs w:val="18"/>
              </w:rPr>
            </w:pPr>
          </w:p>
        </w:tc>
        <w:tc>
          <w:tcPr>
            <w:tcW w:w="1609" w:type="dxa"/>
            <w:vMerge w:val="continue"/>
            <w:tcBorders>
              <w:left w:val="single" w:color="auto" w:sz="4" w:space="0"/>
              <w:bottom w:val="single" w:color="auto" w:sz="4" w:space="0"/>
              <w:right w:val="single" w:color="auto" w:sz="4" w:space="0"/>
            </w:tcBorders>
            <w:vAlign w:val="center"/>
          </w:tcPr>
          <w:p w14:paraId="57F5245A">
            <w:pPr>
              <w:autoSpaceDE w:val="0"/>
              <w:autoSpaceDN w:val="0"/>
              <w:adjustRightInd w:val="0"/>
              <w:snapToGrid w:val="0"/>
              <w:spacing w:line="300" w:lineRule="exact"/>
              <w:jc w:val="center"/>
              <w:rPr>
                <w:rFonts w:ascii="宋体" w:cs="宋体"/>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24143FDB">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400" w:lineRule="exact"/>
              <w:ind w:right="25"/>
              <w:jc w:val="left"/>
              <w:rPr>
                <w:rFonts w:ascii="宋体"/>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27A29DD6">
            <w:pPr>
              <w:jc w:val="center"/>
              <w:rPr>
                <w:rFonts w:ascii="宋体" w:cs="宋体"/>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6DBDEFA7">
            <w:pPr>
              <w:jc w:val="center"/>
              <w:rPr>
                <w:rFonts w:ascii="宋体" w:cs="宋体"/>
                <w:kern w:val="0"/>
                <w:sz w:val="18"/>
                <w:szCs w:val="18"/>
              </w:rPr>
            </w:pPr>
          </w:p>
        </w:tc>
      </w:tr>
    </w:tbl>
    <w:p w14:paraId="0C47BB77">
      <w:pPr>
        <w:pStyle w:val="2"/>
        <w:rPr>
          <w:rFonts w:ascii="宋体"/>
          <w:b/>
          <w:bCs/>
          <w:sz w:val="21"/>
          <w:szCs w:val="21"/>
          <w:lang w:val="zh-CN"/>
        </w:rPr>
      </w:pPr>
    </w:p>
    <w:p w14:paraId="64453C92">
      <w:pPr>
        <w:spacing w:line="360" w:lineRule="auto"/>
        <w:rPr>
          <w:rFonts w:ascii="宋体" w:cs="宋体"/>
          <w:b/>
          <w:sz w:val="22"/>
          <w:szCs w:val="22"/>
        </w:rPr>
      </w:pPr>
      <w:r>
        <w:rPr>
          <w:rFonts w:hint="eastAsia" w:ascii="宋体" w:hAnsi="宋体" w:cs="宋体"/>
          <w:b/>
          <w:sz w:val="22"/>
          <w:szCs w:val="22"/>
        </w:rPr>
        <w:t>注：根据评标办法制作本表格，评分标准为客观分的投标人需填写得分情况以及证明材料所在页码。为主观分的填写“专家自主评分”。</w:t>
      </w:r>
    </w:p>
    <w:p w14:paraId="2F912810">
      <w:pPr>
        <w:spacing w:line="360" w:lineRule="auto"/>
        <w:rPr>
          <w:rFonts w:ascii="宋体" w:cs="宋体"/>
          <w:b/>
          <w:sz w:val="24"/>
        </w:rPr>
      </w:pPr>
    </w:p>
    <w:p w14:paraId="1EEB30D3">
      <w:pPr>
        <w:pStyle w:val="4"/>
        <w:rPr>
          <w:rFonts w:ascii="宋体" w:cs="宋体"/>
          <w:sz w:val="24"/>
        </w:rPr>
      </w:pPr>
    </w:p>
    <w:p w14:paraId="2BC32834">
      <w:pPr>
        <w:snapToGrid w:val="0"/>
        <w:spacing w:before="100" w:beforeAutospacing="1" w:after="100" w:afterAutospacing="1" w:line="360" w:lineRule="exact"/>
        <w:jc w:val="left"/>
        <w:rPr>
          <w:rFonts w:ascii="宋体"/>
          <w:b/>
          <w:bCs/>
        </w:rPr>
      </w:pPr>
    </w:p>
    <w:p w14:paraId="31A2299A">
      <w:pPr>
        <w:snapToGrid w:val="0"/>
        <w:spacing w:before="100" w:beforeAutospacing="1" w:after="100" w:afterAutospacing="1" w:line="360" w:lineRule="exact"/>
        <w:jc w:val="left"/>
        <w:rPr>
          <w:rFonts w:ascii="宋体" w:hAnsi="宋体"/>
          <w:b/>
          <w:bCs/>
        </w:rPr>
      </w:pPr>
    </w:p>
    <w:p w14:paraId="4DA904B2">
      <w:pPr>
        <w:pStyle w:val="4"/>
      </w:pPr>
    </w:p>
    <w:p w14:paraId="63A0B194"/>
    <w:p w14:paraId="135F3449">
      <w:pPr>
        <w:snapToGrid w:val="0"/>
        <w:spacing w:before="100" w:beforeAutospacing="1" w:after="100" w:afterAutospacing="1" w:line="360" w:lineRule="exact"/>
        <w:jc w:val="left"/>
        <w:rPr>
          <w:rFonts w:ascii="宋体" w:hAnsi="宋体"/>
          <w:b/>
          <w:bCs/>
        </w:rPr>
      </w:pPr>
    </w:p>
    <w:p w14:paraId="472030EB">
      <w:pPr>
        <w:pStyle w:val="22"/>
      </w:pPr>
    </w:p>
    <w:p w14:paraId="5AE878BF">
      <w:pPr>
        <w:snapToGrid w:val="0"/>
        <w:spacing w:before="100" w:beforeAutospacing="1" w:after="100" w:afterAutospacing="1" w:line="360" w:lineRule="exact"/>
        <w:jc w:val="left"/>
        <w:rPr>
          <w:rFonts w:ascii="宋体"/>
          <w:b/>
          <w:bCs/>
        </w:rPr>
      </w:pPr>
      <w:r>
        <w:rPr>
          <w:rFonts w:hint="eastAsia" w:ascii="宋体" w:hAnsi="宋体"/>
          <w:b/>
          <w:bCs/>
        </w:rPr>
        <w:t>5、投标人基本情况表</w:t>
      </w:r>
    </w:p>
    <w:p w14:paraId="5DEBA3DF">
      <w:pPr>
        <w:snapToGrid w:val="0"/>
        <w:spacing w:before="50" w:after="50"/>
        <w:jc w:val="center"/>
        <w:rPr>
          <w:rFonts w:ascii="宋体" w:cs="宋体"/>
        </w:rPr>
      </w:pPr>
      <w:r>
        <w:rPr>
          <w:rFonts w:hint="eastAsia" w:ascii="宋体" w:hAnsi="宋体"/>
          <w:b/>
          <w:bCs/>
        </w:rPr>
        <w:t>投标人基本情况表</w:t>
      </w:r>
    </w:p>
    <w:p w14:paraId="7ED0C65A">
      <w:pPr>
        <w:snapToGrid w:val="0"/>
        <w:spacing w:before="50" w:after="50"/>
        <w:ind w:firstLine="630" w:firstLineChars="300"/>
        <w:rPr>
          <w:rFonts w:ascii="宋体" w:hAnsi="宋体" w:cs="宋体"/>
        </w:rPr>
      </w:pPr>
    </w:p>
    <w:p w14:paraId="0CCC801D">
      <w:pPr>
        <w:snapToGrid w:val="0"/>
        <w:spacing w:before="50" w:after="50"/>
        <w:ind w:firstLine="630" w:firstLineChars="300"/>
        <w:rPr>
          <w:rFonts w:ascii="宋体" w:cs="宋体"/>
        </w:rPr>
      </w:pPr>
      <w:r>
        <w:rPr>
          <w:rFonts w:hint="eastAsia" w:ascii="宋体" w:hAnsi="宋体" w:cs="宋体"/>
        </w:rPr>
        <w:t>招标编号：项目名称：</w:t>
      </w:r>
    </w:p>
    <w:tbl>
      <w:tblPr>
        <w:tblStyle w:val="24"/>
        <w:tblW w:w="8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916"/>
        <w:gridCol w:w="290"/>
        <w:gridCol w:w="1272"/>
        <w:gridCol w:w="952"/>
        <w:gridCol w:w="327"/>
        <w:gridCol w:w="1010"/>
        <w:gridCol w:w="170"/>
        <w:gridCol w:w="331"/>
        <w:gridCol w:w="267"/>
        <w:gridCol w:w="1332"/>
      </w:tblGrid>
      <w:tr w14:paraId="1EC57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2B03C68F">
            <w:pPr>
              <w:jc w:val="center"/>
              <w:rPr>
                <w:rFonts w:ascii="宋体" w:cs="宋体"/>
              </w:rPr>
            </w:pPr>
            <w:r>
              <w:rPr>
                <w:rFonts w:hint="eastAsia" w:ascii="宋体" w:hAnsi="宋体" w:cs="宋体"/>
              </w:rPr>
              <w:t>申请人名称</w:t>
            </w:r>
          </w:p>
        </w:tc>
        <w:tc>
          <w:tcPr>
            <w:tcW w:w="6867" w:type="dxa"/>
            <w:gridSpan w:val="10"/>
            <w:vAlign w:val="center"/>
          </w:tcPr>
          <w:p w14:paraId="63C005A5">
            <w:pPr>
              <w:jc w:val="center"/>
              <w:rPr>
                <w:rFonts w:ascii="宋体" w:cs="宋体"/>
              </w:rPr>
            </w:pPr>
          </w:p>
        </w:tc>
      </w:tr>
      <w:tr w14:paraId="533CF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5F840253">
            <w:pPr>
              <w:jc w:val="center"/>
              <w:rPr>
                <w:rFonts w:ascii="宋体" w:cs="宋体"/>
              </w:rPr>
            </w:pPr>
            <w:r>
              <w:rPr>
                <w:rFonts w:hint="eastAsia" w:ascii="宋体" w:hAnsi="宋体" w:cs="宋体"/>
              </w:rPr>
              <w:t>注册地址</w:t>
            </w:r>
          </w:p>
        </w:tc>
        <w:tc>
          <w:tcPr>
            <w:tcW w:w="3430" w:type="dxa"/>
            <w:gridSpan w:val="4"/>
            <w:vAlign w:val="center"/>
          </w:tcPr>
          <w:p w14:paraId="6F848E6D">
            <w:pPr>
              <w:jc w:val="center"/>
              <w:rPr>
                <w:rFonts w:ascii="宋体" w:cs="宋体"/>
              </w:rPr>
            </w:pPr>
          </w:p>
        </w:tc>
        <w:tc>
          <w:tcPr>
            <w:tcW w:w="1507" w:type="dxa"/>
            <w:gridSpan w:val="3"/>
            <w:vAlign w:val="center"/>
          </w:tcPr>
          <w:p w14:paraId="177662B2">
            <w:pPr>
              <w:jc w:val="center"/>
              <w:rPr>
                <w:rFonts w:ascii="宋体" w:cs="宋体"/>
              </w:rPr>
            </w:pPr>
            <w:r>
              <w:rPr>
                <w:rFonts w:hint="eastAsia" w:ascii="宋体" w:hAnsi="宋体" w:cs="宋体"/>
              </w:rPr>
              <w:t>邮政编码</w:t>
            </w:r>
          </w:p>
        </w:tc>
        <w:tc>
          <w:tcPr>
            <w:tcW w:w="1930" w:type="dxa"/>
            <w:gridSpan w:val="3"/>
            <w:vAlign w:val="center"/>
          </w:tcPr>
          <w:p w14:paraId="1933DF59">
            <w:pPr>
              <w:jc w:val="center"/>
              <w:rPr>
                <w:rFonts w:ascii="宋体" w:cs="宋体"/>
              </w:rPr>
            </w:pPr>
          </w:p>
        </w:tc>
      </w:tr>
      <w:tr w14:paraId="0EF32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Merge w:val="restart"/>
            <w:vAlign w:val="center"/>
          </w:tcPr>
          <w:p w14:paraId="26A708A3">
            <w:pPr>
              <w:jc w:val="center"/>
              <w:rPr>
                <w:rFonts w:ascii="宋体" w:cs="宋体"/>
              </w:rPr>
            </w:pPr>
            <w:r>
              <w:rPr>
                <w:rFonts w:hint="eastAsia" w:ascii="宋体" w:hAnsi="宋体" w:cs="宋体"/>
              </w:rPr>
              <w:t>联系方式</w:t>
            </w:r>
          </w:p>
        </w:tc>
        <w:tc>
          <w:tcPr>
            <w:tcW w:w="1206" w:type="dxa"/>
            <w:gridSpan w:val="2"/>
            <w:vAlign w:val="center"/>
          </w:tcPr>
          <w:p w14:paraId="0607494E">
            <w:pPr>
              <w:jc w:val="center"/>
              <w:rPr>
                <w:rFonts w:ascii="宋体" w:cs="宋体"/>
              </w:rPr>
            </w:pPr>
            <w:r>
              <w:rPr>
                <w:rFonts w:hint="eastAsia" w:ascii="宋体" w:hAnsi="宋体" w:cs="宋体"/>
              </w:rPr>
              <w:t>联系人</w:t>
            </w:r>
          </w:p>
        </w:tc>
        <w:tc>
          <w:tcPr>
            <w:tcW w:w="2224" w:type="dxa"/>
            <w:gridSpan w:val="2"/>
            <w:vAlign w:val="center"/>
          </w:tcPr>
          <w:p w14:paraId="6AE07C09">
            <w:pPr>
              <w:jc w:val="center"/>
              <w:rPr>
                <w:rFonts w:ascii="宋体" w:cs="宋体"/>
              </w:rPr>
            </w:pPr>
          </w:p>
        </w:tc>
        <w:tc>
          <w:tcPr>
            <w:tcW w:w="1507" w:type="dxa"/>
            <w:gridSpan w:val="3"/>
            <w:vAlign w:val="center"/>
          </w:tcPr>
          <w:p w14:paraId="59DB832C">
            <w:pPr>
              <w:jc w:val="center"/>
              <w:rPr>
                <w:rFonts w:ascii="宋体" w:cs="宋体"/>
              </w:rPr>
            </w:pPr>
            <w:r>
              <w:rPr>
                <w:rFonts w:hint="eastAsia" w:ascii="宋体" w:hAnsi="宋体" w:cs="宋体"/>
              </w:rPr>
              <w:t>电话</w:t>
            </w:r>
          </w:p>
        </w:tc>
        <w:tc>
          <w:tcPr>
            <w:tcW w:w="1930" w:type="dxa"/>
            <w:gridSpan w:val="3"/>
            <w:vAlign w:val="center"/>
          </w:tcPr>
          <w:p w14:paraId="5636888A">
            <w:pPr>
              <w:jc w:val="center"/>
              <w:rPr>
                <w:rFonts w:ascii="宋体" w:cs="宋体"/>
              </w:rPr>
            </w:pPr>
          </w:p>
        </w:tc>
      </w:tr>
      <w:tr w14:paraId="60E0F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665" w:type="dxa"/>
            <w:vMerge w:val="continue"/>
            <w:vAlign w:val="center"/>
          </w:tcPr>
          <w:p w14:paraId="7C2BB9F7">
            <w:pPr>
              <w:jc w:val="center"/>
              <w:rPr>
                <w:rFonts w:ascii="宋体" w:cs="宋体"/>
              </w:rPr>
            </w:pPr>
          </w:p>
        </w:tc>
        <w:tc>
          <w:tcPr>
            <w:tcW w:w="1206" w:type="dxa"/>
            <w:gridSpan w:val="2"/>
            <w:vAlign w:val="center"/>
          </w:tcPr>
          <w:p w14:paraId="60B5D91D">
            <w:pPr>
              <w:jc w:val="center"/>
              <w:rPr>
                <w:rFonts w:ascii="宋体" w:cs="宋体"/>
              </w:rPr>
            </w:pPr>
            <w:r>
              <w:rPr>
                <w:rFonts w:hint="eastAsia" w:ascii="宋体" w:hAnsi="宋体" w:cs="宋体"/>
              </w:rPr>
              <w:t>传真</w:t>
            </w:r>
          </w:p>
        </w:tc>
        <w:tc>
          <w:tcPr>
            <w:tcW w:w="2224" w:type="dxa"/>
            <w:gridSpan w:val="2"/>
            <w:vAlign w:val="center"/>
          </w:tcPr>
          <w:p w14:paraId="19B85E2A">
            <w:pPr>
              <w:jc w:val="center"/>
              <w:rPr>
                <w:rFonts w:ascii="宋体" w:cs="宋体"/>
              </w:rPr>
            </w:pPr>
          </w:p>
        </w:tc>
        <w:tc>
          <w:tcPr>
            <w:tcW w:w="1507" w:type="dxa"/>
            <w:gridSpan w:val="3"/>
            <w:vAlign w:val="center"/>
          </w:tcPr>
          <w:p w14:paraId="2CC4DC25">
            <w:pPr>
              <w:jc w:val="center"/>
              <w:rPr>
                <w:rFonts w:ascii="宋体" w:cs="宋体"/>
              </w:rPr>
            </w:pPr>
            <w:r>
              <w:rPr>
                <w:rFonts w:hint="eastAsia" w:ascii="宋体" w:hAnsi="宋体" w:cs="宋体"/>
              </w:rPr>
              <w:t>网址</w:t>
            </w:r>
          </w:p>
        </w:tc>
        <w:tc>
          <w:tcPr>
            <w:tcW w:w="1930" w:type="dxa"/>
            <w:gridSpan w:val="3"/>
            <w:vAlign w:val="center"/>
          </w:tcPr>
          <w:p w14:paraId="6631E03B">
            <w:pPr>
              <w:jc w:val="center"/>
              <w:rPr>
                <w:rFonts w:ascii="宋体" w:cs="宋体"/>
              </w:rPr>
            </w:pPr>
          </w:p>
        </w:tc>
      </w:tr>
      <w:tr w14:paraId="08875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293C0220">
            <w:pPr>
              <w:jc w:val="center"/>
              <w:rPr>
                <w:rFonts w:ascii="宋体" w:cs="宋体"/>
              </w:rPr>
            </w:pPr>
            <w:r>
              <w:rPr>
                <w:rFonts w:hint="eastAsia" w:ascii="宋体" w:hAnsi="宋体" w:cs="宋体"/>
              </w:rPr>
              <w:t>组织结构</w:t>
            </w:r>
          </w:p>
        </w:tc>
        <w:tc>
          <w:tcPr>
            <w:tcW w:w="6867" w:type="dxa"/>
            <w:gridSpan w:val="10"/>
            <w:vAlign w:val="center"/>
          </w:tcPr>
          <w:p w14:paraId="0E492EBB">
            <w:pPr>
              <w:jc w:val="center"/>
              <w:rPr>
                <w:rFonts w:ascii="宋体" w:cs="宋体"/>
              </w:rPr>
            </w:pPr>
          </w:p>
        </w:tc>
      </w:tr>
      <w:tr w14:paraId="2F63F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28CF2614">
            <w:pPr>
              <w:jc w:val="center"/>
              <w:rPr>
                <w:rFonts w:ascii="宋体" w:cs="宋体"/>
              </w:rPr>
            </w:pPr>
            <w:r>
              <w:rPr>
                <w:rFonts w:hint="eastAsia" w:ascii="宋体" w:hAnsi="宋体" w:cs="宋体"/>
              </w:rPr>
              <w:t>法定代表人</w:t>
            </w:r>
          </w:p>
        </w:tc>
        <w:tc>
          <w:tcPr>
            <w:tcW w:w="916" w:type="dxa"/>
            <w:vAlign w:val="center"/>
          </w:tcPr>
          <w:p w14:paraId="74CB18C5">
            <w:pPr>
              <w:jc w:val="center"/>
              <w:rPr>
                <w:rFonts w:ascii="宋体" w:cs="宋体"/>
              </w:rPr>
            </w:pPr>
            <w:r>
              <w:rPr>
                <w:rFonts w:hint="eastAsia" w:ascii="宋体" w:hAnsi="宋体" w:cs="宋体"/>
              </w:rPr>
              <w:t>姓名</w:t>
            </w:r>
          </w:p>
        </w:tc>
        <w:tc>
          <w:tcPr>
            <w:tcW w:w="1562" w:type="dxa"/>
            <w:gridSpan w:val="2"/>
            <w:vAlign w:val="center"/>
          </w:tcPr>
          <w:p w14:paraId="1DCFD3C1">
            <w:pPr>
              <w:jc w:val="center"/>
              <w:rPr>
                <w:rFonts w:ascii="宋体" w:cs="宋体"/>
              </w:rPr>
            </w:pPr>
          </w:p>
        </w:tc>
        <w:tc>
          <w:tcPr>
            <w:tcW w:w="1279" w:type="dxa"/>
            <w:gridSpan w:val="2"/>
            <w:vAlign w:val="center"/>
          </w:tcPr>
          <w:p w14:paraId="4D606EED">
            <w:pPr>
              <w:jc w:val="center"/>
              <w:rPr>
                <w:rFonts w:ascii="宋体" w:cs="宋体"/>
              </w:rPr>
            </w:pPr>
            <w:r>
              <w:rPr>
                <w:rFonts w:hint="eastAsia" w:ascii="宋体" w:hAnsi="宋体" w:cs="宋体"/>
              </w:rPr>
              <w:t>技术职称</w:t>
            </w:r>
          </w:p>
        </w:tc>
        <w:tc>
          <w:tcPr>
            <w:tcW w:w="1010" w:type="dxa"/>
            <w:vAlign w:val="center"/>
          </w:tcPr>
          <w:p w14:paraId="532D9484">
            <w:pPr>
              <w:jc w:val="center"/>
              <w:rPr>
                <w:rFonts w:ascii="宋体" w:cs="宋体"/>
              </w:rPr>
            </w:pPr>
          </w:p>
        </w:tc>
        <w:tc>
          <w:tcPr>
            <w:tcW w:w="768" w:type="dxa"/>
            <w:gridSpan w:val="3"/>
            <w:vAlign w:val="center"/>
          </w:tcPr>
          <w:p w14:paraId="5286F8E1">
            <w:pPr>
              <w:jc w:val="center"/>
              <w:rPr>
                <w:rFonts w:ascii="宋体" w:cs="宋体"/>
              </w:rPr>
            </w:pPr>
            <w:r>
              <w:rPr>
                <w:rFonts w:hint="eastAsia" w:ascii="宋体" w:hAnsi="宋体" w:cs="宋体"/>
              </w:rPr>
              <w:t>电话</w:t>
            </w:r>
          </w:p>
        </w:tc>
        <w:tc>
          <w:tcPr>
            <w:tcW w:w="1332" w:type="dxa"/>
            <w:vAlign w:val="center"/>
          </w:tcPr>
          <w:p w14:paraId="15BCBD4B">
            <w:pPr>
              <w:jc w:val="center"/>
              <w:rPr>
                <w:rFonts w:ascii="宋体" w:cs="宋体"/>
              </w:rPr>
            </w:pPr>
          </w:p>
        </w:tc>
      </w:tr>
      <w:tr w14:paraId="7BF93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57DED5EF">
            <w:pPr>
              <w:jc w:val="center"/>
              <w:rPr>
                <w:rFonts w:ascii="宋体" w:cs="宋体"/>
              </w:rPr>
            </w:pPr>
            <w:r>
              <w:rPr>
                <w:rFonts w:hint="eastAsia" w:ascii="宋体" w:hAnsi="宋体" w:cs="宋体"/>
              </w:rPr>
              <w:t>技术负责人</w:t>
            </w:r>
          </w:p>
        </w:tc>
        <w:tc>
          <w:tcPr>
            <w:tcW w:w="916" w:type="dxa"/>
            <w:vAlign w:val="center"/>
          </w:tcPr>
          <w:p w14:paraId="44909869">
            <w:pPr>
              <w:jc w:val="center"/>
              <w:rPr>
                <w:rFonts w:ascii="宋体" w:cs="宋体"/>
              </w:rPr>
            </w:pPr>
            <w:r>
              <w:rPr>
                <w:rFonts w:hint="eastAsia" w:ascii="宋体" w:hAnsi="宋体" w:cs="宋体"/>
              </w:rPr>
              <w:t>姓名</w:t>
            </w:r>
          </w:p>
        </w:tc>
        <w:tc>
          <w:tcPr>
            <w:tcW w:w="1562" w:type="dxa"/>
            <w:gridSpan w:val="2"/>
            <w:vAlign w:val="center"/>
          </w:tcPr>
          <w:p w14:paraId="23D188DC">
            <w:pPr>
              <w:jc w:val="center"/>
              <w:rPr>
                <w:rFonts w:ascii="宋体" w:cs="宋体"/>
              </w:rPr>
            </w:pPr>
          </w:p>
        </w:tc>
        <w:tc>
          <w:tcPr>
            <w:tcW w:w="1279" w:type="dxa"/>
            <w:gridSpan w:val="2"/>
            <w:vAlign w:val="center"/>
          </w:tcPr>
          <w:p w14:paraId="6F0E70F9">
            <w:pPr>
              <w:jc w:val="center"/>
              <w:rPr>
                <w:rFonts w:ascii="宋体" w:cs="宋体"/>
              </w:rPr>
            </w:pPr>
            <w:r>
              <w:rPr>
                <w:rFonts w:hint="eastAsia" w:ascii="宋体" w:hAnsi="宋体" w:cs="宋体"/>
              </w:rPr>
              <w:t>技术职称</w:t>
            </w:r>
          </w:p>
        </w:tc>
        <w:tc>
          <w:tcPr>
            <w:tcW w:w="1010" w:type="dxa"/>
            <w:vAlign w:val="center"/>
          </w:tcPr>
          <w:p w14:paraId="0821413E">
            <w:pPr>
              <w:jc w:val="center"/>
              <w:rPr>
                <w:rFonts w:ascii="宋体" w:cs="宋体"/>
              </w:rPr>
            </w:pPr>
          </w:p>
        </w:tc>
        <w:tc>
          <w:tcPr>
            <w:tcW w:w="768" w:type="dxa"/>
            <w:gridSpan w:val="3"/>
            <w:vAlign w:val="center"/>
          </w:tcPr>
          <w:p w14:paraId="55B7830E">
            <w:pPr>
              <w:jc w:val="center"/>
              <w:rPr>
                <w:rFonts w:ascii="宋体" w:cs="宋体"/>
              </w:rPr>
            </w:pPr>
            <w:r>
              <w:rPr>
                <w:rFonts w:hint="eastAsia" w:ascii="宋体" w:hAnsi="宋体" w:cs="宋体"/>
              </w:rPr>
              <w:t>电话</w:t>
            </w:r>
          </w:p>
        </w:tc>
        <w:tc>
          <w:tcPr>
            <w:tcW w:w="1332" w:type="dxa"/>
            <w:vAlign w:val="center"/>
          </w:tcPr>
          <w:p w14:paraId="07CD60EF">
            <w:pPr>
              <w:jc w:val="center"/>
              <w:rPr>
                <w:rFonts w:ascii="宋体" w:cs="宋体"/>
              </w:rPr>
            </w:pPr>
          </w:p>
        </w:tc>
      </w:tr>
      <w:tr w14:paraId="1F0EF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665" w:type="dxa"/>
            <w:vAlign w:val="center"/>
          </w:tcPr>
          <w:p w14:paraId="3FA2B2E8">
            <w:pPr>
              <w:jc w:val="center"/>
              <w:rPr>
                <w:rFonts w:ascii="宋体" w:cs="宋体"/>
              </w:rPr>
            </w:pPr>
            <w:r>
              <w:rPr>
                <w:rFonts w:hint="eastAsia" w:ascii="宋体" w:hAnsi="宋体" w:cs="宋体"/>
              </w:rPr>
              <w:t>成立时间</w:t>
            </w:r>
          </w:p>
        </w:tc>
        <w:tc>
          <w:tcPr>
            <w:tcW w:w="2478" w:type="dxa"/>
            <w:gridSpan w:val="3"/>
            <w:vAlign w:val="center"/>
          </w:tcPr>
          <w:p w14:paraId="6761C201">
            <w:pPr>
              <w:jc w:val="center"/>
              <w:rPr>
                <w:rFonts w:ascii="宋体" w:cs="宋体"/>
              </w:rPr>
            </w:pPr>
          </w:p>
        </w:tc>
        <w:tc>
          <w:tcPr>
            <w:tcW w:w="4389" w:type="dxa"/>
            <w:gridSpan w:val="7"/>
            <w:vAlign w:val="center"/>
          </w:tcPr>
          <w:p w14:paraId="393E5287">
            <w:pPr>
              <w:jc w:val="center"/>
              <w:rPr>
                <w:rFonts w:ascii="宋体" w:cs="宋体"/>
              </w:rPr>
            </w:pPr>
            <w:r>
              <w:rPr>
                <w:rFonts w:hint="eastAsia" w:ascii="宋体" w:hAnsi="宋体" w:cs="宋体"/>
              </w:rPr>
              <w:t>员工总人数：</w:t>
            </w:r>
          </w:p>
        </w:tc>
      </w:tr>
      <w:tr w14:paraId="0660D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3E545401">
            <w:pPr>
              <w:jc w:val="center"/>
              <w:rPr>
                <w:rFonts w:ascii="宋体" w:cs="宋体"/>
              </w:rPr>
            </w:pPr>
            <w:r>
              <w:rPr>
                <w:rFonts w:hint="eastAsia" w:ascii="宋体" w:hAnsi="宋体" w:cs="宋体"/>
              </w:rPr>
              <w:t>企业资质等级</w:t>
            </w:r>
          </w:p>
        </w:tc>
        <w:tc>
          <w:tcPr>
            <w:tcW w:w="2478" w:type="dxa"/>
            <w:gridSpan w:val="3"/>
            <w:vAlign w:val="center"/>
          </w:tcPr>
          <w:p w14:paraId="20F56689">
            <w:pPr>
              <w:jc w:val="center"/>
              <w:rPr>
                <w:rFonts w:ascii="宋体" w:cs="宋体"/>
              </w:rPr>
            </w:pPr>
          </w:p>
        </w:tc>
        <w:tc>
          <w:tcPr>
            <w:tcW w:w="952" w:type="dxa"/>
            <w:vMerge w:val="restart"/>
            <w:vAlign w:val="center"/>
          </w:tcPr>
          <w:p w14:paraId="0B6D4FB3">
            <w:pPr>
              <w:jc w:val="center"/>
              <w:rPr>
                <w:rFonts w:ascii="宋体" w:cs="宋体"/>
              </w:rPr>
            </w:pPr>
            <w:r>
              <w:rPr>
                <w:rFonts w:hint="eastAsia" w:ascii="宋体" w:hAnsi="宋体" w:cs="宋体"/>
              </w:rPr>
              <w:t>其中技术人员：人</w:t>
            </w:r>
          </w:p>
        </w:tc>
        <w:tc>
          <w:tcPr>
            <w:tcW w:w="1838" w:type="dxa"/>
            <w:gridSpan w:val="4"/>
            <w:vAlign w:val="center"/>
          </w:tcPr>
          <w:p w14:paraId="026608F1">
            <w:pPr>
              <w:jc w:val="center"/>
              <w:rPr>
                <w:rFonts w:ascii="宋体" w:cs="宋体"/>
              </w:rPr>
            </w:pPr>
            <w:r>
              <w:rPr>
                <w:rFonts w:hint="eastAsia" w:ascii="宋体" w:hAnsi="宋体" w:cs="宋体"/>
              </w:rPr>
              <w:t>高级职称人员</w:t>
            </w:r>
          </w:p>
        </w:tc>
        <w:tc>
          <w:tcPr>
            <w:tcW w:w="1599" w:type="dxa"/>
            <w:gridSpan w:val="2"/>
            <w:vAlign w:val="center"/>
          </w:tcPr>
          <w:p w14:paraId="7E397A8D">
            <w:pPr>
              <w:jc w:val="center"/>
              <w:rPr>
                <w:rFonts w:ascii="宋体" w:cs="宋体"/>
              </w:rPr>
            </w:pPr>
          </w:p>
        </w:tc>
      </w:tr>
      <w:tr w14:paraId="08309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4B302D88">
            <w:pPr>
              <w:jc w:val="center"/>
              <w:rPr>
                <w:rFonts w:ascii="宋体" w:cs="宋体"/>
              </w:rPr>
            </w:pPr>
            <w:r>
              <w:rPr>
                <w:rFonts w:hint="eastAsia" w:ascii="宋体" w:hAnsi="宋体" w:cs="宋体"/>
              </w:rPr>
              <w:t>营业执照号</w:t>
            </w:r>
          </w:p>
        </w:tc>
        <w:tc>
          <w:tcPr>
            <w:tcW w:w="2478" w:type="dxa"/>
            <w:gridSpan w:val="3"/>
            <w:vAlign w:val="center"/>
          </w:tcPr>
          <w:p w14:paraId="64794E99">
            <w:pPr>
              <w:jc w:val="center"/>
              <w:rPr>
                <w:rFonts w:ascii="宋体" w:cs="宋体"/>
              </w:rPr>
            </w:pPr>
          </w:p>
        </w:tc>
        <w:tc>
          <w:tcPr>
            <w:tcW w:w="952" w:type="dxa"/>
            <w:vMerge w:val="continue"/>
            <w:vAlign w:val="center"/>
          </w:tcPr>
          <w:p w14:paraId="141F4927">
            <w:pPr>
              <w:jc w:val="center"/>
              <w:rPr>
                <w:rFonts w:ascii="宋体" w:cs="宋体"/>
              </w:rPr>
            </w:pPr>
          </w:p>
        </w:tc>
        <w:tc>
          <w:tcPr>
            <w:tcW w:w="1838" w:type="dxa"/>
            <w:gridSpan w:val="4"/>
            <w:vAlign w:val="center"/>
          </w:tcPr>
          <w:p w14:paraId="40AEDD1F">
            <w:pPr>
              <w:jc w:val="center"/>
              <w:rPr>
                <w:rFonts w:ascii="宋体" w:cs="宋体"/>
              </w:rPr>
            </w:pPr>
            <w:r>
              <w:rPr>
                <w:rFonts w:hint="eastAsia" w:ascii="宋体" w:hAnsi="宋体" w:cs="宋体"/>
              </w:rPr>
              <w:t>中级职称人员</w:t>
            </w:r>
          </w:p>
        </w:tc>
        <w:tc>
          <w:tcPr>
            <w:tcW w:w="1599" w:type="dxa"/>
            <w:gridSpan w:val="2"/>
            <w:vAlign w:val="center"/>
          </w:tcPr>
          <w:p w14:paraId="7D3796E0">
            <w:pPr>
              <w:jc w:val="center"/>
              <w:rPr>
                <w:rFonts w:ascii="宋体" w:cs="宋体"/>
              </w:rPr>
            </w:pPr>
          </w:p>
        </w:tc>
      </w:tr>
      <w:tr w14:paraId="47561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39023048">
            <w:pPr>
              <w:jc w:val="center"/>
              <w:rPr>
                <w:rFonts w:ascii="宋体" w:cs="宋体"/>
              </w:rPr>
            </w:pPr>
            <w:r>
              <w:rPr>
                <w:rFonts w:hint="eastAsia" w:ascii="宋体" w:hAnsi="宋体" w:cs="宋体"/>
              </w:rPr>
              <w:t>注册资金</w:t>
            </w:r>
          </w:p>
        </w:tc>
        <w:tc>
          <w:tcPr>
            <w:tcW w:w="2478" w:type="dxa"/>
            <w:gridSpan w:val="3"/>
            <w:vAlign w:val="center"/>
          </w:tcPr>
          <w:p w14:paraId="032BE3EB">
            <w:pPr>
              <w:jc w:val="center"/>
              <w:rPr>
                <w:rFonts w:ascii="宋体" w:cs="宋体"/>
              </w:rPr>
            </w:pPr>
          </w:p>
        </w:tc>
        <w:tc>
          <w:tcPr>
            <w:tcW w:w="952" w:type="dxa"/>
            <w:vMerge w:val="continue"/>
            <w:vAlign w:val="center"/>
          </w:tcPr>
          <w:p w14:paraId="6C5394DC">
            <w:pPr>
              <w:jc w:val="center"/>
              <w:rPr>
                <w:rFonts w:ascii="宋体" w:cs="宋体"/>
              </w:rPr>
            </w:pPr>
          </w:p>
        </w:tc>
        <w:tc>
          <w:tcPr>
            <w:tcW w:w="1838" w:type="dxa"/>
            <w:gridSpan w:val="4"/>
            <w:vAlign w:val="center"/>
          </w:tcPr>
          <w:p w14:paraId="7EB23EF4">
            <w:pPr>
              <w:jc w:val="center"/>
              <w:rPr>
                <w:rFonts w:ascii="宋体" w:cs="宋体"/>
              </w:rPr>
            </w:pPr>
            <w:r>
              <w:rPr>
                <w:rFonts w:hint="eastAsia" w:ascii="宋体" w:hAnsi="宋体" w:cs="宋体"/>
              </w:rPr>
              <w:t>初级职称人员</w:t>
            </w:r>
          </w:p>
        </w:tc>
        <w:tc>
          <w:tcPr>
            <w:tcW w:w="1599" w:type="dxa"/>
            <w:gridSpan w:val="2"/>
            <w:vAlign w:val="center"/>
          </w:tcPr>
          <w:p w14:paraId="3589F5F9">
            <w:pPr>
              <w:jc w:val="center"/>
              <w:rPr>
                <w:rFonts w:ascii="宋体" w:cs="宋体"/>
              </w:rPr>
            </w:pPr>
          </w:p>
        </w:tc>
      </w:tr>
      <w:tr w14:paraId="1AC52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0CF730DC">
            <w:pPr>
              <w:jc w:val="center"/>
              <w:rPr>
                <w:rFonts w:ascii="宋体" w:cs="宋体"/>
              </w:rPr>
            </w:pPr>
            <w:r>
              <w:rPr>
                <w:rFonts w:hint="eastAsia" w:ascii="宋体" w:hAnsi="宋体" w:cs="宋体"/>
              </w:rPr>
              <w:t>开户银行</w:t>
            </w:r>
          </w:p>
        </w:tc>
        <w:tc>
          <w:tcPr>
            <w:tcW w:w="2478" w:type="dxa"/>
            <w:gridSpan w:val="3"/>
            <w:vAlign w:val="center"/>
          </w:tcPr>
          <w:p w14:paraId="257CFA93">
            <w:pPr>
              <w:jc w:val="center"/>
              <w:rPr>
                <w:rFonts w:ascii="宋体" w:cs="宋体"/>
              </w:rPr>
            </w:pPr>
          </w:p>
        </w:tc>
        <w:tc>
          <w:tcPr>
            <w:tcW w:w="952" w:type="dxa"/>
            <w:vMerge w:val="continue"/>
            <w:vAlign w:val="center"/>
          </w:tcPr>
          <w:p w14:paraId="29B9AA57">
            <w:pPr>
              <w:jc w:val="center"/>
              <w:rPr>
                <w:rFonts w:ascii="宋体" w:cs="宋体"/>
              </w:rPr>
            </w:pPr>
          </w:p>
        </w:tc>
        <w:tc>
          <w:tcPr>
            <w:tcW w:w="1838" w:type="dxa"/>
            <w:gridSpan w:val="4"/>
            <w:vAlign w:val="center"/>
          </w:tcPr>
          <w:p w14:paraId="1BD914C7">
            <w:pPr>
              <w:jc w:val="center"/>
              <w:rPr>
                <w:rFonts w:ascii="宋体" w:cs="宋体"/>
              </w:rPr>
            </w:pPr>
            <w:r>
              <w:rPr>
                <w:rFonts w:hint="eastAsia" w:ascii="宋体" w:hAnsi="宋体" w:cs="宋体"/>
              </w:rPr>
              <w:t>其他技术人员</w:t>
            </w:r>
          </w:p>
        </w:tc>
        <w:tc>
          <w:tcPr>
            <w:tcW w:w="1599" w:type="dxa"/>
            <w:gridSpan w:val="2"/>
            <w:vAlign w:val="center"/>
          </w:tcPr>
          <w:p w14:paraId="588B731C">
            <w:pPr>
              <w:jc w:val="center"/>
              <w:rPr>
                <w:rFonts w:ascii="宋体" w:cs="宋体"/>
              </w:rPr>
            </w:pPr>
          </w:p>
        </w:tc>
      </w:tr>
      <w:tr w14:paraId="5EE99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065486EE">
            <w:pPr>
              <w:jc w:val="center"/>
              <w:rPr>
                <w:rFonts w:ascii="宋体" w:cs="宋体"/>
              </w:rPr>
            </w:pPr>
            <w:r>
              <w:rPr>
                <w:rFonts w:hint="eastAsia" w:ascii="宋体" w:hAnsi="宋体" w:cs="宋体"/>
              </w:rPr>
              <w:t>账号</w:t>
            </w:r>
          </w:p>
        </w:tc>
        <w:tc>
          <w:tcPr>
            <w:tcW w:w="2478" w:type="dxa"/>
            <w:gridSpan w:val="3"/>
            <w:vAlign w:val="center"/>
          </w:tcPr>
          <w:p w14:paraId="31962591">
            <w:pPr>
              <w:jc w:val="center"/>
              <w:rPr>
                <w:rFonts w:ascii="宋体" w:cs="宋体"/>
              </w:rPr>
            </w:pPr>
          </w:p>
        </w:tc>
        <w:tc>
          <w:tcPr>
            <w:tcW w:w="952" w:type="dxa"/>
            <w:vMerge w:val="continue"/>
            <w:vAlign w:val="center"/>
          </w:tcPr>
          <w:p w14:paraId="1C8C3BB9">
            <w:pPr>
              <w:jc w:val="center"/>
              <w:rPr>
                <w:rFonts w:ascii="宋体" w:cs="宋体"/>
              </w:rPr>
            </w:pPr>
          </w:p>
        </w:tc>
        <w:tc>
          <w:tcPr>
            <w:tcW w:w="1838" w:type="dxa"/>
            <w:gridSpan w:val="4"/>
            <w:vAlign w:val="center"/>
          </w:tcPr>
          <w:p w14:paraId="1F6D9378">
            <w:pPr>
              <w:jc w:val="center"/>
              <w:rPr>
                <w:rFonts w:ascii="宋体" w:cs="宋体"/>
              </w:rPr>
            </w:pPr>
          </w:p>
        </w:tc>
        <w:tc>
          <w:tcPr>
            <w:tcW w:w="1599" w:type="dxa"/>
            <w:gridSpan w:val="2"/>
            <w:vAlign w:val="center"/>
          </w:tcPr>
          <w:p w14:paraId="60C5659B">
            <w:pPr>
              <w:jc w:val="center"/>
              <w:rPr>
                <w:rFonts w:ascii="宋体" w:cs="宋体"/>
              </w:rPr>
            </w:pPr>
          </w:p>
        </w:tc>
      </w:tr>
      <w:tr w14:paraId="621BD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0" w:hRule="atLeast"/>
          <w:jc w:val="center"/>
        </w:trPr>
        <w:tc>
          <w:tcPr>
            <w:tcW w:w="1665" w:type="dxa"/>
            <w:vAlign w:val="center"/>
          </w:tcPr>
          <w:p w14:paraId="6DFEB7AC">
            <w:pPr>
              <w:jc w:val="center"/>
              <w:rPr>
                <w:rFonts w:ascii="宋体" w:cs="宋体"/>
              </w:rPr>
            </w:pPr>
            <w:r>
              <w:rPr>
                <w:rFonts w:hint="eastAsia" w:ascii="宋体" w:hAnsi="宋体" w:cs="宋体"/>
              </w:rPr>
              <w:t>经营范围</w:t>
            </w:r>
          </w:p>
        </w:tc>
        <w:tc>
          <w:tcPr>
            <w:tcW w:w="6867" w:type="dxa"/>
            <w:gridSpan w:val="10"/>
            <w:vAlign w:val="center"/>
          </w:tcPr>
          <w:p w14:paraId="71196D59">
            <w:pPr>
              <w:rPr>
                <w:rFonts w:ascii="宋体" w:cs="宋体"/>
              </w:rPr>
            </w:pPr>
          </w:p>
        </w:tc>
      </w:tr>
      <w:tr w14:paraId="74528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665" w:type="dxa"/>
            <w:vAlign w:val="center"/>
          </w:tcPr>
          <w:p w14:paraId="4F52FB76">
            <w:pPr>
              <w:jc w:val="center"/>
              <w:rPr>
                <w:rFonts w:ascii="宋体" w:cs="宋体"/>
              </w:rPr>
            </w:pPr>
            <w:r>
              <w:rPr>
                <w:rFonts w:hint="eastAsia" w:ascii="宋体" w:hAnsi="宋体" w:cs="宋体"/>
              </w:rPr>
              <w:t>备注</w:t>
            </w:r>
          </w:p>
        </w:tc>
        <w:tc>
          <w:tcPr>
            <w:tcW w:w="6867" w:type="dxa"/>
            <w:gridSpan w:val="10"/>
            <w:vAlign w:val="center"/>
          </w:tcPr>
          <w:p w14:paraId="39CACFB9">
            <w:pPr>
              <w:jc w:val="center"/>
              <w:rPr>
                <w:rFonts w:ascii="宋体" w:cs="宋体"/>
              </w:rPr>
            </w:pPr>
          </w:p>
        </w:tc>
      </w:tr>
    </w:tbl>
    <w:p w14:paraId="64590422">
      <w:pPr>
        <w:snapToGrid w:val="0"/>
        <w:spacing w:before="50" w:afterLines="50"/>
        <w:jc w:val="left"/>
        <w:rPr>
          <w:rFonts w:ascii="宋体" w:cs="宋体"/>
        </w:rPr>
      </w:pPr>
    </w:p>
    <w:p w14:paraId="13E0BBD6">
      <w:pPr>
        <w:snapToGrid w:val="0"/>
        <w:spacing w:before="50" w:afterLines="50"/>
        <w:jc w:val="left"/>
        <w:rPr>
          <w:rFonts w:ascii="宋体" w:cs="宋体"/>
        </w:rPr>
      </w:pPr>
    </w:p>
    <w:p w14:paraId="36834821">
      <w:pPr>
        <w:pStyle w:val="90"/>
        <w:spacing w:line="360" w:lineRule="auto"/>
        <w:ind w:firstLine="0"/>
        <w:jc w:val="left"/>
        <w:rPr>
          <w:rFonts w:hAnsi="宋体"/>
          <w:b/>
          <w:bCs/>
          <w:sz w:val="21"/>
          <w:szCs w:val="21"/>
        </w:rPr>
      </w:pPr>
    </w:p>
    <w:p w14:paraId="10D1EA1C">
      <w:pPr>
        <w:pStyle w:val="90"/>
        <w:spacing w:line="360" w:lineRule="auto"/>
        <w:ind w:firstLine="0"/>
        <w:jc w:val="left"/>
        <w:rPr>
          <w:rFonts w:hAnsi="宋体"/>
          <w:b/>
          <w:bCs/>
          <w:sz w:val="21"/>
          <w:szCs w:val="21"/>
        </w:rPr>
      </w:pPr>
    </w:p>
    <w:p w14:paraId="5F26E78A">
      <w:pPr>
        <w:pStyle w:val="90"/>
        <w:spacing w:line="360" w:lineRule="auto"/>
        <w:ind w:firstLine="0"/>
        <w:jc w:val="left"/>
        <w:rPr>
          <w:rFonts w:hAnsi="宋体"/>
          <w:b/>
          <w:bCs/>
          <w:sz w:val="21"/>
          <w:szCs w:val="21"/>
        </w:rPr>
      </w:pPr>
      <w:r>
        <w:rPr>
          <w:rFonts w:hint="eastAsia" w:hAnsi="宋体"/>
          <w:b/>
          <w:bCs/>
          <w:sz w:val="21"/>
          <w:szCs w:val="21"/>
        </w:rPr>
        <w:t>6、项目类似业绩表</w:t>
      </w:r>
    </w:p>
    <w:p w14:paraId="205C4C67">
      <w:pPr>
        <w:pStyle w:val="90"/>
        <w:spacing w:line="360" w:lineRule="auto"/>
        <w:ind w:firstLine="0"/>
        <w:jc w:val="left"/>
        <w:rPr>
          <w:rFonts w:hAnsi="宋体"/>
          <w:b/>
          <w:bCs/>
          <w:sz w:val="21"/>
          <w:szCs w:val="21"/>
        </w:rPr>
      </w:pPr>
    </w:p>
    <w:p w14:paraId="1A9BE621">
      <w:pPr>
        <w:pStyle w:val="90"/>
        <w:spacing w:line="360" w:lineRule="auto"/>
        <w:ind w:firstLine="0"/>
        <w:jc w:val="left"/>
        <w:rPr>
          <w:rFonts w:ascii="Times New Roman" w:hAnsi="Times New Roman" w:cs="Times New Roman"/>
          <w:b/>
          <w:bCs/>
          <w:color w:val="000000" w:themeColor="text1"/>
          <w:spacing w:val="0"/>
          <w:sz w:val="21"/>
          <w:szCs w:val="21"/>
        </w:rPr>
      </w:pPr>
    </w:p>
    <w:p w14:paraId="499F79AF">
      <w:pPr>
        <w:pStyle w:val="2"/>
        <w:jc w:val="center"/>
        <w:rPr>
          <w:rFonts w:ascii="Times New Roman" w:hAnsi="Times New Roman" w:cs="Times New Roman"/>
          <w:color w:val="000000" w:themeColor="text1"/>
        </w:rPr>
      </w:pPr>
      <w:r>
        <w:rPr>
          <w:rFonts w:ascii="Times New Roman" w:hAnsi="Times New Roman" w:cs="Times New Roman"/>
          <w:b/>
          <w:bCs/>
          <w:color w:val="000000" w:themeColor="text1"/>
        </w:rPr>
        <w:t>类似业绩一览表</w:t>
      </w:r>
    </w:p>
    <w:p w14:paraId="6D0B9632">
      <w:pPr>
        <w:snapToGrid w:val="0"/>
        <w:jc w:val="left"/>
        <w:rPr>
          <w:rFonts w:ascii="Times New Roman" w:hAnsi="Times New Roman" w:cs="Times New Roman"/>
          <w:color w:val="000000" w:themeColor="text1"/>
          <w:sz w:val="24"/>
          <w:szCs w:val="24"/>
        </w:rPr>
      </w:pPr>
    </w:p>
    <w:tbl>
      <w:tblPr>
        <w:tblStyle w:val="24"/>
        <w:tblW w:w="90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559"/>
        <w:gridCol w:w="2627"/>
        <w:gridCol w:w="1260"/>
        <w:gridCol w:w="1088"/>
        <w:gridCol w:w="1559"/>
      </w:tblGrid>
      <w:tr w14:paraId="30C4F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323471C0">
            <w:pPr>
              <w:spacing w:line="360"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序号</w:t>
            </w:r>
          </w:p>
        </w:tc>
        <w:tc>
          <w:tcPr>
            <w:tcW w:w="1559" w:type="dxa"/>
            <w:vAlign w:val="center"/>
          </w:tcPr>
          <w:p w14:paraId="0E3C5BA4">
            <w:pPr>
              <w:spacing w:line="360"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业主名称</w:t>
            </w:r>
          </w:p>
        </w:tc>
        <w:tc>
          <w:tcPr>
            <w:tcW w:w="2627" w:type="dxa"/>
            <w:vAlign w:val="center"/>
          </w:tcPr>
          <w:p w14:paraId="1F1C8DB7">
            <w:pPr>
              <w:spacing w:line="360"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项目名称</w:t>
            </w:r>
          </w:p>
        </w:tc>
        <w:tc>
          <w:tcPr>
            <w:tcW w:w="1260" w:type="dxa"/>
            <w:vAlign w:val="center"/>
          </w:tcPr>
          <w:p w14:paraId="308B67F2">
            <w:pPr>
              <w:spacing w:line="360"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合同签订时间</w:t>
            </w:r>
          </w:p>
        </w:tc>
        <w:tc>
          <w:tcPr>
            <w:tcW w:w="1088" w:type="dxa"/>
            <w:vAlign w:val="center"/>
          </w:tcPr>
          <w:p w14:paraId="42DC864D">
            <w:pPr>
              <w:spacing w:line="360"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合同金额</w:t>
            </w:r>
          </w:p>
        </w:tc>
        <w:tc>
          <w:tcPr>
            <w:tcW w:w="1559" w:type="dxa"/>
            <w:vAlign w:val="center"/>
          </w:tcPr>
          <w:p w14:paraId="704AF18E">
            <w:pPr>
              <w:spacing w:line="360"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业主联系人及联系方式</w:t>
            </w:r>
          </w:p>
        </w:tc>
      </w:tr>
      <w:tr w14:paraId="1F778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23FF99AF">
            <w:pPr>
              <w:spacing w:line="360" w:lineRule="auto"/>
              <w:rPr>
                <w:rFonts w:ascii="Times New Roman" w:hAnsi="Times New Roman" w:cs="Times New Roman"/>
                <w:b/>
                <w:bCs/>
                <w:color w:val="000000" w:themeColor="text1"/>
                <w:sz w:val="24"/>
                <w:szCs w:val="24"/>
              </w:rPr>
            </w:pPr>
          </w:p>
        </w:tc>
        <w:tc>
          <w:tcPr>
            <w:tcW w:w="1559" w:type="dxa"/>
          </w:tcPr>
          <w:p w14:paraId="14E44BB4">
            <w:pPr>
              <w:spacing w:line="360" w:lineRule="auto"/>
              <w:rPr>
                <w:rFonts w:ascii="Times New Roman" w:hAnsi="Times New Roman" w:cs="Times New Roman"/>
                <w:b/>
                <w:bCs/>
                <w:color w:val="000000" w:themeColor="text1"/>
                <w:sz w:val="24"/>
                <w:szCs w:val="24"/>
              </w:rPr>
            </w:pPr>
          </w:p>
        </w:tc>
        <w:tc>
          <w:tcPr>
            <w:tcW w:w="2627" w:type="dxa"/>
          </w:tcPr>
          <w:p w14:paraId="6A9C3FD7">
            <w:pPr>
              <w:spacing w:line="360" w:lineRule="auto"/>
              <w:rPr>
                <w:rFonts w:ascii="Times New Roman" w:hAnsi="Times New Roman" w:cs="Times New Roman"/>
                <w:b/>
                <w:bCs/>
                <w:color w:val="000000" w:themeColor="text1"/>
                <w:sz w:val="24"/>
                <w:szCs w:val="24"/>
              </w:rPr>
            </w:pPr>
          </w:p>
        </w:tc>
        <w:tc>
          <w:tcPr>
            <w:tcW w:w="1260" w:type="dxa"/>
          </w:tcPr>
          <w:p w14:paraId="0C82152A">
            <w:pPr>
              <w:spacing w:line="360" w:lineRule="auto"/>
              <w:rPr>
                <w:rFonts w:ascii="Times New Roman" w:hAnsi="Times New Roman" w:cs="Times New Roman"/>
                <w:b/>
                <w:bCs/>
                <w:color w:val="000000" w:themeColor="text1"/>
                <w:sz w:val="24"/>
                <w:szCs w:val="24"/>
              </w:rPr>
            </w:pPr>
          </w:p>
        </w:tc>
        <w:tc>
          <w:tcPr>
            <w:tcW w:w="1088" w:type="dxa"/>
          </w:tcPr>
          <w:p w14:paraId="007B349A">
            <w:pPr>
              <w:spacing w:line="360" w:lineRule="auto"/>
              <w:rPr>
                <w:rFonts w:ascii="Times New Roman" w:hAnsi="Times New Roman" w:cs="Times New Roman"/>
                <w:b/>
                <w:bCs/>
                <w:color w:val="000000" w:themeColor="text1"/>
                <w:sz w:val="24"/>
                <w:szCs w:val="24"/>
              </w:rPr>
            </w:pPr>
          </w:p>
        </w:tc>
        <w:tc>
          <w:tcPr>
            <w:tcW w:w="1559" w:type="dxa"/>
          </w:tcPr>
          <w:p w14:paraId="499497CF">
            <w:pPr>
              <w:spacing w:line="360" w:lineRule="auto"/>
              <w:rPr>
                <w:rFonts w:ascii="Times New Roman" w:hAnsi="Times New Roman" w:cs="Times New Roman"/>
                <w:b/>
                <w:bCs/>
                <w:color w:val="000000" w:themeColor="text1"/>
                <w:sz w:val="24"/>
                <w:szCs w:val="24"/>
              </w:rPr>
            </w:pPr>
          </w:p>
        </w:tc>
      </w:tr>
      <w:tr w14:paraId="7F9B1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0F105609">
            <w:pPr>
              <w:spacing w:line="360" w:lineRule="auto"/>
              <w:rPr>
                <w:rFonts w:ascii="Times New Roman" w:hAnsi="Times New Roman" w:cs="Times New Roman"/>
                <w:b/>
                <w:bCs/>
                <w:color w:val="000000" w:themeColor="text1"/>
                <w:sz w:val="24"/>
                <w:szCs w:val="24"/>
              </w:rPr>
            </w:pPr>
          </w:p>
        </w:tc>
        <w:tc>
          <w:tcPr>
            <w:tcW w:w="1559" w:type="dxa"/>
          </w:tcPr>
          <w:p w14:paraId="7E358B9E">
            <w:pPr>
              <w:spacing w:line="360" w:lineRule="auto"/>
              <w:rPr>
                <w:rFonts w:ascii="Times New Roman" w:hAnsi="Times New Roman" w:cs="Times New Roman"/>
                <w:b/>
                <w:bCs/>
                <w:color w:val="000000" w:themeColor="text1"/>
                <w:sz w:val="24"/>
                <w:szCs w:val="24"/>
              </w:rPr>
            </w:pPr>
          </w:p>
        </w:tc>
        <w:tc>
          <w:tcPr>
            <w:tcW w:w="2627" w:type="dxa"/>
          </w:tcPr>
          <w:p w14:paraId="70EC8404">
            <w:pPr>
              <w:spacing w:line="360" w:lineRule="auto"/>
              <w:rPr>
                <w:rFonts w:ascii="Times New Roman" w:hAnsi="Times New Roman" w:cs="Times New Roman"/>
                <w:b/>
                <w:bCs/>
                <w:color w:val="000000" w:themeColor="text1"/>
                <w:sz w:val="24"/>
                <w:szCs w:val="24"/>
              </w:rPr>
            </w:pPr>
          </w:p>
        </w:tc>
        <w:tc>
          <w:tcPr>
            <w:tcW w:w="1260" w:type="dxa"/>
          </w:tcPr>
          <w:p w14:paraId="6E4891CB">
            <w:pPr>
              <w:spacing w:line="360" w:lineRule="auto"/>
              <w:rPr>
                <w:rFonts w:ascii="Times New Roman" w:hAnsi="Times New Roman" w:cs="Times New Roman"/>
                <w:b/>
                <w:bCs/>
                <w:color w:val="000000" w:themeColor="text1"/>
                <w:sz w:val="24"/>
                <w:szCs w:val="24"/>
              </w:rPr>
            </w:pPr>
          </w:p>
        </w:tc>
        <w:tc>
          <w:tcPr>
            <w:tcW w:w="1088" w:type="dxa"/>
          </w:tcPr>
          <w:p w14:paraId="035C9EFD">
            <w:pPr>
              <w:spacing w:line="360" w:lineRule="auto"/>
              <w:rPr>
                <w:rFonts w:ascii="Times New Roman" w:hAnsi="Times New Roman" w:cs="Times New Roman"/>
                <w:b/>
                <w:bCs/>
                <w:color w:val="000000" w:themeColor="text1"/>
                <w:sz w:val="24"/>
                <w:szCs w:val="24"/>
              </w:rPr>
            </w:pPr>
          </w:p>
        </w:tc>
        <w:tc>
          <w:tcPr>
            <w:tcW w:w="1559" w:type="dxa"/>
          </w:tcPr>
          <w:p w14:paraId="72E2D641">
            <w:pPr>
              <w:spacing w:line="360" w:lineRule="auto"/>
              <w:rPr>
                <w:rFonts w:ascii="Times New Roman" w:hAnsi="Times New Roman" w:cs="Times New Roman"/>
                <w:b/>
                <w:bCs/>
                <w:color w:val="000000" w:themeColor="text1"/>
                <w:sz w:val="24"/>
                <w:szCs w:val="24"/>
              </w:rPr>
            </w:pPr>
          </w:p>
        </w:tc>
      </w:tr>
      <w:tr w14:paraId="5A6EA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0DD4674F">
            <w:pPr>
              <w:spacing w:line="360" w:lineRule="auto"/>
              <w:rPr>
                <w:rFonts w:ascii="Times New Roman" w:hAnsi="Times New Roman" w:cs="Times New Roman"/>
                <w:b/>
                <w:bCs/>
                <w:color w:val="000000" w:themeColor="text1"/>
                <w:sz w:val="24"/>
                <w:szCs w:val="24"/>
              </w:rPr>
            </w:pPr>
          </w:p>
        </w:tc>
        <w:tc>
          <w:tcPr>
            <w:tcW w:w="1559" w:type="dxa"/>
          </w:tcPr>
          <w:p w14:paraId="677AC900">
            <w:pPr>
              <w:spacing w:line="360" w:lineRule="auto"/>
              <w:rPr>
                <w:rFonts w:ascii="Times New Roman" w:hAnsi="Times New Roman" w:cs="Times New Roman"/>
                <w:b/>
                <w:bCs/>
                <w:color w:val="000000" w:themeColor="text1"/>
                <w:sz w:val="24"/>
                <w:szCs w:val="24"/>
              </w:rPr>
            </w:pPr>
          </w:p>
        </w:tc>
        <w:tc>
          <w:tcPr>
            <w:tcW w:w="2627" w:type="dxa"/>
          </w:tcPr>
          <w:p w14:paraId="57695516">
            <w:pPr>
              <w:spacing w:line="360" w:lineRule="auto"/>
              <w:rPr>
                <w:rFonts w:ascii="Times New Roman" w:hAnsi="Times New Roman" w:cs="Times New Roman"/>
                <w:b/>
                <w:bCs/>
                <w:color w:val="000000" w:themeColor="text1"/>
                <w:sz w:val="24"/>
                <w:szCs w:val="24"/>
              </w:rPr>
            </w:pPr>
          </w:p>
        </w:tc>
        <w:tc>
          <w:tcPr>
            <w:tcW w:w="1260" w:type="dxa"/>
          </w:tcPr>
          <w:p w14:paraId="4DEE644A">
            <w:pPr>
              <w:spacing w:line="360" w:lineRule="auto"/>
              <w:rPr>
                <w:rFonts w:ascii="Times New Roman" w:hAnsi="Times New Roman" w:cs="Times New Roman"/>
                <w:b/>
                <w:bCs/>
                <w:color w:val="000000" w:themeColor="text1"/>
                <w:sz w:val="24"/>
                <w:szCs w:val="24"/>
              </w:rPr>
            </w:pPr>
          </w:p>
        </w:tc>
        <w:tc>
          <w:tcPr>
            <w:tcW w:w="1088" w:type="dxa"/>
          </w:tcPr>
          <w:p w14:paraId="791BB1E8">
            <w:pPr>
              <w:spacing w:line="360" w:lineRule="auto"/>
              <w:rPr>
                <w:rFonts w:ascii="Times New Roman" w:hAnsi="Times New Roman" w:cs="Times New Roman"/>
                <w:b/>
                <w:bCs/>
                <w:color w:val="000000" w:themeColor="text1"/>
                <w:sz w:val="24"/>
                <w:szCs w:val="24"/>
              </w:rPr>
            </w:pPr>
          </w:p>
        </w:tc>
        <w:tc>
          <w:tcPr>
            <w:tcW w:w="1559" w:type="dxa"/>
          </w:tcPr>
          <w:p w14:paraId="215943F5">
            <w:pPr>
              <w:spacing w:line="360" w:lineRule="auto"/>
              <w:rPr>
                <w:rFonts w:ascii="Times New Roman" w:hAnsi="Times New Roman" w:cs="Times New Roman"/>
                <w:b/>
                <w:bCs/>
                <w:color w:val="000000" w:themeColor="text1"/>
                <w:sz w:val="24"/>
                <w:szCs w:val="24"/>
              </w:rPr>
            </w:pPr>
          </w:p>
        </w:tc>
      </w:tr>
      <w:tr w14:paraId="466B0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55BD0A3E">
            <w:pPr>
              <w:spacing w:line="360" w:lineRule="auto"/>
              <w:rPr>
                <w:rFonts w:ascii="Times New Roman" w:hAnsi="Times New Roman" w:cs="Times New Roman"/>
                <w:b/>
                <w:bCs/>
                <w:color w:val="000000" w:themeColor="text1"/>
                <w:sz w:val="24"/>
                <w:szCs w:val="24"/>
              </w:rPr>
            </w:pPr>
          </w:p>
        </w:tc>
        <w:tc>
          <w:tcPr>
            <w:tcW w:w="1559" w:type="dxa"/>
          </w:tcPr>
          <w:p w14:paraId="0832128F">
            <w:pPr>
              <w:spacing w:line="360" w:lineRule="auto"/>
              <w:rPr>
                <w:rFonts w:ascii="Times New Roman" w:hAnsi="Times New Roman" w:cs="Times New Roman"/>
                <w:b/>
                <w:bCs/>
                <w:color w:val="000000" w:themeColor="text1"/>
                <w:sz w:val="24"/>
                <w:szCs w:val="24"/>
              </w:rPr>
            </w:pPr>
          </w:p>
        </w:tc>
        <w:tc>
          <w:tcPr>
            <w:tcW w:w="2627" w:type="dxa"/>
          </w:tcPr>
          <w:p w14:paraId="18D7538D">
            <w:pPr>
              <w:spacing w:line="360" w:lineRule="auto"/>
              <w:rPr>
                <w:rFonts w:ascii="Times New Roman" w:hAnsi="Times New Roman" w:cs="Times New Roman"/>
                <w:b/>
                <w:bCs/>
                <w:color w:val="000000" w:themeColor="text1"/>
                <w:sz w:val="24"/>
                <w:szCs w:val="24"/>
              </w:rPr>
            </w:pPr>
          </w:p>
        </w:tc>
        <w:tc>
          <w:tcPr>
            <w:tcW w:w="1260" w:type="dxa"/>
          </w:tcPr>
          <w:p w14:paraId="4FD2CB93">
            <w:pPr>
              <w:spacing w:line="360" w:lineRule="auto"/>
              <w:rPr>
                <w:rFonts w:ascii="Times New Roman" w:hAnsi="Times New Roman" w:cs="Times New Roman"/>
                <w:b/>
                <w:bCs/>
                <w:color w:val="000000" w:themeColor="text1"/>
                <w:sz w:val="24"/>
                <w:szCs w:val="24"/>
              </w:rPr>
            </w:pPr>
          </w:p>
        </w:tc>
        <w:tc>
          <w:tcPr>
            <w:tcW w:w="1088" w:type="dxa"/>
          </w:tcPr>
          <w:p w14:paraId="7DC94BEF">
            <w:pPr>
              <w:spacing w:line="360" w:lineRule="auto"/>
              <w:rPr>
                <w:rFonts w:ascii="Times New Roman" w:hAnsi="Times New Roman" w:cs="Times New Roman"/>
                <w:b/>
                <w:bCs/>
                <w:color w:val="000000" w:themeColor="text1"/>
                <w:sz w:val="24"/>
                <w:szCs w:val="24"/>
              </w:rPr>
            </w:pPr>
          </w:p>
        </w:tc>
        <w:tc>
          <w:tcPr>
            <w:tcW w:w="1559" w:type="dxa"/>
          </w:tcPr>
          <w:p w14:paraId="3D985EDE">
            <w:pPr>
              <w:spacing w:line="360" w:lineRule="auto"/>
              <w:rPr>
                <w:rFonts w:ascii="Times New Roman" w:hAnsi="Times New Roman" w:cs="Times New Roman"/>
                <w:b/>
                <w:bCs/>
                <w:color w:val="000000" w:themeColor="text1"/>
                <w:sz w:val="24"/>
                <w:szCs w:val="24"/>
              </w:rPr>
            </w:pPr>
          </w:p>
        </w:tc>
      </w:tr>
      <w:tr w14:paraId="26EE4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30097BE4">
            <w:pPr>
              <w:spacing w:line="360" w:lineRule="auto"/>
              <w:rPr>
                <w:rFonts w:ascii="Times New Roman" w:hAnsi="Times New Roman" w:cs="Times New Roman"/>
                <w:b/>
                <w:bCs/>
                <w:color w:val="000000" w:themeColor="text1"/>
                <w:sz w:val="24"/>
                <w:szCs w:val="24"/>
              </w:rPr>
            </w:pPr>
          </w:p>
        </w:tc>
        <w:tc>
          <w:tcPr>
            <w:tcW w:w="1559" w:type="dxa"/>
          </w:tcPr>
          <w:p w14:paraId="43F14B47">
            <w:pPr>
              <w:spacing w:line="360" w:lineRule="auto"/>
              <w:rPr>
                <w:rFonts w:ascii="Times New Roman" w:hAnsi="Times New Roman" w:cs="Times New Roman"/>
                <w:b/>
                <w:bCs/>
                <w:color w:val="000000" w:themeColor="text1"/>
                <w:sz w:val="24"/>
                <w:szCs w:val="24"/>
              </w:rPr>
            </w:pPr>
          </w:p>
        </w:tc>
        <w:tc>
          <w:tcPr>
            <w:tcW w:w="2627" w:type="dxa"/>
          </w:tcPr>
          <w:p w14:paraId="45D0F9EE">
            <w:pPr>
              <w:spacing w:line="360" w:lineRule="auto"/>
              <w:rPr>
                <w:rFonts w:ascii="Times New Roman" w:hAnsi="Times New Roman" w:cs="Times New Roman"/>
                <w:b/>
                <w:bCs/>
                <w:color w:val="000000" w:themeColor="text1"/>
                <w:sz w:val="24"/>
                <w:szCs w:val="24"/>
              </w:rPr>
            </w:pPr>
          </w:p>
        </w:tc>
        <w:tc>
          <w:tcPr>
            <w:tcW w:w="1260" w:type="dxa"/>
          </w:tcPr>
          <w:p w14:paraId="350DEDC1">
            <w:pPr>
              <w:spacing w:line="360" w:lineRule="auto"/>
              <w:rPr>
                <w:rFonts w:ascii="Times New Roman" w:hAnsi="Times New Roman" w:cs="Times New Roman"/>
                <w:b/>
                <w:bCs/>
                <w:color w:val="000000" w:themeColor="text1"/>
                <w:sz w:val="24"/>
                <w:szCs w:val="24"/>
              </w:rPr>
            </w:pPr>
          </w:p>
        </w:tc>
        <w:tc>
          <w:tcPr>
            <w:tcW w:w="1088" w:type="dxa"/>
          </w:tcPr>
          <w:p w14:paraId="3B759B9B">
            <w:pPr>
              <w:spacing w:line="360" w:lineRule="auto"/>
              <w:rPr>
                <w:rFonts w:ascii="Times New Roman" w:hAnsi="Times New Roman" w:cs="Times New Roman"/>
                <w:b/>
                <w:bCs/>
                <w:color w:val="000000" w:themeColor="text1"/>
                <w:sz w:val="24"/>
                <w:szCs w:val="24"/>
              </w:rPr>
            </w:pPr>
          </w:p>
        </w:tc>
        <w:tc>
          <w:tcPr>
            <w:tcW w:w="1559" w:type="dxa"/>
          </w:tcPr>
          <w:p w14:paraId="4604D45D">
            <w:pPr>
              <w:spacing w:line="360" w:lineRule="auto"/>
              <w:rPr>
                <w:rFonts w:ascii="Times New Roman" w:hAnsi="Times New Roman" w:cs="Times New Roman"/>
                <w:b/>
                <w:bCs/>
                <w:color w:val="000000" w:themeColor="text1"/>
                <w:sz w:val="24"/>
                <w:szCs w:val="24"/>
              </w:rPr>
            </w:pPr>
          </w:p>
        </w:tc>
      </w:tr>
      <w:tr w14:paraId="6AECC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28F0FC0B">
            <w:pPr>
              <w:spacing w:line="360" w:lineRule="auto"/>
              <w:rPr>
                <w:rFonts w:ascii="Times New Roman" w:hAnsi="Times New Roman" w:cs="Times New Roman"/>
                <w:b/>
                <w:bCs/>
                <w:color w:val="000000" w:themeColor="text1"/>
                <w:sz w:val="24"/>
                <w:szCs w:val="24"/>
              </w:rPr>
            </w:pPr>
          </w:p>
        </w:tc>
        <w:tc>
          <w:tcPr>
            <w:tcW w:w="1559" w:type="dxa"/>
          </w:tcPr>
          <w:p w14:paraId="7E7E50FE">
            <w:pPr>
              <w:spacing w:line="360" w:lineRule="auto"/>
              <w:rPr>
                <w:rFonts w:ascii="Times New Roman" w:hAnsi="Times New Roman" w:cs="Times New Roman"/>
                <w:b/>
                <w:bCs/>
                <w:color w:val="000000" w:themeColor="text1"/>
                <w:sz w:val="24"/>
                <w:szCs w:val="24"/>
              </w:rPr>
            </w:pPr>
          </w:p>
        </w:tc>
        <w:tc>
          <w:tcPr>
            <w:tcW w:w="2627" w:type="dxa"/>
          </w:tcPr>
          <w:p w14:paraId="18A14846">
            <w:pPr>
              <w:spacing w:line="360" w:lineRule="auto"/>
              <w:rPr>
                <w:rFonts w:ascii="Times New Roman" w:hAnsi="Times New Roman" w:cs="Times New Roman"/>
                <w:b/>
                <w:bCs/>
                <w:color w:val="000000" w:themeColor="text1"/>
                <w:sz w:val="24"/>
                <w:szCs w:val="24"/>
              </w:rPr>
            </w:pPr>
          </w:p>
        </w:tc>
        <w:tc>
          <w:tcPr>
            <w:tcW w:w="1260" w:type="dxa"/>
          </w:tcPr>
          <w:p w14:paraId="03874E7C">
            <w:pPr>
              <w:spacing w:line="360" w:lineRule="auto"/>
              <w:rPr>
                <w:rFonts w:ascii="Times New Roman" w:hAnsi="Times New Roman" w:cs="Times New Roman"/>
                <w:b/>
                <w:bCs/>
                <w:color w:val="000000" w:themeColor="text1"/>
                <w:sz w:val="24"/>
                <w:szCs w:val="24"/>
              </w:rPr>
            </w:pPr>
          </w:p>
        </w:tc>
        <w:tc>
          <w:tcPr>
            <w:tcW w:w="1088" w:type="dxa"/>
          </w:tcPr>
          <w:p w14:paraId="36D96625">
            <w:pPr>
              <w:spacing w:line="360" w:lineRule="auto"/>
              <w:rPr>
                <w:rFonts w:ascii="Times New Roman" w:hAnsi="Times New Roman" w:cs="Times New Roman"/>
                <w:b/>
                <w:bCs/>
                <w:color w:val="000000" w:themeColor="text1"/>
                <w:sz w:val="24"/>
                <w:szCs w:val="24"/>
              </w:rPr>
            </w:pPr>
          </w:p>
        </w:tc>
        <w:tc>
          <w:tcPr>
            <w:tcW w:w="1559" w:type="dxa"/>
          </w:tcPr>
          <w:p w14:paraId="670EDABB">
            <w:pPr>
              <w:spacing w:line="360" w:lineRule="auto"/>
              <w:rPr>
                <w:rFonts w:ascii="Times New Roman" w:hAnsi="Times New Roman" w:cs="Times New Roman"/>
                <w:b/>
                <w:bCs/>
                <w:color w:val="000000" w:themeColor="text1"/>
                <w:sz w:val="24"/>
                <w:szCs w:val="24"/>
              </w:rPr>
            </w:pPr>
          </w:p>
        </w:tc>
      </w:tr>
    </w:tbl>
    <w:p w14:paraId="5CDA0128">
      <w:pPr>
        <w:widowControl/>
        <w:jc w:val="left"/>
        <w:rPr>
          <w:rFonts w:ascii="Times New Roman" w:hAnsi="Times New Roman" w:cs="Times New Roman"/>
          <w:color w:val="000000" w:themeColor="text1"/>
          <w:kern w:val="0"/>
          <w:sz w:val="20"/>
          <w:szCs w:val="20"/>
        </w:rPr>
      </w:pPr>
    </w:p>
    <w:p w14:paraId="6D6958F1">
      <w:pPr>
        <w:ind w:firstLine="210" w:firstLineChars="100"/>
        <w:jc w:val="left"/>
        <w:rPr>
          <w:rFonts w:ascii="Times New Roman" w:hAnsi="Times New Roman" w:cs="Times New Roman"/>
          <w:color w:val="000000" w:themeColor="text1"/>
        </w:rPr>
      </w:pPr>
      <w:r>
        <w:rPr>
          <w:rFonts w:ascii="Times New Roman" w:hAnsi="Times New Roman" w:cs="Times New Roman"/>
          <w:color w:val="000000" w:themeColor="text1"/>
        </w:rPr>
        <w:t>投标人（盖章）：</w:t>
      </w:r>
    </w:p>
    <w:p w14:paraId="3BB649CA">
      <w:pPr>
        <w:ind w:firstLine="199" w:firstLineChars="95"/>
        <w:jc w:val="left"/>
        <w:rPr>
          <w:rFonts w:ascii="Times New Roman" w:hAnsi="Times New Roman" w:cs="Times New Roman"/>
          <w:color w:val="000000" w:themeColor="text1"/>
        </w:rPr>
      </w:pPr>
      <w:r>
        <w:rPr>
          <w:rFonts w:ascii="Times New Roman" w:hAnsi="Times New Roman" w:cs="Times New Roman"/>
          <w:color w:val="000000" w:themeColor="text1"/>
        </w:rPr>
        <w:t>日期：</w:t>
      </w:r>
    </w:p>
    <w:p w14:paraId="57959A55">
      <w:pPr>
        <w:widowControl/>
        <w:jc w:val="left"/>
        <w:rPr>
          <w:rFonts w:ascii="Times New Roman" w:hAnsi="Times New Roman" w:cs="Times New Roman"/>
          <w:color w:val="000000" w:themeColor="text1"/>
          <w:kern w:val="0"/>
          <w:sz w:val="20"/>
          <w:szCs w:val="20"/>
        </w:rPr>
      </w:pPr>
    </w:p>
    <w:p w14:paraId="216820E2">
      <w:pPr>
        <w:widowControl/>
        <w:jc w:val="left"/>
        <w:rPr>
          <w:rFonts w:ascii="Times New Roman" w:hAnsi="Times New Roman" w:cs="Times New Roman"/>
          <w:color w:val="000000" w:themeColor="text1"/>
          <w:kern w:val="0"/>
          <w:sz w:val="20"/>
          <w:szCs w:val="20"/>
        </w:rPr>
      </w:pPr>
    </w:p>
    <w:p w14:paraId="2E286B72">
      <w:pPr>
        <w:ind w:firstLine="210" w:firstLineChars="100"/>
        <w:jc w:val="left"/>
        <w:rPr>
          <w:rFonts w:ascii="Times New Roman" w:hAnsi="Times New Roman" w:cs="Times New Roman"/>
          <w:color w:val="000000" w:themeColor="text1"/>
        </w:rPr>
      </w:pPr>
      <w:r>
        <w:rPr>
          <w:rFonts w:ascii="Times New Roman" w:hAnsi="Times New Roman" w:cs="Times New Roman"/>
          <w:color w:val="000000" w:themeColor="text1"/>
        </w:rPr>
        <w:t>填表说明：</w:t>
      </w:r>
    </w:p>
    <w:p w14:paraId="7437C3E4">
      <w:pPr>
        <w:ind w:firstLine="210" w:firstLineChars="100"/>
        <w:jc w:val="left"/>
        <w:rPr>
          <w:rFonts w:ascii="Times New Roman" w:hAnsi="Times New Roman" w:cs="Times New Roman"/>
          <w:color w:val="000000" w:themeColor="text1"/>
        </w:rPr>
      </w:pPr>
      <w:r>
        <w:rPr>
          <w:rFonts w:ascii="Times New Roman" w:hAnsi="Times New Roman" w:cs="Times New Roman"/>
          <w:color w:val="000000" w:themeColor="text1"/>
        </w:rPr>
        <w:t>1）此表不提供，可视为无业绩。</w:t>
      </w:r>
    </w:p>
    <w:p w14:paraId="68E5AFAD">
      <w:pPr>
        <w:ind w:firstLine="210" w:firstLineChars="100"/>
        <w:jc w:val="left"/>
        <w:rPr>
          <w:rFonts w:ascii="Times New Roman" w:hAnsi="Times New Roman" w:cs="Times New Roman"/>
          <w:color w:val="000000" w:themeColor="text1"/>
        </w:rPr>
      </w:pPr>
      <w:r>
        <w:rPr>
          <w:rFonts w:ascii="Times New Roman" w:hAnsi="Times New Roman" w:cs="Times New Roman"/>
          <w:color w:val="000000" w:themeColor="text1"/>
        </w:rPr>
        <w:t>2）此表仅提供了格式，表格不够可自行增加。</w:t>
      </w:r>
    </w:p>
    <w:p w14:paraId="50182451">
      <w:pPr>
        <w:ind w:firstLine="210" w:firstLineChars="100"/>
        <w:jc w:val="left"/>
        <w:rPr>
          <w:rFonts w:ascii="Times New Roman" w:hAnsi="Times New Roman" w:cs="Times New Roman"/>
          <w:color w:val="000000" w:themeColor="text1"/>
        </w:rPr>
      </w:pPr>
      <w:r>
        <w:rPr>
          <w:rFonts w:ascii="Times New Roman" w:hAnsi="Times New Roman" w:cs="Times New Roman"/>
          <w:color w:val="000000" w:themeColor="text1"/>
        </w:rPr>
        <w:t>3）表后附合同等相关证明材料。</w:t>
      </w:r>
    </w:p>
    <w:p w14:paraId="050BCCB4">
      <w:pPr>
        <w:ind w:firstLine="210" w:firstLineChars="100"/>
        <w:jc w:val="left"/>
        <w:rPr>
          <w:rFonts w:ascii="Times New Roman" w:hAnsi="Times New Roman" w:cs="Times New Roman"/>
          <w:color w:val="000000" w:themeColor="text1"/>
        </w:rPr>
      </w:pPr>
    </w:p>
    <w:p w14:paraId="6489FA04">
      <w:pPr>
        <w:ind w:firstLine="210" w:firstLineChars="100"/>
        <w:jc w:val="left"/>
        <w:rPr>
          <w:rFonts w:ascii="Times New Roman" w:hAnsi="Times New Roman" w:cs="Times New Roman"/>
          <w:color w:val="000000" w:themeColor="text1"/>
        </w:rPr>
      </w:pPr>
    </w:p>
    <w:p w14:paraId="6BDD5B56">
      <w:pPr>
        <w:pStyle w:val="2"/>
        <w:rPr>
          <w:rFonts w:ascii="Times New Roman" w:hAnsi="Times New Roman" w:cs="Times New Roman"/>
          <w:color w:val="000000" w:themeColor="text1"/>
        </w:rPr>
      </w:pPr>
    </w:p>
    <w:p w14:paraId="28757F1F">
      <w:pPr>
        <w:snapToGrid w:val="0"/>
        <w:spacing w:before="50" w:afterLines="50"/>
        <w:jc w:val="left"/>
        <w:rPr>
          <w:rFonts w:ascii="Times New Roman" w:hAnsi="Times New Roman" w:cs="Times New Roman"/>
          <w:color w:val="000000" w:themeColor="text1"/>
          <w:spacing w:val="20"/>
          <w:u w:val="single"/>
        </w:rPr>
      </w:pPr>
    </w:p>
    <w:p w14:paraId="424FA0A2">
      <w:pPr>
        <w:spacing w:line="380" w:lineRule="exact"/>
        <w:jc w:val="left"/>
        <w:rPr>
          <w:rFonts w:ascii="宋体" w:hAnsi="宋体"/>
          <w:b/>
          <w:kern w:val="0"/>
        </w:rPr>
      </w:pPr>
    </w:p>
    <w:p w14:paraId="399E5D9E">
      <w:pPr>
        <w:spacing w:line="380" w:lineRule="exact"/>
        <w:jc w:val="left"/>
        <w:rPr>
          <w:rFonts w:ascii="宋体" w:hAnsi="宋体"/>
          <w:b/>
          <w:kern w:val="0"/>
        </w:rPr>
      </w:pPr>
    </w:p>
    <w:p w14:paraId="251BDAE7">
      <w:pPr>
        <w:spacing w:line="380" w:lineRule="exact"/>
        <w:jc w:val="left"/>
        <w:rPr>
          <w:rFonts w:ascii="宋体" w:hAnsi="宋体"/>
          <w:b/>
          <w:kern w:val="0"/>
        </w:rPr>
      </w:pPr>
    </w:p>
    <w:p w14:paraId="4AD9814D">
      <w:pPr>
        <w:spacing w:line="380" w:lineRule="exact"/>
        <w:jc w:val="left"/>
        <w:rPr>
          <w:rFonts w:ascii="宋体" w:hAnsi="宋体"/>
          <w:b/>
          <w:kern w:val="0"/>
        </w:rPr>
      </w:pPr>
    </w:p>
    <w:p w14:paraId="6380D907">
      <w:pPr>
        <w:spacing w:line="380" w:lineRule="exact"/>
        <w:jc w:val="left"/>
        <w:rPr>
          <w:rFonts w:ascii="宋体" w:hAnsi="宋体"/>
          <w:b/>
          <w:kern w:val="0"/>
        </w:rPr>
      </w:pPr>
    </w:p>
    <w:p w14:paraId="0AC78815">
      <w:pPr>
        <w:spacing w:line="380" w:lineRule="exact"/>
        <w:jc w:val="left"/>
        <w:rPr>
          <w:rFonts w:ascii="宋体" w:hAnsi="宋体"/>
          <w:b/>
          <w:kern w:val="0"/>
        </w:rPr>
      </w:pPr>
    </w:p>
    <w:p w14:paraId="1364BADE">
      <w:pPr>
        <w:spacing w:line="380" w:lineRule="exact"/>
        <w:jc w:val="left"/>
        <w:rPr>
          <w:rFonts w:ascii="宋体" w:hAnsi="宋体"/>
          <w:b/>
          <w:kern w:val="0"/>
        </w:rPr>
      </w:pPr>
    </w:p>
    <w:p w14:paraId="3C369E7E">
      <w:pPr>
        <w:spacing w:line="380" w:lineRule="exact"/>
        <w:jc w:val="left"/>
        <w:rPr>
          <w:rFonts w:ascii="宋体" w:hAnsi="宋体"/>
          <w:b/>
          <w:kern w:val="0"/>
        </w:rPr>
      </w:pPr>
    </w:p>
    <w:p w14:paraId="610AE6F6">
      <w:pPr>
        <w:spacing w:line="380" w:lineRule="exact"/>
        <w:jc w:val="left"/>
        <w:rPr>
          <w:rFonts w:ascii="宋体" w:hAnsi="宋体"/>
          <w:b/>
          <w:kern w:val="0"/>
        </w:rPr>
      </w:pPr>
    </w:p>
    <w:p w14:paraId="36C2521D">
      <w:pPr>
        <w:pStyle w:val="90"/>
        <w:spacing w:line="360" w:lineRule="auto"/>
        <w:ind w:firstLine="0"/>
        <w:jc w:val="left"/>
        <w:rPr>
          <w:rFonts w:ascii="Times New Roman" w:hAnsi="Times New Roman" w:cs="Times New Roman"/>
          <w:b/>
          <w:bCs/>
          <w:color w:val="000000" w:themeColor="text1"/>
          <w:spacing w:val="0"/>
          <w:sz w:val="21"/>
          <w:szCs w:val="21"/>
        </w:rPr>
      </w:pPr>
      <w:r>
        <w:rPr>
          <w:rFonts w:hint="eastAsia" w:hAnsi="宋体"/>
          <w:b/>
        </w:rPr>
        <w:t>7</w:t>
      </w:r>
      <w:r>
        <w:rPr>
          <w:rFonts w:hint="eastAsia" w:hAnsi="宋体"/>
          <w:b/>
          <w:spacing w:val="0"/>
          <w:sz w:val="21"/>
        </w:rPr>
        <w:t>、</w:t>
      </w:r>
      <w:r>
        <w:rPr>
          <w:rFonts w:ascii="Times New Roman" w:hAnsi="Times New Roman" w:cs="Times New Roman"/>
          <w:b/>
          <w:bCs/>
          <w:color w:val="000000" w:themeColor="text1"/>
          <w:sz w:val="21"/>
          <w:szCs w:val="21"/>
        </w:rPr>
        <w:t>项目</w:t>
      </w:r>
      <w:r>
        <w:rPr>
          <w:rFonts w:hint="eastAsia" w:ascii="Times New Roman" w:hAnsi="Times New Roman" w:cs="Times New Roman"/>
          <w:b/>
          <w:bCs/>
          <w:color w:val="000000" w:themeColor="text1"/>
          <w:sz w:val="21"/>
          <w:szCs w:val="21"/>
        </w:rPr>
        <w:t>组成人员配置</w:t>
      </w:r>
    </w:p>
    <w:p w14:paraId="0112F506">
      <w:pPr>
        <w:pStyle w:val="90"/>
        <w:spacing w:line="360" w:lineRule="auto"/>
        <w:ind w:firstLine="0"/>
        <w:jc w:val="left"/>
        <w:rPr>
          <w:rFonts w:ascii="Times New Roman" w:hAnsi="Times New Roman" w:cs="Times New Roman"/>
          <w:color w:val="000000" w:themeColor="text1"/>
        </w:rPr>
      </w:pPr>
      <w:r>
        <w:rPr>
          <w:rFonts w:ascii="Times New Roman" w:hAnsi="Times New Roman" w:cs="Times New Roman"/>
          <w:color w:val="000000" w:themeColor="text1"/>
          <w:sz w:val="20"/>
          <w:szCs w:val="20"/>
        </w:rPr>
        <w:t>附件一：项目</w:t>
      </w:r>
      <w:r>
        <w:rPr>
          <w:rFonts w:hint="eastAsia" w:ascii="Times New Roman" w:hAnsi="Times New Roman" w:cs="Times New Roman"/>
          <w:color w:val="000000" w:themeColor="text1"/>
          <w:sz w:val="20"/>
          <w:szCs w:val="20"/>
        </w:rPr>
        <w:t>组成人员配置</w:t>
      </w:r>
    </w:p>
    <w:tbl>
      <w:tblPr>
        <w:tblStyle w:val="24"/>
        <w:tblW w:w="8486" w:type="dxa"/>
        <w:tblInd w:w="-12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14"/>
        <w:gridCol w:w="709"/>
        <w:gridCol w:w="791"/>
        <w:gridCol w:w="1050"/>
        <w:gridCol w:w="709"/>
        <w:gridCol w:w="723"/>
        <w:gridCol w:w="763"/>
        <w:gridCol w:w="1050"/>
        <w:gridCol w:w="2077"/>
      </w:tblGrid>
      <w:tr w14:paraId="02AB15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14" w:type="dxa"/>
            <w:vMerge w:val="restart"/>
            <w:tcBorders>
              <w:top w:val="single" w:color="auto" w:sz="4" w:space="0"/>
              <w:right w:val="single" w:color="auto" w:sz="4" w:space="0"/>
            </w:tcBorders>
            <w:vAlign w:val="center"/>
          </w:tcPr>
          <w:p w14:paraId="27AA5D48">
            <w:pPr>
              <w:pStyle w:val="6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职务</w:t>
            </w:r>
          </w:p>
        </w:tc>
        <w:tc>
          <w:tcPr>
            <w:tcW w:w="709" w:type="dxa"/>
            <w:vMerge w:val="restart"/>
            <w:tcBorders>
              <w:top w:val="single" w:color="auto" w:sz="4" w:space="0"/>
              <w:left w:val="single" w:color="auto" w:sz="4" w:space="0"/>
              <w:right w:val="single" w:color="auto" w:sz="4" w:space="0"/>
            </w:tcBorders>
            <w:vAlign w:val="center"/>
          </w:tcPr>
          <w:p w14:paraId="33005A04">
            <w:pPr>
              <w:widowControl/>
              <w:jc w:val="left"/>
              <w:rPr>
                <w:rFonts w:ascii="Times New Roman" w:hAnsi="Times New Roman" w:cs="Times New Roman"/>
                <w:color w:val="000000" w:themeColor="text1"/>
              </w:rPr>
            </w:pPr>
            <w:r>
              <w:rPr>
                <w:rFonts w:ascii="Times New Roman" w:hAnsi="Times New Roman" w:cs="Times New Roman"/>
                <w:color w:val="000000" w:themeColor="text1"/>
                <w:kern w:val="0"/>
                <w:sz w:val="20"/>
                <w:szCs w:val="20"/>
              </w:rPr>
              <w:t>姓名</w:t>
            </w:r>
          </w:p>
        </w:tc>
        <w:tc>
          <w:tcPr>
            <w:tcW w:w="791" w:type="dxa"/>
            <w:vMerge w:val="restart"/>
            <w:tcBorders>
              <w:top w:val="single" w:color="auto" w:sz="4" w:space="0"/>
              <w:left w:val="single" w:color="auto" w:sz="4" w:space="0"/>
              <w:right w:val="single" w:color="auto" w:sz="4" w:space="0"/>
            </w:tcBorders>
            <w:vAlign w:val="center"/>
          </w:tcPr>
          <w:p w14:paraId="299394FC">
            <w:pPr>
              <w:pStyle w:val="6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职称</w:t>
            </w:r>
          </w:p>
        </w:tc>
        <w:tc>
          <w:tcPr>
            <w:tcW w:w="4295" w:type="dxa"/>
            <w:gridSpan w:val="5"/>
            <w:tcBorders>
              <w:top w:val="single" w:color="auto" w:sz="4" w:space="0"/>
              <w:left w:val="single" w:color="auto" w:sz="4" w:space="0"/>
              <w:bottom w:val="single" w:color="auto" w:sz="4" w:space="0"/>
            </w:tcBorders>
            <w:vAlign w:val="center"/>
          </w:tcPr>
          <w:p w14:paraId="6207EC5A">
            <w:pPr>
              <w:widowControl/>
              <w:jc w:val="center"/>
              <w:rPr>
                <w:rFonts w:ascii="Times New Roman" w:hAnsi="Times New Roman" w:cs="Times New Roman"/>
                <w:color w:val="000000" w:themeColor="text1"/>
              </w:rPr>
            </w:pPr>
            <w:r>
              <w:rPr>
                <w:rFonts w:ascii="Times New Roman" w:hAnsi="Times New Roman" w:cs="Times New Roman"/>
                <w:color w:val="000000" w:themeColor="text1"/>
                <w:kern w:val="0"/>
                <w:sz w:val="20"/>
                <w:szCs w:val="20"/>
              </w:rPr>
              <w:t>执业或职业资格证明</w:t>
            </w:r>
          </w:p>
        </w:tc>
        <w:tc>
          <w:tcPr>
            <w:tcW w:w="2077" w:type="dxa"/>
            <w:tcBorders>
              <w:top w:val="single" w:color="auto" w:sz="4" w:space="0"/>
              <w:left w:val="single" w:color="auto" w:sz="4" w:space="0"/>
              <w:bottom w:val="single" w:color="auto" w:sz="4" w:space="0"/>
            </w:tcBorders>
            <w:vAlign w:val="center"/>
          </w:tcPr>
          <w:p w14:paraId="7A1AE033">
            <w:pPr>
              <w:widowControl/>
              <w:jc w:val="center"/>
              <w:rPr>
                <w:rFonts w:ascii="Times New Roman" w:hAnsi="Times New Roman" w:cs="Times New Roman"/>
                <w:color w:val="000000" w:themeColor="text1"/>
              </w:rPr>
            </w:pPr>
            <w:r>
              <w:rPr>
                <w:rFonts w:ascii="Times New Roman" w:hAnsi="Times New Roman" w:cs="Times New Roman"/>
                <w:color w:val="000000" w:themeColor="text1"/>
                <w:kern w:val="0"/>
                <w:sz w:val="20"/>
                <w:szCs w:val="20"/>
              </w:rPr>
              <w:t>备注</w:t>
            </w:r>
          </w:p>
        </w:tc>
      </w:tr>
      <w:tr w14:paraId="67F455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14" w:type="dxa"/>
            <w:vMerge w:val="continue"/>
            <w:tcBorders>
              <w:bottom w:val="single" w:color="auto" w:sz="4" w:space="0"/>
              <w:right w:val="single" w:color="auto" w:sz="4" w:space="0"/>
            </w:tcBorders>
            <w:vAlign w:val="center"/>
          </w:tcPr>
          <w:p w14:paraId="4CD9766A">
            <w:pPr>
              <w:pStyle w:val="60"/>
              <w:jc w:val="center"/>
              <w:rPr>
                <w:rFonts w:ascii="Times New Roman" w:hAnsi="Times New Roman" w:cs="Times New Roman"/>
                <w:color w:val="000000" w:themeColor="text1"/>
                <w:sz w:val="21"/>
                <w:szCs w:val="21"/>
              </w:rPr>
            </w:pPr>
          </w:p>
        </w:tc>
        <w:tc>
          <w:tcPr>
            <w:tcW w:w="709" w:type="dxa"/>
            <w:vMerge w:val="continue"/>
            <w:tcBorders>
              <w:left w:val="single" w:color="auto" w:sz="4" w:space="0"/>
              <w:bottom w:val="single" w:color="auto" w:sz="4" w:space="0"/>
              <w:right w:val="single" w:color="auto" w:sz="4" w:space="0"/>
            </w:tcBorders>
            <w:vAlign w:val="center"/>
          </w:tcPr>
          <w:p w14:paraId="316B2BE5">
            <w:pPr>
              <w:widowControl/>
              <w:jc w:val="left"/>
              <w:rPr>
                <w:rFonts w:ascii="Times New Roman" w:hAnsi="Times New Roman" w:cs="Times New Roman"/>
                <w:color w:val="000000" w:themeColor="text1"/>
                <w:kern w:val="0"/>
                <w:sz w:val="20"/>
                <w:szCs w:val="20"/>
              </w:rPr>
            </w:pPr>
          </w:p>
        </w:tc>
        <w:tc>
          <w:tcPr>
            <w:tcW w:w="791" w:type="dxa"/>
            <w:vMerge w:val="continue"/>
            <w:tcBorders>
              <w:left w:val="single" w:color="auto" w:sz="4" w:space="0"/>
              <w:bottom w:val="single" w:color="auto" w:sz="4" w:space="0"/>
              <w:right w:val="single" w:color="auto" w:sz="4" w:space="0"/>
            </w:tcBorders>
            <w:vAlign w:val="center"/>
          </w:tcPr>
          <w:p w14:paraId="1F188618">
            <w:pPr>
              <w:pStyle w:val="60"/>
              <w:jc w:val="center"/>
              <w:rPr>
                <w:rFonts w:ascii="Times New Roman" w:hAnsi="Times New Roman" w:cs="Times New Roman"/>
                <w:color w:val="000000" w:themeColor="text1"/>
                <w:sz w:val="21"/>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218EEBCE">
            <w:pPr>
              <w:widowControl/>
              <w:jc w:val="center"/>
              <w:rPr>
                <w:rFonts w:ascii="Times New Roman" w:hAnsi="Times New Roman" w:cs="Times New Roman"/>
                <w:color w:val="000000" w:themeColor="text1"/>
              </w:rPr>
            </w:pPr>
            <w:r>
              <w:rPr>
                <w:rFonts w:ascii="Times New Roman" w:hAnsi="Times New Roman" w:cs="Times New Roman"/>
                <w:color w:val="000000" w:themeColor="text1"/>
                <w:kern w:val="0"/>
                <w:sz w:val="20"/>
                <w:szCs w:val="20"/>
              </w:rPr>
              <w:t>证书名称</w:t>
            </w:r>
          </w:p>
        </w:tc>
        <w:tc>
          <w:tcPr>
            <w:tcW w:w="709" w:type="dxa"/>
            <w:tcBorders>
              <w:top w:val="single" w:color="auto" w:sz="4" w:space="0"/>
              <w:left w:val="single" w:color="auto" w:sz="4" w:space="0"/>
              <w:bottom w:val="single" w:color="auto" w:sz="4" w:space="0"/>
              <w:right w:val="single" w:color="auto" w:sz="4" w:space="0"/>
            </w:tcBorders>
            <w:vAlign w:val="center"/>
          </w:tcPr>
          <w:p w14:paraId="3B186C7D">
            <w:pPr>
              <w:widowControl/>
              <w:jc w:val="center"/>
              <w:rPr>
                <w:rFonts w:ascii="Times New Roman" w:hAnsi="Times New Roman" w:cs="Times New Roman"/>
                <w:color w:val="000000" w:themeColor="text1"/>
              </w:rPr>
            </w:pPr>
            <w:r>
              <w:rPr>
                <w:rFonts w:ascii="Times New Roman" w:hAnsi="Times New Roman" w:cs="Times New Roman"/>
                <w:color w:val="000000" w:themeColor="text1"/>
                <w:kern w:val="0"/>
                <w:sz w:val="20"/>
                <w:szCs w:val="20"/>
              </w:rPr>
              <w:t>级别</w:t>
            </w:r>
          </w:p>
        </w:tc>
        <w:tc>
          <w:tcPr>
            <w:tcW w:w="723" w:type="dxa"/>
            <w:tcBorders>
              <w:top w:val="single" w:color="auto" w:sz="4" w:space="0"/>
              <w:left w:val="single" w:color="auto" w:sz="4" w:space="0"/>
              <w:bottom w:val="single" w:color="auto" w:sz="4" w:space="0"/>
              <w:right w:val="single" w:color="auto" w:sz="4" w:space="0"/>
            </w:tcBorders>
            <w:vAlign w:val="center"/>
          </w:tcPr>
          <w:p w14:paraId="2335E59C">
            <w:pPr>
              <w:widowControl/>
              <w:jc w:val="center"/>
              <w:rPr>
                <w:rFonts w:ascii="Times New Roman" w:hAnsi="Times New Roman" w:cs="Times New Roman"/>
                <w:color w:val="000000" w:themeColor="text1"/>
              </w:rPr>
            </w:pPr>
            <w:r>
              <w:rPr>
                <w:rFonts w:ascii="Times New Roman" w:hAnsi="Times New Roman" w:cs="Times New Roman"/>
                <w:color w:val="000000" w:themeColor="text1"/>
                <w:kern w:val="0"/>
                <w:sz w:val="20"/>
                <w:szCs w:val="20"/>
              </w:rPr>
              <w:t>证号</w:t>
            </w:r>
          </w:p>
        </w:tc>
        <w:tc>
          <w:tcPr>
            <w:tcW w:w="763" w:type="dxa"/>
            <w:tcBorders>
              <w:top w:val="single" w:color="auto" w:sz="4" w:space="0"/>
              <w:left w:val="single" w:color="auto" w:sz="4" w:space="0"/>
              <w:bottom w:val="single" w:color="auto" w:sz="4" w:space="0"/>
              <w:right w:val="single" w:color="auto" w:sz="4" w:space="0"/>
            </w:tcBorders>
            <w:vAlign w:val="center"/>
          </w:tcPr>
          <w:p w14:paraId="328D14F4">
            <w:pPr>
              <w:widowControl/>
              <w:jc w:val="center"/>
              <w:rPr>
                <w:rFonts w:ascii="Times New Roman" w:hAnsi="Times New Roman" w:cs="Times New Roman"/>
                <w:color w:val="000000" w:themeColor="text1"/>
              </w:rPr>
            </w:pPr>
            <w:r>
              <w:rPr>
                <w:rFonts w:ascii="Times New Roman" w:hAnsi="Times New Roman" w:cs="Times New Roman"/>
                <w:color w:val="000000" w:themeColor="text1"/>
                <w:kern w:val="0"/>
                <w:sz w:val="20"/>
                <w:szCs w:val="20"/>
              </w:rPr>
              <w:t>专业</w:t>
            </w:r>
          </w:p>
        </w:tc>
        <w:tc>
          <w:tcPr>
            <w:tcW w:w="1050" w:type="dxa"/>
            <w:tcBorders>
              <w:top w:val="single" w:color="auto" w:sz="4" w:space="0"/>
              <w:left w:val="single" w:color="auto" w:sz="4" w:space="0"/>
              <w:bottom w:val="single" w:color="auto" w:sz="4" w:space="0"/>
            </w:tcBorders>
            <w:vAlign w:val="center"/>
          </w:tcPr>
          <w:p w14:paraId="21572CF1">
            <w:pPr>
              <w:widowControl/>
              <w:jc w:val="center"/>
              <w:rPr>
                <w:rFonts w:ascii="Times New Roman" w:hAnsi="Times New Roman" w:cs="Times New Roman"/>
                <w:color w:val="000000" w:themeColor="text1"/>
              </w:rPr>
            </w:pPr>
            <w:r>
              <w:rPr>
                <w:rFonts w:ascii="Times New Roman" w:hAnsi="Times New Roman" w:cs="Times New Roman"/>
                <w:color w:val="000000" w:themeColor="text1"/>
                <w:kern w:val="0"/>
                <w:sz w:val="20"/>
                <w:szCs w:val="20"/>
              </w:rPr>
              <w:t>社保缴纳</w:t>
            </w:r>
          </w:p>
        </w:tc>
        <w:tc>
          <w:tcPr>
            <w:tcW w:w="2077" w:type="dxa"/>
            <w:tcBorders>
              <w:top w:val="single" w:color="auto" w:sz="4" w:space="0"/>
              <w:left w:val="single" w:color="auto" w:sz="4" w:space="0"/>
              <w:bottom w:val="single" w:color="auto" w:sz="4" w:space="0"/>
            </w:tcBorders>
            <w:vAlign w:val="center"/>
          </w:tcPr>
          <w:p w14:paraId="0CA4B1BB">
            <w:pPr>
              <w:widowControl/>
              <w:jc w:val="center"/>
              <w:rPr>
                <w:rFonts w:ascii="Times New Roman" w:hAnsi="Times New Roman" w:cs="Times New Roman"/>
                <w:color w:val="000000" w:themeColor="text1"/>
              </w:rPr>
            </w:pPr>
            <w:r>
              <w:rPr>
                <w:rFonts w:ascii="Times New Roman" w:hAnsi="Times New Roman" w:cs="Times New Roman"/>
                <w:color w:val="000000" w:themeColor="text1"/>
                <w:kern w:val="0"/>
                <w:sz w:val="20"/>
                <w:szCs w:val="20"/>
              </w:rPr>
              <w:t>实施经验说明</w:t>
            </w:r>
          </w:p>
        </w:tc>
      </w:tr>
      <w:tr w14:paraId="1EA974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614" w:type="dxa"/>
            <w:tcBorders>
              <w:top w:val="single" w:color="auto" w:sz="4" w:space="0"/>
              <w:bottom w:val="single" w:color="auto" w:sz="4" w:space="0"/>
              <w:right w:val="single" w:color="auto" w:sz="4" w:space="0"/>
            </w:tcBorders>
            <w:vAlign w:val="center"/>
          </w:tcPr>
          <w:p w14:paraId="29A55957">
            <w:pPr>
              <w:pStyle w:val="60"/>
              <w:jc w:val="center"/>
              <w:rPr>
                <w:rFonts w:ascii="Times New Roman" w:hAnsi="Times New Roman" w:cs="Times New Roman"/>
                <w:color w:val="000000" w:themeColor="text1"/>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7502EDE6">
            <w:pPr>
              <w:tabs>
                <w:tab w:val="left" w:pos="2340"/>
                <w:tab w:val="left" w:pos="2520"/>
                <w:tab w:val="left" w:pos="2700"/>
                <w:tab w:val="left" w:pos="3060"/>
              </w:tabs>
              <w:spacing w:line="360" w:lineRule="auto"/>
              <w:jc w:val="center"/>
              <w:rPr>
                <w:rFonts w:ascii="Times New Roman" w:hAnsi="Times New Roman" w:cs="Times New Roman"/>
                <w:color w:val="000000" w:themeColor="text1"/>
              </w:rPr>
            </w:pPr>
          </w:p>
        </w:tc>
        <w:tc>
          <w:tcPr>
            <w:tcW w:w="791" w:type="dxa"/>
            <w:tcBorders>
              <w:top w:val="single" w:color="auto" w:sz="4" w:space="0"/>
              <w:left w:val="single" w:color="auto" w:sz="4" w:space="0"/>
              <w:bottom w:val="single" w:color="auto" w:sz="4" w:space="0"/>
              <w:right w:val="single" w:color="auto" w:sz="4" w:space="0"/>
            </w:tcBorders>
            <w:vAlign w:val="center"/>
          </w:tcPr>
          <w:p w14:paraId="63ABACF2">
            <w:pPr>
              <w:pStyle w:val="60"/>
              <w:jc w:val="center"/>
              <w:rPr>
                <w:rFonts w:ascii="Times New Roman" w:hAnsi="Times New Roman" w:cs="Times New Roman"/>
                <w:color w:val="000000" w:themeColor="text1"/>
                <w:sz w:val="21"/>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5E8C2429">
            <w:pPr>
              <w:pStyle w:val="60"/>
              <w:jc w:val="center"/>
              <w:rPr>
                <w:rFonts w:ascii="Times New Roman" w:hAnsi="Times New Roman" w:cs="Times New Roman"/>
                <w:color w:val="000000" w:themeColor="text1"/>
                <w:sz w:val="21"/>
                <w:szCs w:val="21"/>
              </w:rPr>
            </w:pPr>
          </w:p>
        </w:tc>
        <w:tc>
          <w:tcPr>
            <w:tcW w:w="709" w:type="dxa"/>
            <w:tcBorders>
              <w:top w:val="single" w:color="auto" w:sz="4" w:space="0"/>
              <w:left w:val="single" w:color="auto" w:sz="4" w:space="0"/>
              <w:bottom w:val="single" w:color="auto" w:sz="4" w:space="0"/>
              <w:right w:val="single" w:color="auto" w:sz="4" w:space="0"/>
            </w:tcBorders>
          </w:tcPr>
          <w:p w14:paraId="2E344F7A">
            <w:pPr>
              <w:pStyle w:val="60"/>
              <w:jc w:val="center"/>
              <w:rPr>
                <w:rFonts w:ascii="Times New Roman" w:hAnsi="Times New Roman" w:cs="Times New Roman"/>
                <w:color w:val="000000" w:themeColor="text1"/>
                <w:sz w:val="21"/>
                <w:szCs w:val="21"/>
              </w:rPr>
            </w:pPr>
          </w:p>
        </w:tc>
        <w:tc>
          <w:tcPr>
            <w:tcW w:w="723" w:type="dxa"/>
            <w:tcBorders>
              <w:top w:val="single" w:color="auto" w:sz="4" w:space="0"/>
              <w:left w:val="single" w:color="auto" w:sz="4" w:space="0"/>
              <w:bottom w:val="single" w:color="auto" w:sz="4" w:space="0"/>
              <w:right w:val="single" w:color="auto" w:sz="4" w:space="0"/>
            </w:tcBorders>
          </w:tcPr>
          <w:p w14:paraId="0922A9D9">
            <w:pPr>
              <w:pStyle w:val="60"/>
              <w:jc w:val="center"/>
              <w:rPr>
                <w:rFonts w:ascii="Times New Roman" w:hAnsi="Times New Roman" w:cs="Times New Roman"/>
                <w:color w:val="000000" w:themeColor="text1"/>
                <w:sz w:val="21"/>
                <w:szCs w:val="21"/>
              </w:rPr>
            </w:pPr>
          </w:p>
        </w:tc>
        <w:tc>
          <w:tcPr>
            <w:tcW w:w="763" w:type="dxa"/>
            <w:tcBorders>
              <w:top w:val="single" w:color="auto" w:sz="4" w:space="0"/>
              <w:left w:val="single" w:color="auto" w:sz="4" w:space="0"/>
              <w:bottom w:val="single" w:color="auto" w:sz="4" w:space="0"/>
              <w:right w:val="single" w:color="auto" w:sz="4" w:space="0"/>
            </w:tcBorders>
            <w:vAlign w:val="center"/>
          </w:tcPr>
          <w:p w14:paraId="0AE11D15">
            <w:pPr>
              <w:pStyle w:val="60"/>
              <w:jc w:val="center"/>
              <w:rPr>
                <w:rFonts w:ascii="Times New Roman" w:hAnsi="Times New Roman" w:cs="Times New Roman"/>
                <w:color w:val="000000" w:themeColor="text1"/>
                <w:sz w:val="21"/>
                <w:szCs w:val="21"/>
              </w:rPr>
            </w:pPr>
          </w:p>
        </w:tc>
        <w:tc>
          <w:tcPr>
            <w:tcW w:w="1050" w:type="dxa"/>
            <w:tcBorders>
              <w:top w:val="single" w:color="auto" w:sz="4" w:space="0"/>
              <w:left w:val="single" w:color="auto" w:sz="4" w:space="0"/>
              <w:bottom w:val="single" w:color="auto" w:sz="4" w:space="0"/>
            </w:tcBorders>
            <w:vAlign w:val="center"/>
          </w:tcPr>
          <w:p w14:paraId="022DB175">
            <w:pPr>
              <w:pStyle w:val="60"/>
              <w:jc w:val="center"/>
              <w:rPr>
                <w:rFonts w:ascii="Times New Roman" w:hAnsi="Times New Roman" w:cs="Times New Roman"/>
                <w:color w:val="000000" w:themeColor="text1"/>
                <w:sz w:val="21"/>
                <w:szCs w:val="21"/>
              </w:rPr>
            </w:pPr>
          </w:p>
        </w:tc>
        <w:tc>
          <w:tcPr>
            <w:tcW w:w="2077" w:type="dxa"/>
            <w:tcBorders>
              <w:top w:val="single" w:color="auto" w:sz="4" w:space="0"/>
              <w:left w:val="single" w:color="auto" w:sz="4" w:space="0"/>
              <w:bottom w:val="single" w:color="auto" w:sz="4" w:space="0"/>
            </w:tcBorders>
            <w:vAlign w:val="center"/>
          </w:tcPr>
          <w:p w14:paraId="1769EA54">
            <w:pPr>
              <w:pStyle w:val="60"/>
              <w:jc w:val="center"/>
              <w:rPr>
                <w:rFonts w:ascii="Times New Roman" w:hAnsi="Times New Roman" w:cs="Times New Roman"/>
                <w:color w:val="000000" w:themeColor="text1"/>
                <w:sz w:val="21"/>
                <w:szCs w:val="21"/>
              </w:rPr>
            </w:pPr>
          </w:p>
        </w:tc>
      </w:tr>
      <w:tr w14:paraId="42A2F3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614" w:type="dxa"/>
            <w:tcBorders>
              <w:top w:val="single" w:color="auto" w:sz="4" w:space="0"/>
              <w:bottom w:val="single" w:color="auto" w:sz="4" w:space="0"/>
              <w:right w:val="single" w:color="auto" w:sz="4" w:space="0"/>
            </w:tcBorders>
            <w:vAlign w:val="center"/>
          </w:tcPr>
          <w:p w14:paraId="0AEFC89C">
            <w:pPr>
              <w:pStyle w:val="60"/>
              <w:jc w:val="center"/>
              <w:rPr>
                <w:rFonts w:ascii="Times New Roman" w:hAnsi="Times New Roman" w:cs="Times New Roman"/>
                <w:color w:val="000000" w:themeColor="text1"/>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7DB36440">
            <w:pPr>
              <w:tabs>
                <w:tab w:val="left" w:pos="2340"/>
                <w:tab w:val="left" w:pos="2520"/>
                <w:tab w:val="left" w:pos="2700"/>
                <w:tab w:val="left" w:pos="3060"/>
              </w:tabs>
              <w:spacing w:line="360" w:lineRule="auto"/>
              <w:jc w:val="center"/>
              <w:rPr>
                <w:rFonts w:ascii="Times New Roman" w:hAnsi="Times New Roman" w:cs="Times New Roman"/>
                <w:color w:val="000000" w:themeColor="text1"/>
              </w:rPr>
            </w:pPr>
          </w:p>
        </w:tc>
        <w:tc>
          <w:tcPr>
            <w:tcW w:w="791" w:type="dxa"/>
            <w:tcBorders>
              <w:top w:val="single" w:color="auto" w:sz="4" w:space="0"/>
              <w:left w:val="single" w:color="auto" w:sz="4" w:space="0"/>
              <w:bottom w:val="single" w:color="auto" w:sz="4" w:space="0"/>
              <w:right w:val="single" w:color="auto" w:sz="4" w:space="0"/>
            </w:tcBorders>
            <w:vAlign w:val="center"/>
          </w:tcPr>
          <w:p w14:paraId="47F89D87">
            <w:pPr>
              <w:pStyle w:val="60"/>
              <w:jc w:val="center"/>
              <w:rPr>
                <w:rFonts w:ascii="Times New Roman" w:hAnsi="Times New Roman" w:cs="Times New Roman"/>
                <w:color w:val="000000" w:themeColor="text1"/>
                <w:sz w:val="21"/>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06608288">
            <w:pPr>
              <w:pStyle w:val="60"/>
              <w:jc w:val="center"/>
              <w:rPr>
                <w:rFonts w:ascii="Times New Roman" w:hAnsi="Times New Roman" w:cs="Times New Roman"/>
                <w:color w:val="000000" w:themeColor="text1"/>
                <w:sz w:val="21"/>
                <w:szCs w:val="21"/>
              </w:rPr>
            </w:pPr>
          </w:p>
        </w:tc>
        <w:tc>
          <w:tcPr>
            <w:tcW w:w="709" w:type="dxa"/>
            <w:tcBorders>
              <w:top w:val="single" w:color="auto" w:sz="4" w:space="0"/>
              <w:left w:val="single" w:color="auto" w:sz="4" w:space="0"/>
              <w:bottom w:val="single" w:color="auto" w:sz="4" w:space="0"/>
              <w:right w:val="single" w:color="auto" w:sz="4" w:space="0"/>
            </w:tcBorders>
          </w:tcPr>
          <w:p w14:paraId="267EA1F4">
            <w:pPr>
              <w:pStyle w:val="60"/>
              <w:jc w:val="center"/>
              <w:rPr>
                <w:rFonts w:ascii="Times New Roman" w:hAnsi="Times New Roman" w:cs="Times New Roman"/>
                <w:color w:val="000000" w:themeColor="text1"/>
                <w:sz w:val="21"/>
                <w:szCs w:val="21"/>
              </w:rPr>
            </w:pPr>
          </w:p>
        </w:tc>
        <w:tc>
          <w:tcPr>
            <w:tcW w:w="723" w:type="dxa"/>
            <w:tcBorders>
              <w:top w:val="single" w:color="auto" w:sz="4" w:space="0"/>
              <w:left w:val="single" w:color="auto" w:sz="4" w:space="0"/>
              <w:bottom w:val="single" w:color="auto" w:sz="4" w:space="0"/>
              <w:right w:val="single" w:color="auto" w:sz="4" w:space="0"/>
            </w:tcBorders>
          </w:tcPr>
          <w:p w14:paraId="179154D7">
            <w:pPr>
              <w:pStyle w:val="60"/>
              <w:jc w:val="center"/>
              <w:rPr>
                <w:rFonts w:ascii="Times New Roman" w:hAnsi="Times New Roman" w:cs="Times New Roman"/>
                <w:color w:val="000000" w:themeColor="text1"/>
                <w:sz w:val="21"/>
                <w:szCs w:val="21"/>
              </w:rPr>
            </w:pPr>
          </w:p>
        </w:tc>
        <w:tc>
          <w:tcPr>
            <w:tcW w:w="763" w:type="dxa"/>
            <w:tcBorders>
              <w:top w:val="single" w:color="auto" w:sz="4" w:space="0"/>
              <w:left w:val="single" w:color="auto" w:sz="4" w:space="0"/>
              <w:bottom w:val="single" w:color="auto" w:sz="4" w:space="0"/>
              <w:right w:val="single" w:color="auto" w:sz="4" w:space="0"/>
            </w:tcBorders>
            <w:vAlign w:val="center"/>
          </w:tcPr>
          <w:p w14:paraId="1EA820C2">
            <w:pPr>
              <w:pStyle w:val="60"/>
              <w:jc w:val="center"/>
              <w:rPr>
                <w:rFonts w:ascii="Times New Roman" w:hAnsi="Times New Roman" w:cs="Times New Roman"/>
                <w:color w:val="000000" w:themeColor="text1"/>
                <w:sz w:val="21"/>
                <w:szCs w:val="21"/>
              </w:rPr>
            </w:pPr>
          </w:p>
        </w:tc>
        <w:tc>
          <w:tcPr>
            <w:tcW w:w="1050" w:type="dxa"/>
            <w:tcBorders>
              <w:top w:val="single" w:color="auto" w:sz="4" w:space="0"/>
              <w:left w:val="single" w:color="auto" w:sz="4" w:space="0"/>
              <w:bottom w:val="single" w:color="auto" w:sz="4" w:space="0"/>
            </w:tcBorders>
            <w:vAlign w:val="center"/>
          </w:tcPr>
          <w:p w14:paraId="092E580C">
            <w:pPr>
              <w:pStyle w:val="60"/>
              <w:jc w:val="center"/>
              <w:rPr>
                <w:rFonts w:ascii="Times New Roman" w:hAnsi="Times New Roman" w:cs="Times New Roman"/>
                <w:color w:val="000000" w:themeColor="text1"/>
                <w:sz w:val="21"/>
                <w:szCs w:val="21"/>
              </w:rPr>
            </w:pPr>
          </w:p>
        </w:tc>
        <w:tc>
          <w:tcPr>
            <w:tcW w:w="2077" w:type="dxa"/>
            <w:tcBorders>
              <w:top w:val="single" w:color="auto" w:sz="4" w:space="0"/>
              <w:left w:val="single" w:color="auto" w:sz="4" w:space="0"/>
              <w:bottom w:val="single" w:color="auto" w:sz="4" w:space="0"/>
            </w:tcBorders>
            <w:vAlign w:val="center"/>
          </w:tcPr>
          <w:p w14:paraId="550C1037">
            <w:pPr>
              <w:pStyle w:val="60"/>
              <w:jc w:val="center"/>
              <w:rPr>
                <w:rFonts w:ascii="Times New Roman" w:hAnsi="Times New Roman" w:cs="Times New Roman"/>
                <w:color w:val="000000" w:themeColor="text1"/>
                <w:sz w:val="21"/>
                <w:szCs w:val="21"/>
              </w:rPr>
            </w:pPr>
          </w:p>
        </w:tc>
      </w:tr>
      <w:tr w14:paraId="727C57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614" w:type="dxa"/>
            <w:tcBorders>
              <w:top w:val="single" w:color="auto" w:sz="4" w:space="0"/>
              <w:bottom w:val="single" w:color="auto" w:sz="4" w:space="0"/>
              <w:right w:val="single" w:color="auto" w:sz="4" w:space="0"/>
            </w:tcBorders>
            <w:vAlign w:val="center"/>
          </w:tcPr>
          <w:p w14:paraId="6195E8E2">
            <w:pPr>
              <w:rPr>
                <w:rFonts w:ascii="Times New Roman" w:hAnsi="Times New Roman" w:cs="Times New Roman"/>
                <w:color w:val="000000" w:themeColor="text1"/>
              </w:rPr>
            </w:pPr>
            <w:r>
              <w:rPr>
                <w:rFonts w:ascii="Times New Roman" w:hAnsi="Times New Roman" w:cs="Times New Roman"/>
                <w:color w:val="000000" w:themeColor="text1"/>
              </w:rPr>
              <w:t>…</w:t>
            </w:r>
          </w:p>
        </w:tc>
        <w:tc>
          <w:tcPr>
            <w:tcW w:w="709" w:type="dxa"/>
            <w:tcBorders>
              <w:top w:val="single" w:color="auto" w:sz="4" w:space="0"/>
              <w:left w:val="single" w:color="auto" w:sz="4" w:space="0"/>
              <w:bottom w:val="single" w:color="auto" w:sz="4" w:space="0"/>
              <w:right w:val="single" w:color="auto" w:sz="4" w:space="0"/>
            </w:tcBorders>
            <w:vAlign w:val="center"/>
          </w:tcPr>
          <w:p w14:paraId="2591E0DC">
            <w:pPr>
              <w:rPr>
                <w:rFonts w:ascii="Times New Roman" w:hAnsi="Times New Roman" w:cs="Times New Roman"/>
                <w:color w:val="000000" w:themeColor="text1"/>
              </w:rPr>
            </w:pPr>
          </w:p>
        </w:tc>
        <w:tc>
          <w:tcPr>
            <w:tcW w:w="791" w:type="dxa"/>
            <w:tcBorders>
              <w:top w:val="single" w:color="auto" w:sz="4" w:space="0"/>
              <w:left w:val="single" w:color="auto" w:sz="4" w:space="0"/>
              <w:bottom w:val="single" w:color="auto" w:sz="4" w:space="0"/>
              <w:right w:val="single" w:color="auto" w:sz="4" w:space="0"/>
            </w:tcBorders>
            <w:vAlign w:val="center"/>
          </w:tcPr>
          <w:p w14:paraId="095442B6">
            <w:pPr>
              <w:rPr>
                <w:rFonts w:ascii="Times New Roman" w:hAnsi="Times New Roman" w:cs="Times New Roman"/>
                <w:color w:val="000000" w:themeColor="text1"/>
              </w:rPr>
            </w:pPr>
          </w:p>
        </w:tc>
        <w:tc>
          <w:tcPr>
            <w:tcW w:w="1050" w:type="dxa"/>
            <w:tcBorders>
              <w:top w:val="single" w:color="auto" w:sz="4" w:space="0"/>
              <w:left w:val="single" w:color="auto" w:sz="4" w:space="0"/>
              <w:bottom w:val="single" w:color="auto" w:sz="4" w:space="0"/>
              <w:right w:val="single" w:color="auto" w:sz="4" w:space="0"/>
            </w:tcBorders>
            <w:vAlign w:val="center"/>
          </w:tcPr>
          <w:p w14:paraId="1F6082C4">
            <w:pPr>
              <w:rPr>
                <w:rFonts w:ascii="Times New Roman" w:hAnsi="Times New Roman" w:cs="Times New Roman"/>
                <w:color w:val="000000" w:themeColor="text1"/>
              </w:rPr>
            </w:pPr>
          </w:p>
        </w:tc>
        <w:tc>
          <w:tcPr>
            <w:tcW w:w="709" w:type="dxa"/>
            <w:tcBorders>
              <w:top w:val="single" w:color="auto" w:sz="4" w:space="0"/>
              <w:left w:val="single" w:color="auto" w:sz="4" w:space="0"/>
              <w:bottom w:val="single" w:color="auto" w:sz="4" w:space="0"/>
              <w:right w:val="single" w:color="auto" w:sz="4" w:space="0"/>
            </w:tcBorders>
          </w:tcPr>
          <w:p w14:paraId="65F19A35">
            <w:pPr>
              <w:rPr>
                <w:rFonts w:ascii="Times New Roman" w:hAnsi="Times New Roman" w:cs="Times New Roman"/>
                <w:color w:val="000000" w:themeColor="text1"/>
              </w:rPr>
            </w:pPr>
          </w:p>
        </w:tc>
        <w:tc>
          <w:tcPr>
            <w:tcW w:w="723" w:type="dxa"/>
            <w:tcBorders>
              <w:top w:val="single" w:color="auto" w:sz="4" w:space="0"/>
              <w:left w:val="single" w:color="auto" w:sz="4" w:space="0"/>
              <w:bottom w:val="single" w:color="auto" w:sz="4" w:space="0"/>
              <w:right w:val="single" w:color="auto" w:sz="4" w:space="0"/>
            </w:tcBorders>
          </w:tcPr>
          <w:p w14:paraId="38204274">
            <w:pPr>
              <w:rPr>
                <w:rFonts w:ascii="Times New Roman" w:hAnsi="Times New Roman" w:cs="Times New Roman"/>
                <w:color w:val="000000" w:themeColor="text1"/>
              </w:rPr>
            </w:pPr>
          </w:p>
        </w:tc>
        <w:tc>
          <w:tcPr>
            <w:tcW w:w="763" w:type="dxa"/>
            <w:tcBorders>
              <w:top w:val="single" w:color="auto" w:sz="4" w:space="0"/>
              <w:left w:val="single" w:color="auto" w:sz="4" w:space="0"/>
              <w:bottom w:val="single" w:color="auto" w:sz="4" w:space="0"/>
              <w:right w:val="single" w:color="auto" w:sz="4" w:space="0"/>
            </w:tcBorders>
            <w:vAlign w:val="center"/>
          </w:tcPr>
          <w:p w14:paraId="0F0E8A6B">
            <w:pPr>
              <w:rPr>
                <w:rFonts w:ascii="Times New Roman" w:hAnsi="Times New Roman" w:cs="Times New Roman"/>
                <w:color w:val="000000" w:themeColor="text1"/>
              </w:rPr>
            </w:pPr>
          </w:p>
        </w:tc>
        <w:tc>
          <w:tcPr>
            <w:tcW w:w="1050" w:type="dxa"/>
            <w:tcBorders>
              <w:top w:val="single" w:color="auto" w:sz="4" w:space="0"/>
              <w:left w:val="single" w:color="auto" w:sz="4" w:space="0"/>
              <w:bottom w:val="single" w:color="auto" w:sz="4" w:space="0"/>
            </w:tcBorders>
            <w:vAlign w:val="center"/>
          </w:tcPr>
          <w:p w14:paraId="4291E041">
            <w:pPr>
              <w:rPr>
                <w:rFonts w:ascii="Times New Roman" w:hAnsi="Times New Roman" w:cs="Times New Roman"/>
                <w:color w:val="000000" w:themeColor="text1"/>
              </w:rPr>
            </w:pPr>
          </w:p>
        </w:tc>
        <w:tc>
          <w:tcPr>
            <w:tcW w:w="2077" w:type="dxa"/>
            <w:tcBorders>
              <w:top w:val="single" w:color="auto" w:sz="4" w:space="0"/>
              <w:left w:val="single" w:color="auto" w:sz="4" w:space="0"/>
              <w:bottom w:val="single" w:color="auto" w:sz="4" w:space="0"/>
            </w:tcBorders>
            <w:vAlign w:val="center"/>
          </w:tcPr>
          <w:p w14:paraId="48F91179">
            <w:pPr>
              <w:rPr>
                <w:rFonts w:ascii="Times New Roman" w:hAnsi="Times New Roman" w:cs="Times New Roman"/>
                <w:color w:val="000000" w:themeColor="text1"/>
              </w:rPr>
            </w:pPr>
          </w:p>
        </w:tc>
      </w:tr>
    </w:tbl>
    <w:p w14:paraId="2BAA97B1">
      <w:pPr>
        <w:snapToGrid w:val="0"/>
        <w:spacing w:beforeLines="50" w:after="50"/>
        <w:jc w:val="center"/>
        <w:rPr>
          <w:rFonts w:ascii="Times New Roman" w:hAnsi="Times New Roman" w:cs="Times New Roman"/>
          <w:b/>
          <w:bCs/>
          <w:color w:val="000000" w:themeColor="text1"/>
          <w:kern w:val="0"/>
          <w:lang w:val="zh-CN"/>
        </w:rPr>
      </w:pPr>
    </w:p>
    <w:p w14:paraId="77778C89">
      <w:pPr>
        <w:rPr>
          <w:rFonts w:ascii="Times New Roman" w:hAnsi="Times New Roman" w:cs="Times New Roman"/>
          <w:b/>
          <w:bCs/>
          <w:color w:val="000000" w:themeColor="text1"/>
          <w:kern w:val="0"/>
        </w:rPr>
      </w:pPr>
    </w:p>
    <w:p w14:paraId="7FC7B09A">
      <w:pPr>
        <w:rPr>
          <w:rFonts w:ascii="Times New Roman" w:hAnsi="Times New Roman" w:cs="Times New Roman"/>
          <w:b/>
          <w:bCs/>
          <w:color w:val="000000" w:themeColor="text1"/>
          <w:kern w:val="0"/>
        </w:rPr>
      </w:pPr>
    </w:p>
    <w:p w14:paraId="3B40712C">
      <w:pPr>
        <w:ind w:firstLine="210" w:firstLineChars="100"/>
        <w:jc w:val="left"/>
        <w:rPr>
          <w:rFonts w:ascii="Times New Roman" w:hAnsi="Times New Roman" w:cs="Times New Roman"/>
          <w:color w:val="000000" w:themeColor="text1"/>
        </w:rPr>
      </w:pPr>
      <w:r>
        <w:rPr>
          <w:rFonts w:ascii="Times New Roman" w:hAnsi="Times New Roman" w:cs="Times New Roman"/>
          <w:color w:val="000000" w:themeColor="text1"/>
        </w:rPr>
        <w:t>投标人（盖章）：</w:t>
      </w:r>
    </w:p>
    <w:p w14:paraId="051B0C41">
      <w:pPr>
        <w:ind w:firstLine="199" w:firstLineChars="95"/>
        <w:jc w:val="left"/>
        <w:rPr>
          <w:rFonts w:ascii="Times New Roman" w:hAnsi="Times New Roman" w:cs="Times New Roman"/>
          <w:color w:val="000000" w:themeColor="text1"/>
        </w:rPr>
      </w:pPr>
      <w:r>
        <w:rPr>
          <w:rFonts w:ascii="Times New Roman" w:hAnsi="Times New Roman" w:cs="Times New Roman"/>
          <w:color w:val="000000" w:themeColor="text1"/>
        </w:rPr>
        <w:t>日期：</w:t>
      </w:r>
    </w:p>
    <w:p w14:paraId="19A29C2D">
      <w:pPr>
        <w:rPr>
          <w:rFonts w:ascii="Times New Roman" w:hAnsi="Times New Roman" w:cs="Times New Roman"/>
          <w:b/>
          <w:bCs/>
          <w:color w:val="000000" w:themeColor="text1"/>
          <w:kern w:val="0"/>
        </w:rPr>
      </w:pPr>
    </w:p>
    <w:p w14:paraId="598BF646">
      <w:pPr>
        <w:ind w:firstLine="199" w:firstLineChars="95"/>
        <w:jc w:val="left"/>
        <w:rPr>
          <w:rFonts w:ascii="Times New Roman" w:hAnsi="Times New Roman"/>
        </w:rPr>
      </w:pPr>
    </w:p>
    <w:p w14:paraId="6EC913B1">
      <w:pPr>
        <w:spacing w:line="380" w:lineRule="exact"/>
        <w:jc w:val="left"/>
        <w:rPr>
          <w:rFonts w:hAnsi="宋体" w:cs="Times New Roman"/>
          <w:b/>
          <w:bCs/>
          <w:spacing w:val="-4"/>
        </w:rPr>
      </w:pPr>
    </w:p>
    <w:p w14:paraId="53307374">
      <w:pPr>
        <w:pStyle w:val="90"/>
        <w:spacing w:line="360" w:lineRule="auto"/>
        <w:ind w:firstLine="0"/>
        <w:jc w:val="left"/>
        <w:rPr>
          <w:rFonts w:ascii="Times New Roman" w:hAnsi="Times New Roman"/>
          <w:b/>
          <w:bCs/>
          <w:sz w:val="21"/>
          <w:szCs w:val="21"/>
          <w:lang w:val="zh-CN"/>
        </w:rPr>
      </w:pPr>
      <w:r>
        <w:rPr>
          <w:rFonts w:hint="eastAsia" w:hAnsi="宋体" w:cs="Times New Roman"/>
          <w:b/>
          <w:bCs/>
        </w:rPr>
        <w:t>8</w:t>
      </w:r>
      <w:r>
        <w:rPr>
          <w:rFonts w:hint="eastAsia" w:hAnsi="宋体"/>
          <w:b/>
        </w:rPr>
        <w:t>、</w:t>
      </w:r>
      <w:r>
        <w:rPr>
          <w:rFonts w:ascii="Times New Roman" w:hAnsi="Times New Roman"/>
          <w:b/>
          <w:bCs/>
          <w:sz w:val="21"/>
          <w:szCs w:val="21"/>
          <w:lang w:val="zh-CN"/>
        </w:rPr>
        <w:t>所需配备的各种设备、耗材列表格式</w:t>
      </w:r>
    </w:p>
    <w:p w14:paraId="4CFB4B3E">
      <w:pPr>
        <w:pStyle w:val="2"/>
        <w:spacing w:line="360" w:lineRule="auto"/>
        <w:jc w:val="center"/>
        <w:rPr>
          <w:rFonts w:ascii="Times New Roman" w:hAnsi="Times New Roman" w:cs="Times New Roman"/>
          <w:b/>
          <w:bCs/>
          <w:color w:val="000000" w:themeColor="text1"/>
          <w:sz w:val="21"/>
          <w:szCs w:val="21"/>
        </w:rPr>
      </w:pPr>
      <w:r>
        <w:rPr>
          <w:rFonts w:ascii="Times New Roman" w:hAnsi="Times New Roman" w:cs="Times New Roman"/>
          <w:b/>
          <w:bCs/>
          <w:color w:val="000000" w:themeColor="text1"/>
          <w:sz w:val="21"/>
          <w:szCs w:val="21"/>
          <w:lang w:val="zh-CN"/>
        </w:rPr>
        <w:t>服务期所需配备耗材及作业机具配置</w:t>
      </w:r>
      <w:r>
        <w:rPr>
          <w:rFonts w:ascii="Times New Roman" w:hAnsi="Times New Roman" w:cs="Times New Roman"/>
          <w:b/>
          <w:bCs/>
          <w:color w:val="000000" w:themeColor="text1"/>
          <w:sz w:val="21"/>
          <w:szCs w:val="21"/>
        </w:rPr>
        <w:t>表</w:t>
      </w:r>
    </w:p>
    <w:tbl>
      <w:tblPr>
        <w:tblStyle w:val="24"/>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2"/>
        <w:gridCol w:w="1388"/>
        <w:gridCol w:w="1163"/>
        <w:gridCol w:w="1704"/>
        <w:gridCol w:w="2199"/>
      </w:tblGrid>
      <w:tr w14:paraId="03ACB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vAlign w:val="center"/>
          </w:tcPr>
          <w:p w14:paraId="506FFB76">
            <w:pPr>
              <w:adjustRightInd w:val="0"/>
              <w:snapToGrid w:val="0"/>
              <w:spacing w:line="400" w:lineRule="atLeast"/>
              <w:jc w:val="center"/>
              <w:rPr>
                <w:rFonts w:ascii="Times New Roman" w:hAnsi="Times New Roman" w:cs="Times New Roman"/>
                <w:color w:val="000000" w:themeColor="text1"/>
              </w:rPr>
            </w:pPr>
            <w:r>
              <w:rPr>
                <w:rFonts w:ascii="Times New Roman" w:hAnsi="Times New Roman" w:cs="Times New Roman"/>
                <w:color w:val="000000" w:themeColor="text1"/>
              </w:rPr>
              <w:t>名称</w:t>
            </w:r>
          </w:p>
        </w:tc>
        <w:tc>
          <w:tcPr>
            <w:tcW w:w="1388" w:type="dxa"/>
            <w:vAlign w:val="center"/>
          </w:tcPr>
          <w:p w14:paraId="18B74B77">
            <w:pPr>
              <w:adjustRightInd w:val="0"/>
              <w:snapToGrid w:val="0"/>
              <w:spacing w:line="400" w:lineRule="atLeast"/>
              <w:jc w:val="center"/>
              <w:rPr>
                <w:rFonts w:ascii="Times New Roman" w:hAnsi="Times New Roman" w:cs="Times New Roman"/>
                <w:color w:val="000000" w:themeColor="text1"/>
              </w:rPr>
            </w:pPr>
            <w:r>
              <w:rPr>
                <w:rFonts w:ascii="Times New Roman" w:hAnsi="Times New Roman" w:cs="Times New Roman"/>
                <w:color w:val="000000" w:themeColor="text1"/>
              </w:rPr>
              <w:t>规格</w:t>
            </w:r>
          </w:p>
        </w:tc>
        <w:tc>
          <w:tcPr>
            <w:tcW w:w="1163" w:type="dxa"/>
            <w:vAlign w:val="center"/>
          </w:tcPr>
          <w:p w14:paraId="6BA54162">
            <w:pPr>
              <w:adjustRightInd w:val="0"/>
              <w:snapToGrid w:val="0"/>
              <w:spacing w:line="400" w:lineRule="atLeast"/>
              <w:jc w:val="center"/>
              <w:rPr>
                <w:rFonts w:ascii="Times New Roman" w:hAnsi="Times New Roman" w:cs="Times New Roman"/>
                <w:color w:val="000000" w:themeColor="text1"/>
              </w:rPr>
            </w:pPr>
            <w:r>
              <w:rPr>
                <w:rFonts w:ascii="Times New Roman" w:hAnsi="Times New Roman" w:cs="Times New Roman"/>
                <w:color w:val="000000" w:themeColor="text1"/>
              </w:rPr>
              <w:t>数量</w:t>
            </w:r>
          </w:p>
        </w:tc>
        <w:tc>
          <w:tcPr>
            <w:tcW w:w="1704" w:type="dxa"/>
            <w:vAlign w:val="center"/>
          </w:tcPr>
          <w:p w14:paraId="1CD8D8DA">
            <w:pPr>
              <w:adjustRightInd w:val="0"/>
              <w:snapToGrid w:val="0"/>
              <w:spacing w:line="400" w:lineRule="atLeast"/>
              <w:jc w:val="center"/>
              <w:rPr>
                <w:rFonts w:ascii="Times New Roman" w:hAnsi="Times New Roman" w:cs="Times New Roman"/>
                <w:color w:val="000000" w:themeColor="text1"/>
              </w:rPr>
            </w:pPr>
            <w:r>
              <w:rPr>
                <w:rFonts w:ascii="Times New Roman" w:hAnsi="Times New Roman" w:cs="Times New Roman"/>
                <w:color w:val="000000" w:themeColor="text1"/>
              </w:rPr>
              <w:t>产地</w:t>
            </w:r>
          </w:p>
        </w:tc>
        <w:tc>
          <w:tcPr>
            <w:tcW w:w="2199" w:type="dxa"/>
            <w:vAlign w:val="center"/>
          </w:tcPr>
          <w:p w14:paraId="533F90B8">
            <w:pPr>
              <w:adjustRightInd w:val="0"/>
              <w:snapToGrid w:val="0"/>
              <w:spacing w:line="400" w:lineRule="atLeast"/>
              <w:jc w:val="center"/>
              <w:rPr>
                <w:rFonts w:ascii="Times New Roman" w:hAnsi="Times New Roman" w:cs="Times New Roman"/>
                <w:color w:val="000000" w:themeColor="text1"/>
              </w:rPr>
            </w:pPr>
            <w:r>
              <w:rPr>
                <w:rFonts w:ascii="Times New Roman" w:hAnsi="Times New Roman" w:cs="Times New Roman"/>
                <w:color w:val="000000" w:themeColor="text1"/>
              </w:rPr>
              <w:t>备注</w:t>
            </w:r>
          </w:p>
        </w:tc>
      </w:tr>
      <w:tr w14:paraId="1EEC5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33E3EBED">
            <w:pPr>
              <w:adjustRightInd w:val="0"/>
              <w:snapToGrid w:val="0"/>
              <w:spacing w:line="400" w:lineRule="atLeast"/>
              <w:ind w:firstLine="420"/>
              <w:jc w:val="center"/>
              <w:rPr>
                <w:rFonts w:ascii="Times New Roman" w:hAnsi="Times New Roman" w:cs="Times New Roman"/>
                <w:color w:val="000000" w:themeColor="text1"/>
              </w:rPr>
            </w:pPr>
          </w:p>
        </w:tc>
        <w:tc>
          <w:tcPr>
            <w:tcW w:w="1388" w:type="dxa"/>
          </w:tcPr>
          <w:p w14:paraId="09170189">
            <w:pPr>
              <w:adjustRightInd w:val="0"/>
              <w:snapToGrid w:val="0"/>
              <w:spacing w:line="400" w:lineRule="atLeast"/>
              <w:ind w:firstLine="420"/>
              <w:jc w:val="center"/>
              <w:rPr>
                <w:rFonts w:ascii="Times New Roman" w:hAnsi="Times New Roman" w:cs="Times New Roman"/>
                <w:color w:val="000000" w:themeColor="text1"/>
              </w:rPr>
            </w:pPr>
          </w:p>
        </w:tc>
        <w:tc>
          <w:tcPr>
            <w:tcW w:w="1163" w:type="dxa"/>
          </w:tcPr>
          <w:p w14:paraId="0023609F">
            <w:pPr>
              <w:adjustRightInd w:val="0"/>
              <w:snapToGrid w:val="0"/>
              <w:spacing w:line="400" w:lineRule="atLeast"/>
              <w:ind w:firstLine="420"/>
              <w:jc w:val="center"/>
              <w:rPr>
                <w:rFonts w:ascii="Times New Roman" w:hAnsi="Times New Roman" w:cs="Times New Roman"/>
                <w:color w:val="000000" w:themeColor="text1"/>
              </w:rPr>
            </w:pPr>
          </w:p>
        </w:tc>
        <w:tc>
          <w:tcPr>
            <w:tcW w:w="1704" w:type="dxa"/>
          </w:tcPr>
          <w:p w14:paraId="24D807A0">
            <w:pPr>
              <w:adjustRightInd w:val="0"/>
              <w:snapToGrid w:val="0"/>
              <w:spacing w:line="400" w:lineRule="atLeast"/>
              <w:ind w:firstLine="420"/>
              <w:jc w:val="center"/>
              <w:rPr>
                <w:rFonts w:ascii="Times New Roman" w:hAnsi="Times New Roman" w:cs="Times New Roman"/>
                <w:color w:val="000000" w:themeColor="text1"/>
              </w:rPr>
            </w:pPr>
          </w:p>
        </w:tc>
        <w:tc>
          <w:tcPr>
            <w:tcW w:w="2199" w:type="dxa"/>
          </w:tcPr>
          <w:p w14:paraId="1F98BD2E">
            <w:pPr>
              <w:adjustRightInd w:val="0"/>
              <w:snapToGrid w:val="0"/>
              <w:spacing w:line="400" w:lineRule="atLeast"/>
              <w:ind w:firstLine="420"/>
              <w:jc w:val="center"/>
              <w:rPr>
                <w:rFonts w:ascii="Times New Roman" w:hAnsi="Times New Roman" w:cs="Times New Roman"/>
                <w:color w:val="000000" w:themeColor="text1"/>
              </w:rPr>
            </w:pPr>
          </w:p>
        </w:tc>
      </w:tr>
      <w:tr w14:paraId="640D4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140AB1A8">
            <w:pPr>
              <w:adjustRightInd w:val="0"/>
              <w:snapToGrid w:val="0"/>
              <w:spacing w:line="400" w:lineRule="atLeast"/>
              <w:ind w:firstLine="480"/>
              <w:jc w:val="center"/>
              <w:rPr>
                <w:rFonts w:ascii="Times New Roman" w:hAnsi="Times New Roman" w:cs="Times New Roman"/>
                <w:color w:val="000000" w:themeColor="text1"/>
                <w:sz w:val="24"/>
                <w:szCs w:val="24"/>
              </w:rPr>
            </w:pPr>
          </w:p>
        </w:tc>
        <w:tc>
          <w:tcPr>
            <w:tcW w:w="1388" w:type="dxa"/>
          </w:tcPr>
          <w:p w14:paraId="7E836E51">
            <w:pPr>
              <w:adjustRightInd w:val="0"/>
              <w:snapToGrid w:val="0"/>
              <w:spacing w:line="400" w:lineRule="atLeast"/>
              <w:ind w:firstLine="480"/>
              <w:jc w:val="center"/>
              <w:rPr>
                <w:rFonts w:ascii="Times New Roman" w:hAnsi="Times New Roman" w:cs="Times New Roman"/>
                <w:color w:val="000000" w:themeColor="text1"/>
                <w:sz w:val="24"/>
                <w:szCs w:val="24"/>
              </w:rPr>
            </w:pPr>
          </w:p>
        </w:tc>
        <w:tc>
          <w:tcPr>
            <w:tcW w:w="1163" w:type="dxa"/>
          </w:tcPr>
          <w:p w14:paraId="0B0D6899">
            <w:pPr>
              <w:adjustRightInd w:val="0"/>
              <w:snapToGrid w:val="0"/>
              <w:spacing w:line="400" w:lineRule="atLeast"/>
              <w:ind w:firstLine="480"/>
              <w:jc w:val="center"/>
              <w:rPr>
                <w:rFonts w:ascii="Times New Roman" w:hAnsi="Times New Roman" w:cs="Times New Roman"/>
                <w:color w:val="000000" w:themeColor="text1"/>
                <w:sz w:val="24"/>
                <w:szCs w:val="24"/>
              </w:rPr>
            </w:pPr>
          </w:p>
        </w:tc>
        <w:tc>
          <w:tcPr>
            <w:tcW w:w="1704" w:type="dxa"/>
          </w:tcPr>
          <w:p w14:paraId="77C85621">
            <w:pPr>
              <w:adjustRightInd w:val="0"/>
              <w:snapToGrid w:val="0"/>
              <w:spacing w:line="400" w:lineRule="atLeast"/>
              <w:ind w:firstLine="480"/>
              <w:jc w:val="center"/>
              <w:rPr>
                <w:rFonts w:ascii="Times New Roman" w:hAnsi="Times New Roman" w:cs="Times New Roman"/>
                <w:color w:val="000000" w:themeColor="text1"/>
                <w:sz w:val="24"/>
                <w:szCs w:val="24"/>
              </w:rPr>
            </w:pPr>
          </w:p>
        </w:tc>
        <w:tc>
          <w:tcPr>
            <w:tcW w:w="2199" w:type="dxa"/>
          </w:tcPr>
          <w:p w14:paraId="2AF0874C">
            <w:pPr>
              <w:adjustRightInd w:val="0"/>
              <w:snapToGrid w:val="0"/>
              <w:spacing w:line="400" w:lineRule="atLeast"/>
              <w:ind w:firstLine="480"/>
              <w:jc w:val="center"/>
              <w:rPr>
                <w:rFonts w:ascii="Times New Roman" w:hAnsi="Times New Roman" w:cs="Times New Roman"/>
                <w:color w:val="000000" w:themeColor="text1"/>
                <w:sz w:val="24"/>
                <w:szCs w:val="24"/>
              </w:rPr>
            </w:pPr>
          </w:p>
        </w:tc>
      </w:tr>
      <w:tr w14:paraId="2FAF5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0D6593A2">
            <w:pPr>
              <w:adjustRightInd w:val="0"/>
              <w:snapToGrid w:val="0"/>
              <w:spacing w:line="400" w:lineRule="atLeast"/>
              <w:ind w:firstLine="480"/>
              <w:jc w:val="center"/>
              <w:rPr>
                <w:rFonts w:ascii="Times New Roman" w:hAnsi="Times New Roman" w:cs="Times New Roman"/>
                <w:color w:val="000000" w:themeColor="text1"/>
                <w:sz w:val="24"/>
                <w:szCs w:val="24"/>
              </w:rPr>
            </w:pPr>
          </w:p>
        </w:tc>
        <w:tc>
          <w:tcPr>
            <w:tcW w:w="1388" w:type="dxa"/>
          </w:tcPr>
          <w:p w14:paraId="7E8EFBFD">
            <w:pPr>
              <w:adjustRightInd w:val="0"/>
              <w:snapToGrid w:val="0"/>
              <w:spacing w:line="400" w:lineRule="atLeast"/>
              <w:ind w:firstLine="480"/>
              <w:jc w:val="center"/>
              <w:rPr>
                <w:rFonts w:ascii="Times New Roman" w:hAnsi="Times New Roman" w:cs="Times New Roman"/>
                <w:color w:val="000000" w:themeColor="text1"/>
                <w:sz w:val="24"/>
                <w:szCs w:val="24"/>
              </w:rPr>
            </w:pPr>
          </w:p>
        </w:tc>
        <w:tc>
          <w:tcPr>
            <w:tcW w:w="1163" w:type="dxa"/>
          </w:tcPr>
          <w:p w14:paraId="408F118C">
            <w:pPr>
              <w:adjustRightInd w:val="0"/>
              <w:snapToGrid w:val="0"/>
              <w:spacing w:line="400" w:lineRule="atLeast"/>
              <w:ind w:firstLine="480"/>
              <w:jc w:val="center"/>
              <w:rPr>
                <w:rFonts w:ascii="Times New Roman" w:hAnsi="Times New Roman" w:cs="Times New Roman"/>
                <w:color w:val="000000" w:themeColor="text1"/>
                <w:sz w:val="24"/>
                <w:szCs w:val="24"/>
              </w:rPr>
            </w:pPr>
          </w:p>
        </w:tc>
        <w:tc>
          <w:tcPr>
            <w:tcW w:w="1704" w:type="dxa"/>
          </w:tcPr>
          <w:p w14:paraId="4C00A181">
            <w:pPr>
              <w:adjustRightInd w:val="0"/>
              <w:snapToGrid w:val="0"/>
              <w:spacing w:line="400" w:lineRule="atLeast"/>
              <w:ind w:firstLine="480"/>
              <w:jc w:val="center"/>
              <w:rPr>
                <w:rFonts w:ascii="Times New Roman" w:hAnsi="Times New Roman" w:cs="Times New Roman"/>
                <w:color w:val="000000" w:themeColor="text1"/>
                <w:sz w:val="24"/>
                <w:szCs w:val="24"/>
              </w:rPr>
            </w:pPr>
          </w:p>
        </w:tc>
        <w:tc>
          <w:tcPr>
            <w:tcW w:w="2199" w:type="dxa"/>
          </w:tcPr>
          <w:p w14:paraId="28A32874">
            <w:pPr>
              <w:adjustRightInd w:val="0"/>
              <w:snapToGrid w:val="0"/>
              <w:spacing w:line="400" w:lineRule="atLeast"/>
              <w:ind w:firstLine="480"/>
              <w:jc w:val="center"/>
              <w:rPr>
                <w:rFonts w:ascii="Times New Roman" w:hAnsi="Times New Roman" w:cs="Times New Roman"/>
                <w:color w:val="000000" w:themeColor="text1"/>
                <w:sz w:val="24"/>
                <w:szCs w:val="24"/>
              </w:rPr>
            </w:pPr>
          </w:p>
        </w:tc>
      </w:tr>
      <w:tr w14:paraId="3CEF1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0C932BA6">
            <w:pPr>
              <w:adjustRightInd w:val="0"/>
              <w:snapToGrid w:val="0"/>
              <w:spacing w:line="400" w:lineRule="atLeast"/>
              <w:ind w:firstLine="480"/>
              <w:jc w:val="center"/>
              <w:rPr>
                <w:rFonts w:ascii="Times New Roman" w:hAnsi="Times New Roman" w:cs="Times New Roman"/>
                <w:color w:val="000000" w:themeColor="text1"/>
                <w:sz w:val="24"/>
                <w:szCs w:val="24"/>
              </w:rPr>
            </w:pPr>
          </w:p>
        </w:tc>
        <w:tc>
          <w:tcPr>
            <w:tcW w:w="1388" w:type="dxa"/>
          </w:tcPr>
          <w:p w14:paraId="2E81C43C">
            <w:pPr>
              <w:adjustRightInd w:val="0"/>
              <w:snapToGrid w:val="0"/>
              <w:spacing w:line="400" w:lineRule="atLeast"/>
              <w:ind w:firstLine="480"/>
              <w:jc w:val="center"/>
              <w:rPr>
                <w:rFonts w:ascii="Times New Roman" w:hAnsi="Times New Roman" w:cs="Times New Roman"/>
                <w:color w:val="000000" w:themeColor="text1"/>
                <w:sz w:val="24"/>
                <w:szCs w:val="24"/>
              </w:rPr>
            </w:pPr>
          </w:p>
        </w:tc>
        <w:tc>
          <w:tcPr>
            <w:tcW w:w="1163" w:type="dxa"/>
          </w:tcPr>
          <w:p w14:paraId="726DDD8F">
            <w:pPr>
              <w:adjustRightInd w:val="0"/>
              <w:snapToGrid w:val="0"/>
              <w:spacing w:line="400" w:lineRule="atLeast"/>
              <w:ind w:firstLine="480"/>
              <w:jc w:val="center"/>
              <w:rPr>
                <w:rFonts w:ascii="Times New Roman" w:hAnsi="Times New Roman" w:cs="Times New Roman"/>
                <w:color w:val="000000" w:themeColor="text1"/>
                <w:sz w:val="24"/>
                <w:szCs w:val="24"/>
              </w:rPr>
            </w:pPr>
          </w:p>
        </w:tc>
        <w:tc>
          <w:tcPr>
            <w:tcW w:w="1704" w:type="dxa"/>
          </w:tcPr>
          <w:p w14:paraId="756B4503">
            <w:pPr>
              <w:adjustRightInd w:val="0"/>
              <w:snapToGrid w:val="0"/>
              <w:spacing w:line="400" w:lineRule="atLeast"/>
              <w:ind w:firstLine="480"/>
              <w:jc w:val="center"/>
              <w:rPr>
                <w:rFonts w:ascii="Times New Roman" w:hAnsi="Times New Roman" w:cs="Times New Roman"/>
                <w:color w:val="000000" w:themeColor="text1"/>
                <w:sz w:val="24"/>
                <w:szCs w:val="24"/>
              </w:rPr>
            </w:pPr>
          </w:p>
        </w:tc>
        <w:tc>
          <w:tcPr>
            <w:tcW w:w="2199" w:type="dxa"/>
          </w:tcPr>
          <w:p w14:paraId="1954F501">
            <w:pPr>
              <w:adjustRightInd w:val="0"/>
              <w:snapToGrid w:val="0"/>
              <w:spacing w:line="400" w:lineRule="atLeast"/>
              <w:ind w:firstLine="480"/>
              <w:jc w:val="center"/>
              <w:rPr>
                <w:rFonts w:ascii="Times New Roman" w:hAnsi="Times New Roman" w:cs="Times New Roman"/>
                <w:color w:val="000000" w:themeColor="text1"/>
                <w:sz w:val="24"/>
                <w:szCs w:val="24"/>
              </w:rPr>
            </w:pPr>
          </w:p>
        </w:tc>
      </w:tr>
      <w:tr w14:paraId="27459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32FF630C">
            <w:pPr>
              <w:adjustRightInd w:val="0"/>
              <w:snapToGrid w:val="0"/>
              <w:spacing w:line="400" w:lineRule="atLeast"/>
              <w:ind w:firstLine="480"/>
              <w:jc w:val="center"/>
              <w:rPr>
                <w:rFonts w:ascii="Times New Roman" w:hAnsi="Times New Roman" w:cs="Times New Roman"/>
                <w:color w:val="000000" w:themeColor="text1"/>
                <w:sz w:val="24"/>
                <w:szCs w:val="24"/>
              </w:rPr>
            </w:pPr>
          </w:p>
        </w:tc>
        <w:tc>
          <w:tcPr>
            <w:tcW w:w="1388" w:type="dxa"/>
          </w:tcPr>
          <w:p w14:paraId="29E22BE5">
            <w:pPr>
              <w:adjustRightInd w:val="0"/>
              <w:snapToGrid w:val="0"/>
              <w:spacing w:line="400" w:lineRule="atLeast"/>
              <w:ind w:firstLine="480"/>
              <w:jc w:val="center"/>
              <w:rPr>
                <w:rFonts w:ascii="Times New Roman" w:hAnsi="Times New Roman" w:cs="Times New Roman"/>
                <w:color w:val="000000" w:themeColor="text1"/>
                <w:sz w:val="24"/>
                <w:szCs w:val="24"/>
              </w:rPr>
            </w:pPr>
          </w:p>
        </w:tc>
        <w:tc>
          <w:tcPr>
            <w:tcW w:w="1163" w:type="dxa"/>
          </w:tcPr>
          <w:p w14:paraId="7608763E">
            <w:pPr>
              <w:adjustRightInd w:val="0"/>
              <w:snapToGrid w:val="0"/>
              <w:spacing w:line="400" w:lineRule="atLeast"/>
              <w:ind w:firstLine="480"/>
              <w:jc w:val="center"/>
              <w:rPr>
                <w:rFonts w:ascii="Times New Roman" w:hAnsi="Times New Roman" w:cs="Times New Roman"/>
                <w:color w:val="000000" w:themeColor="text1"/>
                <w:sz w:val="24"/>
                <w:szCs w:val="24"/>
              </w:rPr>
            </w:pPr>
          </w:p>
        </w:tc>
        <w:tc>
          <w:tcPr>
            <w:tcW w:w="1704" w:type="dxa"/>
          </w:tcPr>
          <w:p w14:paraId="4C02E4F1">
            <w:pPr>
              <w:adjustRightInd w:val="0"/>
              <w:snapToGrid w:val="0"/>
              <w:spacing w:line="400" w:lineRule="atLeast"/>
              <w:ind w:firstLine="480"/>
              <w:jc w:val="center"/>
              <w:rPr>
                <w:rFonts w:ascii="Times New Roman" w:hAnsi="Times New Roman" w:cs="Times New Roman"/>
                <w:color w:val="000000" w:themeColor="text1"/>
                <w:sz w:val="24"/>
                <w:szCs w:val="24"/>
              </w:rPr>
            </w:pPr>
          </w:p>
        </w:tc>
        <w:tc>
          <w:tcPr>
            <w:tcW w:w="2199" w:type="dxa"/>
          </w:tcPr>
          <w:p w14:paraId="54A49672">
            <w:pPr>
              <w:adjustRightInd w:val="0"/>
              <w:snapToGrid w:val="0"/>
              <w:spacing w:line="400" w:lineRule="atLeast"/>
              <w:ind w:firstLine="480"/>
              <w:jc w:val="center"/>
              <w:rPr>
                <w:rFonts w:ascii="Times New Roman" w:hAnsi="Times New Roman" w:cs="Times New Roman"/>
                <w:color w:val="000000" w:themeColor="text1"/>
                <w:sz w:val="24"/>
                <w:szCs w:val="24"/>
              </w:rPr>
            </w:pPr>
          </w:p>
        </w:tc>
      </w:tr>
      <w:tr w14:paraId="18EFA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6EF2A82A">
            <w:pPr>
              <w:adjustRightInd w:val="0"/>
              <w:snapToGrid w:val="0"/>
              <w:spacing w:line="400" w:lineRule="atLeast"/>
              <w:ind w:firstLine="480"/>
              <w:jc w:val="center"/>
              <w:rPr>
                <w:rFonts w:ascii="Times New Roman" w:hAnsi="Times New Roman" w:cs="Times New Roman"/>
                <w:color w:val="000000" w:themeColor="text1"/>
                <w:sz w:val="24"/>
                <w:szCs w:val="24"/>
              </w:rPr>
            </w:pPr>
          </w:p>
        </w:tc>
        <w:tc>
          <w:tcPr>
            <w:tcW w:w="1388" w:type="dxa"/>
          </w:tcPr>
          <w:p w14:paraId="61870AA1">
            <w:pPr>
              <w:adjustRightInd w:val="0"/>
              <w:snapToGrid w:val="0"/>
              <w:spacing w:line="400" w:lineRule="atLeast"/>
              <w:ind w:firstLine="480"/>
              <w:jc w:val="center"/>
              <w:rPr>
                <w:rFonts w:ascii="Times New Roman" w:hAnsi="Times New Roman" w:cs="Times New Roman"/>
                <w:color w:val="000000" w:themeColor="text1"/>
                <w:sz w:val="24"/>
                <w:szCs w:val="24"/>
              </w:rPr>
            </w:pPr>
          </w:p>
        </w:tc>
        <w:tc>
          <w:tcPr>
            <w:tcW w:w="1163" w:type="dxa"/>
          </w:tcPr>
          <w:p w14:paraId="19B5897B">
            <w:pPr>
              <w:adjustRightInd w:val="0"/>
              <w:snapToGrid w:val="0"/>
              <w:spacing w:line="400" w:lineRule="atLeast"/>
              <w:ind w:firstLine="480"/>
              <w:jc w:val="center"/>
              <w:rPr>
                <w:rFonts w:ascii="Times New Roman" w:hAnsi="Times New Roman" w:cs="Times New Roman"/>
                <w:color w:val="000000" w:themeColor="text1"/>
                <w:sz w:val="24"/>
                <w:szCs w:val="24"/>
              </w:rPr>
            </w:pPr>
          </w:p>
        </w:tc>
        <w:tc>
          <w:tcPr>
            <w:tcW w:w="1704" w:type="dxa"/>
          </w:tcPr>
          <w:p w14:paraId="584FE6C3">
            <w:pPr>
              <w:adjustRightInd w:val="0"/>
              <w:snapToGrid w:val="0"/>
              <w:spacing w:line="400" w:lineRule="atLeast"/>
              <w:ind w:firstLine="480"/>
              <w:jc w:val="center"/>
              <w:rPr>
                <w:rFonts w:ascii="Times New Roman" w:hAnsi="Times New Roman" w:cs="Times New Roman"/>
                <w:color w:val="000000" w:themeColor="text1"/>
                <w:sz w:val="24"/>
                <w:szCs w:val="24"/>
              </w:rPr>
            </w:pPr>
          </w:p>
        </w:tc>
        <w:tc>
          <w:tcPr>
            <w:tcW w:w="2199" w:type="dxa"/>
          </w:tcPr>
          <w:p w14:paraId="79D3CBDC">
            <w:pPr>
              <w:adjustRightInd w:val="0"/>
              <w:snapToGrid w:val="0"/>
              <w:spacing w:line="400" w:lineRule="atLeast"/>
              <w:ind w:firstLine="480"/>
              <w:jc w:val="center"/>
              <w:rPr>
                <w:rFonts w:ascii="Times New Roman" w:hAnsi="Times New Roman" w:cs="Times New Roman"/>
                <w:color w:val="000000" w:themeColor="text1"/>
                <w:sz w:val="24"/>
                <w:szCs w:val="24"/>
              </w:rPr>
            </w:pPr>
          </w:p>
        </w:tc>
      </w:tr>
      <w:tr w14:paraId="1E544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4FA9FD6A">
            <w:pPr>
              <w:adjustRightInd w:val="0"/>
              <w:snapToGrid w:val="0"/>
              <w:spacing w:line="400" w:lineRule="atLeast"/>
              <w:ind w:firstLine="480"/>
              <w:jc w:val="center"/>
              <w:rPr>
                <w:rFonts w:ascii="Times New Roman" w:hAnsi="Times New Roman" w:cs="Times New Roman"/>
                <w:color w:val="000000" w:themeColor="text1"/>
                <w:sz w:val="24"/>
                <w:szCs w:val="24"/>
              </w:rPr>
            </w:pPr>
          </w:p>
        </w:tc>
        <w:tc>
          <w:tcPr>
            <w:tcW w:w="1388" w:type="dxa"/>
          </w:tcPr>
          <w:p w14:paraId="7B8AAB4E">
            <w:pPr>
              <w:adjustRightInd w:val="0"/>
              <w:snapToGrid w:val="0"/>
              <w:spacing w:line="400" w:lineRule="atLeast"/>
              <w:ind w:firstLine="480"/>
              <w:jc w:val="center"/>
              <w:rPr>
                <w:rFonts w:ascii="Times New Roman" w:hAnsi="Times New Roman" w:cs="Times New Roman"/>
                <w:color w:val="000000" w:themeColor="text1"/>
                <w:sz w:val="24"/>
                <w:szCs w:val="24"/>
              </w:rPr>
            </w:pPr>
          </w:p>
        </w:tc>
        <w:tc>
          <w:tcPr>
            <w:tcW w:w="1163" w:type="dxa"/>
          </w:tcPr>
          <w:p w14:paraId="781A90B1">
            <w:pPr>
              <w:adjustRightInd w:val="0"/>
              <w:snapToGrid w:val="0"/>
              <w:spacing w:line="400" w:lineRule="atLeast"/>
              <w:ind w:firstLine="480"/>
              <w:jc w:val="center"/>
              <w:rPr>
                <w:rFonts w:ascii="Times New Roman" w:hAnsi="Times New Roman" w:cs="Times New Roman"/>
                <w:color w:val="000000" w:themeColor="text1"/>
                <w:sz w:val="24"/>
                <w:szCs w:val="24"/>
              </w:rPr>
            </w:pPr>
          </w:p>
        </w:tc>
        <w:tc>
          <w:tcPr>
            <w:tcW w:w="1704" w:type="dxa"/>
          </w:tcPr>
          <w:p w14:paraId="54E5B913">
            <w:pPr>
              <w:adjustRightInd w:val="0"/>
              <w:snapToGrid w:val="0"/>
              <w:spacing w:line="400" w:lineRule="atLeast"/>
              <w:ind w:firstLine="480"/>
              <w:jc w:val="center"/>
              <w:rPr>
                <w:rFonts w:ascii="Times New Roman" w:hAnsi="Times New Roman" w:cs="Times New Roman"/>
                <w:color w:val="000000" w:themeColor="text1"/>
                <w:sz w:val="24"/>
                <w:szCs w:val="24"/>
              </w:rPr>
            </w:pPr>
          </w:p>
        </w:tc>
        <w:tc>
          <w:tcPr>
            <w:tcW w:w="2199" w:type="dxa"/>
          </w:tcPr>
          <w:p w14:paraId="4A3DC5BC">
            <w:pPr>
              <w:adjustRightInd w:val="0"/>
              <w:snapToGrid w:val="0"/>
              <w:spacing w:line="400" w:lineRule="atLeast"/>
              <w:ind w:firstLine="480"/>
              <w:jc w:val="center"/>
              <w:rPr>
                <w:rFonts w:ascii="Times New Roman" w:hAnsi="Times New Roman" w:cs="Times New Roman"/>
                <w:color w:val="000000" w:themeColor="text1"/>
                <w:sz w:val="24"/>
                <w:szCs w:val="24"/>
              </w:rPr>
            </w:pPr>
          </w:p>
        </w:tc>
      </w:tr>
    </w:tbl>
    <w:p w14:paraId="5D45C785">
      <w:pPr>
        <w:rPr>
          <w:rFonts w:ascii="Times New Roman" w:hAnsi="Times New Roman" w:cs="Times New Roman"/>
          <w:b/>
          <w:bCs/>
          <w:color w:val="000000" w:themeColor="text1"/>
          <w:kern w:val="0"/>
        </w:rPr>
      </w:pPr>
    </w:p>
    <w:p w14:paraId="7F38B32C">
      <w:pPr>
        <w:rPr>
          <w:rFonts w:ascii="Times New Roman" w:hAnsi="Times New Roman" w:cs="Times New Roman"/>
          <w:b/>
          <w:bCs/>
          <w:color w:val="000000" w:themeColor="text1"/>
          <w:kern w:val="0"/>
        </w:rPr>
      </w:pPr>
    </w:p>
    <w:p w14:paraId="40452FC1">
      <w:pPr>
        <w:ind w:firstLine="210" w:firstLineChars="100"/>
        <w:jc w:val="left"/>
        <w:rPr>
          <w:rFonts w:ascii="Times New Roman" w:hAnsi="Times New Roman" w:cs="Times New Roman"/>
          <w:color w:val="000000" w:themeColor="text1"/>
        </w:rPr>
      </w:pPr>
      <w:r>
        <w:rPr>
          <w:rFonts w:ascii="Times New Roman" w:hAnsi="Times New Roman" w:cs="Times New Roman"/>
          <w:color w:val="000000" w:themeColor="text1"/>
        </w:rPr>
        <w:t>投标人（盖章）：</w:t>
      </w:r>
    </w:p>
    <w:p w14:paraId="4223F732">
      <w:pPr>
        <w:ind w:firstLine="199" w:firstLineChars="95"/>
        <w:jc w:val="left"/>
        <w:rPr>
          <w:rFonts w:ascii="Times New Roman" w:hAnsi="Times New Roman" w:cs="Times New Roman"/>
          <w:color w:val="000000" w:themeColor="text1"/>
        </w:rPr>
      </w:pPr>
    </w:p>
    <w:p w14:paraId="4F45AE3B">
      <w:pPr>
        <w:ind w:firstLine="199" w:firstLineChars="95"/>
        <w:jc w:val="left"/>
        <w:rPr>
          <w:rFonts w:ascii="Times New Roman" w:hAnsi="Times New Roman" w:cs="Times New Roman"/>
          <w:color w:val="000000" w:themeColor="text1"/>
        </w:rPr>
      </w:pPr>
      <w:r>
        <w:rPr>
          <w:rFonts w:ascii="Times New Roman" w:hAnsi="Times New Roman" w:cs="Times New Roman"/>
          <w:color w:val="000000" w:themeColor="text1"/>
        </w:rPr>
        <w:t>日期：</w:t>
      </w:r>
    </w:p>
    <w:p w14:paraId="680B9A63">
      <w:pPr>
        <w:spacing w:line="380" w:lineRule="exact"/>
        <w:jc w:val="left"/>
        <w:rPr>
          <w:rFonts w:ascii="宋体" w:hAnsi="宋体"/>
          <w:b/>
          <w:kern w:val="0"/>
        </w:rPr>
      </w:pPr>
    </w:p>
    <w:p w14:paraId="41798714">
      <w:pPr>
        <w:spacing w:line="380" w:lineRule="exact"/>
        <w:jc w:val="left"/>
        <w:rPr>
          <w:rFonts w:ascii="宋体"/>
          <w:b/>
          <w:bCs/>
          <w:sz w:val="28"/>
          <w:szCs w:val="28"/>
        </w:rPr>
      </w:pPr>
      <w:r>
        <w:rPr>
          <w:rFonts w:hint="eastAsia" w:ascii="宋体" w:hAnsi="宋体"/>
          <w:b/>
          <w:kern w:val="0"/>
        </w:rPr>
        <w:t>9、商务偏离表</w:t>
      </w:r>
    </w:p>
    <w:p w14:paraId="45C492E6">
      <w:pPr>
        <w:snapToGrid w:val="0"/>
        <w:spacing w:before="50" w:after="50"/>
        <w:jc w:val="center"/>
        <w:rPr>
          <w:rFonts w:ascii="宋体" w:hAnsi="宋体" w:cs="宋体"/>
        </w:rPr>
      </w:pPr>
      <w:r>
        <w:rPr>
          <w:rFonts w:hint="eastAsia" w:ascii="宋体" w:hAnsi="宋体"/>
          <w:b/>
          <w:kern w:val="0"/>
        </w:rPr>
        <w:t>商务偏离表</w:t>
      </w:r>
    </w:p>
    <w:p w14:paraId="03E0624A">
      <w:pPr>
        <w:snapToGrid w:val="0"/>
        <w:spacing w:before="50" w:after="50"/>
        <w:rPr>
          <w:rFonts w:ascii="宋体" w:cs="宋体"/>
        </w:rPr>
      </w:pPr>
      <w:r>
        <w:rPr>
          <w:rFonts w:hint="eastAsia" w:ascii="宋体" w:hAnsi="宋体" w:cs="宋体"/>
        </w:rPr>
        <w:t>招标编号：  项目名称：</w:t>
      </w:r>
    </w:p>
    <w:tbl>
      <w:tblPr>
        <w:tblStyle w:val="24"/>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
        <w:gridCol w:w="6345"/>
        <w:gridCol w:w="795"/>
        <w:gridCol w:w="795"/>
        <w:gridCol w:w="687"/>
      </w:tblGrid>
      <w:tr w14:paraId="5ADC9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16" w:type="dxa"/>
            <w:vAlign w:val="center"/>
          </w:tcPr>
          <w:p w14:paraId="232130DA">
            <w:pPr>
              <w:jc w:val="center"/>
              <w:rPr>
                <w:rFonts w:ascii="宋体"/>
                <w:bCs/>
              </w:rPr>
            </w:pPr>
            <w:r>
              <w:rPr>
                <w:rFonts w:hint="eastAsia" w:ascii="宋体" w:hAnsi="宋体"/>
                <w:bCs/>
              </w:rPr>
              <w:t>内容</w:t>
            </w:r>
          </w:p>
        </w:tc>
        <w:tc>
          <w:tcPr>
            <w:tcW w:w="6345" w:type="dxa"/>
            <w:vAlign w:val="center"/>
          </w:tcPr>
          <w:p w14:paraId="3A28BBEC">
            <w:pPr>
              <w:jc w:val="center"/>
              <w:rPr>
                <w:rFonts w:ascii="宋体"/>
                <w:bCs/>
              </w:rPr>
            </w:pPr>
            <w:r>
              <w:rPr>
                <w:rFonts w:hint="eastAsia" w:ascii="宋体" w:hAnsi="宋体"/>
                <w:bCs/>
              </w:rPr>
              <w:t>采购要求</w:t>
            </w:r>
          </w:p>
        </w:tc>
        <w:tc>
          <w:tcPr>
            <w:tcW w:w="795" w:type="dxa"/>
            <w:vAlign w:val="center"/>
          </w:tcPr>
          <w:p w14:paraId="68BB7D21">
            <w:pPr>
              <w:jc w:val="center"/>
              <w:rPr>
                <w:rFonts w:ascii="宋体"/>
                <w:bCs/>
              </w:rPr>
            </w:pPr>
            <w:r>
              <w:rPr>
                <w:rFonts w:hint="eastAsia" w:ascii="宋体" w:hAnsi="宋体"/>
                <w:bCs/>
              </w:rPr>
              <w:t>投标响应</w:t>
            </w:r>
          </w:p>
        </w:tc>
        <w:tc>
          <w:tcPr>
            <w:tcW w:w="795" w:type="dxa"/>
            <w:vAlign w:val="center"/>
          </w:tcPr>
          <w:p w14:paraId="3075BEB6">
            <w:pPr>
              <w:jc w:val="center"/>
              <w:rPr>
                <w:rFonts w:ascii="宋体"/>
                <w:bCs/>
              </w:rPr>
            </w:pPr>
            <w:r>
              <w:rPr>
                <w:rFonts w:hint="eastAsia" w:ascii="宋体" w:hAnsi="宋体"/>
                <w:bCs/>
              </w:rPr>
              <w:t>偏离</w:t>
            </w:r>
          </w:p>
        </w:tc>
        <w:tc>
          <w:tcPr>
            <w:tcW w:w="687" w:type="dxa"/>
            <w:vAlign w:val="center"/>
          </w:tcPr>
          <w:p w14:paraId="7167941C">
            <w:pPr>
              <w:jc w:val="center"/>
              <w:rPr>
                <w:rFonts w:ascii="宋体"/>
                <w:bCs/>
              </w:rPr>
            </w:pPr>
            <w:r>
              <w:rPr>
                <w:rFonts w:hint="eastAsia" w:ascii="宋体" w:hAnsi="宋体"/>
                <w:bCs/>
              </w:rPr>
              <w:t>说明</w:t>
            </w:r>
          </w:p>
        </w:tc>
      </w:tr>
      <w:tr w14:paraId="30F25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516" w:type="dxa"/>
            <w:vMerge w:val="restart"/>
            <w:vAlign w:val="center"/>
          </w:tcPr>
          <w:p w14:paraId="3BE9E412">
            <w:pPr>
              <w:rPr>
                <w:rFonts w:ascii="宋体"/>
                <w:bCs/>
              </w:rPr>
            </w:pPr>
            <w:r>
              <w:rPr>
                <w:rFonts w:hint="eastAsia" w:ascii="宋体" w:hAnsi="宋体"/>
                <w:bCs/>
              </w:rPr>
              <w:t>商务条款</w:t>
            </w:r>
          </w:p>
        </w:tc>
        <w:tc>
          <w:tcPr>
            <w:tcW w:w="6345" w:type="dxa"/>
            <w:vAlign w:val="center"/>
          </w:tcPr>
          <w:p w14:paraId="77F9D5DF">
            <w:pPr>
              <w:spacing w:line="360" w:lineRule="auto"/>
              <w:outlineLvl w:val="1"/>
            </w:pPr>
            <w:r>
              <w:rPr>
                <w:rFonts w:hint="eastAsia" w:ascii="宋体" w:hAnsi="宋体"/>
                <w:b/>
              </w:rPr>
              <w:t>服务期</w:t>
            </w:r>
            <w:r>
              <w:rPr>
                <w:rFonts w:hint="eastAsia" w:ascii="宋体" w:hAnsi="宋体" w:cs="宋体"/>
                <w:bCs/>
              </w:rPr>
              <w:t>：自合同签订之日起至2025年12月31日止</w:t>
            </w:r>
            <w:r>
              <w:rPr>
                <w:rFonts w:hint="eastAsia" w:ascii="宋体" w:hAnsi="宋体"/>
                <w:bCs/>
              </w:rPr>
              <w:t>。</w:t>
            </w:r>
          </w:p>
        </w:tc>
        <w:tc>
          <w:tcPr>
            <w:tcW w:w="795" w:type="dxa"/>
            <w:vAlign w:val="center"/>
          </w:tcPr>
          <w:p w14:paraId="497167CC">
            <w:pPr>
              <w:jc w:val="center"/>
              <w:rPr>
                <w:rFonts w:ascii="宋体"/>
                <w:bCs/>
              </w:rPr>
            </w:pPr>
          </w:p>
        </w:tc>
        <w:tc>
          <w:tcPr>
            <w:tcW w:w="795" w:type="dxa"/>
            <w:vAlign w:val="center"/>
          </w:tcPr>
          <w:p w14:paraId="13A0F752">
            <w:pPr>
              <w:jc w:val="center"/>
              <w:rPr>
                <w:rFonts w:ascii="宋体"/>
                <w:bCs/>
              </w:rPr>
            </w:pPr>
          </w:p>
        </w:tc>
        <w:tc>
          <w:tcPr>
            <w:tcW w:w="687" w:type="dxa"/>
            <w:vAlign w:val="center"/>
          </w:tcPr>
          <w:p w14:paraId="5F7A3603">
            <w:pPr>
              <w:jc w:val="center"/>
              <w:rPr>
                <w:rFonts w:ascii="宋体"/>
                <w:bCs/>
              </w:rPr>
            </w:pPr>
          </w:p>
        </w:tc>
      </w:tr>
      <w:tr w14:paraId="5BE62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9" w:hRule="atLeast"/>
        </w:trPr>
        <w:tc>
          <w:tcPr>
            <w:tcW w:w="516" w:type="dxa"/>
            <w:vMerge w:val="continue"/>
            <w:vAlign w:val="center"/>
          </w:tcPr>
          <w:p w14:paraId="4F48DE61">
            <w:pPr>
              <w:jc w:val="center"/>
              <w:rPr>
                <w:rFonts w:ascii="宋体"/>
                <w:bCs/>
              </w:rPr>
            </w:pPr>
          </w:p>
        </w:tc>
        <w:tc>
          <w:tcPr>
            <w:tcW w:w="6345" w:type="dxa"/>
            <w:vAlign w:val="center"/>
          </w:tcPr>
          <w:p w14:paraId="7623024E">
            <w:pPr>
              <w:widowControl/>
              <w:snapToGrid w:val="0"/>
              <w:spacing w:line="360" w:lineRule="auto"/>
              <w:jc w:val="left"/>
              <w:rPr>
                <w:rFonts w:ascii="宋体" w:cs="宋体"/>
                <w:bCs/>
              </w:rPr>
            </w:pPr>
            <w:r>
              <w:rPr>
                <w:rFonts w:hint="eastAsia" w:ascii="宋体" w:hAnsi="宋体"/>
                <w:b/>
              </w:rPr>
              <w:t>资金结算</w:t>
            </w:r>
            <w:r>
              <w:rPr>
                <w:rFonts w:hint="eastAsia" w:ascii="宋体" w:hAnsi="宋体" w:cs="宋体"/>
                <w:bCs/>
              </w:rPr>
              <w:t>：</w:t>
            </w:r>
            <w:r>
              <w:rPr>
                <w:rFonts w:hint="eastAsia"/>
                <w:b/>
                <w:bCs/>
                <w:color w:val="000000" w:themeColor="text1"/>
              </w:rPr>
              <w:t>合同签订之日起7个工作日内支付合同款的50%；通过采购人组织的成果验收后7个工作日内支付项目合同余款。付款前成交供应商先开具增值税发票给采购人。</w:t>
            </w:r>
          </w:p>
        </w:tc>
        <w:tc>
          <w:tcPr>
            <w:tcW w:w="795" w:type="dxa"/>
            <w:vAlign w:val="center"/>
          </w:tcPr>
          <w:p w14:paraId="516E5159">
            <w:pPr>
              <w:jc w:val="center"/>
              <w:rPr>
                <w:rFonts w:ascii="宋体"/>
                <w:bCs/>
              </w:rPr>
            </w:pPr>
          </w:p>
        </w:tc>
        <w:tc>
          <w:tcPr>
            <w:tcW w:w="795" w:type="dxa"/>
            <w:vAlign w:val="center"/>
          </w:tcPr>
          <w:p w14:paraId="7EE25780">
            <w:pPr>
              <w:jc w:val="center"/>
              <w:rPr>
                <w:rFonts w:ascii="宋体"/>
                <w:bCs/>
              </w:rPr>
            </w:pPr>
          </w:p>
        </w:tc>
        <w:tc>
          <w:tcPr>
            <w:tcW w:w="687" w:type="dxa"/>
            <w:vAlign w:val="center"/>
          </w:tcPr>
          <w:p w14:paraId="32A836EF">
            <w:pPr>
              <w:jc w:val="center"/>
              <w:rPr>
                <w:rFonts w:ascii="宋体"/>
                <w:bCs/>
              </w:rPr>
            </w:pPr>
          </w:p>
        </w:tc>
      </w:tr>
      <w:tr w14:paraId="62222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516" w:type="dxa"/>
            <w:vMerge w:val="continue"/>
            <w:vAlign w:val="center"/>
          </w:tcPr>
          <w:p w14:paraId="1746485C">
            <w:pPr>
              <w:jc w:val="center"/>
              <w:rPr>
                <w:rFonts w:ascii="宋体"/>
                <w:bCs/>
              </w:rPr>
            </w:pPr>
          </w:p>
        </w:tc>
        <w:tc>
          <w:tcPr>
            <w:tcW w:w="6345" w:type="dxa"/>
            <w:vAlign w:val="center"/>
          </w:tcPr>
          <w:p w14:paraId="04169926">
            <w:pPr>
              <w:widowControl/>
              <w:snapToGrid w:val="0"/>
              <w:spacing w:line="360" w:lineRule="auto"/>
              <w:jc w:val="left"/>
              <w:rPr>
                <w:rFonts w:ascii="宋体" w:hAnsi="宋体"/>
                <w:b/>
              </w:rPr>
            </w:pPr>
            <w:r>
              <w:rPr>
                <w:rFonts w:hint="eastAsia" w:ascii="宋体" w:hAnsi="宋体"/>
                <w:b/>
              </w:rPr>
              <w:t>成果报告交付时间：</w:t>
            </w:r>
            <w:r>
              <w:rPr>
                <w:rFonts w:hint="eastAsia" w:ascii="宋体" w:hAnsi="宋体" w:cs="宋体"/>
                <w:bCs/>
              </w:rPr>
              <w:t>202</w:t>
            </w:r>
            <w:r>
              <w:rPr>
                <w:rFonts w:hint="eastAsia" w:ascii="宋体" w:hAnsi="宋体" w:cs="宋体"/>
                <w:bCs/>
                <w:lang w:val="en-US" w:eastAsia="zh-CN"/>
              </w:rPr>
              <w:t>5</w:t>
            </w:r>
            <w:r>
              <w:rPr>
                <w:rFonts w:hint="eastAsia" w:ascii="宋体" w:hAnsi="宋体" w:cs="宋体"/>
                <w:bCs/>
              </w:rPr>
              <w:t>年12月15日前。</w:t>
            </w:r>
          </w:p>
        </w:tc>
        <w:tc>
          <w:tcPr>
            <w:tcW w:w="795" w:type="dxa"/>
            <w:vAlign w:val="center"/>
          </w:tcPr>
          <w:p w14:paraId="62DD1D9D">
            <w:pPr>
              <w:jc w:val="center"/>
              <w:rPr>
                <w:rFonts w:ascii="宋体"/>
                <w:bCs/>
              </w:rPr>
            </w:pPr>
          </w:p>
        </w:tc>
        <w:tc>
          <w:tcPr>
            <w:tcW w:w="795" w:type="dxa"/>
            <w:vAlign w:val="center"/>
          </w:tcPr>
          <w:p w14:paraId="2FF0A8B1">
            <w:pPr>
              <w:jc w:val="center"/>
              <w:rPr>
                <w:rFonts w:ascii="宋体"/>
                <w:bCs/>
              </w:rPr>
            </w:pPr>
          </w:p>
        </w:tc>
        <w:tc>
          <w:tcPr>
            <w:tcW w:w="687" w:type="dxa"/>
            <w:vAlign w:val="center"/>
          </w:tcPr>
          <w:p w14:paraId="49944438">
            <w:pPr>
              <w:jc w:val="center"/>
              <w:rPr>
                <w:rFonts w:ascii="宋体"/>
                <w:bCs/>
              </w:rPr>
            </w:pPr>
          </w:p>
        </w:tc>
      </w:tr>
      <w:tr w14:paraId="2583C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516" w:type="dxa"/>
            <w:vMerge w:val="continue"/>
            <w:vAlign w:val="center"/>
          </w:tcPr>
          <w:p w14:paraId="36FF76D6">
            <w:pPr>
              <w:jc w:val="center"/>
              <w:rPr>
                <w:rFonts w:ascii="宋体"/>
                <w:bCs/>
              </w:rPr>
            </w:pPr>
          </w:p>
        </w:tc>
        <w:tc>
          <w:tcPr>
            <w:tcW w:w="6345" w:type="dxa"/>
            <w:vAlign w:val="center"/>
          </w:tcPr>
          <w:p w14:paraId="56487BA9">
            <w:pPr>
              <w:jc w:val="left"/>
              <w:rPr>
                <w:rFonts w:ascii="宋体"/>
                <w:bCs/>
              </w:rPr>
            </w:pPr>
            <w:r>
              <w:rPr>
                <w:rFonts w:hint="eastAsia" w:ascii="宋体" w:hAnsi="宋体"/>
                <w:b/>
              </w:rPr>
              <w:t>投标有效期：</w:t>
            </w:r>
            <w:r>
              <w:rPr>
                <w:rFonts w:hint="eastAsia" w:ascii="宋体" w:hAnsi="宋体"/>
                <w:bCs/>
              </w:rPr>
              <w:t>不少于</w:t>
            </w:r>
            <w:r>
              <w:rPr>
                <w:rFonts w:ascii="宋体" w:hAnsi="宋体"/>
                <w:bCs/>
              </w:rPr>
              <w:t>90</w:t>
            </w:r>
            <w:r>
              <w:rPr>
                <w:rFonts w:hint="eastAsia" w:ascii="宋体" w:hAnsi="宋体"/>
                <w:bCs/>
              </w:rPr>
              <w:t>日历天</w:t>
            </w:r>
          </w:p>
        </w:tc>
        <w:tc>
          <w:tcPr>
            <w:tcW w:w="795" w:type="dxa"/>
            <w:vAlign w:val="center"/>
          </w:tcPr>
          <w:p w14:paraId="58C6D1F1">
            <w:pPr>
              <w:jc w:val="center"/>
              <w:rPr>
                <w:rFonts w:ascii="宋体"/>
                <w:bCs/>
              </w:rPr>
            </w:pPr>
          </w:p>
        </w:tc>
        <w:tc>
          <w:tcPr>
            <w:tcW w:w="795" w:type="dxa"/>
            <w:vAlign w:val="center"/>
          </w:tcPr>
          <w:p w14:paraId="5E1DAD82">
            <w:pPr>
              <w:jc w:val="center"/>
              <w:rPr>
                <w:rFonts w:ascii="宋体"/>
                <w:bCs/>
              </w:rPr>
            </w:pPr>
          </w:p>
        </w:tc>
        <w:tc>
          <w:tcPr>
            <w:tcW w:w="687" w:type="dxa"/>
            <w:vAlign w:val="center"/>
          </w:tcPr>
          <w:p w14:paraId="73CB254B">
            <w:pPr>
              <w:jc w:val="center"/>
              <w:rPr>
                <w:rFonts w:ascii="宋体"/>
                <w:bCs/>
              </w:rPr>
            </w:pPr>
          </w:p>
        </w:tc>
      </w:tr>
      <w:tr w14:paraId="5C265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516" w:type="dxa"/>
            <w:vMerge w:val="continue"/>
            <w:vAlign w:val="center"/>
          </w:tcPr>
          <w:p w14:paraId="60644C14">
            <w:pPr>
              <w:jc w:val="center"/>
              <w:rPr>
                <w:rFonts w:ascii="宋体"/>
                <w:bCs/>
              </w:rPr>
            </w:pPr>
          </w:p>
        </w:tc>
        <w:tc>
          <w:tcPr>
            <w:tcW w:w="6345" w:type="dxa"/>
            <w:vAlign w:val="center"/>
          </w:tcPr>
          <w:p w14:paraId="546CFB38">
            <w:pPr>
              <w:jc w:val="left"/>
              <w:rPr>
                <w:rFonts w:ascii="宋体" w:hAnsi="宋体"/>
                <w:b/>
              </w:rPr>
            </w:pPr>
            <w:r>
              <w:rPr>
                <w:rFonts w:hint="eastAsia" w:ascii="宋体" w:hAnsi="宋体"/>
                <w:bCs/>
              </w:rPr>
              <w:t>合同条款要求</w:t>
            </w:r>
          </w:p>
        </w:tc>
        <w:tc>
          <w:tcPr>
            <w:tcW w:w="795" w:type="dxa"/>
            <w:vAlign w:val="center"/>
          </w:tcPr>
          <w:p w14:paraId="3D410425">
            <w:pPr>
              <w:jc w:val="center"/>
              <w:rPr>
                <w:rFonts w:ascii="宋体"/>
                <w:bCs/>
              </w:rPr>
            </w:pPr>
          </w:p>
        </w:tc>
        <w:tc>
          <w:tcPr>
            <w:tcW w:w="795" w:type="dxa"/>
            <w:vAlign w:val="center"/>
          </w:tcPr>
          <w:p w14:paraId="15F1EED4">
            <w:pPr>
              <w:jc w:val="center"/>
              <w:rPr>
                <w:rFonts w:ascii="宋体"/>
                <w:bCs/>
              </w:rPr>
            </w:pPr>
          </w:p>
        </w:tc>
        <w:tc>
          <w:tcPr>
            <w:tcW w:w="687" w:type="dxa"/>
            <w:vAlign w:val="center"/>
          </w:tcPr>
          <w:p w14:paraId="1D011E97">
            <w:pPr>
              <w:jc w:val="center"/>
              <w:rPr>
                <w:rFonts w:ascii="宋体"/>
                <w:bCs/>
              </w:rPr>
            </w:pPr>
          </w:p>
        </w:tc>
      </w:tr>
      <w:tr w14:paraId="3EB88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516" w:type="dxa"/>
            <w:vMerge w:val="continue"/>
            <w:vAlign w:val="center"/>
          </w:tcPr>
          <w:p w14:paraId="7E5B68B8">
            <w:pPr>
              <w:jc w:val="center"/>
              <w:rPr>
                <w:rFonts w:ascii="宋体"/>
                <w:bCs/>
              </w:rPr>
            </w:pPr>
          </w:p>
        </w:tc>
        <w:tc>
          <w:tcPr>
            <w:tcW w:w="6345" w:type="dxa"/>
            <w:vAlign w:val="center"/>
          </w:tcPr>
          <w:p w14:paraId="354E9745">
            <w:pPr>
              <w:jc w:val="left"/>
              <w:rPr>
                <w:rFonts w:ascii="宋体"/>
                <w:bCs/>
              </w:rPr>
            </w:pPr>
            <w:r>
              <w:rPr>
                <w:rFonts w:hint="eastAsia" w:ascii="宋体" w:hAnsi="宋体"/>
                <w:bCs/>
              </w:rPr>
              <w:t>报价内容涵盖报价要求之一切费用和伴随服务</w:t>
            </w:r>
          </w:p>
        </w:tc>
        <w:tc>
          <w:tcPr>
            <w:tcW w:w="795" w:type="dxa"/>
            <w:vAlign w:val="center"/>
          </w:tcPr>
          <w:p w14:paraId="2D4FBC26">
            <w:pPr>
              <w:jc w:val="center"/>
              <w:rPr>
                <w:rFonts w:ascii="宋体"/>
                <w:bCs/>
              </w:rPr>
            </w:pPr>
          </w:p>
        </w:tc>
        <w:tc>
          <w:tcPr>
            <w:tcW w:w="795" w:type="dxa"/>
            <w:vAlign w:val="center"/>
          </w:tcPr>
          <w:p w14:paraId="6648FE67">
            <w:pPr>
              <w:jc w:val="center"/>
              <w:rPr>
                <w:rFonts w:ascii="宋体"/>
                <w:bCs/>
              </w:rPr>
            </w:pPr>
          </w:p>
        </w:tc>
        <w:tc>
          <w:tcPr>
            <w:tcW w:w="687" w:type="dxa"/>
            <w:vAlign w:val="center"/>
          </w:tcPr>
          <w:p w14:paraId="5801DE54">
            <w:pPr>
              <w:jc w:val="center"/>
              <w:rPr>
                <w:rFonts w:ascii="宋体"/>
                <w:bCs/>
              </w:rPr>
            </w:pPr>
          </w:p>
        </w:tc>
      </w:tr>
      <w:tr w14:paraId="4F429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516" w:type="dxa"/>
            <w:vMerge w:val="continue"/>
            <w:vAlign w:val="center"/>
          </w:tcPr>
          <w:p w14:paraId="369590AD">
            <w:pPr>
              <w:jc w:val="center"/>
              <w:rPr>
                <w:rFonts w:ascii="宋体"/>
                <w:bCs/>
              </w:rPr>
            </w:pPr>
          </w:p>
        </w:tc>
        <w:tc>
          <w:tcPr>
            <w:tcW w:w="6345" w:type="dxa"/>
            <w:vAlign w:val="center"/>
          </w:tcPr>
          <w:p w14:paraId="1ADAD91A">
            <w:pPr>
              <w:jc w:val="left"/>
              <w:rPr>
                <w:rFonts w:ascii="宋体"/>
                <w:bCs/>
              </w:rPr>
            </w:pPr>
            <w:r>
              <w:rPr>
                <w:rFonts w:hint="eastAsia" w:ascii="宋体" w:hAnsi="宋体"/>
                <w:bCs/>
              </w:rPr>
              <w:t>其他商务条款偏离情况</w:t>
            </w:r>
          </w:p>
        </w:tc>
        <w:tc>
          <w:tcPr>
            <w:tcW w:w="795" w:type="dxa"/>
            <w:vAlign w:val="center"/>
          </w:tcPr>
          <w:p w14:paraId="5A93F6A6">
            <w:pPr>
              <w:jc w:val="center"/>
              <w:rPr>
                <w:rFonts w:ascii="宋体"/>
                <w:bCs/>
              </w:rPr>
            </w:pPr>
          </w:p>
        </w:tc>
        <w:tc>
          <w:tcPr>
            <w:tcW w:w="795" w:type="dxa"/>
            <w:vAlign w:val="center"/>
          </w:tcPr>
          <w:p w14:paraId="13FAC1FB">
            <w:pPr>
              <w:jc w:val="center"/>
              <w:rPr>
                <w:rFonts w:ascii="宋体"/>
                <w:bCs/>
              </w:rPr>
            </w:pPr>
          </w:p>
        </w:tc>
        <w:tc>
          <w:tcPr>
            <w:tcW w:w="687" w:type="dxa"/>
            <w:vAlign w:val="center"/>
          </w:tcPr>
          <w:p w14:paraId="17FFB86C">
            <w:pPr>
              <w:jc w:val="center"/>
              <w:rPr>
                <w:rFonts w:ascii="宋体"/>
                <w:bCs/>
              </w:rPr>
            </w:pPr>
          </w:p>
        </w:tc>
      </w:tr>
      <w:tr w14:paraId="7DBA9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516" w:type="dxa"/>
            <w:vMerge w:val="continue"/>
            <w:vAlign w:val="center"/>
          </w:tcPr>
          <w:p w14:paraId="7D447CAE">
            <w:pPr>
              <w:jc w:val="center"/>
              <w:rPr>
                <w:rFonts w:ascii="宋体"/>
                <w:bCs/>
              </w:rPr>
            </w:pPr>
          </w:p>
        </w:tc>
        <w:tc>
          <w:tcPr>
            <w:tcW w:w="6345" w:type="dxa"/>
            <w:vAlign w:val="center"/>
          </w:tcPr>
          <w:p w14:paraId="12361858">
            <w:pPr>
              <w:jc w:val="center"/>
              <w:rPr>
                <w:rFonts w:ascii="宋体"/>
                <w:bCs/>
              </w:rPr>
            </w:pPr>
            <w:r>
              <w:rPr>
                <w:rFonts w:hint="eastAsia" w:ascii="宋体"/>
                <w:bCs/>
              </w:rPr>
              <w:t>……</w:t>
            </w:r>
          </w:p>
        </w:tc>
        <w:tc>
          <w:tcPr>
            <w:tcW w:w="795" w:type="dxa"/>
            <w:vAlign w:val="center"/>
          </w:tcPr>
          <w:p w14:paraId="3972F9D4">
            <w:pPr>
              <w:jc w:val="center"/>
              <w:rPr>
                <w:rFonts w:ascii="宋体"/>
                <w:bCs/>
              </w:rPr>
            </w:pPr>
          </w:p>
        </w:tc>
        <w:tc>
          <w:tcPr>
            <w:tcW w:w="795" w:type="dxa"/>
            <w:vAlign w:val="center"/>
          </w:tcPr>
          <w:p w14:paraId="05824414">
            <w:pPr>
              <w:jc w:val="center"/>
              <w:rPr>
                <w:rFonts w:ascii="宋体"/>
                <w:bCs/>
              </w:rPr>
            </w:pPr>
          </w:p>
        </w:tc>
        <w:tc>
          <w:tcPr>
            <w:tcW w:w="687" w:type="dxa"/>
            <w:vAlign w:val="center"/>
          </w:tcPr>
          <w:p w14:paraId="34CC530F">
            <w:pPr>
              <w:jc w:val="center"/>
              <w:rPr>
                <w:rFonts w:ascii="宋体"/>
                <w:bCs/>
              </w:rPr>
            </w:pPr>
          </w:p>
        </w:tc>
      </w:tr>
      <w:tr w14:paraId="537D8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516" w:type="dxa"/>
            <w:vMerge w:val="continue"/>
            <w:vAlign w:val="center"/>
          </w:tcPr>
          <w:p w14:paraId="4F0A663C">
            <w:pPr>
              <w:jc w:val="center"/>
              <w:rPr>
                <w:rFonts w:ascii="宋体"/>
                <w:bCs/>
              </w:rPr>
            </w:pPr>
          </w:p>
        </w:tc>
        <w:tc>
          <w:tcPr>
            <w:tcW w:w="6345" w:type="dxa"/>
            <w:vAlign w:val="center"/>
          </w:tcPr>
          <w:p w14:paraId="520F6295">
            <w:pPr>
              <w:jc w:val="center"/>
              <w:rPr>
                <w:rFonts w:ascii="宋体"/>
                <w:bCs/>
              </w:rPr>
            </w:pPr>
          </w:p>
        </w:tc>
        <w:tc>
          <w:tcPr>
            <w:tcW w:w="795" w:type="dxa"/>
            <w:vAlign w:val="center"/>
          </w:tcPr>
          <w:p w14:paraId="7BE82548">
            <w:pPr>
              <w:jc w:val="center"/>
              <w:rPr>
                <w:rFonts w:ascii="宋体"/>
                <w:bCs/>
              </w:rPr>
            </w:pPr>
          </w:p>
        </w:tc>
        <w:tc>
          <w:tcPr>
            <w:tcW w:w="795" w:type="dxa"/>
            <w:vAlign w:val="center"/>
          </w:tcPr>
          <w:p w14:paraId="601181B8">
            <w:pPr>
              <w:jc w:val="center"/>
              <w:rPr>
                <w:rFonts w:ascii="宋体"/>
                <w:bCs/>
              </w:rPr>
            </w:pPr>
          </w:p>
        </w:tc>
        <w:tc>
          <w:tcPr>
            <w:tcW w:w="687" w:type="dxa"/>
            <w:vAlign w:val="center"/>
          </w:tcPr>
          <w:p w14:paraId="28A2E39E">
            <w:pPr>
              <w:jc w:val="center"/>
              <w:rPr>
                <w:rFonts w:ascii="宋体"/>
                <w:bCs/>
              </w:rPr>
            </w:pPr>
          </w:p>
        </w:tc>
      </w:tr>
    </w:tbl>
    <w:p w14:paraId="1FCA7680">
      <w:pPr>
        <w:autoSpaceDE w:val="0"/>
        <w:autoSpaceDN w:val="0"/>
        <w:adjustRightInd w:val="0"/>
        <w:spacing w:line="360" w:lineRule="auto"/>
        <w:jc w:val="center"/>
        <w:rPr>
          <w:rFonts w:ascii="宋体" w:cs="宋体"/>
          <w:lang w:val="zh-CN"/>
        </w:rPr>
      </w:pPr>
      <w:r>
        <w:rPr>
          <w:rFonts w:hint="eastAsia" w:ascii="宋体" w:hAnsi="宋体" w:cs="宋体"/>
          <w:lang w:val="zh-CN"/>
        </w:rPr>
        <w:t>投标人（公章）：</w:t>
      </w:r>
    </w:p>
    <w:p w14:paraId="3A796B6A">
      <w:pPr>
        <w:autoSpaceDE w:val="0"/>
        <w:autoSpaceDN w:val="0"/>
        <w:adjustRightInd w:val="0"/>
        <w:spacing w:line="360" w:lineRule="auto"/>
        <w:ind w:right="502" w:rightChars="239"/>
        <w:jc w:val="right"/>
        <w:rPr>
          <w:rFonts w:ascii="宋体" w:cs="宋体"/>
          <w:lang w:val="zh-CN"/>
        </w:rPr>
      </w:pPr>
      <w:r>
        <w:rPr>
          <w:rFonts w:hint="eastAsia" w:ascii="宋体" w:hAnsi="宋体" w:cs="宋体"/>
          <w:lang w:val="zh-CN"/>
        </w:rPr>
        <w:t>法定代表人（签字或盖章）：</w:t>
      </w:r>
    </w:p>
    <w:p w14:paraId="618E0B5B">
      <w:pPr>
        <w:autoSpaceDE w:val="0"/>
        <w:autoSpaceDN w:val="0"/>
        <w:adjustRightInd w:val="0"/>
        <w:spacing w:line="360" w:lineRule="auto"/>
        <w:ind w:firstLine="7035" w:firstLineChars="3350"/>
        <w:jc w:val="left"/>
        <w:rPr>
          <w:rFonts w:ascii="宋体" w:hAnsi="宋体" w:cs="宋体"/>
          <w:lang w:val="zh-CN"/>
        </w:rPr>
      </w:pPr>
      <w:r>
        <w:rPr>
          <w:rFonts w:hint="eastAsia" w:ascii="宋体" w:hAnsi="宋体" w:cs="宋体"/>
          <w:lang w:val="zh-CN"/>
        </w:rPr>
        <w:t>年月日</w:t>
      </w:r>
    </w:p>
    <w:p w14:paraId="3C671E36">
      <w:pPr>
        <w:pStyle w:val="163"/>
        <w:spacing w:line="400" w:lineRule="atLeast"/>
        <w:ind w:left="537" w:hanging="537" w:hangingChars="243"/>
        <w:rPr>
          <w:rFonts w:hAnsi="宋体" w:eastAsia="宋体"/>
          <w:b/>
          <w:sz w:val="22"/>
          <w:szCs w:val="22"/>
        </w:rPr>
      </w:pPr>
      <w:r>
        <w:rPr>
          <w:rFonts w:hAnsi="宋体" w:eastAsia="宋体"/>
          <w:b/>
          <w:sz w:val="22"/>
          <w:szCs w:val="22"/>
        </w:rPr>
        <w:t>注： 如有偏离，必须在偏离表中进行详细对比说明并注明正偏离（负偏离），如此表不填或填写为无偏离或不说明偏离情况，视为完全响应招标文件要求。</w:t>
      </w:r>
    </w:p>
    <w:p w14:paraId="0E1AA3CD">
      <w:pPr>
        <w:pStyle w:val="110"/>
      </w:pPr>
    </w:p>
    <w:p w14:paraId="136217A9">
      <w:pPr>
        <w:spacing w:line="360" w:lineRule="auto"/>
        <w:rPr>
          <w:rFonts w:ascii="Times New Roman" w:hAnsi="Times New Roman" w:cs="宋体"/>
          <w:b/>
          <w:bCs/>
          <w:spacing w:val="-4"/>
          <w:kern w:val="0"/>
          <w:lang w:val="zh-CN"/>
        </w:rPr>
      </w:pPr>
    </w:p>
    <w:p w14:paraId="336F746E">
      <w:pPr>
        <w:spacing w:line="360" w:lineRule="auto"/>
        <w:rPr>
          <w:rFonts w:ascii="Times New Roman" w:hAnsi="Times New Roman" w:cs="宋体"/>
          <w:b/>
          <w:bCs/>
          <w:spacing w:val="-4"/>
          <w:kern w:val="0"/>
          <w:lang w:val="zh-CN"/>
        </w:rPr>
      </w:pPr>
    </w:p>
    <w:p w14:paraId="56E6AEE0">
      <w:pPr>
        <w:spacing w:line="360" w:lineRule="auto"/>
        <w:jc w:val="center"/>
        <w:rPr>
          <w:rFonts w:ascii="Times New Roman" w:hAnsi="Times New Roman" w:cs="宋体"/>
          <w:b/>
          <w:bCs/>
          <w:spacing w:val="-4"/>
          <w:kern w:val="0"/>
          <w:lang w:val="zh-CN"/>
        </w:rPr>
      </w:pPr>
      <w:r>
        <w:rPr>
          <w:rFonts w:hint="eastAsia" w:ascii="Times New Roman" w:hAnsi="Times New Roman" w:cs="宋体"/>
          <w:b/>
          <w:bCs/>
          <w:spacing w:val="-4"/>
          <w:kern w:val="0"/>
        </w:rPr>
        <w:t>10、</w:t>
      </w:r>
      <w:r>
        <w:rPr>
          <w:rFonts w:hint="eastAsia" w:ascii="Times New Roman" w:hAnsi="Times New Roman" w:cs="宋体"/>
          <w:b/>
          <w:bCs/>
          <w:spacing w:val="-4"/>
          <w:kern w:val="0"/>
          <w:lang w:val="zh-CN"/>
        </w:rPr>
        <w:t>认为需要的其他技术文件或说明</w:t>
      </w:r>
    </w:p>
    <w:p w14:paraId="31387939">
      <w:pPr>
        <w:ind w:firstLine="210" w:firstLineChars="100"/>
        <w:jc w:val="center"/>
        <w:rPr>
          <w:rFonts w:ascii="Times New Roman" w:hAnsi="Times New Roman" w:cs="Times New Roman"/>
          <w:color w:val="000000" w:themeColor="text1"/>
        </w:rPr>
      </w:pPr>
      <w:r>
        <w:rPr>
          <w:rFonts w:hint="eastAsia" w:ascii="Times New Roman" w:hAnsi="Times New Roman" w:cs="Times New Roman"/>
          <w:color w:val="000000" w:themeColor="text1"/>
        </w:rPr>
        <w:t>如</w:t>
      </w:r>
      <w:r>
        <w:rPr>
          <w:rFonts w:hint="eastAsia" w:ascii="Times New Roman" w:hAnsi="Times New Roman"/>
        </w:rPr>
        <w:t>保密制度</w:t>
      </w:r>
      <w:r>
        <w:rPr>
          <w:rFonts w:hint="eastAsia" w:ascii="Times New Roman" w:hAnsi="Times New Roman" w:cs="Times New Roman"/>
          <w:color w:val="000000" w:themeColor="text1"/>
        </w:rPr>
        <w:t>、</w:t>
      </w:r>
      <w:r>
        <w:rPr>
          <w:rFonts w:hint="eastAsia" w:ascii="Times New Roman" w:hAnsi="Times New Roman"/>
          <w:lang w:val="en-GB"/>
        </w:rPr>
        <w:t>成果保障措施</w:t>
      </w:r>
      <w:r>
        <w:rPr>
          <w:rFonts w:hint="eastAsia" w:ascii="Times New Roman" w:hAnsi="Times New Roman" w:cs="Times New Roman"/>
          <w:color w:val="000000" w:themeColor="text1"/>
        </w:rPr>
        <w:t>、</w:t>
      </w:r>
      <w:r>
        <w:rPr>
          <w:rFonts w:hint="eastAsia" w:ascii="Times New Roman" w:hAnsi="Times New Roman" w:cs="Times New Roman"/>
          <w:color w:val="000000"/>
        </w:rPr>
        <w:t>进度安排</w:t>
      </w:r>
      <w:r>
        <w:rPr>
          <w:rFonts w:hint="eastAsia" w:ascii="Times New Roman" w:hAnsi="Times New Roman" w:cs="Times New Roman"/>
          <w:color w:val="000000" w:themeColor="text1"/>
        </w:rPr>
        <w:t>等</w:t>
      </w:r>
    </w:p>
    <w:p w14:paraId="7979FB29">
      <w:pPr>
        <w:ind w:firstLine="210" w:firstLineChars="100"/>
        <w:jc w:val="center"/>
        <w:rPr>
          <w:rFonts w:ascii="Times New Roman" w:hAnsi="Times New Roman" w:cs="Times New Roman"/>
          <w:color w:val="000000" w:themeColor="text1"/>
        </w:rPr>
      </w:pPr>
      <w:r>
        <w:rPr>
          <w:rFonts w:hint="eastAsia" w:ascii="Times New Roman" w:hAnsi="Times New Roman" w:cs="Times New Roman"/>
          <w:color w:val="000000" w:themeColor="text1"/>
        </w:rPr>
        <w:t>（由投标人根据采购需求及评分标准自行编制）</w:t>
      </w:r>
    </w:p>
    <w:p w14:paraId="4366C2CD">
      <w:pPr>
        <w:spacing w:line="360" w:lineRule="auto"/>
        <w:jc w:val="center"/>
        <w:rPr>
          <w:rFonts w:ascii="仿宋_GB2312" w:hAnsi="仿宋" w:eastAsia="仿宋_GB2312" w:cs="仿宋_GB2312"/>
          <w:sz w:val="24"/>
        </w:rPr>
      </w:pPr>
    </w:p>
    <w:p w14:paraId="2B6E8722">
      <w:pPr>
        <w:ind w:firstLine="210" w:firstLineChars="100"/>
        <w:jc w:val="center"/>
        <w:rPr>
          <w:rFonts w:ascii="Times New Roman" w:hAnsi="Times New Roman" w:cs="Times New Roman"/>
          <w:color w:val="000000" w:themeColor="text1"/>
        </w:rPr>
      </w:pPr>
      <w:r>
        <w:rPr>
          <w:rFonts w:ascii="Times New Roman" w:hAnsi="Times New Roman" w:cs="Times New Roman"/>
          <w:color w:val="000000" w:themeColor="text1"/>
        </w:rPr>
        <w:t>投标人（盖章）：</w:t>
      </w:r>
    </w:p>
    <w:p w14:paraId="2B77F74C">
      <w:pPr>
        <w:ind w:firstLine="199" w:firstLineChars="95"/>
        <w:jc w:val="center"/>
        <w:rPr>
          <w:rFonts w:ascii="Times New Roman" w:hAnsi="Times New Roman" w:cs="Times New Roman"/>
          <w:color w:val="000000" w:themeColor="text1"/>
        </w:rPr>
      </w:pPr>
    </w:p>
    <w:p w14:paraId="16925EE5">
      <w:pPr>
        <w:ind w:firstLine="199" w:firstLineChars="95"/>
        <w:jc w:val="center"/>
        <w:rPr>
          <w:rFonts w:ascii="Times New Roman" w:hAnsi="Times New Roman" w:cs="Times New Roman"/>
          <w:color w:val="000000" w:themeColor="text1"/>
        </w:rPr>
      </w:pPr>
      <w:r>
        <w:rPr>
          <w:rFonts w:ascii="Times New Roman" w:hAnsi="Times New Roman" w:cs="Times New Roman"/>
          <w:color w:val="000000" w:themeColor="text1"/>
        </w:rPr>
        <w:t>日期：</w:t>
      </w:r>
    </w:p>
    <w:p w14:paraId="3D58B759">
      <w:pPr>
        <w:snapToGrid w:val="0"/>
        <w:spacing w:before="50" w:afterLines="50" w:line="400" w:lineRule="exact"/>
        <w:rPr>
          <w:rFonts w:ascii="宋体"/>
          <w:b/>
          <w:bCs/>
        </w:rPr>
      </w:pPr>
      <w:r>
        <w:rPr>
          <w:rFonts w:hint="eastAsia" w:hAnsi="宋体"/>
          <w:b/>
          <w:bCs/>
          <w:spacing w:val="-4"/>
        </w:rPr>
        <w:t>11</w:t>
      </w:r>
      <w:r>
        <w:rPr>
          <w:rFonts w:hint="eastAsia" w:ascii="宋体" w:hAnsi="宋体"/>
          <w:b/>
          <w:bCs/>
        </w:rPr>
        <w:t>、投标报价一览表</w:t>
      </w:r>
    </w:p>
    <w:p w14:paraId="6E3A39BF">
      <w:pPr>
        <w:snapToGrid w:val="0"/>
        <w:spacing w:before="50" w:after="50" w:line="360" w:lineRule="exact"/>
        <w:jc w:val="center"/>
        <w:rPr>
          <w:rFonts w:ascii="Times New Roman" w:hAnsi="Times New Roman" w:eastAsia="仿宋_GB2312" w:cs="Times New Roman"/>
          <w:b/>
          <w:bCs/>
          <w:color w:val="000000" w:themeColor="text1"/>
          <w:sz w:val="28"/>
          <w:szCs w:val="28"/>
        </w:rPr>
      </w:pPr>
      <w:r>
        <w:rPr>
          <w:rFonts w:ascii="Times New Roman" w:hAnsi="Times New Roman" w:eastAsia="仿宋_GB2312" w:cs="Times New Roman"/>
          <w:b/>
          <w:bCs/>
          <w:color w:val="000000" w:themeColor="text1"/>
          <w:sz w:val="28"/>
          <w:szCs w:val="28"/>
        </w:rPr>
        <w:t>报价一览表</w:t>
      </w:r>
    </w:p>
    <w:p w14:paraId="065B6661">
      <w:pPr>
        <w:pStyle w:val="4"/>
        <w:rPr>
          <w:rFonts w:ascii="Times New Roman" w:hAnsi="Times New Roman" w:cs="Times New Roman"/>
          <w:color w:val="000000" w:themeColor="text1"/>
        </w:rPr>
      </w:pPr>
    </w:p>
    <w:p w14:paraId="48A84F65">
      <w:pPr>
        <w:snapToGrid w:val="0"/>
        <w:spacing w:before="50" w:after="50" w:line="360" w:lineRule="exact"/>
        <w:ind w:firstLine="840" w:firstLineChars="400"/>
        <w:jc w:val="left"/>
        <w:rPr>
          <w:rFonts w:ascii="Times New Roman" w:hAnsi="Times New Roman" w:cs="Times New Roman"/>
          <w:color w:val="000000" w:themeColor="text1"/>
        </w:rPr>
      </w:pPr>
      <w:r>
        <w:rPr>
          <w:rFonts w:ascii="Times New Roman" w:hAnsi="Times New Roman" w:cs="Times New Roman"/>
          <w:color w:val="000000" w:themeColor="text1"/>
        </w:rPr>
        <w:t>招标文件编号：</w:t>
      </w:r>
    </w:p>
    <w:tbl>
      <w:tblPr>
        <w:tblStyle w:val="24"/>
        <w:tblW w:w="9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538"/>
        <w:gridCol w:w="855"/>
        <w:gridCol w:w="856"/>
        <w:gridCol w:w="3957"/>
      </w:tblGrid>
      <w:tr w14:paraId="3DB85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6" w:type="dxa"/>
            <w:tcBorders>
              <w:top w:val="single" w:color="auto" w:sz="4" w:space="0"/>
              <w:left w:val="single" w:color="auto" w:sz="4" w:space="0"/>
              <w:bottom w:val="single" w:color="auto" w:sz="4" w:space="0"/>
              <w:right w:val="single" w:color="auto" w:sz="4" w:space="0"/>
            </w:tcBorders>
            <w:noWrap/>
            <w:vAlign w:val="center"/>
          </w:tcPr>
          <w:p w14:paraId="4145C7A9">
            <w:pPr>
              <w:spacing w:line="400" w:lineRule="exact"/>
              <w:jc w:val="center"/>
              <w:rPr>
                <w:rFonts w:ascii="宋体" w:hAnsi="宋体" w:cs="宋体"/>
              </w:rPr>
            </w:pPr>
            <w:r>
              <w:rPr>
                <w:rFonts w:hint="eastAsia" w:ascii="宋体" w:hAnsi="宋体" w:cs="宋体"/>
              </w:rPr>
              <w:t>序号</w:t>
            </w:r>
          </w:p>
        </w:tc>
        <w:tc>
          <w:tcPr>
            <w:tcW w:w="2538" w:type="dxa"/>
            <w:tcBorders>
              <w:top w:val="single" w:color="auto" w:sz="4" w:space="0"/>
              <w:left w:val="single" w:color="auto" w:sz="4" w:space="0"/>
              <w:bottom w:val="single" w:color="auto" w:sz="4" w:space="0"/>
              <w:right w:val="single" w:color="auto" w:sz="4" w:space="0"/>
            </w:tcBorders>
            <w:noWrap/>
            <w:vAlign w:val="center"/>
          </w:tcPr>
          <w:p w14:paraId="402D812B">
            <w:pPr>
              <w:spacing w:line="400" w:lineRule="exact"/>
              <w:jc w:val="center"/>
              <w:rPr>
                <w:rFonts w:ascii="宋体" w:hAnsi="宋体" w:cs="宋体"/>
              </w:rPr>
            </w:pPr>
            <w:r>
              <w:rPr>
                <w:rFonts w:hint="eastAsia" w:ascii="宋体" w:hAnsi="宋体" w:cs="宋体"/>
              </w:rPr>
              <w:t>项目名称</w:t>
            </w:r>
          </w:p>
        </w:tc>
        <w:tc>
          <w:tcPr>
            <w:tcW w:w="855" w:type="dxa"/>
            <w:tcBorders>
              <w:top w:val="single" w:color="auto" w:sz="4" w:space="0"/>
              <w:left w:val="single" w:color="auto" w:sz="4" w:space="0"/>
              <w:bottom w:val="single" w:color="auto" w:sz="4" w:space="0"/>
              <w:right w:val="single" w:color="auto" w:sz="4" w:space="0"/>
            </w:tcBorders>
            <w:noWrap/>
            <w:vAlign w:val="center"/>
          </w:tcPr>
          <w:p w14:paraId="3877546A">
            <w:pPr>
              <w:spacing w:line="400" w:lineRule="exact"/>
              <w:jc w:val="center"/>
              <w:rPr>
                <w:rFonts w:ascii="宋体" w:hAnsi="宋体" w:cs="宋体"/>
              </w:rPr>
            </w:pPr>
            <w:r>
              <w:rPr>
                <w:rFonts w:hint="eastAsia" w:ascii="宋体" w:hAnsi="宋体" w:cs="宋体"/>
              </w:rPr>
              <w:t>数量</w:t>
            </w:r>
          </w:p>
        </w:tc>
        <w:tc>
          <w:tcPr>
            <w:tcW w:w="856" w:type="dxa"/>
            <w:tcBorders>
              <w:top w:val="single" w:color="auto" w:sz="4" w:space="0"/>
              <w:left w:val="single" w:color="auto" w:sz="4" w:space="0"/>
              <w:bottom w:val="single" w:color="auto" w:sz="4" w:space="0"/>
              <w:right w:val="single" w:color="auto" w:sz="4" w:space="0"/>
            </w:tcBorders>
            <w:noWrap/>
            <w:vAlign w:val="center"/>
          </w:tcPr>
          <w:p w14:paraId="13107BB6">
            <w:pPr>
              <w:spacing w:line="400" w:lineRule="exact"/>
              <w:jc w:val="center"/>
              <w:rPr>
                <w:rFonts w:ascii="宋体" w:hAnsi="宋体" w:cs="宋体"/>
              </w:rPr>
            </w:pPr>
            <w:r>
              <w:rPr>
                <w:rFonts w:hint="eastAsia" w:ascii="宋体" w:hAnsi="宋体" w:cs="宋体"/>
              </w:rPr>
              <w:t>单位</w:t>
            </w:r>
          </w:p>
        </w:tc>
        <w:tc>
          <w:tcPr>
            <w:tcW w:w="3957" w:type="dxa"/>
            <w:tcBorders>
              <w:top w:val="single" w:color="auto" w:sz="4" w:space="0"/>
              <w:left w:val="single" w:color="auto" w:sz="4" w:space="0"/>
              <w:bottom w:val="single" w:color="auto" w:sz="4" w:space="0"/>
              <w:right w:val="single" w:color="auto" w:sz="4" w:space="0"/>
            </w:tcBorders>
            <w:noWrap/>
            <w:vAlign w:val="center"/>
          </w:tcPr>
          <w:p w14:paraId="5EA21B6F">
            <w:pPr>
              <w:spacing w:line="400" w:lineRule="exact"/>
              <w:jc w:val="center"/>
              <w:rPr>
                <w:rFonts w:ascii="宋体" w:hAnsi="宋体" w:cs="宋体"/>
              </w:rPr>
            </w:pPr>
            <w:r>
              <w:rPr>
                <w:rFonts w:hint="eastAsia" w:ascii="宋体" w:hAnsi="宋体" w:cs="宋体"/>
              </w:rPr>
              <w:t>投标总价报价（人民币）</w:t>
            </w:r>
          </w:p>
        </w:tc>
      </w:tr>
      <w:tr w14:paraId="3F129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6" w:type="dxa"/>
            <w:vMerge w:val="restart"/>
            <w:tcBorders>
              <w:top w:val="single" w:color="auto" w:sz="4" w:space="0"/>
              <w:left w:val="single" w:color="auto" w:sz="4" w:space="0"/>
              <w:right w:val="single" w:color="auto" w:sz="4" w:space="0"/>
            </w:tcBorders>
            <w:noWrap/>
            <w:vAlign w:val="center"/>
          </w:tcPr>
          <w:p w14:paraId="736058CE">
            <w:pPr>
              <w:spacing w:line="400" w:lineRule="exact"/>
              <w:jc w:val="center"/>
              <w:rPr>
                <w:rFonts w:ascii="宋体" w:hAnsi="宋体" w:cs="宋体"/>
              </w:rPr>
            </w:pPr>
            <w:r>
              <w:rPr>
                <w:rFonts w:hint="eastAsia" w:ascii="宋体" w:hAnsi="宋体" w:cs="宋体"/>
              </w:rPr>
              <w:t>1</w:t>
            </w:r>
          </w:p>
        </w:tc>
        <w:tc>
          <w:tcPr>
            <w:tcW w:w="2538" w:type="dxa"/>
            <w:vMerge w:val="restart"/>
            <w:tcBorders>
              <w:top w:val="single" w:color="auto" w:sz="4" w:space="0"/>
              <w:left w:val="single" w:color="auto" w:sz="4" w:space="0"/>
              <w:right w:val="single" w:color="auto" w:sz="4" w:space="0"/>
            </w:tcBorders>
            <w:noWrap/>
            <w:vAlign w:val="center"/>
          </w:tcPr>
          <w:p w14:paraId="1A20BE2F">
            <w:pPr>
              <w:spacing w:line="400" w:lineRule="exact"/>
              <w:jc w:val="center"/>
              <w:rPr>
                <w:rFonts w:ascii="宋体" w:hAnsi="宋体" w:cs="宋体"/>
              </w:rPr>
            </w:pPr>
            <w:r>
              <w:rPr>
                <w:rFonts w:hint="eastAsia" w:ascii="宋体" w:hAnsi="宋体" w:cs="宋体"/>
              </w:rPr>
              <w:t>2025年杭州湾乐清湾鱼类环境DNA多样性调查项目</w:t>
            </w:r>
          </w:p>
        </w:tc>
        <w:tc>
          <w:tcPr>
            <w:tcW w:w="855" w:type="dxa"/>
            <w:vMerge w:val="restart"/>
            <w:tcBorders>
              <w:top w:val="single" w:color="auto" w:sz="4" w:space="0"/>
              <w:left w:val="single" w:color="auto" w:sz="4" w:space="0"/>
              <w:right w:val="single" w:color="auto" w:sz="4" w:space="0"/>
            </w:tcBorders>
            <w:noWrap/>
            <w:vAlign w:val="center"/>
          </w:tcPr>
          <w:p w14:paraId="1C248EB5">
            <w:pPr>
              <w:spacing w:line="360" w:lineRule="exact"/>
              <w:jc w:val="center"/>
              <w:rPr>
                <w:rFonts w:ascii="宋体" w:hAnsi="宋体" w:cs="宋体"/>
              </w:rPr>
            </w:pPr>
            <w:r>
              <w:rPr>
                <w:rFonts w:hint="eastAsia" w:ascii="宋体" w:hAnsi="宋体" w:cs="宋体"/>
              </w:rPr>
              <w:t>1</w:t>
            </w:r>
          </w:p>
        </w:tc>
        <w:tc>
          <w:tcPr>
            <w:tcW w:w="856" w:type="dxa"/>
            <w:vMerge w:val="restart"/>
            <w:tcBorders>
              <w:top w:val="single" w:color="auto" w:sz="4" w:space="0"/>
              <w:left w:val="single" w:color="auto" w:sz="4" w:space="0"/>
              <w:right w:val="single" w:color="auto" w:sz="4" w:space="0"/>
            </w:tcBorders>
            <w:noWrap/>
            <w:vAlign w:val="center"/>
          </w:tcPr>
          <w:p w14:paraId="68E687F7">
            <w:pPr>
              <w:spacing w:line="360" w:lineRule="exact"/>
              <w:jc w:val="center"/>
              <w:rPr>
                <w:rFonts w:ascii="宋体" w:hAnsi="宋体" w:cs="宋体"/>
              </w:rPr>
            </w:pPr>
            <w:r>
              <w:rPr>
                <w:rFonts w:hint="eastAsia" w:ascii="宋体" w:hAnsi="宋体" w:cs="宋体"/>
              </w:rPr>
              <w:t>项</w:t>
            </w:r>
          </w:p>
        </w:tc>
        <w:tc>
          <w:tcPr>
            <w:tcW w:w="3957" w:type="dxa"/>
            <w:tcBorders>
              <w:top w:val="single" w:color="auto" w:sz="4" w:space="0"/>
              <w:left w:val="single" w:color="auto" w:sz="4" w:space="0"/>
              <w:bottom w:val="single" w:color="auto" w:sz="4" w:space="0"/>
              <w:right w:val="single" w:color="auto" w:sz="4" w:space="0"/>
            </w:tcBorders>
            <w:noWrap/>
            <w:vAlign w:val="center"/>
          </w:tcPr>
          <w:p w14:paraId="03908D2D">
            <w:pPr>
              <w:spacing w:line="400" w:lineRule="exact"/>
              <w:jc w:val="left"/>
              <w:rPr>
                <w:rFonts w:ascii="宋体" w:hAnsi="宋体" w:cs="宋体"/>
              </w:rPr>
            </w:pPr>
            <w:r>
              <w:rPr>
                <w:rFonts w:hint="eastAsia" w:ascii="宋体" w:hAnsi="宋体" w:cs="宋体"/>
              </w:rPr>
              <w:t>大写：</w:t>
            </w:r>
          </w:p>
        </w:tc>
      </w:tr>
      <w:tr w14:paraId="3F8A4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6" w:type="dxa"/>
            <w:vMerge w:val="continue"/>
            <w:tcBorders>
              <w:left w:val="single" w:color="auto" w:sz="4" w:space="0"/>
              <w:bottom w:val="single" w:color="auto" w:sz="4" w:space="0"/>
              <w:right w:val="single" w:color="auto" w:sz="4" w:space="0"/>
            </w:tcBorders>
            <w:noWrap/>
            <w:vAlign w:val="center"/>
          </w:tcPr>
          <w:p w14:paraId="7568BC34">
            <w:pPr>
              <w:spacing w:line="400" w:lineRule="exact"/>
              <w:jc w:val="center"/>
              <w:rPr>
                <w:rFonts w:ascii="宋体" w:hAnsi="宋体" w:cs="宋体"/>
              </w:rPr>
            </w:pPr>
          </w:p>
        </w:tc>
        <w:tc>
          <w:tcPr>
            <w:tcW w:w="2538" w:type="dxa"/>
            <w:vMerge w:val="continue"/>
            <w:tcBorders>
              <w:left w:val="single" w:color="auto" w:sz="4" w:space="0"/>
              <w:bottom w:val="single" w:color="auto" w:sz="4" w:space="0"/>
              <w:right w:val="single" w:color="auto" w:sz="4" w:space="0"/>
            </w:tcBorders>
            <w:noWrap/>
            <w:vAlign w:val="center"/>
          </w:tcPr>
          <w:p w14:paraId="492026B3">
            <w:pPr>
              <w:spacing w:line="400" w:lineRule="exact"/>
              <w:jc w:val="center"/>
              <w:rPr>
                <w:rFonts w:ascii="宋体" w:hAnsi="宋体" w:cs="宋体"/>
              </w:rPr>
            </w:pPr>
          </w:p>
        </w:tc>
        <w:tc>
          <w:tcPr>
            <w:tcW w:w="855" w:type="dxa"/>
            <w:vMerge w:val="continue"/>
            <w:tcBorders>
              <w:left w:val="single" w:color="auto" w:sz="4" w:space="0"/>
              <w:bottom w:val="single" w:color="auto" w:sz="4" w:space="0"/>
              <w:right w:val="single" w:color="auto" w:sz="4" w:space="0"/>
            </w:tcBorders>
            <w:noWrap/>
            <w:vAlign w:val="center"/>
          </w:tcPr>
          <w:p w14:paraId="2260F9DB">
            <w:pPr>
              <w:spacing w:line="400" w:lineRule="exact"/>
              <w:jc w:val="center"/>
              <w:rPr>
                <w:rFonts w:ascii="宋体" w:hAnsi="宋体" w:cs="宋体"/>
              </w:rPr>
            </w:pPr>
          </w:p>
        </w:tc>
        <w:tc>
          <w:tcPr>
            <w:tcW w:w="856" w:type="dxa"/>
            <w:vMerge w:val="continue"/>
            <w:tcBorders>
              <w:left w:val="single" w:color="auto" w:sz="4" w:space="0"/>
              <w:bottom w:val="single" w:color="auto" w:sz="4" w:space="0"/>
              <w:right w:val="single" w:color="auto" w:sz="4" w:space="0"/>
            </w:tcBorders>
            <w:noWrap/>
            <w:vAlign w:val="center"/>
          </w:tcPr>
          <w:p w14:paraId="75DC1987">
            <w:pPr>
              <w:spacing w:line="400" w:lineRule="exact"/>
              <w:jc w:val="center"/>
              <w:rPr>
                <w:rFonts w:ascii="宋体" w:hAnsi="宋体" w:cs="宋体"/>
              </w:rPr>
            </w:pPr>
          </w:p>
        </w:tc>
        <w:tc>
          <w:tcPr>
            <w:tcW w:w="3957" w:type="dxa"/>
            <w:tcBorders>
              <w:top w:val="single" w:color="auto" w:sz="4" w:space="0"/>
              <w:left w:val="single" w:color="auto" w:sz="4" w:space="0"/>
              <w:bottom w:val="single" w:color="auto" w:sz="4" w:space="0"/>
              <w:right w:val="single" w:color="auto" w:sz="4" w:space="0"/>
            </w:tcBorders>
            <w:noWrap/>
            <w:vAlign w:val="center"/>
          </w:tcPr>
          <w:p w14:paraId="2D52B372">
            <w:pPr>
              <w:spacing w:line="400" w:lineRule="exact"/>
              <w:jc w:val="left"/>
              <w:rPr>
                <w:rFonts w:ascii="宋体" w:hAnsi="宋体" w:cs="宋体"/>
              </w:rPr>
            </w:pPr>
            <w:r>
              <w:rPr>
                <w:rFonts w:hint="eastAsia" w:ascii="宋体" w:hAnsi="宋体" w:cs="宋体"/>
              </w:rPr>
              <w:t>小写：</w:t>
            </w:r>
          </w:p>
        </w:tc>
      </w:tr>
    </w:tbl>
    <w:p w14:paraId="32E2D18F"/>
    <w:p w14:paraId="5F30B32F">
      <w:pPr>
        <w:spacing w:line="360" w:lineRule="auto"/>
        <w:ind w:firstLine="420" w:firstLineChars="200"/>
        <w:rPr>
          <w:rFonts w:ascii="Times New Roman" w:hAnsi="Times New Roman" w:cs="Times New Roman"/>
          <w:color w:val="000000" w:themeColor="text1"/>
        </w:rPr>
      </w:pPr>
      <w:r>
        <w:rPr>
          <w:rFonts w:ascii="Times New Roman" w:hAnsi="Times New Roman" w:cs="Times New Roman"/>
          <w:color w:val="000000" w:themeColor="text1"/>
        </w:rPr>
        <w:t>1. 投标人须按要求填写所有信息，不得随意更改本表格式。</w:t>
      </w:r>
    </w:p>
    <w:p w14:paraId="0AC41447">
      <w:pPr>
        <w:spacing w:line="360" w:lineRule="auto"/>
        <w:ind w:firstLine="420" w:firstLineChars="200"/>
        <w:rPr>
          <w:rFonts w:ascii="Times New Roman" w:hAnsi="Times New Roman" w:cs="Times New Roman"/>
          <w:color w:val="000000" w:themeColor="text1"/>
        </w:rPr>
      </w:pPr>
      <w:r>
        <w:rPr>
          <w:rFonts w:ascii="Times New Roman" w:hAnsi="Times New Roman" w:cs="Times New Roman"/>
          <w:color w:val="000000" w:themeColor="text1"/>
        </w:rPr>
        <w:t>2. 所有价格均应</w:t>
      </w:r>
      <w:r>
        <w:rPr>
          <w:rFonts w:hint="eastAsia" w:ascii="Times New Roman" w:hAnsi="Times New Roman" w:cs="Times New Roman"/>
          <w:color w:val="000000" w:themeColor="text1"/>
        </w:rPr>
        <w:t>以</w:t>
      </w:r>
      <w:r>
        <w:rPr>
          <w:rFonts w:ascii="Times New Roman" w:hAnsi="Times New Roman" w:cs="Times New Roman"/>
          <w:color w:val="000000" w:themeColor="text1"/>
        </w:rPr>
        <w:t>人民币报价，金额单位为元。以上报价应与“投标报价明细表”中的“投标总价”相一致。</w:t>
      </w:r>
    </w:p>
    <w:p w14:paraId="724C9693">
      <w:pPr>
        <w:snapToGrid w:val="0"/>
        <w:spacing w:before="50" w:after="50" w:line="360" w:lineRule="exact"/>
        <w:ind w:firstLine="420" w:firstLineChars="200"/>
        <w:jc w:val="left"/>
        <w:rPr>
          <w:rFonts w:ascii="Times New Roman" w:hAnsi="Times New Roman" w:cs="Times New Roman"/>
          <w:color w:val="000000" w:themeColor="text1"/>
        </w:rPr>
      </w:pPr>
    </w:p>
    <w:p w14:paraId="61403639">
      <w:pPr>
        <w:spacing w:line="360" w:lineRule="auto"/>
        <w:rPr>
          <w:rFonts w:ascii="Times New Roman" w:hAnsi="Times New Roman" w:cs="Times New Roman"/>
          <w:b/>
          <w:bCs/>
          <w:color w:val="000000" w:themeColor="text1"/>
          <w:spacing w:val="20"/>
        </w:rPr>
      </w:pPr>
    </w:p>
    <w:p w14:paraId="4FC0DF24">
      <w:pPr>
        <w:snapToGrid w:val="0"/>
        <w:spacing w:before="50" w:after="50"/>
        <w:ind w:left="-23" w:leftChars="-11" w:right="-817" w:rightChars="-389"/>
        <w:jc w:val="right"/>
        <w:rPr>
          <w:rFonts w:ascii="Times New Roman" w:hAnsi="Times New Roman" w:cs="Times New Roman"/>
          <w:color w:val="000000" w:themeColor="text1"/>
        </w:rPr>
      </w:pPr>
    </w:p>
    <w:p w14:paraId="7776810E">
      <w:pPr>
        <w:snapToGrid w:val="0"/>
        <w:spacing w:before="50" w:after="50"/>
        <w:ind w:left="-23" w:leftChars="-11" w:right="-817" w:rightChars="-389"/>
        <w:jc w:val="center"/>
        <w:rPr>
          <w:rFonts w:ascii="Times New Roman" w:hAnsi="Times New Roman" w:cs="Times New Roman"/>
          <w:color w:val="000000" w:themeColor="text1"/>
        </w:rPr>
      </w:pPr>
    </w:p>
    <w:p w14:paraId="70C5AC38">
      <w:pPr>
        <w:snapToGrid w:val="0"/>
        <w:spacing w:before="50" w:after="50" w:line="360" w:lineRule="auto"/>
        <w:rPr>
          <w:rFonts w:ascii="Times New Roman" w:hAnsi="Times New Roman" w:cs="Times New Roman"/>
          <w:color w:val="000000" w:themeColor="text1"/>
          <w:spacing w:val="20"/>
        </w:rPr>
      </w:pPr>
      <w:r>
        <w:rPr>
          <w:rFonts w:ascii="Times New Roman" w:hAnsi="Times New Roman" w:cs="Times New Roman"/>
          <w:color w:val="000000" w:themeColor="text1"/>
        </w:rPr>
        <w:t>法定代表人（签字或盖章）：</w:t>
      </w:r>
    </w:p>
    <w:p w14:paraId="3BC77E1B">
      <w:pPr>
        <w:snapToGrid w:val="0"/>
        <w:spacing w:before="50" w:after="50" w:line="360" w:lineRule="auto"/>
        <w:rPr>
          <w:rFonts w:ascii="Times New Roman" w:hAnsi="Times New Roman" w:cs="Times New Roman"/>
          <w:color w:val="000000" w:themeColor="text1"/>
          <w:spacing w:val="20"/>
        </w:rPr>
      </w:pPr>
      <w:r>
        <w:rPr>
          <w:rFonts w:ascii="Times New Roman" w:hAnsi="Times New Roman" w:cs="Times New Roman"/>
          <w:color w:val="000000" w:themeColor="text1"/>
          <w:spacing w:val="20"/>
        </w:rPr>
        <w:t>投标人盖章：</w:t>
      </w:r>
    </w:p>
    <w:p w14:paraId="70D82227">
      <w:pPr>
        <w:spacing w:line="360" w:lineRule="auto"/>
        <w:rPr>
          <w:rFonts w:ascii="Times New Roman" w:hAnsi="Times New Roman" w:cs="Times New Roman"/>
          <w:color w:val="000000" w:themeColor="text1"/>
          <w:spacing w:val="20"/>
        </w:rPr>
      </w:pPr>
      <w:r>
        <w:rPr>
          <w:rFonts w:ascii="Times New Roman" w:hAnsi="Times New Roman" w:cs="Times New Roman"/>
          <w:color w:val="000000" w:themeColor="text1"/>
          <w:spacing w:val="20"/>
        </w:rPr>
        <w:t>日期：</w:t>
      </w:r>
    </w:p>
    <w:p w14:paraId="533B11F1">
      <w:pPr>
        <w:pStyle w:val="2"/>
        <w:rPr>
          <w:rFonts w:ascii="Times New Roman" w:hAnsi="Times New Roman" w:cs="Times New Roman"/>
          <w:color w:val="000000" w:themeColor="text1"/>
          <w:spacing w:val="20"/>
        </w:rPr>
      </w:pPr>
    </w:p>
    <w:p w14:paraId="3F170019">
      <w:pPr>
        <w:pStyle w:val="23"/>
        <w:ind w:firstLine="250"/>
        <w:rPr>
          <w:color w:val="000000" w:themeColor="text1"/>
          <w:spacing w:val="20"/>
        </w:rPr>
      </w:pPr>
    </w:p>
    <w:p w14:paraId="4747CA8A">
      <w:pPr>
        <w:pStyle w:val="20"/>
        <w:rPr>
          <w:rFonts w:ascii="Times New Roman" w:hAnsi="Times New Roman" w:cs="Times New Roman"/>
          <w:color w:val="000000" w:themeColor="text1"/>
          <w:spacing w:val="20"/>
        </w:rPr>
      </w:pPr>
    </w:p>
    <w:p w14:paraId="77E6F475">
      <w:pPr>
        <w:rPr>
          <w:rFonts w:ascii="Times New Roman" w:hAnsi="Times New Roman" w:cs="Times New Roman"/>
          <w:color w:val="000000" w:themeColor="text1"/>
          <w:spacing w:val="20"/>
        </w:rPr>
      </w:pPr>
    </w:p>
    <w:p w14:paraId="46DD8DFB">
      <w:pPr>
        <w:pStyle w:val="2"/>
        <w:rPr>
          <w:rFonts w:ascii="Times New Roman" w:hAnsi="Times New Roman" w:cs="Times New Roman"/>
          <w:color w:val="000000" w:themeColor="text1"/>
          <w:spacing w:val="20"/>
        </w:rPr>
      </w:pPr>
    </w:p>
    <w:p w14:paraId="6B39638B">
      <w:pPr>
        <w:pStyle w:val="23"/>
        <w:ind w:firstLine="250"/>
        <w:rPr>
          <w:color w:val="000000" w:themeColor="text1"/>
          <w:spacing w:val="20"/>
        </w:rPr>
      </w:pPr>
    </w:p>
    <w:p w14:paraId="28811642">
      <w:pPr>
        <w:pStyle w:val="20"/>
        <w:rPr>
          <w:rFonts w:ascii="Times New Roman" w:hAnsi="Times New Roman" w:cs="Times New Roman"/>
          <w:color w:val="000000" w:themeColor="text1"/>
          <w:spacing w:val="20"/>
        </w:rPr>
      </w:pPr>
    </w:p>
    <w:p w14:paraId="704AF451">
      <w:pPr>
        <w:rPr>
          <w:rFonts w:ascii="Times New Roman" w:hAnsi="Times New Roman" w:cs="Times New Roman"/>
          <w:color w:val="000000" w:themeColor="text1"/>
          <w:spacing w:val="20"/>
        </w:rPr>
      </w:pPr>
    </w:p>
    <w:p w14:paraId="76EE8A22">
      <w:pPr>
        <w:pStyle w:val="2"/>
        <w:rPr>
          <w:rFonts w:ascii="Times New Roman" w:hAnsi="Times New Roman" w:cs="Times New Roman"/>
          <w:color w:val="000000" w:themeColor="text1"/>
          <w:spacing w:val="20"/>
        </w:rPr>
      </w:pPr>
    </w:p>
    <w:p w14:paraId="782EE582">
      <w:pPr>
        <w:pStyle w:val="23"/>
        <w:ind w:firstLine="250"/>
        <w:rPr>
          <w:color w:val="000000" w:themeColor="text1"/>
          <w:spacing w:val="20"/>
        </w:rPr>
      </w:pPr>
    </w:p>
    <w:p w14:paraId="7EE78C55">
      <w:pPr>
        <w:pStyle w:val="20"/>
        <w:rPr>
          <w:rFonts w:ascii="Times New Roman" w:hAnsi="Times New Roman" w:cs="Times New Roman"/>
          <w:color w:val="000000" w:themeColor="text1"/>
          <w:spacing w:val="20"/>
        </w:rPr>
      </w:pPr>
    </w:p>
    <w:p w14:paraId="362521AF"/>
    <w:p w14:paraId="01AE3126">
      <w:pPr>
        <w:rPr>
          <w:rFonts w:ascii="Times New Roman" w:hAnsi="Times New Roman" w:cs="Times New Roman"/>
          <w:color w:val="000000" w:themeColor="text1"/>
          <w:spacing w:val="20"/>
        </w:rPr>
      </w:pPr>
    </w:p>
    <w:p w14:paraId="4F377CE9">
      <w:pPr>
        <w:autoSpaceDE w:val="0"/>
        <w:autoSpaceDN w:val="0"/>
        <w:adjustRightInd w:val="0"/>
        <w:rPr>
          <w:rFonts w:ascii="宋体"/>
          <w:bCs/>
        </w:rPr>
      </w:pPr>
      <w:r>
        <w:rPr>
          <w:rFonts w:hint="eastAsia" w:ascii="宋体" w:hAnsi="宋体"/>
          <w:b/>
          <w:bCs/>
        </w:rPr>
        <w:t>12.投标报价明细表</w:t>
      </w:r>
    </w:p>
    <w:p w14:paraId="03B2C999">
      <w:pPr>
        <w:pStyle w:val="79"/>
        <w:jc w:val="center"/>
        <w:rPr>
          <w:rFonts w:hAnsi="宋体" w:eastAsia="宋体"/>
          <w:b/>
          <w:sz w:val="21"/>
          <w:szCs w:val="21"/>
        </w:rPr>
      </w:pPr>
    </w:p>
    <w:p w14:paraId="4D908179">
      <w:pPr>
        <w:pStyle w:val="15"/>
        <w:snapToGrid w:val="0"/>
        <w:spacing w:before="156" w:after="156"/>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投标报价明细表</w:t>
      </w:r>
    </w:p>
    <w:p w14:paraId="5F7668A2">
      <w:pPr>
        <w:pStyle w:val="15"/>
        <w:snapToGrid w:val="0"/>
        <w:spacing w:before="156" w:after="156"/>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项目名称：</w:t>
      </w:r>
    </w:p>
    <w:p w14:paraId="6349F937">
      <w:pPr>
        <w:pStyle w:val="15"/>
        <w:snapToGrid w:val="0"/>
        <w:spacing w:before="156" w:after="156"/>
        <w:rPr>
          <w:rFonts w:ascii="Times New Roman" w:hAnsi="Times New Roman" w:cs="Times New Roman"/>
          <w:color w:val="000000" w:themeColor="text1"/>
          <w:spacing w:val="20"/>
          <w:sz w:val="21"/>
          <w:szCs w:val="21"/>
        </w:rPr>
      </w:pPr>
      <w:r>
        <w:rPr>
          <w:rFonts w:ascii="Times New Roman" w:hAnsi="Times New Roman" w:cs="Times New Roman"/>
          <w:color w:val="000000" w:themeColor="text1"/>
          <w:sz w:val="21"/>
          <w:szCs w:val="21"/>
        </w:rPr>
        <w:t>项目编号：金额单位：人民币（元）</w:t>
      </w:r>
    </w:p>
    <w:tbl>
      <w:tblPr>
        <w:tblStyle w:val="24"/>
        <w:tblW w:w="8495" w:type="dxa"/>
        <w:tblInd w:w="-5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57" w:type="dxa"/>
          <w:bottom w:w="57" w:type="dxa"/>
          <w:right w:w="57" w:type="dxa"/>
        </w:tblCellMar>
      </w:tblPr>
      <w:tblGrid>
        <w:gridCol w:w="718"/>
        <w:gridCol w:w="1569"/>
        <w:gridCol w:w="1311"/>
        <w:gridCol w:w="873"/>
        <w:gridCol w:w="1006"/>
        <w:gridCol w:w="1006"/>
        <w:gridCol w:w="1006"/>
        <w:gridCol w:w="1006"/>
      </w:tblGrid>
      <w:tr w14:paraId="76B7DE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508" w:hRule="atLeast"/>
        </w:trPr>
        <w:tc>
          <w:tcPr>
            <w:tcW w:w="718" w:type="dxa"/>
            <w:tcBorders>
              <w:top w:val="single" w:color="auto" w:sz="4" w:space="0"/>
              <w:bottom w:val="single" w:color="auto" w:sz="4" w:space="0"/>
              <w:right w:val="single" w:color="auto" w:sz="4" w:space="0"/>
            </w:tcBorders>
            <w:vAlign w:val="center"/>
          </w:tcPr>
          <w:p w14:paraId="2331DCF6">
            <w:pPr>
              <w:tabs>
                <w:tab w:val="left" w:pos="1418"/>
              </w:tabs>
              <w:snapToGrid w:val="0"/>
              <w:jc w:val="center"/>
              <w:rPr>
                <w:rFonts w:ascii="Times New Roman" w:hAnsi="Times New Roman" w:cs="Times New Roman"/>
                <w:color w:val="000000" w:themeColor="text1"/>
                <w:spacing w:val="20"/>
              </w:rPr>
            </w:pPr>
            <w:r>
              <w:rPr>
                <w:rFonts w:ascii="Times New Roman" w:hAnsi="Times New Roman" w:cs="Times New Roman"/>
                <w:color w:val="000000" w:themeColor="text1"/>
              </w:rPr>
              <w:t>序号</w:t>
            </w:r>
          </w:p>
        </w:tc>
        <w:tc>
          <w:tcPr>
            <w:tcW w:w="1569" w:type="dxa"/>
            <w:tcBorders>
              <w:top w:val="single" w:color="auto" w:sz="4" w:space="0"/>
              <w:left w:val="single" w:color="auto" w:sz="4" w:space="0"/>
              <w:bottom w:val="single" w:color="auto" w:sz="4" w:space="0"/>
              <w:right w:val="single" w:color="auto" w:sz="4" w:space="0"/>
            </w:tcBorders>
            <w:vAlign w:val="center"/>
          </w:tcPr>
          <w:p w14:paraId="45FEFF04">
            <w:pPr>
              <w:tabs>
                <w:tab w:val="left" w:pos="1418"/>
              </w:tabs>
              <w:snapToGrid w:val="0"/>
              <w:jc w:val="center"/>
              <w:rPr>
                <w:rFonts w:ascii="Times New Roman" w:hAnsi="Times New Roman" w:cs="Times New Roman"/>
                <w:color w:val="000000" w:themeColor="text1"/>
                <w:spacing w:val="20"/>
              </w:rPr>
            </w:pPr>
            <w:r>
              <w:rPr>
                <w:rFonts w:ascii="Times New Roman" w:hAnsi="Times New Roman" w:cs="Times New Roman"/>
                <w:color w:val="000000" w:themeColor="text1"/>
              </w:rPr>
              <w:t>构成服务名称</w:t>
            </w:r>
          </w:p>
        </w:tc>
        <w:tc>
          <w:tcPr>
            <w:tcW w:w="1311" w:type="dxa"/>
            <w:tcBorders>
              <w:top w:val="single" w:color="auto" w:sz="4" w:space="0"/>
              <w:left w:val="single" w:color="auto" w:sz="4" w:space="0"/>
              <w:bottom w:val="single" w:color="auto" w:sz="4" w:space="0"/>
              <w:right w:val="single" w:color="auto" w:sz="4" w:space="0"/>
            </w:tcBorders>
            <w:vAlign w:val="center"/>
          </w:tcPr>
          <w:p w14:paraId="2B5E0DDB">
            <w:pPr>
              <w:tabs>
                <w:tab w:val="left" w:pos="1418"/>
              </w:tabs>
              <w:snapToGrid w:val="0"/>
              <w:jc w:val="center"/>
              <w:rPr>
                <w:rFonts w:ascii="Times New Roman" w:hAnsi="Times New Roman" w:cs="Times New Roman"/>
                <w:color w:val="000000" w:themeColor="text1"/>
                <w:spacing w:val="20"/>
              </w:rPr>
            </w:pPr>
            <w:r>
              <w:rPr>
                <w:rFonts w:ascii="Times New Roman" w:hAnsi="Times New Roman" w:cs="Times New Roman"/>
                <w:color w:val="000000" w:themeColor="text1"/>
                <w:spacing w:val="20"/>
              </w:rPr>
              <w:t>内容描述</w:t>
            </w:r>
          </w:p>
        </w:tc>
        <w:tc>
          <w:tcPr>
            <w:tcW w:w="873" w:type="dxa"/>
            <w:tcBorders>
              <w:top w:val="single" w:color="auto" w:sz="4" w:space="0"/>
              <w:left w:val="single" w:color="auto" w:sz="4" w:space="0"/>
              <w:bottom w:val="single" w:color="auto" w:sz="4" w:space="0"/>
              <w:right w:val="single" w:color="auto" w:sz="4" w:space="0"/>
            </w:tcBorders>
            <w:vAlign w:val="center"/>
          </w:tcPr>
          <w:p w14:paraId="65FD3102">
            <w:pPr>
              <w:tabs>
                <w:tab w:val="left" w:pos="1418"/>
              </w:tabs>
              <w:snapToGrid w:val="0"/>
              <w:jc w:val="center"/>
              <w:rPr>
                <w:rFonts w:ascii="Times New Roman" w:hAnsi="Times New Roman" w:cs="Times New Roman"/>
                <w:color w:val="000000" w:themeColor="text1"/>
                <w:spacing w:val="20"/>
              </w:rPr>
            </w:pPr>
            <w:r>
              <w:rPr>
                <w:rFonts w:ascii="Times New Roman" w:hAnsi="Times New Roman" w:cs="Times New Roman"/>
                <w:color w:val="000000" w:themeColor="text1"/>
                <w:spacing w:val="20"/>
              </w:rPr>
              <w:t>数量</w:t>
            </w:r>
          </w:p>
        </w:tc>
        <w:tc>
          <w:tcPr>
            <w:tcW w:w="1006" w:type="dxa"/>
            <w:tcBorders>
              <w:top w:val="single" w:color="auto" w:sz="4" w:space="0"/>
              <w:left w:val="single" w:color="auto" w:sz="4" w:space="0"/>
              <w:bottom w:val="single" w:color="auto" w:sz="4" w:space="0"/>
            </w:tcBorders>
            <w:vAlign w:val="center"/>
          </w:tcPr>
          <w:p w14:paraId="5A73ABAC">
            <w:pPr>
              <w:tabs>
                <w:tab w:val="left" w:pos="1418"/>
              </w:tabs>
              <w:snapToGrid w:val="0"/>
              <w:jc w:val="center"/>
              <w:rPr>
                <w:rFonts w:ascii="Times New Roman" w:hAnsi="Times New Roman" w:cs="Times New Roman"/>
                <w:color w:val="000000" w:themeColor="text1"/>
                <w:spacing w:val="20"/>
              </w:rPr>
            </w:pPr>
            <w:r>
              <w:rPr>
                <w:rFonts w:ascii="Times New Roman" w:hAnsi="Times New Roman" w:cs="Times New Roman"/>
                <w:color w:val="000000" w:themeColor="text1"/>
                <w:spacing w:val="20"/>
              </w:rPr>
              <w:t>单位</w:t>
            </w:r>
          </w:p>
        </w:tc>
        <w:tc>
          <w:tcPr>
            <w:tcW w:w="1006" w:type="dxa"/>
            <w:tcBorders>
              <w:top w:val="single" w:color="auto" w:sz="4" w:space="0"/>
              <w:left w:val="single" w:color="auto" w:sz="4" w:space="0"/>
              <w:bottom w:val="single" w:color="auto" w:sz="4" w:space="0"/>
            </w:tcBorders>
            <w:vAlign w:val="center"/>
          </w:tcPr>
          <w:p w14:paraId="0E2B8891">
            <w:pPr>
              <w:tabs>
                <w:tab w:val="left" w:pos="1418"/>
              </w:tabs>
              <w:snapToGrid w:val="0"/>
              <w:jc w:val="center"/>
              <w:rPr>
                <w:rFonts w:ascii="Times New Roman" w:hAnsi="Times New Roman" w:cs="Times New Roman"/>
                <w:color w:val="000000" w:themeColor="text1"/>
              </w:rPr>
            </w:pPr>
            <w:r>
              <w:rPr>
                <w:rFonts w:ascii="Times New Roman" w:hAnsi="Times New Roman" w:cs="Times New Roman"/>
                <w:color w:val="000000" w:themeColor="text1"/>
              </w:rPr>
              <w:t>单价</w:t>
            </w:r>
          </w:p>
        </w:tc>
        <w:tc>
          <w:tcPr>
            <w:tcW w:w="1006" w:type="dxa"/>
            <w:tcBorders>
              <w:top w:val="single" w:color="auto" w:sz="4" w:space="0"/>
              <w:left w:val="single" w:color="auto" w:sz="4" w:space="0"/>
              <w:bottom w:val="single" w:color="auto" w:sz="4" w:space="0"/>
            </w:tcBorders>
            <w:vAlign w:val="center"/>
          </w:tcPr>
          <w:p w14:paraId="53443BBE">
            <w:pPr>
              <w:tabs>
                <w:tab w:val="left" w:pos="1418"/>
              </w:tabs>
              <w:snapToGrid w:val="0"/>
              <w:jc w:val="center"/>
              <w:rPr>
                <w:rFonts w:ascii="Times New Roman" w:hAnsi="Times New Roman" w:cs="Times New Roman"/>
                <w:color w:val="000000" w:themeColor="text1"/>
              </w:rPr>
            </w:pPr>
            <w:r>
              <w:rPr>
                <w:rFonts w:ascii="Times New Roman" w:hAnsi="Times New Roman" w:cs="Times New Roman"/>
                <w:color w:val="000000" w:themeColor="text1"/>
              </w:rPr>
              <w:t>合价</w:t>
            </w:r>
          </w:p>
        </w:tc>
        <w:tc>
          <w:tcPr>
            <w:tcW w:w="1006" w:type="dxa"/>
            <w:tcBorders>
              <w:top w:val="single" w:color="auto" w:sz="4" w:space="0"/>
              <w:left w:val="single" w:color="auto" w:sz="4" w:space="0"/>
              <w:bottom w:val="single" w:color="auto" w:sz="4" w:space="0"/>
            </w:tcBorders>
            <w:vAlign w:val="center"/>
          </w:tcPr>
          <w:p w14:paraId="49A8120E">
            <w:pPr>
              <w:tabs>
                <w:tab w:val="left" w:pos="1418"/>
              </w:tabs>
              <w:snapToGrid w:val="0"/>
              <w:jc w:val="center"/>
              <w:rPr>
                <w:rFonts w:ascii="Times New Roman" w:hAnsi="Times New Roman" w:cs="Times New Roman"/>
                <w:color w:val="000000" w:themeColor="text1"/>
              </w:rPr>
            </w:pPr>
            <w:r>
              <w:rPr>
                <w:rFonts w:ascii="Times New Roman" w:hAnsi="Times New Roman" w:cs="Times New Roman"/>
                <w:color w:val="000000" w:themeColor="text1"/>
              </w:rPr>
              <w:t>备注</w:t>
            </w:r>
          </w:p>
        </w:tc>
      </w:tr>
      <w:tr w14:paraId="4561CE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524" w:hRule="atLeast"/>
        </w:trPr>
        <w:tc>
          <w:tcPr>
            <w:tcW w:w="718" w:type="dxa"/>
            <w:tcBorders>
              <w:top w:val="single" w:color="auto" w:sz="4" w:space="0"/>
              <w:bottom w:val="single" w:color="auto" w:sz="4" w:space="0"/>
              <w:right w:val="single" w:color="auto" w:sz="4" w:space="0"/>
            </w:tcBorders>
            <w:vAlign w:val="center"/>
          </w:tcPr>
          <w:p w14:paraId="4FE76519">
            <w:pPr>
              <w:pStyle w:val="2"/>
              <w:jc w:val="center"/>
              <w:rPr>
                <w:rFonts w:ascii="Times New Roman" w:hAnsi="Times New Roman" w:cs="Times New Roman"/>
                <w:color w:val="000000" w:themeColor="text1"/>
                <w:spacing w:val="20"/>
                <w:kern w:val="2"/>
                <w:sz w:val="21"/>
                <w:szCs w:val="21"/>
              </w:rPr>
            </w:pPr>
            <w:r>
              <w:rPr>
                <w:rFonts w:ascii="Times New Roman" w:hAnsi="Times New Roman" w:cs="Times New Roman"/>
                <w:color w:val="000000" w:themeColor="text1"/>
                <w:spacing w:val="20"/>
                <w:kern w:val="2"/>
                <w:sz w:val="21"/>
                <w:szCs w:val="21"/>
              </w:rPr>
              <w:t>1</w:t>
            </w:r>
          </w:p>
        </w:tc>
        <w:tc>
          <w:tcPr>
            <w:tcW w:w="1569" w:type="dxa"/>
            <w:tcBorders>
              <w:top w:val="single" w:color="auto" w:sz="4" w:space="0"/>
              <w:left w:val="single" w:color="auto" w:sz="4" w:space="0"/>
              <w:bottom w:val="single" w:color="auto" w:sz="4" w:space="0"/>
              <w:right w:val="single" w:color="auto" w:sz="4" w:space="0"/>
            </w:tcBorders>
            <w:vAlign w:val="center"/>
          </w:tcPr>
          <w:p w14:paraId="35EF03B5">
            <w:pPr>
              <w:pStyle w:val="2"/>
              <w:jc w:val="center"/>
              <w:rPr>
                <w:rFonts w:ascii="Times New Roman" w:hAnsi="Times New Roman" w:cs="Times New Roman"/>
                <w:color w:val="000000" w:themeColor="text1"/>
                <w:kern w:val="2"/>
                <w:sz w:val="21"/>
                <w:szCs w:val="21"/>
              </w:rPr>
            </w:pPr>
          </w:p>
        </w:tc>
        <w:tc>
          <w:tcPr>
            <w:tcW w:w="1311" w:type="dxa"/>
            <w:tcBorders>
              <w:top w:val="single" w:color="auto" w:sz="4" w:space="0"/>
              <w:left w:val="single" w:color="auto" w:sz="4" w:space="0"/>
              <w:bottom w:val="single" w:color="auto" w:sz="4" w:space="0"/>
              <w:right w:val="single" w:color="auto" w:sz="4" w:space="0"/>
            </w:tcBorders>
            <w:vAlign w:val="center"/>
          </w:tcPr>
          <w:p w14:paraId="0D7C5852">
            <w:pPr>
              <w:tabs>
                <w:tab w:val="left" w:pos="1418"/>
              </w:tabs>
              <w:snapToGrid w:val="0"/>
              <w:jc w:val="center"/>
              <w:rPr>
                <w:rFonts w:ascii="Times New Roman" w:hAnsi="Times New Roman" w:cs="Times New Roman"/>
                <w:color w:val="000000" w:themeColor="text1"/>
                <w:spacing w:val="20"/>
              </w:rPr>
            </w:pPr>
          </w:p>
        </w:tc>
        <w:tc>
          <w:tcPr>
            <w:tcW w:w="873" w:type="dxa"/>
            <w:tcBorders>
              <w:top w:val="single" w:color="auto" w:sz="4" w:space="0"/>
              <w:left w:val="single" w:color="auto" w:sz="4" w:space="0"/>
              <w:bottom w:val="single" w:color="auto" w:sz="4" w:space="0"/>
              <w:right w:val="single" w:color="auto" w:sz="4" w:space="0"/>
            </w:tcBorders>
            <w:vAlign w:val="center"/>
          </w:tcPr>
          <w:p w14:paraId="2F9B03F5">
            <w:pPr>
              <w:tabs>
                <w:tab w:val="left" w:pos="1418"/>
              </w:tabs>
              <w:snapToGrid w:val="0"/>
              <w:jc w:val="center"/>
              <w:rPr>
                <w:rFonts w:ascii="Times New Roman" w:hAnsi="Times New Roman" w:cs="Times New Roman"/>
                <w:color w:val="000000" w:themeColor="text1"/>
                <w:spacing w:val="20"/>
              </w:rPr>
            </w:pPr>
          </w:p>
        </w:tc>
        <w:tc>
          <w:tcPr>
            <w:tcW w:w="1006" w:type="dxa"/>
            <w:tcBorders>
              <w:top w:val="single" w:color="auto" w:sz="4" w:space="0"/>
              <w:left w:val="single" w:color="auto" w:sz="4" w:space="0"/>
              <w:bottom w:val="single" w:color="auto" w:sz="4" w:space="0"/>
            </w:tcBorders>
            <w:vAlign w:val="center"/>
          </w:tcPr>
          <w:p w14:paraId="26EB30AA">
            <w:pPr>
              <w:tabs>
                <w:tab w:val="left" w:pos="1418"/>
              </w:tabs>
              <w:snapToGrid w:val="0"/>
              <w:jc w:val="center"/>
              <w:rPr>
                <w:rFonts w:ascii="Times New Roman" w:hAnsi="Times New Roman" w:cs="Times New Roman"/>
                <w:color w:val="000000" w:themeColor="text1"/>
                <w:spacing w:val="20"/>
              </w:rPr>
            </w:pPr>
          </w:p>
        </w:tc>
        <w:tc>
          <w:tcPr>
            <w:tcW w:w="1006" w:type="dxa"/>
            <w:tcBorders>
              <w:top w:val="single" w:color="auto" w:sz="4" w:space="0"/>
              <w:left w:val="single" w:color="auto" w:sz="4" w:space="0"/>
              <w:bottom w:val="single" w:color="auto" w:sz="4" w:space="0"/>
            </w:tcBorders>
            <w:vAlign w:val="center"/>
          </w:tcPr>
          <w:p w14:paraId="505149D8">
            <w:pPr>
              <w:tabs>
                <w:tab w:val="left" w:pos="1418"/>
              </w:tabs>
              <w:snapToGrid w:val="0"/>
              <w:jc w:val="center"/>
              <w:rPr>
                <w:rFonts w:ascii="Times New Roman" w:hAnsi="Times New Roman" w:cs="Times New Roman"/>
                <w:color w:val="000000" w:themeColor="text1"/>
                <w:spacing w:val="20"/>
              </w:rPr>
            </w:pPr>
          </w:p>
        </w:tc>
        <w:tc>
          <w:tcPr>
            <w:tcW w:w="1006" w:type="dxa"/>
            <w:tcBorders>
              <w:top w:val="single" w:color="auto" w:sz="4" w:space="0"/>
              <w:left w:val="single" w:color="auto" w:sz="4" w:space="0"/>
              <w:bottom w:val="single" w:color="auto" w:sz="4" w:space="0"/>
            </w:tcBorders>
            <w:vAlign w:val="center"/>
          </w:tcPr>
          <w:p w14:paraId="59368134">
            <w:pPr>
              <w:tabs>
                <w:tab w:val="left" w:pos="1418"/>
              </w:tabs>
              <w:snapToGrid w:val="0"/>
              <w:jc w:val="center"/>
              <w:rPr>
                <w:rFonts w:ascii="Times New Roman" w:hAnsi="Times New Roman" w:cs="Times New Roman"/>
                <w:color w:val="000000" w:themeColor="text1"/>
                <w:spacing w:val="20"/>
              </w:rPr>
            </w:pPr>
          </w:p>
        </w:tc>
        <w:tc>
          <w:tcPr>
            <w:tcW w:w="1006" w:type="dxa"/>
            <w:tcBorders>
              <w:top w:val="single" w:color="auto" w:sz="4" w:space="0"/>
              <w:left w:val="single" w:color="auto" w:sz="4" w:space="0"/>
              <w:bottom w:val="single" w:color="auto" w:sz="4" w:space="0"/>
            </w:tcBorders>
            <w:vAlign w:val="center"/>
          </w:tcPr>
          <w:p w14:paraId="6BC87779">
            <w:pPr>
              <w:tabs>
                <w:tab w:val="left" w:pos="1418"/>
              </w:tabs>
              <w:snapToGrid w:val="0"/>
              <w:jc w:val="center"/>
              <w:rPr>
                <w:rFonts w:ascii="Times New Roman" w:hAnsi="Times New Roman" w:cs="Times New Roman"/>
                <w:color w:val="000000" w:themeColor="text1"/>
                <w:spacing w:val="20"/>
              </w:rPr>
            </w:pPr>
          </w:p>
        </w:tc>
      </w:tr>
      <w:tr w14:paraId="2F9233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524" w:hRule="atLeast"/>
        </w:trPr>
        <w:tc>
          <w:tcPr>
            <w:tcW w:w="718" w:type="dxa"/>
            <w:tcBorders>
              <w:top w:val="single" w:color="auto" w:sz="4" w:space="0"/>
              <w:bottom w:val="single" w:color="auto" w:sz="4" w:space="0"/>
              <w:right w:val="single" w:color="auto" w:sz="4" w:space="0"/>
            </w:tcBorders>
            <w:vAlign w:val="center"/>
          </w:tcPr>
          <w:p w14:paraId="1087E90B">
            <w:pPr>
              <w:pStyle w:val="2"/>
              <w:jc w:val="center"/>
              <w:rPr>
                <w:rFonts w:ascii="Times New Roman" w:hAnsi="Times New Roman" w:cs="Times New Roman"/>
                <w:color w:val="000000" w:themeColor="text1"/>
                <w:spacing w:val="20"/>
                <w:kern w:val="2"/>
                <w:sz w:val="21"/>
                <w:szCs w:val="21"/>
              </w:rPr>
            </w:pPr>
            <w:r>
              <w:rPr>
                <w:rFonts w:ascii="Times New Roman" w:hAnsi="Times New Roman" w:cs="Times New Roman"/>
                <w:color w:val="000000" w:themeColor="text1"/>
                <w:spacing w:val="20"/>
                <w:kern w:val="2"/>
                <w:sz w:val="21"/>
                <w:szCs w:val="21"/>
              </w:rPr>
              <w:t>2</w:t>
            </w:r>
          </w:p>
        </w:tc>
        <w:tc>
          <w:tcPr>
            <w:tcW w:w="1569" w:type="dxa"/>
            <w:tcBorders>
              <w:top w:val="single" w:color="auto" w:sz="4" w:space="0"/>
              <w:left w:val="single" w:color="auto" w:sz="4" w:space="0"/>
              <w:bottom w:val="single" w:color="auto" w:sz="4" w:space="0"/>
              <w:right w:val="single" w:color="auto" w:sz="4" w:space="0"/>
            </w:tcBorders>
            <w:vAlign w:val="center"/>
          </w:tcPr>
          <w:p w14:paraId="39A9AACA">
            <w:pPr>
              <w:pStyle w:val="2"/>
              <w:jc w:val="center"/>
              <w:rPr>
                <w:rFonts w:ascii="Times New Roman" w:hAnsi="Times New Roman" w:cs="Times New Roman"/>
                <w:color w:val="000000" w:themeColor="text1"/>
                <w:kern w:val="2"/>
                <w:sz w:val="21"/>
                <w:szCs w:val="21"/>
              </w:rPr>
            </w:pPr>
          </w:p>
        </w:tc>
        <w:tc>
          <w:tcPr>
            <w:tcW w:w="1311" w:type="dxa"/>
            <w:tcBorders>
              <w:top w:val="single" w:color="auto" w:sz="4" w:space="0"/>
              <w:left w:val="single" w:color="auto" w:sz="4" w:space="0"/>
              <w:bottom w:val="single" w:color="auto" w:sz="4" w:space="0"/>
              <w:right w:val="single" w:color="auto" w:sz="4" w:space="0"/>
            </w:tcBorders>
            <w:vAlign w:val="center"/>
          </w:tcPr>
          <w:p w14:paraId="491BB4C0">
            <w:pPr>
              <w:tabs>
                <w:tab w:val="left" w:pos="1418"/>
              </w:tabs>
              <w:snapToGrid w:val="0"/>
              <w:jc w:val="center"/>
              <w:rPr>
                <w:rFonts w:ascii="Times New Roman" w:hAnsi="Times New Roman" w:cs="Times New Roman"/>
                <w:color w:val="000000" w:themeColor="text1"/>
                <w:spacing w:val="20"/>
              </w:rPr>
            </w:pPr>
          </w:p>
        </w:tc>
        <w:tc>
          <w:tcPr>
            <w:tcW w:w="873" w:type="dxa"/>
            <w:tcBorders>
              <w:top w:val="single" w:color="auto" w:sz="4" w:space="0"/>
              <w:left w:val="single" w:color="auto" w:sz="4" w:space="0"/>
              <w:bottom w:val="single" w:color="auto" w:sz="4" w:space="0"/>
              <w:right w:val="single" w:color="auto" w:sz="4" w:space="0"/>
            </w:tcBorders>
            <w:vAlign w:val="center"/>
          </w:tcPr>
          <w:p w14:paraId="609BD24A">
            <w:pPr>
              <w:tabs>
                <w:tab w:val="left" w:pos="1418"/>
              </w:tabs>
              <w:snapToGrid w:val="0"/>
              <w:jc w:val="center"/>
              <w:rPr>
                <w:rFonts w:ascii="Times New Roman" w:hAnsi="Times New Roman" w:cs="Times New Roman"/>
                <w:color w:val="000000" w:themeColor="text1"/>
                <w:spacing w:val="20"/>
              </w:rPr>
            </w:pPr>
          </w:p>
        </w:tc>
        <w:tc>
          <w:tcPr>
            <w:tcW w:w="1006" w:type="dxa"/>
            <w:tcBorders>
              <w:top w:val="single" w:color="auto" w:sz="4" w:space="0"/>
              <w:left w:val="single" w:color="auto" w:sz="4" w:space="0"/>
              <w:bottom w:val="single" w:color="auto" w:sz="4" w:space="0"/>
            </w:tcBorders>
            <w:vAlign w:val="center"/>
          </w:tcPr>
          <w:p w14:paraId="61D1C9A6">
            <w:pPr>
              <w:tabs>
                <w:tab w:val="left" w:pos="1418"/>
              </w:tabs>
              <w:snapToGrid w:val="0"/>
              <w:jc w:val="center"/>
              <w:rPr>
                <w:rFonts w:ascii="Times New Roman" w:hAnsi="Times New Roman" w:cs="Times New Roman"/>
                <w:color w:val="000000" w:themeColor="text1"/>
                <w:spacing w:val="20"/>
              </w:rPr>
            </w:pPr>
          </w:p>
        </w:tc>
        <w:tc>
          <w:tcPr>
            <w:tcW w:w="1006" w:type="dxa"/>
            <w:tcBorders>
              <w:top w:val="single" w:color="auto" w:sz="4" w:space="0"/>
              <w:left w:val="single" w:color="auto" w:sz="4" w:space="0"/>
              <w:bottom w:val="single" w:color="auto" w:sz="4" w:space="0"/>
            </w:tcBorders>
            <w:vAlign w:val="center"/>
          </w:tcPr>
          <w:p w14:paraId="0AC4A9A1">
            <w:pPr>
              <w:tabs>
                <w:tab w:val="left" w:pos="1418"/>
              </w:tabs>
              <w:snapToGrid w:val="0"/>
              <w:jc w:val="center"/>
              <w:rPr>
                <w:rFonts w:ascii="Times New Roman" w:hAnsi="Times New Roman" w:cs="Times New Roman"/>
                <w:color w:val="000000" w:themeColor="text1"/>
                <w:spacing w:val="20"/>
              </w:rPr>
            </w:pPr>
          </w:p>
        </w:tc>
        <w:tc>
          <w:tcPr>
            <w:tcW w:w="1006" w:type="dxa"/>
            <w:tcBorders>
              <w:top w:val="single" w:color="auto" w:sz="4" w:space="0"/>
              <w:left w:val="single" w:color="auto" w:sz="4" w:space="0"/>
              <w:bottom w:val="single" w:color="auto" w:sz="4" w:space="0"/>
            </w:tcBorders>
            <w:vAlign w:val="center"/>
          </w:tcPr>
          <w:p w14:paraId="309F2B3E">
            <w:pPr>
              <w:tabs>
                <w:tab w:val="left" w:pos="1418"/>
              </w:tabs>
              <w:snapToGrid w:val="0"/>
              <w:jc w:val="center"/>
              <w:rPr>
                <w:rFonts w:ascii="Times New Roman" w:hAnsi="Times New Roman" w:cs="Times New Roman"/>
                <w:color w:val="000000" w:themeColor="text1"/>
                <w:spacing w:val="20"/>
              </w:rPr>
            </w:pPr>
          </w:p>
        </w:tc>
        <w:tc>
          <w:tcPr>
            <w:tcW w:w="1006" w:type="dxa"/>
            <w:tcBorders>
              <w:top w:val="single" w:color="auto" w:sz="4" w:space="0"/>
              <w:left w:val="single" w:color="auto" w:sz="4" w:space="0"/>
              <w:bottom w:val="single" w:color="auto" w:sz="4" w:space="0"/>
            </w:tcBorders>
            <w:vAlign w:val="center"/>
          </w:tcPr>
          <w:p w14:paraId="2392FE03">
            <w:pPr>
              <w:tabs>
                <w:tab w:val="left" w:pos="1418"/>
              </w:tabs>
              <w:snapToGrid w:val="0"/>
              <w:jc w:val="center"/>
              <w:rPr>
                <w:rFonts w:ascii="Times New Roman" w:hAnsi="Times New Roman" w:cs="Times New Roman"/>
                <w:color w:val="000000" w:themeColor="text1"/>
                <w:spacing w:val="20"/>
              </w:rPr>
            </w:pPr>
          </w:p>
        </w:tc>
      </w:tr>
      <w:tr w14:paraId="7A1872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524" w:hRule="atLeast"/>
        </w:trPr>
        <w:tc>
          <w:tcPr>
            <w:tcW w:w="718" w:type="dxa"/>
            <w:tcBorders>
              <w:top w:val="single" w:color="auto" w:sz="4" w:space="0"/>
              <w:bottom w:val="single" w:color="auto" w:sz="4" w:space="0"/>
              <w:right w:val="single" w:color="auto" w:sz="4" w:space="0"/>
            </w:tcBorders>
            <w:vAlign w:val="center"/>
          </w:tcPr>
          <w:p w14:paraId="005CA0C4">
            <w:pPr>
              <w:pStyle w:val="2"/>
              <w:jc w:val="center"/>
              <w:rPr>
                <w:rFonts w:ascii="Times New Roman" w:hAnsi="Times New Roman" w:cs="Times New Roman"/>
                <w:color w:val="000000" w:themeColor="text1"/>
                <w:spacing w:val="20"/>
                <w:kern w:val="2"/>
                <w:sz w:val="21"/>
                <w:szCs w:val="21"/>
              </w:rPr>
            </w:pPr>
            <w:r>
              <w:rPr>
                <w:rFonts w:ascii="Times New Roman" w:hAnsi="Times New Roman" w:cs="Times New Roman"/>
                <w:color w:val="000000" w:themeColor="text1"/>
                <w:spacing w:val="20"/>
                <w:kern w:val="2"/>
                <w:sz w:val="21"/>
                <w:szCs w:val="21"/>
              </w:rPr>
              <w:t>3</w:t>
            </w:r>
          </w:p>
        </w:tc>
        <w:tc>
          <w:tcPr>
            <w:tcW w:w="1569" w:type="dxa"/>
            <w:tcBorders>
              <w:top w:val="single" w:color="auto" w:sz="4" w:space="0"/>
              <w:left w:val="single" w:color="auto" w:sz="4" w:space="0"/>
              <w:bottom w:val="single" w:color="auto" w:sz="4" w:space="0"/>
              <w:right w:val="single" w:color="auto" w:sz="4" w:space="0"/>
            </w:tcBorders>
            <w:vAlign w:val="center"/>
          </w:tcPr>
          <w:p w14:paraId="59C986C4">
            <w:pPr>
              <w:pStyle w:val="2"/>
              <w:jc w:val="center"/>
              <w:rPr>
                <w:rFonts w:ascii="Times New Roman" w:hAnsi="Times New Roman" w:cs="Times New Roman"/>
                <w:color w:val="000000" w:themeColor="text1"/>
                <w:kern w:val="2"/>
                <w:sz w:val="21"/>
                <w:szCs w:val="21"/>
              </w:rPr>
            </w:pPr>
          </w:p>
        </w:tc>
        <w:tc>
          <w:tcPr>
            <w:tcW w:w="1311" w:type="dxa"/>
            <w:tcBorders>
              <w:top w:val="single" w:color="auto" w:sz="4" w:space="0"/>
              <w:left w:val="single" w:color="auto" w:sz="4" w:space="0"/>
              <w:bottom w:val="single" w:color="auto" w:sz="4" w:space="0"/>
              <w:right w:val="single" w:color="auto" w:sz="4" w:space="0"/>
            </w:tcBorders>
            <w:vAlign w:val="center"/>
          </w:tcPr>
          <w:p w14:paraId="162F10A5">
            <w:pPr>
              <w:tabs>
                <w:tab w:val="left" w:pos="1418"/>
              </w:tabs>
              <w:snapToGrid w:val="0"/>
              <w:jc w:val="center"/>
              <w:rPr>
                <w:rFonts w:ascii="Times New Roman" w:hAnsi="Times New Roman" w:cs="Times New Roman"/>
                <w:color w:val="000000" w:themeColor="text1"/>
                <w:spacing w:val="20"/>
              </w:rPr>
            </w:pPr>
          </w:p>
        </w:tc>
        <w:tc>
          <w:tcPr>
            <w:tcW w:w="873" w:type="dxa"/>
            <w:tcBorders>
              <w:top w:val="single" w:color="auto" w:sz="4" w:space="0"/>
              <w:left w:val="single" w:color="auto" w:sz="4" w:space="0"/>
              <w:bottom w:val="single" w:color="auto" w:sz="4" w:space="0"/>
              <w:right w:val="single" w:color="auto" w:sz="4" w:space="0"/>
            </w:tcBorders>
            <w:vAlign w:val="center"/>
          </w:tcPr>
          <w:p w14:paraId="45AC2D1F">
            <w:pPr>
              <w:tabs>
                <w:tab w:val="left" w:pos="1418"/>
              </w:tabs>
              <w:snapToGrid w:val="0"/>
              <w:jc w:val="center"/>
              <w:rPr>
                <w:rFonts w:ascii="Times New Roman" w:hAnsi="Times New Roman" w:cs="Times New Roman"/>
                <w:color w:val="000000" w:themeColor="text1"/>
                <w:spacing w:val="20"/>
              </w:rPr>
            </w:pPr>
          </w:p>
        </w:tc>
        <w:tc>
          <w:tcPr>
            <w:tcW w:w="1006" w:type="dxa"/>
            <w:tcBorders>
              <w:top w:val="single" w:color="auto" w:sz="4" w:space="0"/>
              <w:left w:val="single" w:color="auto" w:sz="4" w:space="0"/>
              <w:bottom w:val="single" w:color="auto" w:sz="4" w:space="0"/>
            </w:tcBorders>
            <w:vAlign w:val="center"/>
          </w:tcPr>
          <w:p w14:paraId="36479DFB">
            <w:pPr>
              <w:tabs>
                <w:tab w:val="left" w:pos="1418"/>
              </w:tabs>
              <w:snapToGrid w:val="0"/>
              <w:jc w:val="center"/>
              <w:rPr>
                <w:rFonts w:ascii="Times New Roman" w:hAnsi="Times New Roman" w:cs="Times New Roman"/>
                <w:color w:val="000000" w:themeColor="text1"/>
                <w:spacing w:val="20"/>
              </w:rPr>
            </w:pPr>
          </w:p>
        </w:tc>
        <w:tc>
          <w:tcPr>
            <w:tcW w:w="1006" w:type="dxa"/>
            <w:tcBorders>
              <w:top w:val="single" w:color="auto" w:sz="4" w:space="0"/>
              <w:left w:val="single" w:color="auto" w:sz="4" w:space="0"/>
              <w:bottom w:val="single" w:color="auto" w:sz="4" w:space="0"/>
            </w:tcBorders>
            <w:vAlign w:val="center"/>
          </w:tcPr>
          <w:p w14:paraId="7485EE6D">
            <w:pPr>
              <w:tabs>
                <w:tab w:val="left" w:pos="1418"/>
              </w:tabs>
              <w:snapToGrid w:val="0"/>
              <w:jc w:val="center"/>
              <w:rPr>
                <w:rFonts w:ascii="Times New Roman" w:hAnsi="Times New Roman" w:cs="Times New Roman"/>
                <w:color w:val="000000" w:themeColor="text1"/>
                <w:spacing w:val="20"/>
              </w:rPr>
            </w:pPr>
          </w:p>
        </w:tc>
        <w:tc>
          <w:tcPr>
            <w:tcW w:w="1006" w:type="dxa"/>
            <w:tcBorders>
              <w:top w:val="single" w:color="auto" w:sz="4" w:space="0"/>
              <w:left w:val="single" w:color="auto" w:sz="4" w:space="0"/>
              <w:bottom w:val="single" w:color="auto" w:sz="4" w:space="0"/>
            </w:tcBorders>
            <w:vAlign w:val="center"/>
          </w:tcPr>
          <w:p w14:paraId="4A671D7D">
            <w:pPr>
              <w:tabs>
                <w:tab w:val="left" w:pos="1418"/>
              </w:tabs>
              <w:snapToGrid w:val="0"/>
              <w:jc w:val="center"/>
              <w:rPr>
                <w:rFonts w:ascii="Times New Roman" w:hAnsi="Times New Roman" w:cs="Times New Roman"/>
                <w:color w:val="000000" w:themeColor="text1"/>
                <w:spacing w:val="20"/>
              </w:rPr>
            </w:pPr>
          </w:p>
        </w:tc>
        <w:tc>
          <w:tcPr>
            <w:tcW w:w="1006" w:type="dxa"/>
            <w:tcBorders>
              <w:top w:val="single" w:color="auto" w:sz="4" w:space="0"/>
              <w:left w:val="single" w:color="auto" w:sz="4" w:space="0"/>
              <w:bottom w:val="single" w:color="auto" w:sz="4" w:space="0"/>
            </w:tcBorders>
            <w:vAlign w:val="center"/>
          </w:tcPr>
          <w:p w14:paraId="579469B3">
            <w:pPr>
              <w:tabs>
                <w:tab w:val="left" w:pos="1418"/>
              </w:tabs>
              <w:snapToGrid w:val="0"/>
              <w:jc w:val="center"/>
              <w:rPr>
                <w:rFonts w:ascii="Times New Roman" w:hAnsi="Times New Roman" w:cs="Times New Roman"/>
                <w:color w:val="000000" w:themeColor="text1"/>
                <w:spacing w:val="20"/>
              </w:rPr>
            </w:pPr>
          </w:p>
        </w:tc>
      </w:tr>
      <w:tr w14:paraId="1A6E76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524" w:hRule="atLeast"/>
        </w:trPr>
        <w:tc>
          <w:tcPr>
            <w:tcW w:w="718" w:type="dxa"/>
            <w:tcBorders>
              <w:top w:val="single" w:color="auto" w:sz="4" w:space="0"/>
              <w:bottom w:val="single" w:color="auto" w:sz="4" w:space="0"/>
              <w:right w:val="single" w:color="auto" w:sz="4" w:space="0"/>
            </w:tcBorders>
            <w:vAlign w:val="center"/>
          </w:tcPr>
          <w:p w14:paraId="0E7A2510">
            <w:pPr>
              <w:pStyle w:val="2"/>
              <w:jc w:val="center"/>
              <w:rPr>
                <w:rFonts w:ascii="Times New Roman" w:hAnsi="Times New Roman" w:cs="Times New Roman"/>
                <w:color w:val="000000" w:themeColor="text1"/>
                <w:spacing w:val="20"/>
                <w:kern w:val="2"/>
                <w:sz w:val="21"/>
                <w:szCs w:val="21"/>
              </w:rPr>
            </w:pPr>
            <w:r>
              <w:rPr>
                <w:rFonts w:ascii="Times New Roman" w:hAnsi="Times New Roman" w:cs="Times New Roman"/>
                <w:color w:val="000000" w:themeColor="text1"/>
                <w:spacing w:val="20"/>
                <w:kern w:val="2"/>
                <w:sz w:val="21"/>
                <w:szCs w:val="21"/>
              </w:rPr>
              <w:t>4</w:t>
            </w:r>
          </w:p>
        </w:tc>
        <w:tc>
          <w:tcPr>
            <w:tcW w:w="1569" w:type="dxa"/>
            <w:tcBorders>
              <w:top w:val="single" w:color="auto" w:sz="4" w:space="0"/>
              <w:left w:val="single" w:color="auto" w:sz="4" w:space="0"/>
              <w:bottom w:val="single" w:color="auto" w:sz="4" w:space="0"/>
              <w:right w:val="single" w:color="auto" w:sz="4" w:space="0"/>
            </w:tcBorders>
            <w:vAlign w:val="center"/>
          </w:tcPr>
          <w:p w14:paraId="332830B7">
            <w:pPr>
              <w:pStyle w:val="2"/>
              <w:jc w:val="center"/>
              <w:rPr>
                <w:rFonts w:ascii="Times New Roman" w:hAnsi="Times New Roman" w:cs="Times New Roman"/>
                <w:color w:val="000000" w:themeColor="text1"/>
                <w:kern w:val="2"/>
                <w:sz w:val="21"/>
                <w:szCs w:val="21"/>
              </w:rPr>
            </w:pPr>
          </w:p>
        </w:tc>
        <w:tc>
          <w:tcPr>
            <w:tcW w:w="1311" w:type="dxa"/>
            <w:tcBorders>
              <w:top w:val="single" w:color="auto" w:sz="4" w:space="0"/>
              <w:left w:val="single" w:color="auto" w:sz="4" w:space="0"/>
              <w:bottom w:val="single" w:color="auto" w:sz="4" w:space="0"/>
              <w:right w:val="single" w:color="auto" w:sz="4" w:space="0"/>
            </w:tcBorders>
            <w:vAlign w:val="center"/>
          </w:tcPr>
          <w:p w14:paraId="4AFFCA09">
            <w:pPr>
              <w:tabs>
                <w:tab w:val="left" w:pos="1418"/>
              </w:tabs>
              <w:snapToGrid w:val="0"/>
              <w:jc w:val="center"/>
              <w:rPr>
                <w:rFonts w:ascii="Times New Roman" w:hAnsi="Times New Roman" w:cs="Times New Roman"/>
                <w:color w:val="000000" w:themeColor="text1"/>
                <w:spacing w:val="20"/>
              </w:rPr>
            </w:pPr>
          </w:p>
        </w:tc>
        <w:tc>
          <w:tcPr>
            <w:tcW w:w="873" w:type="dxa"/>
            <w:tcBorders>
              <w:top w:val="single" w:color="auto" w:sz="4" w:space="0"/>
              <w:left w:val="single" w:color="auto" w:sz="4" w:space="0"/>
              <w:bottom w:val="single" w:color="auto" w:sz="4" w:space="0"/>
              <w:right w:val="single" w:color="auto" w:sz="4" w:space="0"/>
            </w:tcBorders>
            <w:vAlign w:val="center"/>
          </w:tcPr>
          <w:p w14:paraId="3ADE8897">
            <w:pPr>
              <w:tabs>
                <w:tab w:val="left" w:pos="1418"/>
              </w:tabs>
              <w:snapToGrid w:val="0"/>
              <w:jc w:val="center"/>
              <w:rPr>
                <w:rFonts w:ascii="Times New Roman" w:hAnsi="Times New Roman" w:cs="Times New Roman"/>
                <w:color w:val="000000" w:themeColor="text1"/>
                <w:spacing w:val="20"/>
              </w:rPr>
            </w:pPr>
          </w:p>
        </w:tc>
        <w:tc>
          <w:tcPr>
            <w:tcW w:w="1006" w:type="dxa"/>
            <w:tcBorders>
              <w:top w:val="single" w:color="auto" w:sz="4" w:space="0"/>
              <w:left w:val="single" w:color="auto" w:sz="4" w:space="0"/>
              <w:bottom w:val="single" w:color="auto" w:sz="4" w:space="0"/>
            </w:tcBorders>
            <w:vAlign w:val="center"/>
          </w:tcPr>
          <w:p w14:paraId="5BAF05E2">
            <w:pPr>
              <w:tabs>
                <w:tab w:val="left" w:pos="1418"/>
              </w:tabs>
              <w:snapToGrid w:val="0"/>
              <w:jc w:val="center"/>
              <w:rPr>
                <w:rFonts w:ascii="Times New Roman" w:hAnsi="Times New Roman" w:cs="Times New Roman"/>
                <w:color w:val="000000" w:themeColor="text1"/>
                <w:spacing w:val="20"/>
              </w:rPr>
            </w:pPr>
          </w:p>
        </w:tc>
        <w:tc>
          <w:tcPr>
            <w:tcW w:w="1006" w:type="dxa"/>
            <w:tcBorders>
              <w:top w:val="single" w:color="auto" w:sz="4" w:space="0"/>
              <w:left w:val="single" w:color="auto" w:sz="4" w:space="0"/>
              <w:bottom w:val="single" w:color="auto" w:sz="4" w:space="0"/>
            </w:tcBorders>
            <w:vAlign w:val="center"/>
          </w:tcPr>
          <w:p w14:paraId="3D7CB5C2">
            <w:pPr>
              <w:tabs>
                <w:tab w:val="left" w:pos="1418"/>
              </w:tabs>
              <w:snapToGrid w:val="0"/>
              <w:jc w:val="center"/>
              <w:rPr>
                <w:rFonts w:ascii="Times New Roman" w:hAnsi="Times New Roman" w:cs="Times New Roman"/>
                <w:color w:val="000000" w:themeColor="text1"/>
                <w:spacing w:val="20"/>
              </w:rPr>
            </w:pPr>
          </w:p>
        </w:tc>
        <w:tc>
          <w:tcPr>
            <w:tcW w:w="1006" w:type="dxa"/>
            <w:tcBorders>
              <w:top w:val="single" w:color="auto" w:sz="4" w:space="0"/>
              <w:left w:val="single" w:color="auto" w:sz="4" w:space="0"/>
              <w:bottom w:val="single" w:color="auto" w:sz="4" w:space="0"/>
            </w:tcBorders>
            <w:vAlign w:val="center"/>
          </w:tcPr>
          <w:p w14:paraId="2FEA0F5C">
            <w:pPr>
              <w:tabs>
                <w:tab w:val="left" w:pos="1418"/>
              </w:tabs>
              <w:snapToGrid w:val="0"/>
              <w:jc w:val="center"/>
              <w:rPr>
                <w:rFonts w:ascii="Times New Roman" w:hAnsi="Times New Roman" w:cs="Times New Roman"/>
                <w:color w:val="000000" w:themeColor="text1"/>
                <w:spacing w:val="20"/>
              </w:rPr>
            </w:pPr>
          </w:p>
        </w:tc>
        <w:tc>
          <w:tcPr>
            <w:tcW w:w="1006" w:type="dxa"/>
            <w:tcBorders>
              <w:top w:val="single" w:color="auto" w:sz="4" w:space="0"/>
              <w:left w:val="single" w:color="auto" w:sz="4" w:space="0"/>
              <w:bottom w:val="single" w:color="auto" w:sz="4" w:space="0"/>
            </w:tcBorders>
            <w:vAlign w:val="center"/>
          </w:tcPr>
          <w:p w14:paraId="2C624409">
            <w:pPr>
              <w:tabs>
                <w:tab w:val="left" w:pos="1418"/>
              </w:tabs>
              <w:snapToGrid w:val="0"/>
              <w:jc w:val="center"/>
              <w:rPr>
                <w:rFonts w:ascii="Times New Roman" w:hAnsi="Times New Roman" w:cs="Times New Roman"/>
                <w:color w:val="000000" w:themeColor="text1"/>
                <w:spacing w:val="20"/>
              </w:rPr>
            </w:pPr>
          </w:p>
        </w:tc>
      </w:tr>
      <w:tr w14:paraId="3C2A99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524" w:hRule="atLeast"/>
        </w:trPr>
        <w:tc>
          <w:tcPr>
            <w:tcW w:w="718" w:type="dxa"/>
            <w:tcBorders>
              <w:top w:val="single" w:color="auto" w:sz="4" w:space="0"/>
              <w:bottom w:val="single" w:color="auto" w:sz="4" w:space="0"/>
              <w:right w:val="single" w:color="auto" w:sz="4" w:space="0"/>
            </w:tcBorders>
            <w:vAlign w:val="center"/>
          </w:tcPr>
          <w:p w14:paraId="03FBF32C">
            <w:pPr>
              <w:pStyle w:val="2"/>
              <w:jc w:val="center"/>
              <w:rPr>
                <w:rFonts w:ascii="Times New Roman" w:hAnsi="Times New Roman" w:cs="Times New Roman"/>
                <w:color w:val="000000" w:themeColor="text1"/>
                <w:spacing w:val="20"/>
                <w:kern w:val="2"/>
                <w:sz w:val="21"/>
                <w:szCs w:val="21"/>
              </w:rPr>
            </w:pPr>
            <w:r>
              <w:rPr>
                <w:rFonts w:ascii="Times New Roman" w:hAnsi="Times New Roman" w:cs="Times New Roman"/>
                <w:color w:val="000000" w:themeColor="text1"/>
                <w:spacing w:val="20"/>
              </w:rPr>
              <w:t>...</w:t>
            </w:r>
          </w:p>
        </w:tc>
        <w:tc>
          <w:tcPr>
            <w:tcW w:w="1569" w:type="dxa"/>
            <w:tcBorders>
              <w:top w:val="single" w:color="auto" w:sz="4" w:space="0"/>
              <w:left w:val="single" w:color="auto" w:sz="4" w:space="0"/>
              <w:bottom w:val="single" w:color="auto" w:sz="4" w:space="0"/>
              <w:right w:val="single" w:color="auto" w:sz="4" w:space="0"/>
            </w:tcBorders>
            <w:vAlign w:val="center"/>
          </w:tcPr>
          <w:p w14:paraId="01F9D099">
            <w:pPr>
              <w:pStyle w:val="2"/>
              <w:jc w:val="center"/>
              <w:rPr>
                <w:rFonts w:ascii="Times New Roman" w:hAnsi="Times New Roman" w:cs="Times New Roman"/>
                <w:color w:val="000000" w:themeColor="text1"/>
                <w:kern w:val="2"/>
                <w:sz w:val="21"/>
                <w:szCs w:val="21"/>
              </w:rPr>
            </w:pPr>
          </w:p>
        </w:tc>
        <w:tc>
          <w:tcPr>
            <w:tcW w:w="1311" w:type="dxa"/>
            <w:tcBorders>
              <w:top w:val="single" w:color="auto" w:sz="4" w:space="0"/>
              <w:left w:val="single" w:color="auto" w:sz="4" w:space="0"/>
              <w:bottom w:val="single" w:color="auto" w:sz="4" w:space="0"/>
              <w:right w:val="single" w:color="auto" w:sz="4" w:space="0"/>
            </w:tcBorders>
            <w:vAlign w:val="center"/>
          </w:tcPr>
          <w:p w14:paraId="2778A5E9">
            <w:pPr>
              <w:tabs>
                <w:tab w:val="left" w:pos="1418"/>
              </w:tabs>
              <w:snapToGrid w:val="0"/>
              <w:jc w:val="center"/>
              <w:rPr>
                <w:rFonts w:ascii="Times New Roman" w:hAnsi="Times New Roman" w:cs="Times New Roman"/>
                <w:color w:val="000000" w:themeColor="text1"/>
                <w:spacing w:val="20"/>
              </w:rPr>
            </w:pPr>
          </w:p>
        </w:tc>
        <w:tc>
          <w:tcPr>
            <w:tcW w:w="873" w:type="dxa"/>
            <w:tcBorders>
              <w:top w:val="single" w:color="auto" w:sz="4" w:space="0"/>
              <w:left w:val="single" w:color="auto" w:sz="4" w:space="0"/>
              <w:bottom w:val="single" w:color="auto" w:sz="4" w:space="0"/>
              <w:right w:val="single" w:color="auto" w:sz="4" w:space="0"/>
            </w:tcBorders>
            <w:vAlign w:val="center"/>
          </w:tcPr>
          <w:p w14:paraId="1009C972">
            <w:pPr>
              <w:tabs>
                <w:tab w:val="left" w:pos="1418"/>
              </w:tabs>
              <w:snapToGrid w:val="0"/>
              <w:jc w:val="center"/>
              <w:rPr>
                <w:rFonts w:ascii="Times New Roman" w:hAnsi="Times New Roman" w:cs="Times New Roman"/>
                <w:color w:val="000000" w:themeColor="text1"/>
                <w:spacing w:val="20"/>
              </w:rPr>
            </w:pPr>
          </w:p>
        </w:tc>
        <w:tc>
          <w:tcPr>
            <w:tcW w:w="1006" w:type="dxa"/>
            <w:tcBorders>
              <w:top w:val="single" w:color="auto" w:sz="4" w:space="0"/>
              <w:left w:val="single" w:color="auto" w:sz="4" w:space="0"/>
              <w:bottom w:val="single" w:color="auto" w:sz="4" w:space="0"/>
            </w:tcBorders>
            <w:vAlign w:val="center"/>
          </w:tcPr>
          <w:p w14:paraId="6EF60BDE">
            <w:pPr>
              <w:tabs>
                <w:tab w:val="left" w:pos="1418"/>
              </w:tabs>
              <w:snapToGrid w:val="0"/>
              <w:jc w:val="center"/>
              <w:rPr>
                <w:rFonts w:ascii="Times New Roman" w:hAnsi="Times New Roman" w:cs="Times New Roman"/>
                <w:color w:val="000000" w:themeColor="text1"/>
                <w:spacing w:val="20"/>
              </w:rPr>
            </w:pPr>
          </w:p>
        </w:tc>
        <w:tc>
          <w:tcPr>
            <w:tcW w:w="1006" w:type="dxa"/>
            <w:tcBorders>
              <w:top w:val="single" w:color="auto" w:sz="4" w:space="0"/>
              <w:left w:val="single" w:color="auto" w:sz="4" w:space="0"/>
              <w:bottom w:val="single" w:color="auto" w:sz="4" w:space="0"/>
            </w:tcBorders>
            <w:vAlign w:val="center"/>
          </w:tcPr>
          <w:p w14:paraId="574E0445">
            <w:pPr>
              <w:tabs>
                <w:tab w:val="left" w:pos="1418"/>
              </w:tabs>
              <w:snapToGrid w:val="0"/>
              <w:jc w:val="center"/>
              <w:rPr>
                <w:rFonts w:ascii="Times New Roman" w:hAnsi="Times New Roman" w:cs="Times New Roman"/>
                <w:color w:val="000000" w:themeColor="text1"/>
                <w:spacing w:val="20"/>
              </w:rPr>
            </w:pPr>
          </w:p>
        </w:tc>
        <w:tc>
          <w:tcPr>
            <w:tcW w:w="1006" w:type="dxa"/>
            <w:tcBorders>
              <w:top w:val="single" w:color="auto" w:sz="4" w:space="0"/>
              <w:left w:val="single" w:color="auto" w:sz="4" w:space="0"/>
              <w:bottom w:val="single" w:color="auto" w:sz="4" w:space="0"/>
            </w:tcBorders>
            <w:vAlign w:val="center"/>
          </w:tcPr>
          <w:p w14:paraId="54298A8A">
            <w:pPr>
              <w:tabs>
                <w:tab w:val="left" w:pos="1418"/>
              </w:tabs>
              <w:snapToGrid w:val="0"/>
              <w:jc w:val="center"/>
              <w:rPr>
                <w:rFonts w:ascii="Times New Roman" w:hAnsi="Times New Roman" w:cs="Times New Roman"/>
                <w:color w:val="000000" w:themeColor="text1"/>
                <w:spacing w:val="20"/>
              </w:rPr>
            </w:pPr>
          </w:p>
        </w:tc>
        <w:tc>
          <w:tcPr>
            <w:tcW w:w="1006" w:type="dxa"/>
            <w:tcBorders>
              <w:top w:val="single" w:color="auto" w:sz="4" w:space="0"/>
              <w:left w:val="single" w:color="auto" w:sz="4" w:space="0"/>
              <w:bottom w:val="single" w:color="auto" w:sz="4" w:space="0"/>
            </w:tcBorders>
            <w:vAlign w:val="center"/>
          </w:tcPr>
          <w:p w14:paraId="046870FD">
            <w:pPr>
              <w:tabs>
                <w:tab w:val="left" w:pos="1418"/>
              </w:tabs>
              <w:snapToGrid w:val="0"/>
              <w:jc w:val="center"/>
              <w:rPr>
                <w:rFonts w:ascii="Times New Roman" w:hAnsi="Times New Roman" w:cs="Times New Roman"/>
                <w:color w:val="000000" w:themeColor="text1"/>
                <w:spacing w:val="20"/>
              </w:rPr>
            </w:pPr>
          </w:p>
        </w:tc>
      </w:tr>
      <w:tr w14:paraId="098246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703" w:hRule="atLeast"/>
        </w:trPr>
        <w:tc>
          <w:tcPr>
            <w:tcW w:w="718" w:type="dxa"/>
            <w:tcBorders>
              <w:top w:val="single" w:color="auto" w:sz="4" w:space="0"/>
              <w:bottom w:val="single" w:color="auto" w:sz="4" w:space="0"/>
              <w:right w:val="single" w:color="auto" w:sz="4" w:space="0"/>
            </w:tcBorders>
            <w:vAlign w:val="center"/>
          </w:tcPr>
          <w:p w14:paraId="54075EFE">
            <w:pPr>
              <w:tabs>
                <w:tab w:val="left" w:pos="1418"/>
              </w:tabs>
              <w:snapToGrid w:val="0"/>
              <w:jc w:val="left"/>
              <w:rPr>
                <w:rFonts w:ascii="Times New Roman" w:hAnsi="Times New Roman" w:cs="Times New Roman"/>
                <w:color w:val="000000" w:themeColor="text1"/>
                <w:spacing w:val="20"/>
              </w:rPr>
            </w:pPr>
            <w:r>
              <w:rPr>
                <w:rFonts w:ascii="Times New Roman" w:hAnsi="Times New Roman" w:cs="Times New Roman"/>
                <w:color w:val="000000" w:themeColor="text1"/>
                <w:spacing w:val="20"/>
              </w:rPr>
              <w:t>投标总价</w:t>
            </w:r>
          </w:p>
        </w:tc>
        <w:tc>
          <w:tcPr>
            <w:tcW w:w="7777" w:type="dxa"/>
            <w:gridSpan w:val="7"/>
            <w:tcBorders>
              <w:top w:val="single" w:color="auto" w:sz="4" w:space="0"/>
              <w:left w:val="single" w:color="auto" w:sz="4" w:space="0"/>
              <w:bottom w:val="single" w:color="auto" w:sz="4" w:space="0"/>
            </w:tcBorders>
            <w:vAlign w:val="center"/>
          </w:tcPr>
          <w:p w14:paraId="558F8E8B">
            <w:pPr>
              <w:tabs>
                <w:tab w:val="left" w:pos="1418"/>
              </w:tabs>
              <w:snapToGrid w:val="0"/>
              <w:jc w:val="left"/>
              <w:rPr>
                <w:rFonts w:ascii="Times New Roman" w:hAnsi="Times New Roman" w:cs="Times New Roman"/>
                <w:color w:val="000000" w:themeColor="text1"/>
              </w:rPr>
            </w:pPr>
            <w:r>
              <w:rPr>
                <w:rFonts w:ascii="Times New Roman" w:hAnsi="Times New Roman" w:cs="Times New Roman"/>
                <w:color w:val="000000" w:themeColor="text1"/>
              </w:rPr>
              <w:t>（小写）人民币元</w:t>
            </w:r>
          </w:p>
          <w:p w14:paraId="7AF2DC8C">
            <w:pPr>
              <w:pStyle w:val="4"/>
              <w:jc w:val="left"/>
              <w:rPr>
                <w:rFonts w:ascii="Times New Roman" w:hAnsi="Times New Roman" w:cs="Times New Roman"/>
                <w:b w:val="0"/>
                <w:bCs w:val="0"/>
                <w:color w:val="000000" w:themeColor="text1"/>
                <w:kern w:val="2"/>
                <w:sz w:val="21"/>
                <w:szCs w:val="21"/>
              </w:rPr>
            </w:pPr>
            <w:r>
              <w:rPr>
                <w:rFonts w:ascii="Times New Roman" w:hAnsi="Times New Roman" w:cs="Times New Roman"/>
                <w:b w:val="0"/>
                <w:bCs w:val="0"/>
                <w:color w:val="000000" w:themeColor="text1"/>
                <w:kern w:val="2"/>
                <w:sz w:val="21"/>
                <w:szCs w:val="21"/>
              </w:rPr>
              <w:t>（大写）人民币元</w:t>
            </w:r>
          </w:p>
        </w:tc>
      </w:tr>
    </w:tbl>
    <w:p w14:paraId="7AEB1240">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注：1、要求细化以上各项费用的构成，根据实际需要可增删项目。</w:t>
      </w:r>
    </w:p>
    <w:p w14:paraId="6288889C">
      <w:pPr>
        <w:spacing w:line="360" w:lineRule="auto"/>
        <w:ind w:firstLine="420" w:firstLineChars="200"/>
        <w:rPr>
          <w:rFonts w:ascii="Times New Roman" w:hAnsi="Times New Roman" w:cs="Times New Roman"/>
          <w:color w:val="000000" w:themeColor="text1"/>
        </w:rPr>
      </w:pPr>
      <w:r>
        <w:rPr>
          <w:rFonts w:ascii="Times New Roman" w:hAnsi="Times New Roman" w:cs="Times New Roman"/>
          <w:color w:val="000000" w:themeColor="text1"/>
        </w:rPr>
        <w:t>2、报价一经涂改，应在涂改处加盖单位公章或CA章或者法定代表人签字或授权代表签字，否则其投标作为无效标处理。</w:t>
      </w:r>
    </w:p>
    <w:p w14:paraId="59317DA5">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以上报价应与“开标一览表”中的“投标总价”相一致。</w:t>
      </w:r>
    </w:p>
    <w:p w14:paraId="38BDF828">
      <w:pPr>
        <w:spacing w:line="360" w:lineRule="auto"/>
        <w:ind w:firstLine="420" w:firstLineChars="200"/>
        <w:rPr>
          <w:rFonts w:ascii="Times New Roman" w:hAnsi="Times New Roman" w:cs="Times New Roman"/>
          <w:color w:val="000000" w:themeColor="text1"/>
        </w:rPr>
      </w:pPr>
    </w:p>
    <w:p w14:paraId="42733DFF">
      <w:pPr>
        <w:snapToGrid w:val="0"/>
        <w:spacing w:before="50" w:after="50" w:line="360" w:lineRule="auto"/>
        <w:rPr>
          <w:rFonts w:ascii="Times New Roman" w:hAnsi="Times New Roman" w:cs="Times New Roman"/>
          <w:color w:val="000000" w:themeColor="text1"/>
        </w:rPr>
      </w:pPr>
    </w:p>
    <w:p w14:paraId="082957E9">
      <w:pPr>
        <w:snapToGrid w:val="0"/>
        <w:spacing w:before="50" w:after="50" w:line="360" w:lineRule="auto"/>
        <w:rPr>
          <w:rFonts w:ascii="Times New Roman" w:hAnsi="Times New Roman" w:cs="Times New Roman"/>
          <w:color w:val="000000" w:themeColor="text1"/>
          <w:spacing w:val="20"/>
        </w:rPr>
      </w:pPr>
      <w:r>
        <w:rPr>
          <w:rFonts w:ascii="Times New Roman" w:hAnsi="Times New Roman" w:cs="Times New Roman"/>
          <w:color w:val="000000" w:themeColor="text1"/>
        </w:rPr>
        <w:t>法定代表人（签字或盖章）：</w:t>
      </w:r>
    </w:p>
    <w:p w14:paraId="0CF22005">
      <w:pPr>
        <w:snapToGrid w:val="0"/>
        <w:spacing w:before="50" w:after="50" w:line="360" w:lineRule="auto"/>
        <w:rPr>
          <w:rFonts w:ascii="Times New Roman" w:hAnsi="Times New Roman" w:cs="Times New Roman"/>
          <w:color w:val="000000" w:themeColor="text1"/>
          <w:spacing w:val="20"/>
        </w:rPr>
      </w:pPr>
      <w:r>
        <w:rPr>
          <w:rFonts w:ascii="Times New Roman" w:hAnsi="Times New Roman" w:cs="Times New Roman"/>
          <w:color w:val="000000" w:themeColor="text1"/>
          <w:spacing w:val="20"/>
        </w:rPr>
        <w:t>投标人盖章：</w:t>
      </w:r>
    </w:p>
    <w:p w14:paraId="52CE0C63">
      <w:pPr>
        <w:snapToGrid w:val="0"/>
        <w:spacing w:before="50" w:after="50" w:line="360" w:lineRule="auto"/>
        <w:rPr>
          <w:rFonts w:ascii="Times New Roman" w:hAnsi="Times New Roman" w:cs="Times New Roman"/>
          <w:color w:val="000000" w:themeColor="text1"/>
          <w:spacing w:val="20"/>
          <w:u w:val="single"/>
        </w:rPr>
      </w:pPr>
      <w:r>
        <w:rPr>
          <w:rFonts w:ascii="Times New Roman" w:hAnsi="Times New Roman" w:cs="Times New Roman"/>
          <w:color w:val="000000" w:themeColor="text1"/>
          <w:spacing w:val="20"/>
        </w:rPr>
        <w:t>日期：</w:t>
      </w:r>
    </w:p>
    <w:p w14:paraId="4E3E365B">
      <w:pPr>
        <w:pStyle w:val="20"/>
        <w:sectPr>
          <w:headerReference r:id="rId5" w:type="default"/>
          <w:footerReference r:id="rId6" w:type="default"/>
          <w:pgSz w:w="11906" w:h="16838"/>
          <w:pgMar w:top="1440" w:right="1797" w:bottom="1440" w:left="1803" w:header="851" w:footer="992" w:gutter="0"/>
          <w:cols w:space="720" w:num="1"/>
          <w:docGrid w:type="lines" w:linePitch="319" w:charSpace="0"/>
        </w:sectPr>
      </w:pPr>
    </w:p>
    <w:p w14:paraId="06B106DD">
      <w:pPr>
        <w:autoSpaceDE w:val="0"/>
        <w:autoSpaceDN w:val="0"/>
        <w:adjustRightInd w:val="0"/>
        <w:spacing w:line="360" w:lineRule="auto"/>
        <w:outlineLvl w:val="1"/>
        <w:rPr>
          <w:rFonts w:ascii="宋体" w:hAnsi="宋体"/>
          <w:b/>
          <w:bCs/>
          <w:sz w:val="24"/>
        </w:rPr>
      </w:pPr>
      <w:r>
        <w:rPr>
          <w:rFonts w:hint="eastAsia" w:ascii="宋体" w:hAnsi="宋体"/>
          <w:b/>
          <w:bCs/>
        </w:rPr>
        <w:t>13、</w:t>
      </w:r>
      <w:r>
        <w:rPr>
          <w:rFonts w:hint="eastAsia" w:ascii="宋体" w:hAnsi="宋体"/>
          <w:b/>
          <w:bCs/>
          <w:sz w:val="24"/>
        </w:rPr>
        <w:t>落实政府采购政策需满足的资格要求</w:t>
      </w:r>
    </w:p>
    <w:p w14:paraId="6892B76E">
      <w:pPr>
        <w:pStyle w:val="2"/>
        <w:autoSpaceDE w:val="0"/>
        <w:autoSpaceDN w:val="0"/>
        <w:adjustRightInd w:val="0"/>
        <w:spacing w:line="360" w:lineRule="auto"/>
        <w:jc w:val="left"/>
        <w:rPr>
          <w:rFonts w:ascii="宋体" w:hAnsi="宋体"/>
          <w:b/>
          <w:bCs/>
        </w:rPr>
      </w:pPr>
    </w:p>
    <w:p w14:paraId="52647A3B">
      <w:pPr>
        <w:pStyle w:val="2"/>
        <w:autoSpaceDE w:val="0"/>
        <w:autoSpaceDN w:val="0"/>
        <w:adjustRightInd w:val="0"/>
        <w:spacing w:line="360" w:lineRule="auto"/>
        <w:jc w:val="left"/>
        <w:rPr>
          <w:rFonts w:ascii="宋体"/>
        </w:rPr>
      </w:pPr>
      <w:r>
        <w:rPr>
          <w:rFonts w:hint="eastAsia" w:ascii="宋体" w:hAnsi="宋体"/>
          <w:b/>
          <w:bCs/>
        </w:rPr>
        <w:t>13.1中小企业声明函</w:t>
      </w:r>
    </w:p>
    <w:p w14:paraId="35BD5778">
      <w:pPr>
        <w:widowControl/>
        <w:jc w:val="center"/>
        <w:rPr>
          <w:rFonts w:ascii="Times New Roman" w:hAnsi="Times New Roman"/>
          <w:sz w:val="22"/>
          <w:szCs w:val="22"/>
        </w:rPr>
      </w:pPr>
      <w:r>
        <w:rPr>
          <w:rFonts w:ascii="Times New Roman" w:hAnsi="Times New Roman"/>
          <w:b/>
          <w:kern w:val="0"/>
          <w:sz w:val="22"/>
          <w:szCs w:val="22"/>
        </w:rPr>
        <w:t>中小企业声明函</w:t>
      </w:r>
      <w:r>
        <w:rPr>
          <w:rFonts w:hint="eastAsia" w:ascii="Times New Roman" w:hAnsi="Times New Roman"/>
          <w:b/>
          <w:kern w:val="0"/>
          <w:sz w:val="22"/>
          <w:szCs w:val="22"/>
        </w:rPr>
        <w:t>（服务）</w:t>
      </w:r>
    </w:p>
    <w:p w14:paraId="1E581749">
      <w:pPr>
        <w:widowControl/>
        <w:spacing w:line="360" w:lineRule="auto"/>
        <w:ind w:firstLine="420" w:firstLineChars="200"/>
        <w:rPr>
          <w:rFonts w:ascii="Times New Roman" w:hAnsi="Times New Roman"/>
        </w:rPr>
      </w:pPr>
      <w:r>
        <w:rPr>
          <w:rFonts w:ascii="Times New Roman" w:hAnsi="Times New Roman"/>
          <w:kern w:val="0"/>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7A3A0ED0">
      <w:pPr>
        <w:widowControl/>
        <w:spacing w:line="360" w:lineRule="auto"/>
        <w:ind w:left="630" w:hanging="630" w:hangingChars="300"/>
        <w:jc w:val="left"/>
        <w:rPr>
          <w:rFonts w:ascii="Times New Roman" w:hAnsi="Times New Roman"/>
        </w:rPr>
      </w:pPr>
      <w:r>
        <w:rPr>
          <w:rFonts w:ascii="Times New Roman" w:hAnsi="Times New Roman"/>
          <w:kern w:val="0"/>
        </w:rPr>
        <w:t xml:space="preserve">1. </w:t>
      </w:r>
      <w:r>
        <w:rPr>
          <w:rFonts w:ascii="Times New Roman" w:hAnsi="Times New Roman"/>
          <w:kern w:val="0"/>
          <w:u w:val="single"/>
        </w:rPr>
        <w:t>（标的名称）</w:t>
      </w:r>
      <w:r>
        <w:rPr>
          <w:rFonts w:ascii="Times New Roman" w:hAnsi="Times New Roman"/>
          <w:kern w:val="0"/>
        </w:rPr>
        <w:t>，属于</w:t>
      </w:r>
      <w:r>
        <w:rPr>
          <w:rFonts w:ascii="Times New Roman" w:hAnsi="Times New Roman"/>
          <w:kern w:val="0"/>
          <w:u w:val="single"/>
        </w:rPr>
        <w:t>（采购文件中明确的所属行业）</w:t>
      </w:r>
      <w:r>
        <w:rPr>
          <w:rFonts w:ascii="Times New Roman" w:hAnsi="Times New Roman"/>
          <w:kern w:val="0"/>
        </w:rPr>
        <w:t>；承建（承接）企业为</w:t>
      </w:r>
      <w:r>
        <w:rPr>
          <w:rFonts w:ascii="Times New Roman" w:hAnsi="Times New Roman"/>
          <w:kern w:val="0"/>
          <w:u w:val="single"/>
        </w:rPr>
        <w:t>（企业名称）</w:t>
      </w:r>
      <w:r>
        <w:rPr>
          <w:rFonts w:ascii="Times New Roman" w:hAnsi="Times New Roman"/>
          <w:kern w:val="0"/>
        </w:rPr>
        <w:t>，从业人员人</w:t>
      </w:r>
      <w:r>
        <w:rPr>
          <w:rFonts w:hint="eastAsia" w:ascii="Times New Roman" w:hAnsi="Times New Roman"/>
          <w:kern w:val="0"/>
        </w:rPr>
        <w:t>，</w:t>
      </w:r>
      <w:r>
        <w:rPr>
          <w:rFonts w:ascii="Times New Roman" w:hAnsi="Times New Roman"/>
          <w:kern w:val="0"/>
        </w:rPr>
        <w:t>营业收入为万元，资产总额为万元，属于（</w:t>
      </w:r>
      <w:r>
        <w:rPr>
          <w:rFonts w:ascii="Times New Roman" w:hAnsi="Times New Roman"/>
          <w:kern w:val="0"/>
          <w:u w:val="single"/>
        </w:rPr>
        <w:t>中型企业、小型企业、微型企业）</w:t>
      </w:r>
      <w:r>
        <w:rPr>
          <w:rFonts w:ascii="Times New Roman" w:hAnsi="Times New Roman"/>
          <w:kern w:val="0"/>
        </w:rPr>
        <w:t>；</w:t>
      </w:r>
    </w:p>
    <w:p w14:paraId="757B6452">
      <w:pPr>
        <w:widowControl/>
        <w:spacing w:line="360" w:lineRule="auto"/>
        <w:rPr>
          <w:rFonts w:ascii="Times New Roman" w:hAnsi="Times New Roman"/>
        </w:rPr>
      </w:pPr>
      <w:r>
        <w:rPr>
          <w:rFonts w:ascii="Times New Roman" w:hAnsi="Times New Roman"/>
          <w:kern w:val="0"/>
        </w:rPr>
        <w:t>2.</w:t>
      </w:r>
      <w:r>
        <w:rPr>
          <w:rFonts w:ascii="Times New Roman" w:hAnsi="Times New Roman"/>
          <w:kern w:val="0"/>
          <w:u w:val="single"/>
        </w:rPr>
        <w:t>（标的名称）</w:t>
      </w:r>
      <w:r>
        <w:rPr>
          <w:rFonts w:ascii="Times New Roman" w:hAnsi="Times New Roman"/>
          <w:kern w:val="0"/>
        </w:rPr>
        <w:t>，属于（采购文件中明确的所属行业）；承建（承接）企业为（企业名称），从业人员人，营业收入为万元，资产总额为万元，属于（中型企业、小型企业、微型企业）；</w:t>
      </w:r>
    </w:p>
    <w:p w14:paraId="7D23479B">
      <w:pPr>
        <w:widowControl/>
        <w:spacing w:line="360" w:lineRule="auto"/>
        <w:rPr>
          <w:rFonts w:ascii="Times New Roman" w:hAnsi="Times New Roman"/>
        </w:rPr>
      </w:pPr>
      <w:r>
        <w:rPr>
          <w:rFonts w:ascii="Times New Roman" w:hAnsi="Times New Roman"/>
          <w:kern w:val="0"/>
        </w:rPr>
        <w:t>……</w:t>
      </w:r>
    </w:p>
    <w:p w14:paraId="666F9393">
      <w:pPr>
        <w:widowControl/>
        <w:spacing w:line="360" w:lineRule="auto"/>
        <w:ind w:firstLine="420" w:firstLineChars="200"/>
        <w:rPr>
          <w:rFonts w:ascii="Times New Roman" w:hAnsi="Times New Roman"/>
        </w:rPr>
      </w:pPr>
      <w:r>
        <w:rPr>
          <w:rFonts w:ascii="Times New Roman" w:hAnsi="Times New Roman"/>
          <w:kern w:val="0"/>
        </w:rPr>
        <w:t>以上企业，不属于大企业的分支机构，不存在控股股东为大企业的情形，也不存在与大企业的负责人为同一人的情形。</w:t>
      </w:r>
    </w:p>
    <w:p w14:paraId="05AFA461">
      <w:pPr>
        <w:widowControl/>
        <w:spacing w:line="360" w:lineRule="auto"/>
        <w:ind w:firstLine="420" w:firstLineChars="200"/>
        <w:rPr>
          <w:rFonts w:ascii="Times New Roman" w:hAnsi="Times New Roman"/>
        </w:rPr>
      </w:pPr>
      <w:r>
        <w:rPr>
          <w:rFonts w:ascii="Times New Roman" w:hAnsi="Times New Roman"/>
          <w:kern w:val="0"/>
        </w:rPr>
        <w:t>本企业对上述声明内容的真实性负责。如有虚假，将依法承担相应责任。</w:t>
      </w:r>
    </w:p>
    <w:p w14:paraId="6AD780CD">
      <w:pPr>
        <w:widowControl/>
        <w:jc w:val="left"/>
        <w:rPr>
          <w:rFonts w:ascii="Times New Roman" w:hAnsi="Times New Roman"/>
          <w:kern w:val="0"/>
        </w:rPr>
      </w:pPr>
    </w:p>
    <w:p w14:paraId="4036B299">
      <w:pPr>
        <w:snapToGrid w:val="0"/>
        <w:spacing w:line="360" w:lineRule="auto"/>
        <w:ind w:firstLine="4730" w:firstLineChars="2150"/>
        <w:rPr>
          <w:rFonts w:ascii="宋体" w:hAnsi="宋体" w:cs="宋体"/>
          <w:kern w:val="0"/>
          <w:sz w:val="22"/>
          <w:szCs w:val="22"/>
          <w:lang w:val="zh-CN"/>
        </w:rPr>
      </w:pPr>
    </w:p>
    <w:p w14:paraId="340BA4ED">
      <w:pPr>
        <w:snapToGrid w:val="0"/>
        <w:spacing w:line="360" w:lineRule="auto"/>
        <w:ind w:firstLine="6300" w:firstLineChars="3000"/>
        <w:rPr>
          <w:rFonts w:ascii="宋体" w:hAnsi="宋体" w:cs="宋体"/>
          <w:kern w:val="0"/>
        </w:rPr>
      </w:pPr>
      <w:r>
        <w:rPr>
          <w:rFonts w:hint="eastAsia" w:ascii="宋体" w:hAnsi="宋体" w:cs="宋体"/>
          <w:kern w:val="0"/>
          <w:lang w:val="zh-CN"/>
        </w:rPr>
        <w:t>投标人名称（</w:t>
      </w:r>
      <w:r>
        <w:rPr>
          <w:rFonts w:hint="eastAsia" w:ascii="宋体" w:hAnsi="宋体" w:cs="宋体"/>
          <w:kern w:val="0"/>
        </w:rPr>
        <w:t>盖</w:t>
      </w:r>
      <w:r>
        <w:rPr>
          <w:rFonts w:hint="eastAsia" w:ascii="宋体" w:hAnsi="宋体" w:cs="宋体"/>
          <w:kern w:val="0"/>
          <w:lang w:val="zh-CN"/>
        </w:rPr>
        <w:t>章)：</w:t>
      </w:r>
    </w:p>
    <w:p w14:paraId="7EB246CB">
      <w:pPr>
        <w:snapToGrid w:val="0"/>
        <w:spacing w:line="360" w:lineRule="auto"/>
        <w:jc w:val="center"/>
        <w:rPr>
          <w:rFonts w:ascii="宋体" w:hAnsi="宋体" w:cs="宋体"/>
          <w:kern w:val="0"/>
          <w:lang w:val="zh-CN"/>
        </w:rPr>
      </w:pP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月日</w:t>
      </w:r>
    </w:p>
    <w:tbl>
      <w:tblPr>
        <w:tblStyle w:val="24"/>
        <w:tblW w:w="85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7"/>
        <w:gridCol w:w="1298"/>
        <w:gridCol w:w="993"/>
        <w:gridCol w:w="1625"/>
        <w:gridCol w:w="1462"/>
        <w:gridCol w:w="1152"/>
      </w:tblGrid>
      <w:tr w14:paraId="2756A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067" w:type="dxa"/>
            <w:vAlign w:val="center"/>
          </w:tcPr>
          <w:p w14:paraId="1F762144">
            <w:pPr>
              <w:widowControl/>
              <w:wordWrap w:val="0"/>
              <w:spacing w:line="360" w:lineRule="atLeast"/>
              <w:jc w:val="center"/>
              <w:textAlignment w:val="center"/>
            </w:pPr>
            <w:r>
              <w:rPr>
                <w:rFonts w:ascii="Arial" w:hAnsi="Arial" w:cs="Arial"/>
                <w:b/>
                <w:bCs/>
                <w:kern w:val="0"/>
                <w:sz w:val="18"/>
                <w:szCs w:val="18"/>
              </w:rPr>
              <w:t>行业名称</w:t>
            </w:r>
          </w:p>
        </w:tc>
        <w:tc>
          <w:tcPr>
            <w:tcW w:w="1298" w:type="dxa"/>
            <w:vAlign w:val="center"/>
          </w:tcPr>
          <w:p w14:paraId="19513B04">
            <w:pPr>
              <w:widowControl/>
              <w:wordWrap w:val="0"/>
              <w:spacing w:line="360" w:lineRule="atLeast"/>
              <w:jc w:val="center"/>
              <w:textAlignment w:val="center"/>
            </w:pPr>
            <w:r>
              <w:rPr>
                <w:rFonts w:ascii="Arial" w:hAnsi="Arial" w:cs="Arial"/>
                <w:b/>
                <w:bCs/>
                <w:kern w:val="0"/>
                <w:sz w:val="18"/>
                <w:szCs w:val="18"/>
              </w:rPr>
              <w:t>指标名称</w:t>
            </w:r>
          </w:p>
        </w:tc>
        <w:tc>
          <w:tcPr>
            <w:tcW w:w="993" w:type="dxa"/>
            <w:vAlign w:val="center"/>
          </w:tcPr>
          <w:p w14:paraId="2A3ACF23">
            <w:pPr>
              <w:widowControl/>
              <w:wordWrap w:val="0"/>
              <w:spacing w:line="360" w:lineRule="atLeast"/>
              <w:jc w:val="center"/>
              <w:textAlignment w:val="center"/>
            </w:pPr>
            <w:r>
              <w:rPr>
                <w:rFonts w:ascii="Arial" w:hAnsi="Arial" w:cs="Arial"/>
                <w:b/>
                <w:bCs/>
                <w:kern w:val="0"/>
                <w:sz w:val="18"/>
                <w:szCs w:val="18"/>
              </w:rPr>
              <w:t>计量单位</w:t>
            </w:r>
          </w:p>
        </w:tc>
        <w:tc>
          <w:tcPr>
            <w:tcW w:w="1625" w:type="dxa"/>
            <w:vAlign w:val="center"/>
          </w:tcPr>
          <w:p w14:paraId="743838FD">
            <w:pPr>
              <w:widowControl/>
              <w:wordWrap w:val="0"/>
              <w:spacing w:line="360" w:lineRule="atLeast"/>
              <w:jc w:val="center"/>
              <w:textAlignment w:val="center"/>
            </w:pPr>
            <w:r>
              <w:rPr>
                <w:rFonts w:ascii="Arial" w:hAnsi="Arial" w:cs="Arial"/>
                <w:b/>
                <w:bCs/>
                <w:kern w:val="0"/>
                <w:sz w:val="18"/>
                <w:szCs w:val="18"/>
              </w:rPr>
              <w:t>中型</w:t>
            </w:r>
          </w:p>
        </w:tc>
        <w:tc>
          <w:tcPr>
            <w:tcW w:w="1462" w:type="dxa"/>
            <w:vAlign w:val="center"/>
          </w:tcPr>
          <w:p w14:paraId="351EFBC9">
            <w:pPr>
              <w:widowControl/>
              <w:wordWrap w:val="0"/>
              <w:spacing w:line="360" w:lineRule="atLeast"/>
              <w:jc w:val="center"/>
              <w:textAlignment w:val="center"/>
            </w:pPr>
            <w:r>
              <w:rPr>
                <w:rFonts w:ascii="Arial" w:hAnsi="Arial" w:cs="Arial"/>
                <w:b/>
                <w:bCs/>
                <w:kern w:val="0"/>
                <w:sz w:val="18"/>
                <w:szCs w:val="18"/>
              </w:rPr>
              <w:t>小型</w:t>
            </w:r>
          </w:p>
        </w:tc>
        <w:tc>
          <w:tcPr>
            <w:tcW w:w="1152" w:type="dxa"/>
            <w:vAlign w:val="center"/>
          </w:tcPr>
          <w:p w14:paraId="77E22632">
            <w:pPr>
              <w:widowControl/>
              <w:wordWrap w:val="0"/>
              <w:spacing w:line="360" w:lineRule="atLeast"/>
              <w:jc w:val="center"/>
              <w:textAlignment w:val="center"/>
            </w:pPr>
            <w:r>
              <w:rPr>
                <w:rFonts w:ascii="Arial" w:hAnsi="Arial" w:cs="Arial"/>
                <w:b/>
                <w:bCs/>
                <w:kern w:val="0"/>
                <w:sz w:val="18"/>
                <w:szCs w:val="18"/>
              </w:rPr>
              <w:t>微型</w:t>
            </w:r>
          </w:p>
        </w:tc>
      </w:tr>
      <w:tr w14:paraId="67D96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67" w:type="dxa"/>
            <w:vAlign w:val="center"/>
          </w:tcPr>
          <w:p w14:paraId="6F4355C2">
            <w:pPr>
              <w:widowControl/>
              <w:wordWrap w:val="0"/>
              <w:spacing w:line="360" w:lineRule="atLeast"/>
              <w:jc w:val="center"/>
              <w:textAlignment w:val="center"/>
              <w:rPr>
                <w:rFonts w:ascii="Arial" w:hAnsi="Arial" w:cs="Arial"/>
                <w:kern w:val="0"/>
                <w:sz w:val="18"/>
                <w:szCs w:val="18"/>
              </w:rPr>
            </w:pPr>
            <w:r>
              <w:rPr>
                <w:rFonts w:hint="eastAsia" w:ascii="Arial" w:hAnsi="Arial" w:cs="Arial"/>
                <w:kern w:val="0"/>
                <w:sz w:val="18"/>
                <w:szCs w:val="18"/>
              </w:rPr>
              <w:t>其他未列明行业</w:t>
            </w:r>
          </w:p>
        </w:tc>
        <w:tc>
          <w:tcPr>
            <w:tcW w:w="1298" w:type="dxa"/>
            <w:vAlign w:val="center"/>
          </w:tcPr>
          <w:p w14:paraId="0E943765">
            <w:pPr>
              <w:widowControl/>
              <w:wordWrap w:val="0"/>
              <w:spacing w:line="360" w:lineRule="atLeast"/>
              <w:jc w:val="center"/>
              <w:textAlignment w:val="center"/>
              <w:rPr>
                <w:rFonts w:ascii="Arial" w:hAnsi="Arial" w:cs="Arial"/>
                <w:kern w:val="0"/>
                <w:sz w:val="18"/>
                <w:szCs w:val="18"/>
              </w:rPr>
            </w:pPr>
            <w:r>
              <w:rPr>
                <w:rFonts w:ascii="Arial" w:hAnsi="Arial" w:cs="Arial"/>
                <w:kern w:val="0"/>
                <w:sz w:val="18"/>
                <w:szCs w:val="18"/>
              </w:rPr>
              <w:t>从业人员</w:t>
            </w:r>
            <w:r>
              <w:rPr>
                <w:rFonts w:hint="eastAsia" w:ascii="Arial" w:hAnsi="Arial" w:cs="Arial"/>
                <w:kern w:val="0"/>
                <w:sz w:val="18"/>
                <w:szCs w:val="18"/>
              </w:rPr>
              <w:t>（</w:t>
            </w:r>
            <w:r>
              <w:rPr>
                <w:rFonts w:ascii="Arial" w:hAnsi="Arial" w:cs="Arial"/>
                <w:kern w:val="0"/>
                <w:sz w:val="18"/>
                <w:szCs w:val="18"/>
              </w:rPr>
              <w:t>X)</w:t>
            </w:r>
          </w:p>
        </w:tc>
        <w:tc>
          <w:tcPr>
            <w:tcW w:w="993" w:type="dxa"/>
            <w:vAlign w:val="center"/>
          </w:tcPr>
          <w:p w14:paraId="386675D8">
            <w:pPr>
              <w:widowControl/>
              <w:wordWrap w:val="0"/>
              <w:spacing w:line="360" w:lineRule="atLeast"/>
              <w:jc w:val="center"/>
              <w:textAlignment w:val="center"/>
              <w:rPr>
                <w:rFonts w:ascii="Arial" w:hAnsi="Arial" w:cs="Arial"/>
                <w:kern w:val="0"/>
                <w:sz w:val="18"/>
                <w:szCs w:val="18"/>
              </w:rPr>
            </w:pPr>
            <w:r>
              <w:rPr>
                <w:rFonts w:ascii="Arial" w:hAnsi="Arial" w:cs="Arial"/>
                <w:kern w:val="0"/>
                <w:sz w:val="18"/>
                <w:szCs w:val="18"/>
              </w:rPr>
              <w:t>人</w:t>
            </w:r>
          </w:p>
        </w:tc>
        <w:tc>
          <w:tcPr>
            <w:tcW w:w="1625" w:type="dxa"/>
            <w:vAlign w:val="center"/>
          </w:tcPr>
          <w:p w14:paraId="749AF447">
            <w:pPr>
              <w:widowControl/>
              <w:wordWrap w:val="0"/>
              <w:spacing w:line="360" w:lineRule="atLeast"/>
              <w:jc w:val="center"/>
              <w:textAlignment w:val="center"/>
              <w:rPr>
                <w:rFonts w:ascii="Arial" w:hAnsi="Arial" w:cs="Arial"/>
                <w:kern w:val="0"/>
                <w:sz w:val="18"/>
                <w:szCs w:val="18"/>
              </w:rPr>
            </w:pPr>
            <w:r>
              <w:rPr>
                <w:rFonts w:ascii="Arial" w:hAnsi="Arial" w:cs="Arial"/>
                <w:kern w:val="0"/>
                <w:sz w:val="18"/>
                <w:szCs w:val="18"/>
              </w:rPr>
              <w:t>100≤X&lt;300</w:t>
            </w:r>
          </w:p>
        </w:tc>
        <w:tc>
          <w:tcPr>
            <w:tcW w:w="1462" w:type="dxa"/>
            <w:vAlign w:val="center"/>
          </w:tcPr>
          <w:p w14:paraId="1A9AB5F8">
            <w:pPr>
              <w:widowControl/>
              <w:wordWrap w:val="0"/>
              <w:spacing w:line="360" w:lineRule="atLeast"/>
              <w:jc w:val="center"/>
              <w:textAlignment w:val="center"/>
              <w:rPr>
                <w:rFonts w:ascii="Arial" w:hAnsi="Arial" w:cs="Arial"/>
                <w:kern w:val="0"/>
                <w:sz w:val="18"/>
                <w:szCs w:val="18"/>
              </w:rPr>
            </w:pPr>
            <w:r>
              <w:rPr>
                <w:rFonts w:ascii="Arial" w:hAnsi="Arial" w:cs="Arial"/>
                <w:kern w:val="0"/>
                <w:sz w:val="18"/>
                <w:szCs w:val="18"/>
              </w:rPr>
              <w:t>10≤X&lt;100</w:t>
            </w:r>
          </w:p>
        </w:tc>
        <w:tc>
          <w:tcPr>
            <w:tcW w:w="1152" w:type="dxa"/>
            <w:vAlign w:val="center"/>
          </w:tcPr>
          <w:p w14:paraId="5891954E">
            <w:pPr>
              <w:widowControl/>
              <w:wordWrap w:val="0"/>
              <w:spacing w:line="360" w:lineRule="atLeast"/>
              <w:jc w:val="center"/>
              <w:textAlignment w:val="center"/>
              <w:rPr>
                <w:rFonts w:ascii="Arial" w:hAnsi="Arial" w:cs="Arial"/>
                <w:kern w:val="0"/>
                <w:sz w:val="18"/>
                <w:szCs w:val="18"/>
              </w:rPr>
            </w:pPr>
            <w:r>
              <w:rPr>
                <w:rFonts w:ascii="Arial" w:hAnsi="Arial" w:cs="Arial"/>
                <w:kern w:val="0"/>
                <w:sz w:val="18"/>
                <w:szCs w:val="18"/>
              </w:rPr>
              <w:t>X&lt;10</w:t>
            </w:r>
          </w:p>
        </w:tc>
      </w:tr>
    </w:tbl>
    <w:p w14:paraId="61B96B63">
      <w:pPr>
        <w:spacing w:line="400" w:lineRule="exact"/>
        <w:rPr>
          <w:rFonts w:ascii="Times New Roman" w:hAnsi="Times New Roman"/>
          <w:b/>
          <w:bCs/>
        </w:rPr>
      </w:pPr>
      <w:r>
        <w:rPr>
          <w:rFonts w:ascii="Times New Roman" w:hAnsi="Times New Roman"/>
          <w:b/>
          <w:bCs/>
        </w:rPr>
        <w:t>注：</w:t>
      </w:r>
    </w:p>
    <w:p w14:paraId="09C251CD">
      <w:pPr>
        <w:spacing w:line="360" w:lineRule="auto"/>
        <w:rPr>
          <w:rFonts w:ascii="宋体" w:hAnsi="宋体"/>
        </w:rPr>
      </w:pPr>
      <w:r>
        <w:rPr>
          <w:rFonts w:hint="eastAsia" w:ascii="宋体" w:hAnsi="宋体"/>
        </w:rPr>
        <w:t>1）</w:t>
      </w:r>
      <w:r>
        <w:rPr>
          <w:rFonts w:hint="eastAsia" w:ascii="宋体" w:hAnsi="宋体"/>
          <w:b/>
          <w:bCs/>
        </w:rPr>
        <w:t>“</w:t>
      </w:r>
      <w:r>
        <w:rPr>
          <w:rFonts w:hint="eastAsia" w:ascii="宋体" w:hAnsi="宋体"/>
          <w:b/>
          <w:bCs/>
          <w:u w:val="single"/>
        </w:rPr>
        <w:t>（采购文件中明确的所属行业）</w:t>
      </w:r>
      <w:r>
        <w:rPr>
          <w:rFonts w:hint="eastAsia" w:ascii="宋体" w:hAnsi="宋体"/>
          <w:b/>
          <w:bCs/>
        </w:rPr>
        <w:t>”</w:t>
      </w:r>
      <w:r>
        <w:rPr>
          <w:rFonts w:hint="eastAsia" w:ascii="宋体" w:hAnsi="宋体"/>
        </w:rPr>
        <w:t>按采购文件</w:t>
      </w:r>
      <w:r>
        <w:rPr>
          <w:rFonts w:hint="eastAsia" w:ascii="宋体" w:hAnsi="宋体"/>
          <w:b/>
          <w:bCs/>
        </w:rPr>
        <w:t>前附表</w:t>
      </w:r>
      <w:r>
        <w:rPr>
          <w:rFonts w:hint="eastAsia" w:ascii="宋体" w:hAnsi="宋体"/>
        </w:rPr>
        <w:t>中所明确的行业进行填写。</w:t>
      </w:r>
    </w:p>
    <w:p w14:paraId="3EF1A3E0">
      <w:pPr>
        <w:pStyle w:val="2"/>
        <w:rPr>
          <w:rFonts w:ascii="宋体" w:hAnsi="宋体"/>
          <w:sz w:val="21"/>
          <w:u w:val="single"/>
        </w:rPr>
      </w:pPr>
      <w:r>
        <w:rPr>
          <w:rFonts w:hint="eastAsia" w:ascii="宋体" w:hAnsi="宋体"/>
          <w:b/>
          <w:bCs/>
          <w:sz w:val="21"/>
          <w:u w:val="single"/>
        </w:rPr>
        <w:t>如</w:t>
      </w:r>
      <w:r>
        <w:rPr>
          <w:rFonts w:hint="eastAsia" w:ascii="宋体" w:hAnsi="宋体"/>
          <w:sz w:val="21"/>
          <w:u w:val="single"/>
        </w:rPr>
        <w:t>“租赁和商务服务业”，填写“租赁业”或“商务服务业”或“服务业”均为</w:t>
      </w:r>
      <w:r>
        <w:rPr>
          <w:rFonts w:hint="eastAsia" w:ascii="宋体" w:hAnsi="宋体"/>
          <w:b/>
          <w:bCs/>
          <w:color w:val="FF0000"/>
          <w:sz w:val="21"/>
          <w:u w:val="single"/>
        </w:rPr>
        <w:t>错误</w:t>
      </w:r>
      <w:r>
        <w:rPr>
          <w:rFonts w:hint="eastAsia" w:ascii="宋体" w:hAnsi="宋体"/>
          <w:color w:val="FF0000"/>
          <w:sz w:val="21"/>
          <w:u w:val="single"/>
        </w:rPr>
        <w:t>。</w:t>
      </w:r>
    </w:p>
    <w:p w14:paraId="24F5FED0">
      <w:pPr>
        <w:spacing w:line="360" w:lineRule="auto"/>
        <w:rPr>
          <w:rFonts w:ascii="宋体" w:hAnsi="宋体"/>
        </w:rPr>
      </w:pPr>
      <w:r>
        <w:rPr>
          <w:rFonts w:hint="eastAsia" w:ascii="宋体" w:hAnsi="宋体"/>
        </w:rPr>
        <w:t>2）中小企业划型标准按工信部联企业〔2011〕300号文件中所涉及指标1、从业人员；2、营业收入；3、资产总额等内容根据划分标准，标准内如未涉及的可不填写。</w:t>
      </w:r>
    </w:p>
    <w:p w14:paraId="493E4D9C">
      <w:pPr>
        <w:spacing w:line="360" w:lineRule="auto"/>
        <w:rPr>
          <w:rFonts w:ascii="宋体" w:hAnsi="宋体"/>
        </w:rPr>
      </w:pPr>
      <w:r>
        <w:rPr>
          <w:rFonts w:hint="eastAsia" w:ascii="宋体" w:hAnsi="宋体"/>
        </w:rPr>
        <w:t>3）从业人员、营业收入、资产总额填报上一年度数据。无上一年度数据的新成立企业可不</w:t>
      </w:r>
      <w:r>
        <w:rPr>
          <w:rFonts w:ascii="宋体" w:hAnsi="宋体"/>
        </w:rPr>
        <w:t>填报。</w:t>
      </w:r>
    </w:p>
    <w:p w14:paraId="61B340BB">
      <w:pPr>
        <w:spacing w:line="360" w:lineRule="auto"/>
        <w:rPr>
          <w:rFonts w:ascii="宋体" w:hAnsi="宋体"/>
          <w:b/>
        </w:rPr>
      </w:pPr>
      <w:r>
        <w:rPr>
          <w:rFonts w:hint="eastAsia" w:ascii="宋体" w:hAnsi="宋体"/>
        </w:rPr>
        <w:t>4</w:t>
      </w:r>
      <w:r>
        <w:rPr>
          <w:rFonts w:ascii="宋体" w:hAnsi="宋体"/>
        </w:rPr>
        <w:t>）中标单位的《中小企业声明函》将依法公示，提供虚假资料者取消中标资格，并承担一切责任。</w:t>
      </w:r>
    </w:p>
    <w:p w14:paraId="7B51EEE1">
      <w:pPr>
        <w:pStyle w:val="2"/>
        <w:spacing w:line="360" w:lineRule="auto"/>
        <w:rPr>
          <w:rFonts w:ascii="宋体" w:hAnsi="宋体"/>
          <w:sz w:val="21"/>
        </w:rPr>
      </w:pPr>
      <w:r>
        <w:rPr>
          <w:rFonts w:hint="eastAsia" w:ascii="宋体" w:hAnsi="宋体"/>
          <w:sz w:val="21"/>
        </w:rPr>
        <w:t>5）</w:t>
      </w:r>
      <w:r>
        <w:rPr>
          <w:rFonts w:ascii="宋体" w:hAnsi="宋体"/>
          <w:sz w:val="21"/>
        </w:rPr>
        <w:t>中型和小型企业须同时满足所列指标的下限，否则下划一档；微型企业</w:t>
      </w:r>
      <w:r>
        <w:rPr>
          <w:rFonts w:hint="eastAsia" w:ascii="宋体" w:hAnsi="宋体"/>
          <w:sz w:val="21"/>
        </w:rPr>
        <w:t>只需</w:t>
      </w:r>
      <w:r>
        <w:rPr>
          <w:rFonts w:ascii="宋体" w:hAnsi="宋体"/>
          <w:sz w:val="21"/>
        </w:rPr>
        <w:t>满足所列指标中的一项即可。</w:t>
      </w:r>
    </w:p>
    <w:p w14:paraId="0D133393">
      <w:pPr>
        <w:pStyle w:val="2"/>
        <w:spacing w:line="360" w:lineRule="auto"/>
        <w:rPr>
          <w:rFonts w:ascii="宋体" w:hAnsi="宋体"/>
          <w:sz w:val="21"/>
        </w:rPr>
      </w:pPr>
    </w:p>
    <w:p w14:paraId="1C9AB2FA">
      <w:pPr>
        <w:autoSpaceDE w:val="0"/>
        <w:autoSpaceDN w:val="0"/>
        <w:adjustRightInd w:val="0"/>
        <w:spacing w:line="360" w:lineRule="auto"/>
        <w:ind w:right="-341"/>
        <w:jc w:val="left"/>
        <w:rPr>
          <w:rFonts w:ascii="宋体"/>
          <w:kern w:val="0"/>
        </w:rPr>
      </w:pPr>
      <w:r>
        <w:rPr>
          <w:rFonts w:hint="eastAsia" w:ascii="宋体" w:hAnsi="宋体"/>
          <w:b/>
          <w:bCs/>
        </w:rPr>
        <w:t>13.2监狱企业声明函</w:t>
      </w:r>
    </w:p>
    <w:p w14:paraId="2270C0CB">
      <w:pPr>
        <w:ind w:firstLine="3373" w:firstLineChars="1400"/>
        <w:rPr>
          <w:rFonts w:ascii="宋体"/>
          <w:b/>
          <w:sz w:val="24"/>
        </w:rPr>
      </w:pPr>
    </w:p>
    <w:p w14:paraId="25511847">
      <w:pPr>
        <w:jc w:val="left"/>
        <w:rPr>
          <w:rFonts w:ascii="宋体"/>
          <w:kern w:val="0"/>
        </w:rPr>
      </w:pPr>
    </w:p>
    <w:p w14:paraId="6D98A2E3">
      <w:pPr>
        <w:ind w:firstLine="3373" w:firstLineChars="1400"/>
        <w:rPr>
          <w:rFonts w:ascii="宋体"/>
          <w:b/>
          <w:sz w:val="24"/>
        </w:rPr>
      </w:pPr>
      <w:r>
        <w:rPr>
          <w:rFonts w:hint="eastAsia" w:ascii="宋体" w:hAnsi="宋体"/>
          <w:b/>
          <w:sz w:val="24"/>
        </w:rPr>
        <w:t>监狱企业声明函</w:t>
      </w:r>
    </w:p>
    <w:p w14:paraId="33FED4E8">
      <w:pPr>
        <w:ind w:firstLine="2835" w:firstLineChars="1350"/>
        <w:rPr>
          <w:rFonts w:ascii="宋体"/>
        </w:rPr>
      </w:pPr>
      <w:r>
        <w:rPr>
          <w:rFonts w:hint="eastAsia" w:ascii="宋体" w:hAnsi="宋体"/>
        </w:rPr>
        <w:t>【非监狱企业不用提供】</w:t>
      </w:r>
    </w:p>
    <w:p w14:paraId="6233ACEA">
      <w:pPr>
        <w:ind w:firstLine="480"/>
        <w:rPr>
          <w:rFonts w:ascii="宋体"/>
        </w:rPr>
      </w:pPr>
    </w:p>
    <w:p w14:paraId="4A8FCF76">
      <w:pPr>
        <w:spacing w:line="360" w:lineRule="auto"/>
        <w:ind w:firstLine="525" w:firstLineChars="250"/>
        <w:rPr>
          <w:rFonts w:ascii="宋体"/>
        </w:rPr>
      </w:pPr>
    </w:p>
    <w:p w14:paraId="5323C946">
      <w:pPr>
        <w:spacing w:line="360" w:lineRule="auto"/>
        <w:ind w:firstLine="525" w:firstLineChars="250"/>
        <w:rPr>
          <w:rFonts w:ascii="宋体"/>
        </w:rPr>
      </w:pPr>
      <w:r>
        <w:rPr>
          <w:rFonts w:hint="eastAsia" w:ascii="宋体" w:hAnsi="宋体"/>
        </w:rPr>
        <w:t>监狱企业参加政府采购活动时，应当提供由省级以上监狱管理企业郑重声明，根据《关于政府采购支持监狱企业发展有关问题的通知》（财库</w:t>
      </w:r>
      <w:r>
        <w:rPr>
          <w:rFonts w:ascii="宋体" w:hAnsi="宋体"/>
        </w:rPr>
        <w:t>[2014]68</w:t>
      </w:r>
      <w:r>
        <w:rPr>
          <w:rFonts w:hint="eastAsia" w:ascii="宋体" w:hAnsi="宋体"/>
        </w:rPr>
        <w:t>号）的规定，本企业为监狱企业。</w:t>
      </w:r>
    </w:p>
    <w:p w14:paraId="1FF30941">
      <w:pPr>
        <w:spacing w:line="360" w:lineRule="auto"/>
        <w:ind w:firstLine="480"/>
        <w:rPr>
          <w:rFonts w:ascii="宋体"/>
        </w:rPr>
      </w:pPr>
      <w:r>
        <w:rPr>
          <w:rFonts w:hint="eastAsia" w:ascii="宋体" w:hAnsi="宋体"/>
        </w:rPr>
        <w:t>根据上述标准，我企业属于监狱企业的理由为：。</w:t>
      </w:r>
    </w:p>
    <w:p w14:paraId="65D4A008">
      <w:pPr>
        <w:spacing w:line="360" w:lineRule="auto"/>
        <w:ind w:firstLine="480"/>
        <w:rPr>
          <w:rFonts w:ascii="宋体"/>
        </w:rPr>
      </w:pPr>
      <w:r>
        <w:rPr>
          <w:rFonts w:hint="eastAsia" w:ascii="宋体" w:hAnsi="宋体"/>
        </w:rPr>
        <w:t>本企业为参加（项目名称：   ）（项目编号：）采购活动提供本企业的产品。</w:t>
      </w:r>
    </w:p>
    <w:p w14:paraId="556D1141">
      <w:pPr>
        <w:spacing w:line="360" w:lineRule="auto"/>
        <w:ind w:firstLine="480"/>
        <w:rPr>
          <w:rFonts w:ascii="宋体"/>
        </w:rPr>
      </w:pPr>
      <w:r>
        <w:rPr>
          <w:rFonts w:hint="eastAsia" w:ascii="宋体" w:hAnsi="宋体"/>
        </w:rPr>
        <w:t>本企业对上述声明的真实性负责。如有虚假，将依法承担相应责任。</w:t>
      </w:r>
    </w:p>
    <w:p w14:paraId="17608AA0">
      <w:pPr>
        <w:spacing w:line="360" w:lineRule="auto"/>
        <w:ind w:firstLine="480"/>
        <w:rPr>
          <w:rFonts w:ascii="宋体"/>
        </w:rPr>
      </w:pPr>
    </w:p>
    <w:p w14:paraId="7DFCA070">
      <w:pPr>
        <w:spacing w:line="360" w:lineRule="auto"/>
        <w:ind w:firstLine="480"/>
        <w:jc w:val="right"/>
        <w:rPr>
          <w:rFonts w:ascii="宋体"/>
        </w:rPr>
      </w:pPr>
      <w:r>
        <w:rPr>
          <w:rFonts w:hint="eastAsia" w:ascii="宋体" w:hAnsi="宋体"/>
        </w:rPr>
        <w:t>投标人名称（盖章）：</w:t>
      </w:r>
    </w:p>
    <w:p w14:paraId="2A89B12F">
      <w:pPr>
        <w:spacing w:line="360" w:lineRule="auto"/>
        <w:ind w:firstLine="480"/>
        <w:jc w:val="right"/>
        <w:rPr>
          <w:rFonts w:ascii="宋体"/>
        </w:rPr>
      </w:pPr>
      <w:r>
        <w:rPr>
          <w:rFonts w:hint="eastAsia" w:ascii="宋体" w:hAnsi="宋体"/>
        </w:rPr>
        <w:t>日期：年月日</w:t>
      </w:r>
    </w:p>
    <w:p w14:paraId="6C7D1294">
      <w:pPr>
        <w:spacing w:line="360" w:lineRule="auto"/>
        <w:ind w:firstLine="480"/>
        <w:rPr>
          <w:rFonts w:ascii="宋体"/>
        </w:rPr>
      </w:pPr>
    </w:p>
    <w:p w14:paraId="2FEF27BD">
      <w:pPr>
        <w:spacing w:line="360" w:lineRule="auto"/>
        <w:ind w:firstLine="480"/>
        <w:rPr>
          <w:rFonts w:ascii="宋体"/>
        </w:rPr>
      </w:pPr>
    </w:p>
    <w:p w14:paraId="141183A5">
      <w:pPr>
        <w:spacing w:line="360" w:lineRule="auto"/>
        <w:ind w:firstLine="480"/>
        <w:rPr>
          <w:rFonts w:ascii="宋体"/>
        </w:rPr>
      </w:pPr>
      <w:r>
        <w:rPr>
          <w:rFonts w:hint="eastAsia" w:ascii="宋体" w:hAnsi="宋体"/>
        </w:rPr>
        <w:t>投标人为监狱企业的提供此函。</w:t>
      </w:r>
    </w:p>
    <w:p w14:paraId="3CAA04A4">
      <w:pPr>
        <w:spacing w:line="360" w:lineRule="auto"/>
        <w:ind w:firstLine="480"/>
        <w:rPr>
          <w:rFonts w:ascii="宋体"/>
        </w:rPr>
      </w:pPr>
      <w:r>
        <w:rPr>
          <w:rFonts w:hint="eastAsia" w:ascii="宋体" w:hAnsi="宋体"/>
        </w:rPr>
        <w:t>局、戒毒管理局（含新疆生产建设兵团）出具的属于监狱企业的证明文件。</w:t>
      </w:r>
    </w:p>
    <w:p w14:paraId="6DBC2922">
      <w:pPr>
        <w:spacing w:line="360" w:lineRule="auto"/>
        <w:ind w:firstLine="480"/>
        <w:rPr>
          <w:rFonts w:ascii="宋体"/>
        </w:rPr>
      </w:pPr>
      <w:r>
        <w:rPr>
          <w:rFonts w:hint="eastAsia" w:ascii="宋体" w:hAnsi="宋体"/>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CD72CBD">
      <w:pPr>
        <w:spacing w:line="360" w:lineRule="auto"/>
        <w:ind w:firstLine="480"/>
        <w:rPr>
          <w:rFonts w:ascii="宋体"/>
        </w:rPr>
      </w:pPr>
    </w:p>
    <w:p w14:paraId="57AD5072">
      <w:pPr>
        <w:jc w:val="left"/>
        <w:rPr>
          <w:rFonts w:ascii="宋体" w:hAnsi="宋体"/>
          <w:b/>
          <w:bCs/>
        </w:rPr>
      </w:pPr>
      <w:r>
        <w:rPr>
          <w:rFonts w:ascii="宋体"/>
          <w:sz w:val="24"/>
        </w:rPr>
        <w:br w:type="page"/>
      </w:r>
      <w:r>
        <w:rPr>
          <w:rFonts w:hint="eastAsia" w:ascii="宋体" w:hAnsi="宋体"/>
          <w:b/>
          <w:bCs/>
        </w:rPr>
        <w:t>13.3残疾人福利性单位声明函</w:t>
      </w:r>
    </w:p>
    <w:p w14:paraId="7F6A4BD5">
      <w:pPr>
        <w:jc w:val="left"/>
        <w:rPr>
          <w:rFonts w:ascii="宋体" w:hAnsi="宋体"/>
          <w:b/>
          <w:bCs/>
        </w:rPr>
      </w:pPr>
    </w:p>
    <w:p w14:paraId="6431C827">
      <w:pPr>
        <w:jc w:val="center"/>
        <w:rPr>
          <w:rFonts w:ascii="宋体"/>
          <w:sz w:val="24"/>
        </w:rPr>
      </w:pPr>
    </w:p>
    <w:p w14:paraId="27201117">
      <w:pPr>
        <w:jc w:val="center"/>
        <w:rPr>
          <w:rFonts w:ascii="宋体"/>
          <w:b/>
          <w:sz w:val="24"/>
        </w:rPr>
      </w:pPr>
      <w:r>
        <w:rPr>
          <w:rFonts w:hint="eastAsia" w:ascii="宋体" w:hAnsi="宋体"/>
          <w:b/>
          <w:sz w:val="24"/>
        </w:rPr>
        <w:t>残疾人福利性单位声明函</w:t>
      </w:r>
    </w:p>
    <w:p w14:paraId="3209CE3A">
      <w:pPr>
        <w:pStyle w:val="2"/>
        <w:jc w:val="center"/>
        <w:rPr>
          <w:rFonts w:ascii="宋体"/>
          <w:sz w:val="21"/>
          <w:szCs w:val="21"/>
        </w:rPr>
      </w:pPr>
      <w:r>
        <w:rPr>
          <w:rFonts w:hint="eastAsia" w:ascii="宋体" w:hAnsi="宋体"/>
          <w:sz w:val="21"/>
          <w:szCs w:val="21"/>
        </w:rPr>
        <w:t>【非残疾人福利性单位不用提供】</w:t>
      </w:r>
    </w:p>
    <w:p w14:paraId="713392C3">
      <w:pPr>
        <w:spacing w:line="588" w:lineRule="exact"/>
        <w:rPr>
          <w:rFonts w:ascii="宋体"/>
          <w:b/>
          <w:spacing w:val="6"/>
        </w:rPr>
      </w:pPr>
    </w:p>
    <w:p w14:paraId="48D492E3">
      <w:pPr>
        <w:snapToGrid w:val="0"/>
        <w:spacing w:line="360" w:lineRule="auto"/>
        <w:ind w:firstLine="420" w:firstLineChars="200"/>
        <w:rPr>
          <w:rFonts w:ascii="宋体"/>
        </w:rPr>
      </w:pPr>
      <w:r>
        <w:rPr>
          <w:rFonts w:hint="eastAsia" w:ascii="宋体" w:hAnsi="宋体"/>
        </w:rPr>
        <w:t>本单位郑重声明，根据《财政部民政部中国残疾人联合会关于促进残疾人就业政府采购政策的通知》（财库〔</w:t>
      </w:r>
      <w:r>
        <w:rPr>
          <w:rFonts w:ascii="宋体" w:hAnsi="宋体"/>
        </w:rPr>
        <w:t>2017</w:t>
      </w:r>
      <w:r>
        <w:rPr>
          <w:rFonts w:hint="eastAsia" w:ascii="宋体" w:hAnsi="宋体"/>
        </w:rPr>
        <w:t>〕</w:t>
      </w:r>
      <w:r>
        <w:rPr>
          <w:rFonts w:ascii="宋体" w:hAnsi="宋体"/>
        </w:rPr>
        <w:t>141</w:t>
      </w:r>
      <w:r>
        <w:rPr>
          <w:rFonts w:hint="eastAsia" w:ascii="宋体" w:hAnsi="宋体"/>
        </w:rPr>
        <w:t>号）的规定，本单位为符合条件的残疾人福利性单位，且本单位参加</w:t>
      </w:r>
      <w:r>
        <w:rPr>
          <w:rFonts w:ascii="宋体" w:hAnsi="宋体"/>
        </w:rPr>
        <w:t>______</w:t>
      </w:r>
      <w:r>
        <w:rPr>
          <w:rFonts w:hint="eastAsia" w:ascii="宋体" w:hAnsi="宋体"/>
        </w:rPr>
        <w:t>单位的</w:t>
      </w:r>
      <w:r>
        <w:rPr>
          <w:rFonts w:ascii="宋体" w:hAnsi="宋体"/>
        </w:rPr>
        <w:t>______</w:t>
      </w:r>
      <w:r>
        <w:rPr>
          <w:rFonts w:hint="eastAsia" w:ascii="宋体" w:hAnsi="宋体"/>
        </w:rPr>
        <w:t>项目采购活动提供本单位制造的货物（由本单位承担工程</w:t>
      </w:r>
      <w:r>
        <w:rPr>
          <w:rFonts w:ascii="宋体" w:hAnsi="宋体"/>
        </w:rPr>
        <w:t>/</w:t>
      </w:r>
      <w:r>
        <w:rPr>
          <w:rFonts w:hint="eastAsia" w:ascii="宋体" w:hAnsi="宋体"/>
        </w:rPr>
        <w:t>提供服务），或者提供其他残疾人福利性单位制造的货物（不包括使用非残疾人福利性单位注册商标的货物）。</w:t>
      </w:r>
    </w:p>
    <w:p w14:paraId="3D055254">
      <w:pPr>
        <w:snapToGrid w:val="0"/>
        <w:spacing w:line="360" w:lineRule="auto"/>
        <w:ind w:firstLine="420" w:firstLineChars="200"/>
        <w:rPr>
          <w:rFonts w:ascii="宋体"/>
        </w:rPr>
      </w:pPr>
      <w:r>
        <w:rPr>
          <w:rFonts w:hint="eastAsia" w:ascii="宋体" w:hAnsi="宋体"/>
        </w:rPr>
        <w:t>本单位对上述声明的真实性负责。如有虚假，将依法承担相应责任。</w:t>
      </w:r>
    </w:p>
    <w:p w14:paraId="542CC713">
      <w:pPr>
        <w:snapToGrid w:val="0"/>
        <w:spacing w:line="360" w:lineRule="auto"/>
        <w:ind w:firstLine="420" w:firstLineChars="200"/>
        <w:rPr>
          <w:rFonts w:ascii="宋体"/>
        </w:rPr>
      </w:pPr>
    </w:p>
    <w:p w14:paraId="464D3F35">
      <w:pPr>
        <w:snapToGrid w:val="0"/>
        <w:spacing w:line="360" w:lineRule="auto"/>
        <w:ind w:firstLine="420" w:firstLineChars="200"/>
        <w:rPr>
          <w:rFonts w:ascii="宋体"/>
        </w:rPr>
      </w:pPr>
    </w:p>
    <w:p w14:paraId="58D5B401">
      <w:pPr>
        <w:snapToGrid w:val="0"/>
        <w:spacing w:line="360" w:lineRule="auto"/>
        <w:ind w:firstLine="420" w:firstLineChars="200"/>
        <w:jc w:val="right"/>
        <w:rPr>
          <w:rFonts w:ascii="宋体"/>
        </w:rPr>
      </w:pPr>
      <w:r>
        <w:rPr>
          <w:rFonts w:hint="eastAsia" w:ascii="宋体" w:hAnsi="宋体"/>
        </w:rPr>
        <w:t>投标人名称（盖章）：</w:t>
      </w:r>
    </w:p>
    <w:p w14:paraId="6BDFEFA8">
      <w:pPr>
        <w:snapToGrid w:val="0"/>
        <w:spacing w:line="360" w:lineRule="auto"/>
        <w:ind w:firstLine="420" w:firstLineChars="200"/>
        <w:jc w:val="right"/>
        <w:rPr>
          <w:rFonts w:ascii="宋体"/>
        </w:rPr>
      </w:pPr>
    </w:p>
    <w:p w14:paraId="13360153">
      <w:pPr>
        <w:snapToGrid w:val="0"/>
        <w:spacing w:line="360" w:lineRule="auto"/>
        <w:ind w:firstLine="420" w:firstLineChars="200"/>
        <w:jc w:val="right"/>
        <w:rPr>
          <w:rFonts w:ascii="宋体"/>
        </w:rPr>
      </w:pPr>
      <w:r>
        <w:rPr>
          <w:rFonts w:hint="eastAsia" w:ascii="宋体" w:hAnsi="宋体"/>
        </w:rPr>
        <w:t>日期：年月日</w:t>
      </w:r>
    </w:p>
    <w:p w14:paraId="58DABDC7">
      <w:pPr>
        <w:snapToGrid w:val="0"/>
        <w:spacing w:line="360" w:lineRule="auto"/>
        <w:ind w:firstLine="422" w:firstLineChars="200"/>
        <w:rPr>
          <w:rFonts w:ascii="宋体"/>
          <w:b/>
        </w:rPr>
      </w:pPr>
      <w:r>
        <w:rPr>
          <w:rFonts w:hint="eastAsia" w:ascii="宋体" w:hAnsi="宋体"/>
          <w:b/>
        </w:rPr>
        <w:t>注：中标投标人为残疾人福利性单位的，将随中标结果同时公告其《残疾人福利性单位声明函》，接受社会监督。</w:t>
      </w:r>
    </w:p>
    <w:p w14:paraId="5DE2EBA1">
      <w:pPr>
        <w:autoSpaceDE w:val="0"/>
        <w:autoSpaceDN w:val="0"/>
        <w:adjustRightInd w:val="0"/>
        <w:spacing w:line="360" w:lineRule="auto"/>
        <w:ind w:right="-341" w:firstLine="420" w:firstLineChars="200"/>
        <w:jc w:val="left"/>
        <w:rPr>
          <w:rFonts w:ascii="宋体"/>
          <w:kern w:val="0"/>
        </w:rPr>
      </w:pPr>
    </w:p>
    <w:p w14:paraId="3E4F0C08">
      <w:pPr>
        <w:pStyle w:val="90"/>
        <w:spacing w:line="360" w:lineRule="auto"/>
        <w:ind w:firstLine="0"/>
        <w:jc w:val="left"/>
        <w:rPr>
          <w:rFonts w:hAnsi="宋体"/>
          <w:b/>
          <w:bCs/>
          <w:kern w:val="2"/>
          <w:sz w:val="21"/>
          <w:szCs w:val="21"/>
        </w:rPr>
      </w:pPr>
    </w:p>
    <w:p w14:paraId="74B16E8C">
      <w:pPr>
        <w:autoSpaceDE w:val="0"/>
        <w:autoSpaceDN w:val="0"/>
        <w:adjustRightInd w:val="0"/>
        <w:spacing w:line="360" w:lineRule="auto"/>
        <w:ind w:right="-341"/>
        <w:jc w:val="left"/>
        <w:rPr>
          <w:rFonts w:ascii="宋体"/>
          <w:b/>
          <w:bCs/>
        </w:rPr>
      </w:pPr>
    </w:p>
    <w:p w14:paraId="681796DF">
      <w:pPr>
        <w:pStyle w:val="2"/>
        <w:rPr>
          <w:rFonts w:ascii="宋体"/>
          <w:b/>
          <w:bCs/>
        </w:rPr>
      </w:pPr>
    </w:p>
    <w:p w14:paraId="409691CF">
      <w:pPr>
        <w:snapToGrid w:val="0"/>
        <w:spacing w:beforeLines="50" w:after="50"/>
        <w:rPr>
          <w:rFonts w:ascii="宋体"/>
        </w:rPr>
      </w:pPr>
    </w:p>
    <w:p w14:paraId="0315EEB8">
      <w:pPr>
        <w:pStyle w:val="2"/>
      </w:pPr>
    </w:p>
    <w:p w14:paraId="553E49B7">
      <w:pPr>
        <w:pStyle w:val="2"/>
      </w:pPr>
    </w:p>
    <w:p w14:paraId="5B9024D0">
      <w:pPr>
        <w:pStyle w:val="2"/>
      </w:pPr>
    </w:p>
    <w:p w14:paraId="74A0BC39">
      <w:pPr>
        <w:pStyle w:val="2"/>
      </w:pPr>
    </w:p>
    <w:p w14:paraId="34CF1819">
      <w:pPr>
        <w:pStyle w:val="2"/>
      </w:pPr>
    </w:p>
    <w:p w14:paraId="5AC8C9E8">
      <w:pPr>
        <w:pStyle w:val="2"/>
      </w:pPr>
    </w:p>
    <w:p w14:paraId="5E2ACCAC">
      <w:pPr>
        <w:pStyle w:val="2"/>
      </w:pPr>
    </w:p>
    <w:p w14:paraId="33A0A1D7">
      <w:pPr>
        <w:pStyle w:val="23"/>
        <w:ind w:firstLine="210"/>
      </w:pPr>
    </w:p>
    <w:p w14:paraId="5C02DAB3">
      <w:pPr>
        <w:pStyle w:val="2"/>
      </w:pPr>
    </w:p>
    <w:p w14:paraId="16ED575F">
      <w:pPr>
        <w:pStyle w:val="57"/>
        <w:snapToGrid w:val="0"/>
        <w:spacing w:before="156" w:after="156" w:line="500" w:lineRule="exact"/>
        <w:jc w:val="left"/>
        <w:rPr>
          <w:rFonts w:hAnsi="宋体" w:eastAsia="宋体" w:cs="Times New Roman"/>
          <w:b/>
          <w:bCs/>
          <w:spacing w:val="-4"/>
          <w:sz w:val="21"/>
          <w:szCs w:val="21"/>
        </w:rPr>
      </w:pPr>
      <w:r>
        <w:fldChar w:fldCharType="begin"/>
      </w:r>
      <w:r>
        <w:instrText xml:space="preserve"> HYPERLINK "mailto:16、请将A、B两表在投标截至后发送到107460151@qq.com,ben" </w:instrText>
      </w:r>
      <w:r>
        <w:fldChar w:fldCharType="separate"/>
      </w:r>
      <w:r>
        <w:rPr>
          <w:rStyle w:val="31"/>
          <w:rFonts w:hint="eastAsia" w:hAnsi="宋体" w:eastAsia="宋体" w:cs="Times New Roman"/>
          <w:b/>
          <w:bCs/>
          <w:color w:val="FF0000"/>
          <w:spacing w:val="-4"/>
          <w:sz w:val="21"/>
          <w:szCs w:val="21"/>
        </w:rPr>
        <w:t>14、声明书无需制作入投标文件中，只需在投标截止时间后尽快发送至41688047@qq.com</w:t>
      </w:r>
      <w:r>
        <w:rPr>
          <w:rFonts w:hint="eastAsia" w:hAnsi="宋体" w:eastAsia="宋体" w:cs="Times New Roman"/>
          <w:b/>
          <w:bCs/>
          <w:spacing w:val="-4"/>
          <w:sz w:val="21"/>
          <w:szCs w:val="21"/>
        </w:rPr>
        <w:t>邮箱</w:t>
      </w:r>
      <w:r>
        <w:rPr>
          <w:rFonts w:hint="eastAsia" w:hAnsi="宋体" w:eastAsia="宋体" w:cs="Times New Roman"/>
          <w:b/>
          <w:bCs/>
          <w:spacing w:val="-4"/>
          <w:sz w:val="21"/>
          <w:szCs w:val="21"/>
        </w:rPr>
        <w:fldChar w:fldCharType="end"/>
      </w:r>
      <w:r>
        <w:rPr>
          <w:rFonts w:hint="eastAsia" w:hAnsi="宋体" w:eastAsia="宋体" w:cs="Times New Roman"/>
          <w:b/>
          <w:bCs/>
          <w:spacing w:val="-4"/>
          <w:sz w:val="21"/>
          <w:szCs w:val="21"/>
        </w:rPr>
        <w:t>内。</w:t>
      </w:r>
    </w:p>
    <w:p w14:paraId="60BC2A7B">
      <w:pPr>
        <w:pStyle w:val="162"/>
        <w:spacing w:line="440" w:lineRule="exact"/>
        <w:jc w:val="center"/>
        <w:rPr>
          <w:rFonts w:ascii="华文中宋" w:hAnsi="华文中宋" w:eastAsia="华文中宋"/>
          <w:sz w:val="28"/>
          <w:szCs w:val="28"/>
        </w:rPr>
      </w:pPr>
      <w:r>
        <w:rPr>
          <w:rFonts w:hint="eastAsia" w:ascii="华文中宋" w:hAnsi="华文中宋" w:eastAsia="华文中宋"/>
          <w:sz w:val="28"/>
          <w:szCs w:val="28"/>
        </w:rPr>
        <w:t>政府采购活动现场确认声明书</w:t>
      </w:r>
    </w:p>
    <w:p w14:paraId="27C4587F">
      <w:pPr>
        <w:pStyle w:val="57"/>
        <w:snapToGrid w:val="0"/>
        <w:spacing w:before="156" w:after="156" w:line="440" w:lineRule="exact"/>
        <w:rPr>
          <w:rFonts w:hAnsi="宋体" w:eastAsia="宋体"/>
          <w:color w:val="000000"/>
          <w:spacing w:val="6"/>
          <w:sz w:val="21"/>
          <w:szCs w:val="21"/>
        </w:rPr>
      </w:pPr>
      <w:r>
        <w:rPr>
          <w:rFonts w:hint="eastAsia" w:hAnsi="宋体" w:eastAsia="宋体"/>
          <w:color w:val="000000"/>
          <w:spacing w:val="6"/>
          <w:sz w:val="21"/>
          <w:szCs w:val="21"/>
        </w:rPr>
        <w:t>浙江自贸区中昊工程管理有限公司：</w:t>
      </w:r>
    </w:p>
    <w:p w14:paraId="22F2B3BB">
      <w:pPr>
        <w:pStyle w:val="57"/>
        <w:snapToGrid w:val="0"/>
        <w:spacing w:before="156" w:after="156" w:line="440" w:lineRule="exact"/>
        <w:ind w:firstLine="444" w:firstLineChars="200"/>
        <w:rPr>
          <w:rFonts w:hAnsi="宋体" w:eastAsia="宋体"/>
          <w:color w:val="000000"/>
          <w:spacing w:val="6"/>
          <w:sz w:val="21"/>
          <w:szCs w:val="21"/>
        </w:rPr>
      </w:pPr>
      <w:r>
        <w:rPr>
          <w:rFonts w:hint="eastAsia" w:hAnsi="宋体" w:eastAsia="宋体"/>
          <w:color w:val="000000"/>
          <w:spacing w:val="6"/>
          <w:sz w:val="21"/>
          <w:szCs w:val="21"/>
        </w:rPr>
        <w:t>本人（法定代表人姓名），参加</w:t>
      </w:r>
      <w:r>
        <w:rPr>
          <w:rFonts w:hint="eastAsia" w:hAnsi="宋体" w:eastAsia="宋体"/>
          <w:color w:val="000000"/>
          <w:sz w:val="21"/>
          <w:szCs w:val="21"/>
          <w:u w:val="single"/>
        </w:rPr>
        <w:t>《                》</w:t>
      </w:r>
      <w:r>
        <w:rPr>
          <w:rFonts w:hint="eastAsia" w:hAnsi="宋体" w:eastAsia="宋体"/>
          <w:color w:val="000000"/>
          <w:spacing w:val="6"/>
          <w:sz w:val="21"/>
          <w:szCs w:val="21"/>
          <w:u w:val="single"/>
        </w:rPr>
        <w:t>（编号：）</w:t>
      </w:r>
      <w:r>
        <w:rPr>
          <w:rFonts w:hint="eastAsia" w:hAnsi="宋体" w:eastAsia="宋体"/>
          <w:color w:val="000000"/>
          <w:spacing w:val="6"/>
          <w:sz w:val="21"/>
          <w:szCs w:val="21"/>
        </w:rPr>
        <w:t xml:space="preserve">政府采购活动，经确认，现就有关公平竞争事项郑重声明如下： </w:t>
      </w:r>
    </w:p>
    <w:p w14:paraId="043793C7">
      <w:pPr>
        <w:pStyle w:val="58"/>
        <w:widowControl/>
        <w:numPr>
          <w:ilvl w:val="0"/>
          <w:numId w:val="15"/>
        </w:numPr>
        <w:snapToGrid w:val="0"/>
        <w:spacing w:line="440" w:lineRule="exact"/>
        <w:ind w:firstLine="396" w:firstLineChars="189"/>
        <w:rPr>
          <w:rFonts w:ascii="宋体" w:hAnsi="宋体" w:cs="宋体"/>
          <w:color w:val="000000"/>
          <w:kern w:val="0"/>
        </w:rPr>
      </w:pPr>
      <w:r>
        <w:rPr>
          <w:rFonts w:hint="eastAsia" w:ascii="宋体" w:hAnsi="宋体" w:cs="宋体"/>
          <w:color w:val="000000"/>
          <w:kern w:val="0"/>
        </w:rPr>
        <w:t>本单位与采购人之间 □不存在利害关系 □存在下列利害关系：</w:t>
      </w:r>
    </w:p>
    <w:p w14:paraId="521B926F">
      <w:pPr>
        <w:pStyle w:val="58"/>
        <w:widowControl/>
        <w:snapToGrid w:val="0"/>
        <w:spacing w:line="440" w:lineRule="exact"/>
        <w:rPr>
          <w:rFonts w:ascii="宋体" w:hAnsi="宋体" w:cs="宋体"/>
          <w:color w:val="000000"/>
          <w:kern w:val="0"/>
        </w:rPr>
      </w:pPr>
      <w:r>
        <w:rPr>
          <w:rFonts w:hint="eastAsia" w:ascii="宋体" w:hAnsi="宋体" w:cs="宋体"/>
          <w:color w:val="000000"/>
          <w:kern w:val="0"/>
        </w:rPr>
        <w:t xml:space="preserve">  A.投资关系    B.行政隶属关系    C.业务指导关系</w:t>
      </w:r>
    </w:p>
    <w:p w14:paraId="01A0075B">
      <w:pPr>
        <w:pStyle w:val="58"/>
        <w:widowControl/>
        <w:snapToGrid w:val="0"/>
        <w:spacing w:line="440" w:lineRule="exact"/>
        <w:rPr>
          <w:rFonts w:ascii="宋体" w:hAnsi="宋体" w:cs="宋体"/>
          <w:color w:val="000000"/>
          <w:kern w:val="0"/>
        </w:rPr>
      </w:pPr>
      <w:r>
        <w:rPr>
          <w:rFonts w:hint="eastAsia" w:ascii="宋体" w:hAnsi="宋体" w:cs="宋体"/>
          <w:color w:val="000000"/>
          <w:kern w:val="0"/>
        </w:rPr>
        <w:t xml:space="preserve">  D.其他可能</w:t>
      </w:r>
      <w:r>
        <w:rPr>
          <w:rFonts w:hint="eastAsia" w:ascii="宋体" w:hAnsi="宋体" w:cs="宋体"/>
          <w:color w:val="000000"/>
        </w:rPr>
        <w:t>影响采购公正的</w:t>
      </w:r>
      <w:r>
        <w:rPr>
          <w:rFonts w:hint="eastAsia" w:ascii="宋体" w:hAnsi="宋体" w:cs="宋体"/>
          <w:color w:val="000000"/>
          <w:kern w:val="0"/>
        </w:rPr>
        <w:t>利害关系（如有，请如实说明） 。</w:t>
      </w:r>
    </w:p>
    <w:p w14:paraId="70B52CDE">
      <w:pPr>
        <w:pStyle w:val="58"/>
        <w:widowControl/>
        <w:numPr>
          <w:ilvl w:val="0"/>
          <w:numId w:val="15"/>
        </w:numPr>
        <w:snapToGrid w:val="0"/>
        <w:spacing w:line="440" w:lineRule="exact"/>
        <w:ind w:firstLine="396" w:firstLineChars="189"/>
        <w:rPr>
          <w:rFonts w:ascii="宋体" w:hAnsi="宋体" w:cs="宋体"/>
          <w:color w:val="000000"/>
          <w:kern w:val="0"/>
        </w:rPr>
      </w:pPr>
      <w:r>
        <w:rPr>
          <w:rFonts w:hint="eastAsia" w:ascii="宋体" w:hAnsi="宋体" w:cs="宋体"/>
          <w:color w:val="000000"/>
          <w:kern w:val="0"/>
        </w:rPr>
        <w:t>现已清楚知道参加本项目采购活动的其他所有供应商名称，本单位 □与其他所有供应商之间均不存在利害关系 □与 （供应商名称）之间存在下列利害关系：</w:t>
      </w:r>
    </w:p>
    <w:p w14:paraId="5BA7383F">
      <w:pPr>
        <w:pStyle w:val="57"/>
        <w:snapToGrid w:val="0"/>
        <w:spacing w:before="156" w:after="156" w:line="360" w:lineRule="exact"/>
        <w:rPr>
          <w:rFonts w:hAnsi="宋体" w:eastAsia="宋体"/>
          <w:color w:val="000000"/>
          <w:kern w:val="0"/>
          <w:sz w:val="21"/>
          <w:szCs w:val="21"/>
        </w:rPr>
      </w:pPr>
      <w:r>
        <w:rPr>
          <w:rFonts w:hint="eastAsia" w:hAnsi="宋体" w:eastAsia="宋体"/>
          <w:color w:val="000000"/>
          <w:kern w:val="0"/>
          <w:sz w:val="21"/>
          <w:szCs w:val="21"/>
        </w:rPr>
        <w:t xml:space="preserve">  A.法定代表人或负责人或实际控制人是同一人</w:t>
      </w:r>
    </w:p>
    <w:p w14:paraId="58D132E1">
      <w:pPr>
        <w:pStyle w:val="57"/>
        <w:snapToGrid w:val="0"/>
        <w:spacing w:before="156" w:after="156" w:line="360" w:lineRule="exact"/>
        <w:rPr>
          <w:rFonts w:hAnsi="宋体" w:eastAsia="宋体"/>
          <w:color w:val="000000"/>
          <w:spacing w:val="6"/>
          <w:sz w:val="21"/>
          <w:szCs w:val="21"/>
        </w:rPr>
      </w:pPr>
      <w:r>
        <w:rPr>
          <w:rFonts w:hint="eastAsia" w:hAnsi="宋体" w:eastAsia="宋体"/>
          <w:color w:val="000000"/>
          <w:kern w:val="0"/>
          <w:sz w:val="21"/>
          <w:szCs w:val="21"/>
        </w:rPr>
        <w:t xml:space="preserve">  B.法定代表人或负责人或实际控制人是夫妻关系</w:t>
      </w:r>
    </w:p>
    <w:p w14:paraId="3CC9F7A6">
      <w:pPr>
        <w:pStyle w:val="57"/>
        <w:snapToGrid w:val="0"/>
        <w:spacing w:before="156" w:after="156" w:line="360" w:lineRule="exact"/>
        <w:rPr>
          <w:rFonts w:hAnsi="宋体" w:eastAsia="宋体"/>
          <w:color w:val="000000"/>
          <w:spacing w:val="6"/>
          <w:sz w:val="21"/>
          <w:szCs w:val="21"/>
        </w:rPr>
      </w:pPr>
      <w:r>
        <w:rPr>
          <w:rFonts w:hint="eastAsia" w:hAnsi="宋体" w:eastAsia="宋体"/>
          <w:color w:val="000000"/>
          <w:kern w:val="0"/>
          <w:sz w:val="21"/>
          <w:szCs w:val="21"/>
        </w:rPr>
        <w:t xml:space="preserve">  C.法定代表人或负责人或实际控制人是直系血亲关系</w:t>
      </w:r>
    </w:p>
    <w:p w14:paraId="68D11B95">
      <w:pPr>
        <w:pStyle w:val="57"/>
        <w:snapToGrid w:val="0"/>
        <w:spacing w:before="156" w:after="156" w:line="360" w:lineRule="exact"/>
        <w:rPr>
          <w:rFonts w:hAnsi="宋体" w:eastAsia="宋体"/>
          <w:color w:val="000000"/>
          <w:spacing w:val="6"/>
          <w:sz w:val="21"/>
          <w:szCs w:val="21"/>
        </w:rPr>
      </w:pPr>
      <w:r>
        <w:rPr>
          <w:rFonts w:hint="eastAsia" w:hAnsi="宋体" w:eastAsia="宋体"/>
          <w:color w:val="000000"/>
          <w:kern w:val="0"/>
          <w:sz w:val="21"/>
          <w:szCs w:val="21"/>
        </w:rPr>
        <w:t xml:space="preserve">  D.法定代表人或负责人或实际控制人存在三代以内旁系血亲关系</w:t>
      </w:r>
    </w:p>
    <w:p w14:paraId="29202B94">
      <w:pPr>
        <w:pStyle w:val="57"/>
        <w:snapToGrid w:val="0"/>
        <w:spacing w:before="156" w:after="156" w:line="360" w:lineRule="exact"/>
        <w:rPr>
          <w:rFonts w:hAnsi="宋体" w:eastAsia="宋体"/>
          <w:color w:val="000000"/>
          <w:kern w:val="0"/>
          <w:sz w:val="21"/>
          <w:szCs w:val="21"/>
        </w:rPr>
      </w:pPr>
      <w:r>
        <w:rPr>
          <w:rFonts w:hint="eastAsia" w:hAnsi="宋体" w:eastAsia="宋体"/>
          <w:color w:val="000000"/>
          <w:kern w:val="0"/>
          <w:sz w:val="21"/>
          <w:szCs w:val="21"/>
        </w:rPr>
        <w:t xml:space="preserve">  E.法定代表人或负责人或实际控制人存在近姻亲关系</w:t>
      </w:r>
    </w:p>
    <w:p w14:paraId="20B333BE">
      <w:pPr>
        <w:pStyle w:val="57"/>
        <w:snapToGrid w:val="0"/>
        <w:spacing w:before="156" w:after="156" w:line="360" w:lineRule="exact"/>
        <w:rPr>
          <w:rFonts w:hAnsi="宋体" w:eastAsia="宋体"/>
          <w:color w:val="000000"/>
          <w:kern w:val="0"/>
          <w:sz w:val="21"/>
          <w:szCs w:val="21"/>
        </w:rPr>
      </w:pPr>
      <w:r>
        <w:rPr>
          <w:rFonts w:hint="eastAsia" w:hAnsi="宋体" w:eastAsia="宋体"/>
          <w:color w:val="000000"/>
          <w:kern w:val="0"/>
          <w:sz w:val="21"/>
          <w:szCs w:val="21"/>
        </w:rPr>
        <w:t xml:space="preserve">  F.法定代表人或负责人或实际控制人存在股份控制或实际控制关系</w:t>
      </w:r>
    </w:p>
    <w:p w14:paraId="778D6F11">
      <w:pPr>
        <w:pStyle w:val="57"/>
        <w:snapToGrid w:val="0"/>
        <w:spacing w:before="156" w:after="156" w:line="360" w:lineRule="exact"/>
        <w:rPr>
          <w:rFonts w:hAnsi="宋体" w:eastAsia="宋体"/>
          <w:color w:val="000000"/>
          <w:kern w:val="0"/>
          <w:sz w:val="21"/>
          <w:szCs w:val="21"/>
        </w:rPr>
      </w:pPr>
      <w:r>
        <w:rPr>
          <w:rFonts w:hint="eastAsia" w:hAnsi="宋体" w:eastAsia="宋体"/>
          <w:color w:val="000000"/>
          <w:kern w:val="0"/>
          <w:sz w:val="21"/>
          <w:szCs w:val="21"/>
        </w:rPr>
        <w:t xml:space="preserve">  G.存在共同直接或间接投资设立子公司、联营企业和合营企业情况</w:t>
      </w:r>
    </w:p>
    <w:p w14:paraId="2952A96D">
      <w:pPr>
        <w:pStyle w:val="57"/>
        <w:snapToGrid w:val="0"/>
        <w:spacing w:before="156" w:after="156" w:line="360" w:lineRule="exact"/>
        <w:rPr>
          <w:rFonts w:hAnsi="宋体" w:eastAsia="宋体"/>
          <w:color w:val="000000"/>
          <w:sz w:val="21"/>
          <w:szCs w:val="21"/>
        </w:rPr>
      </w:pPr>
      <w:r>
        <w:rPr>
          <w:rFonts w:hint="eastAsia" w:hAnsi="宋体" w:eastAsia="宋体"/>
          <w:color w:val="000000"/>
          <w:kern w:val="0"/>
          <w:sz w:val="21"/>
          <w:szCs w:val="21"/>
        </w:rPr>
        <w:t xml:space="preserve">  H.存在分级代理或代销关系、同一生产制造商关系、</w:t>
      </w:r>
      <w:r>
        <w:rPr>
          <w:rFonts w:hint="eastAsia" w:hAnsi="宋体" w:eastAsia="宋体"/>
          <w:color w:val="000000"/>
          <w:sz w:val="21"/>
          <w:szCs w:val="21"/>
        </w:rPr>
        <w:t>管理关系、重要业务（占主营业务收入50%以上）或重要财务往来关系（如融资）等其他实质性控制关系</w:t>
      </w:r>
    </w:p>
    <w:p w14:paraId="403FD47A">
      <w:pPr>
        <w:pStyle w:val="57"/>
        <w:snapToGrid w:val="0"/>
        <w:spacing w:before="156" w:after="156" w:line="440" w:lineRule="exact"/>
        <w:rPr>
          <w:rFonts w:hAnsi="宋体" w:eastAsia="宋体"/>
          <w:color w:val="000000"/>
          <w:spacing w:val="6"/>
          <w:sz w:val="21"/>
          <w:szCs w:val="21"/>
        </w:rPr>
      </w:pPr>
      <w:r>
        <w:rPr>
          <w:rFonts w:hint="eastAsia" w:hAnsi="宋体" w:eastAsia="宋体"/>
          <w:color w:val="000000"/>
          <w:sz w:val="21"/>
          <w:szCs w:val="21"/>
        </w:rPr>
        <w:t xml:space="preserve">  I</w:t>
      </w:r>
      <w:r>
        <w:rPr>
          <w:rFonts w:hint="eastAsia" w:hAnsi="宋体" w:eastAsia="宋体"/>
          <w:color w:val="000000"/>
          <w:kern w:val="0"/>
          <w:sz w:val="21"/>
          <w:szCs w:val="21"/>
        </w:rPr>
        <w:t>.</w:t>
      </w:r>
      <w:r>
        <w:rPr>
          <w:rFonts w:hint="eastAsia" w:hAnsi="宋体" w:eastAsia="宋体"/>
          <w:color w:val="000000"/>
          <w:sz w:val="21"/>
          <w:szCs w:val="21"/>
        </w:rPr>
        <w:t>其他利害关系情况</w:t>
      </w:r>
      <w:r>
        <w:rPr>
          <w:rFonts w:hint="eastAsia" w:hAnsi="宋体" w:eastAsia="宋体"/>
          <w:color w:val="000000"/>
          <w:kern w:val="0"/>
          <w:sz w:val="21"/>
          <w:szCs w:val="21"/>
        </w:rPr>
        <w:t>。</w:t>
      </w:r>
    </w:p>
    <w:p w14:paraId="6526F75F">
      <w:pPr>
        <w:pStyle w:val="58"/>
        <w:widowControl/>
        <w:numPr>
          <w:ilvl w:val="0"/>
          <w:numId w:val="16"/>
        </w:numPr>
        <w:snapToGrid w:val="0"/>
        <w:spacing w:line="440" w:lineRule="exact"/>
        <w:ind w:firstLine="396" w:firstLineChars="189"/>
        <w:rPr>
          <w:rFonts w:ascii="宋体" w:hAnsi="宋体" w:cs="宋体"/>
          <w:color w:val="000000"/>
          <w:kern w:val="0"/>
        </w:rPr>
      </w:pPr>
      <w:r>
        <w:rPr>
          <w:rFonts w:hint="eastAsia" w:ascii="宋体" w:hAnsi="宋体" w:cs="宋体"/>
          <w:color w:val="000000"/>
        </w:rPr>
        <w:t>现已清楚知道并</w:t>
      </w:r>
      <w:r>
        <w:rPr>
          <w:rFonts w:hint="eastAsia" w:ascii="宋体" w:hAnsi="宋体" w:cs="宋体"/>
          <w:color w:val="000000"/>
          <w:kern w:val="0"/>
        </w:rPr>
        <w:t>严格遵守政府采购法律法规和现场纪律。</w:t>
      </w:r>
    </w:p>
    <w:p w14:paraId="5670D9C0">
      <w:pPr>
        <w:pStyle w:val="58"/>
        <w:widowControl/>
        <w:numPr>
          <w:ilvl w:val="0"/>
          <w:numId w:val="16"/>
        </w:numPr>
        <w:snapToGrid w:val="0"/>
        <w:spacing w:line="440" w:lineRule="exact"/>
        <w:ind w:firstLine="396" w:firstLineChars="189"/>
        <w:rPr>
          <w:rFonts w:ascii="宋体" w:hAnsi="宋体" w:cs="宋体"/>
          <w:color w:val="000000"/>
          <w:kern w:val="0"/>
        </w:rPr>
      </w:pPr>
      <w:r>
        <w:rPr>
          <w:rFonts w:hint="eastAsia" w:ascii="宋体" w:hAnsi="宋体" w:cs="宋体"/>
          <w:color w:val="000000"/>
          <w:kern w:val="0"/>
        </w:rPr>
        <w:t xml:space="preserve">我发现供应商之间存在或可能存在上述第二条第项利害关系。   </w:t>
      </w:r>
    </w:p>
    <w:p w14:paraId="740B4FC9">
      <w:pPr>
        <w:pStyle w:val="58"/>
        <w:widowControl/>
        <w:snapToGrid w:val="0"/>
        <w:spacing w:line="440" w:lineRule="exact"/>
        <w:rPr>
          <w:rFonts w:ascii="宋体" w:hAnsi="宋体" w:cs="宋体"/>
          <w:color w:val="000000"/>
          <w:kern w:val="0"/>
        </w:rPr>
      </w:pPr>
    </w:p>
    <w:p w14:paraId="2750BD3E">
      <w:pPr>
        <w:pStyle w:val="58"/>
        <w:widowControl/>
        <w:snapToGrid w:val="0"/>
        <w:spacing w:line="440" w:lineRule="exact"/>
        <w:rPr>
          <w:rFonts w:ascii="宋体" w:hAnsi="宋体" w:cs="宋体"/>
          <w:color w:val="000000"/>
          <w:kern w:val="0"/>
        </w:rPr>
      </w:pPr>
    </w:p>
    <w:p w14:paraId="525CCB12">
      <w:pPr>
        <w:pStyle w:val="58"/>
        <w:widowControl/>
        <w:snapToGrid w:val="0"/>
        <w:spacing w:line="440" w:lineRule="exact"/>
        <w:jc w:val="center"/>
        <w:rPr>
          <w:rFonts w:ascii="宋体" w:hAnsi="宋体" w:cs="宋体"/>
          <w:color w:val="000000"/>
          <w:kern w:val="0"/>
        </w:rPr>
      </w:pPr>
      <w:r>
        <w:rPr>
          <w:rFonts w:hint="eastAsia" w:ascii="宋体" w:hAnsi="宋体" w:cs="宋体"/>
          <w:color w:val="000000"/>
          <w:kern w:val="0"/>
        </w:rPr>
        <w:t xml:space="preserve">                                        供应商：（盖章)</w:t>
      </w:r>
    </w:p>
    <w:p w14:paraId="009FE099">
      <w:pPr>
        <w:pStyle w:val="57"/>
        <w:snapToGrid w:val="0"/>
        <w:spacing w:before="156" w:after="156" w:line="440" w:lineRule="exact"/>
        <w:ind w:firstLine="420" w:firstLineChars="200"/>
      </w:pPr>
      <w:r>
        <w:rPr>
          <w:rFonts w:hint="eastAsia" w:hAnsi="宋体" w:eastAsia="宋体"/>
          <w:color w:val="000000"/>
          <w:kern w:val="0"/>
          <w:sz w:val="21"/>
          <w:szCs w:val="21"/>
        </w:rPr>
        <w:t xml:space="preserve">                                                 202</w:t>
      </w:r>
      <w:r>
        <w:rPr>
          <w:rFonts w:hint="eastAsia" w:hAnsi="宋体" w:eastAsia="宋体"/>
          <w:color w:val="000000"/>
          <w:kern w:val="0"/>
          <w:sz w:val="21"/>
          <w:szCs w:val="21"/>
          <w:lang w:val="en-US" w:eastAsia="zh-CN"/>
        </w:rPr>
        <w:t>5</w:t>
      </w:r>
      <w:r>
        <w:rPr>
          <w:rFonts w:hint="eastAsia" w:hAnsi="宋体" w:eastAsia="宋体"/>
          <w:color w:val="000000"/>
          <w:kern w:val="0"/>
          <w:sz w:val="21"/>
          <w:szCs w:val="21"/>
        </w:rPr>
        <w:t>年   月   日</w:t>
      </w:r>
    </w:p>
    <w:p w14:paraId="79B2C4EC">
      <w:pPr>
        <w:ind w:firstLine="420"/>
        <w:jc w:val="left"/>
        <w:rPr>
          <w:rFonts w:ascii="宋体"/>
        </w:rPr>
      </w:pPr>
      <w:r>
        <w:rPr>
          <w:rFonts w:hint="eastAsia" w:ascii="宋体" w:hAnsi="宋体"/>
          <w:b/>
          <w:bCs/>
        </w:rPr>
        <w:t>15</w:t>
      </w:r>
      <w:r>
        <w:rPr>
          <w:rFonts w:hint="eastAsia" w:ascii="宋体" w:hAnsi="宋体"/>
          <w:b/>
          <w:bCs/>
          <w:spacing w:val="-4"/>
        </w:rPr>
        <w:t>、政府采购投标人质疑函范本</w:t>
      </w:r>
    </w:p>
    <w:tbl>
      <w:tblPr>
        <w:tblStyle w:val="24"/>
        <w:tblW w:w="9299" w:type="dxa"/>
        <w:jc w:val="center"/>
        <w:tblCellSpacing w:w="0" w:type="dxa"/>
        <w:tblLayout w:type="fixed"/>
        <w:tblCellMar>
          <w:top w:w="0" w:type="dxa"/>
          <w:left w:w="0" w:type="dxa"/>
          <w:bottom w:w="0" w:type="dxa"/>
          <w:right w:w="0" w:type="dxa"/>
        </w:tblCellMar>
      </w:tblPr>
      <w:tblGrid>
        <w:gridCol w:w="9299"/>
      </w:tblGrid>
      <w:tr w14:paraId="17E3631F">
        <w:tblPrEx>
          <w:tblCellMar>
            <w:top w:w="0" w:type="dxa"/>
            <w:left w:w="0" w:type="dxa"/>
            <w:bottom w:w="0" w:type="dxa"/>
            <w:right w:w="0" w:type="dxa"/>
          </w:tblCellMar>
        </w:tblPrEx>
        <w:trPr>
          <w:tblCellSpacing w:w="0" w:type="dxa"/>
          <w:jc w:val="center"/>
        </w:trPr>
        <w:tc>
          <w:tcPr>
            <w:tcW w:w="9299" w:type="dxa"/>
            <w:vAlign w:val="center"/>
          </w:tcPr>
          <w:tbl>
            <w:tblPr>
              <w:tblStyle w:val="24"/>
              <w:tblW w:w="9299" w:type="dxa"/>
              <w:tblCellSpacing w:w="0" w:type="dxa"/>
              <w:tblInd w:w="0" w:type="dxa"/>
              <w:tblLayout w:type="fixed"/>
              <w:tblCellMar>
                <w:top w:w="0" w:type="dxa"/>
                <w:left w:w="0" w:type="dxa"/>
                <w:bottom w:w="0" w:type="dxa"/>
                <w:right w:w="0" w:type="dxa"/>
              </w:tblCellMar>
            </w:tblPr>
            <w:tblGrid>
              <w:gridCol w:w="9299"/>
            </w:tblGrid>
            <w:tr w14:paraId="4DE3BB56">
              <w:tblPrEx>
                <w:tblCellMar>
                  <w:top w:w="0" w:type="dxa"/>
                  <w:left w:w="0" w:type="dxa"/>
                  <w:bottom w:w="0" w:type="dxa"/>
                  <w:right w:w="0" w:type="dxa"/>
                </w:tblCellMar>
              </w:tblPrEx>
              <w:trPr>
                <w:trHeight w:val="1140" w:hRule="atLeast"/>
                <w:tblCellSpacing w:w="0" w:type="dxa"/>
              </w:trPr>
              <w:tc>
                <w:tcPr>
                  <w:tcW w:w="9299" w:type="dxa"/>
                  <w:shd w:val="clear" w:color="auto" w:fill="FFFFFF"/>
                </w:tcPr>
                <w:tbl>
                  <w:tblPr>
                    <w:tblStyle w:val="24"/>
                    <w:tblW w:w="7904" w:type="dxa"/>
                    <w:jc w:val="center"/>
                    <w:tblCellSpacing w:w="0" w:type="dxa"/>
                    <w:tblLayout w:type="fixed"/>
                    <w:tblCellMar>
                      <w:top w:w="0" w:type="dxa"/>
                      <w:left w:w="0" w:type="dxa"/>
                      <w:bottom w:w="0" w:type="dxa"/>
                      <w:right w:w="0" w:type="dxa"/>
                    </w:tblCellMar>
                  </w:tblPr>
                  <w:tblGrid>
                    <w:gridCol w:w="7904"/>
                  </w:tblGrid>
                  <w:tr w14:paraId="5A76CA72">
                    <w:tblPrEx>
                      <w:tblCellMar>
                        <w:top w:w="0" w:type="dxa"/>
                        <w:left w:w="0" w:type="dxa"/>
                        <w:bottom w:w="0" w:type="dxa"/>
                        <w:right w:w="0" w:type="dxa"/>
                      </w:tblCellMar>
                    </w:tblPrEx>
                    <w:trPr>
                      <w:tblCellSpacing w:w="0" w:type="dxa"/>
                      <w:jc w:val="center"/>
                    </w:trPr>
                    <w:tc>
                      <w:tcPr>
                        <w:tcW w:w="7904" w:type="dxa"/>
                        <w:vAlign w:val="center"/>
                      </w:tcPr>
                      <w:p w14:paraId="2E125D79">
                        <w:pPr>
                          <w:spacing w:beforeAutospacing="1" w:afterAutospacing="1"/>
                          <w:ind w:firstLine="422"/>
                          <w:jc w:val="center"/>
                          <w:rPr>
                            <w:rFonts w:ascii="宋体"/>
                            <w:sz w:val="28"/>
                            <w:szCs w:val="28"/>
                          </w:rPr>
                        </w:pPr>
                        <w:r>
                          <w:rPr>
                            <w:rFonts w:hint="eastAsia" w:ascii="宋体" w:hAnsi="宋体"/>
                            <w:b/>
                            <w:kern w:val="0"/>
                            <w:sz w:val="28"/>
                            <w:szCs w:val="28"/>
                          </w:rPr>
                          <w:t>质疑函范本</w:t>
                        </w:r>
                      </w:p>
                      <w:p w14:paraId="1AC6AA40">
                        <w:pPr>
                          <w:adjustRightInd w:val="0"/>
                          <w:snapToGrid w:val="0"/>
                          <w:spacing w:beforeLines="100" w:afterAutospacing="1"/>
                          <w:ind w:firstLine="420"/>
                          <w:jc w:val="left"/>
                          <w:rPr>
                            <w:rFonts w:ascii="宋体"/>
                          </w:rPr>
                        </w:pPr>
                        <w:r>
                          <w:rPr>
                            <w:rFonts w:hint="eastAsia" w:ascii="宋体" w:hAnsi="宋体"/>
                            <w:bCs/>
                            <w:kern w:val="0"/>
                          </w:rPr>
                          <w:t>一、质疑投标人基本信息</w:t>
                        </w:r>
                      </w:p>
                      <w:p w14:paraId="188A12A1">
                        <w:pPr>
                          <w:adjustRightInd w:val="0"/>
                          <w:snapToGrid w:val="0"/>
                          <w:spacing w:beforeAutospacing="1" w:afterAutospacing="1"/>
                          <w:ind w:firstLine="420"/>
                          <w:jc w:val="left"/>
                          <w:rPr>
                            <w:rFonts w:ascii="宋体"/>
                          </w:rPr>
                        </w:pPr>
                        <w:r>
                          <w:rPr>
                            <w:rFonts w:hint="eastAsia" w:ascii="宋体" w:hAnsi="宋体"/>
                            <w:kern w:val="0"/>
                          </w:rPr>
                          <w:t>质疑投标人：</w:t>
                        </w:r>
                      </w:p>
                      <w:p w14:paraId="0C40C85E">
                        <w:pPr>
                          <w:adjustRightInd w:val="0"/>
                          <w:snapToGrid w:val="0"/>
                          <w:spacing w:beforeAutospacing="1" w:afterAutospacing="1"/>
                          <w:ind w:firstLine="420"/>
                          <w:jc w:val="left"/>
                          <w:rPr>
                            <w:rFonts w:ascii="宋体"/>
                          </w:rPr>
                        </w:pPr>
                        <w:r>
                          <w:rPr>
                            <w:rFonts w:hint="eastAsia" w:ascii="宋体" w:hAnsi="宋体"/>
                            <w:kern w:val="0"/>
                          </w:rPr>
                          <w:t>地址：邮编：</w:t>
                        </w:r>
                      </w:p>
                      <w:p w14:paraId="0416420A">
                        <w:pPr>
                          <w:adjustRightInd w:val="0"/>
                          <w:snapToGrid w:val="0"/>
                          <w:spacing w:beforeAutospacing="1" w:afterAutospacing="1"/>
                          <w:ind w:firstLine="420"/>
                          <w:jc w:val="left"/>
                          <w:rPr>
                            <w:rFonts w:ascii="宋体"/>
                          </w:rPr>
                        </w:pPr>
                        <w:r>
                          <w:rPr>
                            <w:rFonts w:hint="eastAsia" w:ascii="宋体" w:hAnsi="宋体"/>
                            <w:kern w:val="0"/>
                          </w:rPr>
                          <w:t>联系人：联系电话：</w:t>
                        </w:r>
                      </w:p>
                      <w:p w14:paraId="0F1ACEDB">
                        <w:pPr>
                          <w:adjustRightInd w:val="0"/>
                          <w:snapToGrid w:val="0"/>
                          <w:spacing w:beforeAutospacing="1" w:afterAutospacing="1"/>
                          <w:ind w:firstLine="420"/>
                          <w:jc w:val="left"/>
                          <w:rPr>
                            <w:rFonts w:ascii="宋体"/>
                          </w:rPr>
                        </w:pPr>
                        <w:r>
                          <w:rPr>
                            <w:rFonts w:hint="eastAsia" w:ascii="宋体" w:hAnsi="宋体"/>
                            <w:kern w:val="0"/>
                          </w:rPr>
                          <w:t>授权代表：联系电话：</w:t>
                        </w:r>
                      </w:p>
                      <w:p w14:paraId="57F02040">
                        <w:pPr>
                          <w:adjustRightInd w:val="0"/>
                          <w:snapToGrid w:val="0"/>
                          <w:spacing w:beforeAutospacing="1" w:afterAutospacing="1"/>
                          <w:ind w:firstLine="420"/>
                          <w:jc w:val="left"/>
                          <w:rPr>
                            <w:rFonts w:ascii="宋体"/>
                          </w:rPr>
                        </w:pPr>
                        <w:r>
                          <w:rPr>
                            <w:rFonts w:hint="eastAsia" w:ascii="宋体" w:hAnsi="宋体"/>
                            <w:kern w:val="0"/>
                          </w:rPr>
                          <w:t>地址：邮编：邮箱：</w:t>
                        </w:r>
                      </w:p>
                      <w:p w14:paraId="48EDB002">
                        <w:pPr>
                          <w:adjustRightInd w:val="0"/>
                          <w:snapToGrid w:val="0"/>
                          <w:spacing w:beforeAutospacing="1" w:afterAutospacing="1"/>
                          <w:ind w:firstLine="420"/>
                          <w:jc w:val="left"/>
                          <w:rPr>
                            <w:rFonts w:ascii="宋体"/>
                          </w:rPr>
                        </w:pPr>
                        <w:r>
                          <w:rPr>
                            <w:rFonts w:hint="eastAsia" w:ascii="宋体" w:hAnsi="宋体"/>
                            <w:bCs/>
                            <w:kern w:val="0"/>
                          </w:rPr>
                          <w:t>二、质疑项目基本情况</w:t>
                        </w:r>
                      </w:p>
                      <w:p w14:paraId="5AB3139F">
                        <w:pPr>
                          <w:adjustRightInd w:val="0"/>
                          <w:snapToGrid w:val="0"/>
                          <w:spacing w:beforeAutospacing="1" w:afterAutospacing="1"/>
                          <w:ind w:firstLine="420"/>
                          <w:jc w:val="left"/>
                          <w:rPr>
                            <w:rFonts w:ascii="宋体"/>
                          </w:rPr>
                        </w:pPr>
                        <w:r>
                          <w:rPr>
                            <w:rFonts w:hint="eastAsia" w:ascii="宋体" w:hAnsi="宋体"/>
                            <w:kern w:val="0"/>
                          </w:rPr>
                          <w:t>质疑项目的名称：</w:t>
                        </w:r>
                      </w:p>
                      <w:p w14:paraId="6915E731">
                        <w:pPr>
                          <w:adjustRightInd w:val="0"/>
                          <w:snapToGrid w:val="0"/>
                          <w:spacing w:beforeAutospacing="1" w:afterAutospacing="1"/>
                          <w:ind w:firstLine="420"/>
                          <w:jc w:val="left"/>
                          <w:rPr>
                            <w:rFonts w:ascii="宋体"/>
                          </w:rPr>
                        </w:pPr>
                        <w:r>
                          <w:rPr>
                            <w:rFonts w:hint="eastAsia" w:ascii="宋体" w:hAnsi="宋体"/>
                            <w:kern w:val="0"/>
                          </w:rPr>
                          <w:t>质疑项目的编号：包号：</w:t>
                        </w:r>
                      </w:p>
                      <w:p w14:paraId="165F2C71">
                        <w:pPr>
                          <w:adjustRightInd w:val="0"/>
                          <w:snapToGrid w:val="0"/>
                          <w:spacing w:beforeAutospacing="1" w:afterAutospacing="1"/>
                          <w:ind w:firstLine="420"/>
                          <w:jc w:val="left"/>
                          <w:rPr>
                            <w:rFonts w:ascii="宋体"/>
                          </w:rPr>
                        </w:pPr>
                        <w:r>
                          <w:rPr>
                            <w:rFonts w:hint="eastAsia" w:ascii="宋体" w:hAnsi="宋体"/>
                            <w:kern w:val="0"/>
                          </w:rPr>
                          <w:t>采购人名称：</w:t>
                        </w:r>
                      </w:p>
                      <w:p w14:paraId="26D1E631">
                        <w:pPr>
                          <w:adjustRightInd w:val="0"/>
                          <w:snapToGrid w:val="0"/>
                          <w:spacing w:beforeAutospacing="1" w:afterAutospacing="1"/>
                          <w:ind w:firstLine="420"/>
                          <w:jc w:val="left"/>
                          <w:rPr>
                            <w:rFonts w:ascii="宋体"/>
                          </w:rPr>
                        </w:pPr>
                        <w:r>
                          <w:rPr>
                            <w:rFonts w:hint="eastAsia" w:ascii="宋体" w:hAnsi="宋体"/>
                            <w:kern w:val="0"/>
                          </w:rPr>
                          <w:t>采购文件获取日期：</w:t>
                        </w:r>
                      </w:p>
                      <w:p w14:paraId="043187DD">
                        <w:pPr>
                          <w:adjustRightInd w:val="0"/>
                          <w:snapToGrid w:val="0"/>
                          <w:spacing w:beforeAutospacing="1" w:afterAutospacing="1"/>
                          <w:ind w:firstLine="420"/>
                          <w:jc w:val="left"/>
                          <w:rPr>
                            <w:rFonts w:ascii="宋体"/>
                          </w:rPr>
                        </w:pPr>
                        <w:r>
                          <w:rPr>
                            <w:rFonts w:hint="eastAsia" w:ascii="宋体" w:hAnsi="宋体"/>
                            <w:bCs/>
                            <w:kern w:val="0"/>
                          </w:rPr>
                          <w:t>三、质疑事项具体内容</w:t>
                        </w:r>
                      </w:p>
                      <w:p w14:paraId="29FF2061">
                        <w:pPr>
                          <w:adjustRightInd w:val="0"/>
                          <w:snapToGrid w:val="0"/>
                          <w:spacing w:beforeAutospacing="1" w:afterAutospacing="1"/>
                          <w:ind w:firstLine="420"/>
                          <w:jc w:val="left"/>
                          <w:rPr>
                            <w:rFonts w:ascii="宋体"/>
                          </w:rPr>
                        </w:pPr>
                        <w:r>
                          <w:rPr>
                            <w:rFonts w:hint="eastAsia" w:ascii="宋体" w:hAnsi="宋体"/>
                            <w:kern w:val="0"/>
                          </w:rPr>
                          <w:t>质疑事项</w:t>
                        </w:r>
                        <w:r>
                          <w:rPr>
                            <w:rFonts w:ascii="宋体" w:hAnsi="宋体"/>
                            <w:kern w:val="0"/>
                          </w:rPr>
                          <w:t>1</w:t>
                        </w:r>
                        <w:r>
                          <w:rPr>
                            <w:rFonts w:hint="eastAsia" w:ascii="宋体" w:hAnsi="宋体"/>
                            <w:kern w:val="0"/>
                          </w:rPr>
                          <w:t>：</w:t>
                        </w:r>
                      </w:p>
                      <w:p w14:paraId="749F905A">
                        <w:pPr>
                          <w:adjustRightInd w:val="0"/>
                          <w:snapToGrid w:val="0"/>
                          <w:spacing w:beforeAutospacing="1" w:afterAutospacing="1"/>
                          <w:ind w:firstLine="420"/>
                          <w:jc w:val="left"/>
                          <w:rPr>
                            <w:rFonts w:ascii="宋体"/>
                          </w:rPr>
                        </w:pPr>
                        <w:r>
                          <w:rPr>
                            <w:rFonts w:hint="eastAsia" w:ascii="宋体" w:hAnsi="宋体"/>
                            <w:kern w:val="0"/>
                          </w:rPr>
                          <w:t>事实依据：</w:t>
                        </w:r>
                      </w:p>
                      <w:p w14:paraId="0AA10A69">
                        <w:pPr>
                          <w:adjustRightInd w:val="0"/>
                          <w:snapToGrid w:val="0"/>
                          <w:spacing w:beforeAutospacing="1" w:afterAutospacing="1"/>
                          <w:ind w:firstLine="420"/>
                          <w:jc w:val="left"/>
                          <w:rPr>
                            <w:rFonts w:ascii="宋体"/>
                          </w:rPr>
                        </w:pPr>
                        <w:r>
                          <w:rPr>
                            <w:rFonts w:hint="eastAsia" w:ascii="宋体" w:hAnsi="宋体"/>
                            <w:kern w:val="0"/>
                          </w:rPr>
                          <w:t>法律依据：</w:t>
                        </w:r>
                      </w:p>
                      <w:p w14:paraId="1A00BCAC">
                        <w:pPr>
                          <w:adjustRightInd w:val="0"/>
                          <w:snapToGrid w:val="0"/>
                          <w:spacing w:beforeAutospacing="1" w:afterAutospacing="1"/>
                          <w:ind w:firstLine="420"/>
                          <w:jc w:val="left"/>
                          <w:rPr>
                            <w:rFonts w:ascii="宋体"/>
                          </w:rPr>
                        </w:pPr>
                        <w:r>
                          <w:rPr>
                            <w:rFonts w:hint="eastAsia" w:ascii="宋体" w:hAnsi="宋体"/>
                            <w:kern w:val="0"/>
                          </w:rPr>
                          <w:t>质疑事项</w:t>
                        </w:r>
                        <w:r>
                          <w:rPr>
                            <w:rFonts w:ascii="宋体" w:hAnsi="宋体"/>
                            <w:kern w:val="0"/>
                          </w:rPr>
                          <w:t>2</w:t>
                        </w:r>
                      </w:p>
                      <w:p w14:paraId="14FA2E89">
                        <w:pPr>
                          <w:adjustRightInd w:val="0"/>
                          <w:snapToGrid w:val="0"/>
                          <w:spacing w:beforeAutospacing="1" w:afterAutospacing="1"/>
                          <w:ind w:firstLine="420"/>
                          <w:jc w:val="left"/>
                          <w:rPr>
                            <w:rFonts w:ascii="宋体"/>
                          </w:rPr>
                        </w:pPr>
                        <w:r>
                          <w:rPr>
                            <w:rFonts w:hint="eastAsia" w:ascii="宋体"/>
                            <w:kern w:val="0"/>
                          </w:rPr>
                          <w:t>……</w:t>
                        </w:r>
                      </w:p>
                      <w:p w14:paraId="101774F4">
                        <w:pPr>
                          <w:adjustRightInd w:val="0"/>
                          <w:snapToGrid w:val="0"/>
                          <w:spacing w:beforeAutospacing="1" w:afterAutospacing="1"/>
                          <w:ind w:firstLine="420"/>
                          <w:jc w:val="left"/>
                          <w:rPr>
                            <w:rFonts w:ascii="宋体"/>
                          </w:rPr>
                        </w:pPr>
                        <w:r>
                          <w:rPr>
                            <w:rFonts w:hint="eastAsia" w:ascii="宋体" w:hAnsi="宋体"/>
                            <w:bCs/>
                            <w:kern w:val="0"/>
                          </w:rPr>
                          <w:t>四、与质疑事项相关的质疑请求</w:t>
                        </w:r>
                      </w:p>
                      <w:p w14:paraId="45B6B4E7">
                        <w:pPr>
                          <w:adjustRightInd w:val="0"/>
                          <w:snapToGrid w:val="0"/>
                          <w:spacing w:beforeAutospacing="1" w:afterAutospacing="1"/>
                          <w:ind w:firstLine="420"/>
                          <w:jc w:val="left"/>
                          <w:rPr>
                            <w:rFonts w:ascii="宋体"/>
                          </w:rPr>
                        </w:pPr>
                        <w:r>
                          <w:rPr>
                            <w:rFonts w:hint="eastAsia" w:ascii="宋体" w:hAnsi="宋体"/>
                            <w:kern w:val="0"/>
                          </w:rPr>
                          <w:t>请求：</w:t>
                        </w:r>
                      </w:p>
                      <w:p w14:paraId="3D6C847F">
                        <w:pPr>
                          <w:spacing w:beforeAutospacing="1" w:afterAutospacing="1"/>
                          <w:ind w:firstLine="420"/>
                          <w:jc w:val="left"/>
                          <w:rPr>
                            <w:rFonts w:ascii="宋体"/>
                          </w:rPr>
                        </w:pPr>
                        <w:r>
                          <w:rPr>
                            <w:rFonts w:hint="eastAsia" w:ascii="宋体" w:hAnsi="宋体"/>
                            <w:kern w:val="0"/>
                          </w:rPr>
                          <w:t>签字（签章</w:t>
                        </w:r>
                        <w:r>
                          <w:rPr>
                            <w:rFonts w:ascii="宋体" w:hAnsi="宋体"/>
                            <w:kern w:val="0"/>
                          </w:rPr>
                          <w:t>)</w:t>
                        </w:r>
                        <w:r>
                          <w:rPr>
                            <w:rFonts w:hint="eastAsia" w:ascii="宋体" w:hAnsi="宋体"/>
                            <w:kern w:val="0"/>
                          </w:rPr>
                          <w:t>：公章：</w:t>
                        </w:r>
                      </w:p>
                      <w:p w14:paraId="7DAD6D8A">
                        <w:pPr>
                          <w:spacing w:beforeAutospacing="1" w:afterAutospacing="1"/>
                          <w:ind w:firstLine="420"/>
                          <w:jc w:val="left"/>
                          <w:rPr>
                            <w:rFonts w:ascii="宋体"/>
                          </w:rPr>
                        </w:pPr>
                        <w:r>
                          <w:rPr>
                            <w:rFonts w:hint="eastAsia" w:ascii="宋体" w:hAnsi="宋体"/>
                            <w:kern w:val="0"/>
                          </w:rPr>
                          <w:t>日期：</w:t>
                        </w:r>
                      </w:p>
                      <w:p w14:paraId="0B441BAC">
                        <w:pPr>
                          <w:spacing w:beforeAutospacing="1" w:afterAutospacing="1"/>
                          <w:ind w:firstLine="422"/>
                          <w:jc w:val="left"/>
                          <w:rPr>
                            <w:rFonts w:ascii="宋体" w:hAnsi="宋体"/>
                            <w:b/>
                            <w:kern w:val="0"/>
                          </w:rPr>
                        </w:pPr>
                      </w:p>
                      <w:p w14:paraId="49CA6454">
                        <w:pPr>
                          <w:spacing w:beforeAutospacing="1" w:afterAutospacing="1"/>
                          <w:ind w:firstLine="422"/>
                          <w:jc w:val="left"/>
                          <w:rPr>
                            <w:rFonts w:ascii="宋体"/>
                          </w:rPr>
                        </w:pPr>
                        <w:r>
                          <w:rPr>
                            <w:rFonts w:hint="eastAsia" w:ascii="宋体" w:hAnsi="宋体"/>
                            <w:b/>
                            <w:kern w:val="0"/>
                          </w:rPr>
                          <w:t>质疑函制作说明：</w:t>
                        </w:r>
                      </w:p>
                      <w:p w14:paraId="33C181C6">
                        <w:pPr>
                          <w:spacing w:beforeAutospacing="1" w:afterAutospacing="1"/>
                          <w:ind w:firstLine="420"/>
                          <w:jc w:val="left"/>
                          <w:rPr>
                            <w:rFonts w:ascii="宋体"/>
                          </w:rPr>
                        </w:pPr>
                        <w:r>
                          <w:rPr>
                            <w:rFonts w:ascii="宋体" w:hAnsi="宋体"/>
                            <w:kern w:val="0"/>
                          </w:rPr>
                          <w:t>1.</w:t>
                        </w:r>
                        <w:r>
                          <w:rPr>
                            <w:rFonts w:hint="eastAsia" w:ascii="宋体" w:hAnsi="宋体"/>
                            <w:kern w:val="0"/>
                          </w:rPr>
                          <w:t>投标人提出质疑时，应提交质疑函和必要的证明材料。</w:t>
                        </w:r>
                      </w:p>
                      <w:p w14:paraId="5919EAF5">
                        <w:pPr>
                          <w:spacing w:beforeAutospacing="1" w:afterAutospacing="1"/>
                          <w:ind w:firstLine="420"/>
                          <w:jc w:val="left"/>
                          <w:rPr>
                            <w:rFonts w:ascii="宋体"/>
                          </w:rPr>
                        </w:pPr>
                        <w:r>
                          <w:rPr>
                            <w:rFonts w:ascii="宋体" w:hAnsi="宋体"/>
                            <w:kern w:val="0"/>
                          </w:rPr>
                          <w:t>2.</w:t>
                        </w:r>
                        <w:r>
                          <w:rPr>
                            <w:rFonts w:hint="eastAsia" w:ascii="宋体" w:hAnsi="宋体"/>
                            <w:kern w:val="0"/>
                          </w:rPr>
                          <w:t>质疑投标人若委托代理人进行质疑的，质疑函应按要求列明</w:t>
                        </w:r>
                        <w:r>
                          <w:rPr>
                            <w:rFonts w:hint="eastAsia" w:ascii="宋体"/>
                            <w:kern w:val="0"/>
                          </w:rPr>
                          <w:t>“</w:t>
                        </w:r>
                        <w:r>
                          <w:rPr>
                            <w:rFonts w:hint="eastAsia" w:ascii="宋体" w:hAnsi="宋体"/>
                            <w:kern w:val="0"/>
                          </w:rPr>
                          <w:t>授权代表</w:t>
                        </w:r>
                        <w:r>
                          <w:rPr>
                            <w:rFonts w:hint="eastAsia" w:ascii="宋体"/>
                            <w:kern w:val="0"/>
                          </w:rPr>
                          <w:t>”</w:t>
                        </w:r>
                        <w:r>
                          <w:rPr>
                            <w:rFonts w:hint="eastAsia" w:ascii="宋体" w:hAnsi="宋体"/>
                            <w:kern w:val="0"/>
                          </w:rPr>
                          <w:t>的有关内容，并在附件中提交由质疑投标人签署的授权委托书。授权委托书应载明代理人的姓名或者名称、代理事项、具体权限、期限和相关事项。</w:t>
                        </w:r>
                      </w:p>
                      <w:p w14:paraId="5F63C2CE">
                        <w:pPr>
                          <w:spacing w:beforeAutospacing="1" w:afterAutospacing="1"/>
                          <w:ind w:firstLine="420"/>
                          <w:jc w:val="left"/>
                          <w:rPr>
                            <w:rFonts w:ascii="宋体"/>
                          </w:rPr>
                        </w:pPr>
                        <w:r>
                          <w:rPr>
                            <w:rFonts w:ascii="宋体" w:hAnsi="宋体"/>
                            <w:kern w:val="0"/>
                          </w:rPr>
                          <w:t>3.</w:t>
                        </w:r>
                        <w:r>
                          <w:rPr>
                            <w:rFonts w:hint="eastAsia" w:ascii="宋体" w:hAnsi="宋体"/>
                            <w:kern w:val="0"/>
                          </w:rPr>
                          <w:t>质疑投标人若对项目的某一分包进行质疑，质疑函中应列明具体分包号。</w:t>
                        </w:r>
                      </w:p>
                      <w:p w14:paraId="50643DB6">
                        <w:pPr>
                          <w:spacing w:beforeAutospacing="1" w:afterAutospacing="1"/>
                          <w:ind w:firstLine="420"/>
                          <w:jc w:val="left"/>
                          <w:rPr>
                            <w:rFonts w:ascii="宋体"/>
                          </w:rPr>
                        </w:pPr>
                        <w:r>
                          <w:rPr>
                            <w:rFonts w:ascii="宋体" w:hAnsi="宋体"/>
                            <w:kern w:val="0"/>
                          </w:rPr>
                          <w:t>4.</w:t>
                        </w:r>
                        <w:r>
                          <w:rPr>
                            <w:rFonts w:hint="eastAsia" w:ascii="宋体" w:hAnsi="宋体"/>
                            <w:kern w:val="0"/>
                          </w:rPr>
                          <w:t>质疑函的质疑事项应具体、明确，并有必要的事实依据和法律依据。</w:t>
                        </w:r>
                      </w:p>
                      <w:p w14:paraId="30F44097">
                        <w:pPr>
                          <w:spacing w:beforeAutospacing="1" w:afterAutospacing="1"/>
                          <w:ind w:firstLine="420"/>
                          <w:jc w:val="left"/>
                          <w:rPr>
                            <w:rFonts w:ascii="宋体"/>
                          </w:rPr>
                        </w:pPr>
                        <w:r>
                          <w:rPr>
                            <w:rFonts w:ascii="宋体" w:hAnsi="宋体"/>
                            <w:kern w:val="0"/>
                          </w:rPr>
                          <w:t>5.</w:t>
                        </w:r>
                        <w:r>
                          <w:rPr>
                            <w:rFonts w:hint="eastAsia" w:ascii="宋体" w:hAnsi="宋体"/>
                            <w:kern w:val="0"/>
                          </w:rPr>
                          <w:t>质疑函的质疑请求应与质疑事项相关。</w:t>
                        </w:r>
                      </w:p>
                      <w:p w14:paraId="7C12C777">
                        <w:pPr>
                          <w:spacing w:before="100" w:beforeAutospacing="1" w:after="100" w:afterAutospacing="1"/>
                          <w:ind w:firstLine="420"/>
                          <w:jc w:val="left"/>
                          <w:rPr>
                            <w:rFonts w:ascii="宋体"/>
                          </w:rPr>
                        </w:pPr>
                        <w:r>
                          <w:rPr>
                            <w:rFonts w:ascii="宋体" w:hAnsi="宋体"/>
                            <w:kern w:val="0"/>
                          </w:rPr>
                          <w:t>6.</w:t>
                        </w:r>
                        <w:r>
                          <w:rPr>
                            <w:rFonts w:hint="eastAsia" w:ascii="宋体" w:hAnsi="宋体"/>
                            <w:kern w:val="0"/>
                          </w:rPr>
                          <w:t>质疑投标人为自然人的，质疑函应由本人签字；质疑投标人为法人或者其他组织的，质疑函应由法定代表人、主要负责人，或者其授权代表签字或者盖章，并加盖公章。</w:t>
                        </w:r>
                      </w:p>
                    </w:tc>
                  </w:tr>
                </w:tbl>
                <w:p w14:paraId="7A81BC8F">
                  <w:pPr>
                    <w:ind w:firstLine="360"/>
                    <w:jc w:val="center"/>
                    <w:rPr>
                      <w:rFonts w:ascii="宋体"/>
                      <w:sz w:val="18"/>
                      <w:szCs w:val="18"/>
                    </w:rPr>
                  </w:pPr>
                </w:p>
              </w:tc>
            </w:tr>
          </w:tbl>
          <w:p w14:paraId="1DDAEF2A">
            <w:pPr>
              <w:spacing w:line="432" w:lineRule="auto"/>
              <w:ind w:firstLine="360"/>
              <w:jc w:val="center"/>
              <w:rPr>
                <w:rFonts w:ascii="宋体"/>
                <w:sz w:val="18"/>
                <w:szCs w:val="18"/>
              </w:rPr>
            </w:pPr>
          </w:p>
        </w:tc>
      </w:tr>
    </w:tbl>
    <w:p w14:paraId="6FB98F21">
      <w:pPr>
        <w:pStyle w:val="2"/>
        <w:rPr>
          <w:rFonts w:ascii="Times New Roman" w:hAnsi="Times New Roman" w:cs="Times New Roman"/>
          <w:color w:val="000000" w:themeColor="text1"/>
          <w:sz w:val="21"/>
          <w:szCs w:val="21"/>
        </w:rPr>
      </w:pP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modern"/>
    <w:pitch w:val="default"/>
    <w:sig w:usb0="E00006FF" w:usb1="0000FCFF" w:usb2="00000001" w:usb3="00000000" w:csb0="6000019F" w:csb1="DFD7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_GB2312">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27E3B">
    <w:pPr>
      <w:pStyle w:val="18"/>
      <w:jc w:val="center"/>
    </w:pPr>
    <w:r>
      <w:pict>
        <v:shape id="文本框 1111" o:spid="_x0000_s307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RUFSTzwEAAKsDAAAOAAAAAAAAAAEAIAAAAB4BAABkcnMv&#10;ZTJvRG9jLnhtbFBLBQYAAAAABgAGAFkBAABfBQAAAAA=&#10;">
          <v:path/>
          <v:fill on="f" focussize="0,0"/>
          <v:stroke on="f" joinstyle="miter"/>
          <v:imagedata o:title=""/>
          <o:lock v:ext="edit"/>
          <v:textbox inset="0mm,0mm,0mm,0mm" style="mso-fit-shape-to-text:t;">
            <w:txbxContent>
              <w:p w14:paraId="72EED95F">
                <w:pPr>
                  <w:pStyle w:val="18"/>
                </w:pPr>
                <w:r>
                  <w:fldChar w:fldCharType="begin"/>
                </w:r>
                <w:r>
                  <w:instrText xml:space="preserve"> PAGE  \* MERGEFORMAT </w:instrText>
                </w:r>
                <w:r>
                  <w:fldChar w:fldCharType="separate"/>
                </w:r>
                <w:r>
                  <w:t>24</w:t>
                </w:r>
                <w:r>
                  <w:fldChar w:fldCharType="end"/>
                </w:r>
              </w:p>
            </w:txbxContent>
          </v:textbox>
        </v:shape>
      </w:pict>
    </w:r>
  </w:p>
  <w:p w14:paraId="2320B1D6">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8F680">
    <w:pPr>
      <w:pStyle w:val="18"/>
    </w:pPr>
    <w:r>
      <w:pict>
        <v:shape id="文本框 1110" o:spid="_x0000_s307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1YPZuzwEAAKsDAAAOAAAAAAAAAAEAIAAAAB4BAABkcnMv&#10;ZTJvRG9jLnhtbFBLBQYAAAAABgAGAFkBAABfBQAAAAA=&#10;">
          <v:path/>
          <v:fill on="f" focussize="0,0"/>
          <v:stroke on="f" joinstyle="miter"/>
          <v:imagedata o:title=""/>
          <o:lock v:ext="edit"/>
          <v:textbox inset="0mm,0mm,0mm,0mm" style="mso-fit-shape-to-text:t;">
            <w:txbxContent>
              <w:p w14:paraId="61879E62">
                <w:pPr>
                  <w:pStyle w:val="18"/>
                </w:pPr>
                <w:r>
                  <w:fldChar w:fldCharType="begin"/>
                </w:r>
                <w:r>
                  <w:instrText xml:space="preserve"> PAGE  \* MERGEFORMAT </w:instrText>
                </w:r>
                <w:r>
                  <w:fldChar w:fldCharType="separate"/>
                </w:r>
                <w:r>
                  <w:t>9</w:t>
                </w:r>
                <w:r>
                  <w:fldChar w:fldCharType="end"/>
                </w:r>
              </w:p>
            </w:txbxContent>
          </v:textbox>
        </v:shape>
      </w:pict>
    </w:r>
    <w:r>
      <w:pict>
        <v:shape id="文本框 1096" o:spid="_x0000_s3075"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EId3mzwEAAKsDAAAOAAAAAAAAAAEAIAAAAB4BAABkcnMv&#10;ZTJvRG9jLnhtbFBLBQYAAAAABgAGAFkBAABfBQAAAAA=&#10;">
          <v:path/>
          <v:fill on="f" focussize="0,0"/>
          <v:stroke on="f" joinstyle="miter"/>
          <v:imagedata o:title=""/>
          <o:lock v:ext="edit"/>
          <v:textbox inset="0mm,0mm,0mm,0mm" style="mso-fit-shape-to-text:t;">
            <w:txbxContent>
              <w:p w14:paraId="3001C868">
                <w:pPr>
                  <w:pStyle w:val="18"/>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26200">
    <w:pPr>
      <w:pStyle w:val="18"/>
      <w:rPr>
        <w:rFonts w:cs="Times New Roman"/>
      </w:rPr>
    </w:pPr>
    <w:r>
      <w:pict>
        <v:shape id="文本框 4" o:spid="_x0000_s3080" o:spt="202" type="#_x0000_t202" style="position:absolute;left:0pt;margin-top:0pt;height:12.2pt;width:10.1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44368EE3">
                <w:pPr>
                  <w:pStyle w:val="18"/>
                  <w:rPr>
                    <w:rFonts w:cs="Times New Roman"/>
                  </w:rPr>
                </w:pPr>
                <w:r>
                  <w:fldChar w:fldCharType="begin"/>
                </w:r>
                <w:r>
                  <w:instrText xml:space="preserve"> PAGE  \* MERGEFORMAT </w:instrText>
                </w:r>
                <w:r>
                  <w:fldChar w:fldCharType="separate"/>
                </w:r>
                <w:r>
                  <w:t>49</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A943F">
    <w:pPr>
      <w:pStyle w:val="18"/>
      <w:rPr>
        <w:rFonts w:cs="Times New Roman"/>
      </w:rPr>
    </w:pPr>
    <w:r>
      <w:pict>
        <v:shape id="_x0000_s3074" o:spid="_x0000_s307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13E31D56">
                <w:pPr>
                  <w:pStyle w:val="18"/>
                  <w:rPr>
                    <w:rFonts w:cs="Times New Roman"/>
                  </w:rPr>
                </w:pPr>
                <w:r>
                  <w:fldChar w:fldCharType="begin"/>
                </w:r>
                <w:r>
                  <w:instrText xml:space="preserve"> PAGE  \* MERGEFORMAT </w:instrText>
                </w:r>
                <w:r>
                  <w:fldChar w:fldCharType="separate"/>
                </w:r>
                <w:r>
                  <w:t>55</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88187">
    <w:pPr>
      <w:pStyle w:val="19"/>
      <w:pBdr>
        <w:top w:val="none" w:color="auto" w:sz="0" w:space="0"/>
        <w:left w:val="none" w:color="auto" w:sz="0" w:space="0"/>
        <w:bottom w:val="none" w:color="auto" w:sz="0" w:space="0"/>
        <w:right w:val="none" w:color="auto" w:sz="0" w:space="0"/>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00078">
    <w:pP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05F7FF"/>
    <w:multiLevelType w:val="singleLevel"/>
    <w:tmpl w:val="8705F7FF"/>
    <w:lvl w:ilvl="0" w:tentative="0">
      <w:start w:val="1"/>
      <w:numFmt w:val="chineseCounting"/>
      <w:suff w:val="nothing"/>
      <w:lvlText w:val="%1、"/>
      <w:lvlJc w:val="left"/>
      <w:rPr>
        <w:rFonts w:hint="eastAsia"/>
      </w:rPr>
    </w:lvl>
  </w:abstractNum>
  <w:abstractNum w:abstractNumId="1">
    <w:nsid w:val="A74323CB"/>
    <w:multiLevelType w:val="singleLevel"/>
    <w:tmpl w:val="A74323CB"/>
    <w:lvl w:ilvl="0" w:tentative="0">
      <w:start w:val="6"/>
      <w:numFmt w:val="chineseCounting"/>
      <w:suff w:val="nothing"/>
      <w:lvlText w:val="第%1章、"/>
      <w:lvlJc w:val="left"/>
      <w:rPr>
        <w:rFonts w:hint="eastAsia"/>
      </w:rPr>
    </w:lvl>
  </w:abstractNum>
  <w:abstractNum w:abstractNumId="2">
    <w:nsid w:val="BBE99D0A"/>
    <w:multiLevelType w:val="singleLevel"/>
    <w:tmpl w:val="BBE99D0A"/>
    <w:lvl w:ilvl="0" w:tentative="0">
      <w:start w:val="1"/>
      <w:numFmt w:val="decimal"/>
      <w:suff w:val="nothing"/>
      <w:lvlText w:val="%1、"/>
      <w:lvlJc w:val="left"/>
    </w:lvl>
  </w:abstractNum>
  <w:abstractNum w:abstractNumId="3">
    <w:nsid w:val="0000000D"/>
    <w:multiLevelType w:val="multilevel"/>
    <w:tmpl w:val="0000000D"/>
    <w:lvl w:ilvl="0" w:tentative="0">
      <w:start w:val="1"/>
      <w:numFmt w:val="chineseCountingThousand"/>
      <w:suff w:val="space"/>
      <w:lvlText w:val="第%1章"/>
      <w:lvlJc w:val="left"/>
      <w:pPr>
        <w:ind w:left="2240"/>
      </w:pPr>
      <w:rPr>
        <w:rFonts w:hint="eastAsia"/>
      </w:rPr>
    </w:lvl>
    <w:lvl w:ilvl="1" w:tentative="0">
      <w:start w:val="1"/>
      <w:numFmt w:val="decimal"/>
      <w:isLgl/>
      <w:suff w:val="space"/>
      <w:lvlText w:val="%1.%2"/>
      <w:lvlJc w:val="left"/>
      <w:pPr>
        <w:ind w:left="765" w:hanging="567"/>
      </w:pPr>
      <w:rPr>
        <w:rFonts w:hint="eastAsia"/>
      </w:rPr>
    </w:lvl>
    <w:lvl w:ilvl="2" w:tentative="0">
      <w:start w:val="1"/>
      <w:numFmt w:val="decimal"/>
      <w:isLgl/>
      <w:suff w:val="space"/>
      <w:lvlText w:val="%1.%2.%3"/>
      <w:lvlJc w:val="left"/>
      <w:pPr>
        <w:ind w:left="707" w:hanging="567"/>
      </w:pPr>
      <w:rPr>
        <w:rFonts w:hint="eastAsia"/>
        <w:color w:val="auto"/>
      </w:rPr>
    </w:lvl>
    <w:lvl w:ilvl="3" w:tentative="0">
      <w:start w:val="1"/>
      <w:numFmt w:val="decimal"/>
      <w:pStyle w:val="81"/>
      <w:isLgl/>
      <w:suff w:val="space"/>
      <w:lvlText w:val="%1.%2.%3.%4"/>
      <w:lvlJc w:val="left"/>
      <w:pPr>
        <w:ind w:left="2108" w:hanging="708"/>
      </w:pPr>
      <w:rPr>
        <w:rFonts w:hint="eastAsia"/>
      </w:rPr>
    </w:lvl>
    <w:lvl w:ilvl="4" w:tentative="0">
      <w:start w:val="1"/>
      <w:numFmt w:val="decimal"/>
      <w:lvlText w:val="%1.%2.%3.%4.%5"/>
      <w:lvlJc w:val="left"/>
      <w:pPr>
        <w:tabs>
          <w:tab w:val="left" w:pos="2554"/>
        </w:tabs>
        <w:ind w:left="2324" w:hanging="850"/>
      </w:pPr>
      <w:rPr>
        <w:rFonts w:hint="eastAsia"/>
      </w:rPr>
    </w:lvl>
    <w:lvl w:ilvl="5" w:tentative="0">
      <w:start w:val="1"/>
      <w:numFmt w:val="decimal"/>
      <w:lvlText w:val="%1.%2.%3.%4.%5.%6"/>
      <w:lvlJc w:val="left"/>
      <w:pPr>
        <w:tabs>
          <w:tab w:val="left" w:pos="3339"/>
        </w:tabs>
        <w:ind w:left="3033" w:hanging="1134"/>
      </w:pPr>
      <w:rPr>
        <w:rFonts w:hint="eastAsia"/>
      </w:rPr>
    </w:lvl>
    <w:lvl w:ilvl="6" w:tentative="0">
      <w:start w:val="1"/>
      <w:numFmt w:val="decimal"/>
      <w:lvlText w:val="%1.%2.%3.%4.%5.%6.%7"/>
      <w:lvlJc w:val="left"/>
      <w:pPr>
        <w:tabs>
          <w:tab w:val="left" w:pos="3764"/>
        </w:tabs>
        <w:ind w:left="3600" w:hanging="1276"/>
      </w:pPr>
      <w:rPr>
        <w:rFonts w:hint="eastAsia"/>
      </w:rPr>
    </w:lvl>
    <w:lvl w:ilvl="7" w:tentative="0">
      <w:start w:val="1"/>
      <w:numFmt w:val="decimal"/>
      <w:lvlText w:val="%1.%2.%3.%4.%5.%6.%7.%8"/>
      <w:lvlJc w:val="left"/>
      <w:pPr>
        <w:tabs>
          <w:tab w:val="left" w:pos="4549"/>
        </w:tabs>
        <w:ind w:left="4167" w:hanging="1418"/>
      </w:pPr>
      <w:rPr>
        <w:rFonts w:hint="eastAsia"/>
      </w:rPr>
    </w:lvl>
    <w:lvl w:ilvl="8" w:tentative="0">
      <w:start w:val="1"/>
      <w:numFmt w:val="decimal"/>
      <w:lvlText w:val="%1.%2.%3.%4.%5.%6.%7.%8.%9"/>
      <w:lvlJc w:val="left"/>
      <w:pPr>
        <w:tabs>
          <w:tab w:val="left" w:pos="4975"/>
        </w:tabs>
        <w:ind w:left="4875" w:hanging="1700"/>
      </w:pPr>
      <w:rPr>
        <w:rFonts w:hint="eastAsia"/>
      </w:rPr>
    </w:lvl>
  </w:abstractNum>
  <w:abstractNum w:abstractNumId="4">
    <w:nsid w:val="0000000E"/>
    <w:multiLevelType w:val="multilevel"/>
    <w:tmpl w:val="0000000E"/>
    <w:lvl w:ilvl="0" w:tentative="0">
      <w:start w:val="5"/>
      <w:numFmt w:val="chineseCounting"/>
      <w:suff w:val="nothing"/>
      <w:lvlText w:val="（%1）"/>
      <w:lvlJc w:val="left"/>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00000012"/>
    <w:multiLevelType w:val="singleLevel"/>
    <w:tmpl w:val="00000012"/>
    <w:lvl w:ilvl="0" w:tentative="0">
      <w:start w:val="1"/>
      <w:numFmt w:val="decimal"/>
      <w:pStyle w:val="9"/>
      <w:lvlText w:val="%1."/>
      <w:lvlJc w:val="left"/>
      <w:pPr>
        <w:tabs>
          <w:tab w:val="left" w:pos="360"/>
        </w:tabs>
        <w:ind w:left="360" w:hanging="360"/>
      </w:pPr>
    </w:lvl>
  </w:abstractNum>
  <w:abstractNum w:abstractNumId="6">
    <w:nsid w:val="05AA85F5"/>
    <w:multiLevelType w:val="singleLevel"/>
    <w:tmpl w:val="05AA85F5"/>
    <w:lvl w:ilvl="0" w:tentative="0">
      <w:start w:val="1"/>
      <w:numFmt w:val="decimal"/>
      <w:suff w:val="nothing"/>
      <w:lvlText w:val="%1、"/>
      <w:lvlJc w:val="left"/>
    </w:lvl>
  </w:abstractNum>
  <w:abstractNum w:abstractNumId="7">
    <w:nsid w:val="0C34DE15"/>
    <w:multiLevelType w:val="singleLevel"/>
    <w:tmpl w:val="0C34DE15"/>
    <w:lvl w:ilvl="0" w:tentative="0">
      <w:start w:val="1"/>
      <w:numFmt w:val="decimal"/>
      <w:lvlText w:val="%1."/>
      <w:lvlJc w:val="left"/>
      <w:pPr>
        <w:tabs>
          <w:tab w:val="left" w:pos="312"/>
        </w:tabs>
      </w:pPr>
    </w:lvl>
  </w:abstractNum>
  <w:abstractNum w:abstractNumId="8">
    <w:nsid w:val="0C8164EB"/>
    <w:multiLevelType w:val="multilevel"/>
    <w:tmpl w:val="0C8164EB"/>
    <w:lvl w:ilvl="0" w:tentative="0">
      <w:start w:val="4"/>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25A8346"/>
    <w:multiLevelType w:val="singleLevel"/>
    <w:tmpl w:val="225A8346"/>
    <w:lvl w:ilvl="0" w:tentative="0">
      <w:start w:val="1"/>
      <w:numFmt w:val="decimal"/>
      <w:lvlText w:val="%1."/>
      <w:lvlJc w:val="left"/>
      <w:pPr>
        <w:tabs>
          <w:tab w:val="left" w:pos="312"/>
        </w:tabs>
      </w:pPr>
    </w:lvl>
  </w:abstractNum>
  <w:abstractNum w:abstractNumId="10">
    <w:nsid w:val="2F3820AD"/>
    <w:multiLevelType w:val="multilevel"/>
    <w:tmpl w:val="2F3820AD"/>
    <w:lvl w:ilvl="0" w:tentative="0">
      <w:start w:val="1"/>
      <w:numFmt w:val="chineseCountingThousand"/>
      <w:pStyle w:val="94"/>
      <w:suff w:val="space"/>
      <w:lvlText w:val="第%1章"/>
      <w:lvlJc w:val="left"/>
      <w:pPr>
        <w:ind w:left="3118" w:hanging="425"/>
      </w:pPr>
      <w:rPr>
        <w:rFonts w:hint="default" w:ascii="Times New Roman" w:hAnsi="Times New Roman" w:eastAsia="宋体"/>
        <w:b/>
        <w:bCs/>
        <w:i w:val="0"/>
        <w:iCs w:val="0"/>
        <w:sz w:val="36"/>
        <w:szCs w:val="36"/>
      </w:rPr>
    </w:lvl>
    <w:lvl w:ilvl="1" w:tentative="0">
      <w:start w:val="1"/>
      <w:numFmt w:val="decimal"/>
      <w:isLgl/>
      <w:suff w:val="space"/>
      <w:lvlText w:val="%1.%2"/>
      <w:lvlJc w:val="left"/>
      <w:pPr>
        <w:ind w:left="-1418" w:hanging="992"/>
      </w:pPr>
      <w:rPr>
        <w:rFonts w:hint="default" w:ascii="Times New Roman" w:hAnsi="Times New Roman" w:eastAsia="宋体"/>
        <w:b/>
        <w:bCs/>
        <w:i w:val="0"/>
        <w:iCs w:val="0"/>
        <w:sz w:val="32"/>
        <w:szCs w:val="32"/>
      </w:rPr>
    </w:lvl>
    <w:lvl w:ilvl="2" w:tentative="0">
      <w:start w:val="1"/>
      <w:numFmt w:val="decimal"/>
      <w:isLgl/>
      <w:suff w:val="space"/>
      <w:lvlText w:val="%1.%2.%3"/>
      <w:lvlJc w:val="left"/>
      <w:pPr>
        <w:ind w:left="-1275" w:hanging="1135"/>
      </w:pPr>
      <w:rPr>
        <w:b/>
        <w:bCs/>
        <w:i w:val="0"/>
        <w:iCs w:val="0"/>
        <w:caps w:val="0"/>
        <w:smallCaps w:val="0"/>
        <w:strike w:val="0"/>
        <w:dstrike w:val="0"/>
        <w:vanish w:val="0"/>
        <w:color w:val="000000"/>
        <w:spacing w:val="0"/>
        <w:position w:val="0"/>
        <w:sz w:val="30"/>
        <w:szCs w:val="30"/>
        <w:u w:val="none"/>
        <w:vertAlign w:val="baseline"/>
      </w:rPr>
    </w:lvl>
    <w:lvl w:ilvl="3" w:tentative="0">
      <w:start w:val="1"/>
      <w:numFmt w:val="decimal"/>
      <w:isLgl/>
      <w:suff w:val="space"/>
      <w:lvlText w:val="%1.%2.%3.%4"/>
      <w:lvlJc w:val="left"/>
      <w:pPr>
        <w:ind w:left="-426" w:hanging="1984"/>
      </w:pPr>
      <w:rPr>
        <w:b w:val="0"/>
        <w:bCs w:val="0"/>
        <w:i w:val="0"/>
        <w:iCs w:val="0"/>
        <w:caps w:val="0"/>
        <w:smallCaps w:val="0"/>
        <w:strike w:val="0"/>
        <w:dstrike w:val="0"/>
        <w:vanish w:val="0"/>
        <w:color w:val="000000"/>
        <w:spacing w:val="0"/>
        <w:position w:val="0"/>
        <w:sz w:val="24"/>
        <w:szCs w:val="24"/>
        <w:u w:val="none"/>
        <w:vertAlign w:val="baseline"/>
      </w:rPr>
    </w:lvl>
    <w:lvl w:ilvl="4" w:tentative="0">
      <w:start w:val="1"/>
      <w:numFmt w:val="decimal"/>
      <w:isLgl/>
      <w:suff w:val="space"/>
      <w:lvlText w:val="%1.%2.%3.%4.%5"/>
      <w:lvlJc w:val="left"/>
      <w:pPr>
        <w:ind w:left="141" w:hanging="2551"/>
      </w:pPr>
      <w:rPr>
        <w:b w:val="0"/>
        <w:bCs w:val="0"/>
        <w:i w:val="0"/>
        <w:iCs w:val="0"/>
        <w:caps w:val="0"/>
        <w:smallCaps w:val="0"/>
        <w:strike w:val="0"/>
        <w:dstrike w:val="0"/>
        <w:vanish w:val="0"/>
        <w:color w:val="000000"/>
        <w:spacing w:val="0"/>
        <w:position w:val="0"/>
        <w:u w:val="none"/>
        <w:vertAlign w:val="baseline"/>
      </w:rPr>
    </w:lvl>
    <w:lvl w:ilvl="5" w:tentative="0">
      <w:start w:val="1"/>
      <w:numFmt w:val="decimal"/>
      <w:isLgl/>
      <w:suff w:val="space"/>
      <w:lvlText w:val="%1.%2.%3.%4.%5.%6"/>
      <w:lvlJc w:val="left"/>
      <w:pPr>
        <w:ind w:left="850" w:hanging="3260"/>
      </w:pPr>
      <w:rPr>
        <w:rFonts w:hint="eastAsia" w:eastAsia="宋体"/>
        <w:b/>
        <w:bCs/>
        <w:i w:val="0"/>
        <w:iCs w:val="0"/>
        <w:sz w:val="21"/>
        <w:szCs w:val="21"/>
      </w:rPr>
    </w:lvl>
    <w:lvl w:ilvl="6" w:tentative="0">
      <w:start w:val="1"/>
      <w:numFmt w:val="decimal"/>
      <w:isLgl/>
      <w:lvlText w:val="%1.%2.%3.%4.%5.%6.%7"/>
      <w:lvlJc w:val="left"/>
      <w:pPr>
        <w:ind w:left="1417" w:hanging="1276"/>
      </w:pPr>
      <w:rPr>
        <w:rFonts w:hint="eastAsia"/>
      </w:rPr>
    </w:lvl>
    <w:lvl w:ilvl="7" w:tentative="0">
      <w:start w:val="1"/>
      <w:numFmt w:val="decimal"/>
      <w:isLgl/>
      <w:lvlText w:val="%1.%2.%3.%4.%5.%6.%7.%8"/>
      <w:lvlJc w:val="left"/>
      <w:pPr>
        <w:ind w:left="1984" w:hanging="1418"/>
      </w:pPr>
      <w:rPr>
        <w:rFonts w:hint="eastAsia"/>
      </w:rPr>
    </w:lvl>
    <w:lvl w:ilvl="8" w:tentative="0">
      <w:start w:val="1"/>
      <w:numFmt w:val="decimal"/>
      <w:isLgl/>
      <w:lvlText w:val="%1.%2.%3.%4.%5.%6.%7.%8.%9"/>
      <w:lvlJc w:val="left"/>
      <w:pPr>
        <w:ind w:left="2692" w:hanging="1700"/>
      </w:pPr>
      <w:rPr>
        <w:rFonts w:hint="eastAsia"/>
      </w:rPr>
    </w:lvl>
  </w:abstractNum>
  <w:abstractNum w:abstractNumId="11">
    <w:nsid w:val="4DD4552D"/>
    <w:multiLevelType w:val="singleLevel"/>
    <w:tmpl w:val="4DD4552D"/>
    <w:lvl w:ilvl="0" w:tentative="0">
      <w:start w:val="1"/>
      <w:numFmt w:val="decimal"/>
      <w:lvlText w:val="%1."/>
      <w:lvlJc w:val="left"/>
      <w:pPr>
        <w:tabs>
          <w:tab w:val="left" w:pos="312"/>
        </w:tabs>
      </w:pPr>
    </w:lvl>
  </w:abstractNum>
  <w:abstractNum w:abstractNumId="12">
    <w:nsid w:val="54F403B5"/>
    <w:multiLevelType w:val="singleLevel"/>
    <w:tmpl w:val="54F403B5"/>
    <w:lvl w:ilvl="0" w:tentative="0">
      <w:start w:val="1"/>
      <w:numFmt w:val="chineseCounting"/>
      <w:suff w:val="nothing"/>
      <w:lvlText w:val="%1、"/>
      <w:lvlJc w:val="left"/>
    </w:lvl>
  </w:abstractNum>
  <w:abstractNum w:abstractNumId="13">
    <w:nsid w:val="557FD3DA"/>
    <w:multiLevelType w:val="singleLevel"/>
    <w:tmpl w:val="557FD3DA"/>
    <w:lvl w:ilvl="0" w:tentative="0">
      <w:start w:val="3"/>
      <w:numFmt w:val="chineseCounting"/>
      <w:suff w:val="nothing"/>
      <w:lvlText w:val="%1、"/>
      <w:lvlJc w:val="left"/>
    </w:lvl>
  </w:abstractNum>
  <w:abstractNum w:abstractNumId="14">
    <w:nsid w:val="62650AD1"/>
    <w:multiLevelType w:val="singleLevel"/>
    <w:tmpl w:val="62650AD1"/>
    <w:lvl w:ilvl="0" w:tentative="0">
      <w:start w:val="5"/>
      <w:numFmt w:val="chineseCounting"/>
      <w:suff w:val="nothing"/>
      <w:lvlText w:val="%1、"/>
      <w:lvlJc w:val="left"/>
    </w:lvl>
  </w:abstractNum>
  <w:abstractNum w:abstractNumId="15">
    <w:nsid w:val="7C246926"/>
    <w:multiLevelType w:val="singleLevel"/>
    <w:tmpl w:val="7C246926"/>
    <w:lvl w:ilvl="0" w:tentative="0">
      <w:start w:val="2"/>
      <w:numFmt w:val="decimal"/>
      <w:suff w:val="nothing"/>
      <w:lvlText w:val="%1、"/>
      <w:lvlJc w:val="left"/>
    </w:lvl>
  </w:abstractNum>
  <w:num w:numId="1">
    <w:abstractNumId w:val="5"/>
  </w:num>
  <w:num w:numId="2">
    <w:abstractNumId w:val="3"/>
  </w:num>
  <w:num w:numId="3">
    <w:abstractNumId w:val="10"/>
  </w:num>
  <w:num w:numId="4">
    <w:abstractNumId w:val="14"/>
  </w:num>
  <w:num w:numId="5">
    <w:abstractNumId w:val="0"/>
  </w:num>
  <w:num w:numId="6">
    <w:abstractNumId w:val="6"/>
  </w:num>
  <w:num w:numId="7">
    <w:abstractNumId w:val="4"/>
  </w:num>
  <w:num w:numId="8">
    <w:abstractNumId w:val="2"/>
  </w:num>
  <w:num w:numId="9">
    <w:abstractNumId w:val="9"/>
  </w:num>
  <w:num w:numId="10">
    <w:abstractNumId w:val="11"/>
  </w:num>
  <w:num w:numId="11">
    <w:abstractNumId w:val="7"/>
  </w:num>
  <w:num w:numId="12">
    <w:abstractNumId w:val="8"/>
  </w:num>
  <w:num w:numId="13">
    <w:abstractNumId w:val="1"/>
  </w:num>
  <w:num w:numId="14">
    <w:abstractNumId w:val="15"/>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NotTrackMoves/>
  <w:documentProtection w:enforcement="0"/>
  <w:defaultTabStop w:val="420"/>
  <w:doNotHyphenateCaps/>
  <w:drawingGridHorizontalSpacing w:val="105"/>
  <w:drawingGridVerticalSpacing w:val="319"/>
  <w:noPunctuationKerning w:val="1"/>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2NhNGRiMDI1MzU0YjUxZjQ4ZGI3ZWZkOTdjMGI5YzAifQ=="/>
  </w:docVars>
  <w:rsids>
    <w:rsidRoot w:val="00AB5FE3"/>
    <w:rsid w:val="00080B07"/>
    <w:rsid w:val="00085E3F"/>
    <w:rsid w:val="000A6518"/>
    <w:rsid w:val="000C77EB"/>
    <w:rsid w:val="000E2FB6"/>
    <w:rsid w:val="000F6B12"/>
    <w:rsid w:val="00114D92"/>
    <w:rsid w:val="00125217"/>
    <w:rsid w:val="0013112C"/>
    <w:rsid w:val="00137FEA"/>
    <w:rsid w:val="00182178"/>
    <w:rsid w:val="001834CA"/>
    <w:rsid w:val="00186BF0"/>
    <w:rsid w:val="001C41A0"/>
    <w:rsid w:val="002212E3"/>
    <w:rsid w:val="002269DF"/>
    <w:rsid w:val="00246239"/>
    <w:rsid w:val="00276989"/>
    <w:rsid w:val="002839F2"/>
    <w:rsid w:val="002933E3"/>
    <w:rsid w:val="002A4192"/>
    <w:rsid w:val="002A4EC2"/>
    <w:rsid w:val="002C10E2"/>
    <w:rsid w:val="002E5228"/>
    <w:rsid w:val="002F1F12"/>
    <w:rsid w:val="003372B4"/>
    <w:rsid w:val="00345A33"/>
    <w:rsid w:val="0037093F"/>
    <w:rsid w:val="00396788"/>
    <w:rsid w:val="003A2AE4"/>
    <w:rsid w:val="003A3141"/>
    <w:rsid w:val="003A5559"/>
    <w:rsid w:val="003D7403"/>
    <w:rsid w:val="004125C2"/>
    <w:rsid w:val="00422953"/>
    <w:rsid w:val="00432005"/>
    <w:rsid w:val="004B1D2F"/>
    <w:rsid w:val="004B636D"/>
    <w:rsid w:val="004C011E"/>
    <w:rsid w:val="004F705B"/>
    <w:rsid w:val="00500CB3"/>
    <w:rsid w:val="00502855"/>
    <w:rsid w:val="0050638A"/>
    <w:rsid w:val="00511A70"/>
    <w:rsid w:val="00525867"/>
    <w:rsid w:val="005277DD"/>
    <w:rsid w:val="005529AF"/>
    <w:rsid w:val="005571CE"/>
    <w:rsid w:val="005B0AC2"/>
    <w:rsid w:val="005C2B58"/>
    <w:rsid w:val="005C368A"/>
    <w:rsid w:val="005D18B2"/>
    <w:rsid w:val="005D6EB6"/>
    <w:rsid w:val="005E293A"/>
    <w:rsid w:val="005F4E0A"/>
    <w:rsid w:val="00627BE8"/>
    <w:rsid w:val="0065712C"/>
    <w:rsid w:val="00671B9C"/>
    <w:rsid w:val="00680296"/>
    <w:rsid w:val="00695EAD"/>
    <w:rsid w:val="00696B6B"/>
    <w:rsid w:val="006A05E6"/>
    <w:rsid w:val="006B37F8"/>
    <w:rsid w:val="006D2DE6"/>
    <w:rsid w:val="006F0FED"/>
    <w:rsid w:val="006F1F2B"/>
    <w:rsid w:val="007123E2"/>
    <w:rsid w:val="00757577"/>
    <w:rsid w:val="00767C75"/>
    <w:rsid w:val="00816A89"/>
    <w:rsid w:val="008404D4"/>
    <w:rsid w:val="0084405B"/>
    <w:rsid w:val="0085052E"/>
    <w:rsid w:val="00870FA5"/>
    <w:rsid w:val="0087765A"/>
    <w:rsid w:val="0089566F"/>
    <w:rsid w:val="008F1B3A"/>
    <w:rsid w:val="009166B9"/>
    <w:rsid w:val="00935718"/>
    <w:rsid w:val="00935D0C"/>
    <w:rsid w:val="0097186B"/>
    <w:rsid w:val="00972E9B"/>
    <w:rsid w:val="0098122F"/>
    <w:rsid w:val="009E2AC8"/>
    <w:rsid w:val="00A17384"/>
    <w:rsid w:val="00A72290"/>
    <w:rsid w:val="00AB5FE3"/>
    <w:rsid w:val="00AD5831"/>
    <w:rsid w:val="00AF113E"/>
    <w:rsid w:val="00B15E76"/>
    <w:rsid w:val="00B217EC"/>
    <w:rsid w:val="00B22F3B"/>
    <w:rsid w:val="00B27298"/>
    <w:rsid w:val="00B4695C"/>
    <w:rsid w:val="00B52256"/>
    <w:rsid w:val="00B76409"/>
    <w:rsid w:val="00BB5AA2"/>
    <w:rsid w:val="00BE625F"/>
    <w:rsid w:val="00C21FA8"/>
    <w:rsid w:val="00C6409D"/>
    <w:rsid w:val="00C80A07"/>
    <w:rsid w:val="00CA788B"/>
    <w:rsid w:val="00CB57EA"/>
    <w:rsid w:val="00CE1B67"/>
    <w:rsid w:val="00CF186F"/>
    <w:rsid w:val="00D07048"/>
    <w:rsid w:val="00D154C0"/>
    <w:rsid w:val="00D32A95"/>
    <w:rsid w:val="00D70BBB"/>
    <w:rsid w:val="00DA6BD7"/>
    <w:rsid w:val="00DC5A60"/>
    <w:rsid w:val="00DC5E6F"/>
    <w:rsid w:val="00DD4137"/>
    <w:rsid w:val="00E04D10"/>
    <w:rsid w:val="00E30FAC"/>
    <w:rsid w:val="00E445B5"/>
    <w:rsid w:val="00E45870"/>
    <w:rsid w:val="00E5310F"/>
    <w:rsid w:val="00E6634A"/>
    <w:rsid w:val="00E703BB"/>
    <w:rsid w:val="00E93DE2"/>
    <w:rsid w:val="00EC49F7"/>
    <w:rsid w:val="00F04776"/>
    <w:rsid w:val="00F05877"/>
    <w:rsid w:val="00F35149"/>
    <w:rsid w:val="00F551AB"/>
    <w:rsid w:val="00F6462F"/>
    <w:rsid w:val="00FB2387"/>
    <w:rsid w:val="00FD444D"/>
    <w:rsid w:val="01057174"/>
    <w:rsid w:val="01097B50"/>
    <w:rsid w:val="01115B19"/>
    <w:rsid w:val="012A4559"/>
    <w:rsid w:val="013D6280"/>
    <w:rsid w:val="01433EA5"/>
    <w:rsid w:val="014F219D"/>
    <w:rsid w:val="015B1203"/>
    <w:rsid w:val="015E5112"/>
    <w:rsid w:val="017C0DF6"/>
    <w:rsid w:val="01875E80"/>
    <w:rsid w:val="01894F26"/>
    <w:rsid w:val="01B85F94"/>
    <w:rsid w:val="01C96157"/>
    <w:rsid w:val="01CD25C1"/>
    <w:rsid w:val="01CF1291"/>
    <w:rsid w:val="02294804"/>
    <w:rsid w:val="02353A89"/>
    <w:rsid w:val="02392912"/>
    <w:rsid w:val="024E3222"/>
    <w:rsid w:val="024F520B"/>
    <w:rsid w:val="02713A03"/>
    <w:rsid w:val="02832E35"/>
    <w:rsid w:val="02A944BD"/>
    <w:rsid w:val="02AA61A0"/>
    <w:rsid w:val="02AD1871"/>
    <w:rsid w:val="02B0295F"/>
    <w:rsid w:val="02DE7C7D"/>
    <w:rsid w:val="02DF1BCA"/>
    <w:rsid w:val="02DF7050"/>
    <w:rsid w:val="02E132C9"/>
    <w:rsid w:val="02E83A34"/>
    <w:rsid w:val="02FA25DD"/>
    <w:rsid w:val="03083A8B"/>
    <w:rsid w:val="030B47EA"/>
    <w:rsid w:val="031C07A5"/>
    <w:rsid w:val="03484815"/>
    <w:rsid w:val="03625911"/>
    <w:rsid w:val="036956D0"/>
    <w:rsid w:val="036B5288"/>
    <w:rsid w:val="037B2E73"/>
    <w:rsid w:val="037D1409"/>
    <w:rsid w:val="03857FB0"/>
    <w:rsid w:val="03940498"/>
    <w:rsid w:val="039E11BA"/>
    <w:rsid w:val="03B91543"/>
    <w:rsid w:val="03C113D7"/>
    <w:rsid w:val="03D42E2E"/>
    <w:rsid w:val="03D56637"/>
    <w:rsid w:val="03E06642"/>
    <w:rsid w:val="04071455"/>
    <w:rsid w:val="040A2CF3"/>
    <w:rsid w:val="040F2072"/>
    <w:rsid w:val="0422003D"/>
    <w:rsid w:val="04274596"/>
    <w:rsid w:val="0429177F"/>
    <w:rsid w:val="043833BC"/>
    <w:rsid w:val="04620439"/>
    <w:rsid w:val="047E71AE"/>
    <w:rsid w:val="048110D0"/>
    <w:rsid w:val="048C54B6"/>
    <w:rsid w:val="049C7DEF"/>
    <w:rsid w:val="049F7F45"/>
    <w:rsid w:val="04C97E11"/>
    <w:rsid w:val="04DA1079"/>
    <w:rsid w:val="04DF07ED"/>
    <w:rsid w:val="05025778"/>
    <w:rsid w:val="05243941"/>
    <w:rsid w:val="052D23F2"/>
    <w:rsid w:val="05340EA7"/>
    <w:rsid w:val="053718C6"/>
    <w:rsid w:val="056819F2"/>
    <w:rsid w:val="056821C5"/>
    <w:rsid w:val="056A57F8"/>
    <w:rsid w:val="0574160C"/>
    <w:rsid w:val="05812800"/>
    <w:rsid w:val="05812B41"/>
    <w:rsid w:val="05816FE5"/>
    <w:rsid w:val="05942874"/>
    <w:rsid w:val="05A351AD"/>
    <w:rsid w:val="05BB42A5"/>
    <w:rsid w:val="05CC64B2"/>
    <w:rsid w:val="05DA5047"/>
    <w:rsid w:val="05F443AB"/>
    <w:rsid w:val="06060C46"/>
    <w:rsid w:val="060A6FDB"/>
    <w:rsid w:val="06103E2E"/>
    <w:rsid w:val="06236C32"/>
    <w:rsid w:val="06395C70"/>
    <w:rsid w:val="06422A77"/>
    <w:rsid w:val="06544AEA"/>
    <w:rsid w:val="06987B48"/>
    <w:rsid w:val="069C78C3"/>
    <w:rsid w:val="06A651EC"/>
    <w:rsid w:val="06A967F3"/>
    <w:rsid w:val="06AF79E8"/>
    <w:rsid w:val="06D16B2D"/>
    <w:rsid w:val="06D4354A"/>
    <w:rsid w:val="06E23B26"/>
    <w:rsid w:val="06F04422"/>
    <w:rsid w:val="06F3181D"/>
    <w:rsid w:val="06F74968"/>
    <w:rsid w:val="071D2DDA"/>
    <w:rsid w:val="07277465"/>
    <w:rsid w:val="072A6D53"/>
    <w:rsid w:val="073F2CB4"/>
    <w:rsid w:val="07464042"/>
    <w:rsid w:val="07493A01"/>
    <w:rsid w:val="075524D7"/>
    <w:rsid w:val="075A4F86"/>
    <w:rsid w:val="075B5D40"/>
    <w:rsid w:val="075D0324"/>
    <w:rsid w:val="07794699"/>
    <w:rsid w:val="0781507A"/>
    <w:rsid w:val="07857B54"/>
    <w:rsid w:val="07AB7467"/>
    <w:rsid w:val="07B026C9"/>
    <w:rsid w:val="07B05CEC"/>
    <w:rsid w:val="07B70A9C"/>
    <w:rsid w:val="07C252B9"/>
    <w:rsid w:val="08053EFD"/>
    <w:rsid w:val="082276C9"/>
    <w:rsid w:val="08307282"/>
    <w:rsid w:val="08400BC7"/>
    <w:rsid w:val="08526B08"/>
    <w:rsid w:val="086C7918"/>
    <w:rsid w:val="08716E9D"/>
    <w:rsid w:val="088F0D5E"/>
    <w:rsid w:val="089808CE"/>
    <w:rsid w:val="08A402AB"/>
    <w:rsid w:val="08B75C21"/>
    <w:rsid w:val="08BB636A"/>
    <w:rsid w:val="08BE7FAE"/>
    <w:rsid w:val="08C6543B"/>
    <w:rsid w:val="08DD77CD"/>
    <w:rsid w:val="08FB569F"/>
    <w:rsid w:val="09102A46"/>
    <w:rsid w:val="094A2521"/>
    <w:rsid w:val="09522F3E"/>
    <w:rsid w:val="096919AA"/>
    <w:rsid w:val="096A2656"/>
    <w:rsid w:val="097C1885"/>
    <w:rsid w:val="097F55EA"/>
    <w:rsid w:val="09B87FD0"/>
    <w:rsid w:val="09B94BC9"/>
    <w:rsid w:val="09DD2A43"/>
    <w:rsid w:val="09E322D8"/>
    <w:rsid w:val="0A0720FF"/>
    <w:rsid w:val="0A0E4EFB"/>
    <w:rsid w:val="0A173A74"/>
    <w:rsid w:val="0A283ED3"/>
    <w:rsid w:val="0A402FCB"/>
    <w:rsid w:val="0A481E7F"/>
    <w:rsid w:val="0A6A2374"/>
    <w:rsid w:val="0A820F4B"/>
    <w:rsid w:val="0A8A2498"/>
    <w:rsid w:val="0ABB08A3"/>
    <w:rsid w:val="0AD667A6"/>
    <w:rsid w:val="0AE75B3C"/>
    <w:rsid w:val="0AF22EF3"/>
    <w:rsid w:val="0AF618DB"/>
    <w:rsid w:val="0AFD72A6"/>
    <w:rsid w:val="0B36617C"/>
    <w:rsid w:val="0B4D54FF"/>
    <w:rsid w:val="0B6D6042"/>
    <w:rsid w:val="0B7849E6"/>
    <w:rsid w:val="0B7C44D7"/>
    <w:rsid w:val="0B7D1FFD"/>
    <w:rsid w:val="0B7F5716"/>
    <w:rsid w:val="0B805C41"/>
    <w:rsid w:val="0B901D30"/>
    <w:rsid w:val="0BC124ED"/>
    <w:rsid w:val="0BCA493E"/>
    <w:rsid w:val="0BD9544A"/>
    <w:rsid w:val="0BE14FCA"/>
    <w:rsid w:val="0BF57DE5"/>
    <w:rsid w:val="0BFA234D"/>
    <w:rsid w:val="0C0A7AA8"/>
    <w:rsid w:val="0C10060B"/>
    <w:rsid w:val="0C210272"/>
    <w:rsid w:val="0C232BA4"/>
    <w:rsid w:val="0C2B1A59"/>
    <w:rsid w:val="0C356B74"/>
    <w:rsid w:val="0C460641"/>
    <w:rsid w:val="0C6C74AB"/>
    <w:rsid w:val="0C760F26"/>
    <w:rsid w:val="0C8A2C92"/>
    <w:rsid w:val="0CA84E57"/>
    <w:rsid w:val="0CAA46BE"/>
    <w:rsid w:val="0CAA6E21"/>
    <w:rsid w:val="0CC22FE6"/>
    <w:rsid w:val="0CC3477E"/>
    <w:rsid w:val="0CD22DCF"/>
    <w:rsid w:val="0CD93263"/>
    <w:rsid w:val="0CDF4D1D"/>
    <w:rsid w:val="0CE75980"/>
    <w:rsid w:val="0CEC743A"/>
    <w:rsid w:val="0D071E52"/>
    <w:rsid w:val="0D2E2F71"/>
    <w:rsid w:val="0D49488C"/>
    <w:rsid w:val="0D512DA1"/>
    <w:rsid w:val="0D5F3C89"/>
    <w:rsid w:val="0D6917CA"/>
    <w:rsid w:val="0D9378B6"/>
    <w:rsid w:val="0D9F4AB0"/>
    <w:rsid w:val="0DA25D4B"/>
    <w:rsid w:val="0DAB19BF"/>
    <w:rsid w:val="0DB241E0"/>
    <w:rsid w:val="0DBC79F0"/>
    <w:rsid w:val="0DCA6ABF"/>
    <w:rsid w:val="0DCC638D"/>
    <w:rsid w:val="0DDE4FD5"/>
    <w:rsid w:val="0DF464C0"/>
    <w:rsid w:val="0E0D7180"/>
    <w:rsid w:val="0E14400C"/>
    <w:rsid w:val="0E3734AC"/>
    <w:rsid w:val="0E4F21C3"/>
    <w:rsid w:val="0E5434E9"/>
    <w:rsid w:val="0E8116C4"/>
    <w:rsid w:val="0E943D45"/>
    <w:rsid w:val="0E9B3E36"/>
    <w:rsid w:val="0EB35D57"/>
    <w:rsid w:val="0EDF7256"/>
    <w:rsid w:val="0F3B40A8"/>
    <w:rsid w:val="0F4079EA"/>
    <w:rsid w:val="0F423341"/>
    <w:rsid w:val="0F5E1AD0"/>
    <w:rsid w:val="0F833E8F"/>
    <w:rsid w:val="0F933A20"/>
    <w:rsid w:val="0F9811B3"/>
    <w:rsid w:val="0FAC0BDF"/>
    <w:rsid w:val="0FAD48B7"/>
    <w:rsid w:val="0FB73D2F"/>
    <w:rsid w:val="0FC85F3C"/>
    <w:rsid w:val="0FEB2934"/>
    <w:rsid w:val="0FED14FF"/>
    <w:rsid w:val="10134FA4"/>
    <w:rsid w:val="101F3682"/>
    <w:rsid w:val="10345380"/>
    <w:rsid w:val="1043602D"/>
    <w:rsid w:val="10466E61"/>
    <w:rsid w:val="104C257C"/>
    <w:rsid w:val="10506D54"/>
    <w:rsid w:val="10596B94"/>
    <w:rsid w:val="106B68C8"/>
    <w:rsid w:val="10740D11"/>
    <w:rsid w:val="107B51E5"/>
    <w:rsid w:val="1088779B"/>
    <w:rsid w:val="1091537A"/>
    <w:rsid w:val="10963D8A"/>
    <w:rsid w:val="10A342B4"/>
    <w:rsid w:val="113969C6"/>
    <w:rsid w:val="113F222E"/>
    <w:rsid w:val="11506A7F"/>
    <w:rsid w:val="11552DD2"/>
    <w:rsid w:val="116E6670"/>
    <w:rsid w:val="11845A6D"/>
    <w:rsid w:val="11997C48"/>
    <w:rsid w:val="119A7465"/>
    <w:rsid w:val="119B5EA3"/>
    <w:rsid w:val="11A96BDF"/>
    <w:rsid w:val="11D24E50"/>
    <w:rsid w:val="11D434DA"/>
    <w:rsid w:val="11DE1B36"/>
    <w:rsid w:val="11DE3CD2"/>
    <w:rsid w:val="11EA22F1"/>
    <w:rsid w:val="11F67276"/>
    <w:rsid w:val="11F748B7"/>
    <w:rsid w:val="11FF376C"/>
    <w:rsid w:val="12047CB0"/>
    <w:rsid w:val="12091802"/>
    <w:rsid w:val="12237839"/>
    <w:rsid w:val="12267AD6"/>
    <w:rsid w:val="122B27B2"/>
    <w:rsid w:val="122F062D"/>
    <w:rsid w:val="12597031"/>
    <w:rsid w:val="12723D6D"/>
    <w:rsid w:val="127C6B6A"/>
    <w:rsid w:val="12802AFE"/>
    <w:rsid w:val="128B1675"/>
    <w:rsid w:val="128B5ABB"/>
    <w:rsid w:val="129031AF"/>
    <w:rsid w:val="12C624DB"/>
    <w:rsid w:val="12EA441C"/>
    <w:rsid w:val="130A5461"/>
    <w:rsid w:val="13333D5C"/>
    <w:rsid w:val="135567C5"/>
    <w:rsid w:val="137C6D37"/>
    <w:rsid w:val="13813C3C"/>
    <w:rsid w:val="13C22CA3"/>
    <w:rsid w:val="13CB6CFC"/>
    <w:rsid w:val="13D80F6B"/>
    <w:rsid w:val="13DA623E"/>
    <w:rsid w:val="13DE4113"/>
    <w:rsid w:val="13FC4407"/>
    <w:rsid w:val="1403423A"/>
    <w:rsid w:val="14035330"/>
    <w:rsid w:val="14086FAC"/>
    <w:rsid w:val="1428547C"/>
    <w:rsid w:val="142D2812"/>
    <w:rsid w:val="143309BD"/>
    <w:rsid w:val="144302DE"/>
    <w:rsid w:val="144E581F"/>
    <w:rsid w:val="147158F4"/>
    <w:rsid w:val="14771CDF"/>
    <w:rsid w:val="14893CDD"/>
    <w:rsid w:val="148E0DD7"/>
    <w:rsid w:val="1498706D"/>
    <w:rsid w:val="14A57E39"/>
    <w:rsid w:val="14A724C4"/>
    <w:rsid w:val="14B85D75"/>
    <w:rsid w:val="14BD6699"/>
    <w:rsid w:val="14CD72F8"/>
    <w:rsid w:val="14CF6317"/>
    <w:rsid w:val="14E1184E"/>
    <w:rsid w:val="14F25809"/>
    <w:rsid w:val="14F349AF"/>
    <w:rsid w:val="151B4D60"/>
    <w:rsid w:val="153B5E8A"/>
    <w:rsid w:val="1546345F"/>
    <w:rsid w:val="1548367B"/>
    <w:rsid w:val="155115F3"/>
    <w:rsid w:val="15581B10"/>
    <w:rsid w:val="155A7BF6"/>
    <w:rsid w:val="157D1577"/>
    <w:rsid w:val="158F1C8D"/>
    <w:rsid w:val="15914DE7"/>
    <w:rsid w:val="159211B8"/>
    <w:rsid w:val="1598133F"/>
    <w:rsid w:val="15A07014"/>
    <w:rsid w:val="15E82F71"/>
    <w:rsid w:val="15EC04AB"/>
    <w:rsid w:val="160930C8"/>
    <w:rsid w:val="16343BF3"/>
    <w:rsid w:val="164F1AD0"/>
    <w:rsid w:val="165C2036"/>
    <w:rsid w:val="16922E00"/>
    <w:rsid w:val="16BA0531"/>
    <w:rsid w:val="16C864B5"/>
    <w:rsid w:val="16EC2D18"/>
    <w:rsid w:val="16FF39CF"/>
    <w:rsid w:val="17143B49"/>
    <w:rsid w:val="17207EA0"/>
    <w:rsid w:val="17216EDD"/>
    <w:rsid w:val="17242B35"/>
    <w:rsid w:val="1732515D"/>
    <w:rsid w:val="174642FC"/>
    <w:rsid w:val="175C51BC"/>
    <w:rsid w:val="175E421D"/>
    <w:rsid w:val="17604CAC"/>
    <w:rsid w:val="176474A1"/>
    <w:rsid w:val="176A1687"/>
    <w:rsid w:val="17740335"/>
    <w:rsid w:val="178A43F9"/>
    <w:rsid w:val="178D40EC"/>
    <w:rsid w:val="17920BDE"/>
    <w:rsid w:val="17BB6387"/>
    <w:rsid w:val="17BD3EAD"/>
    <w:rsid w:val="17CF3BE0"/>
    <w:rsid w:val="17D56D11"/>
    <w:rsid w:val="18026B7E"/>
    <w:rsid w:val="181A12FF"/>
    <w:rsid w:val="18311585"/>
    <w:rsid w:val="18392C19"/>
    <w:rsid w:val="185A1BD3"/>
    <w:rsid w:val="18610CDC"/>
    <w:rsid w:val="18CF73E2"/>
    <w:rsid w:val="18D23988"/>
    <w:rsid w:val="18FE3E08"/>
    <w:rsid w:val="1908080B"/>
    <w:rsid w:val="19127B16"/>
    <w:rsid w:val="19677C54"/>
    <w:rsid w:val="19866520"/>
    <w:rsid w:val="198D51E7"/>
    <w:rsid w:val="19A61090"/>
    <w:rsid w:val="19BD57DB"/>
    <w:rsid w:val="19C808E7"/>
    <w:rsid w:val="19DC4392"/>
    <w:rsid w:val="19DC6C9E"/>
    <w:rsid w:val="19F2280D"/>
    <w:rsid w:val="19FE3E37"/>
    <w:rsid w:val="1A071E95"/>
    <w:rsid w:val="1A37265B"/>
    <w:rsid w:val="1A45145E"/>
    <w:rsid w:val="1A472BD2"/>
    <w:rsid w:val="1A5332B4"/>
    <w:rsid w:val="1A534654"/>
    <w:rsid w:val="1A55661F"/>
    <w:rsid w:val="1A8D2EA4"/>
    <w:rsid w:val="1AA650CC"/>
    <w:rsid w:val="1AB64BE3"/>
    <w:rsid w:val="1ACA41CA"/>
    <w:rsid w:val="1ACD005B"/>
    <w:rsid w:val="1AD02CD6"/>
    <w:rsid w:val="1AE91380"/>
    <w:rsid w:val="1B140288"/>
    <w:rsid w:val="1B1A7C3C"/>
    <w:rsid w:val="1B1F5F7B"/>
    <w:rsid w:val="1B2304CB"/>
    <w:rsid w:val="1B300E3A"/>
    <w:rsid w:val="1B3C35B9"/>
    <w:rsid w:val="1B632FBD"/>
    <w:rsid w:val="1B6A4F0B"/>
    <w:rsid w:val="1B935B8A"/>
    <w:rsid w:val="1B950B3C"/>
    <w:rsid w:val="1B9C11F7"/>
    <w:rsid w:val="1B9E4E79"/>
    <w:rsid w:val="1BA11882"/>
    <w:rsid w:val="1BBE4697"/>
    <w:rsid w:val="1BC03F6C"/>
    <w:rsid w:val="1BC17CE4"/>
    <w:rsid w:val="1BC8151F"/>
    <w:rsid w:val="1BCE450B"/>
    <w:rsid w:val="1BD16179"/>
    <w:rsid w:val="1C0338F7"/>
    <w:rsid w:val="1C162336"/>
    <w:rsid w:val="1C1C03C3"/>
    <w:rsid w:val="1C205F15"/>
    <w:rsid w:val="1C21335F"/>
    <w:rsid w:val="1C2423A1"/>
    <w:rsid w:val="1C2F4C4D"/>
    <w:rsid w:val="1C314524"/>
    <w:rsid w:val="1C3339B4"/>
    <w:rsid w:val="1C3B0ACB"/>
    <w:rsid w:val="1C4E5A1B"/>
    <w:rsid w:val="1C67119B"/>
    <w:rsid w:val="1C737230"/>
    <w:rsid w:val="1C7D180E"/>
    <w:rsid w:val="1C8378EA"/>
    <w:rsid w:val="1C862B65"/>
    <w:rsid w:val="1C8C707E"/>
    <w:rsid w:val="1CA76EDA"/>
    <w:rsid w:val="1CAD3695"/>
    <w:rsid w:val="1CAF4AE3"/>
    <w:rsid w:val="1CDA1373"/>
    <w:rsid w:val="1CE0522F"/>
    <w:rsid w:val="1CE26164"/>
    <w:rsid w:val="1CEE2D5A"/>
    <w:rsid w:val="1CF85987"/>
    <w:rsid w:val="1D1A7363"/>
    <w:rsid w:val="1D331190"/>
    <w:rsid w:val="1D546E21"/>
    <w:rsid w:val="1D706ABC"/>
    <w:rsid w:val="1D732E41"/>
    <w:rsid w:val="1D8A14F0"/>
    <w:rsid w:val="1D93759F"/>
    <w:rsid w:val="1D9E02DC"/>
    <w:rsid w:val="1DA767F2"/>
    <w:rsid w:val="1DB034A7"/>
    <w:rsid w:val="1DC835AB"/>
    <w:rsid w:val="1DDB7122"/>
    <w:rsid w:val="1DDF2920"/>
    <w:rsid w:val="1DED5743"/>
    <w:rsid w:val="1DF148B0"/>
    <w:rsid w:val="1DFC274A"/>
    <w:rsid w:val="1E021B0F"/>
    <w:rsid w:val="1E053DEB"/>
    <w:rsid w:val="1E205195"/>
    <w:rsid w:val="1E2454A2"/>
    <w:rsid w:val="1E3B5B2B"/>
    <w:rsid w:val="1E5029D9"/>
    <w:rsid w:val="1E592455"/>
    <w:rsid w:val="1E735BEA"/>
    <w:rsid w:val="1E9772EF"/>
    <w:rsid w:val="1EAC54E7"/>
    <w:rsid w:val="1EC45B21"/>
    <w:rsid w:val="1EDE6CD6"/>
    <w:rsid w:val="1EF26B32"/>
    <w:rsid w:val="1F3A2287"/>
    <w:rsid w:val="1F444EB4"/>
    <w:rsid w:val="1F544CBA"/>
    <w:rsid w:val="1F624FA9"/>
    <w:rsid w:val="1F6A2B6C"/>
    <w:rsid w:val="1F9951FF"/>
    <w:rsid w:val="1F9D0AFB"/>
    <w:rsid w:val="1FD123FB"/>
    <w:rsid w:val="200F584A"/>
    <w:rsid w:val="201B6DAB"/>
    <w:rsid w:val="202D3B9A"/>
    <w:rsid w:val="205656B9"/>
    <w:rsid w:val="205B24B5"/>
    <w:rsid w:val="205E3D53"/>
    <w:rsid w:val="206B142F"/>
    <w:rsid w:val="20911160"/>
    <w:rsid w:val="20A07B84"/>
    <w:rsid w:val="20D34007"/>
    <w:rsid w:val="20EE50D7"/>
    <w:rsid w:val="20F841A8"/>
    <w:rsid w:val="20F87D04"/>
    <w:rsid w:val="21055788"/>
    <w:rsid w:val="21234C89"/>
    <w:rsid w:val="2125389D"/>
    <w:rsid w:val="212A1E87"/>
    <w:rsid w:val="212D20A3"/>
    <w:rsid w:val="213049DA"/>
    <w:rsid w:val="21460DAB"/>
    <w:rsid w:val="2150416A"/>
    <w:rsid w:val="21674E89"/>
    <w:rsid w:val="216B497A"/>
    <w:rsid w:val="21747FCA"/>
    <w:rsid w:val="217703D3"/>
    <w:rsid w:val="218E6565"/>
    <w:rsid w:val="21915D17"/>
    <w:rsid w:val="21B93F30"/>
    <w:rsid w:val="21E20A5B"/>
    <w:rsid w:val="21E309B4"/>
    <w:rsid w:val="220902CB"/>
    <w:rsid w:val="222039B6"/>
    <w:rsid w:val="226B7039"/>
    <w:rsid w:val="227114A6"/>
    <w:rsid w:val="227546C9"/>
    <w:rsid w:val="22765384"/>
    <w:rsid w:val="22941CAE"/>
    <w:rsid w:val="22A77C33"/>
    <w:rsid w:val="22A87507"/>
    <w:rsid w:val="22AD4B1E"/>
    <w:rsid w:val="22B67BCB"/>
    <w:rsid w:val="22C04851"/>
    <w:rsid w:val="22EE5862"/>
    <w:rsid w:val="22F10DC9"/>
    <w:rsid w:val="22F469BA"/>
    <w:rsid w:val="233C7CDD"/>
    <w:rsid w:val="235E1CD0"/>
    <w:rsid w:val="237B7CED"/>
    <w:rsid w:val="239E59A9"/>
    <w:rsid w:val="23B348A8"/>
    <w:rsid w:val="23B80E3C"/>
    <w:rsid w:val="23C15C65"/>
    <w:rsid w:val="23C1633C"/>
    <w:rsid w:val="23FD0C78"/>
    <w:rsid w:val="240F698F"/>
    <w:rsid w:val="24213A15"/>
    <w:rsid w:val="24376D95"/>
    <w:rsid w:val="244F1E0A"/>
    <w:rsid w:val="24571B75"/>
    <w:rsid w:val="2471031E"/>
    <w:rsid w:val="247D1459"/>
    <w:rsid w:val="247E5FA4"/>
    <w:rsid w:val="24912949"/>
    <w:rsid w:val="249E5066"/>
    <w:rsid w:val="24AA3E9F"/>
    <w:rsid w:val="24B108F5"/>
    <w:rsid w:val="24B55735"/>
    <w:rsid w:val="24B6025C"/>
    <w:rsid w:val="24CF0D7F"/>
    <w:rsid w:val="24D9457C"/>
    <w:rsid w:val="24E80B88"/>
    <w:rsid w:val="24E95C1F"/>
    <w:rsid w:val="24FF3D57"/>
    <w:rsid w:val="252C3253"/>
    <w:rsid w:val="25437D28"/>
    <w:rsid w:val="25494FD2"/>
    <w:rsid w:val="25592D3B"/>
    <w:rsid w:val="255F65A3"/>
    <w:rsid w:val="2586533D"/>
    <w:rsid w:val="25893A50"/>
    <w:rsid w:val="25B23A96"/>
    <w:rsid w:val="25B33FF6"/>
    <w:rsid w:val="25D04EC2"/>
    <w:rsid w:val="25D80104"/>
    <w:rsid w:val="25E6488B"/>
    <w:rsid w:val="25F767DC"/>
    <w:rsid w:val="26095AC3"/>
    <w:rsid w:val="260E1D77"/>
    <w:rsid w:val="261460CA"/>
    <w:rsid w:val="261B0839"/>
    <w:rsid w:val="261D77F2"/>
    <w:rsid w:val="26202C71"/>
    <w:rsid w:val="26243349"/>
    <w:rsid w:val="2626473C"/>
    <w:rsid w:val="262F241A"/>
    <w:rsid w:val="26354676"/>
    <w:rsid w:val="263C0703"/>
    <w:rsid w:val="265D0DB0"/>
    <w:rsid w:val="2666750E"/>
    <w:rsid w:val="266D6A9E"/>
    <w:rsid w:val="267D2343"/>
    <w:rsid w:val="26904E9E"/>
    <w:rsid w:val="269577DC"/>
    <w:rsid w:val="269F1C1D"/>
    <w:rsid w:val="26A61FB0"/>
    <w:rsid w:val="26BB3CAD"/>
    <w:rsid w:val="26DF59A2"/>
    <w:rsid w:val="26FB7DAE"/>
    <w:rsid w:val="27003DB6"/>
    <w:rsid w:val="270339F4"/>
    <w:rsid w:val="270A274C"/>
    <w:rsid w:val="272555CB"/>
    <w:rsid w:val="272A498F"/>
    <w:rsid w:val="275A1718"/>
    <w:rsid w:val="275B2D9A"/>
    <w:rsid w:val="276460F3"/>
    <w:rsid w:val="27710810"/>
    <w:rsid w:val="277A7BA9"/>
    <w:rsid w:val="2786362E"/>
    <w:rsid w:val="27B16D5C"/>
    <w:rsid w:val="27B5694E"/>
    <w:rsid w:val="27CC6D8B"/>
    <w:rsid w:val="280865D8"/>
    <w:rsid w:val="280C22E7"/>
    <w:rsid w:val="28137B19"/>
    <w:rsid w:val="281F201A"/>
    <w:rsid w:val="282A79A9"/>
    <w:rsid w:val="283830DC"/>
    <w:rsid w:val="284101E2"/>
    <w:rsid w:val="286606C5"/>
    <w:rsid w:val="28674993"/>
    <w:rsid w:val="28802DC3"/>
    <w:rsid w:val="2881386A"/>
    <w:rsid w:val="28820DB5"/>
    <w:rsid w:val="28895693"/>
    <w:rsid w:val="28A546A3"/>
    <w:rsid w:val="28B409B4"/>
    <w:rsid w:val="28B41ED8"/>
    <w:rsid w:val="28C3509B"/>
    <w:rsid w:val="28CE01FC"/>
    <w:rsid w:val="28CE6D81"/>
    <w:rsid w:val="28E148BA"/>
    <w:rsid w:val="28FE47BF"/>
    <w:rsid w:val="2916035C"/>
    <w:rsid w:val="29276E05"/>
    <w:rsid w:val="29422940"/>
    <w:rsid w:val="296A19BB"/>
    <w:rsid w:val="296A3769"/>
    <w:rsid w:val="29824F56"/>
    <w:rsid w:val="298962E5"/>
    <w:rsid w:val="299D3B3E"/>
    <w:rsid w:val="29AE5D4B"/>
    <w:rsid w:val="29CC4423"/>
    <w:rsid w:val="29D46625"/>
    <w:rsid w:val="29D907E2"/>
    <w:rsid w:val="29DE206E"/>
    <w:rsid w:val="29E67293"/>
    <w:rsid w:val="29F81786"/>
    <w:rsid w:val="2A0C4820"/>
    <w:rsid w:val="2A1056ED"/>
    <w:rsid w:val="2A2860FB"/>
    <w:rsid w:val="2A407B09"/>
    <w:rsid w:val="2A4D53BF"/>
    <w:rsid w:val="2A5616A7"/>
    <w:rsid w:val="2A7C3754"/>
    <w:rsid w:val="2A804C87"/>
    <w:rsid w:val="2A954AEA"/>
    <w:rsid w:val="2A992557"/>
    <w:rsid w:val="2A9B449A"/>
    <w:rsid w:val="2A9F5A76"/>
    <w:rsid w:val="2AD215C5"/>
    <w:rsid w:val="2ADE00B1"/>
    <w:rsid w:val="2AF14C71"/>
    <w:rsid w:val="2AF7727E"/>
    <w:rsid w:val="2B011EAB"/>
    <w:rsid w:val="2B06069C"/>
    <w:rsid w:val="2B163448"/>
    <w:rsid w:val="2B1B11BE"/>
    <w:rsid w:val="2B24795B"/>
    <w:rsid w:val="2B2B10ED"/>
    <w:rsid w:val="2B312EE2"/>
    <w:rsid w:val="2B3E6C5B"/>
    <w:rsid w:val="2B4E77BD"/>
    <w:rsid w:val="2B5B5A5F"/>
    <w:rsid w:val="2B66442F"/>
    <w:rsid w:val="2B672C9E"/>
    <w:rsid w:val="2B701554"/>
    <w:rsid w:val="2B76668D"/>
    <w:rsid w:val="2B786611"/>
    <w:rsid w:val="2B7B0969"/>
    <w:rsid w:val="2B810700"/>
    <w:rsid w:val="2BA754F7"/>
    <w:rsid w:val="2BC2163A"/>
    <w:rsid w:val="2BF84388"/>
    <w:rsid w:val="2BF86F81"/>
    <w:rsid w:val="2C0B3E32"/>
    <w:rsid w:val="2C21254F"/>
    <w:rsid w:val="2C2E4F21"/>
    <w:rsid w:val="2C311F1A"/>
    <w:rsid w:val="2C33078A"/>
    <w:rsid w:val="2C626979"/>
    <w:rsid w:val="2C6F5136"/>
    <w:rsid w:val="2C75006C"/>
    <w:rsid w:val="2C82701B"/>
    <w:rsid w:val="2C8608B9"/>
    <w:rsid w:val="2C8D7EA6"/>
    <w:rsid w:val="2C8E3C12"/>
    <w:rsid w:val="2CA07ACB"/>
    <w:rsid w:val="2CD535EF"/>
    <w:rsid w:val="2CF55A32"/>
    <w:rsid w:val="2D0055FC"/>
    <w:rsid w:val="2D127FD2"/>
    <w:rsid w:val="2D2E5C65"/>
    <w:rsid w:val="2D355E3C"/>
    <w:rsid w:val="2D393ACC"/>
    <w:rsid w:val="2D3C366E"/>
    <w:rsid w:val="2D6E1E26"/>
    <w:rsid w:val="2D7F7721"/>
    <w:rsid w:val="2D8A262B"/>
    <w:rsid w:val="2DB75A57"/>
    <w:rsid w:val="2DB96A6D"/>
    <w:rsid w:val="2DBF0527"/>
    <w:rsid w:val="2DCC2C44"/>
    <w:rsid w:val="2DDE64D3"/>
    <w:rsid w:val="2DE33AEA"/>
    <w:rsid w:val="2DEC299E"/>
    <w:rsid w:val="2E0E500A"/>
    <w:rsid w:val="2E2E1209"/>
    <w:rsid w:val="2E424CB4"/>
    <w:rsid w:val="2E5538F0"/>
    <w:rsid w:val="2E6A0790"/>
    <w:rsid w:val="2E941FEB"/>
    <w:rsid w:val="2E975000"/>
    <w:rsid w:val="2E9D1EEA"/>
    <w:rsid w:val="2EA04A1F"/>
    <w:rsid w:val="2EB51040"/>
    <w:rsid w:val="2EBC598F"/>
    <w:rsid w:val="2EDA6F81"/>
    <w:rsid w:val="2EE459AB"/>
    <w:rsid w:val="2EE87609"/>
    <w:rsid w:val="2EEE2746"/>
    <w:rsid w:val="2EF33724"/>
    <w:rsid w:val="2F1321AD"/>
    <w:rsid w:val="2F1475F5"/>
    <w:rsid w:val="2F2C3963"/>
    <w:rsid w:val="2F64077E"/>
    <w:rsid w:val="2F7D0FB0"/>
    <w:rsid w:val="2F9208AD"/>
    <w:rsid w:val="2FAC2CCD"/>
    <w:rsid w:val="2FB67708"/>
    <w:rsid w:val="2FD20D51"/>
    <w:rsid w:val="2FDC0024"/>
    <w:rsid w:val="2FE14B66"/>
    <w:rsid w:val="30072505"/>
    <w:rsid w:val="30127F10"/>
    <w:rsid w:val="30136908"/>
    <w:rsid w:val="301A5EE8"/>
    <w:rsid w:val="30240B15"/>
    <w:rsid w:val="302503B5"/>
    <w:rsid w:val="30297EDA"/>
    <w:rsid w:val="3038011D"/>
    <w:rsid w:val="303B19BB"/>
    <w:rsid w:val="3043586B"/>
    <w:rsid w:val="30590093"/>
    <w:rsid w:val="30601421"/>
    <w:rsid w:val="30711881"/>
    <w:rsid w:val="30776BDB"/>
    <w:rsid w:val="307B5DD0"/>
    <w:rsid w:val="3081702D"/>
    <w:rsid w:val="30A56449"/>
    <w:rsid w:val="30A9101A"/>
    <w:rsid w:val="30C61BCC"/>
    <w:rsid w:val="30CB2D3F"/>
    <w:rsid w:val="30D8545C"/>
    <w:rsid w:val="30DE36D6"/>
    <w:rsid w:val="31090FB6"/>
    <w:rsid w:val="310F3573"/>
    <w:rsid w:val="311939C4"/>
    <w:rsid w:val="311F308B"/>
    <w:rsid w:val="3126183C"/>
    <w:rsid w:val="313B7B9E"/>
    <w:rsid w:val="3171034C"/>
    <w:rsid w:val="31807FCD"/>
    <w:rsid w:val="31850497"/>
    <w:rsid w:val="318B71C3"/>
    <w:rsid w:val="31B163D9"/>
    <w:rsid w:val="31B22151"/>
    <w:rsid w:val="31B77767"/>
    <w:rsid w:val="31B9703B"/>
    <w:rsid w:val="31C43679"/>
    <w:rsid w:val="31DD71CE"/>
    <w:rsid w:val="31EC5663"/>
    <w:rsid w:val="31F27693"/>
    <w:rsid w:val="320B71D7"/>
    <w:rsid w:val="321D437C"/>
    <w:rsid w:val="323668DE"/>
    <w:rsid w:val="323808A8"/>
    <w:rsid w:val="323E76CC"/>
    <w:rsid w:val="32425283"/>
    <w:rsid w:val="324A4137"/>
    <w:rsid w:val="324F3A96"/>
    <w:rsid w:val="32674CE9"/>
    <w:rsid w:val="32773CA5"/>
    <w:rsid w:val="32891103"/>
    <w:rsid w:val="328A752A"/>
    <w:rsid w:val="32922901"/>
    <w:rsid w:val="32956F36"/>
    <w:rsid w:val="32AE7004"/>
    <w:rsid w:val="32C959A4"/>
    <w:rsid w:val="32DB1233"/>
    <w:rsid w:val="32E75E2A"/>
    <w:rsid w:val="32F61F10"/>
    <w:rsid w:val="33031326"/>
    <w:rsid w:val="3327506E"/>
    <w:rsid w:val="3328091C"/>
    <w:rsid w:val="332E5807"/>
    <w:rsid w:val="335E60EC"/>
    <w:rsid w:val="336A5F84"/>
    <w:rsid w:val="336D0EA2"/>
    <w:rsid w:val="3374374B"/>
    <w:rsid w:val="33772A66"/>
    <w:rsid w:val="33824093"/>
    <w:rsid w:val="33883FA7"/>
    <w:rsid w:val="339438A7"/>
    <w:rsid w:val="33A33D0F"/>
    <w:rsid w:val="33BE6B8B"/>
    <w:rsid w:val="33C53157"/>
    <w:rsid w:val="33C96EAF"/>
    <w:rsid w:val="33D97E69"/>
    <w:rsid w:val="33E01FD7"/>
    <w:rsid w:val="33F26BDC"/>
    <w:rsid w:val="342414D8"/>
    <w:rsid w:val="34287D5C"/>
    <w:rsid w:val="343230D5"/>
    <w:rsid w:val="344632EE"/>
    <w:rsid w:val="3467179E"/>
    <w:rsid w:val="34A32234"/>
    <w:rsid w:val="34B779E1"/>
    <w:rsid w:val="34B86614"/>
    <w:rsid w:val="34EE2C2D"/>
    <w:rsid w:val="34FA62E8"/>
    <w:rsid w:val="350C1B78"/>
    <w:rsid w:val="350F3172"/>
    <w:rsid w:val="352F3985"/>
    <w:rsid w:val="354C3F3F"/>
    <w:rsid w:val="355F0D48"/>
    <w:rsid w:val="355F5E90"/>
    <w:rsid w:val="356539A2"/>
    <w:rsid w:val="358D2CB9"/>
    <w:rsid w:val="35904557"/>
    <w:rsid w:val="359446FC"/>
    <w:rsid w:val="359C73A0"/>
    <w:rsid w:val="359E6C74"/>
    <w:rsid w:val="35A713E2"/>
    <w:rsid w:val="35B20971"/>
    <w:rsid w:val="35BC359E"/>
    <w:rsid w:val="35D73F34"/>
    <w:rsid w:val="35DE12FB"/>
    <w:rsid w:val="35E6309D"/>
    <w:rsid w:val="35E87382"/>
    <w:rsid w:val="360B2B82"/>
    <w:rsid w:val="361D0290"/>
    <w:rsid w:val="362D24BD"/>
    <w:rsid w:val="363C581C"/>
    <w:rsid w:val="36525CB0"/>
    <w:rsid w:val="365657A0"/>
    <w:rsid w:val="3656754F"/>
    <w:rsid w:val="366255AA"/>
    <w:rsid w:val="36631C6B"/>
    <w:rsid w:val="36664456"/>
    <w:rsid w:val="36735CB8"/>
    <w:rsid w:val="36782E8C"/>
    <w:rsid w:val="367D0F7F"/>
    <w:rsid w:val="36806379"/>
    <w:rsid w:val="36B50FBE"/>
    <w:rsid w:val="36C24638"/>
    <w:rsid w:val="36C24E74"/>
    <w:rsid w:val="36CC5A63"/>
    <w:rsid w:val="36D32E8A"/>
    <w:rsid w:val="36D4391E"/>
    <w:rsid w:val="3703398F"/>
    <w:rsid w:val="370535C9"/>
    <w:rsid w:val="37114410"/>
    <w:rsid w:val="371261F4"/>
    <w:rsid w:val="37135440"/>
    <w:rsid w:val="37425D25"/>
    <w:rsid w:val="374F7A97"/>
    <w:rsid w:val="375241BA"/>
    <w:rsid w:val="376C4B50"/>
    <w:rsid w:val="376E0E27"/>
    <w:rsid w:val="376E2FA9"/>
    <w:rsid w:val="379C4E4D"/>
    <w:rsid w:val="37B10506"/>
    <w:rsid w:val="37CD33BF"/>
    <w:rsid w:val="37CE75B8"/>
    <w:rsid w:val="37F27B04"/>
    <w:rsid w:val="37F761C9"/>
    <w:rsid w:val="380354B4"/>
    <w:rsid w:val="38082ACA"/>
    <w:rsid w:val="38147212"/>
    <w:rsid w:val="382A4C2C"/>
    <w:rsid w:val="383D2C29"/>
    <w:rsid w:val="38412DE1"/>
    <w:rsid w:val="38415FDC"/>
    <w:rsid w:val="38502C1E"/>
    <w:rsid w:val="38AA5638"/>
    <w:rsid w:val="38B17AD7"/>
    <w:rsid w:val="38C8225A"/>
    <w:rsid w:val="38CA7D80"/>
    <w:rsid w:val="38D42B66"/>
    <w:rsid w:val="38E84DAB"/>
    <w:rsid w:val="39017524"/>
    <w:rsid w:val="3914549F"/>
    <w:rsid w:val="3967781E"/>
    <w:rsid w:val="397475E6"/>
    <w:rsid w:val="397A17A6"/>
    <w:rsid w:val="39901AB2"/>
    <w:rsid w:val="39A86313"/>
    <w:rsid w:val="39B1489C"/>
    <w:rsid w:val="39CD6B09"/>
    <w:rsid w:val="39D8471E"/>
    <w:rsid w:val="39FF161A"/>
    <w:rsid w:val="3A032508"/>
    <w:rsid w:val="3A0A236E"/>
    <w:rsid w:val="3A100401"/>
    <w:rsid w:val="3A1F5EA9"/>
    <w:rsid w:val="3A285059"/>
    <w:rsid w:val="3A475E12"/>
    <w:rsid w:val="3A557B1D"/>
    <w:rsid w:val="3A5913BB"/>
    <w:rsid w:val="3A755F9C"/>
    <w:rsid w:val="3A881CA1"/>
    <w:rsid w:val="3AA508F0"/>
    <w:rsid w:val="3AAC1E33"/>
    <w:rsid w:val="3AF82736"/>
    <w:rsid w:val="3B00217F"/>
    <w:rsid w:val="3B293484"/>
    <w:rsid w:val="3B2C087E"/>
    <w:rsid w:val="3B301429"/>
    <w:rsid w:val="3B441AFA"/>
    <w:rsid w:val="3B64626A"/>
    <w:rsid w:val="3B7E14D2"/>
    <w:rsid w:val="3B860DF8"/>
    <w:rsid w:val="3BA40D5C"/>
    <w:rsid w:val="3BA66882"/>
    <w:rsid w:val="3BE17176"/>
    <w:rsid w:val="3BE6207A"/>
    <w:rsid w:val="3BF73E41"/>
    <w:rsid w:val="3BFA097C"/>
    <w:rsid w:val="3C0B5D67"/>
    <w:rsid w:val="3C0E6E80"/>
    <w:rsid w:val="3C0F571D"/>
    <w:rsid w:val="3C265C15"/>
    <w:rsid w:val="3C4F5745"/>
    <w:rsid w:val="3C636521"/>
    <w:rsid w:val="3C6B604E"/>
    <w:rsid w:val="3C6F136A"/>
    <w:rsid w:val="3C7626F9"/>
    <w:rsid w:val="3C9B3F0D"/>
    <w:rsid w:val="3CA71EE7"/>
    <w:rsid w:val="3CB212CE"/>
    <w:rsid w:val="3CB46D7D"/>
    <w:rsid w:val="3CD218F9"/>
    <w:rsid w:val="3CD63197"/>
    <w:rsid w:val="3CE0414D"/>
    <w:rsid w:val="3CE2453C"/>
    <w:rsid w:val="3CE31410"/>
    <w:rsid w:val="3CE8111C"/>
    <w:rsid w:val="3CEA279F"/>
    <w:rsid w:val="3CF25476"/>
    <w:rsid w:val="3CF96B37"/>
    <w:rsid w:val="3CFB0E50"/>
    <w:rsid w:val="3D0752FB"/>
    <w:rsid w:val="3D115F7D"/>
    <w:rsid w:val="3D2959BD"/>
    <w:rsid w:val="3D435259"/>
    <w:rsid w:val="3D4A15BA"/>
    <w:rsid w:val="3D622C7D"/>
    <w:rsid w:val="3D831C9C"/>
    <w:rsid w:val="3D834756"/>
    <w:rsid w:val="3DBA03C3"/>
    <w:rsid w:val="3DBF4D70"/>
    <w:rsid w:val="3DE25B6C"/>
    <w:rsid w:val="3DE3213E"/>
    <w:rsid w:val="3DEF139C"/>
    <w:rsid w:val="3E015FF2"/>
    <w:rsid w:val="3E0B2020"/>
    <w:rsid w:val="3E0E4BB3"/>
    <w:rsid w:val="3E501418"/>
    <w:rsid w:val="3E6509B9"/>
    <w:rsid w:val="3E945B9C"/>
    <w:rsid w:val="3EAE1708"/>
    <w:rsid w:val="3EB5502E"/>
    <w:rsid w:val="3EC3363A"/>
    <w:rsid w:val="3EC47912"/>
    <w:rsid w:val="3ECC393C"/>
    <w:rsid w:val="3ED522BB"/>
    <w:rsid w:val="3ED87FC6"/>
    <w:rsid w:val="3ED93269"/>
    <w:rsid w:val="3EDF0D37"/>
    <w:rsid w:val="3F1345E6"/>
    <w:rsid w:val="3F3146B5"/>
    <w:rsid w:val="3F3A646D"/>
    <w:rsid w:val="3F3B4CB4"/>
    <w:rsid w:val="3F414B4D"/>
    <w:rsid w:val="3F572FAD"/>
    <w:rsid w:val="3F707D68"/>
    <w:rsid w:val="3F7B1DD4"/>
    <w:rsid w:val="3F7D3D9E"/>
    <w:rsid w:val="3F8A03E9"/>
    <w:rsid w:val="3F9B06C8"/>
    <w:rsid w:val="3F9F3283"/>
    <w:rsid w:val="3FA72BC9"/>
    <w:rsid w:val="3FAC6431"/>
    <w:rsid w:val="3FCC4B29"/>
    <w:rsid w:val="3FD84DCB"/>
    <w:rsid w:val="40153FD6"/>
    <w:rsid w:val="40204729"/>
    <w:rsid w:val="402257BC"/>
    <w:rsid w:val="40267F92"/>
    <w:rsid w:val="40327434"/>
    <w:rsid w:val="405368AD"/>
    <w:rsid w:val="406C796F"/>
    <w:rsid w:val="40864ED4"/>
    <w:rsid w:val="408A531C"/>
    <w:rsid w:val="40C36F50"/>
    <w:rsid w:val="40CD7495"/>
    <w:rsid w:val="40D57A72"/>
    <w:rsid w:val="40F24F08"/>
    <w:rsid w:val="41087067"/>
    <w:rsid w:val="410B7187"/>
    <w:rsid w:val="41163086"/>
    <w:rsid w:val="41276FC5"/>
    <w:rsid w:val="415723CD"/>
    <w:rsid w:val="41605E0F"/>
    <w:rsid w:val="416426BC"/>
    <w:rsid w:val="41884E3E"/>
    <w:rsid w:val="41923B1D"/>
    <w:rsid w:val="419E7FFC"/>
    <w:rsid w:val="41A61BC7"/>
    <w:rsid w:val="41BF0D08"/>
    <w:rsid w:val="41C45CB4"/>
    <w:rsid w:val="41C55588"/>
    <w:rsid w:val="41C84070"/>
    <w:rsid w:val="41D9777C"/>
    <w:rsid w:val="41DB3ECC"/>
    <w:rsid w:val="422B5D33"/>
    <w:rsid w:val="4251200C"/>
    <w:rsid w:val="4254775F"/>
    <w:rsid w:val="426923B8"/>
    <w:rsid w:val="427A6373"/>
    <w:rsid w:val="428138C2"/>
    <w:rsid w:val="429733C9"/>
    <w:rsid w:val="42AE24C0"/>
    <w:rsid w:val="42B431B4"/>
    <w:rsid w:val="42B80332"/>
    <w:rsid w:val="42B86E9B"/>
    <w:rsid w:val="42B8752D"/>
    <w:rsid w:val="42C442A5"/>
    <w:rsid w:val="42C55559"/>
    <w:rsid w:val="42CE79F1"/>
    <w:rsid w:val="42D00D65"/>
    <w:rsid w:val="42D25C32"/>
    <w:rsid w:val="42DE4996"/>
    <w:rsid w:val="42DF267A"/>
    <w:rsid w:val="43361F5E"/>
    <w:rsid w:val="43431CD7"/>
    <w:rsid w:val="434C241E"/>
    <w:rsid w:val="43503578"/>
    <w:rsid w:val="43671945"/>
    <w:rsid w:val="436C6603"/>
    <w:rsid w:val="43AC6A00"/>
    <w:rsid w:val="43BA278C"/>
    <w:rsid w:val="43D56F46"/>
    <w:rsid w:val="43FD3403"/>
    <w:rsid w:val="4416460A"/>
    <w:rsid w:val="44285A31"/>
    <w:rsid w:val="443316B9"/>
    <w:rsid w:val="44445E39"/>
    <w:rsid w:val="445D6804"/>
    <w:rsid w:val="447B63D2"/>
    <w:rsid w:val="44971A6E"/>
    <w:rsid w:val="44A771C7"/>
    <w:rsid w:val="44AC3AC4"/>
    <w:rsid w:val="44B55D88"/>
    <w:rsid w:val="44D65FFB"/>
    <w:rsid w:val="44E26451"/>
    <w:rsid w:val="44F85C75"/>
    <w:rsid w:val="45010FCD"/>
    <w:rsid w:val="450562E2"/>
    <w:rsid w:val="4508410A"/>
    <w:rsid w:val="45136648"/>
    <w:rsid w:val="45234283"/>
    <w:rsid w:val="452B7DF8"/>
    <w:rsid w:val="45486BFC"/>
    <w:rsid w:val="45513D03"/>
    <w:rsid w:val="45634464"/>
    <w:rsid w:val="45704B69"/>
    <w:rsid w:val="45872DBD"/>
    <w:rsid w:val="45A243E5"/>
    <w:rsid w:val="45A55DFD"/>
    <w:rsid w:val="45A73923"/>
    <w:rsid w:val="45AA6F6F"/>
    <w:rsid w:val="45AB2CE7"/>
    <w:rsid w:val="45B270D1"/>
    <w:rsid w:val="45C53DA9"/>
    <w:rsid w:val="45C60138"/>
    <w:rsid w:val="45F251BA"/>
    <w:rsid w:val="45F4441B"/>
    <w:rsid w:val="46053EB3"/>
    <w:rsid w:val="461B1C1B"/>
    <w:rsid w:val="461C4D8C"/>
    <w:rsid w:val="46456922"/>
    <w:rsid w:val="46476558"/>
    <w:rsid w:val="464A2500"/>
    <w:rsid w:val="468477C0"/>
    <w:rsid w:val="46936983"/>
    <w:rsid w:val="46976762"/>
    <w:rsid w:val="46A614B6"/>
    <w:rsid w:val="46B275C3"/>
    <w:rsid w:val="46ED7A5B"/>
    <w:rsid w:val="46FF3D9B"/>
    <w:rsid w:val="47046B53"/>
    <w:rsid w:val="471E5E67"/>
    <w:rsid w:val="47227BB6"/>
    <w:rsid w:val="473A2575"/>
    <w:rsid w:val="47635FE4"/>
    <w:rsid w:val="4769525D"/>
    <w:rsid w:val="477978BE"/>
    <w:rsid w:val="477C2B8D"/>
    <w:rsid w:val="478D317F"/>
    <w:rsid w:val="479908E7"/>
    <w:rsid w:val="4799373F"/>
    <w:rsid w:val="47AC4801"/>
    <w:rsid w:val="47CA0996"/>
    <w:rsid w:val="47EB2540"/>
    <w:rsid w:val="47EC2C8A"/>
    <w:rsid w:val="480A2FEC"/>
    <w:rsid w:val="480D1A37"/>
    <w:rsid w:val="480F1D14"/>
    <w:rsid w:val="48171857"/>
    <w:rsid w:val="481D7ECC"/>
    <w:rsid w:val="48281515"/>
    <w:rsid w:val="485E1830"/>
    <w:rsid w:val="48627FD5"/>
    <w:rsid w:val="486E697A"/>
    <w:rsid w:val="48776109"/>
    <w:rsid w:val="48861061"/>
    <w:rsid w:val="488F0FD1"/>
    <w:rsid w:val="489B5295"/>
    <w:rsid w:val="489B5A9B"/>
    <w:rsid w:val="48A0658E"/>
    <w:rsid w:val="48BA3564"/>
    <w:rsid w:val="48D70F76"/>
    <w:rsid w:val="48DF3E5F"/>
    <w:rsid w:val="48E40097"/>
    <w:rsid w:val="48E704DA"/>
    <w:rsid w:val="48F60818"/>
    <w:rsid w:val="4907693C"/>
    <w:rsid w:val="4919020E"/>
    <w:rsid w:val="491B335F"/>
    <w:rsid w:val="492434DC"/>
    <w:rsid w:val="492E090B"/>
    <w:rsid w:val="493E1062"/>
    <w:rsid w:val="495B0E15"/>
    <w:rsid w:val="496B2EB9"/>
    <w:rsid w:val="4970361A"/>
    <w:rsid w:val="49803223"/>
    <w:rsid w:val="498455FF"/>
    <w:rsid w:val="499A60EA"/>
    <w:rsid w:val="49BB5BEF"/>
    <w:rsid w:val="49D96CC7"/>
    <w:rsid w:val="49F66C27"/>
    <w:rsid w:val="4A001822"/>
    <w:rsid w:val="4A273550"/>
    <w:rsid w:val="4A2F3EE7"/>
    <w:rsid w:val="4A31510E"/>
    <w:rsid w:val="4A5C7865"/>
    <w:rsid w:val="4A671E62"/>
    <w:rsid w:val="4A742241"/>
    <w:rsid w:val="4A8D3803"/>
    <w:rsid w:val="4A8F0E29"/>
    <w:rsid w:val="4AB90BC8"/>
    <w:rsid w:val="4ABB0378"/>
    <w:rsid w:val="4ABB6284"/>
    <w:rsid w:val="4AC035F0"/>
    <w:rsid w:val="4ACC7988"/>
    <w:rsid w:val="4AD93E52"/>
    <w:rsid w:val="4AE4089B"/>
    <w:rsid w:val="4AEA75CA"/>
    <w:rsid w:val="4AEB42B2"/>
    <w:rsid w:val="4AF74789"/>
    <w:rsid w:val="4AFA62A3"/>
    <w:rsid w:val="4B0233A9"/>
    <w:rsid w:val="4B055688"/>
    <w:rsid w:val="4B062DD1"/>
    <w:rsid w:val="4B09298A"/>
    <w:rsid w:val="4B0B21E7"/>
    <w:rsid w:val="4B2A1177"/>
    <w:rsid w:val="4B3612A5"/>
    <w:rsid w:val="4B39238C"/>
    <w:rsid w:val="4B4139C7"/>
    <w:rsid w:val="4B490BF4"/>
    <w:rsid w:val="4B4E7520"/>
    <w:rsid w:val="4B804A1B"/>
    <w:rsid w:val="4B82523C"/>
    <w:rsid w:val="4B8A7E26"/>
    <w:rsid w:val="4B9C6077"/>
    <w:rsid w:val="4BA3441D"/>
    <w:rsid w:val="4BB516D1"/>
    <w:rsid w:val="4BC466DF"/>
    <w:rsid w:val="4BD42F98"/>
    <w:rsid w:val="4BDC6B42"/>
    <w:rsid w:val="4BEA5395"/>
    <w:rsid w:val="4BFF390A"/>
    <w:rsid w:val="4C04250E"/>
    <w:rsid w:val="4C0F1393"/>
    <w:rsid w:val="4C127407"/>
    <w:rsid w:val="4C194E4E"/>
    <w:rsid w:val="4C1C6371"/>
    <w:rsid w:val="4C2832E3"/>
    <w:rsid w:val="4C286E40"/>
    <w:rsid w:val="4C2B46F8"/>
    <w:rsid w:val="4C30370E"/>
    <w:rsid w:val="4C393582"/>
    <w:rsid w:val="4C3C7F6D"/>
    <w:rsid w:val="4C8B1EE4"/>
    <w:rsid w:val="4C957A15"/>
    <w:rsid w:val="4CA23096"/>
    <w:rsid w:val="4CAA5AA7"/>
    <w:rsid w:val="4CC141A1"/>
    <w:rsid w:val="4CC254E6"/>
    <w:rsid w:val="4CD1117E"/>
    <w:rsid w:val="4CDF1BF4"/>
    <w:rsid w:val="4CF5766A"/>
    <w:rsid w:val="4CF733A7"/>
    <w:rsid w:val="4D0065ED"/>
    <w:rsid w:val="4D0E1A1E"/>
    <w:rsid w:val="4D137AF0"/>
    <w:rsid w:val="4D255144"/>
    <w:rsid w:val="4D423F31"/>
    <w:rsid w:val="4D467EC5"/>
    <w:rsid w:val="4D477AD7"/>
    <w:rsid w:val="4D4834DA"/>
    <w:rsid w:val="4D5679DC"/>
    <w:rsid w:val="4D616426"/>
    <w:rsid w:val="4D6420F9"/>
    <w:rsid w:val="4D750DAA"/>
    <w:rsid w:val="4D8E77CF"/>
    <w:rsid w:val="4D9440F4"/>
    <w:rsid w:val="4DA14831"/>
    <w:rsid w:val="4DBB2ED3"/>
    <w:rsid w:val="4DBC3EDE"/>
    <w:rsid w:val="4DD07034"/>
    <w:rsid w:val="4DDC25D7"/>
    <w:rsid w:val="4DED0341"/>
    <w:rsid w:val="4DF711BF"/>
    <w:rsid w:val="4E071EEB"/>
    <w:rsid w:val="4E1A7C42"/>
    <w:rsid w:val="4E37780E"/>
    <w:rsid w:val="4E3B4775"/>
    <w:rsid w:val="4E656129"/>
    <w:rsid w:val="4E676B5A"/>
    <w:rsid w:val="4E6B5B1A"/>
    <w:rsid w:val="4E9309AF"/>
    <w:rsid w:val="4E9609D8"/>
    <w:rsid w:val="4EB8120D"/>
    <w:rsid w:val="4ECA68D4"/>
    <w:rsid w:val="4EEC23A6"/>
    <w:rsid w:val="4EF33D8C"/>
    <w:rsid w:val="4EF72139"/>
    <w:rsid w:val="4F040656"/>
    <w:rsid w:val="4F0A0A7E"/>
    <w:rsid w:val="4F1D07B2"/>
    <w:rsid w:val="4F361873"/>
    <w:rsid w:val="4F3678D3"/>
    <w:rsid w:val="4F4A531F"/>
    <w:rsid w:val="4F724D92"/>
    <w:rsid w:val="4F7800DE"/>
    <w:rsid w:val="4F884B92"/>
    <w:rsid w:val="4FC32178"/>
    <w:rsid w:val="4FC82E13"/>
    <w:rsid w:val="4FD55530"/>
    <w:rsid w:val="4FE20516"/>
    <w:rsid w:val="500A67F9"/>
    <w:rsid w:val="502B33A2"/>
    <w:rsid w:val="50874A7C"/>
    <w:rsid w:val="508B3E41"/>
    <w:rsid w:val="5097309C"/>
    <w:rsid w:val="50AC11E4"/>
    <w:rsid w:val="50AC61A8"/>
    <w:rsid w:val="50AF15DC"/>
    <w:rsid w:val="50CC248F"/>
    <w:rsid w:val="50D502BD"/>
    <w:rsid w:val="50E020A0"/>
    <w:rsid w:val="50E10D82"/>
    <w:rsid w:val="50F1639A"/>
    <w:rsid w:val="50F733FB"/>
    <w:rsid w:val="50FF6E4E"/>
    <w:rsid w:val="51077140"/>
    <w:rsid w:val="51153A1E"/>
    <w:rsid w:val="512D7421"/>
    <w:rsid w:val="5186367E"/>
    <w:rsid w:val="51900019"/>
    <w:rsid w:val="51916E0F"/>
    <w:rsid w:val="51AB1001"/>
    <w:rsid w:val="51AF7DB0"/>
    <w:rsid w:val="51D13AD5"/>
    <w:rsid w:val="51D57E05"/>
    <w:rsid w:val="51DD0D57"/>
    <w:rsid w:val="51FD1DA7"/>
    <w:rsid w:val="520619D1"/>
    <w:rsid w:val="5208275B"/>
    <w:rsid w:val="522E6D9F"/>
    <w:rsid w:val="523302EC"/>
    <w:rsid w:val="526112FD"/>
    <w:rsid w:val="52611C89"/>
    <w:rsid w:val="527C7EE5"/>
    <w:rsid w:val="528141B3"/>
    <w:rsid w:val="52923265"/>
    <w:rsid w:val="52D53B6B"/>
    <w:rsid w:val="52F60D06"/>
    <w:rsid w:val="52FD1026"/>
    <w:rsid w:val="52FD4477"/>
    <w:rsid w:val="53041419"/>
    <w:rsid w:val="530E5635"/>
    <w:rsid w:val="53102204"/>
    <w:rsid w:val="53373E0C"/>
    <w:rsid w:val="53536E98"/>
    <w:rsid w:val="53875090"/>
    <w:rsid w:val="539531BF"/>
    <w:rsid w:val="539A2647"/>
    <w:rsid w:val="53B51F37"/>
    <w:rsid w:val="53B8319F"/>
    <w:rsid w:val="53C23E08"/>
    <w:rsid w:val="53C9715A"/>
    <w:rsid w:val="53DF072C"/>
    <w:rsid w:val="53DF697E"/>
    <w:rsid w:val="53E47DB0"/>
    <w:rsid w:val="540006A2"/>
    <w:rsid w:val="542F5105"/>
    <w:rsid w:val="543F6C0C"/>
    <w:rsid w:val="544032D3"/>
    <w:rsid w:val="544E7B7F"/>
    <w:rsid w:val="545E41F2"/>
    <w:rsid w:val="546A563B"/>
    <w:rsid w:val="54712D44"/>
    <w:rsid w:val="547801D1"/>
    <w:rsid w:val="547A13B1"/>
    <w:rsid w:val="54895585"/>
    <w:rsid w:val="549C0E54"/>
    <w:rsid w:val="54A13C33"/>
    <w:rsid w:val="54BA5D29"/>
    <w:rsid w:val="550C4962"/>
    <w:rsid w:val="552535BC"/>
    <w:rsid w:val="5536081F"/>
    <w:rsid w:val="554B6B34"/>
    <w:rsid w:val="55841841"/>
    <w:rsid w:val="5587107B"/>
    <w:rsid w:val="5588094F"/>
    <w:rsid w:val="55B04E29"/>
    <w:rsid w:val="55BA384A"/>
    <w:rsid w:val="55C027DF"/>
    <w:rsid w:val="55C56D42"/>
    <w:rsid w:val="55CB540B"/>
    <w:rsid w:val="55CD4CC5"/>
    <w:rsid w:val="55D20D5A"/>
    <w:rsid w:val="55E6645A"/>
    <w:rsid w:val="55E80046"/>
    <w:rsid w:val="55E95892"/>
    <w:rsid w:val="55E97640"/>
    <w:rsid w:val="55F41F52"/>
    <w:rsid w:val="55F75F50"/>
    <w:rsid w:val="56121AE8"/>
    <w:rsid w:val="561D19DF"/>
    <w:rsid w:val="561E5560"/>
    <w:rsid w:val="56232D5F"/>
    <w:rsid w:val="565F3DA6"/>
    <w:rsid w:val="56665134"/>
    <w:rsid w:val="566A7942"/>
    <w:rsid w:val="567F2F1E"/>
    <w:rsid w:val="56CB143B"/>
    <w:rsid w:val="577218B7"/>
    <w:rsid w:val="57792C45"/>
    <w:rsid w:val="57AE0B41"/>
    <w:rsid w:val="57C57C38"/>
    <w:rsid w:val="57DF1211"/>
    <w:rsid w:val="58296419"/>
    <w:rsid w:val="585A59F8"/>
    <w:rsid w:val="58613E05"/>
    <w:rsid w:val="588B1398"/>
    <w:rsid w:val="58975E80"/>
    <w:rsid w:val="58AB1524"/>
    <w:rsid w:val="58AC500F"/>
    <w:rsid w:val="58D469B1"/>
    <w:rsid w:val="58FC1D80"/>
    <w:rsid w:val="59060509"/>
    <w:rsid w:val="590B0730"/>
    <w:rsid w:val="591A3FB4"/>
    <w:rsid w:val="59242C49"/>
    <w:rsid w:val="59266DFD"/>
    <w:rsid w:val="592B1108"/>
    <w:rsid w:val="592E6217"/>
    <w:rsid w:val="593432C8"/>
    <w:rsid w:val="59457283"/>
    <w:rsid w:val="594D3F56"/>
    <w:rsid w:val="596B3E9E"/>
    <w:rsid w:val="59980D14"/>
    <w:rsid w:val="59A21A4A"/>
    <w:rsid w:val="59F629A7"/>
    <w:rsid w:val="59FA6C11"/>
    <w:rsid w:val="5A081E6B"/>
    <w:rsid w:val="5A1561AD"/>
    <w:rsid w:val="5A24734A"/>
    <w:rsid w:val="5A2F1CE1"/>
    <w:rsid w:val="5A334251"/>
    <w:rsid w:val="5A3D301B"/>
    <w:rsid w:val="5A5A0B0C"/>
    <w:rsid w:val="5A5D05FC"/>
    <w:rsid w:val="5A64198B"/>
    <w:rsid w:val="5A6D2DC7"/>
    <w:rsid w:val="5A70032F"/>
    <w:rsid w:val="5A8042EB"/>
    <w:rsid w:val="5A8913F1"/>
    <w:rsid w:val="5A8E07B6"/>
    <w:rsid w:val="5AAA30C6"/>
    <w:rsid w:val="5AAF0F91"/>
    <w:rsid w:val="5AB26B9A"/>
    <w:rsid w:val="5ACD39D4"/>
    <w:rsid w:val="5ADA39FB"/>
    <w:rsid w:val="5AEA5C0E"/>
    <w:rsid w:val="5AEB79A9"/>
    <w:rsid w:val="5AEE2FDD"/>
    <w:rsid w:val="5B094184"/>
    <w:rsid w:val="5B0B62AA"/>
    <w:rsid w:val="5B0D460E"/>
    <w:rsid w:val="5B2410B1"/>
    <w:rsid w:val="5B2A6430"/>
    <w:rsid w:val="5B3E042E"/>
    <w:rsid w:val="5B5F095D"/>
    <w:rsid w:val="5B6E1487"/>
    <w:rsid w:val="5B6E19CE"/>
    <w:rsid w:val="5B750C78"/>
    <w:rsid w:val="5B7E4CCE"/>
    <w:rsid w:val="5BB64058"/>
    <w:rsid w:val="5BB71F8E"/>
    <w:rsid w:val="5BE471B7"/>
    <w:rsid w:val="5BE77A78"/>
    <w:rsid w:val="5C050310"/>
    <w:rsid w:val="5C095D32"/>
    <w:rsid w:val="5C0C052C"/>
    <w:rsid w:val="5C114AE7"/>
    <w:rsid w:val="5C1D017A"/>
    <w:rsid w:val="5C401F83"/>
    <w:rsid w:val="5C444B32"/>
    <w:rsid w:val="5C495BB6"/>
    <w:rsid w:val="5C702869"/>
    <w:rsid w:val="5C8B28B2"/>
    <w:rsid w:val="5C96110B"/>
    <w:rsid w:val="5C961809"/>
    <w:rsid w:val="5C9D2F32"/>
    <w:rsid w:val="5C9D6A42"/>
    <w:rsid w:val="5C9D73D6"/>
    <w:rsid w:val="5CC32C34"/>
    <w:rsid w:val="5CD01559"/>
    <w:rsid w:val="5CD21B87"/>
    <w:rsid w:val="5CD526CC"/>
    <w:rsid w:val="5D1B4AA0"/>
    <w:rsid w:val="5D1B72C3"/>
    <w:rsid w:val="5D2A0918"/>
    <w:rsid w:val="5D311666"/>
    <w:rsid w:val="5D33021A"/>
    <w:rsid w:val="5D3A05F2"/>
    <w:rsid w:val="5D4E323E"/>
    <w:rsid w:val="5D5578CC"/>
    <w:rsid w:val="5D5D4C8F"/>
    <w:rsid w:val="5D5E0913"/>
    <w:rsid w:val="5D6726BF"/>
    <w:rsid w:val="5D7057B5"/>
    <w:rsid w:val="5D720862"/>
    <w:rsid w:val="5D786ECF"/>
    <w:rsid w:val="5D87485E"/>
    <w:rsid w:val="5D8A4A6A"/>
    <w:rsid w:val="5D99787E"/>
    <w:rsid w:val="5D9E0752"/>
    <w:rsid w:val="5D9F0F2C"/>
    <w:rsid w:val="5DE41F49"/>
    <w:rsid w:val="5DE833AE"/>
    <w:rsid w:val="5DF23751"/>
    <w:rsid w:val="5DF70D68"/>
    <w:rsid w:val="5DFF4107"/>
    <w:rsid w:val="5E005E6E"/>
    <w:rsid w:val="5E070FAB"/>
    <w:rsid w:val="5E086AD1"/>
    <w:rsid w:val="5E176D14"/>
    <w:rsid w:val="5E244AC4"/>
    <w:rsid w:val="5E2B55C7"/>
    <w:rsid w:val="5E3E30A1"/>
    <w:rsid w:val="5E421FE3"/>
    <w:rsid w:val="5E4B2AFB"/>
    <w:rsid w:val="5E7C6FCE"/>
    <w:rsid w:val="5E875C48"/>
    <w:rsid w:val="5E8B67AA"/>
    <w:rsid w:val="5E922527"/>
    <w:rsid w:val="5EBC040D"/>
    <w:rsid w:val="5ED3385A"/>
    <w:rsid w:val="5F027F30"/>
    <w:rsid w:val="5F0A1575"/>
    <w:rsid w:val="5F120299"/>
    <w:rsid w:val="5F585836"/>
    <w:rsid w:val="5F593A88"/>
    <w:rsid w:val="5F626D0D"/>
    <w:rsid w:val="5F64242D"/>
    <w:rsid w:val="5F750196"/>
    <w:rsid w:val="5F7C7776"/>
    <w:rsid w:val="5F8B79B9"/>
    <w:rsid w:val="5FE1759B"/>
    <w:rsid w:val="6000600D"/>
    <w:rsid w:val="600734E4"/>
    <w:rsid w:val="60213E7A"/>
    <w:rsid w:val="6024544B"/>
    <w:rsid w:val="60336139"/>
    <w:rsid w:val="603A3D21"/>
    <w:rsid w:val="603D0A2D"/>
    <w:rsid w:val="6045400C"/>
    <w:rsid w:val="60511E26"/>
    <w:rsid w:val="60681AA9"/>
    <w:rsid w:val="6071095D"/>
    <w:rsid w:val="607A18F4"/>
    <w:rsid w:val="6086463A"/>
    <w:rsid w:val="608758BD"/>
    <w:rsid w:val="608904EF"/>
    <w:rsid w:val="608E03E0"/>
    <w:rsid w:val="60997B1C"/>
    <w:rsid w:val="60A933D2"/>
    <w:rsid w:val="60C90799"/>
    <w:rsid w:val="60E455D3"/>
    <w:rsid w:val="60E530F9"/>
    <w:rsid w:val="60EE6452"/>
    <w:rsid w:val="60F27F20"/>
    <w:rsid w:val="60F82E2D"/>
    <w:rsid w:val="61073070"/>
    <w:rsid w:val="610F5757"/>
    <w:rsid w:val="611021EE"/>
    <w:rsid w:val="61181F1A"/>
    <w:rsid w:val="61204131"/>
    <w:rsid w:val="613911BD"/>
    <w:rsid w:val="614222FA"/>
    <w:rsid w:val="61502C69"/>
    <w:rsid w:val="617A5F38"/>
    <w:rsid w:val="619522AC"/>
    <w:rsid w:val="61971C4F"/>
    <w:rsid w:val="6199278C"/>
    <w:rsid w:val="619D1C98"/>
    <w:rsid w:val="619D39D4"/>
    <w:rsid w:val="61AC2B03"/>
    <w:rsid w:val="61B40758"/>
    <w:rsid w:val="61BD1FD9"/>
    <w:rsid w:val="61C3343B"/>
    <w:rsid w:val="61D71060"/>
    <w:rsid w:val="61E91174"/>
    <w:rsid w:val="61F26A64"/>
    <w:rsid w:val="62037CDB"/>
    <w:rsid w:val="621D6A10"/>
    <w:rsid w:val="624E0C70"/>
    <w:rsid w:val="62652744"/>
    <w:rsid w:val="626562A0"/>
    <w:rsid w:val="626A5FAC"/>
    <w:rsid w:val="6272702E"/>
    <w:rsid w:val="628801E0"/>
    <w:rsid w:val="62917C5D"/>
    <w:rsid w:val="6294085A"/>
    <w:rsid w:val="62B1716A"/>
    <w:rsid w:val="62D653F0"/>
    <w:rsid w:val="62D90A3C"/>
    <w:rsid w:val="62E91CEB"/>
    <w:rsid w:val="62FF66F4"/>
    <w:rsid w:val="630264ED"/>
    <w:rsid w:val="630B0357"/>
    <w:rsid w:val="630E63DB"/>
    <w:rsid w:val="6311467A"/>
    <w:rsid w:val="63161C90"/>
    <w:rsid w:val="6356208C"/>
    <w:rsid w:val="635F7193"/>
    <w:rsid w:val="636054C6"/>
    <w:rsid w:val="63A469EA"/>
    <w:rsid w:val="63AB062A"/>
    <w:rsid w:val="63AE2FFE"/>
    <w:rsid w:val="63BE1D63"/>
    <w:rsid w:val="63C27722"/>
    <w:rsid w:val="63CD46A6"/>
    <w:rsid w:val="63CF256B"/>
    <w:rsid w:val="63FF0976"/>
    <w:rsid w:val="640B4148"/>
    <w:rsid w:val="640D3E00"/>
    <w:rsid w:val="640E501C"/>
    <w:rsid w:val="641F4B74"/>
    <w:rsid w:val="644D348F"/>
    <w:rsid w:val="64591E34"/>
    <w:rsid w:val="647E5D3F"/>
    <w:rsid w:val="64805613"/>
    <w:rsid w:val="64A96E72"/>
    <w:rsid w:val="64BF4696"/>
    <w:rsid w:val="64E2007C"/>
    <w:rsid w:val="64FE5D20"/>
    <w:rsid w:val="65031DA0"/>
    <w:rsid w:val="65051FBC"/>
    <w:rsid w:val="650E0E71"/>
    <w:rsid w:val="65121B32"/>
    <w:rsid w:val="651B7C8F"/>
    <w:rsid w:val="65242442"/>
    <w:rsid w:val="652B51EE"/>
    <w:rsid w:val="65323908"/>
    <w:rsid w:val="653308D7"/>
    <w:rsid w:val="654C4C64"/>
    <w:rsid w:val="656A066E"/>
    <w:rsid w:val="656A1E1F"/>
    <w:rsid w:val="65736B9E"/>
    <w:rsid w:val="65823C65"/>
    <w:rsid w:val="658313F4"/>
    <w:rsid w:val="659333F2"/>
    <w:rsid w:val="65981DC9"/>
    <w:rsid w:val="659A2704"/>
    <w:rsid w:val="65AE3408"/>
    <w:rsid w:val="65C1502B"/>
    <w:rsid w:val="65CC4888"/>
    <w:rsid w:val="65D92444"/>
    <w:rsid w:val="65F71905"/>
    <w:rsid w:val="660109D5"/>
    <w:rsid w:val="66061B48"/>
    <w:rsid w:val="66071552"/>
    <w:rsid w:val="660D2ED6"/>
    <w:rsid w:val="661701F9"/>
    <w:rsid w:val="661803E3"/>
    <w:rsid w:val="66256220"/>
    <w:rsid w:val="662F1EA6"/>
    <w:rsid w:val="663C1574"/>
    <w:rsid w:val="664A412A"/>
    <w:rsid w:val="665F4929"/>
    <w:rsid w:val="6678677C"/>
    <w:rsid w:val="668A2779"/>
    <w:rsid w:val="669C130A"/>
    <w:rsid w:val="66A1774D"/>
    <w:rsid w:val="66BC4EBD"/>
    <w:rsid w:val="66D653F4"/>
    <w:rsid w:val="66E31E89"/>
    <w:rsid w:val="66F2244D"/>
    <w:rsid w:val="66F87439"/>
    <w:rsid w:val="67082C60"/>
    <w:rsid w:val="67220C03"/>
    <w:rsid w:val="67283D40"/>
    <w:rsid w:val="67406A5C"/>
    <w:rsid w:val="67423054"/>
    <w:rsid w:val="674D79C1"/>
    <w:rsid w:val="675B4115"/>
    <w:rsid w:val="6760469D"/>
    <w:rsid w:val="676517E2"/>
    <w:rsid w:val="67670D0C"/>
    <w:rsid w:val="676A0C1E"/>
    <w:rsid w:val="676F6E46"/>
    <w:rsid w:val="67786A75"/>
    <w:rsid w:val="67975157"/>
    <w:rsid w:val="67A45E41"/>
    <w:rsid w:val="67A7735B"/>
    <w:rsid w:val="67B975D6"/>
    <w:rsid w:val="67D30150"/>
    <w:rsid w:val="67D57485"/>
    <w:rsid w:val="67FA52BC"/>
    <w:rsid w:val="6810519A"/>
    <w:rsid w:val="68195B59"/>
    <w:rsid w:val="68243893"/>
    <w:rsid w:val="682F12D7"/>
    <w:rsid w:val="686F7E78"/>
    <w:rsid w:val="688354E1"/>
    <w:rsid w:val="689E075E"/>
    <w:rsid w:val="68B06C88"/>
    <w:rsid w:val="68F726B8"/>
    <w:rsid w:val="68FB69BA"/>
    <w:rsid w:val="69024763"/>
    <w:rsid w:val="69196036"/>
    <w:rsid w:val="69216C99"/>
    <w:rsid w:val="69372BDB"/>
    <w:rsid w:val="6942733B"/>
    <w:rsid w:val="694A4441"/>
    <w:rsid w:val="69610F46"/>
    <w:rsid w:val="69700C8D"/>
    <w:rsid w:val="69863531"/>
    <w:rsid w:val="69BB116B"/>
    <w:rsid w:val="69E24997"/>
    <w:rsid w:val="69E40206"/>
    <w:rsid w:val="69E6795F"/>
    <w:rsid w:val="69E949AA"/>
    <w:rsid w:val="69F0323B"/>
    <w:rsid w:val="69FA0761"/>
    <w:rsid w:val="69FB39BE"/>
    <w:rsid w:val="6A1031D1"/>
    <w:rsid w:val="6A2A2D10"/>
    <w:rsid w:val="6A2E5B11"/>
    <w:rsid w:val="6A457745"/>
    <w:rsid w:val="6A494202"/>
    <w:rsid w:val="6A682DD1"/>
    <w:rsid w:val="6A721EA2"/>
    <w:rsid w:val="6A8120E5"/>
    <w:rsid w:val="6A8862C9"/>
    <w:rsid w:val="6A904857"/>
    <w:rsid w:val="6ABD7D4C"/>
    <w:rsid w:val="6AC931FE"/>
    <w:rsid w:val="6ADC731B"/>
    <w:rsid w:val="6ADE7537"/>
    <w:rsid w:val="6AEF52A0"/>
    <w:rsid w:val="6AFB1E97"/>
    <w:rsid w:val="6AFD4626"/>
    <w:rsid w:val="6B054AC4"/>
    <w:rsid w:val="6B105217"/>
    <w:rsid w:val="6B2C045B"/>
    <w:rsid w:val="6B2C11AC"/>
    <w:rsid w:val="6B535DB3"/>
    <w:rsid w:val="6B572E46"/>
    <w:rsid w:val="6B746EEE"/>
    <w:rsid w:val="6B760935"/>
    <w:rsid w:val="6B881251"/>
    <w:rsid w:val="6B953323"/>
    <w:rsid w:val="6BA047ED"/>
    <w:rsid w:val="6BEC7A32"/>
    <w:rsid w:val="6BEF307E"/>
    <w:rsid w:val="6C0C3C2F"/>
    <w:rsid w:val="6C16685D"/>
    <w:rsid w:val="6C1F5711"/>
    <w:rsid w:val="6C537AB1"/>
    <w:rsid w:val="6C580C23"/>
    <w:rsid w:val="6C8068BA"/>
    <w:rsid w:val="6C84446E"/>
    <w:rsid w:val="6C8A5741"/>
    <w:rsid w:val="6C922387"/>
    <w:rsid w:val="6CA53765"/>
    <w:rsid w:val="6CA95923"/>
    <w:rsid w:val="6CC160A5"/>
    <w:rsid w:val="6CC664D5"/>
    <w:rsid w:val="6CDE53C7"/>
    <w:rsid w:val="6CE16E6B"/>
    <w:rsid w:val="6D176D30"/>
    <w:rsid w:val="6D18386D"/>
    <w:rsid w:val="6D193E61"/>
    <w:rsid w:val="6D2C308A"/>
    <w:rsid w:val="6D2F7BD6"/>
    <w:rsid w:val="6D367056"/>
    <w:rsid w:val="6D400E0B"/>
    <w:rsid w:val="6D481511"/>
    <w:rsid w:val="6D602485"/>
    <w:rsid w:val="6DA02882"/>
    <w:rsid w:val="6DB5165F"/>
    <w:rsid w:val="6DBC3FF9"/>
    <w:rsid w:val="6DC9002B"/>
    <w:rsid w:val="6DD50263"/>
    <w:rsid w:val="6DD644F6"/>
    <w:rsid w:val="6DDB7D5E"/>
    <w:rsid w:val="6DE035C6"/>
    <w:rsid w:val="6DFC2975"/>
    <w:rsid w:val="6E0879B1"/>
    <w:rsid w:val="6E144856"/>
    <w:rsid w:val="6E6B2787"/>
    <w:rsid w:val="6E95077A"/>
    <w:rsid w:val="6EBC7C0D"/>
    <w:rsid w:val="6EC802E2"/>
    <w:rsid w:val="6ECB35E8"/>
    <w:rsid w:val="6EE05F40"/>
    <w:rsid w:val="6EE42C42"/>
    <w:rsid w:val="6F07038F"/>
    <w:rsid w:val="6F1C062E"/>
    <w:rsid w:val="6F2B7743"/>
    <w:rsid w:val="6F390C30"/>
    <w:rsid w:val="6F484F7F"/>
    <w:rsid w:val="6F5E0C47"/>
    <w:rsid w:val="6F60676D"/>
    <w:rsid w:val="6F6B1BBA"/>
    <w:rsid w:val="6F765F90"/>
    <w:rsid w:val="6F7E1F94"/>
    <w:rsid w:val="6F836549"/>
    <w:rsid w:val="6F881820"/>
    <w:rsid w:val="6F926644"/>
    <w:rsid w:val="6F9F7F11"/>
    <w:rsid w:val="6FAD2495"/>
    <w:rsid w:val="6FB47FBD"/>
    <w:rsid w:val="701B0DA6"/>
    <w:rsid w:val="701F51F2"/>
    <w:rsid w:val="7024037A"/>
    <w:rsid w:val="702552C0"/>
    <w:rsid w:val="702C48A1"/>
    <w:rsid w:val="705636CC"/>
    <w:rsid w:val="705931BC"/>
    <w:rsid w:val="706D2594"/>
    <w:rsid w:val="7086127D"/>
    <w:rsid w:val="708B7819"/>
    <w:rsid w:val="708C3591"/>
    <w:rsid w:val="709D12FB"/>
    <w:rsid w:val="709F3AFD"/>
    <w:rsid w:val="70A24B63"/>
    <w:rsid w:val="70AB7EBB"/>
    <w:rsid w:val="70BD0600"/>
    <w:rsid w:val="70C47768"/>
    <w:rsid w:val="70EE7DA8"/>
    <w:rsid w:val="70F03B20"/>
    <w:rsid w:val="70F55374"/>
    <w:rsid w:val="71155335"/>
    <w:rsid w:val="71275759"/>
    <w:rsid w:val="712B4B58"/>
    <w:rsid w:val="713A2FED"/>
    <w:rsid w:val="718C21D5"/>
    <w:rsid w:val="719E59C1"/>
    <w:rsid w:val="71C7296C"/>
    <w:rsid w:val="71DE1484"/>
    <w:rsid w:val="71E7082E"/>
    <w:rsid w:val="71E82A49"/>
    <w:rsid w:val="72071742"/>
    <w:rsid w:val="721B585C"/>
    <w:rsid w:val="72357033"/>
    <w:rsid w:val="723B1271"/>
    <w:rsid w:val="724779A2"/>
    <w:rsid w:val="7249798C"/>
    <w:rsid w:val="72693B8A"/>
    <w:rsid w:val="72823F46"/>
    <w:rsid w:val="728B1D53"/>
    <w:rsid w:val="728F7B7A"/>
    <w:rsid w:val="72B476B5"/>
    <w:rsid w:val="72E96A79"/>
    <w:rsid w:val="72FE3B94"/>
    <w:rsid w:val="732D2E0A"/>
    <w:rsid w:val="73397A01"/>
    <w:rsid w:val="734168B5"/>
    <w:rsid w:val="73441F01"/>
    <w:rsid w:val="739F299E"/>
    <w:rsid w:val="73A34E7A"/>
    <w:rsid w:val="73B01E4B"/>
    <w:rsid w:val="73BC418E"/>
    <w:rsid w:val="73E94496"/>
    <w:rsid w:val="73FF57AE"/>
    <w:rsid w:val="74130AE8"/>
    <w:rsid w:val="74381A66"/>
    <w:rsid w:val="74443CD1"/>
    <w:rsid w:val="744974A0"/>
    <w:rsid w:val="746C0889"/>
    <w:rsid w:val="74737FFE"/>
    <w:rsid w:val="74B15375"/>
    <w:rsid w:val="74CC7A87"/>
    <w:rsid w:val="74F073C7"/>
    <w:rsid w:val="74F80580"/>
    <w:rsid w:val="75151DA7"/>
    <w:rsid w:val="752C32FA"/>
    <w:rsid w:val="754C286D"/>
    <w:rsid w:val="75535D0D"/>
    <w:rsid w:val="757F6816"/>
    <w:rsid w:val="75AE302D"/>
    <w:rsid w:val="75B00DA7"/>
    <w:rsid w:val="75BE5F9B"/>
    <w:rsid w:val="75C630A2"/>
    <w:rsid w:val="75C9401B"/>
    <w:rsid w:val="75DC4D0C"/>
    <w:rsid w:val="75ED062E"/>
    <w:rsid w:val="761C08FD"/>
    <w:rsid w:val="76366479"/>
    <w:rsid w:val="76391AC6"/>
    <w:rsid w:val="764C3F15"/>
    <w:rsid w:val="766A7EC3"/>
    <w:rsid w:val="766C390F"/>
    <w:rsid w:val="76A00FB7"/>
    <w:rsid w:val="76A15D3C"/>
    <w:rsid w:val="76AA1C34"/>
    <w:rsid w:val="76CA6BC2"/>
    <w:rsid w:val="76D17F50"/>
    <w:rsid w:val="76EC2CDC"/>
    <w:rsid w:val="76F70CB7"/>
    <w:rsid w:val="7728483D"/>
    <w:rsid w:val="77447899"/>
    <w:rsid w:val="775F730A"/>
    <w:rsid w:val="77674410"/>
    <w:rsid w:val="778D1204"/>
    <w:rsid w:val="778F4829"/>
    <w:rsid w:val="77D93560"/>
    <w:rsid w:val="77DE3442"/>
    <w:rsid w:val="77E15385"/>
    <w:rsid w:val="78056103"/>
    <w:rsid w:val="78322C70"/>
    <w:rsid w:val="7836450F"/>
    <w:rsid w:val="785250C1"/>
    <w:rsid w:val="786E54E1"/>
    <w:rsid w:val="78767001"/>
    <w:rsid w:val="78774B27"/>
    <w:rsid w:val="7896095C"/>
    <w:rsid w:val="78AD314C"/>
    <w:rsid w:val="78BB2C66"/>
    <w:rsid w:val="78C034AA"/>
    <w:rsid w:val="78C34651"/>
    <w:rsid w:val="78CD68DC"/>
    <w:rsid w:val="78CF599E"/>
    <w:rsid w:val="78D41F79"/>
    <w:rsid w:val="78DD2BDC"/>
    <w:rsid w:val="78E22D0F"/>
    <w:rsid w:val="791D1542"/>
    <w:rsid w:val="7943763C"/>
    <w:rsid w:val="79A731EA"/>
    <w:rsid w:val="79D833A4"/>
    <w:rsid w:val="79E24222"/>
    <w:rsid w:val="79F23DFF"/>
    <w:rsid w:val="7A010B4C"/>
    <w:rsid w:val="7A080AFF"/>
    <w:rsid w:val="7A0D74F1"/>
    <w:rsid w:val="7A26770A"/>
    <w:rsid w:val="7A301431"/>
    <w:rsid w:val="7A3859C3"/>
    <w:rsid w:val="7A547CF7"/>
    <w:rsid w:val="7A670D6C"/>
    <w:rsid w:val="7A730598"/>
    <w:rsid w:val="7A747570"/>
    <w:rsid w:val="7A772BBC"/>
    <w:rsid w:val="7A7B26AD"/>
    <w:rsid w:val="7A8D0632"/>
    <w:rsid w:val="7A9D627D"/>
    <w:rsid w:val="7AB0596B"/>
    <w:rsid w:val="7AB43D46"/>
    <w:rsid w:val="7ABB0CFB"/>
    <w:rsid w:val="7AC04563"/>
    <w:rsid w:val="7AD973D3"/>
    <w:rsid w:val="7B0B276E"/>
    <w:rsid w:val="7B0C250C"/>
    <w:rsid w:val="7B205002"/>
    <w:rsid w:val="7B22521E"/>
    <w:rsid w:val="7B227F5D"/>
    <w:rsid w:val="7B29241F"/>
    <w:rsid w:val="7B3B169A"/>
    <w:rsid w:val="7B403A09"/>
    <w:rsid w:val="7B5E6E40"/>
    <w:rsid w:val="7B690757"/>
    <w:rsid w:val="7B6E0463"/>
    <w:rsid w:val="7B71585E"/>
    <w:rsid w:val="7B755C7A"/>
    <w:rsid w:val="7B893390"/>
    <w:rsid w:val="7B963516"/>
    <w:rsid w:val="7B9A3006"/>
    <w:rsid w:val="7B9C3FC0"/>
    <w:rsid w:val="7BD71231"/>
    <w:rsid w:val="7BE14BE3"/>
    <w:rsid w:val="7C10151B"/>
    <w:rsid w:val="7C1E59E5"/>
    <w:rsid w:val="7C2A7CC7"/>
    <w:rsid w:val="7C5B389B"/>
    <w:rsid w:val="7C601EE9"/>
    <w:rsid w:val="7C6B6751"/>
    <w:rsid w:val="7C8141C6"/>
    <w:rsid w:val="7C8E3DDA"/>
    <w:rsid w:val="7CA12173"/>
    <w:rsid w:val="7CB1500B"/>
    <w:rsid w:val="7CB8413B"/>
    <w:rsid w:val="7CC035C4"/>
    <w:rsid w:val="7CE34539"/>
    <w:rsid w:val="7CEE4F92"/>
    <w:rsid w:val="7CF11B65"/>
    <w:rsid w:val="7CF60710"/>
    <w:rsid w:val="7CF93D5D"/>
    <w:rsid w:val="7CFD4C58"/>
    <w:rsid w:val="7D1739BB"/>
    <w:rsid w:val="7D2A690E"/>
    <w:rsid w:val="7D3D4B76"/>
    <w:rsid w:val="7D4551F4"/>
    <w:rsid w:val="7D5232A5"/>
    <w:rsid w:val="7D584F27"/>
    <w:rsid w:val="7D5D078F"/>
    <w:rsid w:val="7D8E0949"/>
    <w:rsid w:val="7D9B4E14"/>
    <w:rsid w:val="7DA550A9"/>
    <w:rsid w:val="7DAA5057"/>
    <w:rsid w:val="7DC4436B"/>
    <w:rsid w:val="7DCA7E7E"/>
    <w:rsid w:val="7DCB56F9"/>
    <w:rsid w:val="7DD369A2"/>
    <w:rsid w:val="7DE22A43"/>
    <w:rsid w:val="7DF10ED8"/>
    <w:rsid w:val="7E115E8E"/>
    <w:rsid w:val="7E21356B"/>
    <w:rsid w:val="7E2B263C"/>
    <w:rsid w:val="7E4A0AE0"/>
    <w:rsid w:val="7E526461"/>
    <w:rsid w:val="7E747B3F"/>
    <w:rsid w:val="7EB048EF"/>
    <w:rsid w:val="7EB8613D"/>
    <w:rsid w:val="7EC05102"/>
    <w:rsid w:val="7EEB5927"/>
    <w:rsid w:val="7EED71F8"/>
    <w:rsid w:val="7EEE2D18"/>
    <w:rsid w:val="7F2C21C7"/>
    <w:rsid w:val="7F3C5156"/>
    <w:rsid w:val="7F4C4463"/>
    <w:rsid w:val="7F4E66AC"/>
    <w:rsid w:val="7F517E80"/>
    <w:rsid w:val="7F5D4A77"/>
    <w:rsid w:val="7F610B64"/>
    <w:rsid w:val="7F6F3664"/>
    <w:rsid w:val="7FAE7080"/>
    <w:rsid w:val="7FBD085D"/>
    <w:rsid w:val="7FC00B62"/>
    <w:rsid w:val="7FC40652"/>
    <w:rsid w:val="7FD5285F"/>
    <w:rsid w:val="7FE4642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nhideWhenUsed="0" w:uiPriority="99" w:semiHidden="0" w:name="heading 5" w:locked="1"/>
    <w:lsdException w:qFormat="1" w:unhideWhenUsed="0" w:uiPriority="99" w:semiHidden="0" w:name="heading 6" w:locked="1"/>
    <w:lsdException w:qFormat="1" w:uiPriority="9" w:name="heading 7" w:locked="1"/>
    <w:lsdException w:qFormat="1" w:uiPriority="9" w:name="heading 8" w:locked="1"/>
    <w:lsdException w:qFormat="1" w:uiPriority="9"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qFormat="1" w:uiPriority="0" w:semiHidden="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99" w:semiHidden="0" w:name="caption" w:locked="1"/>
    <w:lsdException w:uiPriority="0" w:name="table of figures"/>
    <w:lsdException w:uiPriority="0" w:name="envelope address"/>
    <w:lsdException w:uiPriority="0" w:name="envelope return"/>
    <w:lsdException w:uiPriority="0" w:name="footnote reference"/>
    <w:lsdException w:qFormat="1" w:unhideWhenUsed="0" w:uiPriority="99"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qFormat="1" w:unhideWhenUsed="0" w:uiPriority="99" w:semiHidden="0" w:name="List Number"/>
    <w:lsdException w:qFormat="1" w:unhideWhenUsed="0" w:uiPriority="99"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11" w:semiHidden="0" w:name="Subtitle" w:locked="1"/>
    <w:lsdException w:uiPriority="0" w:name="Salutation"/>
    <w:lsdException w:uiPriority="0" w:name="Date"/>
    <w:lsdException w:qFormat="1" w:unhideWhenUsed="0" w:uiPriority="99"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99" w:semiHidden="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99" w:semiHidden="0" w:name="Strong"/>
    <w:lsdException w:qFormat="1" w:unhideWhenUsed="0" w:uiPriority="20" w:semiHidden="0" w:name="Emphasis" w:locked="1"/>
    <w:lsdException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qFormat="1" w:uiPriority="0" w:semiHidden="0" w:name="HTML Code"/>
    <w:lsdException w:qFormat="1" w:uiPriority="0" w:semiHidden="0" w:name="HTML Definition"/>
    <w:lsdException w:qFormat="1" w:uiPriority="0" w:semiHidden="0" w:name="HTML Keyboard"/>
    <w:lsdException w:uiPriority="0" w:name="HTML Preformatted"/>
    <w:lsdException w:qFormat="1" w:uiPriority="0" w:semiHidden="0" w:name="HTML Sample"/>
    <w:lsdException w:uiPriority="0" w:name="HTML Typewriter"/>
    <w:lsdException w:uiPriority="0" w:name="HTML Variable"/>
    <w:lsdException w:qFormat="1" w:uiPriority="99" w:name="Normal Table"/>
    <w:lsdException w:uiPriority="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53"/>
    <w:qFormat/>
    <w:uiPriority w:val="99"/>
    <w:pPr>
      <w:keepNext/>
      <w:keepLines/>
      <w:spacing w:before="340" w:after="330" w:line="576" w:lineRule="auto"/>
      <w:outlineLvl w:val="0"/>
    </w:pPr>
    <w:rPr>
      <w:b/>
      <w:bCs/>
      <w:kern w:val="44"/>
      <w:sz w:val="44"/>
      <w:szCs w:val="44"/>
    </w:rPr>
  </w:style>
  <w:style w:type="paragraph" w:styleId="4">
    <w:name w:val="heading 2"/>
    <w:basedOn w:val="1"/>
    <w:next w:val="1"/>
    <w:link w:val="38"/>
    <w:qFormat/>
    <w:uiPriority w:val="99"/>
    <w:pPr>
      <w:keepNext/>
      <w:keepLines/>
      <w:spacing w:line="360" w:lineRule="auto"/>
      <w:outlineLvl w:val="1"/>
    </w:pPr>
    <w:rPr>
      <w:rFonts w:ascii="Cambria" w:hAnsi="Cambria" w:cs="Cambria"/>
      <w:b/>
      <w:bCs/>
      <w:kern w:val="0"/>
      <w:sz w:val="32"/>
      <w:szCs w:val="32"/>
    </w:rPr>
  </w:style>
  <w:style w:type="paragraph" w:styleId="5">
    <w:name w:val="heading 3"/>
    <w:basedOn w:val="1"/>
    <w:next w:val="1"/>
    <w:link w:val="39"/>
    <w:qFormat/>
    <w:uiPriority w:val="99"/>
    <w:pPr>
      <w:keepNext/>
      <w:keepLines/>
      <w:outlineLvl w:val="2"/>
    </w:pPr>
    <w:rPr>
      <w:b/>
      <w:bCs/>
      <w:kern w:val="0"/>
      <w:sz w:val="32"/>
      <w:szCs w:val="32"/>
    </w:rPr>
  </w:style>
  <w:style w:type="paragraph" w:styleId="6">
    <w:name w:val="heading 4"/>
    <w:basedOn w:val="1"/>
    <w:next w:val="1"/>
    <w:link w:val="40"/>
    <w:qFormat/>
    <w:locked/>
    <w:uiPriority w:val="99"/>
    <w:pPr>
      <w:keepNext/>
      <w:keepLines/>
      <w:spacing w:before="280" w:after="290" w:line="376" w:lineRule="auto"/>
      <w:outlineLvl w:val="3"/>
    </w:pPr>
    <w:rPr>
      <w:rFonts w:ascii="Cambria" w:hAnsi="Cambria" w:cs="Cambria"/>
      <w:b/>
      <w:bCs/>
      <w:sz w:val="28"/>
      <w:szCs w:val="28"/>
    </w:rPr>
  </w:style>
  <w:style w:type="paragraph" w:styleId="7">
    <w:name w:val="heading 5"/>
    <w:basedOn w:val="1"/>
    <w:next w:val="1"/>
    <w:link w:val="41"/>
    <w:qFormat/>
    <w:locked/>
    <w:uiPriority w:val="99"/>
    <w:pPr>
      <w:keepNext/>
      <w:keepLines/>
      <w:spacing w:before="280" w:after="290" w:line="376" w:lineRule="auto"/>
      <w:outlineLvl w:val="4"/>
    </w:pPr>
    <w:rPr>
      <w:b/>
      <w:bCs/>
      <w:sz w:val="28"/>
      <w:szCs w:val="28"/>
    </w:rPr>
  </w:style>
  <w:style w:type="paragraph" w:styleId="8">
    <w:name w:val="heading 6"/>
    <w:basedOn w:val="1"/>
    <w:next w:val="1"/>
    <w:link w:val="42"/>
    <w:qFormat/>
    <w:locked/>
    <w:uiPriority w:val="99"/>
    <w:pPr>
      <w:keepNext/>
      <w:keepLines/>
      <w:spacing w:before="240" w:after="64" w:line="320" w:lineRule="auto"/>
      <w:outlineLvl w:val="5"/>
    </w:pPr>
    <w:rPr>
      <w:rFonts w:ascii="Cambria" w:hAnsi="Cambria" w:cs="Cambria"/>
      <w:b/>
      <w:bCs/>
      <w:sz w:val="24"/>
      <w:szCs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3"/>
    <w:qFormat/>
    <w:uiPriority w:val="99"/>
    <w:pPr>
      <w:spacing w:after="120"/>
    </w:pPr>
    <w:rPr>
      <w:kern w:val="0"/>
      <w:sz w:val="24"/>
      <w:szCs w:val="24"/>
    </w:rPr>
  </w:style>
  <w:style w:type="paragraph" w:styleId="9">
    <w:name w:val="List Number"/>
    <w:basedOn w:val="1"/>
    <w:qFormat/>
    <w:uiPriority w:val="99"/>
    <w:pPr>
      <w:numPr>
        <w:ilvl w:val="0"/>
        <w:numId w:val="1"/>
      </w:numPr>
    </w:pPr>
  </w:style>
  <w:style w:type="paragraph" w:styleId="10">
    <w:name w:val="Normal Indent"/>
    <w:basedOn w:val="1"/>
    <w:next w:val="1"/>
    <w:qFormat/>
    <w:uiPriority w:val="99"/>
    <w:pPr>
      <w:ind w:firstLine="488"/>
    </w:pPr>
  </w:style>
  <w:style w:type="paragraph" w:styleId="11">
    <w:name w:val="caption"/>
    <w:basedOn w:val="1"/>
    <w:next w:val="1"/>
    <w:qFormat/>
    <w:locked/>
    <w:uiPriority w:val="99"/>
    <w:rPr>
      <w:rFonts w:ascii="Arial" w:hAnsi="Arial" w:eastAsia="黑体" w:cs="Arial"/>
      <w:kern w:val="0"/>
      <w:sz w:val="20"/>
      <w:szCs w:val="20"/>
    </w:rPr>
  </w:style>
  <w:style w:type="paragraph" w:styleId="12">
    <w:name w:val="annotation text"/>
    <w:basedOn w:val="1"/>
    <w:link w:val="45"/>
    <w:semiHidden/>
    <w:qFormat/>
    <w:uiPriority w:val="99"/>
    <w:pPr>
      <w:jc w:val="left"/>
    </w:pPr>
    <w:rPr>
      <w:sz w:val="24"/>
      <w:szCs w:val="24"/>
    </w:rPr>
  </w:style>
  <w:style w:type="paragraph" w:styleId="13">
    <w:name w:val="Body Text Indent"/>
    <w:basedOn w:val="1"/>
    <w:next w:val="1"/>
    <w:link w:val="46"/>
    <w:qFormat/>
    <w:uiPriority w:val="99"/>
    <w:pPr>
      <w:spacing w:line="480" w:lineRule="exact"/>
      <w:ind w:firstLine="570"/>
    </w:pPr>
    <w:rPr>
      <w:kern w:val="0"/>
      <w:sz w:val="20"/>
      <w:szCs w:val="20"/>
    </w:rPr>
  </w:style>
  <w:style w:type="paragraph" w:styleId="14">
    <w:name w:val="List 2"/>
    <w:basedOn w:val="1"/>
    <w:qFormat/>
    <w:uiPriority w:val="99"/>
    <w:pPr>
      <w:ind w:left="840" w:hanging="420"/>
    </w:pPr>
  </w:style>
  <w:style w:type="paragraph" w:styleId="15">
    <w:name w:val="Plain Text"/>
    <w:basedOn w:val="1"/>
    <w:next w:val="1"/>
    <w:link w:val="47"/>
    <w:qFormat/>
    <w:uiPriority w:val="99"/>
    <w:rPr>
      <w:rFonts w:ascii="宋体" w:hAnsi="Courier New" w:cs="宋体"/>
      <w:kern w:val="0"/>
      <w:sz w:val="20"/>
      <w:szCs w:val="20"/>
    </w:rPr>
  </w:style>
  <w:style w:type="paragraph" w:styleId="16">
    <w:name w:val="Body Text Indent 2"/>
    <w:basedOn w:val="1"/>
    <w:link w:val="48"/>
    <w:qFormat/>
    <w:uiPriority w:val="99"/>
    <w:pPr>
      <w:snapToGrid w:val="0"/>
      <w:ind w:firstLine="542" w:firstLineChars="225"/>
    </w:pPr>
    <w:rPr>
      <w:kern w:val="0"/>
      <w:sz w:val="20"/>
      <w:szCs w:val="20"/>
    </w:rPr>
  </w:style>
  <w:style w:type="paragraph" w:styleId="17">
    <w:name w:val="Balloon Text"/>
    <w:basedOn w:val="1"/>
    <w:link w:val="49"/>
    <w:semiHidden/>
    <w:qFormat/>
    <w:uiPriority w:val="99"/>
    <w:rPr>
      <w:sz w:val="18"/>
      <w:szCs w:val="18"/>
    </w:rPr>
  </w:style>
  <w:style w:type="paragraph" w:styleId="18">
    <w:name w:val="footer"/>
    <w:basedOn w:val="1"/>
    <w:link w:val="50"/>
    <w:qFormat/>
    <w:uiPriority w:val="99"/>
    <w:pPr>
      <w:widowControl/>
      <w:tabs>
        <w:tab w:val="center" w:pos="4153"/>
        <w:tab w:val="right" w:pos="8306"/>
      </w:tabs>
      <w:overflowPunct w:val="0"/>
      <w:autoSpaceDE w:val="0"/>
      <w:autoSpaceDN w:val="0"/>
      <w:adjustRightInd w:val="0"/>
      <w:textAlignment w:val="baseline"/>
    </w:pPr>
    <w:rPr>
      <w:kern w:val="0"/>
      <w:sz w:val="18"/>
      <w:szCs w:val="18"/>
    </w:rPr>
  </w:style>
  <w:style w:type="paragraph" w:styleId="19">
    <w:name w:val="header"/>
    <w:basedOn w:val="1"/>
    <w:link w:val="5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18"/>
    </w:rPr>
  </w:style>
  <w:style w:type="paragraph" w:styleId="20">
    <w:name w:val="toc 6"/>
    <w:basedOn w:val="1"/>
    <w:next w:val="1"/>
    <w:unhideWhenUsed/>
    <w:qFormat/>
    <w:uiPriority w:val="0"/>
    <w:pPr>
      <w:ind w:left="2100" w:leftChars="1000"/>
    </w:pPr>
  </w:style>
  <w:style w:type="paragraph" w:styleId="21">
    <w:name w:val="Normal (Web)"/>
    <w:basedOn w:val="1"/>
    <w:qFormat/>
    <w:uiPriority w:val="99"/>
    <w:pPr>
      <w:spacing w:before="100" w:beforeAutospacing="1" w:after="100" w:afterAutospacing="1"/>
      <w:jc w:val="left"/>
    </w:pPr>
    <w:rPr>
      <w:kern w:val="0"/>
      <w:sz w:val="24"/>
      <w:szCs w:val="24"/>
    </w:rPr>
  </w:style>
  <w:style w:type="paragraph" w:styleId="22">
    <w:name w:val="Title"/>
    <w:basedOn w:val="1"/>
    <w:next w:val="1"/>
    <w:qFormat/>
    <w:locked/>
    <w:uiPriority w:val="0"/>
    <w:pPr>
      <w:spacing w:before="240" w:after="60"/>
      <w:jc w:val="center"/>
      <w:outlineLvl w:val="0"/>
    </w:pPr>
    <w:rPr>
      <w:rFonts w:ascii="Cambria" w:hAnsi="Cambria"/>
      <w:b/>
      <w:bCs/>
      <w:sz w:val="32"/>
      <w:szCs w:val="32"/>
    </w:rPr>
  </w:style>
  <w:style w:type="paragraph" w:styleId="23">
    <w:name w:val="Body Text First Indent"/>
    <w:basedOn w:val="2"/>
    <w:next w:val="1"/>
    <w:link w:val="44"/>
    <w:qFormat/>
    <w:uiPriority w:val="99"/>
    <w:pPr>
      <w:ind w:firstLine="420" w:firstLineChars="100"/>
    </w:pPr>
    <w:rPr>
      <w:rFonts w:ascii="Times New Roman" w:hAnsi="Times New Roman" w:cs="Times New Roman"/>
      <w:sz w:val="21"/>
      <w:szCs w:val="21"/>
    </w:rPr>
  </w:style>
  <w:style w:type="table" w:styleId="25">
    <w:name w:val="Table Grid"/>
    <w:basedOn w:val="24"/>
    <w:qFormat/>
    <w:uiPriority w:val="99"/>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99"/>
  </w:style>
  <w:style w:type="character" w:styleId="28">
    <w:name w:val="page number"/>
    <w:basedOn w:val="26"/>
    <w:qFormat/>
    <w:uiPriority w:val="99"/>
  </w:style>
  <w:style w:type="character" w:styleId="29">
    <w:name w:val="FollowedHyperlink"/>
    <w:unhideWhenUsed/>
    <w:qFormat/>
    <w:uiPriority w:val="0"/>
    <w:rPr>
      <w:color w:val="3177FD"/>
      <w:u w:val="none"/>
    </w:rPr>
  </w:style>
  <w:style w:type="character" w:styleId="30">
    <w:name w:val="HTML Definition"/>
    <w:unhideWhenUsed/>
    <w:qFormat/>
    <w:uiPriority w:val="0"/>
    <w:rPr>
      <w:i/>
    </w:rPr>
  </w:style>
  <w:style w:type="character" w:styleId="31">
    <w:name w:val="Hyperlink"/>
    <w:qFormat/>
    <w:uiPriority w:val="99"/>
    <w:rPr>
      <w:color w:val="3177FD"/>
      <w:u w:val="none"/>
    </w:rPr>
  </w:style>
  <w:style w:type="character" w:styleId="32">
    <w:name w:val="HTML Code"/>
    <w:unhideWhenUsed/>
    <w:qFormat/>
    <w:uiPriority w:val="0"/>
    <w:rPr>
      <w:rFonts w:ascii="Consolas" w:hAnsi="Consolas" w:eastAsia="Consolas" w:cs="Consolas"/>
      <w:sz w:val="21"/>
      <w:szCs w:val="21"/>
    </w:rPr>
  </w:style>
  <w:style w:type="character" w:styleId="33">
    <w:name w:val="annotation reference"/>
    <w:semiHidden/>
    <w:qFormat/>
    <w:uiPriority w:val="99"/>
    <w:rPr>
      <w:sz w:val="21"/>
      <w:szCs w:val="21"/>
    </w:rPr>
  </w:style>
  <w:style w:type="character" w:styleId="34">
    <w:name w:val="HTML Keyboard"/>
    <w:unhideWhenUsed/>
    <w:qFormat/>
    <w:uiPriority w:val="0"/>
    <w:rPr>
      <w:rFonts w:hint="default" w:ascii="Consolas" w:hAnsi="Consolas" w:eastAsia="Consolas" w:cs="Consolas"/>
      <w:sz w:val="21"/>
      <w:szCs w:val="21"/>
    </w:rPr>
  </w:style>
  <w:style w:type="character" w:styleId="35">
    <w:name w:val="HTML Sample"/>
    <w:unhideWhenUsed/>
    <w:qFormat/>
    <w:uiPriority w:val="0"/>
    <w:rPr>
      <w:rFonts w:hint="default" w:ascii="Consolas" w:hAnsi="Consolas" w:eastAsia="Consolas" w:cs="Consolas"/>
      <w:sz w:val="21"/>
      <w:szCs w:val="21"/>
    </w:rPr>
  </w:style>
  <w:style w:type="paragraph" w:customStyle="1" w:styleId="36">
    <w:name w:val="表格文字"/>
    <w:basedOn w:val="1"/>
    <w:next w:val="2"/>
    <w:qFormat/>
    <w:uiPriority w:val="0"/>
    <w:pPr>
      <w:ind w:firstLine="200" w:firstLineChars="200"/>
    </w:pPr>
    <w:rPr>
      <w:rFonts w:ascii="Arial" w:hAnsi="Arial"/>
      <w:spacing w:val="-5"/>
      <w:kern w:val="0"/>
      <w:sz w:val="24"/>
      <w:szCs w:val="20"/>
    </w:rPr>
  </w:style>
  <w:style w:type="character" w:customStyle="1" w:styleId="37">
    <w:name w:val="Heading 1 Char"/>
    <w:qFormat/>
    <w:locked/>
    <w:uiPriority w:val="99"/>
    <w:rPr>
      <w:rFonts w:eastAsia="宋体"/>
      <w:b/>
      <w:bCs/>
      <w:kern w:val="44"/>
      <w:sz w:val="44"/>
      <w:szCs w:val="44"/>
      <w:lang w:val="en-US" w:eastAsia="zh-CN"/>
    </w:rPr>
  </w:style>
  <w:style w:type="character" w:customStyle="1" w:styleId="38">
    <w:name w:val="标题 2 Char"/>
    <w:link w:val="4"/>
    <w:semiHidden/>
    <w:qFormat/>
    <w:locked/>
    <w:uiPriority w:val="99"/>
    <w:rPr>
      <w:rFonts w:ascii="Cambria" w:hAnsi="Cambria" w:eastAsia="宋体" w:cs="Cambria"/>
      <w:b/>
      <w:bCs/>
      <w:sz w:val="32"/>
      <w:szCs w:val="32"/>
    </w:rPr>
  </w:style>
  <w:style w:type="character" w:customStyle="1" w:styleId="39">
    <w:name w:val="标题 3 Char"/>
    <w:link w:val="5"/>
    <w:semiHidden/>
    <w:qFormat/>
    <w:locked/>
    <w:uiPriority w:val="99"/>
    <w:rPr>
      <w:rFonts w:ascii="Calibri" w:hAnsi="Calibri" w:cs="Calibri"/>
      <w:b/>
      <w:bCs/>
      <w:sz w:val="32"/>
      <w:szCs w:val="32"/>
    </w:rPr>
  </w:style>
  <w:style w:type="character" w:customStyle="1" w:styleId="40">
    <w:name w:val="标题 4 Char"/>
    <w:link w:val="6"/>
    <w:semiHidden/>
    <w:qFormat/>
    <w:locked/>
    <w:uiPriority w:val="99"/>
    <w:rPr>
      <w:rFonts w:ascii="Cambria" w:hAnsi="Cambria" w:eastAsia="宋体" w:cs="Cambria"/>
      <w:b/>
      <w:bCs/>
      <w:kern w:val="2"/>
      <w:sz w:val="28"/>
      <w:szCs w:val="28"/>
    </w:rPr>
  </w:style>
  <w:style w:type="character" w:customStyle="1" w:styleId="41">
    <w:name w:val="标题 5 Char"/>
    <w:link w:val="7"/>
    <w:semiHidden/>
    <w:qFormat/>
    <w:locked/>
    <w:uiPriority w:val="99"/>
    <w:rPr>
      <w:rFonts w:ascii="Calibri" w:hAnsi="Calibri" w:cs="Calibri"/>
      <w:b/>
      <w:bCs/>
      <w:kern w:val="2"/>
      <w:sz w:val="28"/>
      <w:szCs w:val="28"/>
    </w:rPr>
  </w:style>
  <w:style w:type="character" w:customStyle="1" w:styleId="42">
    <w:name w:val="标题 6 Char"/>
    <w:link w:val="8"/>
    <w:semiHidden/>
    <w:qFormat/>
    <w:locked/>
    <w:uiPriority w:val="99"/>
    <w:rPr>
      <w:rFonts w:ascii="Cambria" w:hAnsi="Cambria" w:eastAsia="宋体" w:cs="Cambria"/>
      <w:b/>
      <w:bCs/>
      <w:kern w:val="2"/>
      <w:sz w:val="24"/>
      <w:szCs w:val="24"/>
    </w:rPr>
  </w:style>
  <w:style w:type="character" w:customStyle="1" w:styleId="43">
    <w:name w:val="正文文本 Char"/>
    <w:link w:val="2"/>
    <w:semiHidden/>
    <w:qFormat/>
    <w:locked/>
    <w:uiPriority w:val="99"/>
    <w:rPr>
      <w:rFonts w:ascii="Calibri" w:hAnsi="Calibri" w:cs="Calibri"/>
      <w:sz w:val="24"/>
      <w:szCs w:val="24"/>
    </w:rPr>
  </w:style>
  <w:style w:type="character" w:customStyle="1" w:styleId="44">
    <w:name w:val="正文首行缩进 Char"/>
    <w:link w:val="23"/>
    <w:semiHidden/>
    <w:qFormat/>
    <w:uiPriority w:val="99"/>
    <w:rPr>
      <w:rFonts w:ascii="Calibri" w:hAnsi="Calibri" w:cs="Calibri"/>
      <w:sz w:val="24"/>
      <w:szCs w:val="21"/>
    </w:rPr>
  </w:style>
  <w:style w:type="character" w:customStyle="1" w:styleId="45">
    <w:name w:val="批注文字 Char"/>
    <w:link w:val="12"/>
    <w:semiHidden/>
    <w:qFormat/>
    <w:locked/>
    <w:uiPriority w:val="99"/>
    <w:rPr>
      <w:rFonts w:ascii="Calibri" w:hAnsi="Calibri" w:cs="Calibri"/>
      <w:kern w:val="2"/>
      <w:sz w:val="24"/>
      <w:szCs w:val="24"/>
    </w:rPr>
  </w:style>
  <w:style w:type="character" w:customStyle="1" w:styleId="46">
    <w:name w:val="正文文本缩进 Char"/>
    <w:link w:val="13"/>
    <w:semiHidden/>
    <w:qFormat/>
    <w:locked/>
    <w:uiPriority w:val="99"/>
    <w:rPr>
      <w:rFonts w:ascii="Calibri" w:hAnsi="Calibri" w:cs="Calibri"/>
      <w:sz w:val="24"/>
      <w:szCs w:val="24"/>
    </w:rPr>
  </w:style>
  <w:style w:type="character" w:customStyle="1" w:styleId="47">
    <w:name w:val="纯文本 Char1"/>
    <w:link w:val="15"/>
    <w:semiHidden/>
    <w:qFormat/>
    <w:locked/>
    <w:uiPriority w:val="99"/>
    <w:rPr>
      <w:rFonts w:ascii="宋体" w:hAnsi="Courier New" w:cs="宋体"/>
      <w:sz w:val="21"/>
      <w:szCs w:val="21"/>
    </w:rPr>
  </w:style>
  <w:style w:type="character" w:customStyle="1" w:styleId="48">
    <w:name w:val="正文文本缩进 2 Char"/>
    <w:link w:val="16"/>
    <w:semiHidden/>
    <w:qFormat/>
    <w:locked/>
    <w:uiPriority w:val="99"/>
    <w:rPr>
      <w:rFonts w:ascii="Calibri" w:hAnsi="Calibri" w:cs="Calibri"/>
      <w:sz w:val="24"/>
      <w:szCs w:val="24"/>
    </w:rPr>
  </w:style>
  <w:style w:type="character" w:customStyle="1" w:styleId="49">
    <w:name w:val="批注框文本 Char1"/>
    <w:link w:val="17"/>
    <w:qFormat/>
    <w:locked/>
    <w:uiPriority w:val="99"/>
    <w:rPr>
      <w:rFonts w:ascii="Calibri" w:hAnsi="Calibri" w:cs="Calibri"/>
      <w:kern w:val="2"/>
      <w:sz w:val="18"/>
      <w:szCs w:val="18"/>
    </w:rPr>
  </w:style>
  <w:style w:type="character" w:customStyle="1" w:styleId="50">
    <w:name w:val="页脚 Char"/>
    <w:link w:val="18"/>
    <w:semiHidden/>
    <w:qFormat/>
    <w:locked/>
    <w:uiPriority w:val="99"/>
    <w:rPr>
      <w:rFonts w:ascii="Calibri" w:hAnsi="Calibri" w:cs="Calibri"/>
      <w:sz w:val="18"/>
      <w:szCs w:val="18"/>
    </w:rPr>
  </w:style>
  <w:style w:type="character" w:customStyle="1" w:styleId="51">
    <w:name w:val="页眉 Char"/>
    <w:link w:val="19"/>
    <w:semiHidden/>
    <w:qFormat/>
    <w:locked/>
    <w:uiPriority w:val="99"/>
    <w:rPr>
      <w:rFonts w:ascii="Calibri" w:hAnsi="Calibri" w:cs="Calibri"/>
      <w:sz w:val="18"/>
      <w:szCs w:val="18"/>
    </w:rPr>
  </w:style>
  <w:style w:type="paragraph" w:customStyle="1" w:styleId="52">
    <w:name w:val="正文（首行缩进2字符）"/>
    <w:basedOn w:val="1"/>
    <w:next w:val="1"/>
    <w:qFormat/>
    <w:uiPriority w:val="99"/>
    <w:pPr>
      <w:spacing w:line="360" w:lineRule="auto"/>
      <w:ind w:firstLine="420" w:firstLineChars="200"/>
    </w:pPr>
  </w:style>
  <w:style w:type="character" w:customStyle="1" w:styleId="53">
    <w:name w:val="标题 1 Char"/>
    <w:link w:val="3"/>
    <w:qFormat/>
    <w:locked/>
    <w:uiPriority w:val="99"/>
    <w:rPr>
      <w:rFonts w:ascii="Calibri" w:hAnsi="Calibri" w:cs="Calibri"/>
      <w:b/>
      <w:bCs/>
      <w:kern w:val="44"/>
      <w:sz w:val="44"/>
      <w:szCs w:val="44"/>
    </w:rPr>
  </w:style>
  <w:style w:type="character" w:customStyle="1" w:styleId="54">
    <w:name w:val="批注主题 Char"/>
    <w:link w:val="55"/>
    <w:semiHidden/>
    <w:qFormat/>
    <w:locked/>
    <w:uiPriority w:val="99"/>
    <w:rPr>
      <w:rFonts w:ascii="Calibri" w:hAnsi="Calibri" w:cs="Calibri"/>
      <w:b/>
      <w:bCs/>
      <w:kern w:val="2"/>
      <w:sz w:val="24"/>
      <w:szCs w:val="24"/>
    </w:rPr>
  </w:style>
  <w:style w:type="paragraph" w:customStyle="1" w:styleId="55">
    <w:name w:val="批注主题1"/>
    <w:basedOn w:val="12"/>
    <w:next w:val="12"/>
    <w:link w:val="54"/>
    <w:qFormat/>
    <w:uiPriority w:val="99"/>
    <w:rPr>
      <w:b/>
      <w:bCs/>
    </w:rPr>
  </w:style>
  <w:style w:type="character" w:customStyle="1" w:styleId="56">
    <w:name w:val="纯文本 Char"/>
    <w:link w:val="57"/>
    <w:semiHidden/>
    <w:qFormat/>
    <w:locked/>
    <w:uiPriority w:val="99"/>
    <w:rPr>
      <w:rFonts w:ascii="宋体" w:hAnsi="Courier New" w:eastAsia="Times New Roman" w:cs="宋体"/>
      <w:kern w:val="2"/>
      <w:sz w:val="24"/>
      <w:szCs w:val="24"/>
    </w:rPr>
  </w:style>
  <w:style w:type="paragraph" w:customStyle="1" w:styleId="57">
    <w:name w:val="纯文本1"/>
    <w:basedOn w:val="58"/>
    <w:link w:val="56"/>
    <w:qFormat/>
    <w:uiPriority w:val="99"/>
    <w:pPr>
      <w:spacing w:beforeLines="50" w:afterLines="50" w:line="400" w:lineRule="exact"/>
    </w:pPr>
    <w:rPr>
      <w:rFonts w:ascii="宋体" w:hAnsi="Courier New" w:eastAsia="Times New Roman" w:cs="宋体"/>
      <w:sz w:val="24"/>
      <w:szCs w:val="24"/>
    </w:rPr>
  </w:style>
  <w:style w:type="paragraph" w:customStyle="1" w:styleId="58">
    <w:name w:val="正文1"/>
    <w:qFormat/>
    <w:uiPriority w:val="99"/>
    <w:pPr>
      <w:widowControl w:val="0"/>
      <w:jc w:val="both"/>
    </w:pPr>
    <w:rPr>
      <w:rFonts w:ascii="Calibri" w:hAnsi="Calibri" w:eastAsia="宋体" w:cs="Calibri"/>
      <w:kern w:val="2"/>
      <w:sz w:val="21"/>
      <w:szCs w:val="21"/>
      <w:lang w:val="en-US" w:eastAsia="zh-CN" w:bidi="ar-SA"/>
    </w:rPr>
  </w:style>
  <w:style w:type="character" w:customStyle="1" w:styleId="59">
    <w:name w:val="批注框文本 Char"/>
    <w:link w:val="60"/>
    <w:semiHidden/>
    <w:qFormat/>
    <w:locked/>
    <w:uiPriority w:val="99"/>
    <w:rPr>
      <w:rFonts w:ascii="Calibri" w:hAnsi="Calibri" w:cs="Calibri"/>
      <w:kern w:val="2"/>
      <w:sz w:val="18"/>
      <w:szCs w:val="18"/>
    </w:rPr>
  </w:style>
  <w:style w:type="paragraph" w:customStyle="1" w:styleId="60">
    <w:name w:val="批注框文本1"/>
    <w:basedOn w:val="1"/>
    <w:link w:val="59"/>
    <w:qFormat/>
    <w:uiPriority w:val="99"/>
    <w:rPr>
      <w:sz w:val="18"/>
      <w:szCs w:val="18"/>
    </w:rPr>
  </w:style>
  <w:style w:type="paragraph" w:customStyle="1" w:styleId="61">
    <w:name w:val="正文文本缩进1"/>
    <w:basedOn w:val="1"/>
    <w:qFormat/>
    <w:uiPriority w:val="99"/>
    <w:pPr>
      <w:spacing w:line="200" w:lineRule="exact"/>
      <w:ind w:firstLine="301"/>
    </w:pPr>
    <w:rPr>
      <w:rFonts w:ascii="宋体" w:hAnsi="Courier New" w:cs="宋体"/>
      <w:spacing w:val="-4"/>
      <w:kern w:val="0"/>
      <w:sz w:val="18"/>
      <w:szCs w:val="18"/>
    </w:rPr>
  </w:style>
  <w:style w:type="paragraph" w:customStyle="1" w:styleId="62">
    <w:name w:val="纯文本2"/>
    <w:basedOn w:val="1"/>
    <w:qFormat/>
    <w:uiPriority w:val="99"/>
    <w:rPr>
      <w:rFonts w:ascii="宋体" w:hAnsi="Courier New" w:eastAsia="Times New Roman" w:cs="宋体"/>
      <w:sz w:val="30"/>
      <w:szCs w:val="30"/>
    </w:rPr>
  </w:style>
  <w:style w:type="paragraph" w:customStyle="1" w:styleId="63">
    <w:name w:val="普通(网站)1"/>
    <w:basedOn w:val="1"/>
    <w:qFormat/>
    <w:uiPriority w:val="99"/>
    <w:pPr>
      <w:spacing w:beforeAutospacing="1" w:afterAutospacing="1"/>
      <w:jc w:val="left"/>
    </w:pPr>
    <w:rPr>
      <w:kern w:val="0"/>
      <w:sz w:val="24"/>
      <w:szCs w:val="24"/>
    </w:rPr>
  </w:style>
  <w:style w:type="paragraph" w:customStyle="1" w:styleId="64">
    <w:name w:val="正文缩进1"/>
    <w:basedOn w:val="1"/>
    <w:qFormat/>
    <w:uiPriority w:val="99"/>
    <w:pPr>
      <w:ind w:firstLine="420" w:firstLineChars="200"/>
    </w:pPr>
  </w:style>
  <w:style w:type="paragraph" w:customStyle="1" w:styleId="65">
    <w:name w:val="正文文本 31"/>
    <w:basedOn w:val="1"/>
    <w:qFormat/>
    <w:uiPriority w:val="99"/>
    <w:pPr>
      <w:spacing w:after="120"/>
    </w:pPr>
    <w:rPr>
      <w:kern w:val="0"/>
      <w:sz w:val="16"/>
      <w:szCs w:val="16"/>
    </w:rPr>
  </w:style>
  <w:style w:type="paragraph" w:customStyle="1" w:styleId="66">
    <w:name w:val="正文文本缩进11"/>
    <w:basedOn w:val="1"/>
    <w:qFormat/>
    <w:uiPriority w:val="99"/>
    <w:pPr>
      <w:spacing w:line="200" w:lineRule="exact"/>
      <w:ind w:firstLine="301"/>
    </w:pPr>
  </w:style>
  <w:style w:type="paragraph" w:customStyle="1" w:styleId="67">
    <w:name w:val="文本块1"/>
    <w:basedOn w:val="1"/>
    <w:qFormat/>
    <w:uiPriority w:val="99"/>
    <w:pPr>
      <w:adjustRightInd w:val="0"/>
      <w:snapToGrid w:val="0"/>
      <w:spacing w:line="300" w:lineRule="auto"/>
      <w:ind w:left="958" w:right="-120" w:rightChars="-120"/>
      <w:jc w:val="left"/>
    </w:pPr>
    <w:rPr>
      <w:rFonts w:ascii="Century Gothic" w:hAnsi="Century Gothic" w:cs="Century Gothic"/>
      <w:sz w:val="28"/>
      <w:szCs w:val="28"/>
    </w:rPr>
  </w:style>
  <w:style w:type="paragraph" w:customStyle="1" w:styleId="68">
    <w:name w:val="正文文本缩进 21"/>
    <w:basedOn w:val="1"/>
    <w:qFormat/>
    <w:uiPriority w:val="99"/>
    <w:pPr>
      <w:snapToGrid w:val="0"/>
      <w:ind w:firstLine="542" w:firstLineChars="225"/>
    </w:pPr>
    <w:rPr>
      <w:kern w:val="0"/>
      <w:sz w:val="24"/>
      <w:szCs w:val="24"/>
    </w:rPr>
  </w:style>
  <w:style w:type="paragraph" w:customStyle="1" w:styleId="69">
    <w:name w:val="正文文本缩进 31"/>
    <w:basedOn w:val="1"/>
    <w:qFormat/>
    <w:uiPriority w:val="99"/>
    <w:pPr>
      <w:snapToGrid w:val="0"/>
      <w:ind w:firstLine="480" w:firstLineChars="200"/>
      <w:jc w:val="left"/>
    </w:pPr>
    <w:rPr>
      <w:rFonts w:ascii="??_GB2312" w:hAnsi="宋体" w:eastAsia="Times New Roman" w:cs="??_GB2312"/>
      <w:color w:val="000000"/>
      <w:sz w:val="24"/>
      <w:szCs w:val="24"/>
    </w:rPr>
  </w:style>
  <w:style w:type="paragraph" w:customStyle="1" w:styleId="70">
    <w:name w:val="普通(网站)11"/>
    <w:basedOn w:val="1"/>
    <w:qFormat/>
    <w:uiPriority w:val="99"/>
    <w:pPr>
      <w:widowControl/>
      <w:spacing w:beforeAutospacing="1" w:afterAutospacing="1"/>
      <w:jc w:val="left"/>
    </w:pPr>
    <w:rPr>
      <w:rFonts w:ascii="宋体" w:hAnsi="宋体" w:cs="宋体"/>
      <w:kern w:val="0"/>
      <w:sz w:val="24"/>
      <w:szCs w:val="24"/>
    </w:rPr>
  </w:style>
  <w:style w:type="paragraph" w:customStyle="1" w:styleId="71">
    <w:name w:val="p15"/>
    <w:basedOn w:val="1"/>
    <w:qFormat/>
    <w:uiPriority w:val="99"/>
    <w:pPr>
      <w:widowControl/>
      <w:spacing w:line="200" w:lineRule="atLeast"/>
      <w:ind w:firstLine="301"/>
    </w:pPr>
    <w:rPr>
      <w:rFonts w:ascii="宋体" w:hAnsi="宋体" w:cs="宋体"/>
      <w:spacing w:val="-4"/>
      <w:kern w:val="0"/>
      <w:sz w:val="18"/>
      <w:szCs w:val="18"/>
    </w:rPr>
  </w:style>
  <w:style w:type="paragraph" w:customStyle="1" w:styleId="72">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3">
    <w:name w:val="列表 21"/>
    <w:basedOn w:val="1"/>
    <w:qFormat/>
    <w:uiPriority w:val="99"/>
    <w:pPr>
      <w:ind w:left="200" w:leftChars="200" w:hanging="200" w:hangingChars="200"/>
    </w:pPr>
    <w:rPr>
      <w:sz w:val="28"/>
      <w:szCs w:val="28"/>
    </w:rPr>
  </w:style>
  <w:style w:type="paragraph" w:customStyle="1" w:styleId="74">
    <w:name w:val="默认段落字体 Para Char Char Char Char Char Char Char Char Char1 Char Char Char Char"/>
    <w:basedOn w:val="1"/>
    <w:qFormat/>
    <w:uiPriority w:val="99"/>
    <w:rPr>
      <w:rFonts w:ascii="Tahoma" w:hAnsi="Tahoma" w:cs="Tahoma"/>
      <w:sz w:val="24"/>
      <w:szCs w:val="24"/>
    </w:rPr>
  </w:style>
  <w:style w:type="paragraph" w:customStyle="1" w:styleId="75">
    <w:name w:val="纯文本21"/>
    <w:basedOn w:val="1"/>
    <w:qFormat/>
    <w:uiPriority w:val="99"/>
    <w:pPr>
      <w:spacing w:beforeLines="50" w:afterLines="50" w:line="400" w:lineRule="exact"/>
    </w:pPr>
    <w:rPr>
      <w:rFonts w:ascii="宋体" w:hAnsi="Courier New" w:cs="宋体"/>
    </w:rPr>
  </w:style>
  <w:style w:type="paragraph" w:customStyle="1" w:styleId="76">
    <w:name w:val="彩色列表 - 强调文字颜色 11"/>
    <w:basedOn w:val="1"/>
    <w:qFormat/>
    <w:uiPriority w:val="99"/>
    <w:pPr>
      <w:ind w:firstLine="420" w:firstLineChars="200"/>
    </w:pPr>
  </w:style>
  <w:style w:type="paragraph" w:customStyle="1" w:styleId="77">
    <w:name w:val="修订1"/>
    <w:qFormat/>
    <w:uiPriority w:val="99"/>
    <w:rPr>
      <w:rFonts w:ascii="Calibri" w:hAnsi="Calibri" w:eastAsia="宋体" w:cs="Calibri"/>
      <w:kern w:val="2"/>
      <w:sz w:val="21"/>
      <w:szCs w:val="21"/>
      <w:lang w:val="en-US" w:eastAsia="zh-CN" w:bidi="ar-SA"/>
    </w:rPr>
  </w:style>
  <w:style w:type="paragraph" w:customStyle="1" w:styleId="78">
    <w:name w:val="列出段落1"/>
    <w:basedOn w:val="1"/>
    <w:qFormat/>
    <w:uiPriority w:val="99"/>
    <w:pPr>
      <w:ind w:firstLine="420" w:firstLineChars="200"/>
    </w:pPr>
  </w:style>
  <w:style w:type="paragraph" w:customStyle="1" w:styleId="79">
    <w:name w:val="纯文本3"/>
    <w:basedOn w:val="1"/>
    <w:qFormat/>
    <w:uiPriority w:val="99"/>
    <w:pPr>
      <w:adjustRightInd w:val="0"/>
      <w:textAlignment w:val="baseline"/>
    </w:pPr>
    <w:rPr>
      <w:rFonts w:ascii="宋体" w:hAnsi="Courier New" w:eastAsia="楷体_GB2312" w:cs="宋体"/>
      <w:sz w:val="26"/>
      <w:szCs w:val="26"/>
    </w:rPr>
  </w:style>
  <w:style w:type="paragraph" w:customStyle="1" w:styleId="80">
    <w:name w:val="表内文字"/>
    <w:basedOn w:val="1"/>
    <w:qFormat/>
    <w:uiPriority w:val="99"/>
    <w:pPr>
      <w:tabs>
        <w:tab w:val="left" w:pos="1418"/>
      </w:tabs>
      <w:spacing w:line="360" w:lineRule="auto"/>
      <w:jc w:val="center"/>
    </w:pPr>
    <w:rPr>
      <w:rFonts w:ascii="??_GB2312" w:eastAsia="Times New Roman" w:cs="??_GB2312"/>
      <w:spacing w:val="-20"/>
      <w:kern w:val="0"/>
      <w:sz w:val="24"/>
      <w:szCs w:val="24"/>
    </w:rPr>
  </w:style>
  <w:style w:type="paragraph" w:customStyle="1" w:styleId="81">
    <w:name w:val="正文段"/>
    <w:basedOn w:val="1"/>
    <w:qFormat/>
    <w:uiPriority w:val="99"/>
    <w:pPr>
      <w:numPr>
        <w:ilvl w:val="3"/>
        <w:numId w:val="2"/>
      </w:numPr>
      <w:autoSpaceDE w:val="0"/>
      <w:autoSpaceDN w:val="0"/>
      <w:adjustRightInd w:val="0"/>
      <w:spacing w:before="100" w:after="100" w:line="300" w:lineRule="auto"/>
      <w:jc w:val="left"/>
    </w:pPr>
    <w:rPr>
      <w:rFonts w:ascii="Times New Roman" w:hAnsi="Times New Roman" w:cs="Times New Roman"/>
      <w:w w:val="105"/>
      <w:kern w:val="0"/>
      <w:sz w:val="24"/>
      <w:szCs w:val="24"/>
    </w:rPr>
  </w:style>
  <w:style w:type="paragraph" w:customStyle="1" w:styleId="82">
    <w:name w:val="纯文本4"/>
    <w:basedOn w:val="1"/>
    <w:qFormat/>
    <w:uiPriority w:val="99"/>
    <w:pPr>
      <w:adjustRightInd w:val="0"/>
      <w:textAlignment w:val="baseline"/>
    </w:pPr>
    <w:rPr>
      <w:rFonts w:ascii="宋体" w:hAnsi="Courier New" w:eastAsia="楷体_GB2312" w:cs="宋体"/>
      <w:sz w:val="26"/>
      <w:szCs w:val="26"/>
    </w:rPr>
  </w:style>
  <w:style w:type="paragraph" w:customStyle="1" w:styleId="83">
    <w:name w:val="Table Paragraph"/>
    <w:basedOn w:val="1"/>
    <w:qFormat/>
    <w:uiPriority w:val="99"/>
    <w:pPr>
      <w:jc w:val="left"/>
    </w:pPr>
    <w:rPr>
      <w:kern w:val="0"/>
      <w:sz w:val="22"/>
      <w:szCs w:val="22"/>
      <w:lang w:eastAsia="en-US"/>
    </w:rPr>
  </w:style>
  <w:style w:type="character" w:customStyle="1" w:styleId="84">
    <w:name w:val="批注引用1"/>
    <w:qFormat/>
    <w:uiPriority w:val="99"/>
    <w:rPr>
      <w:sz w:val="21"/>
      <w:szCs w:val="21"/>
    </w:rPr>
  </w:style>
  <w:style w:type="character" w:customStyle="1" w:styleId="85">
    <w:name w:val="标题 2 Char Char"/>
    <w:qFormat/>
    <w:uiPriority w:val="99"/>
    <w:rPr>
      <w:rFonts w:eastAsia="宋体"/>
      <w:kern w:val="2"/>
      <w:sz w:val="28"/>
      <w:szCs w:val="28"/>
      <w:lang w:val="en-US" w:eastAsia="zh-CN"/>
    </w:rPr>
  </w:style>
  <w:style w:type="paragraph" w:customStyle="1" w:styleId="86">
    <w:name w:val="xl30"/>
    <w:basedOn w:val="1"/>
    <w:qFormat/>
    <w:uiPriority w:val="99"/>
    <w:pPr>
      <w:widowControl/>
      <w:spacing w:before="100" w:beforeAutospacing="1" w:after="100" w:afterAutospacing="1"/>
      <w:jc w:val="center"/>
      <w:textAlignment w:val="center"/>
    </w:pPr>
    <w:rPr>
      <w:rFonts w:ascii="楷体_GB2312" w:hAnsi="宋体" w:eastAsia="楷体_GB2312" w:cs="楷体_GB2312"/>
      <w:b/>
      <w:bCs/>
      <w:kern w:val="0"/>
      <w:sz w:val="32"/>
      <w:szCs w:val="32"/>
    </w:rPr>
  </w:style>
  <w:style w:type="paragraph" w:customStyle="1" w:styleId="87">
    <w:name w:val="列表段落1"/>
    <w:basedOn w:val="1"/>
    <w:qFormat/>
    <w:uiPriority w:val="99"/>
    <w:pPr>
      <w:ind w:firstLine="420" w:firstLineChars="200"/>
    </w:pPr>
  </w:style>
  <w:style w:type="paragraph" w:customStyle="1" w:styleId="88">
    <w:name w:val="纯文本5"/>
    <w:basedOn w:val="1"/>
    <w:qFormat/>
    <w:uiPriority w:val="99"/>
    <w:rPr>
      <w:rFonts w:ascii="宋体" w:hAnsi="Courier New" w:eastAsia="Times New Roman" w:cs="宋体"/>
      <w:sz w:val="30"/>
      <w:szCs w:val="30"/>
    </w:rPr>
  </w:style>
  <w:style w:type="paragraph" w:customStyle="1" w:styleId="89">
    <w:name w:val="文本块2"/>
    <w:basedOn w:val="1"/>
    <w:qFormat/>
    <w:uiPriority w:val="99"/>
    <w:pPr>
      <w:adjustRightInd w:val="0"/>
      <w:snapToGrid w:val="0"/>
      <w:spacing w:line="300" w:lineRule="auto"/>
      <w:ind w:left="958" w:right="-120" w:rightChars="-120"/>
      <w:jc w:val="left"/>
    </w:pPr>
    <w:rPr>
      <w:rFonts w:ascii="Century Gothic" w:hAnsi="Century Gothic" w:cs="Century Gothic"/>
      <w:sz w:val="28"/>
      <w:szCs w:val="28"/>
    </w:rPr>
  </w:style>
  <w:style w:type="paragraph" w:customStyle="1" w:styleId="90">
    <w:name w:val="正文文本缩进2"/>
    <w:basedOn w:val="1"/>
    <w:qFormat/>
    <w:uiPriority w:val="99"/>
    <w:pPr>
      <w:spacing w:line="200" w:lineRule="exact"/>
      <w:ind w:firstLine="301"/>
    </w:pPr>
    <w:rPr>
      <w:rFonts w:ascii="宋体" w:hAnsi="Courier New" w:cs="宋体"/>
      <w:spacing w:val="-4"/>
      <w:kern w:val="0"/>
      <w:sz w:val="18"/>
      <w:szCs w:val="18"/>
    </w:rPr>
  </w:style>
  <w:style w:type="paragraph" w:customStyle="1" w:styleId="91">
    <w:name w:val="正文文本 32"/>
    <w:basedOn w:val="1"/>
    <w:qFormat/>
    <w:uiPriority w:val="99"/>
    <w:pPr>
      <w:spacing w:after="120"/>
    </w:pPr>
    <w:rPr>
      <w:kern w:val="0"/>
      <w:sz w:val="16"/>
      <w:szCs w:val="16"/>
    </w:rPr>
  </w:style>
  <w:style w:type="paragraph" w:customStyle="1" w:styleId="92">
    <w:name w:val="Body Text Indent1"/>
    <w:basedOn w:val="1"/>
    <w:qFormat/>
    <w:uiPriority w:val="99"/>
    <w:pPr>
      <w:spacing w:line="200" w:lineRule="exact"/>
      <w:ind w:firstLine="301"/>
    </w:pPr>
    <w:rPr>
      <w:rFonts w:ascii="宋体" w:hAnsi="Courier New" w:cs="宋体"/>
      <w:spacing w:val="-4"/>
      <w:kern w:val="0"/>
      <w:sz w:val="18"/>
      <w:szCs w:val="18"/>
    </w:rPr>
  </w:style>
  <w:style w:type="paragraph" w:customStyle="1" w:styleId="93">
    <w:name w:val="List Paragraph1"/>
    <w:basedOn w:val="1"/>
    <w:qFormat/>
    <w:uiPriority w:val="99"/>
    <w:pPr>
      <w:ind w:firstLine="420" w:firstLineChars="200"/>
    </w:pPr>
  </w:style>
  <w:style w:type="paragraph" w:customStyle="1" w:styleId="94">
    <w:name w:val="GG标题2"/>
    <w:basedOn w:val="4"/>
    <w:next w:val="95"/>
    <w:qFormat/>
    <w:uiPriority w:val="99"/>
    <w:pPr>
      <w:numPr>
        <w:ilvl w:val="0"/>
        <w:numId w:val="3"/>
      </w:numPr>
      <w:spacing w:line="312" w:lineRule="auto"/>
    </w:pPr>
    <w:rPr>
      <w:rFonts w:ascii="Times New Roman" w:hAnsi="Times New Roman" w:cs="Times New Roman"/>
    </w:rPr>
  </w:style>
  <w:style w:type="paragraph" w:customStyle="1" w:styleId="95">
    <w:name w:val="GG正文2"/>
    <w:basedOn w:val="1"/>
    <w:qFormat/>
    <w:uiPriority w:val="99"/>
    <w:pPr>
      <w:ind w:firstLine="200"/>
    </w:pPr>
    <w:rPr>
      <w:rFonts w:ascii="Times New Roman" w:hAnsi="Times New Roman" w:cs="Times New Roman"/>
      <w:kern w:val="21"/>
    </w:rPr>
  </w:style>
  <w:style w:type="paragraph" w:customStyle="1" w:styleId="96">
    <w:name w:val="标题 81"/>
    <w:basedOn w:val="1"/>
    <w:qFormat/>
    <w:uiPriority w:val="99"/>
    <w:pPr>
      <w:autoSpaceDE w:val="0"/>
      <w:autoSpaceDN w:val="0"/>
      <w:ind w:left="636"/>
      <w:jc w:val="left"/>
      <w:outlineLvl w:val="8"/>
    </w:pPr>
    <w:rPr>
      <w:rFonts w:ascii="宋体" w:hAnsi="宋体" w:cs="宋体"/>
      <w:b/>
      <w:bCs/>
      <w:kern w:val="0"/>
      <w:lang w:val="zh-CN"/>
    </w:rPr>
  </w:style>
  <w:style w:type="paragraph" w:customStyle="1" w:styleId="97">
    <w:name w:val="列出段落2"/>
    <w:basedOn w:val="1"/>
    <w:qFormat/>
    <w:uiPriority w:val="99"/>
    <w:pPr>
      <w:ind w:firstLine="420" w:firstLineChars="200"/>
    </w:pPr>
  </w:style>
  <w:style w:type="paragraph" w:customStyle="1" w:styleId="98">
    <w:name w:val="GG标题1"/>
    <w:basedOn w:val="3"/>
    <w:next w:val="95"/>
    <w:qFormat/>
    <w:uiPriority w:val="99"/>
    <w:pPr>
      <w:spacing w:beforeLines="150" w:afterLines="100" w:line="312" w:lineRule="auto"/>
      <w:ind w:left="3118" w:hanging="425"/>
      <w:jc w:val="center"/>
    </w:pPr>
    <w:rPr>
      <w:rFonts w:ascii="Times New Roman" w:hAnsi="Times New Roman" w:cs="Times New Roman"/>
      <w:sz w:val="36"/>
      <w:szCs w:val="36"/>
    </w:rPr>
  </w:style>
  <w:style w:type="paragraph" w:customStyle="1" w:styleId="99">
    <w:name w:val="GG标题3"/>
    <w:basedOn w:val="5"/>
    <w:next w:val="95"/>
    <w:qFormat/>
    <w:uiPriority w:val="99"/>
    <w:pPr>
      <w:spacing w:line="312" w:lineRule="auto"/>
      <w:ind w:left="-1275" w:hanging="1135"/>
    </w:pPr>
    <w:rPr>
      <w:rFonts w:ascii="Times New Roman" w:hAnsi="Times New Roman" w:cs="Times New Roman"/>
      <w:kern w:val="2"/>
      <w:sz w:val="30"/>
      <w:szCs w:val="30"/>
    </w:rPr>
  </w:style>
  <w:style w:type="paragraph" w:customStyle="1" w:styleId="100">
    <w:name w:val="GG标题4"/>
    <w:basedOn w:val="6"/>
    <w:next w:val="95"/>
    <w:qFormat/>
    <w:uiPriority w:val="99"/>
    <w:pPr>
      <w:spacing w:before="0" w:after="0" w:line="312" w:lineRule="auto"/>
    </w:pPr>
    <w:rPr>
      <w:rFonts w:ascii="Times New Roman" w:hAnsi="Times New Roman" w:cs="Times New Roman"/>
    </w:rPr>
  </w:style>
  <w:style w:type="paragraph" w:customStyle="1" w:styleId="101">
    <w:name w:val="GG标题5"/>
    <w:basedOn w:val="7"/>
    <w:next w:val="95"/>
    <w:qFormat/>
    <w:uiPriority w:val="99"/>
    <w:pPr>
      <w:spacing w:before="0" w:after="0" w:line="312" w:lineRule="auto"/>
    </w:pPr>
    <w:rPr>
      <w:rFonts w:ascii="Times New Roman" w:hAnsi="Times New Roman" w:cs="Times New Roman"/>
      <w:i/>
      <w:iCs/>
      <w:sz w:val="24"/>
      <w:szCs w:val="24"/>
    </w:rPr>
  </w:style>
  <w:style w:type="paragraph" w:customStyle="1" w:styleId="102">
    <w:name w:val="GG标题6"/>
    <w:basedOn w:val="8"/>
    <w:next w:val="95"/>
    <w:qFormat/>
    <w:uiPriority w:val="99"/>
    <w:pPr>
      <w:spacing w:before="0" w:after="0" w:line="312" w:lineRule="auto"/>
    </w:pPr>
    <w:rPr>
      <w:rFonts w:ascii="Times New Roman" w:hAnsi="Times New Roman" w:cs="Times New Roman"/>
      <w:sz w:val="21"/>
      <w:szCs w:val="21"/>
    </w:rPr>
  </w:style>
  <w:style w:type="paragraph" w:customStyle="1" w:styleId="103">
    <w:name w:val="List Paragraph2"/>
    <w:basedOn w:val="1"/>
    <w:qFormat/>
    <w:uiPriority w:val="99"/>
    <w:pPr>
      <w:ind w:firstLine="420" w:firstLineChars="200"/>
    </w:pPr>
  </w:style>
  <w:style w:type="paragraph" w:customStyle="1" w:styleId="104">
    <w:name w:val="正文2"/>
    <w:basedOn w:val="1"/>
    <w:qFormat/>
    <w:uiPriority w:val="99"/>
    <w:pPr>
      <w:spacing w:before="156" w:line="360" w:lineRule="auto"/>
      <w:ind w:firstLine="510" w:firstLineChars="200"/>
    </w:pPr>
    <w:rPr>
      <w:sz w:val="24"/>
      <w:szCs w:val="24"/>
    </w:rPr>
  </w:style>
  <w:style w:type="paragraph" w:customStyle="1" w:styleId="105">
    <w:name w:val="列出段落3"/>
    <w:basedOn w:val="1"/>
    <w:qFormat/>
    <w:uiPriority w:val="99"/>
    <w:pPr>
      <w:ind w:firstLine="420" w:firstLineChars="200"/>
    </w:pPr>
  </w:style>
  <w:style w:type="paragraph" w:customStyle="1" w:styleId="106">
    <w:name w:val="列出段落4"/>
    <w:basedOn w:val="1"/>
    <w:qFormat/>
    <w:uiPriority w:val="99"/>
    <w:pPr>
      <w:ind w:firstLine="420" w:firstLineChars="200"/>
    </w:pPr>
  </w:style>
  <w:style w:type="paragraph" w:customStyle="1" w:styleId="107">
    <w:name w:val="[Normal]"/>
    <w:qFormat/>
    <w:uiPriority w:val="99"/>
    <w:rPr>
      <w:rFonts w:ascii="宋体" w:hAnsi="宋体" w:eastAsia="宋体" w:cs="宋体"/>
      <w:sz w:val="24"/>
      <w:szCs w:val="24"/>
      <w:lang w:val="zh-CN" w:eastAsia="zh-CN" w:bidi="ar-SA"/>
    </w:rPr>
  </w:style>
  <w:style w:type="paragraph" w:customStyle="1" w:styleId="108">
    <w:name w:val="l正文"/>
    <w:basedOn w:val="1"/>
    <w:qFormat/>
    <w:uiPriority w:val="99"/>
    <w:pPr>
      <w:spacing w:line="300" w:lineRule="auto"/>
      <w:ind w:firstLine="200" w:firstLineChars="200"/>
      <w:jc w:val="left"/>
    </w:pPr>
    <w:rPr>
      <w:rFonts w:ascii="楷体_GB2312" w:hAnsi="Times" w:eastAsia="楷体_GB2312" w:cs="楷体_GB2312"/>
      <w:sz w:val="24"/>
      <w:szCs w:val="24"/>
    </w:rPr>
  </w:style>
  <w:style w:type="paragraph" w:customStyle="1" w:styleId="109">
    <w:name w:val="DAS正文"/>
    <w:basedOn w:val="1"/>
    <w:qFormat/>
    <w:uiPriority w:val="99"/>
    <w:pPr>
      <w:spacing w:line="360" w:lineRule="auto"/>
      <w:ind w:right="181" w:firstLine="480" w:firstLineChars="200"/>
    </w:pPr>
    <w:rPr>
      <w:rFonts w:ascii="Verdana" w:hAnsi="Verdana" w:cs="Verdana"/>
      <w:sz w:val="24"/>
      <w:szCs w:val="24"/>
    </w:rPr>
  </w:style>
  <w:style w:type="paragraph" w:customStyle="1" w:styleId="110">
    <w:name w:val="Normal Indent1"/>
    <w:basedOn w:val="1"/>
    <w:qFormat/>
    <w:uiPriority w:val="0"/>
    <w:pPr>
      <w:ind w:firstLine="420" w:firstLineChars="200"/>
    </w:pPr>
  </w:style>
  <w:style w:type="paragraph" w:customStyle="1" w:styleId="111">
    <w:name w:val="报告正文"/>
    <w:qFormat/>
    <w:uiPriority w:val="0"/>
    <w:pPr>
      <w:spacing w:line="360" w:lineRule="auto"/>
      <w:ind w:firstLine="200" w:firstLineChars="200"/>
      <w:jc w:val="both"/>
    </w:pPr>
    <w:rPr>
      <w:rFonts w:ascii="Calibri" w:hAnsi="Calibri" w:eastAsia="仿宋" w:cs="黑体"/>
      <w:kern w:val="2"/>
      <w:sz w:val="28"/>
      <w:szCs w:val="22"/>
      <w:lang w:val="en-US" w:eastAsia="zh-CN" w:bidi="ar-SA"/>
    </w:rPr>
  </w:style>
  <w:style w:type="paragraph" w:customStyle="1" w:styleId="112">
    <w:name w:val="列出段落5"/>
    <w:basedOn w:val="1"/>
    <w:qFormat/>
    <w:uiPriority w:val="34"/>
    <w:pPr>
      <w:ind w:firstLine="420" w:firstLineChars="200"/>
    </w:pPr>
  </w:style>
  <w:style w:type="character" w:customStyle="1" w:styleId="113">
    <w:name w:val="ant-select-tree-checkbox"/>
    <w:basedOn w:val="26"/>
    <w:qFormat/>
    <w:uiPriority w:val="0"/>
  </w:style>
  <w:style w:type="character" w:customStyle="1" w:styleId="114">
    <w:name w:val="change-camera-place"/>
    <w:qFormat/>
    <w:uiPriority w:val="0"/>
    <w:rPr>
      <w:color w:val="3177FD"/>
    </w:rPr>
  </w:style>
  <w:style w:type="character" w:customStyle="1" w:styleId="115">
    <w:name w:val="last-of-type"/>
    <w:qFormat/>
    <w:uiPriority w:val="0"/>
    <w:rPr>
      <w:color w:val="FF4A44"/>
      <w:sz w:val="27"/>
      <w:szCs w:val="27"/>
    </w:rPr>
  </w:style>
  <w:style w:type="character" w:customStyle="1" w:styleId="116">
    <w:name w:val="last-child6"/>
    <w:basedOn w:val="26"/>
    <w:qFormat/>
    <w:uiPriority w:val="0"/>
  </w:style>
  <w:style w:type="character" w:customStyle="1" w:styleId="117">
    <w:name w:val="last-child7"/>
    <w:basedOn w:val="26"/>
    <w:qFormat/>
    <w:uiPriority w:val="0"/>
  </w:style>
  <w:style w:type="character" w:customStyle="1" w:styleId="118">
    <w:name w:val="last-child8"/>
    <w:basedOn w:val="26"/>
    <w:qFormat/>
    <w:uiPriority w:val="0"/>
  </w:style>
  <w:style w:type="character" w:customStyle="1" w:styleId="119">
    <w:name w:val="last-child9"/>
    <w:basedOn w:val="26"/>
    <w:qFormat/>
    <w:uiPriority w:val="0"/>
  </w:style>
  <w:style w:type="character" w:customStyle="1" w:styleId="120">
    <w:name w:val="first-child5"/>
    <w:basedOn w:val="26"/>
    <w:qFormat/>
    <w:uiPriority w:val="0"/>
  </w:style>
  <w:style w:type="character" w:customStyle="1" w:styleId="121">
    <w:name w:val="ant-input52"/>
    <w:basedOn w:val="26"/>
    <w:qFormat/>
    <w:uiPriority w:val="0"/>
  </w:style>
  <w:style w:type="character" w:customStyle="1" w:styleId="122">
    <w:name w:val="current"/>
    <w:qFormat/>
    <w:uiPriority w:val="0"/>
    <w:rPr>
      <w:color w:val="00C1DE"/>
    </w:rPr>
  </w:style>
  <w:style w:type="character" w:customStyle="1" w:styleId="123">
    <w:name w:val="current1"/>
    <w:qFormat/>
    <w:uiPriority w:val="0"/>
    <w:rPr>
      <w:color w:val="00C1DE"/>
    </w:rPr>
  </w:style>
  <w:style w:type="character" w:customStyle="1" w:styleId="124">
    <w:name w:val="ant-radio+*"/>
    <w:basedOn w:val="26"/>
    <w:qFormat/>
    <w:uiPriority w:val="0"/>
  </w:style>
  <w:style w:type="character" w:customStyle="1" w:styleId="125">
    <w:name w:val="ant-tree-checkbox2"/>
    <w:basedOn w:val="26"/>
    <w:qFormat/>
    <w:uiPriority w:val="0"/>
  </w:style>
  <w:style w:type="character" w:customStyle="1" w:styleId="126">
    <w:name w:val="ant-tree-switcher"/>
    <w:basedOn w:val="26"/>
    <w:qFormat/>
    <w:uiPriority w:val="0"/>
  </w:style>
  <w:style w:type="character" w:customStyle="1" w:styleId="127">
    <w:name w:val="ant-tree-iconele"/>
    <w:basedOn w:val="26"/>
    <w:qFormat/>
    <w:uiPriority w:val="0"/>
  </w:style>
  <w:style w:type="character" w:customStyle="1" w:styleId="128">
    <w:name w:val="ant-tree-icon_loading"/>
    <w:qFormat/>
    <w:uiPriority w:val="0"/>
    <w:rPr>
      <w:shd w:val="clear" w:color="auto" w:fill="FFFFFF"/>
    </w:rPr>
  </w:style>
  <w:style w:type="character" w:customStyle="1" w:styleId="129">
    <w:name w:val="info-label"/>
    <w:qFormat/>
    <w:uiPriority w:val="0"/>
    <w:rPr>
      <w:b/>
    </w:rPr>
  </w:style>
  <w:style w:type="character" w:customStyle="1" w:styleId="130">
    <w:name w:val="info-content"/>
    <w:qFormat/>
    <w:uiPriority w:val="0"/>
    <w:rPr>
      <w:color w:val="808080"/>
    </w:rPr>
  </w:style>
  <w:style w:type="character" w:customStyle="1" w:styleId="131">
    <w:name w:val="ant-select-tree-switcher"/>
    <w:basedOn w:val="26"/>
    <w:qFormat/>
    <w:uiPriority w:val="0"/>
  </w:style>
  <w:style w:type="character" w:customStyle="1" w:styleId="132">
    <w:name w:val="ant-select-tree-iconele"/>
    <w:basedOn w:val="26"/>
    <w:qFormat/>
    <w:uiPriority w:val="0"/>
  </w:style>
  <w:style w:type="character" w:customStyle="1" w:styleId="133">
    <w:name w:val="temp"/>
    <w:basedOn w:val="26"/>
    <w:qFormat/>
    <w:uiPriority w:val="0"/>
  </w:style>
  <w:style w:type="character" w:customStyle="1" w:styleId="134">
    <w:name w:val="ant-badge-status-dot2"/>
    <w:qFormat/>
    <w:uiPriority w:val="0"/>
    <w:rPr>
      <w:shd w:val="clear" w:color="auto" w:fill="FFFFFF"/>
    </w:rPr>
  </w:style>
  <w:style w:type="character" w:customStyle="1" w:styleId="135">
    <w:name w:val="all-fit-info"/>
    <w:qFormat/>
    <w:uiPriority w:val="0"/>
    <w:rPr>
      <w:color w:val="939393"/>
    </w:rPr>
  </w:style>
  <w:style w:type="character" w:customStyle="1" w:styleId="136">
    <w:name w:val="all-fit-info1"/>
    <w:qFormat/>
    <w:uiPriority w:val="0"/>
    <w:rPr>
      <w:color w:val="939393"/>
    </w:rPr>
  </w:style>
  <w:style w:type="character" w:customStyle="1" w:styleId="137">
    <w:name w:val="all-fit-info2"/>
    <w:qFormat/>
    <w:uiPriority w:val="0"/>
    <w:rPr>
      <w:color w:val="939393"/>
    </w:rPr>
  </w:style>
  <w:style w:type="character" w:customStyle="1" w:styleId="138">
    <w:name w:val="label2"/>
    <w:basedOn w:val="26"/>
    <w:qFormat/>
    <w:uiPriority w:val="0"/>
  </w:style>
  <w:style w:type="character" w:customStyle="1" w:styleId="139">
    <w:name w:val="content10"/>
    <w:basedOn w:val="26"/>
    <w:qFormat/>
    <w:uiPriority w:val="0"/>
  </w:style>
  <w:style w:type="character" w:customStyle="1" w:styleId="140">
    <w:name w:val="tag-type"/>
    <w:qFormat/>
    <w:uiPriority w:val="0"/>
    <w:rPr>
      <w:color w:val="FFFFFF"/>
      <w:sz w:val="18"/>
      <w:szCs w:val="18"/>
      <w:shd w:val="clear" w:color="auto" w:fill="317FFD"/>
    </w:rPr>
  </w:style>
  <w:style w:type="character" w:customStyle="1" w:styleId="141">
    <w:name w:val="tag-type1"/>
    <w:qFormat/>
    <w:uiPriority w:val="0"/>
    <w:rPr>
      <w:color w:val="FFFFFF"/>
      <w:sz w:val="18"/>
      <w:szCs w:val="18"/>
      <w:shd w:val="clear" w:color="auto" w:fill="317FFD"/>
    </w:rPr>
  </w:style>
  <w:style w:type="character" w:customStyle="1" w:styleId="142">
    <w:name w:val="hover10"/>
    <w:qFormat/>
    <w:uiPriority w:val="0"/>
    <w:rPr>
      <w:color w:val="3177FD"/>
    </w:rPr>
  </w:style>
  <w:style w:type="character" w:customStyle="1" w:styleId="143">
    <w:name w:val="ant-form-item-children1"/>
    <w:basedOn w:val="26"/>
    <w:qFormat/>
    <w:uiPriority w:val="0"/>
  </w:style>
  <w:style w:type="character" w:customStyle="1" w:styleId="144">
    <w:name w:val="ant-tree-checkbox"/>
    <w:basedOn w:val="26"/>
    <w:qFormat/>
    <w:uiPriority w:val="0"/>
  </w:style>
  <w:style w:type="character" w:customStyle="1" w:styleId="145">
    <w:name w:val="last-child4"/>
    <w:basedOn w:val="26"/>
    <w:qFormat/>
    <w:uiPriority w:val="0"/>
  </w:style>
  <w:style w:type="character" w:customStyle="1" w:styleId="146">
    <w:name w:val="last-child5"/>
    <w:basedOn w:val="26"/>
    <w:qFormat/>
    <w:uiPriority w:val="0"/>
  </w:style>
  <w:style w:type="character" w:customStyle="1" w:styleId="147">
    <w:name w:val="temp1"/>
    <w:basedOn w:val="26"/>
    <w:qFormat/>
    <w:uiPriority w:val="0"/>
  </w:style>
  <w:style w:type="character" w:customStyle="1" w:styleId="148">
    <w:name w:val="temp2"/>
    <w:basedOn w:val="26"/>
    <w:qFormat/>
    <w:uiPriority w:val="0"/>
  </w:style>
  <w:style w:type="character" w:customStyle="1" w:styleId="149">
    <w:name w:val="ant-select-tree-checkbox2"/>
    <w:basedOn w:val="26"/>
    <w:qFormat/>
    <w:uiPriority w:val="0"/>
  </w:style>
  <w:style w:type="character" w:customStyle="1" w:styleId="150">
    <w:name w:val="last-child2"/>
    <w:basedOn w:val="26"/>
    <w:qFormat/>
    <w:uiPriority w:val="0"/>
  </w:style>
  <w:style w:type="character" w:customStyle="1" w:styleId="151">
    <w:name w:val="last-child3"/>
    <w:basedOn w:val="26"/>
    <w:qFormat/>
    <w:uiPriority w:val="0"/>
  </w:style>
  <w:style w:type="character" w:customStyle="1" w:styleId="152">
    <w:name w:val="label"/>
    <w:basedOn w:val="26"/>
    <w:qFormat/>
    <w:uiPriority w:val="0"/>
  </w:style>
  <w:style w:type="character" w:customStyle="1" w:styleId="153">
    <w:name w:val="temp6"/>
    <w:basedOn w:val="26"/>
    <w:qFormat/>
    <w:uiPriority w:val="0"/>
  </w:style>
  <w:style w:type="character" w:customStyle="1" w:styleId="154">
    <w:name w:val="temp7"/>
    <w:basedOn w:val="26"/>
    <w:qFormat/>
    <w:uiPriority w:val="0"/>
  </w:style>
  <w:style w:type="character" w:customStyle="1" w:styleId="155">
    <w:name w:val="temp8"/>
    <w:basedOn w:val="26"/>
    <w:qFormat/>
    <w:uiPriority w:val="0"/>
  </w:style>
  <w:style w:type="character" w:customStyle="1" w:styleId="156">
    <w:name w:val="content"/>
    <w:basedOn w:val="26"/>
    <w:qFormat/>
    <w:uiPriority w:val="0"/>
  </w:style>
  <w:style w:type="character" w:customStyle="1" w:styleId="157">
    <w:name w:val="last-child"/>
    <w:basedOn w:val="26"/>
    <w:qFormat/>
    <w:uiPriority w:val="0"/>
  </w:style>
  <w:style w:type="character" w:customStyle="1" w:styleId="158">
    <w:name w:val="last-child1"/>
    <w:basedOn w:val="26"/>
    <w:qFormat/>
    <w:uiPriority w:val="0"/>
  </w:style>
  <w:style w:type="character" w:customStyle="1" w:styleId="159">
    <w:name w:val="first-child"/>
    <w:basedOn w:val="26"/>
    <w:qFormat/>
    <w:uiPriority w:val="0"/>
  </w:style>
  <w:style w:type="character" w:customStyle="1" w:styleId="160">
    <w:name w:val="first-child4"/>
    <w:basedOn w:val="26"/>
    <w:qFormat/>
    <w:uiPriority w:val="0"/>
  </w:style>
  <w:style w:type="character" w:customStyle="1" w:styleId="161">
    <w:name w:val="hover11"/>
    <w:qFormat/>
    <w:uiPriority w:val="0"/>
    <w:rPr>
      <w:color w:val="3177FD"/>
    </w:rPr>
  </w:style>
  <w:style w:type="paragraph" w:styleId="162">
    <w:name w:val="No Spacing"/>
    <w:qFormat/>
    <w:uiPriority w:val="1"/>
    <w:pPr>
      <w:widowControl w:val="0"/>
      <w:spacing w:line="360" w:lineRule="auto"/>
      <w:jc w:val="both"/>
    </w:pPr>
    <w:rPr>
      <w:rFonts w:ascii="Times New Roman" w:hAnsi="Times New Roman" w:eastAsia="宋体" w:cs="Times New Roman"/>
      <w:kern w:val="2"/>
      <w:sz w:val="21"/>
      <w:lang w:val="en-US" w:eastAsia="zh-CN" w:bidi="ar-SA"/>
    </w:rPr>
  </w:style>
  <w:style w:type="paragraph" w:customStyle="1" w:styleId="163">
    <w:name w:val="纯文本6"/>
    <w:basedOn w:val="1"/>
    <w:qFormat/>
    <w:uiPriority w:val="0"/>
    <w:rPr>
      <w:rFonts w:ascii="宋体" w:hAnsi="Courier New" w:eastAsia="仿宋_GB2312"/>
      <w:sz w:val="30"/>
    </w:rPr>
  </w:style>
  <w:style w:type="paragraph" w:styleId="16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7"/>
    <customShpInfo spid="_x0000_s3076"/>
    <customShpInfo spid="_x0000_s3075"/>
    <customShpInfo spid="_x0000_s3080"/>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55</Pages>
  <Words>3211</Words>
  <Characters>4338</Characters>
  <Lines>46</Lines>
  <Paragraphs>66</Paragraphs>
  <TotalTime>2</TotalTime>
  <ScaleCrop>false</ScaleCrop>
  <LinksUpToDate>false</LinksUpToDate>
  <CharactersWithSpaces>4493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2025-06-25T06:47:00Z</dcterms:created>
  <dc:creator>胖丁</dc:creator>
  <cp:lastModifiedBy>妮妮</cp:lastModifiedBy>
  <cp:lastPrinted>2022-04-13T06:05:00Z</cp:lastPrinted>
  <dcterms:modified xsi:type="dcterms:W3CDTF">2025-07-07T02:14:56Z</dcterms:modified>
  <dc:title>xbany</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766687E3DF394DE88A7F07B91FDD001F</vt:lpwstr>
  </property>
  <property fmtid="{D5CDD505-2E9C-101B-9397-08002B2CF9AE}" pid="4" name="KSOTemplateDocerSaveRecord">
    <vt:lpwstr>eyJoZGlkIjoiY2NhNGRiMDI1MzU0YjUxZjQ4ZGI3ZWZkOTdjMGI5YzAiLCJ1c2VySWQiOiI1MTE2MjIwOTkifQ==</vt:lpwstr>
  </property>
</Properties>
</file>