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rPr>
      </w:pPr>
    </w:p>
    <w:p w14:paraId="37EDF207">
      <w:pPr>
        <w:pStyle w:val="8"/>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8"/>
        <w:jc w:val="center"/>
        <w:rPr>
          <w:rFonts w:hint="eastAsia" w:ascii="宋体" w:hAnsi="宋体" w:eastAsia="宋体" w:cs="宋体"/>
        </w:rPr>
      </w:pPr>
    </w:p>
    <w:p w14:paraId="589055D1">
      <w:pPr>
        <w:pStyle w:val="8"/>
        <w:jc w:val="center"/>
        <w:rPr>
          <w:rFonts w:hint="eastAsia" w:ascii="宋体" w:hAnsi="宋体" w:eastAsia="宋体" w:cs="宋体"/>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7ED924D4">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tzy</w:t>
      </w:r>
      <w:r>
        <w:rPr>
          <w:rFonts w:hint="eastAsia" w:ascii="宋体" w:hAnsi="宋体" w:cs="宋体"/>
          <w:color w:val="auto"/>
          <w:kern w:val="0"/>
          <w:sz w:val="28"/>
          <w:szCs w:val="28"/>
          <w:highlight w:val="none"/>
          <w:u w:val="single"/>
          <w:lang w:eastAsia="zh-CN"/>
        </w:rPr>
        <w:t>a2025-tz19</w:t>
      </w:r>
      <w:r>
        <w:rPr>
          <w:rFonts w:hint="eastAsia" w:ascii="宋体" w:hAnsi="宋体" w:eastAsia="宋体" w:cs="宋体"/>
          <w:color w:val="auto"/>
          <w:kern w:val="0"/>
          <w:sz w:val="28"/>
          <w:szCs w:val="28"/>
          <w:highlight w:val="none"/>
          <w:u w:val="single"/>
          <w:lang w:val="en-US" w:eastAsia="zh-CN"/>
        </w:rPr>
        <w:t xml:space="preserve"> </w:t>
      </w:r>
    </w:p>
    <w:p w14:paraId="73E885A2">
      <w:pPr>
        <w:pStyle w:val="8"/>
        <w:jc w:val="center"/>
        <w:rPr>
          <w:rFonts w:hint="eastAsia" w:ascii="宋体" w:hAnsi="宋体" w:eastAsia="宋体" w:cs="宋体"/>
          <w:color w:val="auto"/>
          <w:highlight w:val="none"/>
        </w:rPr>
      </w:pPr>
    </w:p>
    <w:p w14:paraId="1708585E">
      <w:pPr>
        <w:pStyle w:val="8"/>
        <w:jc w:val="both"/>
        <w:rPr>
          <w:rFonts w:hint="eastAsia" w:ascii="宋体" w:hAnsi="宋体" w:eastAsia="宋体" w:cs="宋体"/>
          <w:color w:val="auto"/>
          <w:highlight w:val="none"/>
        </w:rPr>
      </w:pPr>
    </w:p>
    <w:p w14:paraId="4C72AF17">
      <w:pPr>
        <w:pStyle w:val="8"/>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拔尖创新人才早期服务采购项目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台州市路桥中学</w:t>
      </w:r>
    </w:p>
    <w:p w14:paraId="37A6AD10">
      <w:pPr>
        <w:pStyle w:val="8"/>
        <w:rPr>
          <w:rFonts w:hint="eastAsia" w:ascii="宋体" w:hAnsi="宋体" w:eastAsia="宋体" w:cs="宋体"/>
          <w:color w:val="auto"/>
          <w:highlight w:val="none"/>
        </w:rPr>
      </w:pPr>
    </w:p>
    <w:p w14:paraId="4A758623">
      <w:pPr>
        <w:pStyle w:val="8"/>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8"/>
        <w:rPr>
          <w:rFonts w:hint="eastAsia" w:ascii="宋体" w:hAnsi="宋体" w:eastAsia="宋体" w:cs="宋体"/>
          <w:color w:val="auto"/>
          <w:highlight w:val="none"/>
        </w:rPr>
      </w:pPr>
    </w:p>
    <w:p w14:paraId="31A6DFC7">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4E71F3D">
      <w:pPr>
        <w:pStyle w:val="8"/>
        <w:jc w:val="center"/>
        <w:rPr>
          <w:rFonts w:hint="eastAsia" w:ascii="宋体" w:hAnsi="宋体" w:eastAsia="宋体" w:cs="宋体"/>
          <w:color w:val="auto"/>
          <w:kern w:val="0"/>
          <w:szCs w:val="21"/>
          <w:highlight w:val="none"/>
        </w:rPr>
      </w:pPr>
    </w:p>
    <w:p w14:paraId="293D9607">
      <w:pPr>
        <w:pStyle w:val="8"/>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8"/>
        <w:jc w:val="center"/>
        <w:rPr>
          <w:rFonts w:hint="eastAsia" w:ascii="宋体" w:hAnsi="宋体" w:eastAsia="宋体" w:cs="宋体"/>
          <w:color w:val="auto"/>
          <w:highlight w:val="none"/>
        </w:rPr>
      </w:pPr>
    </w:p>
    <w:p w14:paraId="50BA5BA5">
      <w:pPr>
        <w:pStyle w:val="8"/>
        <w:jc w:val="center"/>
        <w:rPr>
          <w:rFonts w:hint="eastAsia" w:ascii="宋体" w:hAnsi="宋体" w:eastAsia="宋体" w:cs="宋体"/>
          <w:color w:val="auto"/>
          <w:highlight w:val="none"/>
        </w:rPr>
      </w:pPr>
    </w:p>
    <w:p w14:paraId="1E1C4765">
      <w:pPr>
        <w:pStyle w:val="8"/>
        <w:jc w:val="center"/>
        <w:rPr>
          <w:rFonts w:hint="eastAsia" w:ascii="宋体" w:hAnsi="宋体" w:eastAsia="宋体" w:cs="宋体"/>
          <w:color w:val="auto"/>
          <w:highlight w:val="none"/>
        </w:rPr>
      </w:pPr>
    </w:p>
    <w:p w14:paraId="6222552D">
      <w:pPr>
        <w:pStyle w:val="8"/>
        <w:jc w:val="center"/>
        <w:rPr>
          <w:rFonts w:hint="eastAsia" w:ascii="宋体" w:hAnsi="宋体" w:eastAsia="宋体" w:cs="宋体"/>
          <w:color w:val="auto"/>
          <w:highlight w:val="none"/>
        </w:rPr>
      </w:pPr>
    </w:p>
    <w:p w14:paraId="331CADB1">
      <w:pPr>
        <w:pStyle w:val="8"/>
        <w:jc w:val="center"/>
        <w:rPr>
          <w:rFonts w:hint="eastAsia" w:ascii="宋体" w:hAnsi="宋体" w:eastAsia="宋体" w:cs="宋体"/>
          <w:color w:val="auto"/>
          <w:highlight w:val="none"/>
        </w:rPr>
      </w:pPr>
    </w:p>
    <w:p w14:paraId="7DA842D4">
      <w:pPr>
        <w:pStyle w:val="8"/>
        <w:jc w:val="center"/>
        <w:rPr>
          <w:rFonts w:hint="eastAsia" w:ascii="宋体" w:hAnsi="宋体" w:eastAsia="宋体" w:cs="宋体"/>
          <w:color w:val="auto"/>
          <w:highlight w:val="none"/>
        </w:rPr>
      </w:pPr>
    </w:p>
    <w:p w14:paraId="2D68CF0D">
      <w:pPr>
        <w:pStyle w:val="8"/>
        <w:jc w:val="center"/>
        <w:rPr>
          <w:rFonts w:hint="eastAsia" w:ascii="宋体" w:hAnsi="宋体" w:eastAsia="宋体" w:cs="宋体"/>
          <w:color w:val="auto"/>
          <w:highlight w:val="none"/>
        </w:rPr>
      </w:pPr>
    </w:p>
    <w:p w14:paraId="35BB7733">
      <w:pPr>
        <w:pStyle w:val="8"/>
        <w:jc w:val="center"/>
        <w:rPr>
          <w:rFonts w:hint="eastAsia" w:ascii="宋体" w:hAnsi="宋体" w:eastAsia="宋体" w:cs="宋体"/>
          <w:color w:val="auto"/>
          <w:highlight w:val="none"/>
        </w:rPr>
      </w:pPr>
    </w:p>
    <w:p w14:paraId="02B431F4">
      <w:pPr>
        <w:pStyle w:val="8"/>
        <w:jc w:val="center"/>
        <w:rPr>
          <w:rFonts w:hint="eastAsia" w:ascii="宋体" w:hAnsi="宋体" w:eastAsia="宋体" w:cs="宋体"/>
          <w:color w:val="auto"/>
          <w:highlight w:val="none"/>
        </w:rPr>
      </w:pPr>
    </w:p>
    <w:p w14:paraId="4F419DB2">
      <w:pPr>
        <w:pStyle w:val="8"/>
        <w:jc w:val="center"/>
        <w:rPr>
          <w:rFonts w:hint="eastAsia" w:ascii="宋体" w:hAnsi="宋体" w:eastAsia="宋体" w:cs="宋体"/>
          <w:color w:val="auto"/>
          <w:highlight w:val="none"/>
        </w:rPr>
      </w:pPr>
    </w:p>
    <w:p w14:paraId="1CFACB3E">
      <w:pPr>
        <w:pStyle w:val="8"/>
        <w:jc w:val="center"/>
        <w:rPr>
          <w:rFonts w:hint="eastAsia" w:ascii="宋体" w:hAnsi="宋体" w:eastAsia="宋体" w:cs="宋体"/>
          <w:color w:val="auto"/>
          <w:highlight w:val="none"/>
        </w:rPr>
      </w:pPr>
    </w:p>
    <w:p w14:paraId="6EA18690">
      <w:pPr>
        <w:pStyle w:val="8"/>
        <w:jc w:val="center"/>
        <w:rPr>
          <w:rFonts w:hint="eastAsia" w:ascii="宋体" w:hAnsi="宋体" w:eastAsia="宋体" w:cs="宋体"/>
          <w:color w:val="auto"/>
          <w:highlight w:val="none"/>
        </w:rPr>
      </w:pPr>
    </w:p>
    <w:p w14:paraId="429902BF">
      <w:pPr>
        <w:pStyle w:val="21"/>
        <w:rPr>
          <w:rFonts w:hint="eastAsia" w:ascii="宋体" w:hAnsi="宋体" w:eastAsia="宋体" w:cs="宋体"/>
          <w:color w:val="auto"/>
          <w:highlight w:val="none"/>
        </w:rPr>
      </w:pPr>
    </w:p>
    <w:p w14:paraId="0BAAC219">
      <w:pPr>
        <w:pStyle w:val="21"/>
        <w:rPr>
          <w:rFonts w:hint="eastAsia" w:ascii="宋体" w:hAnsi="宋体" w:eastAsia="宋体" w:cs="宋体"/>
          <w:color w:val="auto"/>
          <w:highlight w:val="none"/>
        </w:rPr>
      </w:pPr>
    </w:p>
    <w:p w14:paraId="1190BB94">
      <w:pPr>
        <w:pStyle w:val="8"/>
        <w:jc w:val="center"/>
        <w:rPr>
          <w:rFonts w:hint="eastAsia" w:ascii="宋体" w:hAnsi="宋体" w:eastAsia="宋体" w:cs="宋体"/>
          <w:color w:val="auto"/>
          <w:highlight w:val="none"/>
        </w:rPr>
      </w:pPr>
    </w:p>
    <w:p w14:paraId="077DDCED">
      <w:pPr>
        <w:pStyle w:val="21"/>
        <w:rPr>
          <w:rFonts w:hint="eastAsia" w:ascii="宋体" w:hAnsi="宋体" w:eastAsia="宋体" w:cs="宋体"/>
          <w:color w:val="auto"/>
          <w:highlight w:val="none"/>
        </w:rPr>
      </w:pPr>
    </w:p>
    <w:p w14:paraId="45DE0236">
      <w:pPr>
        <w:pStyle w:val="8"/>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1B3D3778">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拔尖创新人才早期服务采购项目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tzya2025-tz19</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42"/>
        <w:gridCol w:w="817"/>
        <w:gridCol w:w="850"/>
        <w:gridCol w:w="1283"/>
        <w:gridCol w:w="1039"/>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42"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17"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50"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83"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39" w:type="dxa"/>
            <w:noWrap w:val="0"/>
            <w:vAlign w:val="center"/>
          </w:tcPr>
          <w:p w14:paraId="13560F61">
            <w:pPr>
              <w:tabs>
                <w:tab w:val="left" w:pos="8280"/>
              </w:tabs>
              <w:autoSpaceDE w:val="0"/>
              <w:autoSpaceDN w:val="0"/>
              <w:adjustRightInd w:val="0"/>
              <w:ind w:right="25" w:firstLine="24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拔尖创新人才早期服务采购项目</w:t>
            </w:r>
          </w:p>
        </w:tc>
        <w:tc>
          <w:tcPr>
            <w:tcW w:w="1642"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17"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0"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283"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74</w:t>
            </w:r>
          </w:p>
        </w:tc>
        <w:tc>
          <w:tcPr>
            <w:tcW w:w="1039"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38B14CF9">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79BA9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w:t>
      </w:r>
      <w:r>
        <w:rPr>
          <w:rStyle w:val="26"/>
          <w:rFonts w:hint="eastAsia" w:ascii="宋体" w:hAnsi="宋体" w:cs="宋体"/>
          <w:i w:val="0"/>
          <w:caps w:val="0"/>
          <w:color w:val="auto"/>
          <w:spacing w:val="0"/>
          <w:sz w:val="21"/>
          <w:szCs w:val="21"/>
          <w:highlight w:val="none"/>
          <w:lang w:val="en-US" w:eastAsia="zh-CN"/>
        </w:rPr>
        <w:t>登录</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774784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ascii="宋体" w:hAnsi="宋体" w:eastAsia="宋体"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427CEA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递交磋商响应文件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 xml:space="preserve">2025年  月  日上午9:00整，地点：通过“政府采购云平台（www.zcygov.cn）”实行在线投标响应   </w:t>
      </w:r>
    </w:p>
    <w:p w14:paraId="5553A1F1">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  月  日上午9:00整，地点：通过“政府采购云平台（www.zcygov.cn）”实行在线投标响应</w:t>
      </w:r>
    </w:p>
    <w:p w14:paraId="2D514735">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2025年  月  日上午9:30整</w:t>
      </w:r>
    </w:p>
    <w:p w14:paraId="4F1F0C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806F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0ED6FE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联系人：林女士</w:t>
      </w:r>
    </w:p>
    <w:p w14:paraId="3A12F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联系电话：0576-88882270,15757696186</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3552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台州市路桥中学</w:t>
      </w:r>
    </w:p>
    <w:p w14:paraId="139E9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询问联系人：</w:t>
      </w:r>
      <w:r>
        <w:rPr>
          <w:rFonts w:hint="eastAsia" w:ascii="宋体" w:hAnsi="宋体" w:eastAsia="宋体" w:cs="宋体"/>
          <w:color w:val="auto"/>
          <w:sz w:val="21"/>
          <w:szCs w:val="21"/>
          <w:highlight w:val="none"/>
          <w:lang w:val="en-US" w:eastAsia="zh-CN"/>
        </w:rPr>
        <w:t>曾老师</w:t>
      </w:r>
      <w:r>
        <w:rPr>
          <w:rFonts w:hint="eastAsia" w:ascii="宋体" w:hAnsi="宋体" w:eastAsia="宋体" w:cs="宋体"/>
          <w:color w:val="auto"/>
          <w:sz w:val="21"/>
          <w:szCs w:val="21"/>
          <w:highlight w:val="none"/>
        </w:rPr>
        <w:t xml:space="preserve">      询问联系电话：</w:t>
      </w:r>
      <w:r>
        <w:rPr>
          <w:rFonts w:hint="eastAsia" w:ascii="宋体" w:hAnsi="宋体" w:eastAsia="宋体" w:cs="宋体"/>
          <w:color w:val="auto"/>
          <w:sz w:val="21"/>
          <w:szCs w:val="21"/>
          <w:highlight w:val="none"/>
          <w:lang w:eastAsia="zh-CN"/>
        </w:rPr>
        <w:t>0576-</w:t>
      </w:r>
      <w:r>
        <w:rPr>
          <w:rFonts w:hint="eastAsia" w:ascii="宋体" w:hAnsi="宋体" w:eastAsia="宋体" w:cs="宋体"/>
          <w:color w:val="auto"/>
          <w:sz w:val="21"/>
          <w:szCs w:val="21"/>
          <w:highlight w:val="none"/>
          <w:lang w:val="en-US" w:eastAsia="zh-CN"/>
        </w:rPr>
        <w:t>89282022</w:t>
      </w:r>
    </w:p>
    <w:p w14:paraId="52486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陈老师</w:t>
      </w:r>
      <w:r>
        <w:rPr>
          <w:rFonts w:hint="eastAsia" w:ascii="宋体" w:hAnsi="宋体" w:eastAsia="宋体" w:cs="宋体"/>
          <w:color w:val="auto"/>
          <w:sz w:val="21"/>
          <w:szCs w:val="21"/>
          <w:highlight w:val="none"/>
        </w:rPr>
        <w:t xml:space="preserve">      质疑联系电话：13968687718</w:t>
      </w:r>
    </w:p>
    <w:p w14:paraId="44B6BD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eastAsia="zh-CN"/>
        </w:rPr>
        <w:t>台州市路桥区银安街99号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3D9C49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1EA7C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61A50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6230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7C9F53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9C70C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7FA3A4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8"/>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二○二五年六月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日上午9:00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日上午9:00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9:30</w:t>
            </w:r>
            <w:r>
              <w:rPr>
                <w:rFonts w:hint="eastAsia" w:ascii="宋体" w:hAnsi="宋体" w:eastAsia="宋体" w:cs="宋体"/>
                <w:color w:val="auto"/>
                <w:sz w:val="21"/>
                <w:szCs w:val="21"/>
                <w:highlight w:val="none"/>
              </w:rPr>
              <w:t>（北京时间）</w:t>
            </w:r>
          </w:p>
          <w:p w14:paraId="636F6A39">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763BA04C">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79319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0EBE44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1568FFF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21989E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76B9E3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54D5FA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供应商认为需要说明的其他材料；</w:t>
      </w:r>
    </w:p>
    <w:p w14:paraId="76E471C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528AA6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45A2B8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w:t>
      </w:r>
      <w:r>
        <w:rPr>
          <w:rFonts w:hint="eastAsia" w:ascii="宋体" w:hAnsi="宋体" w:eastAsia="宋体" w:cs="宋体"/>
          <w:b/>
          <w:color w:val="auto"/>
          <w:sz w:val="21"/>
          <w:szCs w:val="21"/>
          <w:highlight w:val="none"/>
          <w:u w:val="single"/>
          <w:lang w:eastAsia="zh-CN"/>
        </w:rPr>
        <w:t>磋商文件</w:t>
      </w:r>
      <w:r>
        <w:rPr>
          <w:rFonts w:hint="eastAsia" w:ascii="宋体" w:hAnsi="宋体" w:eastAsia="宋体" w:cs="宋体"/>
          <w:b/>
          <w:color w:val="auto"/>
          <w:sz w:val="21"/>
          <w:szCs w:val="21"/>
          <w:highlight w:val="none"/>
          <w:u w:val="single"/>
        </w:rPr>
        <w:t>中有专门标注的某关联点，并要求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在</w:t>
      </w:r>
      <w:r>
        <w:rPr>
          <w:rFonts w:hint="eastAsia" w:ascii="宋体" w:hAnsi="宋体" w:eastAsia="宋体" w:cs="宋体"/>
          <w:b/>
          <w:color w:val="auto"/>
          <w:sz w:val="21"/>
          <w:szCs w:val="21"/>
          <w:highlight w:val="none"/>
          <w:u w:val="single"/>
          <w:lang w:eastAsia="zh-CN"/>
        </w:rPr>
        <w:t>电子投标</w:t>
      </w:r>
      <w:r>
        <w:rPr>
          <w:rFonts w:hint="eastAsia" w:ascii="宋体" w:hAnsi="宋体" w:eastAsia="宋体" w:cs="宋体"/>
          <w:b/>
          <w:color w:val="auto"/>
          <w:sz w:val="21"/>
          <w:szCs w:val="21"/>
          <w:highlight w:val="none"/>
          <w:u w:val="single"/>
        </w:rPr>
        <w:t>系统中作出</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响应的，如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未对关联点进行响应或者在</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其它内容进行描述，造成电子评审不能查询的责任由</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自行承担。</w:t>
      </w:r>
    </w:p>
    <w:p w14:paraId="467F68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04790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F4530A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6A2214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5D5B3DC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rPr>
        <w:t>台州市椒江区中环世纪6幢801室（交通银行台州分行楼上）收件人：俞雅琪；联系电话：15757696186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74B4C9A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w:t>
      </w:r>
      <w:r>
        <w:rPr>
          <w:rFonts w:hint="eastAsia" w:ascii="宋体" w:hAnsi="宋体" w:eastAsia="宋体" w:cs="宋体"/>
          <w:b w:val="0"/>
          <w:bCs w:val="0"/>
          <w:color w:val="auto"/>
          <w:kern w:val="2"/>
          <w:sz w:val="21"/>
          <w:szCs w:val="21"/>
          <w:highlight w:val="none"/>
          <w:lang w:val="en-US" w:eastAsia="zh-CN" w:bidi="ar-SA"/>
        </w:rPr>
        <w:t>件，电子交易平台将拒收。</w:t>
      </w:r>
    </w:p>
    <w:p w14:paraId="47E9EFE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19FFDB9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4BF40E0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75BFE250">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569289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453484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p>
    <w:p w14:paraId="76BF63F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24BB6131">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4754150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2A923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w:t>
      </w:r>
      <w:r>
        <w:rPr>
          <w:rFonts w:hint="eastAsia" w:ascii="宋体" w:hAnsi="宋体" w:eastAsia="宋体" w:cs="宋体"/>
          <w:color w:val="auto"/>
          <w:kern w:val="0"/>
          <w:sz w:val="21"/>
          <w:szCs w:val="21"/>
          <w:highlight w:val="none"/>
        </w:rPr>
        <w:t>被拒绝的条款）。</w:t>
      </w:r>
    </w:p>
    <w:p w14:paraId="41B9F37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不同供应商联系人为同一人或不同联系人的联系电话一致的。</w:t>
      </w:r>
    </w:p>
    <w:p w14:paraId="2530C12D">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标准》。</w:t>
      </w:r>
    </w:p>
    <w:p w14:paraId="3A1C949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电子交易异常情形处理</w:t>
      </w:r>
    </w:p>
    <w:p w14:paraId="03935F0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电子交易平台发生故障而无法登录访问的；</w:t>
      </w:r>
    </w:p>
    <w:p w14:paraId="7846708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电子交易平台应用或数据库出现错误，不能进行正常操作的；</w:t>
      </w:r>
    </w:p>
    <w:p w14:paraId="545EBB2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电子交易平台发现严重安全漏洞，有潜在泄密危险的；</w:t>
      </w:r>
    </w:p>
    <w:p w14:paraId="3D96A54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病毒发作导致不能进行正常操作的；</w:t>
      </w:r>
    </w:p>
    <w:p w14:paraId="01F9AA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其他无法保证电子交易的公平、公正和安全的情况。</w:t>
      </w:r>
    </w:p>
    <w:p w14:paraId="57EA38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出现</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 w:val="21"/>
          <w:szCs w:val="21"/>
          <w:highlight w:val="none"/>
          <w:lang w:eastAsia="zh-CN"/>
        </w:rPr>
        <w:t>。</w:t>
      </w:r>
    </w:p>
    <w:p w14:paraId="029D8F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C76F3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11A82A6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tblGrid>
      <w:tr w14:paraId="355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43758DAD">
            <w:pPr>
              <w:adjustRightInd w:val="0"/>
              <w:snapToGrid w:val="0"/>
              <w:spacing w:line="240" w:lineRule="auto"/>
              <w:ind w:left="-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72CF2AC1">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043D0581">
            <w:pPr>
              <w:adjustRightInd w:val="0"/>
              <w:snapToGrid w:val="0"/>
              <w:spacing w:line="24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4509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restart"/>
            <w:vAlign w:val="center"/>
          </w:tcPr>
          <w:p w14:paraId="46466726">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w:t>
            </w:r>
            <w:r>
              <w:rPr>
                <w:rFonts w:hint="eastAsia" w:asciiTheme="minorEastAsia" w:hAnsiTheme="minorEastAsia" w:eastAsiaTheme="minorEastAsia" w:cstheme="minorEastAsia"/>
                <w:bCs/>
                <w:color w:val="auto"/>
                <w:sz w:val="21"/>
                <w:szCs w:val="21"/>
                <w:highlight w:val="none"/>
                <w:lang w:val="en-US" w:eastAsia="zh-CN"/>
              </w:rPr>
              <w:t>分）</w:t>
            </w:r>
          </w:p>
        </w:tc>
        <w:tc>
          <w:tcPr>
            <w:tcW w:w="1087" w:type="dxa"/>
            <w:vMerge w:val="restart"/>
            <w:vAlign w:val="center"/>
          </w:tcPr>
          <w:p w14:paraId="1080B2D9">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r>
              <w:rPr>
                <w:rFonts w:hint="eastAsia" w:ascii="宋体" w:hAnsi="宋体" w:eastAsia="宋体" w:cs="宋体"/>
                <w:i w:val="0"/>
                <w:iCs w:val="0"/>
                <w:color w:val="auto"/>
                <w:kern w:val="0"/>
                <w:sz w:val="21"/>
                <w:szCs w:val="21"/>
                <w:highlight w:val="none"/>
                <w:u w:val="none"/>
                <w:lang w:val="en-US" w:eastAsia="zh-CN" w:bidi="ar"/>
              </w:rPr>
              <w:t>师资配备情</w:t>
            </w:r>
            <w:r>
              <w:rPr>
                <w:rFonts w:hint="eastAsia" w:ascii="宋体" w:hAnsi="宋体" w:eastAsia="宋体" w:cs="宋体"/>
                <w:i w:val="0"/>
                <w:iCs w:val="0"/>
                <w:color w:val="auto"/>
                <w:kern w:val="0"/>
                <w:sz w:val="21"/>
                <w:szCs w:val="21"/>
                <w:highlight w:val="none"/>
                <w:u w:val="none"/>
                <w:lang w:val="en-US" w:eastAsia="zh-CN" w:bidi="ar"/>
              </w:rPr>
              <w:t>况</w:t>
            </w:r>
            <w:r>
              <w:rPr>
                <w:rFonts w:hint="eastAsia" w:ascii="宋体" w:hAnsi="宋体" w:eastAsia="宋体" w:cs="宋体"/>
                <w:b/>
                <w:bCs/>
                <w:i w:val="0"/>
                <w:iCs w:val="0"/>
                <w:color w:val="auto"/>
                <w:kern w:val="0"/>
                <w:sz w:val="21"/>
                <w:szCs w:val="21"/>
                <w:highlight w:val="none"/>
                <w:u w:val="none"/>
                <w:lang w:val="en-US" w:eastAsia="zh-CN" w:bidi="ar"/>
              </w:rPr>
              <w:t>（同一人员不重复得分）</w:t>
            </w:r>
          </w:p>
        </w:tc>
        <w:tc>
          <w:tcPr>
            <w:tcW w:w="6974" w:type="dxa"/>
            <w:shd w:val="clear" w:color="auto" w:fill="auto"/>
            <w:vAlign w:val="center"/>
          </w:tcPr>
          <w:p w14:paraId="6D5EDF1B">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学科专家</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顾问</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具有教授职称证书的，每提供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0580E87F">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拟配备学科专家、顾问</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2B44149B">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179EB15B">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12</w:t>
            </w:r>
          </w:p>
        </w:tc>
      </w:tr>
      <w:tr w14:paraId="543B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4A6A225A">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4E0274BE">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65E240ED">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学科负责人至少</w:t>
            </w: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w:t>
            </w:r>
            <w:r>
              <w:rPr>
                <w:rFonts w:hint="eastAsia" w:asciiTheme="minorEastAsia" w:hAnsiTheme="minorEastAsia" w:eastAsiaTheme="minorEastAsia" w:cstheme="minorEastAsia"/>
                <w:color w:val="auto"/>
                <w:highlight w:val="none"/>
                <w:lang w:val="en-US" w:eastAsia="zh-CN"/>
              </w:rPr>
              <w:t>正高级</w:t>
            </w:r>
            <w:r>
              <w:rPr>
                <w:rFonts w:hint="eastAsia" w:asciiTheme="minorEastAsia" w:hAnsiTheme="minorEastAsia" w:eastAsiaTheme="minorEastAsia" w:cstheme="minorEastAsia"/>
                <w:color w:val="auto"/>
                <w:highlight w:val="none"/>
                <w:lang w:val="en-US"/>
              </w:rPr>
              <w:t>教师证书的，每提供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16D1F794">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拟配备学科负责人</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0CFC3643">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6CBBDBD">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r>
      <w:tr w14:paraId="0D58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20E5ECA9">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6D842759">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7FAF9084">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助教老师至少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具有清华</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lang w:val="en-US"/>
              </w:rPr>
              <w:t>北大大学毕业证书的，每提供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250CC587">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拟配备助教老师</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36BBC599">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921F27C">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r>
      <w:tr w14:paraId="7FD8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2287C1FC">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053F513C">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63B129D2">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拟配备服务团队中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有教师资格证</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val="en-US"/>
              </w:rPr>
              <w:t>，每提供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04416657">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97B828B">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14:paraId="2D1B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54" w:type="dxa"/>
            <w:vMerge w:val="continue"/>
            <w:vAlign w:val="center"/>
          </w:tcPr>
          <w:p w14:paraId="41C56E63">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shd w:val="clear" w:color="auto" w:fill="auto"/>
            <w:vAlign w:val="center"/>
          </w:tcPr>
          <w:p w14:paraId="37862BF6">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6974" w:type="dxa"/>
            <w:shd w:val="clear" w:color="auto" w:fill="auto"/>
            <w:vAlign w:val="center"/>
          </w:tcPr>
          <w:p w14:paraId="4265BBBE">
            <w:pPr>
              <w:widowControl/>
              <w:adjustRightInd w:val="0"/>
              <w:snapToGri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自2022</w:t>
            </w:r>
            <w:r>
              <w:rPr>
                <w:rFonts w:hint="eastAsia" w:asciiTheme="minorEastAsia" w:hAnsiTheme="minorEastAsia" w:eastAsiaTheme="minorEastAsia" w:cstheme="minorEastAsia"/>
                <w:color w:val="auto"/>
                <w:sz w:val="21"/>
                <w:szCs w:val="21"/>
                <w:highlight w:val="none"/>
                <w:lang w:val="en-US" w:eastAsia="zh-CN"/>
              </w:rPr>
              <w:t>年1月1日至今（以合同签订时间为准），承接过类似的合作项目的得2分。</w:t>
            </w:r>
          </w:p>
          <w:p w14:paraId="4CEDDEF2">
            <w:pPr>
              <w:widowControl/>
              <w:adjustRightInd w:val="0"/>
              <w:snapToGrid w:val="0"/>
              <w:spacing w:line="240" w:lineRule="auto"/>
              <w:jc w:val="left"/>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合同扫描件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1032AA70">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14:paraId="2ED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54" w:type="dxa"/>
            <w:vMerge w:val="restart"/>
            <w:vAlign w:val="center"/>
          </w:tcPr>
          <w:p w14:paraId="318E51D0">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49</w:t>
            </w:r>
            <w:r>
              <w:rPr>
                <w:rFonts w:hint="eastAsia" w:asciiTheme="minorEastAsia" w:hAnsiTheme="minorEastAsia" w:eastAsiaTheme="minorEastAsia" w:cstheme="minorEastAsia"/>
                <w:bCs/>
                <w:color w:val="auto"/>
                <w:sz w:val="21"/>
                <w:szCs w:val="21"/>
                <w:highlight w:val="none"/>
              </w:rPr>
              <w:t>分）</w:t>
            </w:r>
          </w:p>
        </w:tc>
        <w:tc>
          <w:tcPr>
            <w:tcW w:w="1087" w:type="dxa"/>
            <w:vAlign w:val="center"/>
          </w:tcPr>
          <w:p w14:paraId="79EF826B">
            <w:pPr>
              <w:autoSpaceDE w:val="0"/>
              <w:autoSpaceDN w:val="0"/>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项目理解</w:t>
            </w:r>
          </w:p>
        </w:tc>
        <w:tc>
          <w:tcPr>
            <w:tcW w:w="6974" w:type="dxa"/>
            <w:vAlign w:val="center"/>
          </w:tcPr>
          <w:p w14:paraId="164325F4">
            <w:pPr>
              <w:widowControl/>
              <w:adjustRightInd w:val="0"/>
              <w:snapToGrid w:val="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Cs w:val="21"/>
                <w:highlight w:val="none"/>
              </w:rPr>
              <w:t>对</w:t>
            </w:r>
            <w:r>
              <w:rPr>
                <w:rFonts w:hint="eastAsia" w:asciiTheme="minorEastAsia" w:hAnsiTheme="minorEastAsia" w:eastAsiaTheme="minorEastAsia" w:cstheme="minorEastAsia"/>
                <w:color w:val="auto"/>
                <w:szCs w:val="21"/>
                <w:highlight w:val="none"/>
                <w:lang w:val="en-US" w:eastAsia="zh-CN"/>
              </w:rPr>
              <w:t>政策了解、</w:t>
            </w:r>
            <w:r>
              <w:rPr>
                <w:rFonts w:hint="eastAsia" w:asciiTheme="minorEastAsia" w:hAnsiTheme="minorEastAsia" w:eastAsiaTheme="minorEastAsia" w:cstheme="minorEastAsia"/>
                <w:color w:val="auto"/>
                <w:szCs w:val="21"/>
                <w:highlight w:val="none"/>
              </w:rPr>
              <w:t>台州市路桥中学教育教学</w:t>
            </w:r>
            <w:r>
              <w:rPr>
                <w:rFonts w:hint="eastAsia" w:asciiTheme="minorEastAsia" w:hAnsiTheme="minorEastAsia" w:eastAsiaTheme="minorEastAsia" w:cstheme="minorEastAsia"/>
                <w:color w:val="auto"/>
                <w:szCs w:val="21"/>
                <w:highlight w:val="none"/>
                <w:lang w:val="en-US" w:eastAsia="zh-CN"/>
              </w:rPr>
              <w:t>现状</w:t>
            </w:r>
            <w:r>
              <w:rPr>
                <w:rFonts w:hint="eastAsia" w:asciiTheme="minorEastAsia" w:hAnsiTheme="minorEastAsia" w:eastAsiaTheme="minorEastAsia" w:cstheme="minorEastAsia"/>
                <w:color w:val="auto"/>
                <w:szCs w:val="21"/>
                <w:highlight w:val="none"/>
              </w:rPr>
              <w:t>等方面情况的</w:t>
            </w:r>
            <w:r>
              <w:rPr>
                <w:rFonts w:hint="eastAsia" w:asciiTheme="minorEastAsia" w:hAnsiTheme="minorEastAsia" w:eastAsiaTheme="minorEastAsia" w:cstheme="minorEastAsia"/>
                <w:color w:val="auto"/>
                <w:szCs w:val="21"/>
                <w:highlight w:val="none"/>
                <w:lang w:val="en-US" w:eastAsia="zh-CN"/>
              </w:rPr>
              <w:t>调查了解分析</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6604D76A">
            <w:pPr>
              <w:widowControl/>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1C9C1427">
            <w:pPr>
              <w:widowControl/>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F7FD439">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调查分析内容简略，与实际情况有一定差距的得2分；</w:t>
            </w:r>
          </w:p>
          <w:p w14:paraId="096741DB">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调查分析内容简单，与实际情况差距较大的得1分；</w:t>
            </w:r>
          </w:p>
          <w:p w14:paraId="16AC4241">
            <w:pPr>
              <w:widowControl/>
              <w:adjustRightInd w:val="0"/>
              <w:snapToGrid w:val="0"/>
              <w:jc w:val="left"/>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4D03C963">
            <w:pPr>
              <w:tabs>
                <w:tab w:val="left" w:pos="780"/>
              </w:tabs>
              <w:autoSpaceDE w:val="0"/>
              <w:autoSpaceDN w:val="0"/>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r>
      <w:tr w14:paraId="7229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4" w:type="dxa"/>
            <w:vMerge w:val="continue"/>
            <w:vAlign w:val="center"/>
          </w:tcPr>
          <w:p w14:paraId="047EE7A7">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60921FAF">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服务保障</w:t>
            </w:r>
          </w:p>
        </w:tc>
        <w:tc>
          <w:tcPr>
            <w:tcW w:w="6974" w:type="dxa"/>
            <w:vAlign w:val="center"/>
          </w:tcPr>
          <w:p w14:paraId="24D83384">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20319DA8">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入选中学生奥林匹克竞赛国家集训队20人及以上的得8分，19人—10人得6分，9人-1人得3分，没有的不得分。</w:t>
            </w:r>
          </w:p>
          <w:p w14:paraId="67D68846">
            <w:pPr>
              <w:keepNext w:val="0"/>
              <w:keepLines w:val="0"/>
              <w:widowControl/>
              <w:numPr>
                <w:ilvl w:val="0"/>
                <w:numId w:val="0"/>
              </w:numPr>
              <w:suppressLineNumbers w:val="0"/>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②中国科协全国青少年科技中心网站（https://gs.cyscc.org/）上公布的国家集训队获得者公示名单截图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30251C72">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14:paraId="2515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54" w:type="dxa"/>
            <w:vMerge w:val="continue"/>
            <w:vAlign w:val="center"/>
          </w:tcPr>
          <w:p w14:paraId="2D1260AF">
            <w:pPr>
              <w:widowControl/>
              <w:adjustRightInd w:val="0"/>
              <w:snapToGrid w:val="0"/>
              <w:jc w:val="left"/>
              <w:rPr>
                <w:color w:val="auto"/>
                <w:highlight w:val="none"/>
              </w:rPr>
            </w:pPr>
          </w:p>
        </w:tc>
        <w:tc>
          <w:tcPr>
            <w:tcW w:w="1087" w:type="dxa"/>
            <w:vMerge w:val="continue"/>
            <w:vAlign w:val="center"/>
          </w:tcPr>
          <w:p w14:paraId="7D67F670">
            <w:pPr>
              <w:widowControl/>
              <w:adjustRightInd w:val="0"/>
              <w:snapToGrid w:val="0"/>
              <w:jc w:val="left"/>
              <w:rPr>
                <w:rFonts w:hint="eastAsia" w:ascii="宋体" w:hAnsi="宋体" w:eastAsia="宋体" w:cs="宋体"/>
                <w:color w:val="auto"/>
                <w:highlight w:val="none"/>
              </w:rPr>
            </w:pPr>
          </w:p>
        </w:tc>
        <w:tc>
          <w:tcPr>
            <w:tcW w:w="6974" w:type="dxa"/>
            <w:vAlign w:val="center"/>
          </w:tcPr>
          <w:p w14:paraId="20B6FF1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2271D0E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获得中学生奥林匹克竞赛国家金牌40人及以上的得7分，39人—20人得3分，19人-1人得1分，没有的不得分。</w:t>
            </w:r>
          </w:p>
          <w:p w14:paraId="6D23D0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w:t>
            </w:r>
            <w:r>
              <w:rPr>
                <w:rFonts w:hint="eastAsia" w:ascii="宋体" w:hAnsi="宋体" w:eastAsia="宋体" w:cs="宋体"/>
                <w:b/>
                <w:bCs/>
                <w:color w:val="auto"/>
                <w:highlight w:val="none"/>
                <w:lang w:val="en-US" w:eastAsia="zh-CN"/>
              </w:rPr>
              <w:t>竞赛金牌</w:t>
            </w:r>
            <w:r>
              <w:rPr>
                <w:rFonts w:hint="eastAsia" w:ascii="宋体" w:hAnsi="宋体" w:eastAsia="宋体" w:cs="宋体"/>
                <w:b/>
                <w:bCs/>
                <w:color w:val="auto"/>
                <w:highlight w:val="none"/>
                <w:lang w:val="en-US"/>
              </w:rPr>
              <w:t>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033BB9AC">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r>
      <w:tr w14:paraId="611B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420A3DD9">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5B837EE7">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6974" w:type="dxa"/>
            <w:vAlign w:val="center"/>
          </w:tcPr>
          <w:p w14:paraId="6CA7D3B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1689E07B">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18B1B251">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03D80375">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w:t>
            </w:r>
            <w:r>
              <w:rPr>
                <w:rFonts w:hint="eastAsia" w:asciiTheme="minorEastAsia" w:hAnsiTheme="minorEastAsia" w:eastAsiaTheme="minorEastAsia" w:cstheme="minorEastAsia"/>
                <w:bCs/>
                <w:color w:val="auto"/>
                <w:szCs w:val="21"/>
                <w:highlight w:val="none"/>
                <w:lang w:val="en-US" w:eastAsia="zh-CN"/>
              </w:rPr>
              <w:t>分；</w:t>
            </w:r>
          </w:p>
          <w:p w14:paraId="09C8D846">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1ED8C7BF">
            <w:pPr>
              <w:pStyle w:val="8"/>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3ECA7F12">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4616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7584E5B6">
            <w:pPr>
              <w:pStyle w:val="8"/>
              <w:adjustRightInd w:val="0"/>
              <w:snapToGrid w:val="0"/>
              <w:spacing w:after="0" w:line="240" w:lineRule="auto"/>
              <w:rPr>
                <w:rFonts w:hint="eastAsia" w:asciiTheme="minorEastAsia" w:hAnsiTheme="minorEastAsia" w:eastAsiaTheme="minorEastAsia" w:cstheme="minorEastAsia"/>
                <w:color w:val="auto"/>
                <w:highlight w:val="none"/>
              </w:rPr>
            </w:pPr>
          </w:p>
        </w:tc>
        <w:tc>
          <w:tcPr>
            <w:tcW w:w="1087" w:type="dxa"/>
            <w:vMerge w:val="continue"/>
            <w:vAlign w:val="center"/>
          </w:tcPr>
          <w:p w14:paraId="54318EB9">
            <w:pPr>
              <w:pStyle w:val="8"/>
              <w:adjustRightInd w:val="0"/>
              <w:snapToGrid w:val="0"/>
              <w:spacing w:after="0" w:line="240" w:lineRule="auto"/>
              <w:rPr>
                <w:rFonts w:hint="eastAsia" w:asciiTheme="minorEastAsia" w:hAnsiTheme="minorEastAsia" w:eastAsiaTheme="minorEastAsia" w:cstheme="minorEastAsia"/>
                <w:color w:val="auto"/>
                <w:highlight w:val="none"/>
              </w:rPr>
            </w:pPr>
          </w:p>
        </w:tc>
        <w:tc>
          <w:tcPr>
            <w:tcW w:w="6974" w:type="dxa"/>
            <w:vAlign w:val="center"/>
          </w:tcPr>
          <w:p w14:paraId="02F2086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5BF60AB0">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3488339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50AADAAB">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w:t>
            </w:r>
            <w:r>
              <w:rPr>
                <w:rFonts w:hint="eastAsia" w:asciiTheme="minorEastAsia" w:hAnsiTheme="minorEastAsia" w:eastAsiaTheme="minorEastAsia" w:cstheme="minorEastAsia"/>
                <w:bCs/>
                <w:color w:val="auto"/>
                <w:szCs w:val="21"/>
                <w:highlight w:val="none"/>
                <w:lang w:val="en-US" w:eastAsia="zh-CN"/>
              </w:rPr>
              <w:t>分；</w:t>
            </w:r>
          </w:p>
          <w:p w14:paraId="2E85702A">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72255997">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53D7413A">
            <w:pPr>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73BB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49742080">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4249DD01">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5128973E">
            <w:pPr>
              <w:adjustRightInd w:val="0"/>
              <w:rPr>
                <w:rFonts w:hint="eastAsia" w:asciiTheme="minorEastAsia" w:hAnsiTheme="minorEastAsia" w:eastAsiaTheme="minorEastAsia" w:cstheme="minorEastAsia"/>
                <w:b w:val="0"/>
                <w:bCs w:val="0"/>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人员安排、平台支撑两方面进行详细阐述；服务保障方案应完整、科学、可行、有明确服务保障措施，有丰富的教学经验支撑服务。根据方案的可行性、科学性进行打分。</w:t>
            </w:r>
          </w:p>
          <w:p w14:paraId="5ECC46B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0918FE4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5FE85698">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74B5BBD">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36CC5542">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63673772">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r>
      <w:tr w14:paraId="512C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54" w:type="dxa"/>
            <w:vMerge w:val="continue"/>
            <w:vAlign w:val="center"/>
          </w:tcPr>
          <w:p w14:paraId="26F6F884">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4F72699B">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456D682D">
            <w:pPr>
              <w:adjustRightInd w:val="0"/>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配套作业、个性服务两方面进行详细阐述；服务保障方案应完整、科学、可行、有明确服务保障措施，有丰富的教学经验支撑服务。根据方案的可行性、科学性进行打分。</w:t>
            </w:r>
          </w:p>
          <w:p w14:paraId="245A6AE5">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1A85323C">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1DCFB3D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5EC0F186">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7EDC8F9F">
            <w:pPr>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642EB4E6">
            <w:pPr>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r>
      <w:tr w14:paraId="6465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4" w:type="dxa"/>
            <w:vMerge w:val="continue"/>
            <w:vAlign w:val="center"/>
          </w:tcPr>
          <w:p w14:paraId="3E848B71">
            <w:pPr>
              <w:jc w:val="left"/>
              <w:rPr>
                <w:rFonts w:hint="eastAsia" w:asciiTheme="minorEastAsia" w:hAnsiTheme="minorEastAsia" w:eastAsiaTheme="minorEastAsia" w:cstheme="minorEastAsia"/>
                <w:color w:val="auto"/>
                <w:highlight w:val="none"/>
              </w:rPr>
            </w:pPr>
          </w:p>
        </w:tc>
        <w:tc>
          <w:tcPr>
            <w:tcW w:w="1087" w:type="dxa"/>
            <w:vMerge w:val="continue"/>
            <w:vAlign w:val="center"/>
          </w:tcPr>
          <w:p w14:paraId="2AA91089">
            <w:pPr>
              <w:jc w:val="left"/>
              <w:rPr>
                <w:rFonts w:hint="eastAsia" w:asciiTheme="minorEastAsia" w:hAnsiTheme="minorEastAsia" w:eastAsiaTheme="minorEastAsia" w:cstheme="minorEastAsia"/>
                <w:color w:val="auto"/>
                <w:highlight w:val="none"/>
              </w:rPr>
            </w:pPr>
          </w:p>
        </w:tc>
        <w:tc>
          <w:tcPr>
            <w:tcW w:w="6974" w:type="dxa"/>
            <w:vAlign w:val="center"/>
          </w:tcPr>
          <w:p w14:paraId="712A664F">
            <w:pPr>
              <w:adjustRightInd w:val="0"/>
              <w:rPr>
                <w:rFonts w:hint="eastAsia" w:asciiTheme="minorEastAsia" w:hAnsiTheme="minorEastAsia" w:eastAsiaTheme="minorEastAsia" w:cstheme="minorEastAsia"/>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场地配备、安全保障、突发事件预案三方面进行详细阐述；服务保障方案应完整、科学、可行、有明确服务保障措施，有丰富的教学经验支撑服务。根据方案的可行性、科学性进行打分。</w:t>
            </w:r>
          </w:p>
          <w:p w14:paraId="7C1F6B5A">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0FC92099">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012A0EB0">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29981F95">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B62D54F">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498ABC4C">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203A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09A71601">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Align w:val="center"/>
          </w:tcPr>
          <w:p w14:paraId="7ACD8B5C">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6974" w:type="dxa"/>
            <w:vAlign w:val="center"/>
          </w:tcPr>
          <w:p w14:paraId="14D282AE">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0CBF6BEB">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85349B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73A6F58">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存在疏漏，有效性一般的</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7414C2D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缺乏</w:t>
            </w: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1EA15E6B">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r>
      <w:tr w14:paraId="0A06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41" w:type="dxa"/>
            <w:gridSpan w:val="2"/>
            <w:vAlign w:val="center"/>
          </w:tcPr>
          <w:p w14:paraId="36520112">
            <w:pPr>
              <w:jc w:val="center"/>
              <w:rPr>
                <w:rStyle w:val="59"/>
                <w:rFonts w:hint="eastAsia"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价格</w:t>
            </w:r>
          </w:p>
          <w:p w14:paraId="17FDA5B0">
            <w:pPr>
              <w:jc w:val="center"/>
              <w:rPr>
                <w:rFonts w:hint="eastAsia" w:asciiTheme="minorEastAsia" w:hAnsiTheme="minorEastAsia" w:eastAsiaTheme="minorEastAsia" w:cstheme="minorEastAsia"/>
                <w:color w:val="auto"/>
                <w:kern w:val="0"/>
                <w:sz w:val="21"/>
                <w:szCs w:val="21"/>
                <w:highlight w:val="none"/>
                <w:lang w:val="en-US" w:eastAsia="zh-CN" w:bidi="ar-SA"/>
              </w:rPr>
            </w:pPr>
            <w:r>
              <w:rPr>
                <w:rStyle w:val="59"/>
                <w:rFonts w:hint="eastAsia" w:asciiTheme="minorEastAsia" w:hAnsiTheme="minorEastAsia" w:eastAsiaTheme="minorEastAsia" w:cstheme="minorEastAsia"/>
                <w:color w:val="auto"/>
                <w:kern w:val="0"/>
                <w:szCs w:val="21"/>
                <w:highlight w:val="none"/>
              </w:rPr>
              <w:t>（</w:t>
            </w:r>
            <w:r>
              <w:rPr>
                <w:rStyle w:val="59"/>
                <w:rFonts w:hint="eastAsia" w:asciiTheme="minorEastAsia" w:hAnsiTheme="minorEastAsia" w:eastAsiaTheme="minorEastAsia" w:cstheme="minorEastAsia"/>
                <w:color w:val="auto"/>
                <w:kern w:val="0"/>
                <w:szCs w:val="21"/>
                <w:highlight w:val="none"/>
                <w:lang w:val="en-US" w:eastAsia="zh-CN"/>
              </w:rPr>
              <w:t>20</w:t>
            </w:r>
            <w:r>
              <w:rPr>
                <w:rStyle w:val="59"/>
                <w:rFonts w:hint="eastAsia" w:asciiTheme="minorEastAsia" w:hAnsiTheme="minorEastAsia" w:eastAsiaTheme="minorEastAsia" w:cstheme="minorEastAsia"/>
                <w:color w:val="auto"/>
                <w:kern w:val="0"/>
                <w:szCs w:val="21"/>
                <w:highlight w:val="none"/>
              </w:rPr>
              <w:t>分）</w:t>
            </w:r>
          </w:p>
        </w:tc>
        <w:tc>
          <w:tcPr>
            <w:tcW w:w="6974" w:type="dxa"/>
            <w:vAlign w:val="center"/>
          </w:tcPr>
          <w:p w14:paraId="718A3BB3">
            <w:pPr>
              <w:jc w:val="left"/>
              <w:rPr>
                <w:rFonts w:hint="eastAsia" w:asciiTheme="minorEastAsia" w:hAnsiTheme="minorEastAsia" w:eastAsiaTheme="minorEastAsia" w:cstheme="minorEastAsia"/>
                <w:color w:val="auto"/>
                <w:spacing w:val="-4"/>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取投标合格供应商的投标最终报价</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最低价为评标基准价，基准价为</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rPr>
              <w:t>分。投标报价得分=(评标基准价/投标报价)×</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rPr>
              <w:t>%×100。(</w:t>
            </w:r>
            <w:r>
              <w:rPr>
                <w:rFonts w:hint="eastAsia" w:asciiTheme="minorEastAsia" w:hAnsiTheme="minorEastAsia" w:eastAsiaTheme="minorEastAsia" w:cstheme="minorEastAsia"/>
                <w:color w:val="auto"/>
                <w:szCs w:val="21"/>
                <w:highlight w:val="none"/>
                <w:lang w:val="en-US" w:eastAsia="zh-CN"/>
              </w:rPr>
              <w:t>小数点后保留2位</w:t>
            </w:r>
            <w:r>
              <w:rPr>
                <w:rFonts w:hint="eastAsia" w:asciiTheme="minorEastAsia" w:hAnsiTheme="minorEastAsia" w:eastAsiaTheme="minorEastAsia" w:cstheme="minorEastAsia"/>
                <w:color w:val="auto"/>
                <w:szCs w:val="21"/>
                <w:highlight w:val="none"/>
              </w:rPr>
              <w:t>)。</w:t>
            </w:r>
          </w:p>
        </w:tc>
        <w:tc>
          <w:tcPr>
            <w:tcW w:w="611" w:type="dxa"/>
            <w:vAlign w:val="center"/>
          </w:tcPr>
          <w:p w14:paraId="69247998">
            <w:pPr>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20</w:t>
            </w:r>
          </w:p>
        </w:tc>
      </w:tr>
    </w:tbl>
    <w:p w14:paraId="447B5A8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8B7E6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bookmarkStart w:id="2" w:name="_Toc18492"/>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项目背景</w:t>
      </w:r>
      <w:bookmarkEnd w:id="2"/>
    </w:p>
    <w:p w14:paraId="4D31D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中共中央政治局在2023年2月21日下午就加强基础研究进行第三次集体学习时强调，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坚持走基础研究人才自主培养之路，深入实施“中学生英才计划”、“强基计划”、“基础学科拔尖学生培养计划”，加强国家急需高层次人才培养，源源不断地造就规模宏大的基础研究后备力量。</w:t>
      </w:r>
    </w:p>
    <w:p w14:paraId="5F4FE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2023年10月21日在第十四届全国人民代表大会常务委员会第六次会议上，《国务院关于考试招生制度改革情况的报告》中说明，“优化招生专业结构，探索基础学科拔尖创新人才培养范式。一是加大理工农医类专业招生规模。指导高校通过增量倾斜和存量调整，不断扩大理工农医类专业招生规模。二是启动实施强基计划。为更好服务国家重大战略需求，2020年启动实施强基计划，探索基于统一高考的多维度考核评价方式。入校后，对学生单独制定培养方案，探索本硕博衔接培养。39所试点高校每年招录6000余人，学生质量得到各方面充分肯定。三是探索拔尖创新人才超常规选鉴通道。设立清华大学丘成桐数学科学领军人才培养计划、清华大学物理人才培养攀登计划、北京大学物理学科卓越人才培养计划等专项计划，推进拔尖创新人才选拔培养。”</w:t>
      </w:r>
    </w:p>
    <w:p w14:paraId="559EB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bookmarkStart w:id="3" w:name="_Toc3331"/>
      <w:r>
        <w:rPr>
          <w:rFonts w:hint="eastAsia" w:ascii="宋体" w:hAnsi="宋体" w:eastAsia="宋体" w:cs="宋体"/>
          <w:b/>
          <w:bCs/>
          <w:color w:val="auto"/>
          <w:sz w:val="21"/>
          <w:szCs w:val="21"/>
          <w:highlight w:val="none"/>
          <w:lang w:val="en-US" w:eastAsia="zh-CN"/>
        </w:rPr>
        <w:t>二、</w:t>
      </w:r>
      <w:bookmarkEnd w:id="3"/>
      <w:r>
        <w:rPr>
          <w:rFonts w:hint="eastAsia" w:ascii="宋体" w:hAnsi="宋体" w:eastAsia="宋体" w:cs="宋体"/>
          <w:b/>
          <w:bCs/>
          <w:color w:val="auto"/>
          <w:sz w:val="21"/>
          <w:szCs w:val="21"/>
          <w:highlight w:val="none"/>
          <w:lang w:val="en-US" w:eastAsia="zh-CN"/>
        </w:rPr>
        <w:t>项目要求</w:t>
      </w:r>
    </w:p>
    <w:p w14:paraId="1C57F52E">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kern w:val="2"/>
          <w:sz w:val="21"/>
          <w:szCs w:val="21"/>
          <w:highlight w:val="none"/>
          <w:lang w:val="en-US" w:eastAsia="zh-CN" w:bidi="ar-SA"/>
        </w:rPr>
        <w:t>1.</w:t>
      </w:r>
      <w:r>
        <w:rPr>
          <w:rFonts w:hint="eastAsia" w:ascii="宋体" w:hAnsi="宋体" w:eastAsia="宋体" w:cs="宋体"/>
          <w:b/>
          <w:bCs/>
          <w:color w:val="auto"/>
          <w:spacing w:val="-2"/>
          <w:sz w:val="21"/>
          <w:szCs w:val="21"/>
          <w:highlight w:val="none"/>
        </w:rPr>
        <w:t>培养规划建议</w:t>
      </w:r>
    </w:p>
    <w:p w14:paraId="389CA41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2" w:firstLineChars="200"/>
        <w:textAlignment w:val="auto"/>
        <w:outlineLvl w:val="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结合本</w:t>
      </w:r>
      <w:r>
        <w:rPr>
          <w:rFonts w:hint="eastAsia" w:ascii="宋体" w:hAnsi="宋体" w:eastAsia="宋体" w:cs="宋体"/>
          <w:color w:val="auto"/>
          <w:spacing w:val="-2"/>
          <w:sz w:val="21"/>
          <w:szCs w:val="21"/>
          <w:highlight w:val="none"/>
          <w:lang w:val="en-US" w:eastAsia="zh-CN"/>
        </w:rPr>
        <w:t>校</w:t>
      </w:r>
      <w:r>
        <w:rPr>
          <w:rFonts w:hint="eastAsia" w:ascii="宋体" w:hAnsi="宋体" w:eastAsia="宋体" w:cs="宋体"/>
          <w:color w:val="auto"/>
          <w:spacing w:val="-2"/>
          <w:sz w:val="21"/>
          <w:szCs w:val="21"/>
          <w:highlight w:val="none"/>
          <w:lang w:eastAsia="zh-CN"/>
        </w:rPr>
        <w:t>实际情况，具体</w:t>
      </w:r>
      <w:r>
        <w:rPr>
          <w:rFonts w:hint="eastAsia" w:ascii="宋体" w:hAnsi="宋体" w:eastAsia="宋体" w:cs="宋体"/>
          <w:color w:val="auto"/>
          <w:spacing w:val="-2"/>
          <w:sz w:val="21"/>
          <w:szCs w:val="21"/>
          <w:highlight w:val="none"/>
          <w:lang w:val="en-US" w:eastAsia="zh-CN"/>
        </w:rPr>
        <w:t>要求</w:t>
      </w:r>
      <w:r>
        <w:rPr>
          <w:rFonts w:hint="eastAsia" w:ascii="宋体" w:hAnsi="宋体" w:eastAsia="宋体" w:cs="宋体"/>
          <w:color w:val="auto"/>
          <w:spacing w:val="-2"/>
          <w:sz w:val="21"/>
          <w:szCs w:val="21"/>
          <w:highlight w:val="none"/>
          <w:lang w:eastAsia="zh-CN"/>
        </w:rPr>
        <w:t>如下：</w:t>
      </w:r>
    </w:p>
    <w:tbl>
      <w:tblPr>
        <w:tblStyle w:val="24"/>
        <w:tblW w:w="87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4356"/>
        <w:gridCol w:w="2690"/>
      </w:tblGrid>
      <w:tr w14:paraId="4833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780" w:type="dxa"/>
            <w:gridSpan w:val="3"/>
            <w:vAlign w:val="center"/>
          </w:tcPr>
          <w:p w14:paraId="35765B48">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项目执行</w:t>
            </w:r>
          </w:p>
        </w:tc>
      </w:tr>
      <w:tr w14:paraId="607B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34" w:type="dxa"/>
            <w:vAlign w:val="center"/>
          </w:tcPr>
          <w:p w14:paraId="277A5EAE">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阶段</w:t>
            </w:r>
          </w:p>
        </w:tc>
        <w:tc>
          <w:tcPr>
            <w:tcW w:w="4356" w:type="dxa"/>
            <w:vAlign w:val="center"/>
          </w:tcPr>
          <w:p w14:paraId="689371DA">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w:t>
            </w:r>
          </w:p>
        </w:tc>
        <w:tc>
          <w:tcPr>
            <w:tcW w:w="2690" w:type="dxa"/>
            <w:vAlign w:val="center"/>
          </w:tcPr>
          <w:p w14:paraId="360F01D4">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14:paraId="0F7B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34" w:type="dxa"/>
            <w:vAlign w:val="center"/>
          </w:tcPr>
          <w:p w14:paraId="4565646C">
            <w:pPr>
              <w:widowControl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w:t>
            </w:r>
            <w:r>
              <w:rPr>
                <w:rFonts w:hint="eastAsia" w:ascii="宋体" w:hAnsi="宋体" w:eastAsia="宋体" w:cs="宋体"/>
                <w:color w:val="auto"/>
                <w:sz w:val="21"/>
                <w:szCs w:val="21"/>
                <w:highlight w:val="none"/>
                <w:lang w:val="en-US" w:eastAsia="zh-CN"/>
              </w:rPr>
              <w:t>部分</w:t>
            </w:r>
          </w:p>
        </w:tc>
        <w:tc>
          <w:tcPr>
            <w:tcW w:w="4356" w:type="dxa"/>
            <w:vAlign w:val="center"/>
          </w:tcPr>
          <w:p w14:paraId="50446ED7">
            <w:pPr>
              <w:widowControl w:val="0"/>
              <w:numPr>
                <w:ilvl w:val="0"/>
                <w:numId w:val="0"/>
              </w:numPr>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秋季学期的放假时段：初一、初二、初三尖子生周末班的上课，拓展初中数学、英语、科学学科知识。</w:t>
            </w:r>
          </w:p>
        </w:tc>
        <w:tc>
          <w:tcPr>
            <w:tcW w:w="2690" w:type="dxa"/>
            <w:vAlign w:val="center"/>
          </w:tcPr>
          <w:p w14:paraId="6C94936F">
            <w:pPr>
              <w:widowControl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都在周末上课，初中内容培优，每个年级都有一个周末班</w:t>
            </w:r>
          </w:p>
        </w:tc>
      </w:tr>
      <w:tr w14:paraId="5CAC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34" w:type="dxa"/>
            <w:vAlign w:val="center"/>
          </w:tcPr>
          <w:p w14:paraId="4C2AAA7F">
            <w:pPr>
              <w:widowControl w:val="0"/>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color w:val="auto"/>
                <w:sz w:val="21"/>
                <w:szCs w:val="21"/>
                <w:highlight w:val="none"/>
                <w:lang w:eastAsia="zh-CN"/>
              </w:rPr>
              <w:t>第二</w:t>
            </w:r>
            <w:r>
              <w:rPr>
                <w:rFonts w:hint="eastAsia" w:ascii="宋体" w:hAnsi="宋体" w:eastAsia="宋体" w:cs="宋体"/>
                <w:color w:val="auto"/>
                <w:sz w:val="21"/>
                <w:szCs w:val="21"/>
                <w:highlight w:val="none"/>
                <w:lang w:val="en-US" w:eastAsia="zh-CN"/>
              </w:rPr>
              <w:t>部分</w:t>
            </w:r>
          </w:p>
        </w:tc>
        <w:tc>
          <w:tcPr>
            <w:tcW w:w="4356" w:type="dxa"/>
            <w:vAlign w:val="center"/>
          </w:tcPr>
          <w:p w14:paraId="71AF7BC3">
            <w:pPr>
              <w:widowControl w:val="0"/>
              <w:numPr>
                <w:ilvl w:val="0"/>
                <w:numId w:val="0"/>
              </w:numPr>
              <w:spacing w:line="24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初三尖子生全日制班：</w:t>
            </w:r>
          </w:p>
          <w:p w14:paraId="2FAF1C9D">
            <w:pPr>
              <w:widowControl w:val="0"/>
              <w:numPr>
                <w:ilvl w:val="0"/>
                <w:numId w:val="0"/>
              </w:numPr>
              <w:spacing w:line="24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（1）初二升初三的暑假：开展初中课本知识及相应拓展知识的学习，扎实初高基础知识。</w:t>
            </w:r>
          </w:p>
          <w:p w14:paraId="2385EF0A">
            <w:pPr>
              <w:widowControl w:val="0"/>
              <w:numPr>
                <w:ilvl w:val="0"/>
                <w:numId w:val="0"/>
              </w:numPr>
              <w:spacing w:line="240" w:lineRule="auto"/>
              <w:ind w:left="0" w:leftChars="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（2）秋季学期</w:t>
            </w:r>
            <w:bookmarkStart w:id="4" w:name="_GoBack"/>
            <w:bookmarkEnd w:id="4"/>
            <w:r>
              <w:rPr>
                <w:rFonts w:hint="eastAsia" w:ascii="宋体" w:hAnsi="宋体" w:eastAsia="宋体" w:cs="宋体"/>
                <w:b w:val="0"/>
                <w:bCs w:val="0"/>
                <w:color w:val="auto"/>
                <w:sz w:val="21"/>
                <w:szCs w:val="21"/>
                <w:highlight w:val="none"/>
                <w:lang w:val="en-US" w:eastAsia="zh-CN"/>
              </w:rPr>
              <w:t>的放假时段：开展高中英语及高中数理化竞赛相关知识的培尖，让学生掌握必要的高中强基知识。</w:t>
            </w:r>
          </w:p>
        </w:tc>
        <w:tc>
          <w:tcPr>
            <w:tcW w:w="2690" w:type="dxa"/>
            <w:vAlign w:val="center"/>
          </w:tcPr>
          <w:p w14:paraId="7889BAA7">
            <w:pPr>
              <w:widowControl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暑假集训上初三内容；</w:t>
            </w:r>
          </w:p>
          <w:p w14:paraId="61D215C6">
            <w:pPr>
              <w:widowControl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其他放假时段都上高中内容。</w:t>
            </w:r>
          </w:p>
        </w:tc>
      </w:tr>
    </w:tbl>
    <w:p w14:paraId="06D12EC7">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b/>
          <w:color w:val="auto"/>
          <w:sz w:val="21"/>
          <w:szCs w:val="21"/>
          <w:highlight w:val="none"/>
          <w:lang w:val="en-US" w:eastAsia="zh-CN"/>
        </w:rPr>
      </w:pPr>
    </w:p>
    <w:tbl>
      <w:tblPr>
        <w:tblStyle w:val="23"/>
        <w:tblW w:w="6719" w:type="dxa"/>
        <w:tblInd w:w="5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3"/>
        <w:gridCol w:w="1905"/>
        <w:gridCol w:w="3461"/>
      </w:tblGrid>
      <w:tr w14:paraId="4119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3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D72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学科</w:t>
            </w:r>
          </w:p>
        </w:tc>
        <w:tc>
          <w:tcPr>
            <w:tcW w:w="19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1140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上课方式</w:t>
            </w:r>
          </w:p>
        </w:tc>
        <w:tc>
          <w:tcPr>
            <w:tcW w:w="34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205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师资要求</w:t>
            </w:r>
          </w:p>
        </w:tc>
      </w:tr>
      <w:tr w14:paraId="0864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14:paraId="295C8E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英语</w:t>
            </w:r>
          </w:p>
        </w:tc>
        <w:tc>
          <w:tcPr>
            <w:tcW w:w="1905" w:type="dxa"/>
            <w:vMerge w:val="restart"/>
            <w:tcBorders>
              <w:top w:val="nil"/>
              <w:left w:val="single" w:color="000000" w:sz="8" w:space="0"/>
              <w:right w:val="single" w:color="000000" w:sz="8" w:space="0"/>
            </w:tcBorders>
            <w:shd w:val="clear" w:color="auto" w:fill="auto"/>
            <w:vAlign w:val="center"/>
          </w:tcPr>
          <w:p w14:paraId="044BA0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线下</w:t>
            </w:r>
          </w:p>
        </w:tc>
        <w:tc>
          <w:tcPr>
            <w:tcW w:w="3461" w:type="dxa"/>
            <w:tcBorders>
              <w:top w:val="nil"/>
              <w:left w:val="single" w:color="000000" w:sz="8" w:space="0"/>
              <w:bottom w:val="single" w:color="000000" w:sz="8" w:space="0"/>
              <w:right w:val="single" w:color="000000" w:sz="8" w:space="0"/>
            </w:tcBorders>
            <w:shd w:val="clear" w:color="auto" w:fill="auto"/>
            <w:vAlign w:val="center"/>
          </w:tcPr>
          <w:p w14:paraId="246CB59B">
            <w:pPr>
              <w:keepNext w:val="0"/>
              <w:keepLines w:val="0"/>
              <w:widowControl/>
              <w:suppressLineNumbers w:val="0"/>
              <w:ind w:firstLine="210" w:firstLineChars="1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初中名师、高考专家等</w:t>
            </w:r>
          </w:p>
        </w:tc>
      </w:tr>
      <w:tr w14:paraId="3989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14:paraId="5A6363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数学</w:t>
            </w:r>
          </w:p>
        </w:tc>
        <w:tc>
          <w:tcPr>
            <w:tcW w:w="1905" w:type="dxa"/>
            <w:vMerge w:val="continue"/>
            <w:tcBorders>
              <w:left w:val="single" w:color="000000" w:sz="8" w:space="0"/>
              <w:right w:val="single" w:color="000000" w:sz="8" w:space="0"/>
            </w:tcBorders>
            <w:shd w:val="clear" w:color="auto" w:fill="auto"/>
            <w:vAlign w:val="center"/>
          </w:tcPr>
          <w:p w14:paraId="5E4B63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461" w:type="dxa"/>
            <w:tcBorders>
              <w:top w:val="nil"/>
              <w:left w:val="single" w:color="000000" w:sz="8" w:space="0"/>
              <w:bottom w:val="single" w:color="000000" w:sz="8" w:space="0"/>
              <w:right w:val="single" w:color="000000" w:sz="8" w:space="0"/>
            </w:tcBorders>
            <w:shd w:val="clear" w:color="auto" w:fill="auto"/>
            <w:vAlign w:val="center"/>
          </w:tcPr>
          <w:p w14:paraId="080DCE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初中名师、高考专家及金牌教练等</w:t>
            </w:r>
          </w:p>
        </w:tc>
      </w:tr>
      <w:tr w14:paraId="6BB1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14:paraId="5B08A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物理</w:t>
            </w:r>
          </w:p>
        </w:tc>
        <w:tc>
          <w:tcPr>
            <w:tcW w:w="1905" w:type="dxa"/>
            <w:vMerge w:val="continue"/>
            <w:tcBorders>
              <w:left w:val="single" w:color="000000" w:sz="8" w:space="0"/>
              <w:right w:val="single" w:color="000000" w:sz="8" w:space="0"/>
            </w:tcBorders>
            <w:shd w:val="clear" w:color="auto" w:fill="auto"/>
            <w:vAlign w:val="center"/>
          </w:tcPr>
          <w:p w14:paraId="724370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461" w:type="dxa"/>
            <w:tcBorders>
              <w:top w:val="nil"/>
              <w:left w:val="single" w:color="000000" w:sz="8" w:space="0"/>
              <w:bottom w:val="single" w:color="000000" w:sz="8" w:space="0"/>
              <w:right w:val="single" w:color="000000" w:sz="8" w:space="0"/>
            </w:tcBorders>
            <w:shd w:val="clear" w:color="auto" w:fill="auto"/>
            <w:vAlign w:val="center"/>
          </w:tcPr>
          <w:p w14:paraId="6A47738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初中名师、高考专家及金牌教练等</w:t>
            </w:r>
          </w:p>
        </w:tc>
      </w:tr>
      <w:tr w14:paraId="4DBA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53" w:type="dxa"/>
            <w:tcBorders>
              <w:top w:val="nil"/>
              <w:left w:val="single" w:color="000000" w:sz="8" w:space="0"/>
              <w:bottom w:val="single" w:color="000000" w:sz="8" w:space="0"/>
              <w:right w:val="single" w:color="000000" w:sz="8" w:space="0"/>
            </w:tcBorders>
            <w:shd w:val="clear" w:color="auto" w:fill="auto"/>
            <w:vAlign w:val="center"/>
          </w:tcPr>
          <w:p w14:paraId="28845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w:t>
            </w:r>
          </w:p>
        </w:tc>
        <w:tc>
          <w:tcPr>
            <w:tcW w:w="1905" w:type="dxa"/>
            <w:vMerge w:val="continue"/>
            <w:tcBorders>
              <w:left w:val="single" w:color="000000" w:sz="8" w:space="0"/>
              <w:bottom w:val="single" w:color="000000" w:sz="8" w:space="0"/>
              <w:right w:val="single" w:color="000000" w:sz="8" w:space="0"/>
            </w:tcBorders>
            <w:shd w:val="clear" w:color="auto" w:fill="auto"/>
            <w:vAlign w:val="center"/>
          </w:tcPr>
          <w:p w14:paraId="46F0A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461" w:type="dxa"/>
            <w:tcBorders>
              <w:top w:val="nil"/>
              <w:left w:val="single" w:color="000000" w:sz="8" w:space="0"/>
              <w:bottom w:val="single" w:color="000000" w:sz="8" w:space="0"/>
              <w:right w:val="single" w:color="000000" w:sz="8" w:space="0"/>
            </w:tcBorders>
            <w:shd w:val="clear" w:color="auto" w:fill="auto"/>
            <w:vAlign w:val="center"/>
          </w:tcPr>
          <w:p w14:paraId="71FB4E3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初中名师、高考专家及金牌教练等</w:t>
            </w:r>
          </w:p>
        </w:tc>
      </w:tr>
    </w:tbl>
    <w:p w14:paraId="5534473D">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2、</w:t>
      </w:r>
      <w:r>
        <w:rPr>
          <w:rFonts w:hint="eastAsia" w:ascii="宋体" w:hAnsi="宋体" w:eastAsia="宋体" w:cs="宋体"/>
          <w:b/>
          <w:bCs/>
          <w:color w:val="auto"/>
          <w:spacing w:val="-2"/>
          <w:sz w:val="21"/>
          <w:szCs w:val="21"/>
          <w:highlight w:val="none"/>
          <w:lang w:eastAsia="zh-CN"/>
        </w:rPr>
        <w:t>师资</w:t>
      </w:r>
      <w:r>
        <w:rPr>
          <w:rFonts w:hint="eastAsia" w:ascii="宋体" w:hAnsi="宋体" w:eastAsia="宋体" w:cs="宋体"/>
          <w:b/>
          <w:bCs/>
          <w:color w:val="auto"/>
          <w:spacing w:val="-2"/>
          <w:sz w:val="21"/>
          <w:szCs w:val="21"/>
          <w:highlight w:val="none"/>
          <w:lang w:val="en-US" w:eastAsia="zh-CN"/>
        </w:rPr>
        <w:t>要求</w:t>
      </w:r>
    </w:p>
    <w:p w14:paraId="18757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要求供应商提供由</w:t>
      </w:r>
      <w:r>
        <w:rPr>
          <w:rFonts w:hint="eastAsia" w:ascii="宋体" w:hAnsi="宋体" w:eastAsia="宋体" w:cs="宋体"/>
          <w:b w:val="0"/>
          <w:bCs w:val="0"/>
          <w:color w:val="auto"/>
          <w:sz w:val="21"/>
          <w:szCs w:val="21"/>
          <w:highlight w:val="none"/>
          <w:lang w:eastAsia="zh-CN"/>
        </w:rPr>
        <w:t>重点</w:t>
      </w:r>
      <w:r>
        <w:rPr>
          <w:rFonts w:hint="eastAsia" w:ascii="宋体" w:hAnsi="宋体" w:eastAsia="宋体" w:cs="宋体"/>
          <w:b w:val="0"/>
          <w:bCs w:val="0"/>
          <w:color w:val="auto"/>
          <w:sz w:val="21"/>
          <w:szCs w:val="21"/>
          <w:highlight w:val="none"/>
          <w:lang w:val="en-US" w:eastAsia="zh-CN"/>
        </w:rPr>
        <w:t>初中名师、</w:t>
      </w:r>
      <w:r>
        <w:rPr>
          <w:rFonts w:hint="eastAsia" w:ascii="宋体" w:hAnsi="宋体" w:eastAsia="宋体" w:cs="宋体"/>
          <w:b w:val="0"/>
          <w:bCs w:val="0"/>
          <w:color w:val="auto"/>
          <w:sz w:val="21"/>
          <w:szCs w:val="21"/>
          <w:highlight w:val="none"/>
          <w:lang w:eastAsia="zh-CN"/>
        </w:rPr>
        <w:t>高中一线名师、竞赛金牌教练、国家级教练等</w:t>
      </w:r>
      <w:r>
        <w:rPr>
          <w:rFonts w:hint="eastAsia" w:ascii="宋体" w:hAnsi="宋体" w:eastAsia="宋体" w:cs="宋体"/>
          <w:b w:val="0"/>
          <w:bCs w:val="0"/>
          <w:color w:val="auto"/>
          <w:sz w:val="21"/>
          <w:szCs w:val="21"/>
          <w:highlight w:val="none"/>
          <w:lang w:val="en-US" w:eastAsia="zh-CN"/>
        </w:rPr>
        <w:t>专业人员组成的项目团队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包含</w:t>
      </w:r>
      <w:r>
        <w:rPr>
          <w:rFonts w:hint="eastAsia" w:ascii="宋体" w:hAnsi="宋体" w:eastAsia="宋体" w:cs="宋体"/>
          <w:color w:val="auto"/>
          <w:sz w:val="21"/>
          <w:szCs w:val="21"/>
          <w:highlight w:val="none"/>
          <w:lang w:val="en-US"/>
        </w:rPr>
        <w:t>学科专家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顾问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学科负责人至少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助教老师至少</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rPr>
        <w:t>人</w:t>
      </w:r>
      <w:r>
        <w:rPr>
          <w:rFonts w:hint="eastAsia" w:ascii="宋体" w:hAnsi="宋体" w:eastAsia="宋体" w:cs="宋体"/>
          <w:color w:val="auto"/>
          <w:sz w:val="21"/>
          <w:szCs w:val="21"/>
          <w:highlight w:val="none"/>
          <w:lang w:val="en-US" w:eastAsia="zh-CN"/>
        </w:rPr>
        <w:t>。</w:t>
      </w:r>
    </w:p>
    <w:p w14:paraId="00A0ECD4">
      <w:pPr>
        <w:pStyle w:val="57"/>
        <w:keepNext w:val="0"/>
        <w:keepLines w:val="0"/>
        <w:pageBreakBefore w:val="0"/>
        <w:widowControl w:val="0"/>
        <w:kinsoku/>
        <w:wordWrap/>
        <w:overflowPunct/>
        <w:topLinePunct w:val="0"/>
        <w:autoSpaceDE/>
        <w:autoSpaceDN/>
        <w:bidi w:val="0"/>
        <w:adjustRightInd/>
        <w:snapToGrid/>
        <w:spacing w:line="360" w:lineRule="auto"/>
        <w:ind w:left="0" w:firstLine="414" w:firstLineChars="200"/>
        <w:textAlignment w:val="auto"/>
        <w:rPr>
          <w:rFonts w:hint="default" w:asciiTheme="minorEastAsia" w:hAnsiTheme="minorEastAsia" w:eastAsiaTheme="minorEastAsia" w:cstheme="minorEastAsia"/>
          <w:b/>
          <w:bCs/>
          <w:color w:val="auto"/>
          <w:spacing w:val="-2"/>
          <w:sz w:val="21"/>
          <w:szCs w:val="21"/>
          <w:highlight w:val="none"/>
          <w:lang w:val="en-US" w:eastAsia="zh-CN"/>
        </w:rPr>
      </w:pPr>
      <w:r>
        <w:rPr>
          <w:rFonts w:hint="eastAsia" w:asciiTheme="minorEastAsia" w:hAnsiTheme="minorEastAsia" w:eastAsiaTheme="minorEastAsia" w:cstheme="minorEastAsia"/>
          <w:b/>
          <w:bCs/>
          <w:color w:val="auto"/>
          <w:spacing w:val="-2"/>
          <w:sz w:val="21"/>
          <w:szCs w:val="21"/>
          <w:highlight w:val="none"/>
          <w:lang w:val="en-US" w:eastAsia="zh-CN"/>
        </w:rPr>
        <w:t>3、</w:t>
      </w:r>
      <w:r>
        <w:rPr>
          <w:rFonts w:hint="eastAsia" w:asciiTheme="minorEastAsia" w:hAnsiTheme="minorEastAsia" w:eastAsiaTheme="minorEastAsia" w:cstheme="minorEastAsia"/>
          <w:b/>
          <w:bCs/>
          <w:color w:val="auto"/>
          <w:spacing w:val="-2"/>
          <w:sz w:val="21"/>
          <w:szCs w:val="21"/>
          <w:highlight w:val="none"/>
          <w:lang w:eastAsia="zh-CN"/>
        </w:rPr>
        <w:t>课程</w:t>
      </w:r>
      <w:r>
        <w:rPr>
          <w:rFonts w:hint="eastAsia" w:asciiTheme="minorEastAsia" w:hAnsiTheme="minorEastAsia" w:eastAsiaTheme="minorEastAsia" w:cstheme="minorEastAsia"/>
          <w:b/>
          <w:bCs/>
          <w:color w:val="auto"/>
          <w:spacing w:val="-2"/>
          <w:sz w:val="21"/>
          <w:szCs w:val="21"/>
          <w:highlight w:val="none"/>
          <w:lang w:val="en-US" w:eastAsia="zh-CN"/>
        </w:rPr>
        <w:t>要求</w:t>
      </w:r>
    </w:p>
    <w:tbl>
      <w:tblPr>
        <w:tblStyle w:val="23"/>
        <w:tblW w:w="5258" w:type="pct"/>
        <w:jc w:val="center"/>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Layout w:type="fixed"/>
        <w:tblCellMar>
          <w:top w:w="0" w:type="dxa"/>
          <w:left w:w="108" w:type="dxa"/>
          <w:bottom w:w="0" w:type="dxa"/>
          <w:right w:w="108" w:type="dxa"/>
        </w:tblCellMar>
      </w:tblPr>
      <w:tblGrid>
        <w:gridCol w:w="566"/>
        <w:gridCol w:w="1081"/>
        <w:gridCol w:w="5978"/>
        <w:gridCol w:w="592"/>
        <w:gridCol w:w="745"/>
      </w:tblGrid>
      <w:tr w14:paraId="30C14295">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732C1848">
            <w:pPr>
              <w:widowControl w:val="0"/>
              <w:spacing w:line="240" w:lineRule="auto"/>
              <w:jc w:val="center"/>
              <w:rPr>
                <w:rFonts w:hint="eastAsia" w:asciiTheme="minorEastAsia" w:hAnsiTheme="minorEastAsia" w:eastAsiaTheme="minorEastAsia" w:cstheme="minorEastAsia"/>
                <w:b/>
                <w:bCs/>
                <w:color w:val="auto"/>
                <w:sz w:val="21"/>
                <w:szCs w:val="21"/>
                <w:highlight w:val="none"/>
                <w:lang w:eastAsia="zh-Hans"/>
              </w:rPr>
            </w:pPr>
            <w:r>
              <w:rPr>
                <w:rFonts w:hint="eastAsia" w:asciiTheme="minorEastAsia" w:hAnsiTheme="minorEastAsia" w:eastAsiaTheme="minorEastAsia" w:cstheme="minorEastAsia"/>
                <w:b/>
                <w:bCs/>
                <w:color w:val="auto"/>
                <w:sz w:val="21"/>
                <w:szCs w:val="21"/>
                <w:highlight w:val="none"/>
                <w:lang w:eastAsia="zh-Hans"/>
              </w:rPr>
              <w:t>类别</w:t>
            </w: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711F122">
            <w:pPr>
              <w:widowControl w:val="0"/>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项目</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6AC5247C">
            <w:pPr>
              <w:widowControl w:val="0"/>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服务内容</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FF669AE">
            <w:pPr>
              <w:widowControl w:val="0"/>
              <w:spacing w:line="240" w:lineRule="auto"/>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次</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DBC494D">
            <w:pPr>
              <w:widowControl w:val="0"/>
              <w:spacing w:line="24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单位</w:t>
            </w:r>
          </w:p>
        </w:tc>
      </w:tr>
      <w:tr w14:paraId="2DFFDC3F">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7AC2EF5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开课准备</w:t>
            </w: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831249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政策宣讲</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6F2E74D4">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面向师生及家长，结合竞赛内容、高校升学途径等来分析竞赛优势，提供生涯规划建议及心理建设。</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A7BB4E3">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73AF063">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场</w:t>
            </w:r>
          </w:p>
        </w:tc>
      </w:tr>
      <w:tr w14:paraId="16B15131">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211CE22B">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C125A66">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教研研讨</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4853480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针对本项目的</w:t>
            </w:r>
            <w:r>
              <w:rPr>
                <w:rFonts w:hint="eastAsia" w:asciiTheme="minorEastAsia" w:hAnsiTheme="minorEastAsia" w:eastAsiaTheme="minorEastAsia" w:cstheme="minorEastAsia"/>
                <w:color w:val="auto"/>
                <w:sz w:val="21"/>
                <w:szCs w:val="21"/>
                <w:highlight w:val="none"/>
                <w:lang w:eastAsia="zh-CN"/>
              </w:rPr>
              <w:t>上课</w:t>
            </w:r>
            <w:r>
              <w:rPr>
                <w:rFonts w:hint="eastAsia" w:asciiTheme="minorEastAsia" w:hAnsiTheme="minorEastAsia" w:eastAsiaTheme="minorEastAsia" w:cstheme="minorEastAsia"/>
                <w:color w:val="auto"/>
                <w:sz w:val="21"/>
                <w:szCs w:val="21"/>
                <w:highlight w:val="none"/>
                <w:lang w:eastAsia="zh-Hans"/>
              </w:rPr>
              <w:t>内容</w:t>
            </w:r>
            <w:r>
              <w:rPr>
                <w:rFonts w:hint="eastAsia" w:asciiTheme="minorEastAsia" w:hAnsiTheme="minorEastAsia" w:eastAsiaTheme="minorEastAsia" w:cstheme="minorEastAsia"/>
                <w:color w:val="auto"/>
                <w:sz w:val="21"/>
                <w:szCs w:val="21"/>
                <w:highlight w:val="none"/>
                <w:lang w:eastAsia="zh-CN"/>
              </w:rPr>
              <w:t>，课前与学校老师</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lang w:eastAsia="zh-CN"/>
              </w:rPr>
              <w:t>研讨、</w:t>
            </w:r>
            <w:r>
              <w:rPr>
                <w:rFonts w:hint="eastAsia" w:asciiTheme="minorEastAsia" w:hAnsiTheme="minorEastAsia" w:eastAsiaTheme="minorEastAsia" w:cstheme="minorEastAsia"/>
                <w:color w:val="auto"/>
                <w:sz w:val="21"/>
                <w:szCs w:val="21"/>
                <w:highlight w:val="none"/>
                <w:lang w:val="en-US" w:eastAsia="zh-CN"/>
              </w:rPr>
              <w:t>总结、分析及授课调整</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3BE8D05">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1141B3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CE48C0B">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AFE85A5">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C6D3D8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讲义准备</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21A67458">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每次授课，提前三天发送电子稿讲义，学校审核及学生预习，防止讲义不匹配</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42D92A2">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A899CE6">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1FA09CE">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DFF5877">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开课过程</w:t>
            </w:r>
          </w:p>
          <w:p w14:paraId="0F0CC9C1">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教学监测</w:t>
            </w: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2BDA495">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教研研讨</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CB0E46E">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课前、中、后，教研与学校老师、学生代表研讨、调整、总结</w:t>
            </w:r>
            <w:r>
              <w:rPr>
                <w:rFonts w:hint="eastAsia" w:asciiTheme="minorEastAsia" w:hAnsiTheme="minorEastAsia" w:eastAsiaTheme="minorEastAsia" w:cstheme="minorEastAsia"/>
                <w:color w:val="auto"/>
                <w:sz w:val="21"/>
                <w:szCs w:val="21"/>
                <w:highlight w:val="none"/>
                <w:lang w:eastAsia="zh-Hans"/>
              </w:rPr>
              <w:t>并调整</w:t>
            </w:r>
            <w:r>
              <w:rPr>
                <w:rFonts w:hint="eastAsia" w:asciiTheme="minorEastAsia" w:hAnsiTheme="minorEastAsia" w:eastAsiaTheme="minorEastAsia" w:cstheme="minorEastAsia"/>
                <w:color w:val="auto"/>
                <w:sz w:val="21"/>
                <w:szCs w:val="21"/>
                <w:highlight w:val="none"/>
                <w:lang w:eastAsia="zh-CN"/>
              </w:rPr>
              <w:t>上课</w:t>
            </w:r>
            <w:r>
              <w:rPr>
                <w:rFonts w:hint="eastAsia" w:asciiTheme="minorEastAsia" w:hAnsiTheme="minorEastAsia" w:eastAsiaTheme="minorEastAsia" w:cstheme="minorEastAsia"/>
                <w:color w:val="auto"/>
                <w:sz w:val="21"/>
                <w:szCs w:val="21"/>
                <w:highlight w:val="none"/>
                <w:lang w:eastAsia="zh-Hans"/>
              </w:rPr>
              <w:t>内容</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3FA69A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A3196FB">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7B7C02F6">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75AAAB1">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49AC01C">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反馈评价</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114AF4C8">
            <w:pPr>
              <w:widowControl w:val="0"/>
              <w:spacing w:line="240" w:lineRule="auto"/>
              <w:jc w:val="center"/>
              <w:rPr>
                <w:rFonts w:hint="eastAsia" w:asciiTheme="minorEastAsia" w:hAnsiTheme="minorEastAsia" w:eastAsiaTheme="minorEastAsia" w:cstheme="minorEastAsia"/>
                <w:color w:val="auto"/>
                <w:sz w:val="21"/>
                <w:szCs w:val="21"/>
                <w:highlight w:val="none"/>
                <w:lang w:eastAsia="zh-Hans"/>
              </w:rPr>
            </w:pPr>
            <w:r>
              <w:rPr>
                <w:rFonts w:hint="eastAsia" w:asciiTheme="minorEastAsia" w:hAnsiTheme="minorEastAsia" w:eastAsiaTheme="minorEastAsia" w:cstheme="minorEastAsia"/>
                <w:color w:val="auto"/>
                <w:sz w:val="21"/>
                <w:szCs w:val="21"/>
                <w:highlight w:val="none"/>
                <w:lang w:eastAsia="zh-CN"/>
              </w:rPr>
              <w:t>每次课反馈总结，从学校老师、家长、学生，三方了解上课情况，并及时调整匹配课程内容</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871504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22D31A0">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6470F1F6">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BA47F0E">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1F2E001">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教学课程</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1BEA7BA0">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线下日常周末教学，日常每次6小时，模块化教学</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4C0E346">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C97701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val="en-US" w:eastAsia="zh-CN"/>
              </w:rPr>
              <w:t>-</w:t>
            </w:r>
          </w:p>
        </w:tc>
      </w:tr>
      <w:tr w14:paraId="28931B2C">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3BB76480">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276AA62">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日常答疑</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3E52CEE2">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服务期限内，将针对我校师生设立答疑群，可对日常问题进行解答</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FCB21A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EF8C291">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61CCE57F">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C3775CB">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DBCCA48">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专属班主任</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272754E4">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配备班主任针对项目，进行线下跟踪管理，配合学校对学生进行管理</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F82C053">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67E5EFB">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6FBEB05E">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C73D5B3">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63E4451">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专属教研团</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3DBC8521">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配备专属</w:t>
            </w:r>
            <w:r>
              <w:rPr>
                <w:rFonts w:hint="eastAsia" w:asciiTheme="minorEastAsia" w:hAnsiTheme="minorEastAsia" w:eastAsiaTheme="minorEastAsia" w:cstheme="minorEastAsia"/>
                <w:color w:val="auto"/>
                <w:sz w:val="21"/>
                <w:szCs w:val="21"/>
                <w:highlight w:val="none"/>
                <w:lang w:val="en-US" w:eastAsia="zh-CN"/>
              </w:rPr>
              <w:t>金牌教练、教研沟通</w:t>
            </w:r>
            <w:r>
              <w:rPr>
                <w:rFonts w:hint="eastAsia" w:asciiTheme="minorEastAsia" w:hAnsiTheme="minorEastAsia" w:eastAsiaTheme="minorEastAsia" w:cstheme="minorEastAsia"/>
                <w:color w:val="auto"/>
                <w:sz w:val="21"/>
                <w:szCs w:val="21"/>
                <w:highlight w:val="none"/>
                <w:lang w:eastAsia="zh-CN"/>
              </w:rPr>
              <w:t>团队，监督项目实施情况，并及时向校方汇报进度，</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038FFA98">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0930F9B">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314E7327">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D297FB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课程阶段总结</w:t>
            </w: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5BC88E4">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校本建立</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C4B0E42">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学校安排年轻老师随堂学习，一轮后并基本完成教材建立</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316BC33">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261270F">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Hans"/>
              </w:rPr>
              <w:t>套</w:t>
            </w:r>
          </w:p>
        </w:tc>
      </w:tr>
      <w:tr w14:paraId="000C9717">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07A3CEB2">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EDF0A72">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阶段测评</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E5847B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依据教学的不同阶段，进行阶段测试，来了解学生学习掌握情况</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96F57A4">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CE32C92">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次</w:t>
            </w:r>
          </w:p>
        </w:tc>
      </w:tr>
      <w:tr w14:paraId="493D9F65">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2AB862B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B0C7D8A">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项目总结</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247CC9E0">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针对日常上课情况、学生学习情况、反馈调整等，进行阶段总结报告</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9D68B23">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C45C88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次</w:t>
            </w:r>
          </w:p>
        </w:tc>
      </w:tr>
      <w:tr w14:paraId="7D1C6782">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4ABB367">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增值服务</w:t>
            </w: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336F627">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联考活动</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4A723E2">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强基、竞赛、新高考等全国百校联考</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6C4D2F1">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325D1F0C">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eastAsia="zh-Hans"/>
              </w:rPr>
              <w:t>次</w:t>
            </w:r>
          </w:p>
        </w:tc>
      </w:tr>
      <w:tr w14:paraId="5F863F90">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926C1E9">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7A1BB2F1">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习题库开放</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25AF874">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历年积累业内优等试题资源，定期进行开放使用</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66FBCBE">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13B66DC8">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eastAsia="zh-Hans"/>
              </w:rPr>
              <w:t>次</w:t>
            </w:r>
          </w:p>
        </w:tc>
      </w:tr>
      <w:tr w14:paraId="18C539B2">
        <w:tblPrEx>
          <w:tblBorders>
            <w:top w:val="single" w:color="E36C09" w:sz="4" w:space="0"/>
            <w:left w:val="single" w:color="E36C09" w:sz="4" w:space="0"/>
            <w:bottom w:val="single" w:color="E36C09" w:sz="4" w:space="0"/>
            <w:right w:val="single" w:color="E36C09" w:sz="4" w:space="0"/>
            <w:insideH w:val="single" w:color="E36C09" w:sz="4" w:space="0"/>
            <w:insideV w:val="single" w:color="E36C09" w:sz="4" w:space="0"/>
          </w:tblBorders>
          <w:tblCellMar>
            <w:top w:w="0" w:type="dxa"/>
            <w:left w:w="108" w:type="dxa"/>
            <w:bottom w:w="0" w:type="dxa"/>
            <w:right w:w="108" w:type="dxa"/>
          </w:tblCellMar>
        </w:tblPrEx>
        <w:trPr>
          <w:trHeight w:val="23" w:hRule="atLeast"/>
          <w:jc w:val="center"/>
        </w:trPr>
        <w:tc>
          <w:tcPr>
            <w:tcW w:w="315"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0"/>
            <w:vAlign w:val="center"/>
          </w:tcPr>
          <w:p w14:paraId="5AA4CE10">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p>
        </w:tc>
        <w:tc>
          <w:tcPr>
            <w:tcW w:w="60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24355FC5">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学科论坛</w:t>
            </w:r>
          </w:p>
        </w:tc>
        <w:tc>
          <w:tcPr>
            <w:tcW w:w="333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687E842D">
            <w:pPr>
              <w:widowControl w:val="0"/>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每年邀请清北等单位，举行校长论坛、学科类论坛对未来教育进行方向引领</w:t>
            </w:r>
          </w:p>
        </w:tc>
        <w:tc>
          <w:tcPr>
            <w:tcW w:w="3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4F335C9D">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1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14:paraId="5C963DA8">
            <w:pPr>
              <w:widowControl w:val="0"/>
              <w:spacing w:line="240" w:lineRule="auto"/>
              <w:jc w:val="center"/>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eastAsiaTheme="minorEastAsia" w:cstheme="minorEastAsia"/>
                <w:color w:val="auto"/>
                <w:sz w:val="21"/>
                <w:szCs w:val="21"/>
                <w:highlight w:val="none"/>
                <w:lang w:eastAsia="zh-Hans"/>
              </w:rPr>
              <w:t>次</w:t>
            </w:r>
          </w:p>
        </w:tc>
      </w:tr>
    </w:tbl>
    <w:p w14:paraId="50C49B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、其他要求：</w:t>
      </w:r>
    </w:p>
    <w:p w14:paraId="434FDD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lang w:eastAsia="zh-CN"/>
        </w:rPr>
        <w:t>合同签订</w:t>
      </w:r>
      <w:r>
        <w:rPr>
          <w:rFonts w:hint="eastAsia" w:ascii="宋体" w:hAnsi="宋体" w:eastAsia="宋体" w:cs="宋体"/>
          <w:color w:val="auto"/>
          <w:sz w:val="21"/>
          <w:szCs w:val="21"/>
          <w:highlight w:val="none"/>
          <w:lang w:val="en-US" w:eastAsia="zh-CN"/>
        </w:rPr>
        <w:t>之日起至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lang w:eastAsia="zh-CN"/>
        </w:rPr>
        <w:t>。</w:t>
      </w:r>
    </w:p>
    <w:p w14:paraId="15B082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bCs/>
          <w:color w:val="auto"/>
          <w:sz w:val="21"/>
          <w:szCs w:val="21"/>
          <w:highlight w:val="none"/>
        </w:rPr>
        <w:t>合同签订后支付合同金额的40%作为预付款，</w:t>
      </w: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支付合同金额的60%。</w:t>
      </w:r>
    </w:p>
    <w:p w14:paraId="198690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3B3B366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5"/>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1BBA30AD">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6514F7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11A256E1">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台州市路桥中学</w:t>
      </w:r>
    </w:p>
    <w:p w14:paraId="0070D4B5">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1611F0E2">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台州市路桥中学拔尖创新人才早期服务采购项目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1E978C4D">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条：服务内容</w:t>
      </w:r>
    </w:p>
    <w:p w14:paraId="65066530">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4F02A8C8">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74330835">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661B23BB">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50E8682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58E25A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B6FAF8">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63D9091F">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F740D9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7DE926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6953B40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7A667CE0">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642FC92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3884C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7E2EF3DE">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如有转让和未经甲方同意的分包行为，甲方有权解除合同，并追究乙方的违约责任。</w:t>
      </w:r>
    </w:p>
    <w:p w14:paraId="596B3A2F">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4C0F0A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合同签订后支付合同金额的40%作为预付款，</w:t>
      </w: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支付合同金额的60%。</w:t>
      </w:r>
    </w:p>
    <w:p w14:paraId="463BE6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cs="宋体"/>
          <w:b/>
          <w:bCs/>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w:t>
      </w:r>
      <w:r>
        <w:rPr>
          <w:rFonts w:hint="eastAsia" w:ascii="宋体" w:hAnsi="宋体" w:cs="宋体"/>
          <w:b/>
          <w:bCs/>
          <w:color w:val="auto"/>
          <w:szCs w:val="21"/>
          <w:highlight w:val="none"/>
          <w:lang w:val="en-US" w:eastAsia="zh-CN"/>
        </w:rPr>
        <w:t>服务期</w:t>
      </w:r>
    </w:p>
    <w:p w14:paraId="13D43E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lang w:eastAsia="zh-CN"/>
        </w:rPr>
        <w:t>合同签订</w:t>
      </w:r>
      <w:r>
        <w:rPr>
          <w:rFonts w:hint="eastAsia" w:ascii="宋体" w:hAnsi="宋体" w:eastAsia="宋体" w:cs="宋体"/>
          <w:color w:val="auto"/>
          <w:sz w:val="21"/>
          <w:szCs w:val="21"/>
          <w:highlight w:val="none"/>
          <w:lang w:val="en-US" w:eastAsia="zh-CN"/>
        </w:rPr>
        <w:t>之日起至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lang w:eastAsia="zh-CN"/>
        </w:rPr>
        <w:t>。</w:t>
      </w:r>
    </w:p>
    <w:p w14:paraId="5E1D782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7F475885">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w:t>
      </w:r>
      <w:r>
        <w:rPr>
          <w:rFonts w:hint="eastAsia" w:ascii="宋体" w:hAnsi="宋体" w:eastAsia="宋体" w:cs="宋体"/>
          <w:color w:val="auto"/>
          <w:highlight w:val="none"/>
          <w:lang w:val="en-US" w:eastAsia="zh-CN"/>
        </w:rPr>
        <w:t>拒绝</w:t>
      </w:r>
      <w:r>
        <w:rPr>
          <w:rFonts w:hint="eastAsia" w:ascii="宋体" w:hAnsi="宋体" w:eastAsia="宋体" w:cs="宋体"/>
          <w:color w:val="auto"/>
          <w:highlight w:val="none"/>
        </w:rPr>
        <w:t>接受服务的，甲方向乙方支付合同款项百分之五作为违约金。</w:t>
      </w:r>
    </w:p>
    <w:p w14:paraId="016138D7">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252D9EF8">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2CC1054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3C1AA55">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40F69363">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306654D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2B2712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352665D5">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1823D5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7413D312">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7C6D9579">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8B11489">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29523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0758275D">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响应</w:t>
      </w:r>
      <w:r>
        <w:rPr>
          <w:rFonts w:hint="eastAsia" w:ascii="宋体" w:hAnsi="宋体" w:eastAsia="宋体" w:cs="宋体"/>
          <w:color w:val="auto"/>
          <w:spacing w:val="-6"/>
          <w:kern w:val="0"/>
          <w:szCs w:val="21"/>
          <w:highlight w:val="none"/>
        </w:rPr>
        <w:t>文件及澄清文件等为准。</w:t>
      </w:r>
    </w:p>
    <w:p w14:paraId="010E91AC">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6743C4E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F70285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2FC411E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A4B0710">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法定代表人或委托人：                      法定代表人或委托人：         </w:t>
      </w:r>
    </w:p>
    <w:p w14:paraId="01073F9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38C07E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40F0AD9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57FDF6B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5494914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AA4739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39E3F24C">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156B9960">
      <w:pPr>
        <w:rPr>
          <w:rFonts w:hint="eastAsia" w:ascii="宋体" w:hAnsi="宋体" w:eastAsia="宋体" w:cs="宋体"/>
          <w:b/>
          <w:sz w:val="36"/>
          <w:szCs w:val="36"/>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r>
        <w:rPr>
          <w:rFonts w:hint="eastAsia" w:ascii="宋体" w:hAnsi="宋体" w:eastAsia="宋体" w:cs="宋体"/>
          <w:b/>
          <w:sz w:val="36"/>
          <w:szCs w:val="36"/>
        </w:rPr>
        <w:br w:type="page"/>
      </w:r>
    </w:p>
    <w:p w14:paraId="0D7DA2B4">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rPr>
        <w:t xml:space="preserve">第六章 </w:t>
      </w:r>
      <w:r>
        <w:rPr>
          <w:rFonts w:hint="eastAsia" w:ascii="宋体" w:hAnsi="宋体" w:eastAsia="宋体" w:cs="宋体"/>
          <w:b/>
          <w:sz w:val="36"/>
          <w:szCs w:val="36"/>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kern w:val="0"/>
          <w:sz w:val="28"/>
          <w:szCs w:val="28"/>
        </w:rPr>
      </w:pPr>
      <w:r>
        <w:rPr>
          <w:rFonts w:hint="eastAsia" w:ascii="宋体" w:hAnsi="宋体" w:eastAsia="宋体" w:cs="宋体"/>
          <w:b/>
          <w:kern w:val="0"/>
          <w:sz w:val="28"/>
          <w:szCs w:val="28"/>
        </w:rPr>
        <w:t>附件1</w:t>
      </w:r>
      <w:r>
        <w:rPr>
          <w:rFonts w:hint="eastAsia" w:ascii="宋体" w:hAnsi="宋体" w:eastAsia="宋体" w:cs="宋体"/>
          <w:b/>
          <w:sz w:val="30"/>
          <w:szCs w:val="30"/>
        </w:rPr>
        <w:t xml:space="preserve">                             </w:t>
      </w:r>
      <w:r>
        <w:rPr>
          <w:rFonts w:hint="eastAsia" w:ascii="宋体" w:hAnsi="宋体" w:eastAsia="宋体" w:cs="宋体"/>
          <w:sz w:val="30"/>
          <w:szCs w:val="30"/>
        </w:rPr>
        <w:t xml:space="preserve"> 　　　</w:t>
      </w:r>
      <w:r>
        <w:rPr>
          <w:rFonts w:hint="eastAsia" w:ascii="宋体" w:hAnsi="宋体" w:eastAsia="宋体" w:cs="宋体"/>
          <w:b/>
          <w:color w:val="000000"/>
          <w:sz w:val="28"/>
        </w:rPr>
        <w:t xml:space="preserve">        </w:t>
      </w:r>
      <w:r>
        <w:rPr>
          <w:rFonts w:hint="eastAsia" w:ascii="宋体" w:hAnsi="宋体" w:eastAsia="宋体" w:cs="宋体"/>
          <w:b/>
          <w:color w:val="000000"/>
          <w:sz w:val="28"/>
          <w:u w:val="single"/>
        </w:rPr>
        <w:t xml:space="preserve">     </w:t>
      </w:r>
      <w:r>
        <w:rPr>
          <w:rFonts w:hint="eastAsia" w:ascii="宋体" w:hAnsi="宋体" w:eastAsia="宋体" w:cs="宋体"/>
          <w:bCs/>
          <w:color w:val="000000"/>
          <w:sz w:val="24"/>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spacing w:val="40"/>
          <w:sz w:val="52"/>
          <w:szCs w:val="52"/>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000000"/>
          <w:spacing w:val="40"/>
          <w:sz w:val="52"/>
          <w:szCs w:val="52"/>
        </w:rPr>
      </w:pPr>
      <w:r>
        <w:rPr>
          <w:rFonts w:hint="eastAsia" w:ascii="宋体" w:hAnsi="宋体" w:eastAsia="宋体" w:cs="宋体"/>
          <w:color w:val="000000"/>
          <w:spacing w:val="40"/>
          <w:sz w:val="52"/>
          <w:szCs w:val="52"/>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000000"/>
          <w:sz w:val="36"/>
          <w:szCs w:val="36"/>
          <w:u w:val="single"/>
        </w:rPr>
      </w:pPr>
      <w:r>
        <w:rPr>
          <w:rFonts w:hint="eastAsia" w:ascii="宋体" w:hAnsi="宋体" w:eastAsia="宋体" w:cs="宋体"/>
          <w:color w:val="000000"/>
          <w:sz w:val="36"/>
          <w:szCs w:val="36"/>
        </w:rPr>
        <w:t>项目编号：</w:t>
      </w:r>
      <w:r>
        <w:rPr>
          <w:rFonts w:hint="eastAsia" w:ascii="宋体" w:hAnsi="宋体" w:eastAsia="宋体" w:cs="宋体"/>
          <w:color w:val="000000"/>
          <w:sz w:val="36"/>
          <w:szCs w:val="36"/>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8"/>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拔尖创新人才早期服务采购项目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tzya2025-tz19</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台州市路桥中学</w:t>
      </w:r>
      <w:r>
        <w:rPr>
          <w:rFonts w:hint="eastAsia" w:ascii="宋体" w:hAnsi="宋体" w:eastAsia="宋体" w:cs="宋体"/>
          <w:b w:val="0"/>
          <w:bCs/>
          <w:color w:val="auto"/>
          <w:sz w:val="21"/>
          <w:szCs w:val="21"/>
          <w:highlight w:val="none"/>
          <w:u w:val="single"/>
        </w:rPr>
        <w:t>、台州永安工程咨询有限公司：</w:t>
      </w:r>
    </w:p>
    <w:p w14:paraId="57237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拔尖创新人才早期服务采购项目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tzya2025-tz19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21"/>
        <w:ind w:left="0" w:leftChars="0" w:firstLine="0" w:firstLineChars="0"/>
        <w:rPr>
          <w:rFonts w:hint="eastAsia" w:ascii="宋体" w:hAnsi="宋体" w:eastAsia="宋体" w:cs="宋体"/>
          <w:color w:val="auto"/>
          <w:highlight w:val="none"/>
        </w:rPr>
      </w:pPr>
    </w:p>
    <w:p w14:paraId="1D5810F7">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拔尖创新人才早期服务采购项目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tzya2025-tz19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0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gridCol w:w="611"/>
        <w:gridCol w:w="611"/>
      </w:tblGrid>
      <w:tr w14:paraId="0ACE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0E5C8F75">
            <w:pPr>
              <w:adjustRightInd w:val="0"/>
              <w:snapToGrid w:val="0"/>
              <w:spacing w:line="240" w:lineRule="auto"/>
              <w:ind w:left="-50" w:lef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41A62E90">
            <w:pPr>
              <w:adjustRightInd w:val="0"/>
              <w:snapToGrid w:val="0"/>
              <w:spacing w:line="240" w:lineRule="auto"/>
              <w:ind w:left="-50" w:lef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04F734B3">
            <w:pPr>
              <w:adjustRightInd w:val="0"/>
              <w:snapToGrid w:val="0"/>
              <w:spacing w:line="240" w:lineRule="auto"/>
              <w:ind w:left="-5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11" w:type="dxa"/>
            <w:tcBorders>
              <w:top w:val="single" w:color="auto" w:sz="4" w:space="0"/>
              <w:left w:val="single" w:color="auto" w:sz="6" w:space="0"/>
              <w:bottom w:val="single" w:color="auto" w:sz="6" w:space="0"/>
              <w:right w:val="single" w:color="auto" w:sz="6" w:space="0"/>
            </w:tcBorders>
            <w:vAlign w:val="center"/>
          </w:tcPr>
          <w:p w14:paraId="732CF90C">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11" w:type="dxa"/>
            <w:tcBorders>
              <w:top w:val="single" w:color="auto" w:sz="4" w:space="0"/>
              <w:left w:val="single" w:color="auto" w:sz="6" w:space="0"/>
              <w:bottom w:val="single" w:color="auto" w:sz="6" w:space="0"/>
              <w:right w:val="single" w:color="auto" w:sz="6" w:space="0"/>
            </w:tcBorders>
            <w:vAlign w:val="center"/>
          </w:tcPr>
          <w:p w14:paraId="2DC77154">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2484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restart"/>
            <w:vAlign w:val="center"/>
          </w:tcPr>
          <w:p w14:paraId="4B7A0825">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w:t>
            </w:r>
            <w:r>
              <w:rPr>
                <w:rFonts w:hint="eastAsia" w:asciiTheme="minorEastAsia" w:hAnsiTheme="minorEastAsia" w:eastAsiaTheme="minorEastAsia" w:cstheme="minorEastAsia"/>
                <w:bCs/>
                <w:color w:val="auto"/>
                <w:sz w:val="21"/>
                <w:szCs w:val="21"/>
                <w:highlight w:val="none"/>
                <w:lang w:val="en-US" w:eastAsia="zh-CN"/>
              </w:rPr>
              <w:t>分）</w:t>
            </w:r>
          </w:p>
        </w:tc>
        <w:tc>
          <w:tcPr>
            <w:tcW w:w="1087" w:type="dxa"/>
            <w:vMerge w:val="restart"/>
            <w:vAlign w:val="center"/>
          </w:tcPr>
          <w:p w14:paraId="25146C5C">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r>
              <w:rPr>
                <w:rFonts w:hint="eastAsia" w:ascii="宋体" w:hAnsi="宋体" w:eastAsia="宋体" w:cs="宋体"/>
                <w:i w:val="0"/>
                <w:iCs w:val="0"/>
                <w:color w:val="auto"/>
                <w:kern w:val="0"/>
                <w:sz w:val="21"/>
                <w:szCs w:val="21"/>
                <w:highlight w:val="none"/>
                <w:u w:val="none"/>
                <w:lang w:val="en-US" w:eastAsia="zh-CN" w:bidi="ar"/>
              </w:rPr>
              <w:t>师资配备情</w:t>
            </w:r>
            <w:r>
              <w:rPr>
                <w:rFonts w:hint="eastAsia" w:ascii="宋体" w:hAnsi="宋体" w:eastAsia="宋体" w:cs="宋体"/>
                <w:i w:val="0"/>
                <w:iCs w:val="0"/>
                <w:color w:val="auto"/>
                <w:kern w:val="0"/>
                <w:sz w:val="21"/>
                <w:szCs w:val="21"/>
                <w:highlight w:val="none"/>
                <w:u w:val="none"/>
                <w:lang w:val="en-US" w:eastAsia="zh-CN" w:bidi="ar"/>
              </w:rPr>
              <w:t>况</w:t>
            </w:r>
            <w:r>
              <w:rPr>
                <w:rFonts w:hint="eastAsia" w:ascii="宋体" w:hAnsi="宋体" w:eastAsia="宋体" w:cs="宋体"/>
                <w:b/>
                <w:bCs/>
                <w:i w:val="0"/>
                <w:iCs w:val="0"/>
                <w:color w:val="auto"/>
                <w:kern w:val="0"/>
                <w:sz w:val="21"/>
                <w:szCs w:val="21"/>
                <w:highlight w:val="none"/>
                <w:u w:val="none"/>
                <w:lang w:val="en-US" w:eastAsia="zh-CN" w:bidi="ar"/>
              </w:rPr>
              <w:t>（同一人员不重复得分）</w:t>
            </w:r>
          </w:p>
        </w:tc>
        <w:tc>
          <w:tcPr>
            <w:tcW w:w="6974" w:type="dxa"/>
            <w:shd w:val="clear" w:color="auto" w:fill="auto"/>
            <w:vAlign w:val="center"/>
          </w:tcPr>
          <w:p w14:paraId="47A17AF9">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学科专家</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顾问</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具有教授职称证书的，每提供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3A868B65">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拟配备学科专家、顾问</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59AF9356">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90F82FC">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12</w:t>
            </w:r>
          </w:p>
        </w:tc>
        <w:tc>
          <w:tcPr>
            <w:tcW w:w="611" w:type="dxa"/>
            <w:shd w:val="clear" w:color="auto" w:fill="auto"/>
            <w:vAlign w:val="center"/>
          </w:tcPr>
          <w:p w14:paraId="0CF2E76E">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7B18FDE2">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10B5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7631B4FB">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57E1CEDE">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49A7C9F5">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学科负责人至少</w:t>
            </w: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w:t>
            </w:r>
            <w:r>
              <w:rPr>
                <w:rFonts w:hint="eastAsia" w:asciiTheme="minorEastAsia" w:hAnsiTheme="minorEastAsia" w:eastAsiaTheme="minorEastAsia" w:cstheme="minorEastAsia"/>
                <w:color w:val="auto"/>
                <w:highlight w:val="none"/>
                <w:lang w:val="en-US" w:eastAsia="zh-CN"/>
              </w:rPr>
              <w:t>正高级</w:t>
            </w:r>
            <w:r>
              <w:rPr>
                <w:rFonts w:hint="eastAsia" w:asciiTheme="minorEastAsia" w:hAnsiTheme="minorEastAsia" w:eastAsiaTheme="minorEastAsia" w:cstheme="minorEastAsia"/>
                <w:color w:val="auto"/>
                <w:highlight w:val="none"/>
                <w:lang w:val="en-US"/>
              </w:rPr>
              <w:t>教师证书的，每提供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35B26FDE">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拟配备学科负责人</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3CEFB019">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37515232">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c>
          <w:tcPr>
            <w:tcW w:w="611" w:type="dxa"/>
            <w:shd w:val="clear" w:color="auto" w:fill="auto"/>
            <w:vAlign w:val="center"/>
          </w:tcPr>
          <w:p w14:paraId="232069CC">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4ADDEC58">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0EF6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0CEA5243">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76CC5ADD">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02544652">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助教老师至少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具有清华</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lang w:val="en-US"/>
              </w:rPr>
              <w:t>北大大学毕业证书的，每提供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6510CE13">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拟配备助教老师</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56B7BAB0">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4ED2AFFA">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c>
          <w:tcPr>
            <w:tcW w:w="611" w:type="dxa"/>
            <w:shd w:val="clear" w:color="auto" w:fill="auto"/>
            <w:vAlign w:val="center"/>
          </w:tcPr>
          <w:p w14:paraId="3CAE91A8">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01B59AB5">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254D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104FB59B">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29606A88">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5AADAC59">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拟配备服务团队中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有教师资格证</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val="en-US"/>
              </w:rPr>
              <w:t>，每提供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51E8E51D">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7398D73A">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11" w:type="dxa"/>
            <w:shd w:val="clear" w:color="auto" w:fill="auto"/>
            <w:vAlign w:val="center"/>
          </w:tcPr>
          <w:p w14:paraId="58C851AD">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30942D94">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31E8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54" w:type="dxa"/>
            <w:vMerge w:val="continue"/>
            <w:vAlign w:val="center"/>
          </w:tcPr>
          <w:p w14:paraId="6C95DF23">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shd w:val="clear" w:color="auto" w:fill="auto"/>
            <w:vAlign w:val="center"/>
          </w:tcPr>
          <w:p w14:paraId="6D942BF4">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6974" w:type="dxa"/>
            <w:shd w:val="clear" w:color="auto" w:fill="auto"/>
            <w:vAlign w:val="center"/>
          </w:tcPr>
          <w:p w14:paraId="734E4C9B">
            <w:pPr>
              <w:widowControl/>
              <w:adjustRightInd w:val="0"/>
              <w:snapToGri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自2022</w:t>
            </w:r>
            <w:r>
              <w:rPr>
                <w:rFonts w:hint="eastAsia" w:asciiTheme="minorEastAsia" w:hAnsiTheme="minorEastAsia" w:eastAsiaTheme="minorEastAsia" w:cstheme="minorEastAsia"/>
                <w:color w:val="auto"/>
                <w:sz w:val="21"/>
                <w:szCs w:val="21"/>
                <w:highlight w:val="none"/>
                <w:lang w:val="en-US" w:eastAsia="zh-CN"/>
              </w:rPr>
              <w:t>年1月1日至今（以合同签订时间为准），承接过类似的合作项目的得2分。</w:t>
            </w:r>
          </w:p>
          <w:p w14:paraId="7F3EBA5B">
            <w:pPr>
              <w:widowControl/>
              <w:adjustRightInd w:val="0"/>
              <w:snapToGrid w:val="0"/>
              <w:spacing w:line="240" w:lineRule="auto"/>
              <w:jc w:val="left"/>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合同扫描件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7C391208">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11" w:type="dxa"/>
            <w:shd w:val="clear" w:color="auto" w:fill="auto"/>
            <w:vAlign w:val="center"/>
          </w:tcPr>
          <w:p w14:paraId="52A60BED">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58896107">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428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54" w:type="dxa"/>
            <w:vMerge w:val="restart"/>
            <w:vAlign w:val="center"/>
          </w:tcPr>
          <w:p w14:paraId="0652E5D9">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49</w:t>
            </w:r>
            <w:r>
              <w:rPr>
                <w:rFonts w:hint="eastAsia" w:asciiTheme="minorEastAsia" w:hAnsiTheme="minorEastAsia" w:eastAsiaTheme="minorEastAsia" w:cstheme="minorEastAsia"/>
                <w:bCs/>
                <w:color w:val="auto"/>
                <w:sz w:val="21"/>
                <w:szCs w:val="21"/>
                <w:highlight w:val="none"/>
              </w:rPr>
              <w:t>分）</w:t>
            </w:r>
          </w:p>
        </w:tc>
        <w:tc>
          <w:tcPr>
            <w:tcW w:w="1087" w:type="dxa"/>
            <w:vAlign w:val="center"/>
          </w:tcPr>
          <w:p w14:paraId="301AAE2F">
            <w:pPr>
              <w:autoSpaceDE w:val="0"/>
              <w:autoSpaceDN w:val="0"/>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项目理解</w:t>
            </w:r>
          </w:p>
        </w:tc>
        <w:tc>
          <w:tcPr>
            <w:tcW w:w="6974" w:type="dxa"/>
            <w:vAlign w:val="center"/>
          </w:tcPr>
          <w:p w14:paraId="5A972327">
            <w:pPr>
              <w:widowControl/>
              <w:adjustRightInd w:val="0"/>
              <w:snapToGrid w:val="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Cs w:val="21"/>
                <w:highlight w:val="none"/>
              </w:rPr>
              <w:t>对</w:t>
            </w:r>
            <w:r>
              <w:rPr>
                <w:rFonts w:hint="eastAsia" w:asciiTheme="minorEastAsia" w:hAnsiTheme="minorEastAsia" w:eastAsiaTheme="minorEastAsia" w:cstheme="minorEastAsia"/>
                <w:color w:val="auto"/>
                <w:szCs w:val="21"/>
                <w:highlight w:val="none"/>
                <w:lang w:val="en-US" w:eastAsia="zh-CN"/>
              </w:rPr>
              <w:t>政策了解、</w:t>
            </w:r>
            <w:r>
              <w:rPr>
                <w:rFonts w:hint="eastAsia" w:asciiTheme="minorEastAsia" w:hAnsiTheme="minorEastAsia" w:eastAsiaTheme="minorEastAsia" w:cstheme="minorEastAsia"/>
                <w:color w:val="auto"/>
                <w:szCs w:val="21"/>
                <w:highlight w:val="none"/>
              </w:rPr>
              <w:t>台州市路桥中学教育教学</w:t>
            </w:r>
            <w:r>
              <w:rPr>
                <w:rFonts w:hint="eastAsia" w:asciiTheme="minorEastAsia" w:hAnsiTheme="minorEastAsia" w:eastAsiaTheme="minorEastAsia" w:cstheme="minorEastAsia"/>
                <w:color w:val="auto"/>
                <w:szCs w:val="21"/>
                <w:highlight w:val="none"/>
                <w:lang w:val="en-US" w:eastAsia="zh-CN"/>
              </w:rPr>
              <w:t>现状</w:t>
            </w:r>
            <w:r>
              <w:rPr>
                <w:rFonts w:hint="eastAsia" w:asciiTheme="minorEastAsia" w:hAnsiTheme="minorEastAsia" w:eastAsiaTheme="minorEastAsia" w:cstheme="minorEastAsia"/>
                <w:color w:val="auto"/>
                <w:szCs w:val="21"/>
                <w:highlight w:val="none"/>
              </w:rPr>
              <w:t>等方面情况的</w:t>
            </w:r>
            <w:r>
              <w:rPr>
                <w:rFonts w:hint="eastAsia" w:asciiTheme="minorEastAsia" w:hAnsiTheme="minorEastAsia" w:eastAsiaTheme="minorEastAsia" w:cstheme="minorEastAsia"/>
                <w:color w:val="auto"/>
                <w:szCs w:val="21"/>
                <w:highlight w:val="none"/>
                <w:lang w:val="en-US" w:eastAsia="zh-CN"/>
              </w:rPr>
              <w:t>调查了解分析</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4DC93DE1">
            <w:pPr>
              <w:widowControl/>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3EAA3482">
            <w:pPr>
              <w:widowControl/>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C0B833A">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调查分析内容简略，与实际情况有一定差距的得2分；</w:t>
            </w:r>
          </w:p>
          <w:p w14:paraId="1E49DE40">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调查分析内容简单，与实际情况差距较大的得1分；</w:t>
            </w:r>
          </w:p>
          <w:p w14:paraId="1F1A6A2B">
            <w:pPr>
              <w:widowControl/>
              <w:adjustRightInd w:val="0"/>
              <w:snapToGrid w:val="0"/>
              <w:jc w:val="left"/>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096F3DCB">
            <w:pPr>
              <w:tabs>
                <w:tab w:val="left" w:pos="780"/>
              </w:tabs>
              <w:autoSpaceDE w:val="0"/>
              <w:autoSpaceDN w:val="0"/>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c>
          <w:tcPr>
            <w:tcW w:w="611" w:type="dxa"/>
            <w:vAlign w:val="center"/>
          </w:tcPr>
          <w:p w14:paraId="45ECE2E9">
            <w:pPr>
              <w:tabs>
                <w:tab w:val="left" w:pos="780"/>
              </w:tabs>
              <w:autoSpaceDE w:val="0"/>
              <w:autoSpaceDN w:val="0"/>
              <w:adjustRightInd w:val="0"/>
              <w:snapToGrid w:val="0"/>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12145611">
            <w:pPr>
              <w:tabs>
                <w:tab w:val="left" w:pos="780"/>
              </w:tabs>
              <w:autoSpaceDE w:val="0"/>
              <w:autoSpaceDN w:val="0"/>
              <w:adjustRightInd w:val="0"/>
              <w:snapToGrid w:val="0"/>
              <w:jc w:val="center"/>
              <w:rPr>
                <w:rFonts w:hint="eastAsia" w:asciiTheme="minorEastAsia" w:hAnsiTheme="minorEastAsia" w:eastAsiaTheme="minorEastAsia" w:cstheme="minorEastAsia"/>
                <w:color w:val="auto"/>
                <w:szCs w:val="21"/>
                <w:highlight w:val="none"/>
                <w:lang w:val="en-US" w:eastAsia="zh-CN"/>
              </w:rPr>
            </w:pPr>
          </w:p>
        </w:tc>
      </w:tr>
      <w:tr w14:paraId="05BF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4" w:type="dxa"/>
            <w:vMerge w:val="continue"/>
            <w:vAlign w:val="center"/>
          </w:tcPr>
          <w:p w14:paraId="5D321C38">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37949A28">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服务保障</w:t>
            </w:r>
          </w:p>
        </w:tc>
        <w:tc>
          <w:tcPr>
            <w:tcW w:w="6974" w:type="dxa"/>
            <w:vAlign w:val="center"/>
          </w:tcPr>
          <w:p w14:paraId="3F69A0E1">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1EA14E4C">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入选中学生奥林匹克竞赛国家集训队20人及以上的得8分，19人—10人得6分，9人-1人得3分，没有的不得分。</w:t>
            </w:r>
          </w:p>
          <w:p w14:paraId="0E585F05">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②中国科协全国青少年科技中心网站（https://gs.cyscc.org/）上公布的国家集训队获得者公示名单截图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617FD24E">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11" w:type="dxa"/>
            <w:vAlign w:val="center"/>
          </w:tcPr>
          <w:p w14:paraId="2E336BBD">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p>
        </w:tc>
        <w:tc>
          <w:tcPr>
            <w:tcW w:w="611" w:type="dxa"/>
            <w:vAlign w:val="center"/>
          </w:tcPr>
          <w:p w14:paraId="6768148C">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p>
        </w:tc>
      </w:tr>
      <w:tr w14:paraId="78F4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54" w:type="dxa"/>
            <w:vMerge w:val="continue"/>
            <w:vAlign w:val="center"/>
          </w:tcPr>
          <w:p w14:paraId="4A547118">
            <w:pPr>
              <w:widowControl/>
              <w:adjustRightInd w:val="0"/>
              <w:snapToGrid w:val="0"/>
              <w:jc w:val="left"/>
              <w:rPr>
                <w:color w:val="auto"/>
                <w:highlight w:val="none"/>
              </w:rPr>
            </w:pPr>
          </w:p>
        </w:tc>
        <w:tc>
          <w:tcPr>
            <w:tcW w:w="1087" w:type="dxa"/>
            <w:vMerge w:val="continue"/>
            <w:vAlign w:val="center"/>
          </w:tcPr>
          <w:p w14:paraId="326C2DE9">
            <w:pPr>
              <w:widowControl/>
              <w:adjustRightInd w:val="0"/>
              <w:snapToGrid w:val="0"/>
              <w:jc w:val="left"/>
              <w:rPr>
                <w:rFonts w:hint="eastAsia" w:ascii="宋体" w:hAnsi="宋体" w:eastAsia="宋体" w:cs="宋体"/>
                <w:color w:val="auto"/>
                <w:highlight w:val="none"/>
              </w:rPr>
            </w:pPr>
          </w:p>
        </w:tc>
        <w:tc>
          <w:tcPr>
            <w:tcW w:w="6974" w:type="dxa"/>
            <w:vAlign w:val="center"/>
          </w:tcPr>
          <w:p w14:paraId="4ED000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4E48F9A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获得中学生奥林匹克竞赛国家金牌40人及以上的得7分，39人—20人得3分，19人-1人得1分，没有的不得分。</w:t>
            </w:r>
          </w:p>
          <w:p w14:paraId="06934B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w:t>
            </w:r>
            <w:r>
              <w:rPr>
                <w:rFonts w:hint="eastAsia" w:ascii="宋体" w:hAnsi="宋体" w:eastAsia="宋体" w:cs="宋体"/>
                <w:b/>
                <w:bCs/>
                <w:color w:val="auto"/>
                <w:highlight w:val="none"/>
                <w:lang w:val="en-US" w:eastAsia="zh-CN"/>
              </w:rPr>
              <w:t>竞赛金牌</w:t>
            </w:r>
            <w:r>
              <w:rPr>
                <w:rFonts w:hint="eastAsia" w:ascii="宋体" w:hAnsi="宋体" w:eastAsia="宋体" w:cs="宋体"/>
                <w:b/>
                <w:bCs/>
                <w:color w:val="auto"/>
                <w:highlight w:val="none"/>
                <w:lang w:val="en-US"/>
              </w:rPr>
              <w:t>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603885BA">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11" w:type="dxa"/>
            <w:vAlign w:val="center"/>
          </w:tcPr>
          <w:p w14:paraId="776FC246">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3505F630">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lang w:val="en-US" w:eastAsia="zh-CN"/>
              </w:rPr>
            </w:pPr>
          </w:p>
        </w:tc>
      </w:tr>
      <w:tr w14:paraId="69F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554B1125">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46A7CCEA">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6974" w:type="dxa"/>
            <w:vAlign w:val="center"/>
          </w:tcPr>
          <w:p w14:paraId="50C73BF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185A76FA">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33A0E0E5">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58F45CF6">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w:t>
            </w:r>
            <w:r>
              <w:rPr>
                <w:rFonts w:hint="eastAsia" w:asciiTheme="minorEastAsia" w:hAnsiTheme="minorEastAsia" w:eastAsiaTheme="minorEastAsia" w:cstheme="minorEastAsia"/>
                <w:bCs/>
                <w:color w:val="auto"/>
                <w:szCs w:val="21"/>
                <w:highlight w:val="none"/>
                <w:lang w:val="en-US" w:eastAsia="zh-CN"/>
              </w:rPr>
              <w:t>分；</w:t>
            </w:r>
          </w:p>
          <w:p w14:paraId="3032BA1A">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0073FA43">
            <w:pPr>
              <w:pStyle w:val="8"/>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2D29DD4E">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14378A70">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vAlign w:val="center"/>
          </w:tcPr>
          <w:p w14:paraId="6D054DF7">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0A0F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0C62E3FF">
            <w:pPr>
              <w:pStyle w:val="8"/>
              <w:adjustRightInd w:val="0"/>
              <w:snapToGrid w:val="0"/>
              <w:spacing w:after="0" w:line="240" w:lineRule="auto"/>
              <w:rPr>
                <w:rFonts w:hint="eastAsia" w:asciiTheme="minorEastAsia" w:hAnsiTheme="minorEastAsia" w:eastAsiaTheme="minorEastAsia" w:cstheme="minorEastAsia"/>
                <w:color w:val="auto"/>
                <w:highlight w:val="none"/>
              </w:rPr>
            </w:pPr>
          </w:p>
        </w:tc>
        <w:tc>
          <w:tcPr>
            <w:tcW w:w="1087" w:type="dxa"/>
            <w:vMerge w:val="continue"/>
            <w:vAlign w:val="center"/>
          </w:tcPr>
          <w:p w14:paraId="5964AFA7">
            <w:pPr>
              <w:pStyle w:val="8"/>
              <w:adjustRightInd w:val="0"/>
              <w:snapToGrid w:val="0"/>
              <w:spacing w:after="0" w:line="240" w:lineRule="auto"/>
              <w:rPr>
                <w:rFonts w:hint="eastAsia" w:asciiTheme="minorEastAsia" w:hAnsiTheme="minorEastAsia" w:eastAsiaTheme="minorEastAsia" w:cstheme="minorEastAsia"/>
                <w:color w:val="auto"/>
                <w:highlight w:val="none"/>
              </w:rPr>
            </w:pPr>
          </w:p>
        </w:tc>
        <w:tc>
          <w:tcPr>
            <w:tcW w:w="6974" w:type="dxa"/>
            <w:vAlign w:val="center"/>
          </w:tcPr>
          <w:p w14:paraId="2E0DC0D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77BFDE3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2FE03D3B">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4BEF0E62">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w:t>
            </w:r>
            <w:r>
              <w:rPr>
                <w:rFonts w:hint="eastAsia" w:asciiTheme="minorEastAsia" w:hAnsiTheme="minorEastAsia" w:eastAsiaTheme="minorEastAsia" w:cstheme="minorEastAsia"/>
                <w:bCs/>
                <w:color w:val="auto"/>
                <w:szCs w:val="21"/>
                <w:highlight w:val="none"/>
                <w:lang w:val="en-US" w:eastAsia="zh-CN"/>
              </w:rPr>
              <w:t>分；</w:t>
            </w:r>
          </w:p>
          <w:p w14:paraId="53290D53">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05A1D805">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3DB94C22">
            <w:pPr>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10278527">
            <w:pPr>
              <w:pStyle w:val="8"/>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c>
          <w:tcPr>
            <w:tcW w:w="611" w:type="dxa"/>
            <w:vAlign w:val="center"/>
          </w:tcPr>
          <w:p w14:paraId="4E465008">
            <w:pPr>
              <w:pStyle w:val="8"/>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r>
      <w:tr w14:paraId="2B48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26CAE946">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11617566">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7B94C1FC">
            <w:pPr>
              <w:adjustRightInd w:val="0"/>
              <w:rPr>
                <w:rFonts w:hint="eastAsia" w:asciiTheme="minorEastAsia" w:hAnsiTheme="minorEastAsia" w:eastAsiaTheme="minorEastAsia" w:cstheme="minorEastAsia"/>
                <w:b w:val="0"/>
                <w:bCs w:val="0"/>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人员安排、平台支撑两方面进行详细阐述；服务保障方案应完整、科学、可行、有明确服务保障措施，有丰富的教学经验支撑服务。根据方案的可行性、科学性进行打分。</w:t>
            </w:r>
          </w:p>
          <w:p w14:paraId="0B28C3B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1BB6DE0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06B9B671">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208CB9D2">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0747DD88">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7A389D31">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shd w:val="clear" w:color="auto" w:fill="auto"/>
            <w:vAlign w:val="center"/>
          </w:tcPr>
          <w:p w14:paraId="414F05AB">
            <w:pPr>
              <w:jc w:val="center"/>
              <w:rPr>
                <w:rFonts w:hint="eastAsia" w:asciiTheme="minorEastAsia" w:hAnsiTheme="minorEastAsia" w:eastAsiaTheme="minorEastAsia" w:cstheme="minorEastAsia"/>
                <w:color w:val="auto"/>
                <w:szCs w:val="21"/>
                <w:highlight w:val="none"/>
                <w:lang w:val="en-US" w:eastAsia="zh-CN"/>
              </w:rPr>
            </w:pPr>
          </w:p>
        </w:tc>
        <w:tc>
          <w:tcPr>
            <w:tcW w:w="611" w:type="dxa"/>
            <w:shd w:val="clear" w:color="auto" w:fill="auto"/>
            <w:vAlign w:val="center"/>
          </w:tcPr>
          <w:p w14:paraId="4906F3DF">
            <w:pPr>
              <w:jc w:val="center"/>
              <w:rPr>
                <w:rFonts w:hint="eastAsia" w:asciiTheme="minorEastAsia" w:hAnsiTheme="minorEastAsia" w:eastAsiaTheme="minorEastAsia" w:cstheme="minorEastAsia"/>
                <w:color w:val="auto"/>
                <w:szCs w:val="21"/>
                <w:highlight w:val="none"/>
                <w:lang w:val="en-US" w:eastAsia="zh-CN"/>
              </w:rPr>
            </w:pPr>
          </w:p>
        </w:tc>
      </w:tr>
      <w:tr w14:paraId="3CC3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dxa"/>
            <w:vMerge w:val="continue"/>
            <w:vAlign w:val="center"/>
          </w:tcPr>
          <w:p w14:paraId="095BB6DF">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14A63CF8">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4655CC22">
            <w:pPr>
              <w:adjustRightInd w:val="0"/>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配套作业、个性服务两方面进行详细阐述；服务保障方案应完整、科学、可行、有明确服务保障措施，有丰富的教学经验支撑服务。根据方案的可行性、科学性进行打分。</w:t>
            </w:r>
          </w:p>
          <w:p w14:paraId="17822C7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4D2D13A7">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593AF804">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05E8A558">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15F01FD5">
            <w:pPr>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69226E78">
            <w:pPr>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shd w:val="clear" w:color="auto" w:fill="auto"/>
            <w:vAlign w:val="center"/>
          </w:tcPr>
          <w:p w14:paraId="2C2ED609">
            <w:pPr>
              <w:pStyle w:val="2"/>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611" w:type="dxa"/>
            <w:shd w:val="clear" w:color="auto" w:fill="auto"/>
            <w:vAlign w:val="center"/>
          </w:tcPr>
          <w:p w14:paraId="465DD3B1">
            <w:pPr>
              <w:pStyle w:val="2"/>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r>
      <w:tr w14:paraId="1998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4" w:type="dxa"/>
            <w:vMerge w:val="continue"/>
            <w:vAlign w:val="center"/>
          </w:tcPr>
          <w:p w14:paraId="11EE2C6F">
            <w:pPr>
              <w:jc w:val="left"/>
              <w:rPr>
                <w:rFonts w:hint="eastAsia" w:asciiTheme="minorEastAsia" w:hAnsiTheme="minorEastAsia" w:eastAsiaTheme="minorEastAsia" w:cstheme="minorEastAsia"/>
                <w:color w:val="auto"/>
                <w:highlight w:val="none"/>
              </w:rPr>
            </w:pPr>
          </w:p>
        </w:tc>
        <w:tc>
          <w:tcPr>
            <w:tcW w:w="1087" w:type="dxa"/>
            <w:vMerge w:val="continue"/>
            <w:vAlign w:val="center"/>
          </w:tcPr>
          <w:p w14:paraId="02BA50BB">
            <w:pPr>
              <w:jc w:val="left"/>
              <w:rPr>
                <w:rFonts w:hint="eastAsia" w:asciiTheme="minorEastAsia" w:hAnsiTheme="minorEastAsia" w:eastAsiaTheme="minorEastAsia" w:cstheme="minorEastAsia"/>
                <w:color w:val="auto"/>
                <w:highlight w:val="none"/>
              </w:rPr>
            </w:pPr>
          </w:p>
        </w:tc>
        <w:tc>
          <w:tcPr>
            <w:tcW w:w="6974" w:type="dxa"/>
            <w:vAlign w:val="center"/>
          </w:tcPr>
          <w:p w14:paraId="25A11471">
            <w:pPr>
              <w:adjustRightInd w:val="0"/>
              <w:rPr>
                <w:rFonts w:hint="eastAsia" w:asciiTheme="minorEastAsia" w:hAnsiTheme="minorEastAsia" w:eastAsiaTheme="minorEastAsia" w:cstheme="minorEastAsia"/>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场地配备、安全保障、突发事件预案三方面进行详细阐述；服务保障方案应完整、科学、可行、有明确服务保障措施，有丰富的教学经验支撑服务。根据方案的可行性、科学性进行打分。</w:t>
            </w:r>
          </w:p>
          <w:p w14:paraId="5BC9F47B">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4451C856">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4253A33A">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03AF406B">
            <w:pPr>
              <w:pStyle w:val="8"/>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E196DAB">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3619D215">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4BFA1FFE">
            <w:pPr>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4B3E37D8">
            <w:pPr>
              <w:jc w:val="center"/>
              <w:rPr>
                <w:rFonts w:hint="eastAsia" w:asciiTheme="minorEastAsia" w:hAnsiTheme="minorEastAsia" w:eastAsiaTheme="minorEastAsia" w:cstheme="minorEastAsia"/>
                <w:color w:val="auto"/>
                <w:szCs w:val="21"/>
                <w:highlight w:val="none"/>
                <w:lang w:val="en-US" w:eastAsia="zh-CN"/>
              </w:rPr>
            </w:pPr>
          </w:p>
        </w:tc>
      </w:tr>
      <w:tr w14:paraId="185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53789F09">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Align w:val="center"/>
          </w:tcPr>
          <w:p w14:paraId="684EB593">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6974" w:type="dxa"/>
            <w:vAlign w:val="center"/>
          </w:tcPr>
          <w:p w14:paraId="6084214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3E6CB7E3">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B03E6E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0050E9C4">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存在疏漏，有效性一般的</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39EF278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缺乏</w:t>
            </w: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63CBD3C7">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611" w:type="dxa"/>
            <w:vAlign w:val="center"/>
          </w:tcPr>
          <w:p w14:paraId="6CE6BEBF">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7B690A54">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r>
    </w:tbl>
    <w:p w14:paraId="477FE2C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D996D86">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000000"/>
          <w:sz w:val="21"/>
          <w:szCs w:val="21"/>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000000"/>
          <w:sz w:val="21"/>
          <w:szCs w:val="21"/>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kern w:val="0"/>
          <w:sz w:val="24"/>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sz w:val="28"/>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sz w:val="28"/>
        </w:rPr>
      </w:pPr>
    </w:p>
    <w:p w14:paraId="5B7988EC">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拔尖创新人才早期服务采购项目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1D2710"/>
    <w:rsid w:val="01664238"/>
    <w:rsid w:val="017A6A7C"/>
    <w:rsid w:val="019D45E6"/>
    <w:rsid w:val="01BE50A7"/>
    <w:rsid w:val="01D70B06"/>
    <w:rsid w:val="02380D19"/>
    <w:rsid w:val="024017F0"/>
    <w:rsid w:val="02F97313"/>
    <w:rsid w:val="03320476"/>
    <w:rsid w:val="036C1E9F"/>
    <w:rsid w:val="041861BA"/>
    <w:rsid w:val="043F7FC4"/>
    <w:rsid w:val="04466BB8"/>
    <w:rsid w:val="04AB10A4"/>
    <w:rsid w:val="04E65DCF"/>
    <w:rsid w:val="052341BD"/>
    <w:rsid w:val="053C3F02"/>
    <w:rsid w:val="05FC4BD0"/>
    <w:rsid w:val="0601391E"/>
    <w:rsid w:val="067363FE"/>
    <w:rsid w:val="073967B1"/>
    <w:rsid w:val="07685A63"/>
    <w:rsid w:val="076A5AA3"/>
    <w:rsid w:val="07742171"/>
    <w:rsid w:val="07944DAE"/>
    <w:rsid w:val="07C96B93"/>
    <w:rsid w:val="07D22E0A"/>
    <w:rsid w:val="0836339B"/>
    <w:rsid w:val="08390248"/>
    <w:rsid w:val="08AC4158"/>
    <w:rsid w:val="09001A02"/>
    <w:rsid w:val="09492528"/>
    <w:rsid w:val="095775BD"/>
    <w:rsid w:val="09846D45"/>
    <w:rsid w:val="099F2E34"/>
    <w:rsid w:val="09CF47C3"/>
    <w:rsid w:val="09E03F7D"/>
    <w:rsid w:val="09F33DD0"/>
    <w:rsid w:val="09F93B86"/>
    <w:rsid w:val="0A071FFD"/>
    <w:rsid w:val="0A296CB3"/>
    <w:rsid w:val="0A2C1FBC"/>
    <w:rsid w:val="0AF64F0D"/>
    <w:rsid w:val="0B8001A4"/>
    <w:rsid w:val="0C181AC6"/>
    <w:rsid w:val="0CD8063C"/>
    <w:rsid w:val="0CFA4EFD"/>
    <w:rsid w:val="0D1F4CD0"/>
    <w:rsid w:val="0D88328D"/>
    <w:rsid w:val="0DA7450C"/>
    <w:rsid w:val="0DD91C25"/>
    <w:rsid w:val="0DE71422"/>
    <w:rsid w:val="0E0F138C"/>
    <w:rsid w:val="0EC6046D"/>
    <w:rsid w:val="0ED2632B"/>
    <w:rsid w:val="0F122F26"/>
    <w:rsid w:val="0F5818DA"/>
    <w:rsid w:val="0F7E6199"/>
    <w:rsid w:val="0FE74D1C"/>
    <w:rsid w:val="0FF94B3D"/>
    <w:rsid w:val="10452B67"/>
    <w:rsid w:val="109F080C"/>
    <w:rsid w:val="11E77423"/>
    <w:rsid w:val="121665CB"/>
    <w:rsid w:val="121F1572"/>
    <w:rsid w:val="12704EB7"/>
    <w:rsid w:val="12CD2FA4"/>
    <w:rsid w:val="12EC03CE"/>
    <w:rsid w:val="12FA02EB"/>
    <w:rsid w:val="13345D72"/>
    <w:rsid w:val="13BF45A5"/>
    <w:rsid w:val="149451F4"/>
    <w:rsid w:val="15115B44"/>
    <w:rsid w:val="153703F4"/>
    <w:rsid w:val="159E68EB"/>
    <w:rsid w:val="160475A2"/>
    <w:rsid w:val="165C24F7"/>
    <w:rsid w:val="168339D9"/>
    <w:rsid w:val="16CC3CB9"/>
    <w:rsid w:val="16D70F66"/>
    <w:rsid w:val="17047DD8"/>
    <w:rsid w:val="171D6CDD"/>
    <w:rsid w:val="173777C2"/>
    <w:rsid w:val="17461D47"/>
    <w:rsid w:val="17B10D95"/>
    <w:rsid w:val="17B23AF1"/>
    <w:rsid w:val="17C63C83"/>
    <w:rsid w:val="17D14D06"/>
    <w:rsid w:val="17D2330C"/>
    <w:rsid w:val="191533D1"/>
    <w:rsid w:val="192A2781"/>
    <w:rsid w:val="19474367"/>
    <w:rsid w:val="194F6D87"/>
    <w:rsid w:val="1A801369"/>
    <w:rsid w:val="1AA22976"/>
    <w:rsid w:val="1AAA082E"/>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3A2AB8"/>
    <w:rsid w:val="224700DF"/>
    <w:rsid w:val="22C37E78"/>
    <w:rsid w:val="234C750E"/>
    <w:rsid w:val="23FA686C"/>
    <w:rsid w:val="24AA5BCC"/>
    <w:rsid w:val="255B67E8"/>
    <w:rsid w:val="25D20519"/>
    <w:rsid w:val="26B8513F"/>
    <w:rsid w:val="277E06D7"/>
    <w:rsid w:val="27AC425F"/>
    <w:rsid w:val="28032FE3"/>
    <w:rsid w:val="285646C3"/>
    <w:rsid w:val="285D5E3E"/>
    <w:rsid w:val="28AF41A0"/>
    <w:rsid w:val="28D80E9E"/>
    <w:rsid w:val="29320DF3"/>
    <w:rsid w:val="297C3AF2"/>
    <w:rsid w:val="29E20D6F"/>
    <w:rsid w:val="29E63530"/>
    <w:rsid w:val="29FA6C83"/>
    <w:rsid w:val="2A6C6628"/>
    <w:rsid w:val="2A8138F9"/>
    <w:rsid w:val="2ACF2CE1"/>
    <w:rsid w:val="2AE50783"/>
    <w:rsid w:val="2AFA5254"/>
    <w:rsid w:val="2B2C7B14"/>
    <w:rsid w:val="2BC50A03"/>
    <w:rsid w:val="2C2E435A"/>
    <w:rsid w:val="2CFC68D9"/>
    <w:rsid w:val="2D1C60BC"/>
    <w:rsid w:val="2E2C594D"/>
    <w:rsid w:val="2EB30204"/>
    <w:rsid w:val="2EBE2906"/>
    <w:rsid w:val="2EED4C20"/>
    <w:rsid w:val="2EEF2FD0"/>
    <w:rsid w:val="2EF506AE"/>
    <w:rsid w:val="2F607C49"/>
    <w:rsid w:val="2F7B1BB4"/>
    <w:rsid w:val="2FAF0F3B"/>
    <w:rsid w:val="2FCC2EC1"/>
    <w:rsid w:val="2FD75A57"/>
    <w:rsid w:val="30150257"/>
    <w:rsid w:val="305A68F0"/>
    <w:rsid w:val="309703E8"/>
    <w:rsid w:val="30CF5D28"/>
    <w:rsid w:val="30EA52B7"/>
    <w:rsid w:val="30F24A05"/>
    <w:rsid w:val="31233BA5"/>
    <w:rsid w:val="31813005"/>
    <w:rsid w:val="31B43A06"/>
    <w:rsid w:val="323740AF"/>
    <w:rsid w:val="328B6879"/>
    <w:rsid w:val="32EB7B03"/>
    <w:rsid w:val="33053FC9"/>
    <w:rsid w:val="333330BE"/>
    <w:rsid w:val="34513BC3"/>
    <w:rsid w:val="34772ADD"/>
    <w:rsid w:val="351836BE"/>
    <w:rsid w:val="35442535"/>
    <w:rsid w:val="35590177"/>
    <w:rsid w:val="35B65126"/>
    <w:rsid w:val="362A1767"/>
    <w:rsid w:val="36820344"/>
    <w:rsid w:val="36864695"/>
    <w:rsid w:val="368B0847"/>
    <w:rsid w:val="36AD3C21"/>
    <w:rsid w:val="36D706BD"/>
    <w:rsid w:val="36DB71B3"/>
    <w:rsid w:val="36DF4838"/>
    <w:rsid w:val="38357FC3"/>
    <w:rsid w:val="397114CB"/>
    <w:rsid w:val="3A286983"/>
    <w:rsid w:val="3A316D41"/>
    <w:rsid w:val="3A791AB3"/>
    <w:rsid w:val="3A7A6F1E"/>
    <w:rsid w:val="3AA94B87"/>
    <w:rsid w:val="3AE12ADB"/>
    <w:rsid w:val="3B7E607B"/>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7E7AF0"/>
    <w:rsid w:val="41B04BB9"/>
    <w:rsid w:val="42394175"/>
    <w:rsid w:val="423E1A86"/>
    <w:rsid w:val="42910824"/>
    <w:rsid w:val="4412111F"/>
    <w:rsid w:val="443133A9"/>
    <w:rsid w:val="45185FC7"/>
    <w:rsid w:val="45651ECC"/>
    <w:rsid w:val="470216C0"/>
    <w:rsid w:val="47C11F07"/>
    <w:rsid w:val="47E83667"/>
    <w:rsid w:val="4815174B"/>
    <w:rsid w:val="48BB660B"/>
    <w:rsid w:val="4990766F"/>
    <w:rsid w:val="49F96717"/>
    <w:rsid w:val="4A007A95"/>
    <w:rsid w:val="4A56355D"/>
    <w:rsid w:val="4A6A77A1"/>
    <w:rsid w:val="4A802F02"/>
    <w:rsid w:val="4B137686"/>
    <w:rsid w:val="4C392F39"/>
    <w:rsid w:val="4C6B1FB3"/>
    <w:rsid w:val="4CF72E0A"/>
    <w:rsid w:val="4CFC26F0"/>
    <w:rsid w:val="4D190A3D"/>
    <w:rsid w:val="4D996193"/>
    <w:rsid w:val="4D9B5E2B"/>
    <w:rsid w:val="4DA62A71"/>
    <w:rsid w:val="4E2813A3"/>
    <w:rsid w:val="4E3623E0"/>
    <w:rsid w:val="4E590CD0"/>
    <w:rsid w:val="4E874BF9"/>
    <w:rsid w:val="4F4966DE"/>
    <w:rsid w:val="4F8E22FA"/>
    <w:rsid w:val="4FFD7272"/>
    <w:rsid w:val="50310EA7"/>
    <w:rsid w:val="50972888"/>
    <w:rsid w:val="512E4621"/>
    <w:rsid w:val="513371C0"/>
    <w:rsid w:val="513C7072"/>
    <w:rsid w:val="51422142"/>
    <w:rsid w:val="518E7928"/>
    <w:rsid w:val="524B29D2"/>
    <w:rsid w:val="527354B0"/>
    <w:rsid w:val="53240DE2"/>
    <w:rsid w:val="536B714E"/>
    <w:rsid w:val="53D43282"/>
    <w:rsid w:val="54CF56D2"/>
    <w:rsid w:val="551410ED"/>
    <w:rsid w:val="554479B3"/>
    <w:rsid w:val="557309A7"/>
    <w:rsid w:val="55B12017"/>
    <w:rsid w:val="55E40A12"/>
    <w:rsid w:val="55FC25AC"/>
    <w:rsid w:val="5622038C"/>
    <w:rsid w:val="56F91B04"/>
    <w:rsid w:val="578F4550"/>
    <w:rsid w:val="57977A16"/>
    <w:rsid w:val="58032CCB"/>
    <w:rsid w:val="580F411A"/>
    <w:rsid w:val="583D1B1F"/>
    <w:rsid w:val="58A27480"/>
    <w:rsid w:val="590C3210"/>
    <w:rsid w:val="5A5A375F"/>
    <w:rsid w:val="5A8457CD"/>
    <w:rsid w:val="5ACE03B2"/>
    <w:rsid w:val="5AFA0CD5"/>
    <w:rsid w:val="5BAA29AB"/>
    <w:rsid w:val="5BAE36B3"/>
    <w:rsid w:val="5BBC3082"/>
    <w:rsid w:val="5BC9507D"/>
    <w:rsid w:val="5BF04E33"/>
    <w:rsid w:val="5C8A42C3"/>
    <w:rsid w:val="5E2814C4"/>
    <w:rsid w:val="5E2C75D3"/>
    <w:rsid w:val="5E5C1146"/>
    <w:rsid w:val="5E93650C"/>
    <w:rsid w:val="5E9C5841"/>
    <w:rsid w:val="5ECC6D02"/>
    <w:rsid w:val="5F0D2C6F"/>
    <w:rsid w:val="607D6651"/>
    <w:rsid w:val="609116A6"/>
    <w:rsid w:val="60BD1FFE"/>
    <w:rsid w:val="61170B58"/>
    <w:rsid w:val="611A0EA3"/>
    <w:rsid w:val="61E70C8F"/>
    <w:rsid w:val="61ED4AF3"/>
    <w:rsid w:val="627C6782"/>
    <w:rsid w:val="62824C4A"/>
    <w:rsid w:val="62EA0127"/>
    <w:rsid w:val="63012C54"/>
    <w:rsid w:val="63A6642A"/>
    <w:rsid w:val="63E112D8"/>
    <w:rsid w:val="64224F28"/>
    <w:rsid w:val="64EC051E"/>
    <w:rsid w:val="65EE01F2"/>
    <w:rsid w:val="66950943"/>
    <w:rsid w:val="66FC41BD"/>
    <w:rsid w:val="672E1E7F"/>
    <w:rsid w:val="67401C19"/>
    <w:rsid w:val="682979C4"/>
    <w:rsid w:val="68877B1A"/>
    <w:rsid w:val="6A035AFF"/>
    <w:rsid w:val="6A914A15"/>
    <w:rsid w:val="6AAB5773"/>
    <w:rsid w:val="6AD81AFC"/>
    <w:rsid w:val="6AEB6E22"/>
    <w:rsid w:val="6B0242A5"/>
    <w:rsid w:val="6B142F59"/>
    <w:rsid w:val="6BEB2C23"/>
    <w:rsid w:val="6BFD7B0B"/>
    <w:rsid w:val="6C360A8B"/>
    <w:rsid w:val="6C830331"/>
    <w:rsid w:val="6CB57DDF"/>
    <w:rsid w:val="6D8528BD"/>
    <w:rsid w:val="6D946B00"/>
    <w:rsid w:val="6DA018A4"/>
    <w:rsid w:val="6DBF1822"/>
    <w:rsid w:val="6DEF55B7"/>
    <w:rsid w:val="6E0B7AA2"/>
    <w:rsid w:val="6F156B47"/>
    <w:rsid w:val="6F4126A8"/>
    <w:rsid w:val="6F52577A"/>
    <w:rsid w:val="6F5C678A"/>
    <w:rsid w:val="6F833530"/>
    <w:rsid w:val="6F8E2B60"/>
    <w:rsid w:val="6F95389D"/>
    <w:rsid w:val="701C6432"/>
    <w:rsid w:val="7195640E"/>
    <w:rsid w:val="71BB1561"/>
    <w:rsid w:val="71E219DE"/>
    <w:rsid w:val="7253624D"/>
    <w:rsid w:val="72C548FE"/>
    <w:rsid w:val="72C94904"/>
    <w:rsid w:val="72CE7DF1"/>
    <w:rsid w:val="738C49D4"/>
    <w:rsid w:val="744C1F41"/>
    <w:rsid w:val="744E387C"/>
    <w:rsid w:val="7469576C"/>
    <w:rsid w:val="748266FC"/>
    <w:rsid w:val="74B23165"/>
    <w:rsid w:val="75145452"/>
    <w:rsid w:val="753B4849"/>
    <w:rsid w:val="75BB0C3B"/>
    <w:rsid w:val="76694272"/>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E539A"/>
    <w:rsid w:val="7A392143"/>
    <w:rsid w:val="7A447B8D"/>
    <w:rsid w:val="7A6D784C"/>
    <w:rsid w:val="7A940E65"/>
    <w:rsid w:val="7AE07CFD"/>
    <w:rsid w:val="7AED1666"/>
    <w:rsid w:val="7B0E0BB9"/>
    <w:rsid w:val="7B376CA9"/>
    <w:rsid w:val="7B6715B3"/>
    <w:rsid w:val="7B7503BA"/>
    <w:rsid w:val="7C3E24DF"/>
    <w:rsid w:val="7C491437"/>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link w:val="36"/>
    <w:autoRedefine/>
    <w:semiHidden/>
    <w:unhideWhenUsed/>
    <w:qFormat/>
    <w:uiPriority w:val="99"/>
    <w:pPr>
      <w:spacing w:after="120"/>
    </w:pPr>
  </w:style>
  <w:style w:type="paragraph" w:styleId="9">
    <w:name w:val="Body Text Indent"/>
    <w:basedOn w:val="1"/>
    <w:next w:val="1"/>
    <w:link w:val="37"/>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Body Text 2"/>
    <w:basedOn w:val="1"/>
    <w:next w:val="8"/>
    <w:qFormat/>
    <w:uiPriority w:val="0"/>
    <w:pPr>
      <w:spacing w:after="120" w:line="480" w:lineRule="auto"/>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8"/>
    <w:next w:val="1"/>
    <w:autoRedefine/>
    <w:qFormat/>
    <w:uiPriority w:val="0"/>
    <w:pPr>
      <w:ind w:firstLine="420" w:firstLineChars="100"/>
    </w:pPr>
  </w:style>
  <w:style w:type="paragraph" w:styleId="22">
    <w:name w:val="Body Text First Indent 2"/>
    <w:basedOn w:val="9"/>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paragraph" w:customStyle="1" w:styleId="32">
    <w:name w:val="正文首行缩进1"/>
    <w:basedOn w:val="8"/>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5"/>
    <w:link w:val="14"/>
    <w:autoRedefine/>
    <w:semiHidden/>
    <w:qFormat/>
    <w:uiPriority w:val="99"/>
    <w:rPr>
      <w:sz w:val="18"/>
      <w:szCs w:val="18"/>
    </w:rPr>
  </w:style>
  <w:style w:type="character" w:customStyle="1" w:styleId="35">
    <w:name w:val="页脚 Char"/>
    <w:basedOn w:val="25"/>
    <w:link w:val="13"/>
    <w:autoRedefine/>
    <w:semiHidden/>
    <w:qFormat/>
    <w:uiPriority w:val="99"/>
    <w:rPr>
      <w:sz w:val="18"/>
      <w:szCs w:val="18"/>
    </w:rPr>
  </w:style>
  <w:style w:type="character" w:customStyle="1" w:styleId="36">
    <w:name w:val="正文文本 Char"/>
    <w:basedOn w:val="25"/>
    <w:link w:val="8"/>
    <w:autoRedefine/>
    <w:semiHidden/>
    <w:qFormat/>
    <w:uiPriority w:val="99"/>
    <w:rPr>
      <w:rFonts w:ascii="Times New Roman" w:hAnsi="Times New Roman" w:eastAsia="宋体" w:cs="Times New Roman"/>
      <w:szCs w:val="24"/>
    </w:rPr>
  </w:style>
  <w:style w:type="character" w:customStyle="1" w:styleId="37">
    <w:name w:val="正文文本缩进 Char"/>
    <w:basedOn w:val="25"/>
    <w:link w:val="9"/>
    <w:autoRedefine/>
    <w:qFormat/>
    <w:uiPriority w:val="99"/>
    <w:rPr>
      <w:rFonts w:ascii="Times New Roman" w:hAnsi="Times New Roman" w:eastAsia="宋体" w:cs="Times New Roman"/>
      <w:szCs w:val="24"/>
    </w:rPr>
  </w:style>
  <w:style w:type="character" w:customStyle="1" w:styleId="38">
    <w:name w:val="批注框文本 Char"/>
    <w:basedOn w:val="25"/>
    <w:link w:val="12"/>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8"/>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autoRedefine/>
    <w:semiHidden/>
    <w:qFormat/>
    <w:uiPriority w:val="0"/>
  </w:style>
  <w:style w:type="paragraph" w:customStyle="1" w:styleId="60">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21027</Words>
  <Characters>22620</Characters>
  <Lines>1</Lines>
  <Paragraphs>1</Paragraphs>
  <TotalTime>3</TotalTime>
  <ScaleCrop>false</ScaleCrop>
  <LinksUpToDate>false</LinksUpToDate>
  <CharactersWithSpaces>22721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2025-06-04T08:58:00Z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