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黑体"/>
          <w:bCs/>
          <w:sz w:val="44"/>
          <w:szCs w:val="44"/>
          <w:lang w:val="zh-CN"/>
        </w:rPr>
      </w:pPr>
      <w:bookmarkStart w:id="0" w:name="_Toc152042286"/>
      <w:bookmarkStart w:id="1" w:name="_Toc144974478"/>
      <w:bookmarkStart w:id="2" w:name="_Toc35393622"/>
      <w:bookmarkStart w:id="3" w:name="_Toc28359080"/>
      <w:bookmarkStart w:id="4" w:name="_Toc35393791"/>
      <w:bookmarkStart w:id="5" w:name="_Toc28359003"/>
    </w:p>
    <w:p>
      <w:pPr>
        <w:spacing w:line="360" w:lineRule="auto"/>
        <w:ind w:left="440" w:hanging="440" w:hangingChars="100"/>
        <w:jc w:val="center"/>
        <w:rPr>
          <w:rFonts w:ascii="仿宋" w:hAnsi="仿宋" w:eastAsia="仿宋" w:cs="黑体"/>
          <w:bCs/>
          <w:sz w:val="44"/>
          <w:szCs w:val="44"/>
          <w:lang w:val="zh-CN"/>
        </w:rPr>
      </w:pPr>
      <w:r>
        <w:rPr>
          <w:rFonts w:hint="eastAsia" w:ascii="仿宋" w:hAnsi="仿宋" w:eastAsia="仿宋" w:cs="黑体"/>
          <w:bCs/>
          <w:sz w:val="44"/>
          <w:szCs w:val="44"/>
          <w:lang w:val="zh-CN"/>
        </w:rPr>
        <w:t>台州市教育技术与信息中心</w:t>
      </w:r>
    </w:p>
    <w:p>
      <w:pPr>
        <w:spacing w:line="360" w:lineRule="auto"/>
        <w:ind w:left="440" w:hanging="440" w:hangingChars="100"/>
        <w:jc w:val="center"/>
        <w:rPr>
          <w:rFonts w:ascii="仿宋" w:hAnsi="仿宋" w:eastAsia="仿宋" w:cs="Times New Roman"/>
          <w:szCs w:val="21"/>
        </w:rPr>
      </w:pPr>
      <w:r>
        <w:rPr>
          <w:rFonts w:hint="eastAsia" w:ascii="仿宋" w:hAnsi="仿宋" w:eastAsia="仿宋" w:cs="黑体"/>
          <w:bCs/>
          <w:sz w:val="44"/>
          <w:szCs w:val="44"/>
          <w:lang w:val="zh-CN"/>
        </w:rPr>
        <w:t>2025-2026学年市直属学校校方责任保险项目</w:t>
      </w:r>
    </w:p>
    <w:p>
      <w:pPr>
        <w:spacing w:line="360" w:lineRule="auto"/>
        <w:jc w:val="center"/>
        <w:rPr>
          <w:rFonts w:ascii="仿宋" w:hAnsi="仿宋" w:eastAsia="仿宋" w:cs="黑体"/>
          <w:b/>
          <w:sz w:val="84"/>
          <w:szCs w:val="84"/>
        </w:rPr>
      </w:pPr>
    </w:p>
    <w:p>
      <w:pPr>
        <w:spacing w:line="360" w:lineRule="auto"/>
        <w:jc w:val="center"/>
        <w:rPr>
          <w:rFonts w:ascii="仿宋" w:hAnsi="仿宋" w:eastAsia="仿宋" w:cs="黑体"/>
          <w:b/>
          <w:sz w:val="84"/>
          <w:szCs w:val="84"/>
        </w:rPr>
      </w:pPr>
      <w:r>
        <w:rPr>
          <w:rFonts w:hint="eastAsia" w:ascii="仿宋" w:hAnsi="仿宋" w:eastAsia="仿宋" w:cs="黑体"/>
          <w:b/>
          <w:sz w:val="84"/>
          <w:szCs w:val="84"/>
        </w:rPr>
        <w:t>招 标 文 件</w:t>
      </w:r>
    </w:p>
    <w:p>
      <w:pPr>
        <w:adjustRightInd w:val="0"/>
        <w:snapToGrid w:val="0"/>
        <w:spacing w:line="360" w:lineRule="auto"/>
        <w:rPr>
          <w:rFonts w:ascii="仿宋" w:hAnsi="仿宋" w:eastAsia="仿宋" w:cs="黑体"/>
          <w:bCs/>
          <w:kern w:val="0"/>
          <w:sz w:val="28"/>
          <w:szCs w:val="28"/>
        </w:rPr>
      </w:pPr>
    </w:p>
    <w:p>
      <w:pPr>
        <w:adjustRightInd w:val="0"/>
        <w:snapToGrid w:val="0"/>
        <w:spacing w:line="360" w:lineRule="auto"/>
        <w:jc w:val="center"/>
        <w:rPr>
          <w:rFonts w:hint="eastAsia" w:ascii="仿宋" w:hAnsi="仿宋" w:eastAsia="仿宋" w:cs="黑体"/>
          <w:bCs/>
          <w:kern w:val="0"/>
          <w:sz w:val="28"/>
          <w:szCs w:val="28"/>
          <w:lang w:eastAsia="zh-CN"/>
        </w:rPr>
      </w:pPr>
      <w:r>
        <w:rPr>
          <w:rFonts w:hint="eastAsia" w:ascii="仿宋" w:hAnsi="仿宋" w:eastAsia="仿宋" w:cs="黑体"/>
          <w:bCs/>
          <w:kern w:val="0"/>
          <w:sz w:val="30"/>
          <w:szCs w:val="30"/>
        </w:rPr>
        <w:t>招标编号：TZFD(</w:t>
      </w:r>
      <w:r>
        <w:rPr>
          <w:rFonts w:hint="eastAsia" w:ascii="仿宋" w:hAnsi="仿宋" w:eastAsia="仿宋" w:cs="黑体"/>
          <w:bCs/>
          <w:kern w:val="0"/>
          <w:sz w:val="30"/>
          <w:szCs w:val="30"/>
          <w:lang w:eastAsia="zh-CN"/>
        </w:rPr>
        <w:t>2025</w:t>
      </w:r>
      <w:r>
        <w:rPr>
          <w:rFonts w:hint="eastAsia" w:ascii="仿宋" w:hAnsi="仿宋" w:eastAsia="仿宋" w:cs="黑体"/>
          <w:bCs/>
          <w:kern w:val="0"/>
          <w:sz w:val="30"/>
          <w:szCs w:val="30"/>
        </w:rPr>
        <w:t>)-</w:t>
      </w:r>
      <w:r>
        <w:rPr>
          <w:rFonts w:hint="eastAsia" w:ascii="仿宋" w:hAnsi="仿宋" w:eastAsia="仿宋" w:cs="黑体"/>
          <w:bCs/>
          <w:kern w:val="0"/>
          <w:sz w:val="30"/>
          <w:szCs w:val="30"/>
          <w:lang w:eastAsia="zh-CN"/>
        </w:rPr>
        <w:t>1037号</w:t>
      </w:r>
    </w:p>
    <w:p>
      <w:pPr>
        <w:spacing w:line="360" w:lineRule="auto"/>
        <w:jc w:val="center"/>
        <w:rPr>
          <w:rFonts w:ascii="仿宋" w:hAnsi="仿宋" w:eastAsia="仿宋" w:cs="黑体"/>
          <w:b/>
          <w:sz w:val="7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900" w:firstLineChars="300"/>
        <w:rPr>
          <w:rFonts w:ascii="仿宋" w:hAnsi="仿宋" w:eastAsia="仿宋" w:cs="黑体"/>
          <w:bCs/>
          <w:sz w:val="30"/>
          <w:szCs w:val="30"/>
        </w:rPr>
      </w:pPr>
      <w:r>
        <w:rPr>
          <w:rFonts w:hint="eastAsia" w:ascii="仿宋" w:hAnsi="仿宋" w:eastAsia="仿宋" w:cs="黑体"/>
          <w:bCs/>
          <w:sz w:val="30"/>
          <w:szCs w:val="30"/>
        </w:rPr>
        <w:t>采购人：台州市教育技术与信息中心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rPr>
          <w:rFonts w:ascii="仿宋" w:hAnsi="仿宋" w:eastAsia="仿宋" w:cs="黑体"/>
          <w:bCs/>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900" w:firstLineChars="300"/>
        <w:rPr>
          <w:rFonts w:ascii="仿宋" w:hAnsi="仿宋" w:eastAsia="仿宋" w:cs="黑体"/>
          <w:bCs/>
          <w:sz w:val="30"/>
          <w:szCs w:val="30"/>
        </w:rPr>
      </w:pPr>
      <w:r>
        <w:rPr>
          <w:rFonts w:hint="eastAsia" w:ascii="仿宋" w:hAnsi="仿宋" w:eastAsia="仿宋" w:cs="黑体"/>
          <w:bCs/>
          <w:sz w:val="30"/>
          <w:szCs w:val="30"/>
        </w:rPr>
        <w:t>采购代理机构：台州锋鼎工程项目管理有限公司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300" w:firstLineChars="100"/>
        <w:jc w:val="center"/>
        <w:rPr>
          <w:rFonts w:ascii="仿宋" w:hAnsi="仿宋" w:eastAsia="仿宋" w:cs="黑体"/>
          <w:bCs/>
          <w:sz w:val="30"/>
          <w:szCs w:val="30"/>
        </w:rPr>
      </w:pPr>
    </w:p>
    <w:p>
      <w:pPr>
        <w:autoSpaceDE w:val="0"/>
        <w:autoSpaceDN w:val="0"/>
        <w:adjustRightInd w:val="0"/>
        <w:spacing w:line="360" w:lineRule="auto"/>
        <w:ind w:firstLine="900" w:firstLineChars="300"/>
        <w:rPr>
          <w:rFonts w:ascii="仿宋" w:hAnsi="仿宋" w:eastAsia="仿宋" w:cs="黑体"/>
          <w:bCs/>
          <w:sz w:val="30"/>
          <w:szCs w:val="30"/>
        </w:rPr>
      </w:pPr>
      <w:r>
        <w:rPr>
          <w:rFonts w:hint="eastAsia" w:ascii="仿宋" w:hAnsi="仿宋" w:eastAsia="仿宋" w:cs="黑体"/>
          <w:bCs/>
          <w:sz w:val="30"/>
          <w:szCs w:val="30"/>
        </w:rPr>
        <w:t>联系人：蔡小素     联系电话：15372111333</w:t>
      </w:r>
    </w:p>
    <w:p>
      <w:pPr>
        <w:spacing w:line="360" w:lineRule="auto"/>
        <w:jc w:val="center"/>
        <w:rPr>
          <w:rFonts w:ascii="仿宋" w:hAnsi="仿宋" w:eastAsia="仿宋" w:cs="黑体"/>
          <w:bCs/>
          <w:sz w:val="30"/>
          <w:szCs w:val="30"/>
        </w:rPr>
      </w:pPr>
    </w:p>
    <w:p>
      <w:pPr>
        <w:spacing w:line="360" w:lineRule="auto"/>
        <w:jc w:val="center"/>
        <w:rPr>
          <w:rFonts w:ascii="仿宋" w:hAnsi="仿宋" w:eastAsia="仿宋" w:cs="黑体"/>
          <w:bCs/>
          <w:sz w:val="30"/>
          <w:szCs w:val="30"/>
        </w:rPr>
      </w:pPr>
    </w:p>
    <w:p>
      <w:pPr>
        <w:spacing w:line="360" w:lineRule="auto"/>
        <w:jc w:val="center"/>
        <w:rPr>
          <w:rFonts w:ascii="仿宋" w:hAnsi="仿宋" w:eastAsia="仿宋" w:cs="黑体"/>
          <w:bCs/>
          <w:sz w:val="30"/>
          <w:szCs w:val="30"/>
        </w:rPr>
      </w:pPr>
      <w:r>
        <w:rPr>
          <w:rFonts w:hint="eastAsia" w:ascii="仿宋" w:hAnsi="仿宋" w:eastAsia="仿宋" w:cs="黑体"/>
          <w:bCs/>
          <w:sz w:val="30"/>
          <w:szCs w:val="30"/>
          <w:lang w:eastAsia="zh-CN"/>
        </w:rPr>
        <w:t>2025</w:t>
      </w:r>
      <w:r>
        <w:rPr>
          <w:rFonts w:hint="eastAsia" w:ascii="仿宋" w:hAnsi="仿宋" w:eastAsia="仿宋" w:cs="黑体"/>
          <w:bCs/>
          <w:sz w:val="30"/>
          <w:szCs w:val="30"/>
        </w:rPr>
        <w:t>年7月</w:t>
      </w:r>
      <w:bookmarkEnd w:id="0"/>
      <w:bookmarkEnd w:id="1"/>
      <w:r>
        <w:rPr>
          <w:rFonts w:hint="eastAsia" w:ascii="仿宋" w:hAnsi="仿宋" w:eastAsia="仿宋"/>
          <w:bCs/>
          <w:sz w:val="30"/>
          <w:szCs w:val="30"/>
        </w:rPr>
        <w:br w:type="page"/>
      </w:r>
    </w:p>
    <w:p>
      <w:pPr>
        <w:spacing w:line="360" w:lineRule="auto"/>
        <w:jc w:val="center"/>
        <w:rPr>
          <w:ins w:id="0" w:author="睡不醒" w:date="2025-07-17T15:29:50Z"/>
          <w:rFonts w:hint="eastAsia" w:ascii="仿宋" w:hAnsi="仿宋" w:eastAsia="仿宋" w:cs="黑体"/>
          <w:sz w:val="44"/>
          <w:szCs w:val="44"/>
        </w:rPr>
      </w:pPr>
    </w:p>
    <w:p>
      <w:pPr>
        <w:spacing w:line="360" w:lineRule="auto"/>
        <w:jc w:val="center"/>
        <w:rPr>
          <w:rFonts w:ascii="仿宋" w:hAnsi="仿宋" w:eastAsia="仿宋" w:cs="黑体"/>
          <w:sz w:val="44"/>
          <w:szCs w:val="44"/>
        </w:rPr>
      </w:pPr>
      <w:r>
        <w:rPr>
          <w:rFonts w:hint="eastAsia" w:ascii="仿宋" w:hAnsi="仿宋" w:eastAsia="仿宋" w:cs="黑体"/>
          <w:sz w:val="44"/>
          <w:szCs w:val="44"/>
        </w:rPr>
        <w:t>目录</w:t>
      </w:r>
    </w:p>
    <w:p>
      <w:pPr>
        <w:tabs>
          <w:tab w:val="left" w:pos="720"/>
          <w:tab w:val="left" w:pos="900"/>
          <w:tab w:val="left" w:pos="1260"/>
          <w:tab w:val="left" w:pos="2160"/>
          <w:tab w:val="left" w:pos="2880"/>
          <w:tab w:val="left" w:pos="3600"/>
          <w:tab w:val="left" w:pos="4320"/>
          <w:tab w:val="left" w:pos="5040"/>
          <w:tab w:val="left" w:pos="5760"/>
        </w:tabs>
        <w:spacing w:line="360" w:lineRule="auto"/>
        <w:rPr>
          <w:rFonts w:ascii="仿宋" w:hAnsi="仿宋" w:eastAsia="仿宋" w:cs="Times New Roman"/>
          <w:szCs w:val="21"/>
        </w:rPr>
      </w:pPr>
    </w:p>
    <w:p>
      <w:pPr>
        <w:pStyle w:val="19"/>
        <w:tabs>
          <w:tab w:val="right" w:leader="dot" w:pos="8620"/>
        </w:tabs>
        <w:spacing w:line="360" w:lineRule="auto"/>
        <w:rPr>
          <w:rFonts w:ascii="仿宋" w:hAnsi="仿宋" w:eastAsia="仿宋" w:cs="仿宋"/>
          <w:sz w:val="32"/>
          <w:szCs w:val="32"/>
        </w:rPr>
      </w:pPr>
      <w:r>
        <w:rPr>
          <w:rFonts w:ascii="仿宋" w:hAnsi="仿宋" w:eastAsia="仿宋" w:cs="Times New Roman"/>
          <w:sz w:val="30"/>
          <w:szCs w:val="30"/>
        </w:rPr>
        <w:fldChar w:fldCharType="begin"/>
      </w:r>
      <w:r>
        <w:rPr>
          <w:rFonts w:ascii="仿宋" w:hAnsi="仿宋" w:eastAsia="仿宋" w:cs="Times New Roman"/>
          <w:sz w:val="30"/>
          <w:szCs w:val="30"/>
        </w:rPr>
        <w:instrText xml:space="preserve">TOC \o "1-1" \h \u </w:instrText>
      </w:r>
      <w:r>
        <w:rPr>
          <w:rFonts w:ascii="仿宋" w:hAnsi="仿宋" w:eastAsia="仿宋" w:cs="Times New Roman"/>
          <w:sz w:val="30"/>
          <w:szCs w:val="30"/>
        </w:rPr>
        <w:fldChar w:fldCharType="separate"/>
      </w:r>
      <w:r>
        <w:fldChar w:fldCharType="begin"/>
      </w:r>
      <w:r>
        <w:instrText xml:space="preserve"> HYPERLINK \l "_Toc3526" </w:instrText>
      </w:r>
      <w:r>
        <w:fldChar w:fldCharType="separate"/>
      </w:r>
      <w:r>
        <w:rPr>
          <w:rFonts w:hint="eastAsia" w:ascii="仿宋" w:hAnsi="仿宋" w:eastAsia="仿宋" w:cs="仿宋"/>
          <w:bCs/>
          <w:kern w:val="44"/>
          <w:sz w:val="32"/>
          <w:szCs w:val="32"/>
        </w:rPr>
        <w:t>第一章 招标公告</w:t>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_Toc3526 \h </w:instrText>
      </w:r>
      <w:r>
        <w:rPr>
          <w:rFonts w:hint="eastAsia" w:ascii="仿宋" w:hAnsi="仿宋" w:eastAsia="仿宋" w:cs="仿宋"/>
          <w:sz w:val="32"/>
          <w:szCs w:val="32"/>
        </w:rPr>
        <w:fldChar w:fldCharType="separate"/>
      </w:r>
      <w:ins w:id="1" w:author="睡不醒" w:date="2025-07-17T16:03:41Z">
        <w:r>
          <w:rPr>
            <w:rFonts w:hint="eastAsia" w:ascii="仿宋" w:hAnsi="仿宋" w:eastAsia="仿宋" w:cs="仿宋"/>
            <w:sz w:val="32"/>
            <w:szCs w:val="32"/>
          </w:rPr>
          <w:t>13</w:t>
        </w:r>
      </w:ins>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p>
      <w:pPr>
        <w:pStyle w:val="19"/>
        <w:tabs>
          <w:tab w:val="right" w:leader="dot" w:pos="8620"/>
        </w:tabs>
        <w:spacing w:line="360" w:lineRule="auto"/>
        <w:rPr>
          <w:rFonts w:ascii="仿宋" w:hAnsi="仿宋" w:eastAsia="仿宋" w:cs="仿宋"/>
          <w:sz w:val="32"/>
          <w:szCs w:val="32"/>
        </w:rPr>
      </w:pPr>
      <w:r>
        <w:fldChar w:fldCharType="begin"/>
      </w:r>
      <w:r>
        <w:instrText xml:space="preserve"> HYPERLINK \l "_Toc23368" </w:instrText>
      </w:r>
      <w:r>
        <w:fldChar w:fldCharType="separate"/>
      </w:r>
      <w:r>
        <w:rPr>
          <w:rFonts w:hint="eastAsia" w:ascii="仿宋" w:hAnsi="仿宋" w:eastAsia="仿宋" w:cs="仿宋"/>
          <w:bCs/>
          <w:kern w:val="44"/>
          <w:sz w:val="32"/>
          <w:szCs w:val="32"/>
        </w:rPr>
        <w:t>第二章 招标需求</w:t>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_Toc23368 \h </w:instrText>
      </w:r>
      <w:r>
        <w:rPr>
          <w:rFonts w:hint="eastAsia" w:ascii="仿宋" w:hAnsi="仿宋" w:eastAsia="仿宋" w:cs="仿宋"/>
          <w:sz w:val="32"/>
          <w:szCs w:val="32"/>
        </w:rPr>
        <w:fldChar w:fldCharType="separate"/>
      </w:r>
      <w:ins w:id="2" w:author="睡不醒" w:date="2025-07-17T16:03:41Z">
        <w:r>
          <w:rPr>
            <w:rFonts w:hint="eastAsia" w:ascii="仿宋" w:hAnsi="仿宋" w:eastAsia="仿宋" w:cs="仿宋"/>
            <w:sz w:val="32"/>
            <w:szCs w:val="32"/>
          </w:rPr>
          <w:t>46</w:t>
        </w:r>
      </w:ins>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p>
      <w:pPr>
        <w:pStyle w:val="19"/>
        <w:tabs>
          <w:tab w:val="right" w:leader="dot" w:pos="8820"/>
        </w:tabs>
        <w:spacing w:line="360" w:lineRule="auto"/>
        <w:rPr>
          <w:rFonts w:ascii="仿宋" w:hAnsi="仿宋" w:eastAsia="仿宋" w:cs="仿宋"/>
          <w:sz w:val="32"/>
          <w:szCs w:val="32"/>
        </w:rPr>
      </w:pPr>
      <w:r>
        <w:fldChar w:fldCharType="begin"/>
      </w:r>
      <w:r>
        <w:instrText xml:space="preserve"> HYPERLINK \l "_Toc28356" </w:instrText>
      </w:r>
      <w:r>
        <w:fldChar w:fldCharType="separate"/>
      </w:r>
      <w:r>
        <w:rPr>
          <w:rFonts w:hint="eastAsia" w:ascii="仿宋" w:hAnsi="仿宋" w:eastAsia="仿宋" w:cs="仿宋"/>
          <w:bCs/>
          <w:kern w:val="44"/>
          <w:sz w:val="32"/>
          <w:szCs w:val="32"/>
        </w:rPr>
        <w:t>第三章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_Toc28356 \h </w:instrText>
      </w:r>
      <w:r>
        <w:rPr>
          <w:rFonts w:hint="eastAsia" w:ascii="仿宋" w:hAnsi="仿宋" w:eastAsia="仿宋" w:cs="仿宋"/>
          <w:sz w:val="32"/>
          <w:szCs w:val="32"/>
        </w:rPr>
        <w:fldChar w:fldCharType="separate"/>
      </w:r>
      <w:ins w:id="3" w:author="睡不醒" w:date="2025-07-17T16:03:41Z">
        <w:r>
          <w:rPr>
            <w:rFonts w:hint="eastAsia" w:ascii="仿宋" w:hAnsi="仿宋" w:eastAsia="仿宋" w:cs="仿宋"/>
            <w:sz w:val="32"/>
            <w:szCs w:val="32"/>
          </w:rPr>
          <w:t>34</w:t>
        </w:r>
      </w:ins>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820"/>
        </w:tabs>
        <w:spacing w:line="360" w:lineRule="auto"/>
        <w:rPr>
          <w:rFonts w:ascii="仿宋" w:hAnsi="仿宋" w:eastAsia="仿宋" w:cs="仿宋"/>
          <w:sz w:val="32"/>
          <w:szCs w:val="32"/>
        </w:rPr>
      </w:pPr>
      <w:r>
        <w:fldChar w:fldCharType="begin"/>
      </w:r>
      <w:r>
        <w:instrText xml:space="preserve"> HYPERLINK \l "_Toc608" </w:instrText>
      </w:r>
      <w:r>
        <w:fldChar w:fldCharType="separate"/>
      </w:r>
      <w:r>
        <w:rPr>
          <w:rFonts w:hint="eastAsia" w:ascii="仿宋" w:hAnsi="仿宋" w:eastAsia="仿宋" w:cs="仿宋"/>
          <w:bCs/>
          <w:kern w:val="44"/>
          <w:sz w:val="32"/>
          <w:szCs w:val="32"/>
        </w:rPr>
        <w:t>第四章 评标办法及评分标准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_Toc608 \h </w:instrText>
      </w:r>
      <w:r>
        <w:rPr>
          <w:rFonts w:hint="eastAsia" w:ascii="仿宋" w:hAnsi="仿宋" w:eastAsia="仿宋" w:cs="仿宋"/>
          <w:sz w:val="32"/>
          <w:szCs w:val="32"/>
        </w:rPr>
        <w:fldChar w:fldCharType="separate"/>
      </w:r>
      <w:ins w:id="4" w:author="睡不醒" w:date="2025-07-17T16:03:41Z">
        <w:r>
          <w:rPr>
            <w:rFonts w:hint="eastAsia" w:ascii="仿宋" w:hAnsi="仿宋" w:eastAsia="仿宋" w:cs="仿宋"/>
            <w:sz w:val="32"/>
            <w:szCs w:val="32"/>
          </w:rPr>
          <w:t>46</w:t>
        </w:r>
      </w:ins>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820"/>
        </w:tabs>
        <w:spacing w:line="360" w:lineRule="auto"/>
        <w:rPr>
          <w:rFonts w:ascii="仿宋" w:hAnsi="仿宋" w:eastAsia="仿宋" w:cs="仿宋"/>
          <w:sz w:val="32"/>
          <w:szCs w:val="32"/>
        </w:rPr>
      </w:pPr>
      <w:r>
        <w:fldChar w:fldCharType="begin"/>
      </w:r>
      <w:r>
        <w:instrText xml:space="preserve"> HYPERLINK \l "_Toc9300" </w:instrText>
      </w:r>
      <w:r>
        <w:fldChar w:fldCharType="separate"/>
      </w:r>
      <w:r>
        <w:rPr>
          <w:rFonts w:hint="eastAsia" w:ascii="仿宋" w:hAnsi="仿宋" w:eastAsia="仿宋" w:cs="仿宋"/>
          <w:bCs/>
          <w:kern w:val="44"/>
          <w:sz w:val="32"/>
          <w:szCs w:val="32"/>
        </w:rPr>
        <w:t>第五章 政府采购合同主要条款指引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_Toc9300 \h </w:instrText>
      </w:r>
      <w:r>
        <w:rPr>
          <w:rFonts w:hint="eastAsia" w:ascii="仿宋" w:hAnsi="仿宋" w:eastAsia="仿宋" w:cs="仿宋"/>
          <w:sz w:val="32"/>
          <w:szCs w:val="32"/>
        </w:rPr>
        <w:fldChar w:fldCharType="separate"/>
      </w:r>
      <w:ins w:id="5" w:author="睡不醒" w:date="2025-07-17T16:03:41Z">
        <w:r>
          <w:rPr>
            <w:rFonts w:hint="eastAsia" w:ascii="仿宋" w:hAnsi="仿宋" w:eastAsia="仿宋" w:cs="仿宋"/>
            <w:sz w:val="32"/>
            <w:szCs w:val="32"/>
          </w:rPr>
          <w:t>50</w:t>
        </w:r>
      </w:ins>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820"/>
        </w:tabs>
        <w:spacing w:line="360" w:lineRule="auto"/>
        <w:rPr>
          <w:rFonts w:ascii="仿宋" w:hAnsi="仿宋" w:eastAsia="仿宋" w:cs="仿宋"/>
          <w:sz w:val="32"/>
          <w:szCs w:val="32"/>
        </w:rPr>
      </w:pPr>
      <w:r>
        <w:fldChar w:fldCharType="begin"/>
      </w:r>
      <w:r>
        <w:instrText xml:space="preserve"> HYPERLINK \l "_Toc8524" </w:instrText>
      </w:r>
      <w:r>
        <w:fldChar w:fldCharType="separate"/>
      </w:r>
      <w:r>
        <w:rPr>
          <w:rFonts w:hint="eastAsia" w:ascii="仿宋" w:hAnsi="仿宋" w:eastAsia="仿宋" w:cs="仿宋"/>
          <w:bCs/>
          <w:kern w:val="44"/>
          <w:sz w:val="32"/>
          <w:szCs w:val="32"/>
        </w:rPr>
        <w:t>第六章 投标文件格式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_Toc8524 \h </w:instrText>
      </w:r>
      <w:r>
        <w:rPr>
          <w:rFonts w:hint="eastAsia" w:ascii="仿宋" w:hAnsi="仿宋" w:eastAsia="仿宋" w:cs="仿宋"/>
          <w:sz w:val="32"/>
          <w:szCs w:val="32"/>
        </w:rPr>
        <w:fldChar w:fldCharType="separate"/>
      </w:r>
      <w:ins w:id="6" w:author="睡不醒" w:date="2025-07-17T16:03:41Z">
        <w:r>
          <w:rPr>
            <w:rFonts w:hint="eastAsia" w:ascii="仿宋" w:hAnsi="仿宋" w:eastAsia="仿宋" w:cs="仿宋"/>
            <w:sz w:val="32"/>
            <w:szCs w:val="32"/>
          </w:rPr>
          <w:t>55</w:t>
        </w:r>
      </w:ins>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pacing w:line="360" w:lineRule="auto"/>
        <w:rPr>
          <w:rFonts w:ascii="仿宋" w:hAnsi="仿宋" w:eastAsia="仿宋" w:cs="Times New Roman"/>
          <w:sz w:val="30"/>
          <w:szCs w:val="30"/>
        </w:rPr>
      </w:pPr>
      <w:r>
        <w:rPr>
          <w:rFonts w:ascii="仿宋" w:hAnsi="仿宋" w:eastAsia="仿宋" w:cs="Times New Roman"/>
          <w:szCs w:val="30"/>
        </w:rPr>
        <w:fldChar w:fldCharType="end"/>
      </w:r>
    </w:p>
    <w:p>
      <w:pPr>
        <w:widowControl/>
        <w:tabs>
          <w:tab w:val="right" w:leader="dot" w:pos="8312"/>
        </w:tabs>
        <w:autoSpaceDE w:val="0"/>
        <w:autoSpaceDN w:val="0"/>
        <w:adjustRightInd w:val="0"/>
        <w:spacing w:line="360" w:lineRule="auto"/>
        <w:ind w:firstLine="460" w:firstLineChars="192"/>
        <w:jc w:val="left"/>
        <w:rPr>
          <w:rFonts w:ascii="仿宋" w:hAnsi="仿宋" w:eastAsia="仿宋" w:cs="Times New Roman"/>
          <w:kern w:val="0"/>
          <w:sz w:val="24"/>
          <w:szCs w:val="28"/>
        </w:rPr>
      </w:pPr>
    </w:p>
    <w:p>
      <w:pPr>
        <w:widowControl/>
        <w:tabs>
          <w:tab w:val="right" w:leader="dot" w:pos="8312"/>
        </w:tabs>
        <w:autoSpaceDE w:val="0"/>
        <w:autoSpaceDN w:val="0"/>
        <w:adjustRightInd w:val="0"/>
        <w:spacing w:line="360" w:lineRule="auto"/>
        <w:ind w:firstLine="460" w:firstLineChars="192"/>
        <w:jc w:val="left"/>
        <w:rPr>
          <w:rFonts w:ascii="仿宋" w:hAnsi="仿宋" w:eastAsia="仿宋" w:cs="Times New Roman"/>
          <w:kern w:val="0"/>
          <w:sz w:val="24"/>
          <w:szCs w:val="28"/>
        </w:rPr>
      </w:pPr>
    </w:p>
    <w:p>
      <w:pPr>
        <w:widowControl/>
        <w:tabs>
          <w:tab w:val="right" w:leader="dot" w:pos="8312"/>
        </w:tabs>
        <w:autoSpaceDE w:val="0"/>
        <w:autoSpaceDN w:val="0"/>
        <w:adjustRightInd w:val="0"/>
        <w:spacing w:line="360" w:lineRule="auto"/>
        <w:ind w:firstLine="460" w:firstLineChars="192"/>
        <w:jc w:val="left"/>
        <w:rPr>
          <w:rFonts w:ascii="仿宋" w:hAnsi="仿宋" w:eastAsia="仿宋" w:cs="Times New Roman"/>
          <w:kern w:val="0"/>
          <w:sz w:val="24"/>
          <w:szCs w:val="28"/>
        </w:rPr>
        <w:sectPr>
          <w:headerReference r:id="rId5" w:type="first"/>
          <w:footerReference r:id="rId8" w:type="first"/>
          <w:headerReference r:id="rId3" w:type="default"/>
          <w:footerReference r:id="rId6" w:type="default"/>
          <w:headerReference r:id="rId4" w:type="even"/>
          <w:footerReference r:id="rId7" w:type="even"/>
          <w:pgSz w:w="11906" w:h="16838"/>
          <w:pgMar w:top="679" w:right="1289" w:bottom="1440" w:left="1797" w:header="227" w:footer="992" w:gutter="0"/>
          <w:pgNumType w:start="1"/>
          <w:cols w:space="720" w:num="1"/>
          <w:docGrid w:linePitch="312" w:charSpace="0"/>
        </w:sectPr>
      </w:pPr>
    </w:p>
    <w:p>
      <w:pPr>
        <w:keepNext/>
        <w:keepLines/>
        <w:numPr>
          <w:ilvl w:val="0"/>
          <w:numId w:val="2"/>
        </w:numPr>
        <w:snapToGrid w:val="0"/>
        <w:spacing w:line="360" w:lineRule="auto"/>
        <w:ind w:left="432" w:hanging="432"/>
        <w:jc w:val="center"/>
        <w:outlineLvl w:val="0"/>
        <w:rPr>
          <w:rFonts w:ascii="仿宋" w:hAnsi="仿宋" w:eastAsia="仿宋" w:cs="黑体"/>
          <w:b/>
          <w:bCs/>
          <w:kern w:val="44"/>
          <w:sz w:val="32"/>
          <w:szCs w:val="44"/>
        </w:rPr>
      </w:pPr>
      <w:bookmarkStart w:id="6" w:name="_Toc11365_WPSOffice_Level1"/>
      <w:bookmarkStart w:id="7" w:name="_Toc15833_WPSOffice_Level1"/>
      <w:bookmarkStart w:id="8" w:name="_Toc3526"/>
      <w:bookmarkStart w:id="9" w:name="_Toc445383745"/>
      <w:bookmarkStart w:id="10" w:name="_Toc30953"/>
      <w:bookmarkStart w:id="11" w:name="_Toc23419"/>
      <w:bookmarkStart w:id="12" w:name="_Toc22226_WPSOffice_Level1"/>
      <w:bookmarkStart w:id="13" w:name="_Toc21238_WPSOffice_Level1"/>
      <w:bookmarkStart w:id="14" w:name="_Toc14739"/>
      <w:bookmarkStart w:id="15" w:name="_Toc448994026"/>
      <w:bookmarkStart w:id="16" w:name="_Toc394573879"/>
      <w:bookmarkStart w:id="17" w:name="_Toc24575"/>
      <w:bookmarkStart w:id="18" w:name="_Toc450813788"/>
      <w:bookmarkStart w:id="19" w:name="_Toc445383535"/>
      <w:bookmarkStart w:id="20" w:name="_Toc445383866"/>
      <w:bookmarkStart w:id="21" w:name="_Toc15317_WPSOffice_Level1"/>
      <w:bookmarkStart w:id="22" w:name="_Toc8691_WPSOffice_Level1"/>
      <w:r>
        <w:rPr>
          <w:rFonts w:hint="eastAsia" w:ascii="仿宋" w:hAnsi="仿宋" w:eastAsia="仿宋" w:cs="黑体"/>
          <w:b/>
          <w:bCs/>
          <w:kern w:val="44"/>
          <w:sz w:val="32"/>
          <w:szCs w:val="44"/>
        </w:rPr>
        <w:t>招标公告</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u w:val="single"/>
        </w:rPr>
        <w:t xml:space="preserve">  台州市教育技术与信息中心</w:t>
      </w:r>
      <w:r>
        <w:rPr>
          <w:rFonts w:hint="eastAsia" w:ascii="仿宋" w:hAnsi="仿宋" w:eastAsia="仿宋" w:cs="Times New Roman"/>
          <w:color w:val="auto"/>
          <w:sz w:val="24"/>
          <w:szCs w:val="24"/>
          <w:u w:val="single"/>
          <w:lang w:eastAsia="zh-CN"/>
        </w:rPr>
        <w:t>2025-2026学年市直属学校校方责任保险项目</w:t>
      </w:r>
      <w:r>
        <w:rPr>
          <w:rFonts w:hint="eastAsia" w:ascii="仿宋" w:hAnsi="仿宋" w:eastAsia="仿宋" w:cs="Times New Roman"/>
          <w:color w:val="auto"/>
          <w:sz w:val="24"/>
          <w:szCs w:val="24"/>
        </w:rPr>
        <w:t xml:space="preserve"> 招标项目的潜在投标人应在</w:t>
      </w:r>
      <w:r>
        <w:rPr>
          <w:rFonts w:hint="eastAsia" w:ascii="仿宋" w:hAnsi="仿宋" w:eastAsia="仿宋" w:cs="Times New Roman"/>
          <w:color w:val="auto"/>
          <w:sz w:val="24"/>
          <w:szCs w:val="24"/>
          <w:u w:val="single"/>
        </w:rPr>
        <w:t>（台州锋鼎工程项目管理有限公司）</w:t>
      </w:r>
      <w:r>
        <w:rPr>
          <w:rFonts w:hint="eastAsia" w:ascii="仿宋" w:hAnsi="仿宋" w:eastAsia="仿宋" w:cs="Times New Roman"/>
          <w:color w:val="auto"/>
          <w:sz w:val="24"/>
          <w:szCs w:val="24"/>
        </w:rPr>
        <w:t>获取招标文件，并于</w:t>
      </w:r>
      <w:r>
        <w:rPr>
          <w:rFonts w:ascii="仿宋" w:hAnsi="仿宋" w:eastAsia="仿宋" w:cs="Times New Roman"/>
          <w:color w:val="auto"/>
          <w:sz w:val="24"/>
          <w:szCs w:val="24"/>
          <w:u w:val="single"/>
        </w:rPr>
        <w:t xml:space="preserve">  </w:t>
      </w:r>
      <w:r>
        <w:rPr>
          <w:rFonts w:hint="eastAsia" w:ascii="仿宋" w:hAnsi="仿宋" w:eastAsia="仿宋" w:cs="Times New Roman"/>
          <w:color w:val="auto"/>
          <w:sz w:val="24"/>
          <w:szCs w:val="24"/>
          <w:u w:val="single"/>
          <w:lang w:eastAsia="zh-CN"/>
        </w:rPr>
        <w:t>2025</w:t>
      </w:r>
      <w:r>
        <w:rPr>
          <w:rFonts w:hint="eastAsia" w:ascii="仿宋" w:hAnsi="仿宋" w:eastAsia="仿宋" w:cs="Times New Roman"/>
          <w:bCs/>
          <w:color w:val="auto"/>
          <w:sz w:val="24"/>
          <w:szCs w:val="24"/>
          <w:u w:val="single"/>
        </w:rPr>
        <w:t>年</w:t>
      </w:r>
      <w:r>
        <w:rPr>
          <w:rFonts w:hint="eastAsia" w:ascii="仿宋" w:hAnsi="仿宋" w:eastAsia="仿宋" w:cs="Times New Roman"/>
          <w:bCs/>
          <w:color w:val="auto"/>
          <w:sz w:val="24"/>
          <w:szCs w:val="24"/>
          <w:u w:val="single"/>
          <w:lang w:val="en-US" w:eastAsia="zh-CN"/>
        </w:rPr>
        <w:t xml:space="preserve"> </w:t>
      </w:r>
      <w:r>
        <w:rPr>
          <w:rFonts w:hint="eastAsia" w:ascii="仿宋" w:hAnsi="仿宋" w:eastAsia="仿宋" w:cs="Times New Roman"/>
          <w:bCs/>
          <w:color w:val="auto"/>
          <w:sz w:val="24"/>
          <w:szCs w:val="24"/>
          <w:u w:val="single"/>
        </w:rPr>
        <w:t>月</w:t>
      </w:r>
      <w:r>
        <w:rPr>
          <w:rFonts w:hint="eastAsia" w:ascii="仿宋" w:hAnsi="仿宋" w:eastAsia="仿宋" w:cs="Times New Roman"/>
          <w:bCs/>
          <w:color w:val="auto"/>
          <w:sz w:val="24"/>
          <w:szCs w:val="24"/>
          <w:u w:val="single"/>
          <w:lang w:val="en-US" w:eastAsia="zh-CN"/>
        </w:rPr>
        <w:t xml:space="preserve"> </w:t>
      </w:r>
      <w:r>
        <w:rPr>
          <w:rFonts w:hint="eastAsia" w:ascii="仿宋" w:hAnsi="仿宋" w:eastAsia="仿宋" w:cs="Times New Roman"/>
          <w:bCs/>
          <w:color w:val="auto"/>
          <w:sz w:val="24"/>
          <w:szCs w:val="24"/>
          <w:u w:val="single"/>
        </w:rPr>
        <w:t>日</w:t>
      </w:r>
      <w:r>
        <w:rPr>
          <w:rFonts w:hint="eastAsia" w:ascii="仿宋" w:hAnsi="仿宋" w:eastAsia="仿宋" w:cs="Times New Roman"/>
          <w:bCs/>
          <w:color w:val="auto"/>
          <w:sz w:val="24"/>
          <w:szCs w:val="24"/>
          <w:u w:val="single"/>
          <w:lang w:val="en-US" w:eastAsia="zh-CN"/>
        </w:rPr>
        <w:t>09：</w:t>
      </w:r>
      <w:r>
        <w:rPr>
          <w:rFonts w:hint="eastAsia" w:ascii="仿宋" w:hAnsi="仿宋" w:eastAsia="仿宋" w:cs="Times New Roman"/>
          <w:bCs/>
          <w:color w:val="auto"/>
          <w:sz w:val="24"/>
          <w:szCs w:val="24"/>
          <w:u w:val="single"/>
        </w:rPr>
        <w:t>30分（</w:t>
      </w:r>
      <w:r>
        <w:rPr>
          <w:rFonts w:hint="eastAsia" w:ascii="仿宋" w:hAnsi="仿宋" w:eastAsia="仿宋" w:cs="Times New Roman"/>
          <w:bCs/>
          <w:color w:val="auto"/>
          <w:sz w:val="24"/>
          <w:szCs w:val="24"/>
        </w:rPr>
        <w:t>北京时间）前递交投标</w:t>
      </w:r>
      <w:r>
        <w:rPr>
          <w:rFonts w:ascii="仿宋" w:hAnsi="仿宋" w:eastAsia="仿宋" w:cs="Times New Roman"/>
          <w:bCs/>
          <w:color w:val="auto"/>
          <w:sz w:val="24"/>
          <w:szCs w:val="24"/>
        </w:rPr>
        <w:t>文件</w:t>
      </w:r>
      <w:r>
        <w:rPr>
          <w:rFonts w:hint="eastAsia" w:ascii="仿宋" w:hAnsi="仿宋" w:eastAsia="仿宋" w:cs="Times New Roman"/>
          <w:color w:val="auto"/>
          <w:sz w:val="24"/>
          <w:szCs w:val="24"/>
        </w:rPr>
        <w:t>。</w:t>
      </w:r>
    </w:p>
    <w:p>
      <w:pPr>
        <w:keepNext/>
        <w:keepLines/>
        <w:numPr>
          <w:ilvl w:val="1"/>
          <w:numId w:val="0"/>
        </w:numPr>
        <w:tabs>
          <w:tab w:val="left" w:pos="0"/>
        </w:tabs>
        <w:snapToGrid w:val="0"/>
        <w:spacing w:line="360" w:lineRule="auto"/>
        <w:outlineLvl w:val="1"/>
        <w:rPr>
          <w:rFonts w:ascii="仿宋" w:hAnsi="仿宋" w:eastAsia="仿宋"/>
          <w:bCs/>
          <w:color w:val="auto"/>
          <w:sz w:val="24"/>
          <w:szCs w:val="24"/>
        </w:rPr>
      </w:pPr>
      <w:bookmarkStart w:id="23" w:name="_Toc35393790"/>
      <w:bookmarkStart w:id="24" w:name="_Toc28359002"/>
      <w:bookmarkStart w:id="25" w:name="_Toc28359079"/>
      <w:bookmarkStart w:id="26" w:name="_Toc35393621"/>
      <w:bookmarkStart w:id="27" w:name="_Hlk24379207"/>
      <w:r>
        <w:rPr>
          <w:rFonts w:hint="eastAsia" w:ascii="仿宋" w:hAnsi="仿宋" w:eastAsia="仿宋"/>
          <w:bCs/>
          <w:color w:val="auto"/>
          <w:sz w:val="24"/>
          <w:szCs w:val="24"/>
        </w:rPr>
        <w:t>一、项目基本情况</w:t>
      </w:r>
      <w:bookmarkEnd w:id="23"/>
      <w:bookmarkEnd w:id="24"/>
      <w:bookmarkEnd w:id="25"/>
      <w:bookmarkEnd w:id="26"/>
    </w:p>
    <w:p>
      <w:pPr>
        <w:spacing w:line="360" w:lineRule="auto"/>
        <w:ind w:firstLine="480" w:firstLineChars="200"/>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项目编号：TZFD(</w:t>
      </w:r>
      <w:r>
        <w:rPr>
          <w:rFonts w:hint="eastAsia" w:ascii="仿宋" w:hAnsi="仿宋" w:eastAsia="仿宋" w:cs="Times New Roman"/>
          <w:color w:val="auto"/>
          <w:sz w:val="24"/>
          <w:szCs w:val="24"/>
          <w:lang w:eastAsia="zh-CN"/>
        </w:rPr>
        <w:t>2025</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eastAsia="zh-CN"/>
        </w:rPr>
        <w:t>1037号</w:t>
      </w:r>
    </w:p>
    <w:p>
      <w:pPr>
        <w:spacing w:line="360" w:lineRule="auto"/>
        <w:ind w:left="479" w:leftChars="228"/>
        <w:rPr>
          <w:rFonts w:ascii="仿宋" w:hAnsi="仿宋" w:eastAsia="仿宋" w:cs="Times New Roman"/>
          <w:color w:val="auto"/>
          <w:sz w:val="24"/>
          <w:szCs w:val="24"/>
        </w:rPr>
      </w:pPr>
      <w:r>
        <w:rPr>
          <w:rFonts w:hint="eastAsia" w:ascii="仿宋" w:hAnsi="仿宋" w:eastAsia="仿宋" w:cs="Times New Roman"/>
          <w:color w:val="auto"/>
          <w:sz w:val="24"/>
          <w:szCs w:val="24"/>
        </w:rPr>
        <w:t>项目名称：</w:t>
      </w:r>
      <w:bookmarkEnd w:id="27"/>
      <w:r>
        <w:rPr>
          <w:rFonts w:hint="eastAsia" w:ascii="仿宋" w:hAnsi="仿宋" w:eastAsia="仿宋" w:cs="Times New Roman"/>
          <w:color w:val="auto"/>
          <w:sz w:val="24"/>
          <w:szCs w:val="24"/>
        </w:rPr>
        <w:t xml:space="preserve"> </w:t>
      </w:r>
      <w:r>
        <w:rPr>
          <w:rFonts w:hint="eastAsia" w:ascii="仿宋" w:hAnsi="仿宋" w:eastAsia="仿宋" w:cs="Times New Roman"/>
          <w:color w:val="auto"/>
          <w:sz w:val="24"/>
          <w:szCs w:val="24"/>
          <w:lang w:eastAsia="zh-CN"/>
        </w:rPr>
        <w:t>2025-2026学年市直属学校校方责任保险项目</w:t>
      </w:r>
    </w:p>
    <w:p>
      <w:pPr>
        <w:snapToGrid w:val="0"/>
        <w:spacing w:line="360" w:lineRule="auto"/>
        <w:ind w:firstLine="480"/>
        <w:rPr>
          <w:rFonts w:hint="eastAsia" w:ascii="仿宋" w:hAnsi="仿宋" w:eastAsia="仿宋" w:cs="仿宋"/>
          <w:b/>
          <w:color w:val="auto"/>
          <w:sz w:val="24"/>
          <w:lang w:eastAsia="zh-CN"/>
        </w:rPr>
      </w:pPr>
      <w:r>
        <w:rPr>
          <w:rFonts w:hint="eastAsia" w:ascii="仿宋" w:hAnsi="仿宋" w:eastAsia="仿宋" w:cs="仿宋"/>
          <w:b/>
          <w:color w:val="auto"/>
          <w:sz w:val="24"/>
        </w:rPr>
        <w:t>预算金额（万元）：</w:t>
      </w:r>
      <w:r>
        <w:rPr>
          <w:rFonts w:hint="eastAsia" w:ascii="仿宋" w:hAnsi="仿宋" w:eastAsia="仿宋" w:cs="仿宋"/>
          <w:b/>
          <w:color w:val="auto"/>
          <w:sz w:val="24"/>
          <w:lang w:val="en-US" w:eastAsia="zh-CN"/>
        </w:rPr>
        <w:t xml:space="preserve">105 </w:t>
      </w:r>
    </w:p>
    <w:p>
      <w:pPr>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采购需求：</w:t>
      </w:r>
    </w:p>
    <w:tbl>
      <w:tblPr>
        <w:tblStyle w:val="2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119"/>
        <w:gridCol w:w="2213"/>
        <w:gridCol w:w="1603"/>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66" w:type="dxa"/>
            <w:vAlign w:val="center"/>
          </w:tcPr>
          <w:p>
            <w:pPr>
              <w:pStyle w:val="11"/>
              <w:spacing w:line="360" w:lineRule="auto"/>
              <w:jc w:val="center"/>
              <w:rPr>
                <w:rFonts w:ascii="仿宋" w:hAnsi="仿宋" w:eastAsia="仿宋" w:cs="仿宋"/>
                <w:b/>
                <w:color w:val="auto"/>
                <w:szCs w:val="21"/>
              </w:rPr>
            </w:pPr>
            <w:r>
              <w:rPr>
                <w:rFonts w:hint="eastAsia" w:ascii="仿宋" w:hAnsi="仿宋" w:eastAsia="仿宋" w:cs="仿宋"/>
                <w:b/>
                <w:color w:val="auto"/>
                <w:szCs w:val="21"/>
              </w:rPr>
              <w:t>标段号</w:t>
            </w:r>
          </w:p>
        </w:tc>
        <w:tc>
          <w:tcPr>
            <w:tcW w:w="3119" w:type="dxa"/>
            <w:vAlign w:val="center"/>
          </w:tcPr>
          <w:p>
            <w:pPr>
              <w:pStyle w:val="11"/>
              <w:spacing w:line="360" w:lineRule="auto"/>
              <w:jc w:val="center"/>
              <w:rPr>
                <w:rFonts w:ascii="仿宋" w:hAnsi="仿宋" w:eastAsia="仿宋" w:cs="仿宋"/>
                <w:b/>
                <w:color w:val="auto"/>
                <w:szCs w:val="21"/>
              </w:rPr>
            </w:pPr>
            <w:r>
              <w:rPr>
                <w:rFonts w:hint="eastAsia" w:ascii="仿宋" w:hAnsi="仿宋" w:eastAsia="仿宋" w:cs="仿宋"/>
                <w:b/>
                <w:color w:val="auto"/>
                <w:szCs w:val="21"/>
              </w:rPr>
              <w:t>项目名称</w:t>
            </w:r>
          </w:p>
        </w:tc>
        <w:tc>
          <w:tcPr>
            <w:tcW w:w="2213" w:type="dxa"/>
            <w:vAlign w:val="center"/>
          </w:tcPr>
          <w:p>
            <w:pPr>
              <w:tabs>
                <w:tab w:val="left" w:pos="8280"/>
              </w:tabs>
              <w:autoSpaceDE w:val="0"/>
              <w:autoSpaceDN w:val="0"/>
              <w:adjustRightInd w:val="0"/>
              <w:spacing w:line="360" w:lineRule="auto"/>
              <w:ind w:right="25"/>
              <w:jc w:val="center"/>
              <w:rPr>
                <w:rFonts w:ascii="仿宋" w:hAnsi="仿宋" w:eastAsia="仿宋" w:cs="仿宋"/>
                <w:b/>
                <w:color w:val="auto"/>
                <w:szCs w:val="21"/>
              </w:rPr>
            </w:pPr>
            <w:r>
              <w:rPr>
                <w:rFonts w:hint="eastAsia" w:ascii="仿宋" w:hAnsi="仿宋" w:eastAsia="仿宋" w:cs="仿宋"/>
                <w:b/>
                <w:color w:val="auto"/>
                <w:sz w:val="24"/>
                <w:szCs w:val="21"/>
              </w:rPr>
              <w:t>简要技术要求</w:t>
            </w:r>
          </w:p>
        </w:tc>
        <w:tc>
          <w:tcPr>
            <w:tcW w:w="1603" w:type="dxa"/>
            <w:vAlign w:val="center"/>
          </w:tcPr>
          <w:p>
            <w:pPr>
              <w:pStyle w:val="11"/>
              <w:spacing w:line="360" w:lineRule="auto"/>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rPr>
              <w:t>预算</w:t>
            </w:r>
            <w:r>
              <w:rPr>
                <w:rFonts w:hint="eastAsia" w:ascii="仿宋" w:hAnsi="仿宋" w:eastAsia="仿宋" w:cs="仿宋"/>
                <w:b/>
                <w:bCs/>
                <w:color w:val="auto"/>
                <w:szCs w:val="21"/>
                <w:lang w:eastAsia="zh-CN"/>
              </w:rPr>
              <w:t>金额</w:t>
            </w:r>
          </w:p>
          <w:p>
            <w:pPr>
              <w:pStyle w:val="11"/>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（万元）</w:t>
            </w:r>
          </w:p>
        </w:tc>
        <w:tc>
          <w:tcPr>
            <w:tcW w:w="1137" w:type="dxa"/>
            <w:vAlign w:val="center"/>
          </w:tcPr>
          <w:p>
            <w:pPr>
              <w:pStyle w:val="11"/>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66" w:type="dxa"/>
            <w:vAlign w:val="center"/>
          </w:tcPr>
          <w:p>
            <w:pPr>
              <w:pStyle w:val="11"/>
              <w:spacing w:line="360" w:lineRule="auto"/>
              <w:jc w:val="center"/>
              <w:rPr>
                <w:rFonts w:ascii="仿宋" w:hAnsi="仿宋" w:eastAsia="仿宋" w:cs="仿宋"/>
                <w:bCs/>
                <w:color w:val="auto"/>
                <w:szCs w:val="21"/>
              </w:rPr>
            </w:pPr>
            <w:r>
              <w:rPr>
                <w:rFonts w:hint="eastAsia" w:ascii="仿宋" w:hAnsi="仿宋" w:eastAsia="仿宋" w:cs="仿宋"/>
                <w:bCs/>
                <w:color w:val="auto"/>
                <w:szCs w:val="21"/>
              </w:rPr>
              <w:t>一</w:t>
            </w:r>
          </w:p>
        </w:tc>
        <w:tc>
          <w:tcPr>
            <w:tcW w:w="3119" w:type="dxa"/>
            <w:vAlign w:val="center"/>
          </w:tcPr>
          <w:p>
            <w:pPr>
              <w:pStyle w:val="11"/>
              <w:spacing w:line="360" w:lineRule="auto"/>
              <w:jc w:val="center"/>
              <w:rPr>
                <w:rFonts w:ascii="仿宋" w:hAnsi="仿宋" w:eastAsia="仿宋" w:cs="仿宋"/>
                <w:bCs/>
                <w:color w:val="auto"/>
                <w:szCs w:val="21"/>
              </w:rPr>
            </w:pPr>
            <w:r>
              <w:rPr>
                <w:rFonts w:hint="eastAsia" w:ascii="仿宋" w:hAnsi="仿宋" w:eastAsia="仿宋" w:cs="仿宋"/>
                <w:bCs/>
                <w:color w:val="auto"/>
                <w:szCs w:val="21"/>
                <w:lang w:eastAsia="zh-CN"/>
              </w:rPr>
              <w:t>2025-2026学年市直属学校校方责任保险项目</w:t>
            </w:r>
          </w:p>
        </w:tc>
        <w:tc>
          <w:tcPr>
            <w:tcW w:w="2213" w:type="dxa"/>
            <w:vAlign w:val="center"/>
          </w:tcPr>
          <w:p>
            <w:pPr>
              <w:tabs>
                <w:tab w:val="left" w:pos="8280"/>
              </w:tabs>
              <w:autoSpaceDE w:val="0"/>
              <w:autoSpaceDN w:val="0"/>
              <w:adjustRightInd w:val="0"/>
              <w:ind w:right="25"/>
              <w:jc w:val="center"/>
              <w:rPr>
                <w:rFonts w:ascii="仿宋" w:hAnsi="仿宋" w:eastAsia="仿宋" w:cs="仿宋"/>
                <w:color w:val="auto"/>
                <w:szCs w:val="21"/>
              </w:rPr>
            </w:pPr>
            <w:r>
              <w:rPr>
                <w:rFonts w:hint="eastAsia" w:ascii="仿宋" w:hAnsi="仿宋" w:eastAsia="仿宋" w:cs="仿宋"/>
                <w:bCs/>
                <w:color w:val="auto"/>
                <w:sz w:val="24"/>
                <w:szCs w:val="21"/>
              </w:rPr>
              <w:t>详见项目需求</w:t>
            </w:r>
          </w:p>
        </w:tc>
        <w:tc>
          <w:tcPr>
            <w:tcW w:w="1603" w:type="dxa"/>
            <w:vAlign w:val="center"/>
          </w:tcPr>
          <w:p>
            <w:pPr>
              <w:pStyle w:val="11"/>
              <w:spacing w:line="360" w:lineRule="auto"/>
              <w:jc w:val="center"/>
              <w:rPr>
                <w:rFonts w:hint="eastAsia" w:ascii="仿宋" w:hAnsi="仿宋" w:eastAsia="仿宋" w:cs="仿宋"/>
                <w:bCs/>
                <w:color w:val="auto"/>
                <w:szCs w:val="21"/>
                <w:lang w:eastAsia="zh-CN"/>
              </w:rPr>
            </w:pPr>
            <w:r>
              <w:rPr>
                <w:rFonts w:hint="eastAsia" w:ascii="仿宋" w:hAnsi="仿宋" w:eastAsia="仿宋" w:cs="仿宋"/>
                <w:bCs/>
                <w:color w:val="auto"/>
                <w:szCs w:val="21"/>
                <w:lang w:val="en-US" w:eastAsia="zh-CN"/>
              </w:rPr>
              <w:t xml:space="preserve">105 </w:t>
            </w:r>
          </w:p>
        </w:tc>
        <w:tc>
          <w:tcPr>
            <w:tcW w:w="1137" w:type="dxa"/>
            <w:vAlign w:val="center"/>
          </w:tcPr>
          <w:p>
            <w:pPr>
              <w:pStyle w:val="11"/>
              <w:spacing w:line="360" w:lineRule="auto"/>
              <w:jc w:val="center"/>
              <w:rPr>
                <w:rFonts w:ascii="仿宋" w:hAnsi="仿宋" w:eastAsia="仿宋" w:cs="仿宋"/>
                <w:bCs/>
                <w:color w:val="auto"/>
                <w:szCs w:val="21"/>
              </w:rPr>
            </w:pP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ascii="仿宋" w:hAnsi="仿宋" w:eastAsia="仿宋" w:cs="仿宋"/>
          <w:color w:val="auto"/>
          <w:sz w:val="24"/>
          <w:szCs w:val="24"/>
          <w:highlight w:val="none"/>
        </w:rPr>
      </w:pPr>
      <w:bookmarkStart w:id="28" w:name="_Toc28359008"/>
      <w:bookmarkStart w:id="29" w:name="_Toc35393796"/>
      <w:bookmarkStart w:id="30" w:name="_Toc28359085"/>
      <w:bookmarkStart w:id="31" w:name="_Toc35393627"/>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本项目（是/否）接受联合体:否。</w:t>
      </w:r>
    </w:p>
    <w:p>
      <w:pPr>
        <w:keepNext/>
        <w:keepLines/>
        <w:numPr>
          <w:ilvl w:val="1"/>
          <w:numId w:val="0"/>
        </w:numPr>
        <w:tabs>
          <w:tab w:val="left" w:pos="0"/>
        </w:tabs>
        <w:snapToGrid w:val="0"/>
        <w:spacing w:line="360" w:lineRule="auto"/>
        <w:outlineLvl w:val="1"/>
        <w:rPr>
          <w:rFonts w:ascii="仿宋" w:hAnsi="仿宋" w:eastAsia="仿宋" w:cs="仿宋"/>
          <w:b/>
          <w:color w:val="auto"/>
          <w:sz w:val="24"/>
          <w:szCs w:val="24"/>
        </w:rPr>
      </w:pPr>
      <w:r>
        <w:rPr>
          <w:rFonts w:hint="eastAsia" w:ascii="仿宋" w:hAnsi="仿宋" w:eastAsia="仿宋" w:cs="仿宋"/>
          <w:b/>
          <w:color w:val="auto"/>
          <w:sz w:val="24"/>
          <w:szCs w:val="24"/>
        </w:rPr>
        <w:t>二、申请人的资格要求：</w:t>
      </w:r>
    </w:p>
    <w:p>
      <w:pPr>
        <w:spacing w:line="360" w:lineRule="auto"/>
        <w:ind w:firstLine="480" w:firstLineChars="200"/>
        <w:rPr>
          <w:rFonts w:ascii="仿宋" w:hAnsi="仿宋" w:eastAsia="仿宋" w:cs="仿宋"/>
          <w:color w:val="auto"/>
          <w:sz w:val="24"/>
          <w:szCs w:val="24"/>
        </w:rPr>
      </w:pPr>
      <w:bookmarkStart w:id="32" w:name="_Toc35393792"/>
      <w:bookmarkStart w:id="33" w:name="_Toc28359081"/>
      <w:bookmarkStart w:id="34" w:name="_Toc35393623"/>
      <w:bookmarkStart w:id="35" w:name="_Toc28359004"/>
      <w:r>
        <w:rPr>
          <w:rFonts w:hint="eastAsia" w:ascii="仿宋" w:hAnsi="仿宋" w:eastAsia="仿宋" w:cs="仿宋"/>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  2.落实政府采购政策需满足的资格要求：无</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3.本项目的特定资格要求：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按照浙教装2006[147]号和浙教装勤[2006]33号文件规定。可以开展校（园）方责任保险各项工作的商业保险机构（在浙分、支公司参与投标的，必须具有省级或以上公司的合法授权）。</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三、获取招标文件</w:t>
      </w:r>
      <w:bookmarkEnd w:id="32"/>
      <w:bookmarkEnd w:id="33"/>
      <w:bookmarkEnd w:id="34"/>
      <w:bookmarkEnd w:id="35"/>
    </w:p>
    <w:p>
      <w:pPr>
        <w:spacing w:line="360" w:lineRule="auto"/>
        <w:ind w:firstLine="540"/>
        <w:rPr>
          <w:rFonts w:ascii="仿宋" w:hAnsi="仿宋" w:eastAsia="仿宋" w:cs="仿宋"/>
          <w:color w:val="auto"/>
          <w:sz w:val="24"/>
          <w:szCs w:val="24"/>
        </w:rPr>
      </w:pPr>
      <w:r>
        <w:rPr>
          <w:rFonts w:hint="eastAsia" w:ascii="仿宋" w:hAnsi="仿宋" w:eastAsia="仿宋" w:cs="仿宋"/>
          <w:color w:val="auto"/>
          <w:sz w:val="24"/>
          <w:szCs w:val="24"/>
        </w:rPr>
        <w:t>1、时间： 公告发布时间 / 至  </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 (双休日及法定节假日除外)</w:t>
      </w:r>
    </w:p>
    <w:p>
      <w:pPr>
        <w:spacing w:line="360" w:lineRule="auto"/>
        <w:ind w:firstLine="540"/>
        <w:rPr>
          <w:rFonts w:ascii="仿宋" w:hAnsi="仿宋" w:eastAsia="仿宋" w:cs="仿宋"/>
          <w:color w:val="auto"/>
          <w:sz w:val="24"/>
          <w:szCs w:val="24"/>
        </w:rPr>
      </w:pPr>
      <w:r>
        <w:rPr>
          <w:rFonts w:hint="eastAsia" w:ascii="仿宋" w:hAnsi="仿宋" w:eastAsia="仿宋" w:cs="仿宋"/>
          <w:color w:val="auto"/>
          <w:sz w:val="24"/>
          <w:szCs w:val="24"/>
        </w:rPr>
        <w:t>上午：8:30-11:30  下午：14:30-17:00</w:t>
      </w:r>
    </w:p>
    <w:p>
      <w:pPr>
        <w:spacing w:line="360" w:lineRule="auto"/>
        <w:ind w:firstLine="54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2、地点：</w:t>
      </w:r>
      <w:r>
        <w:rPr>
          <w:rFonts w:hint="eastAsia" w:ascii="仿宋" w:hAnsi="仿宋" w:eastAsia="仿宋" w:cs="仿宋"/>
          <w:color w:val="auto"/>
          <w:sz w:val="24"/>
          <w:szCs w:val="24"/>
          <w:lang w:eastAsia="zh-CN"/>
        </w:rPr>
        <w:t>浙江省台州市椒江区万达大厦3号2512号</w:t>
      </w:r>
    </w:p>
    <w:p>
      <w:pPr>
        <w:spacing w:line="360" w:lineRule="auto"/>
        <w:ind w:firstLine="540"/>
        <w:rPr>
          <w:rFonts w:ascii="仿宋" w:hAnsi="仿宋" w:eastAsia="仿宋" w:cs="仿宋"/>
          <w:color w:val="auto"/>
          <w:sz w:val="24"/>
          <w:szCs w:val="24"/>
          <w:u w:val="single"/>
        </w:rPr>
      </w:pPr>
      <w:r>
        <w:rPr>
          <w:rFonts w:hint="eastAsia" w:ascii="仿宋" w:hAnsi="仿宋" w:eastAsia="仿宋" w:cs="仿宋"/>
          <w:color w:val="auto"/>
          <w:sz w:val="24"/>
          <w:szCs w:val="24"/>
        </w:rPr>
        <w:t>3、方式：现场获取或邮箱获取。</w:t>
      </w:r>
    </w:p>
    <w:p>
      <w:pPr>
        <w:spacing w:line="360" w:lineRule="auto"/>
        <w:ind w:firstLine="540"/>
        <w:rPr>
          <w:rFonts w:ascii="仿宋" w:hAnsi="仿宋" w:eastAsia="仿宋" w:cs="仿宋"/>
          <w:color w:val="auto"/>
          <w:sz w:val="24"/>
          <w:szCs w:val="24"/>
        </w:rPr>
      </w:pPr>
      <w:r>
        <w:rPr>
          <w:rFonts w:hint="eastAsia" w:ascii="仿宋" w:hAnsi="仿宋" w:eastAsia="仿宋" w:cs="仿宋"/>
          <w:color w:val="auto"/>
          <w:sz w:val="24"/>
          <w:szCs w:val="24"/>
        </w:rPr>
        <w:t>4、</w:t>
      </w:r>
      <w:bookmarkStart w:id="36" w:name="_Toc28359082"/>
      <w:bookmarkStart w:id="37" w:name="_Toc28359005"/>
      <w:bookmarkStart w:id="38" w:name="_Toc35393793"/>
      <w:bookmarkStart w:id="39" w:name="_Toc35393624"/>
      <w:r>
        <w:rPr>
          <w:rFonts w:hint="eastAsia" w:ascii="仿宋" w:hAnsi="仿宋" w:eastAsia="仿宋" w:cs="仿宋"/>
          <w:color w:val="auto"/>
          <w:sz w:val="24"/>
          <w:szCs w:val="24"/>
        </w:rPr>
        <w:t>供应商报名时应提供以下资料：</w:t>
      </w:r>
    </w:p>
    <w:p>
      <w:pPr>
        <w:keepNext/>
        <w:keepLines/>
        <w:numPr>
          <w:ilvl w:val="0"/>
          <w:numId w:val="3"/>
        </w:numPr>
        <w:tabs>
          <w:tab w:val="left" w:pos="420"/>
        </w:tabs>
        <w:snapToGrid w:val="0"/>
        <w:spacing w:line="360" w:lineRule="auto"/>
        <w:outlineLvl w:val="1"/>
        <w:rPr>
          <w:rFonts w:ascii="仿宋" w:hAnsi="仿宋" w:eastAsia="仿宋" w:cs="仿宋"/>
          <w:color w:val="auto"/>
          <w:sz w:val="24"/>
          <w:szCs w:val="24"/>
        </w:rPr>
      </w:pPr>
      <w:r>
        <w:rPr>
          <w:rFonts w:hint="eastAsia" w:ascii="仿宋" w:hAnsi="仿宋" w:eastAsia="仿宋" w:cs="仿宋"/>
          <w:color w:val="auto"/>
          <w:sz w:val="24"/>
          <w:szCs w:val="24"/>
        </w:rPr>
        <w:t>供应商报名表（需加盖单位公章）；</w:t>
      </w:r>
    </w:p>
    <w:p>
      <w:pPr>
        <w:keepNext/>
        <w:keepLines/>
        <w:numPr>
          <w:ilvl w:val="0"/>
          <w:numId w:val="3"/>
        </w:numPr>
        <w:tabs>
          <w:tab w:val="left" w:pos="420"/>
        </w:tabs>
        <w:snapToGrid w:val="0"/>
        <w:spacing w:line="360" w:lineRule="auto"/>
        <w:outlineLvl w:val="1"/>
        <w:rPr>
          <w:rFonts w:ascii="仿宋" w:hAnsi="仿宋" w:eastAsia="仿宋" w:cs="仿宋"/>
          <w:color w:val="auto"/>
          <w:sz w:val="24"/>
          <w:szCs w:val="24"/>
        </w:rPr>
      </w:pPr>
      <w:r>
        <w:rPr>
          <w:rFonts w:hint="eastAsia" w:ascii="仿宋" w:hAnsi="仿宋" w:eastAsia="仿宋" w:cs="仿宋"/>
          <w:color w:val="auto"/>
          <w:sz w:val="24"/>
          <w:szCs w:val="24"/>
        </w:rPr>
        <w:t>企业法人营业执照副本复印件（需加盖单位公章）；</w:t>
      </w:r>
    </w:p>
    <w:p>
      <w:pPr>
        <w:keepNext/>
        <w:keepLines/>
        <w:numPr>
          <w:ilvl w:val="0"/>
          <w:numId w:val="3"/>
        </w:numPr>
        <w:tabs>
          <w:tab w:val="left" w:pos="420"/>
        </w:tabs>
        <w:snapToGrid w:val="0"/>
        <w:spacing w:line="360" w:lineRule="auto"/>
        <w:outlineLvl w:val="1"/>
        <w:rPr>
          <w:rFonts w:ascii="仿宋" w:hAnsi="仿宋" w:eastAsia="仿宋" w:cs="仿宋"/>
          <w:color w:val="auto"/>
          <w:sz w:val="24"/>
          <w:szCs w:val="24"/>
        </w:rPr>
      </w:pPr>
      <w:r>
        <w:rPr>
          <w:rFonts w:hint="eastAsia" w:ascii="仿宋" w:hAnsi="仿宋" w:eastAsia="仿宋" w:cs="仿宋"/>
          <w:color w:val="auto"/>
          <w:sz w:val="24"/>
          <w:szCs w:val="24"/>
        </w:rPr>
        <w:t>对报名人的授权委托书（需加盖单位公章）。</w:t>
      </w:r>
    </w:p>
    <w:p>
      <w:pPr>
        <w:pStyle w:val="13"/>
        <w:numPr>
          <w:ilvl w:val="0"/>
          <w:numId w:val="3"/>
        </w:numPr>
        <w:ind w:leftChars="0"/>
        <w:rPr>
          <w:rFonts w:ascii="仿宋" w:hAnsi="仿宋" w:eastAsia="仿宋" w:cs="仿宋"/>
          <w:color w:val="auto"/>
          <w:sz w:val="24"/>
          <w:szCs w:val="24"/>
        </w:rPr>
      </w:pPr>
      <w:r>
        <w:rPr>
          <w:rFonts w:hint="eastAsia" w:ascii="仿宋" w:hAnsi="仿宋" w:eastAsia="仿宋" w:cs="仿宋"/>
          <w:color w:val="auto"/>
          <w:sz w:val="24"/>
          <w:szCs w:val="24"/>
        </w:rPr>
        <w:t>商业保险机构（在浙分、支公司）提供省级或以上公司同意分支机构参与当地校（园）方责任保险的合法授权书（需加盖单位公章）；</w:t>
      </w:r>
    </w:p>
    <w:p>
      <w:pPr>
        <w:keepNext/>
        <w:keepLines/>
        <w:numPr>
          <w:ilvl w:val="1"/>
          <w:numId w:val="0"/>
        </w:numPr>
        <w:tabs>
          <w:tab w:val="left" w:pos="0"/>
        </w:tabs>
        <w:snapToGrid w:val="0"/>
        <w:spacing w:line="360" w:lineRule="auto"/>
        <w:outlineLvl w:val="1"/>
        <w:rPr>
          <w:rFonts w:ascii="仿宋" w:hAnsi="仿宋" w:eastAsia="仿宋" w:cs="仿宋"/>
          <w:b/>
          <w:color w:val="auto"/>
          <w:sz w:val="24"/>
          <w:szCs w:val="24"/>
        </w:rPr>
      </w:pPr>
      <w:r>
        <w:rPr>
          <w:rFonts w:hint="eastAsia" w:ascii="仿宋" w:hAnsi="仿宋" w:eastAsia="仿宋" w:cs="仿宋"/>
          <w:b/>
          <w:color w:val="auto"/>
          <w:sz w:val="24"/>
          <w:szCs w:val="24"/>
        </w:rPr>
        <w:t>四、提交投标文件</w:t>
      </w:r>
      <w:bookmarkEnd w:id="36"/>
      <w:bookmarkEnd w:id="37"/>
      <w:r>
        <w:rPr>
          <w:rFonts w:hint="eastAsia" w:ascii="仿宋" w:hAnsi="仿宋" w:eastAsia="仿宋" w:cs="仿宋"/>
          <w:b/>
          <w:color w:val="auto"/>
          <w:sz w:val="24"/>
          <w:szCs w:val="24"/>
        </w:rPr>
        <w:t>截止时间、开标时间和地点</w:t>
      </w:r>
      <w:bookmarkEnd w:id="38"/>
      <w:bookmarkEnd w:id="39"/>
    </w:p>
    <w:p>
      <w:pPr>
        <w:spacing w:line="360" w:lineRule="auto"/>
        <w:ind w:firstLine="480" w:firstLineChars="200"/>
        <w:rPr>
          <w:rFonts w:ascii="仿宋" w:hAnsi="仿宋" w:eastAsia="仿宋" w:cs="仿宋"/>
          <w:bCs/>
          <w:color w:val="auto"/>
          <w:sz w:val="24"/>
          <w:szCs w:val="24"/>
          <w:u w:val="single"/>
        </w:rPr>
      </w:pPr>
      <w:r>
        <w:rPr>
          <w:rFonts w:hint="eastAsia" w:ascii="仿宋" w:hAnsi="仿宋" w:eastAsia="仿宋" w:cs="仿宋"/>
          <w:bCs/>
          <w:color w:val="auto"/>
          <w:sz w:val="24"/>
          <w:szCs w:val="24"/>
        </w:rPr>
        <w:t>提交投标文件截止时间及开标时间：</w:t>
      </w:r>
      <w:r>
        <w:rPr>
          <w:rFonts w:hint="eastAsia" w:ascii="仿宋" w:hAnsi="仿宋" w:eastAsia="仿宋" w:cs="仿宋"/>
          <w:bCs/>
          <w:color w:val="auto"/>
          <w:sz w:val="24"/>
          <w:szCs w:val="24"/>
          <w:u w:val="single"/>
          <w:lang w:eastAsia="zh-CN"/>
        </w:rPr>
        <w:t>2025</w:t>
      </w:r>
      <w:r>
        <w:rPr>
          <w:rFonts w:hint="eastAsia" w:ascii="仿宋" w:hAnsi="仿宋" w:eastAsia="仿宋" w:cs="仿宋"/>
          <w:bCs/>
          <w:color w:val="auto"/>
          <w:sz w:val="24"/>
          <w:szCs w:val="24"/>
          <w:u w:val="single"/>
        </w:rPr>
        <w:t>年</w:t>
      </w:r>
      <w:r>
        <w:rPr>
          <w:rFonts w:hint="eastAsia" w:ascii="仿宋" w:hAnsi="仿宋" w:eastAsia="仿宋" w:cs="Times New Roman"/>
          <w:bCs/>
          <w:color w:val="auto"/>
          <w:sz w:val="24"/>
          <w:szCs w:val="24"/>
          <w:u w:val="single"/>
          <w:lang w:val="en-US" w:eastAsia="zh-CN"/>
        </w:rPr>
        <w:t xml:space="preserve"> 月 日09</w:t>
      </w:r>
      <w:r>
        <w:rPr>
          <w:rFonts w:hint="eastAsia" w:ascii="仿宋" w:hAnsi="仿宋" w:eastAsia="仿宋" w:cs="Times New Roman"/>
          <w:bCs/>
          <w:color w:val="auto"/>
          <w:sz w:val="24"/>
          <w:szCs w:val="24"/>
          <w:u w:val="single"/>
          <w:lang w:eastAsia="zh-CN"/>
        </w:rPr>
        <w:t>：</w:t>
      </w:r>
      <w:r>
        <w:rPr>
          <w:rFonts w:hint="eastAsia" w:ascii="仿宋" w:hAnsi="仿宋" w:eastAsia="仿宋" w:cs="Times New Roman"/>
          <w:bCs/>
          <w:color w:val="auto"/>
          <w:sz w:val="24"/>
          <w:szCs w:val="24"/>
          <w:u w:val="single"/>
        </w:rPr>
        <w:t>30分</w:t>
      </w:r>
      <w:r>
        <w:rPr>
          <w:rFonts w:hint="eastAsia" w:ascii="仿宋" w:hAnsi="仿宋" w:eastAsia="仿宋" w:cs="仿宋"/>
          <w:bCs/>
          <w:color w:val="auto"/>
          <w:sz w:val="24"/>
          <w:szCs w:val="24"/>
        </w:rPr>
        <w:t>（北京时间）</w:t>
      </w:r>
      <w:r>
        <w:rPr>
          <w:rFonts w:hint="eastAsia" w:ascii="仿宋" w:hAnsi="仿宋" w:eastAsia="仿宋" w:cs="仿宋"/>
          <w:bCs/>
          <w:iCs/>
          <w:color w:val="auto"/>
          <w:sz w:val="24"/>
          <w:szCs w:val="24"/>
          <w:u w:val="single"/>
        </w:rPr>
        <w:t>（</w:t>
      </w:r>
      <w:r>
        <w:rPr>
          <w:rFonts w:hint="eastAsia" w:ascii="仿宋" w:hAnsi="仿宋" w:eastAsia="仿宋" w:cs="仿宋"/>
          <w:bCs/>
          <w:i/>
          <w:color w:val="auto"/>
          <w:sz w:val="24"/>
          <w:szCs w:val="24"/>
          <w:u w:val="single"/>
        </w:rPr>
        <w:t>自招标文件开始发出之日起至投标人提交投标文件截止之日止，不得少于20日</w:t>
      </w:r>
      <w:r>
        <w:rPr>
          <w:rFonts w:hint="eastAsia" w:ascii="仿宋" w:hAnsi="仿宋" w:eastAsia="仿宋" w:cs="仿宋"/>
          <w:bCs/>
          <w:iCs/>
          <w:color w:val="auto"/>
          <w:sz w:val="24"/>
          <w:szCs w:val="24"/>
          <w:u w:val="single"/>
        </w:rPr>
        <w:t>）</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bCs/>
          <w:color w:val="auto"/>
          <w:sz w:val="24"/>
          <w:szCs w:val="24"/>
        </w:rPr>
        <w:t>提交投标文件及开标地点</w:t>
      </w:r>
      <w:r>
        <w:rPr>
          <w:rFonts w:hint="eastAsia" w:ascii="仿宋" w:hAnsi="仿宋" w:eastAsia="仿宋" w:cs="仿宋"/>
          <w:color w:val="auto"/>
          <w:sz w:val="24"/>
          <w:szCs w:val="24"/>
        </w:rPr>
        <w:t>：台州锋鼎工程项目管理有限公司</w:t>
      </w:r>
      <w:r>
        <w:rPr>
          <w:rFonts w:hint="eastAsia" w:ascii="仿宋" w:hAnsi="仿宋" w:eastAsia="仿宋" w:cs="仿宋"/>
          <w:color w:val="auto"/>
          <w:sz w:val="24"/>
          <w:szCs w:val="24"/>
          <w:lang w:eastAsia="zh-CN"/>
        </w:rPr>
        <w:t>会议室</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浙江省台州市椒江区万达大厦3号2512号</w:t>
      </w:r>
      <w:r>
        <w:rPr>
          <w:rFonts w:hint="eastAsia" w:ascii="仿宋" w:hAnsi="仿宋" w:eastAsia="仿宋" w:cs="仿宋"/>
          <w:color w:val="auto"/>
          <w:sz w:val="24"/>
          <w:szCs w:val="24"/>
        </w:rPr>
        <w:t xml:space="preserve">） </w:t>
      </w:r>
    </w:p>
    <w:p>
      <w:pPr>
        <w:keepNext/>
        <w:keepLines/>
        <w:numPr>
          <w:ilvl w:val="1"/>
          <w:numId w:val="0"/>
        </w:numPr>
        <w:tabs>
          <w:tab w:val="left" w:pos="0"/>
        </w:tabs>
        <w:snapToGrid w:val="0"/>
        <w:spacing w:line="360" w:lineRule="auto"/>
        <w:outlineLvl w:val="1"/>
        <w:rPr>
          <w:rFonts w:ascii="仿宋" w:hAnsi="仿宋" w:eastAsia="仿宋" w:cs="仿宋"/>
          <w:b/>
          <w:color w:val="auto"/>
          <w:sz w:val="24"/>
          <w:szCs w:val="24"/>
        </w:rPr>
      </w:pPr>
      <w:bookmarkStart w:id="40" w:name="_Toc35393794"/>
      <w:bookmarkStart w:id="41" w:name="_Toc35393625"/>
      <w:bookmarkStart w:id="42" w:name="_Toc28359084"/>
      <w:bookmarkStart w:id="43" w:name="_Toc28359007"/>
      <w:r>
        <w:rPr>
          <w:rFonts w:hint="eastAsia" w:ascii="仿宋" w:hAnsi="仿宋" w:eastAsia="仿宋" w:cs="仿宋"/>
          <w:b/>
          <w:color w:val="auto"/>
          <w:sz w:val="24"/>
          <w:szCs w:val="24"/>
        </w:rPr>
        <w:t>五、公告期限</w:t>
      </w:r>
      <w:bookmarkEnd w:id="40"/>
      <w:bookmarkEnd w:id="41"/>
      <w:bookmarkEnd w:id="42"/>
      <w:bookmarkEnd w:id="43"/>
    </w:p>
    <w:p>
      <w:pPr>
        <w:spacing w:line="36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pPr>
        <w:keepNext/>
        <w:keepLines/>
        <w:numPr>
          <w:ilvl w:val="0"/>
          <w:numId w:val="4"/>
        </w:numPr>
        <w:tabs>
          <w:tab w:val="left" w:pos="0"/>
        </w:tabs>
        <w:snapToGrid w:val="0"/>
        <w:spacing w:line="360" w:lineRule="auto"/>
        <w:ind w:left="432" w:hanging="432"/>
        <w:outlineLvl w:val="1"/>
        <w:rPr>
          <w:rFonts w:ascii="仿宋" w:hAnsi="仿宋" w:eastAsia="仿宋" w:cs="仿宋"/>
          <w:b/>
          <w:color w:val="auto"/>
          <w:sz w:val="24"/>
          <w:szCs w:val="24"/>
        </w:rPr>
      </w:pPr>
      <w:bookmarkStart w:id="44" w:name="_Toc35393626"/>
      <w:bookmarkStart w:id="45" w:name="_Toc35393795"/>
      <w:r>
        <w:rPr>
          <w:rFonts w:hint="eastAsia" w:ascii="仿宋" w:hAnsi="仿宋" w:eastAsia="仿宋" w:cs="仿宋"/>
          <w:b/>
          <w:color w:val="auto"/>
          <w:sz w:val="24"/>
          <w:szCs w:val="24"/>
        </w:rPr>
        <w:t>其他补充事宜</w:t>
      </w:r>
      <w:bookmarkEnd w:id="44"/>
      <w:bookmarkEnd w:id="45"/>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hAnsi="仿宋" w:eastAsia="仿宋" w:cs="仿宋"/>
          <w:b/>
          <w:color w:val="auto"/>
          <w:sz w:val="24"/>
          <w:szCs w:val="24"/>
        </w:rPr>
      </w:pPr>
      <w:r>
        <w:rPr>
          <w:rFonts w:hint="eastAsia" w:ascii="仿宋" w:hAnsi="仿宋" w:eastAsia="仿宋" w:cs="仿宋"/>
          <w:color w:val="auto"/>
          <w:sz w:val="24"/>
          <w:szCs w:val="24"/>
        </w:rPr>
        <w:t>（一）</w:t>
      </w:r>
      <w:r>
        <w:rPr>
          <w:rFonts w:hint="eastAsia" w:ascii="仿宋" w:hAnsi="仿宋" w:eastAsia="仿宋" w:cs="仿宋"/>
          <w:b/>
          <w:color w:val="auto"/>
          <w:sz w:val="24"/>
          <w:szCs w:val="24"/>
        </w:rPr>
        <w:t>投标人信用信息查询渠道及截止时点、信用信息查询记录和证据留存的具体方式、信用信息的使用规则：</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hAnsi="仿宋" w:eastAsia="仿宋" w:cs="仿宋"/>
          <w:color w:val="auto"/>
          <w:sz w:val="24"/>
          <w:szCs w:val="24"/>
        </w:rPr>
      </w:pPr>
      <w:r>
        <w:rPr>
          <w:rFonts w:hint="eastAsia" w:ascii="仿宋" w:hAnsi="仿宋" w:eastAsia="仿宋" w:cs="仿宋"/>
          <w:color w:val="auto"/>
          <w:sz w:val="24"/>
          <w:szCs w:val="24"/>
        </w:rPr>
        <w:t>1、查询渠道：信用中国（网址：</w:t>
      </w:r>
      <w:r>
        <w:rPr>
          <w:color w:val="auto"/>
        </w:rPr>
        <w:fldChar w:fldCharType="begin"/>
      </w:r>
      <w:r>
        <w:rPr>
          <w:color w:val="auto"/>
        </w:rPr>
        <w:instrText xml:space="preserve"> HYPERLINK "http://www.creditchina.gov.cn" </w:instrText>
      </w:r>
      <w:r>
        <w:rPr>
          <w:color w:val="auto"/>
        </w:rPr>
        <w:fldChar w:fldCharType="separate"/>
      </w:r>
      <w:r>
        <w:rPr>
          <w:rFonts w:hint="eastAsia" w:ascii="仿宋" w:hAnsi="仿宋" w:eastAsia="仿宋" w:cs="仿宋"/>
          <w:color w:val="auto"/>
          <w:sz w:val="24"/>
          <w:szCs w:val="24"/>
        </w:rPr>
        <w:t>http://www.creditchina.gov.cn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）、中国政府采购网(网址：http://www.ccgp.gov.cn）。</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hAnsi="仿宋" w:eastAsia="仿宋" w:cs="仿宋"/>
          <w:color w:val="auto"/>
          <w:sz w:val="24"/>
          <w:szCs w:val="24"/>
        </w:rPr>
      </w:pPr>
      <w:r>
        <w:rPr>
          <w:rFonts w:hint="eastAsia" w:ascii="仿宋" w:hAnsi="仿宋" w:eastAsia="仿宋" w:cs="仿宋"/>
          <w:color w:val="auto"/>
          <w:sz w:val="24"/>
          <w:szCs w:val="24"/>
        </w:rPr>
        <w:t>2、截止时点：开标后评标前。</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hAnsi="仿宋" w:eastAsia="仿宋" w:cs="仿宋"/>
          <w:color w:val="auto"/>
          <w:sz w:val="24"/>
          <w:szCs w:val="24"/>
        </w:rPr>
      </w:pPr>
      <w:r>
        <w:rPr>
          <w:rFonts w:hint="eastAsia" w:ascii="仿宋" w:hAnsi="仿宋" w:eastAsia="仿宋" w:cs="仿宋"/>
          <w:color w:val="auto"/>
          <w:sz w:val="24"/>
          <w:szCs w:val="24"/>
        </w:rPr>
        <w:t>3、使用规则：对列入失信被执行人、重大税收违法案件当事人名单、政府采购严重违法失信行为记录名单及其他不符合《中华人民共和国政府采购法》第二十二条规定条件的供应商，将被拒绝其参与政府采购活动。</w:t>
      </w:r>
    </w:p>
    <w:p>
      <w:pPr>
        <w:tabs>
          <w:tab w:val="left" w:pos="180"/>
          <w:tab w:val="left" w:pos="360"/>
          <w:tab w:val="left" w:pos="540"/>
          <w:tab w:val="left" w:pos="8280"/>
        </w:tabs>
        <w:autoSpaceDE w:val="0"/>
        <w:autoSpaceDN w:val="0"/>
        <w:adjustRightInd w:val="0"/>
        <w:spacing w:line="360" w:lineRule="auto"/>
        <w:ind w:right="23"/>
        <w:rPr>
          <w:rFonts w:ascii="仿宋" w:hAnsi="仿宋" w:eastAsia="仿宋" w:cs="仿宋"/>
          <w:b/>
          <w:color w:val="auto"/>
          <w:sz w:val="24"/>
          <w:szCs w:val="24"/>
        </w:rPr>
      </w:pPr>
      <w:r>
        <w:rPr>
          <w:rFonts w:hint="eastAsia" w:ascii="仿宋" w:hAnsi="仿宋" w:eastAsia="仿宋" w:cs="仿宋"/>
          <w:color w:val="auto"/>
          <w:sz w:val="24"/>
          <w:szCs w:val="24"/>
        </w:rPr>
        <w:t>（二）</w:t>
      </w:r>
      <w:r>
        <w:rPr>
          <w:rFonts w:hint="eastAsia" w:ascii="仿宋" w:hAnsi="仿宋" w:eastAsia="仿宋" w:cs="仿宋"/>
          <w:b/>
          <w:color w:val="auto"/>
          <w:sz w:val="24"/>
          <w:szCs w:val="24"/>
        </w:rPr>
        <w:t>其他事项：</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hAnsi="仿宋" w:eastAsia="仿宋" w:cs="仿宋"/>
          <w:color w:val="auto"/>
          <w:sz w:val="24"/>
          <w:szCs w:val="24"/>
        </w:rPr>
      </w:pPr>
      <w:r>
        <w:rPr>
          <w:rFonts w:hint="eastAsia" w:ascii="仿宋" w:hAnsi="仿宋" w:eastAsia="仿宋" w:cs="仿宋"/>
          <w:color w:val="auto"/>
          <w:sz w:val="24"/>
          <w:szCs w:val="24"/>
        </w:rPr>
        <w:t>1.采购文件公告期限截止之日之后有潜在供应商提出获取采购文件的，采购代理机构将允许其获取，但该供应商如对采购文件有异议的，应于收到采购文件之日或者采购文件公告期限届满之日起七个工作日内以书面形式一次性针对同一环节向采购代理机构提出。质疑供应商对采购人、采购代理机构的答复不满意或者采购人、采购代理机构未在规定的时间内作出答复的，可以在答复期满后十五个工作日内向同级政府采购监督管理部门投诉。</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color w:val="auto"/>
        </w:rPr>
        <w:t xml:space="preserve"> </w:t>
      </w:r>
      <w:r>
        <w:rPr>
          <w:rFonts w:hint="eastAsia" w:ascii="仿宋" w:hAnsi="仿宋" w:eastAsia="仿宋" w:cs="仿宋"/>
          <w:color w:val="auto"/>
          <w:sz w:val="24"/>
          <w:szCs w:val="24"/>
        </w:rPr>
        <w:t>对采购过程提出质疑的，为各采购程序环节结束之日起7个工作日内一次性提出；</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hAnsi="仿宋" w:eastAsia="仿宋" w:cs="仿宋"/>
          <w:color w:val="auto"/>
          <w:sz w:val="24"/>
          <w:szCs w:val="24"/>
        </w:rPr>
      </w:pPr>
      <w:r>
        <w:rPr>
          <w:rFonts w:hint="eastAsia" w:ascii="仿宋" w:hAnsi="仿宋" w:eastAsia="仿宋" w:cs="仿宋"/>
          <w:color w:val="auto"/>
          <w:sz w:val="24"/>
          <w:szCs w:val="24"/>
        </w:rPr>
        <w:t>3. 中标结果质疑期限：对中标结果提出质疑的，应当在中标结果公告期限届满之日起7个工作日内一次性提出。</w:t>
      </w:r>
    </w:p>
    <w:p>
      <w:pPr>
        <w:keepNext/>
        <w:keepLines/>
        <w:numPr>
          <w:ilvl w:val="1"/>
          <w:numId w:val="0"/>
        </w:numPr>
        <w:tabs>
          <w:tab w:val="left" w:pos="0"/>
        </w:tabs>
        <w:snapToGrid w:val="0"/>
        <w:spacing w:line="360" w:lineRule="auto"/>
        <w:outlineLvl w:val="1"/>
        <w:rPr>
          <w:rFonts w:ascii="仿宋" w:hAnsi="仿宋" w:eastAsia="仿宋"/>
          <w:bCs/>
          <w:color w:val="auto"/>
          <w:sz w:val="24"/>
          <w:szCs w:val="24"/>
        </w:rPr>
      </w:pPr>
      <w:r>
        <w:rPr>
          <w:rFonts w:hint="eastAsia" w:ascii="仿宋" w:hAnsi="仿宋" w:eastAsia="仿宋"/>
          <w:bCs/>
          <w:color w:val="auto"/>
          <w:sz w:val="24"/>
          <w:szCs w:val="24"/>
        </w:rPr>
        <w:t>七、对本次招标提出询问，请按</w:t>
      </w:r>
      <w:r>
        <w:rPr>
          <w:rFonts w:ascii="仿宋" w:hAnsi="仿宋" w:eastAsia="仿宋"/>
          <w:bCs/>
          <w:color w:val="auto"/>
          <w:sz w:val="24"/>
          <w:szCs w:val="24"/>
        </w:rPr>
        <w:t>以下方式</w:t>
      </w:r>
      <w:r>
        <w:rPr>
          <w:rFonts w:hint="eastAsia" w:ascii="仿宋" w:hAnsi="仿宋" w:eastAsia="仿宋"/>
          <w:bCs/>
          <w:color w:val="auto"/>
          <w:sz w:val="24"/>
          <w:szCs w:val="24"/>
        </w:rPr>
        <w:t>联系</w:t>
      </w:r>
      <w:bookmarkEnd w:id="28"/>
      <w:bookmarkEnd w:id="29"/>
      <w:bookmarkEnd w:id="30"/>
      <w:bookmarkEnd w:id="31"/>
    </w:p>
    <w:p>
      <w:pPr>
        <w:widowControl/>
        <w:spacing w:line="360" w:lineRule="auto"/>
        <w:jc w:val="left"/>
        <w:rPr>
          <w:rFonts w:ascii="仿宋" w:hAnsi="仿宋" w:eastAsia="仿宋" w:cs="Times New Roman"/>
          <w:color w:val="auto"/>
          <w:sz w:val="24"/>
          <w:szCs w:val="24"/>
        </w:rPr>
      </w:pPr>
      <w:r>
        <w:rPr>
          <w:rFonts w:hint="eastAsia" w:ascii="仿宋" w:hAnsi="仿宋" w:eastAsia="仿宋"/>
          <w:color w:val="auto"/>
          <w:sz w:val="24"/>
          <w:szCs w:val="24"/>
        </w:rPr>
        <w:t>　　　1.采购人信息</w:t>
      </w:r>
    </w:p>
    <w:p>
      <w:pPr>
        <w:spacing w:line="360" w:lineRule="auto"/>
        <w:ind w:left="1079" w:leftChars="371" w:hanging="300" w:hangingChars="125"/>
        <w:jc w:val="left"/>
        <w:rPr>
          <w:rFonts w:ascii="仿宋" w:hAnsi="仿宋" w:eastAsia="仿宋" w:cs="Times New Roman"/>
          <w:color w:val="auto"/>
          <w:sz w:val="24"/>
          <w:szCs w:val="24"/>
        </w:rPr>
      </w:pPr>
      <w:r>
        <w:rPr>
          <w:rFonts w:hint="eastAsia" w:ascii="仿宋" w:hAnsi="仿宋" w:eastAsia="仿宋" w:cs="Times New Roman"/>
          <w:color w:val="auto"/>
          <w:sz w:val="24"/>
          <w:szCs w:val="24"/>
        </w:rPr>
        <w:t>名 称：台州市教育技术与信息中心　</w:t>
      </w:r>
    </w:p>
    <w:p>
      <w:pPr>
        <w:spacing w:line="360" w:lineRule="auto"/>
        <w:ind w:left="1079" w:leftChars="371" w:hanging="300" w:hangingChars="125"/>
        <w:jc w:val="left"/>
        <w:rPr>
          <w:rFonts w:ascii="仿宋" w:hAnsi="仿宋" w:eastAsia="仿宋" w:cs="Times New Roman"/>
          <w:color w:val="auto"/>
          <w:sz w:val="24"/>
          <w:szCs w:val="24"/>
        </w:rPr>
      </w:pPr>
      <w:r>
        <w:rPr>
          <w:rFonts w:hint="eastAsia" w:ascii="仿宋" w:hAnsi="仿宋" w:eastAsia="仿宋" w:cs="Times New Roman"/>
          <w:color w:val="auto"/>
          <w:sz w:val="24"/>
          <w:szCs w:val="24"/>
        </w:rPr>
        <w:t>地</w:t>
      </w:r>
      <w:r>
        <w:rPr>
          <w:rFonts w:hint="eastAsia" w:ascii="仿宋" w:hAnsi="仿宋" w:eastAsia="仿宋" w:cs="Times New Roman"/>
          <w:color w:val="auto"/>
          <w:sz w:val="24"/>
          <w:szCs w:val="24"/>
          <w:lang w:val="en-US" w:eastAsia="zh-CN"/>
        </w:rPr>
        <w:t xml:space="preserve"> </w:t>
      </w:r>
      <w:r>
        <w:rPr>
          <w:rFonts w:hint="eastAsia" w:ascii="仿宋" w:hAnsi="仿宋" w:eastAsia="仿宋" w:cs="Times New Roman"/>
          <w:color w:val="auto"/>
          <w:sz w:val="24"/>
          <w:szCs w:val="24"/>
        </w:rPr>
        <w:t>址：台州市椒江区康平路188号</w:t>
      </w:r>
    </w:p>
    <w:p>
      <w:pPr>
        <w:spacing w:line="360" w:lineRule="auto"/>
        <w:ind w:left="1079" w:leftChars="371" w:hanging="300" w:hangingChars="125"/>
        <w:jc w:val="left"/>
        <w:rPr>
          <w:rFonts w:ascii="仿宋" w:hAnsi="仿宋" w:eastAsia="仿宋" w:cs="Times New Roman"/>
          <w:color w:val="auto"/>
          <w:sz w:val="24"/>
          <w:szCs w:val="24"/>
        </w:rPr>
      </w:pPr>
      <w:r>
        <w:rPr>
          <w:rFonts w:hint="eastAsia" w:ascii="仿宋" w:hAnsi="仿宋" w:eastAsia="仿宋" w:cs="Times New Roman"/>
          <w:color w:val="auto"/>
          <w:sz w:val="24"/>
          <w:szCs w:val="24"/>
        </w:rPr>
        <w:t>联系方式：</w:t>
      </w:r>
      <w:ins w:id="7" w:author="睡不醒" w:date="2025-07-17T14:55:36Z">
        <w:r>
          <w:rPr>
            <w:rFonts w:hint="eastAsia" w:ascii="仿宋" w:hAnsi="仿宋" w:eastAsia="仿宋" w:cs="Times New Roman"/>
            <w:color w:val="auto"/>
            <w:sz w:val="24"/>
            <w:szCs w:val="24"/>
            <w:lang w:val="en-US" w:eastAsia="zh-CN"/>
          </w:rPr>
          <w:t>张</w:t>
        </w:r>
      </w:ins>
      <w:ins w:id="8" w:author="睡不醒" w:date="2025-07-17T14:55:40Z">
        <w:r>
          <w:rPr>
            <w:rFonts w:hint="eastAsia" w:ascii="仿宋" w:hAnsi="仿宋" w:eastAsia="仿宋" w:cs="Times New Roman"/>
            <w:color w:val="auto"/>
            <w:sz w:val="24"/>
            <w:szCs w:val="24"/>
            <w:lang w:val="en-US" w:eastAsia="zh-CN"/>
          </w:rPr>
          <w:t>先生</w:t>
        </w:r>
      </w:ins>
      <w:r>
        <w:rPr>
          <w:rFonts w:hint="eastAsia" w:ascii="仿宋" w:hAnsi="仿宋" w:eastAsia="仿宋" w:cs="Times New Roman"/>
          <w:color w:val="auto"/>
          <w:sz w:val="24"/>
          <w:szCs w:val="24"/>
          <w:lang w:val="en-US" w:eastAsia="zh-CN"/>
        </w:rPr>
        <w:t xml:space="preserve"> </w:t>
      </w:r>
      <w:r>
        <w:rPr>
          <w:rFonts w:hint="eastAsia" w:ascii="仿宋" w:hAnsi="仿宋" w:eastAsia="仿宋" w:cs="Times New Roman"/>
          <w:color w:val="auto"/>
          <w:sz w:val="24"/>
          <w:szCs w:val="24"/>
        </w:rPr>
        <w:t xml:space="preserve">   </w:t>
      </w:r>
    </w:p>
    <w:p>
      <w:pPr>
        <w:spacing w:line="360" w:lineRule="auto"/>
        <w:ind w:left="1079" w:leftChars="371" w:hanging="300" w:hangingChars="125"/>
        <w:jc w:val="left"/>
        <w:rPr>
          <w:rFonts w:hint="eastAsia" w:ascii="仿宋" w:hAnsi="仿宋" w:eastAsia="仿宋"/>
          <w:color w:val="auto"/>
          <w:sz w:val="24"/>
          <w:szCs w:val="24"/>
          <w:lang w:eastAsia="zh-CN"/>
        </w:rPr>
      </w:pPr>
      <w:r>
        <w:rPr>
          <w:rFonts w:hint="eastAsia" w:ascii="仿宋" w:hAnsi="仿宋" w:eastAsia="仿宋" w:cs="Times New Roman"/>
          <w:color w:val="auto"/>
          <w:sz w:val="24"/>
          <w:szCs w:val="24"/>
        </w:rPr>
        <w:t>联系电话：</w:t>
      </w:r>
      <w:ins w:id="9" w:author="睡不醒" w:date="2025-07-17T14:56:23Z">
        <w:bookmarkStart w:id="46" w:name="_Toc28359009"/>
        <w:bookmarkStart w:id="47" w:name="_Toc28359086"/>
        <w:r>
          <w:rPr>
            <w:rFonts w:hint="eastAsia" w:ascii="仿宋" w:hAnsi="仿宋" w:eastAsia="仿宋" w:cs="仿宋"/>
            <w:color w:val="000000"/>
            <w:kern w:val="0"/>
            <w:sz w:val="24"/>
          </w:rPr>
          <w:t>0576-88582079</w:t>
        </w:r>
      </w:ins>
      <w:r>
        <w:rPr>
          <w:rFonts w:hint="eastAsia" w:ascii="仿宋" w:hAnsi="仿宋" w:eastAsia="仿宋" w:cs="Times New Roman"/>
          <w:color w:val="auto"/>
          <w:sz w:val="24"/>
          <w:szCs w:val="24"/>
          <w:lang w:val="en-US" w:eastAsia="zh-CN"/>
        </w:rPr>
        <w:t xml:space="preserve"> </w:t>
      </w:r>
    </w:p>
    <w:p>
      <w:pPr>
        <w:spacing w:line="360" w:lineRule="auto"/>
        <w:ind w:left="1079" w:leftChars="371" w:hanging="300" w:hangingChars="125"/>
        <w:jc w:val="left"/>
        <w:rPr>
          <w:rFonts w:ascii="仿宋" w:hAnsi="仿宋" w:eastAsia="仿宋" w:cs="Times New Roman"/>
          <w:color w:val="auto"/>
          <w:sz w:val="24"/>
          <w:szCs w:val="24"/>
        </w:rPr>
      </w:pPr>
      <w:r>
        <w:rPr>
          <w:rFonts w:hint="eastAsia" w:ascii="仿宋" w:hAnsi="仿宋" w:eastAsia="仿宋"/>
          <w:color w:val="auto"/>
          <w:sz w:val="24"/>
          <w:szCs w:val="24"/>
        </w:rPr>
        <w:t>2.采购代理机构信息</w:t>
      </w:r>
      <w:bookmarkEnd w:id="46"/>
      <w:bookmarkEnd w:id="47"/>
    </w:p>
    <w:p>
      <w:pPr>
        <w:spacing w:line="360" w:lineRule="auto"/>
        <w:ind w:firstLine="720" w:firstLineChars="300"/>
        <w:rPr>
          <w:rFonts w:ascii="仿宋" w:hAnsi="仿宋" w:eastAsia="仿宋" w:cs="Times New Roman"/>
          <w:color w:val="auto"/>
          <w:sz w:val="24"/>
          <w:szCs w:val="24"/>
        </w:rPr>
      </w:pPr>
      <w:r>
        <w:rPr>
          <w:rFonts w:hint="eastAsia" w:ascii="仿宋" w:hAnsi="仿宋" w:eastAsia="仿宋" w:cs="Times New Roman"/>
          <w:color w:val="auto"/>
          <w:sz w:val="24"/>
          <w:szCs w:val="24"/>
        </w:rPr>
        <w:t xml:space="preserve">名 </w:t>
      </w:r>
      <w:r>
        <w:rPr>
          <w:rFonts w:hint="eastAsia" w:ascii="仿宋" w:hAnsi="仿宋" w:eastAsia="仿宋" w:cs="Times New Roman"/>
          <w:color w:val="auto"/>
          <w:sz w:val="24"/>
          <w:szCs w:val="24"/>
          <w:lang w:val="en-US" w:eastAsia="zh-CN"/>
        </w:rPr>
        <w:t xml:space="preserve"> </w:t>
      </w:r>
      <w:r>
        <w:rPr>
          <w:rFonts w:hint="eastAsia" w:ascii="仿宋" w:hAnsi="仿宋" w:eastAsia="仿宋" w:cs="Times New Roman"/>
          <w:color w:val="auto"/>
          <w:sz w:val="24"/>
          <w:szCs w:val="24"/>
        </w:rPr>
        <w:t>称：台州锋鼎工程项目管理有限公司　</w:t>
      </w:r>
    </w:p>
    <w:p>
      <w:pPr>
        <w:spacing w:line="360" w:lineRule="auto"/>
        <w:ind w:firstLine="720" w:firstLineChars="300"/>
        <w:rPr>
          <w:rFonts w:ascii="仿宋" w:hAnsi="仿宋" w:eastAsia="仿宋" w:cs="Times New Roman"/>
          <w:color w:val="auto"/>
          <w:sz w:val="24"/>
          <w:szCs w:val="24"/>
        </w:rPr>
      </w:pPr>
      <w:r>
        <w:rPr>
          <w:rFonts w:hint="eastAsia" w:ascii="仿宋" w:hAnsi="仿宋" w:eastAsia="仿宋" w:cs="Times New Roman"/>
          <w:color w:val="auto"/>
          <w:sz w:val="24"/>
          <w:szCs w:val="24"/>
        </w:rPr>
        <w:t>地　址：</w:t>
      </w:r>
      <w:r>
        <w:rPr>
          <w:rFonts w:hint="eastAsia" w:ascii="仿宋" w:hAnsi="仿宋" w:eastAsia="仿宋" w:cs="Times New Roman"/>
          <w:color w:val="auto"/>
          <w:sz w:val="24"/>
          <w:szCs w:val="24"/>
          <w:lang w:eastAsia="zh-CN"/>
        </w:rPr>
        <w:t>浙江省台州市椒江区万达大厦3号2512号</w:t>
      </w:r>
      <w:r>
        <w:rPr>
          <w:rFonts w:hint="eastAsia" w:ascii="仿宋" w:hAnsi="仿宋" w:eastAsia="仿宋" w:cs="Times New Roman"/>
          <w:color w:val="auto"/>
          <w:sz w:val="24"/>
          <w:szCs w:val="24"/>
        </w:rPr>
        <w:t>　</w:t>
      </w:r>
    </w:p>
    <w:p>
      <w:pPr>
        <w:spacing w:line="360" w:lineRule="auto"/>
        <w:ind w:firstLine="720" w:firstLineChars="300"/>
        <w:rPr>
          <w:rFonts w:ascii="仿宋" w:hAnsi="仿宋" w:eastAsia="仿宋"/>
          <w:color w:val="auto"/>
          <w:sz w:val="24"/>
          <w:szCs w:val="24"/>
        </w:rPr>
      </w:pPr>
      <w:bookmarkStart w:id="48" w:name="_Toc28359010"/>
      <w:bookmarkStart w:id="49" w:name="_Toc28359087"/>
      <w:r>
        <w:rPr>
          <w:rFonts w:hint="eastAsia" w:ascii="仿宋" w:hAnsi="仿宋" w:eastAsia="仿宋"/>
          <w:color w:val="auto"/>
          <w:sz w:val="24"/>
          <w:szCs w:val="24"/>
        </w:rPr>
        <w:t>传</w:t>
      </w:r>
      <w:r>
        <w:rPr>
          <w:rFonts w:eastAsia="仿宋" w:cs="Calibri"/>
          <w:color w:val="auto"/>
          <w:sz w:val="24"/>
          <w:szCs w:val="24"/>
        </w:rPr>
        <w:t> </w:t>
      </w:r>
      <w:r>
        <w:rPr>
          <w:rFonts w:hint="eastAsia" w:ascii="仿宋" w:hAnsi="仿宋" w:eastAsia="仿宋"/>
          <w:color w:val="auto"/>
          <w:sz w:val="24"/>
          <w:szCs w:val="24"/>
        </w:rPr>
        <w:t xml:space="preserve"> </w:t>
      </w:r>
      <w:r>
        <w:rPr>
          <w:rFonts w:eastAsia="仿宋" w:cs="Calibri"/>
          <w:color w:val="auto"/>
          <w:sz w:val="24"/>
          <w:szCs w:val="24"/>
        </w:rPr>
        <w:t> </w:t>
      </w:r>
      <w:r>
        <w:rPr>
          <w:rFonts w:hint="eastAsia" w:ascii="仿宋" w:hAnsi="仿宋" w:eastAsia="仿宋"/>
          <w:color w:val="auto"/>
          <w:sz w:val="24"/>
          <w:szCs w:val="24"/>
        </w:rPr>
        <w:t xml:space="preserve"> 真：0576-</w:t>
      </w:r>
      <w:r>
        <w:rPr>
          <w:rFonts w:hint="eastAsia" w:ascii="仿宋" w:hAnsi="仿宋" w:eastAsia="仿宋"/>
          <w:color w:val="auto"/>
          <w:sz w:val="24"/>
          <w:szCs w:val="24"/>
          <w:lang w:val="en-US" w:eastAsia="zh-CN"/>
        </w:rPr>
        <w:t>88133987</w:t>
      </w:r>
      <w:r>
        <w:rPr>
          <w:rFonts w:eastAsia="仿宋" w:cs="Calibri"/>
          <w:color w:val="auto"/>
          <w:sz w:val="24"/>
          <w:szCs w:val="24"/>
        </w:rPr>
        <w:t>  </w:t>
      </w:r>
      <w:r>
        <w:rPr>
          <w:rFonts w:hint="eastAsia" w:ascii="仿宋" w:hAnsi="仿宋" w:eastAsia="仿宋"/>
          <w:color w:val="auto"/>
          <w:sz w:val="24"/>
          <w:szCs w:val="24"/>
        </w:rPr>
        <w:t xml:space="preserve"> 　</w:t>
      </w:r>
    </w:p>
    <w:p>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项目联系人（询问）：蔡女士　</w:t>
      </w:r>
      <w:r>
        <w:rPr>
          <w:rFonts w:eastAsia="仿宋" w:cs="Calibri"/>
          <w:color w:val="auto"/>
          <w:sz w:val="24"/>
          <w:szCs w:val="24"/>
        </w:rPr>
        <w:t>  </w:t>
      </w:r>
      <w:r>
        <w:rPr>
          <w:rFonts w:hint="eastAsia" w:ascii="仿宋" w:hAnsi="仿宋" w:eastAsia="仿宋"/>
          <w:color w:val="auto"/>
          <w:sz w:val="24"/>
          <w:szCs w:val="24"/>
        </w:rPr>
        <w:t xml:space="preserve"> 　　　　　　　　　　　</w:t>
      </w:r>
    </w:p>
    <w:p>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项目联系方式（询问）：</w:t>
      </w:r>
      <w:r>
        <w:rPr>
          <w:rFonts w:eastAsia="仿宋" w:cs="Calibri"/>
          <w:color w:val="auto"/>
          <w:sz w:val="24"/>
          <w:szCs w:val="24"/>
        </w:rPr>
        <w:t> </w:t>
      </w:r>
      <w:r>
        <w:rPr>
          <w:rFonts w:hint="eastAsia" w:ascii="仿宋" w:hAnsi="仿宋" w:eastAsia="仿宋"/>
          <w:color w:val="auto"/>
          <w:sz w:val="24"/>
          <w:szCs w:val="24"/>
        </w:rPr>
        <w:t>15372111333</w:t>
      </w:r>
    </w:p>
    <w:p>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邮箱号码：171001127@qq.com</w:t>
      </w:r>
    </w:p>
    <w:p>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质疑联系人：</w:t>
      </w:r>
      <w:r>
        <w:rPr>
          <w:rFonts w:eastAsia="仿宋" w:cs="Calibri"/>
          <w:color w:val="auto"/>
          <w:sz w:val="24"/>
          <w:szCs w:val="24"/>
        </w:rPr>
        <w:t> </w:t>
      </w:r>
      <w:r>
        <w:rPr>
          <w:rFonts w:hint="eastAsia" w:ascii="仿宋" w:hAnsi="仿宋" w:eastAsia="仿宋"/>
          <w:color w:val="auto"/>
          <w:sz w:val="24"/>
          <w:szCs w:val="24"/>
        </w:rPr>
        <w:t>陶女士</w:t>
      </w:r>
      <w:r>
        <w:rPr>
          <w:rFonts w:eastAsia="仿宋" w:cs="Calibri"/>
          <w:color w:val="auto"/>
          <w:sz w:val="24"/>
          <w:szCs w:val="24"/>
        </w:rPr>
        <w:t> </w:t>
      </w:r>
    </w:p>
    <w:p>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质疑联系方式：</w:t>
      </w:r>
      <w:r>
        <w:rPr>
          <w:rFonts w:eastAsia="仿宋" w:cs="Calibri"/>
          <w:color w:val="auto"/>
          <w:sz w:val="24"/>
          <w:szCs w:val="24"/>
        </w:rPr>
        <w:t>  </w:t>
      </w:r>
      <w:r>
        <w:rPr>
          <w:rFonts w:hint="eastAsia" w:ascii="仿宋" w:hAnsi="仿宋" w:eastAsia="仿宋"/>
          <w:color w:val="auto"/>
          <w:sz w:val="24"/>
          <w:szCs w:val="24"/>
        </w:rPr>
        <w:t>0576-</w:t>
      </w:r>
      <w:r>
        <w:rPr>
          <w:rFonts w:hint="eastAsia" w:ascii="仿宋" w:hAnsi="仿宋" w:eastAsia="仿宋"/>
          <w:color w:val="auto"/>
          <w:sz w:val="24"/>
          <w:szCs w:val="24"/>
          <w:lang w:val="en-US" w:eastAsia="zh-CN"/>
        </w:rPr>
        <w:t>88217987</w:t>
      </w:r>
      <w:r>
        <w:rPr>
          <w:rFonts w:hint="eastAsia" w:ascii="仿宋" w:hAnsi="仿宋" w:eastAsia="仿宋"/>
          <w:color w:val="auto"/>
          <w:sz w:val="24"/>
          <w:szCs w:val="24"/>
        </w:rPr>
        <w:t>　</w:t>
      </w:r>
    </w:p>
    <w:bookmarkEnd w:id="48"/>
    <w:bookmarkEnd w:id="49"/>
    <w:p>
      <w:pPr>
        <w:rPr>
          <w:rFonts w:ascii="仿宋" w:hAnsi="仿宋" w:eastAsia="仿宋"/>
          <w:sz w:val="24"/>
          <w:szCs w:val="24"/>
        </w:rPr>
      </w:pPr>
      <w:r>
        <w:rPr>
          <w:rFonts w:ascii="仿宋" w:hAnsi="仿宋" w:eastAsia="仿宋"/>
          <w:sz w:val="24"/>
          <w:szCs w:val="24"/>
        </w:rPr>
        <w:br w:type="page"/>
      </w:r>
    </w:p>
    <w:p>
      <w:pPr>
        <w:pStyle w:val="8"/>
        <w:rPr>
          <w:sz w:val="32"/>
          <w:szCs w:val="32"/>
        </w:rPr>
      </w:pPr>
    </w:p>
    <w:p>
      <w:pPr>
        <w:keepNext/>
        <w:keepLines/>
        <w:numPr>
          <w:ilvl w:val="0"/>
          <w:numId w:val="2"/>
        </w:numPr>
        <w:snapToGrid w:val="0"/>
        <w:spacing w:line="360" w:lineRule="auto"/>
        <w:ind w:left="432" w:hanging="432"/>
        <w:jc w:val="center"/>
        <w:outlineLvl w:val="0"/>
        <w:rPr>
          <w:rFonts w:ascii="仿宋" w:hAnsi="仿宋" w:eastAsia="仿宋" w:cs="仿宋"/>
          <w:b/>
          <w:bCs/>
          <w:kern w:val="44"/>
          <w:sz w:val="32"/>
          <w:szCs w:val="32"/>
        </w:rPr>
      </w:pPr>
      <w:bookmarkStart w:id="50" w:name="_Toc23368"/>
      <w:r>
        <w:rPr>
          <w:rFonts w:hint="eastAsia" w:ascii="仿宋" w:hAnsi="仿宋" w:eastAsia="仿宋" w:cs="仿宋"/>
          <w:b/>
          <w:bCs/>
          <w:kern w:val="44"/>
          <w:sz w:val="32"/>
          <w:szCs w:val="32"/>
        </w:rPr>
        <w:t>招标需求</w:t>
      </w:r>
      <w:bookmarkEnd w:id="50"/>
    </w:p>
    <w:p>
      <w:pPr>
        <w:keepNext/>
        <w:keepLines/>
        <w:numPr>
          <w:ilvl w:val="1"/>
          <w:numId w:val="0"/>
        </w:numPr>
        <w:tabs>
          <w:tab w:val="left" w:pos="0"/>
        </w:tabs>
        <w:snapToGrid w:val="0"/>
        <w:spacing w:line="360" w:lineRule="auto"/>
        <w:outlineLvl w:val="1"/>
        <w:rPr>
          <w:rFonts w:ascii="仿宋" w:hAnsi="仿宋" w:eastAsia="仿宋" w:cs="仿宋"/>
          <w:b/>
          <w:kern w:val="44"/>
          <w:sz w:val="24"/>
          <w:szCs w:val="24"/>
        </w:rPr>
      </w:pPr>
      <w:r>
        <w:rPr>
          <w:rFonts w:hint="eastAsia" w:ascii="仿宋" w:hAnsi="仿宋" w:eastAsia="仿宋" w:cs="仿宋"/>
          <w:b/>
          <w:kern w:val="44"/>
          <w:sz w:val="24"/>
          <w:szCs w:val="24"/>
        </w:rPr>
        <w:t>一、招标项目内容</w:t>
      </w:r>
    </w:p>
    <w:bookmarkEnd w:id="2"/>
    <w:bookmarkEnd w:id="3"/>
    <w:bookmarkEnd w:id="4"/>
    <w:bookmarkEnd w:id="5"/>
    <w:tbl>
      <w:tblPr>
        <w:tblStyle w:val="27"/>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50"/>
        <w:gridCol w:w="1350"/>
        <w:gridCol w:w="1867"/>
        <w:gridCol w:w="1216"/>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70" w:type="dxa"/>
            <w:vAlign w:val="center"/>
          </w:tcPr>
          <w:p>
            <w:pPr>
              <w:pStyle w:val="11"/>
              <w:spacing w:line="360" w:lineRule="auto"/>
              <w:jc w:val="center"/>
              <w:rPr>
                <w:rFonts w:ascii="仿宋" w:hAnsi="仿宋" w:eastAsia="仿宋" w:cs="仿宋"/>
                <w:b/>
                <w:szCs w:val="24"/>
              </w:rPr>
            </w:pPr>
            <w:r>
              <w:rPr>
                <w:rFonts w:hint="eastAsia" w:ascii="仿宋" w:hAnsi="仿宋" w:eastAsia="仿宋" w:cs="仿宋"/>
                <w:b/>
                <w:szCs w:val="24"/>
              </w:rPr>
              <w:t>标段号</w:t>
            </w:r>
          </w:p>
        </w:tc>
        <w:tc>
          <w:tcPr>
            <w:tcW w:w="1750" w:type="dxa"/>
            <w:vAlign w:val="center"/>
          </w:tcPr>
          <w:p>
            <w:pPr>
              <w:pStyle w:val="11"/>
              <w:spacing w:line="360" w:lineRule="auto"/>
              <w:jc w:val="center"/>
              <w:rPr>
                <w:rFonts w:ascii="仿宋" w:hAnsi="仿宋" w:eastAsia="仿宋" w:cs="仿宋"/>
                <w:b/>
                <w:szCs w:val="24"/>
              </w:rPr>
            </w:pPr>
            <w:r>
              <w:rPr>
                <w:rFonts w:hint="eastAsia" w:ascii="仿宋" w:hAnsi="仿宋" w:eastAsia="仿宋" w:cs="仿宋"/>
                <w:b/>
                <w:szCs w:val="24"/>
              </w:rPr>
              <w:t>项目名称</w:t>
            </w:r>
          </w:p>
        </w:tc>
        <w:tc>
          <w:tcPr>
            <w:tcW w:w="1350" w:type="dxa"/>
            <w:vAlign w:val="center"/>
          </w:tcPr>
          <w:p>
            <w:pPr>
              <w:tabs>
                <w:tab w:val="left" w:pos="8280"/>
              </w:tabs>
              <w:autoSpaceDE w:val="0"/>
              <w:autoSpaceDN w:val="0"/>
              <w:adjustRightInd w:val="0"/>
              <w:spacing w:line="360" w:lineRule="auto"/>
              <w:ind w:right="25"/>
              <w:jc w:val="center"/>
              <w:rPr>
                <w:rFonts w:ascii="仿宋" w:hAnsi="仿宋" w:eastAsia="仿宋" w:cs="仿宋"/>
                <w:b/>
                <w:sz w:val="24"/>
                <w:szCs w:val="24"/>
              </w:rPr>
            </w:pPr>
            <w:r>
              <w:rPr>
                <w:rFonts w:hint="eastAsia" w:ascii="仿宋" w:hAnsi="仿宋" w:eastAsia="仿宋" w:cs="仿宋"/>
                <w:b/>
                <w:kern w:val="0"/>
                <w:sz w:val="24"/>
                <w:szCs w:val="24"/>
              </w:rPr>
              <w:t>简要技术要求</w:t>
            </w:r>
          </w:p>
        </w:tc>
        <w:tc>
          <w:tcPr>
            <w:tcW w:w="1867" w:type="dxa"/>
            <w:vAlign w:val="center"/>
          </w:tcPr>
          <w:p>
            <w:pPr>
              <w:pStyle w:val="11"/>
              <w:spacing w:line="360" w:lineRule="auto"/>
              <w:jc w:val="center"/>
              <w:rPr>
                <w:rFonts w:ascii="仿宋" w:hAnsi="仿宋" w:eastAsia="仿宋" w:cs="仿宋"/>
                <w:b/>
                <w:bCs/>
                <w:szCs w:val="24"/>
              </w:rPr>
            </w:pPr>
            <w:r>
              <w:rPr>
                <w:rFonts w:hint="eastAsia" w:ascii="仿宋" w:hAnsi="仿宋" w:eastAsia="仿宋" w:cs="仿宋"/>
                <w:b/>
                <w:bCs/>
                <w:szCs w:val="24"/>
              </w:rPr>
              <w:t>投保时间</w:t>
            </w:r>
          </w:p>
        </w:tc>
        <w:tc>
          <w:tcPr>
            <w:tcW w:w="1216" w:type="dxa"/>
            <w:vAlign w:val="center"/>
          </w:tcPr>
          <w:p>
            <w:pPr>
              <w:pStyle w:val="11"/>
              <w:spacing w:line="360" w:lineRule="auto"/>
              <w:jc w:val="center"/>
              <w:rPr>
                <w:rFonts w:hint="eastAsia" w:ascii="仿宋" w:hAnsi="仿宋" w:eastAsia="仿宋" w:cs="仿宋"/>
                <w:b/>
                <w:bCs/>
                <w:szCs w:val="24"/>
                <w:lang w:eastAsia="zh-CN"/>
              </w:rPr>
            </w:pPr>
            <w:r>
              <w:rPr>
                <w:rFonts w:hint="eastAsia" w:ascii="仿宋" w:hAnsi="仿宋" w:eastAsia="仿宋" w:cs="仿宋"/>
                <w:b/>
                <w:bCs/>
                <w:szCs w:val="24"/>
              </w:rPr>
              <w:t>预算</w:t>
            </w:r>
            <w:r>
              <w:rPr>
                <w:rFonts w:hint="eastAsia" w:ascii="仿宋" w:hAnsi="仿宋" w:eastAsia="仿宋" w:cs="仿宋"/>
                <w:b/>
                <w:bCs/>
                <w:szCs w:val="24"/>
                <w:lang w:eastAsia="zh-CN"/>
              </w:rPr>
              <w:t>金额</w:t>
            </w:r>
          </w:p>
          <w:p>
            <w:pPr>
              <w:pStyle w:val="11"/>
              <w:spacing w:line="360" w:lineRule="auto"/>
              <w:jc w:val="center"/>
              <w:rPr>
                <w:rFonts w:ascii="仿宋" w:hAnsi="仿宋" w:eastAsia="仿宋" w:cs="仿宋"/>
                <w:b/>
                <w:bCs/>
                <w:szCs w:val="24"/>
              </w:rPr>
            </w:pPr>
            <w:r>
              <w:rPr>
                <w:rFonts w:hint="eastAsia" w:ascii="仿宋" w:hAnsi="仿宋" w:eastAsia="仿宋" w:cs="仿宋"/>
                <w:b/>
                <w:bCs/>
                <w:szCs w:val="24"/>
              </w:rPr>
              <w:t>（万元）</w:t>
            </w:r>
          </w:p>
        </w:tc>
        <w:tc>
          <w:tcPr>
            <w:tcW w:w="2304" w:type="dxa"/>
            <w:vAlign w:val="center"/>
          </w:tcPr>
          <w:p>
            <w:pPr>
              <w:pStyle w:val="11"/>
              <w:spacing w:line="360" w:lineRule="auto"/>
              <w:jc w:val="center"/>
              <w:rPr>
                <w:rFonts w:ascii="仿宋" w:hAnsi="仿宋" w:eastAsia="仿宋" w:cs="仿宋"/>
                <w:b/>
                <w:bCs/>
                <w:szCs w:val="24"/>
              </w:rPr>
            </w:pPr>
            <w:r>
              <w:rPr>
                <w:rFonts w:hint="eastAsia" w:ascii="仿宋" w:hAnsi="仿宋" w:eastAsia="仿宋" w:cs="仿宋"/>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70" w:type="dxa"/>
            <w:vAlign w:val="center"/>
          </w:tcPr>
          <w:p>
            <w:pPr>
              <w:pStyle w:val="11"/>
              <w:spacing w:line="360" w:lineRule="auto"/>
              <w:jc w:val="center"/>
              <w:rPr>
                <w:rFonts w:ascii="仿宋" w:hAnsi="仿宋" w:eastAsia="仿宋" w:cs="仿宋"/>
                <w:bCs/>
                <w:szCs w:val="24"/>
              </w:rPr>
            </w:pPr>
            <w:r>
              <w:rPr>
                <w:rFonts w:hint="eastAsia" w:ascii="仿宋" w:hAnsi="仿宋" w:eastAsia="仿宋" w:cs="仿宋"/>
                <w:bCs/>
                <w:szCs w:val="24"/>
              </w:rPr>
              <w:t>一</w:t>
            </w:r>
          </w:p>
        </w:tc>
        <w:tc>
          <w:tcPr>
            <w:tcW w:w="1750" w:type="dxa"/>
            <w:vAlign w:val="center"/>
          </w:tcPr>
          <w:p>
            <w:pPr>
              <w:pStyle w:val="11"/>
              <w:spacing w:line="360" w:lineRule="auto"/>
              <w:jc w:val="center"/>
              <w:rPr>
                <w:rFonts w:ascii="仿宋" w:hAnsi="仿宋" w:eastAsia="仿宋" w:cs="仿宋"/>
                <w:bCs/>
                <w:szCs w:val="24"/>
              </w:rPr>
            </w:pPr>
            <w:r>
              <w:rPr>
                <w:rFonts w:hint="eastAsia" w:ascii="仿宋" w:hAnsi="仿宋" w:eastAsia="仿宋" w:cs="仿宋"/>
                <w:bCs/>
                <w:szCs w:val="24"/>
                <w:lang w:eastAsia="zh-CN"/>
              </w:rPr>
              <w:t>2025-2026学年市直属学校校方责任保险项目</w:t>
            </w:r>
          </w:p>
        </w:tc>
        <w:tc>
          <w:tcPr>
            <w:tcW w:w="1350" w:type="dxa"/>
            <w:vAlign w:val="center"/>
          </w:tcPr>
          <w:p>
            <w:pPr>
              <w:tabs>
                <w:tab w:val="left" w:pos="8280"/>
              </w:tabs>
              <w:autoSpaceDE w:val="0"/>
              <w:autoSpaceDN w:val="0"/>
              <w:adjustRightInd w:val="0"/>
              <w:ind w:right="25"/>
              <w:jc w:val="center"/>
              <w:rPr>
                <w:rFonts w:ascii="仿宋" w:hAnsi="仿宋" w:eastAsia="仿宋" w:cs="仿宋"/>
                <w:sz w:val="24"/>
                <w:szCs w:val="24"/>
              </w:rPr>
            </w:pPr>
            <w:r>
              <w:rPr>
                <w:rFonts w:hint="eastAsia" w:ascii="仿宋" w:hAnsi="仿宋" w:eastAsia="仿宋" w:cs="仿宋"/>
                <w:sz w:val="24"/>
                <w:szCs w:val="24"/>
              </w:rPr>
              <w:t>详见项目需求</w:t>
            </w:r>
          </w:p>
        </w:tc>
        <w:tc>
          <w:tcPr>
            <w:tcW w:w="1867" w:type="dxa"/>
            <w:vAlign w:val="center"/>
          </w:tcPr>
          <w:p>
            <w:pPr>
              <w:pStyle w:val="11"/>
              <w:spacing w:line="360" w:lineRule="auto"/>
              <w:jc w:val="center"/>
              <w:rPr>
                <w:rFonts w:hint="eastAsia" w:ascii="仿宋" w:hAnsi="仿宋" w:eastAsia="仿宋" w:cs="仿宋"/>
                <w:szCs w:val="24"/>
                <w:lang w:val="en-US" w:eastAsia="zh-CN"/>
              </w:rPr>
            </w:pPr>
            <w:r>
              <w:rPr>
                <w:rFonts w:hint="eastAsia" w:ascii="仿宋" w:hAnsi="仿宋" w:eastAsia="仿宋" w:cs="仿宋"/>
                <w:szCs w:val="24"/>
                <w:lang w:val="en-US" w:eastAsia="zh-CN"/>
              </w:rPr>
              <w:t>2学年</w:t>
            </w:r>
          </w:p>
          <w:p>
            <w:pPr>
              <w:pStyle w:val="11"/>
              <w:spacing w:line="360" w:lineRule="auto"/>
              <w:jc w:val="center"/>
              <w:rPr>
                <w:rFonts w:hint="default" w:ascii="仿宋" w:hAnsi="仿宋" w:eastAsia="仿宋" w:cs="仿宋"/>
                <w:bCs/>
                <w:szCs w:val="24"/>
                <w:lang w:val="en-US"/>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2025年</w:t>
            </w:r>
            <w:r>
              <w:rPr>
                <w:rFonts w:hint="eastAsia" w:ascii="仿宋" w:hAnsi="仿宋" w:eastAsia="仿宋" w:cs="仿宋"/>
                <w:color w:val="auto"/>
                <w:szCs w:val="21"/>
              </w:rPr>
              <w:t>8月15日-</w:t>
            </w:r>
            <w:r>
              <w:rPr>
                <w:rFonts w:hint="eastAsia" w:ascii="仿宋" w:hAnsi="仿宋" w:eastAsia="仿宋" w:cs="仿宋"/>
                <w:color w:val="auto"/>
                <w:szCs w:val="21"/>
                <w:lang w:val="en-US" w:eastAsia="zh-CN"/>
              </w:rPr>
              <w:t>2027</w:t>
            </w:r>
            <w:r>
              <w:rPr>
                <w:rFonts w:hint="eastAsia" w:ascii="仿宋" w:hAnsi="仿宋" w:eastAsia="仿宋" w:cs="仿宋"/>
                <w:color w:val="auto"/>
                <w:szCs w:val="21"/>
                <w:lang w:eastAsia="zh-CN"/>
              </w:rPr>
              <w:t>年</w:t>
            </w:r>
            <w:r>
              <w:rPr>
                <w:rFonts w:hint="eastAsia" w:ascii="仿宋" w:hAnsi="仿宋" w:eastAsia="仿宋" w:cs="仿宋"/>
                <w:color w:val="auto"/>
                <w:szCs w:val="21"/>
              </w:rPr>
              <w:t>8月14日</w:t>
            </w:r>
            <w:r>
              <w:rPr>
                <w:rFonts w:hint="eastAsia" w:ascii="仿宋" w:hAnsi="仿宋" w:eastAsia="仿宋" w:cs="仿宋"/>
                <w:color w:val="auto"/>
                <w:szCs w:val="21"/>
                <w:lang w:eastAsia="zh-CN"/>
              </w:rPr>
              <w:t>止</w:t>
            </w:r>
            <w:r>
              <w:rPr>
                <w:rFonts w:hint="eastAsia" w:ascii="仿宋" w:hAnsi="仿宋" w:eastAsia="仿宋" w:cs="仿宋"/>
                <w:color w:val="auto"/>
                <w:szCs w:val="21"/>
              </w:rPr>
              <w:t>）</w:t>
            </w:r>
          </w:p>
        </w:tc>
        <w:tc>
          <w:tcPr>
            <w:tcW w:w="1216" w:type="dxa"/>
            <w:vAlign w:val="center"/>
          </w:tcPr>
          <w:p>
            <w:pPr>
              <w:widowControl/>
              <w:jc w:val="center"/>
              <w:rPr>
                <w:rFonts w:hint="default" w:ascii="宋体" w:hAnsi="宋体" w:eastAsia="宋体"/>
                <w:kern w:val="0"/>
                <w:sz w:val="24"/>
                <w:szCs w:val="24"/>
                <w:lang w:val="en-US" w:eastAsia="zh-CN"/>
              </w:rPr>
            </w:pPr>
            <w:r>
              <w:t xml:space="preserve"> </w:t>
            </w:r>
            <w:r>
              <w:rPr>
                <w:rFonts w:hint="eastAsia"/>
                <w:lang w:val="en-US" w:eastAsia="zh-CN"/>
              </w:rPr>
              <w:t>105</w:t>
            </w:r>
          </w:p>
          <w:p>
            <w:pPr>
              <w:pStyle w:val="11"/>
              <w:spacing w:line="360" w:lineRule="auto"/>
              <w:jc w:val="center"/>
              <w:rPr>
                <w:rFonts w:ascii="仿宋" w:hAnsi="仿宋" w:eastAsia="仿宋" w:cs="仿宋"/>
                <w:bCs/>
                <w:szCs w:val="24"/>
              </w:rPr>
            </w:pPr>
          </w:p>
        </w:tc>
        <w:tc>
          <w:tcPr>
            <w:tcW w:w="2304" w:type="dxa"/>
            <w:vAlign w:val="center"/>
          </w:tcPr>
          <w:p>
            <w:pPr>
              <w:spacing w:line="360" w:lineRule="auto"/>
              <w:rPr>
                <w:rFonts w:ascii="仿宋" w:hAnsi="仿宋" w:eastAsia="仿宋" w:cs="仿宋"/>
                <w:bCs/>
                <w:szCs w:val="24"/>
              </w:rPr>
            </w:pPr>
            <w:r>
              <w:rPr>
                <w:rFonts w:hint="eastAsia" w:ascii="仿宋" w:hAnsi="仿宋" w:eastAsia="仿宋" w:cs="仿宋"/>
                <w:color w:val="FF0000"/>
                <w:sz w:val="24"/>
                <w:szCs w:val="24"/>
                <w:highlight w:val="yellow"/>
              </w:rPr>
              <w:t>保费每学年开学后缴纳，由台州市教育局统一支付到中标的保险公司保费专用账户。</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textAlignment w:val="auto"/>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color w:val="C00000"/>
          <w:sz w:val="24"/>
          <w:szCs w:val="24"/>
          <w:highlight w:val="none"/>
        </w:rPr>
        <w:t>1</w:t>
      </w:r>
      <w:r>
        <w:rPr>
          <w:rFonts w:hint="eastAsia" w:ascii="仿宋" w:hAnsi="仿宋" w:eastAsia="仿宋" w:cs="仿宋"/>
          <w:color w:val="C00000"/>
          <w:sz w:val="24"/>
          <w:szCs w:val="24"/>
          <w:highlight w:val="none"/>
          <w:lang w:eastAsia="zh-CN"/>
        </w:rPr>
        <w:t>、</w:t>
      </w:r>
      <w:r>
        <w:rPr>
          <w:rFonts w:hint="eastAsia" w:ascii="仿宋" w:hAnsi="仿宋" w:eastAsia="仿宋" w:cs="仿宋"/>
          <w:sz w:val="24"/>
          <w:szCs w:val="24"/>
        </w:rPr>
        <w:t>学校校方责任险（在校生每生投保10元</w:t>
      </w:r>
      <w:r>
        <w:rPr>
          <w:rFonts w:hint="eastAsia" w:ascii="仿宋" w:hAnsi="仿宋" w:eastAsia="仿宋" w:cs="仿宋"/>
          <w:sz w:val="24"/>
          <w:szCs w:val="24"/>
          <w:lang w:val="en-US" w:eastAsia="zh-CN"/>
        </w:rPr>
        <w:t>/人/年</w:t>
      </w:r>
      <w:r>
        <w:rPr>
          <w:rFonts w:hint="eastAsia" w:ascii="仿宋" w:hAnsi="仿宋" w:eastAsia="仿宋" w:cs="仿宋"/>
          <w:sz w:val="24"/>
          <w:szCs w:val="24"/>
        </w:rPr>
        <w:t>，公办学校正式在编教师每人投保 50 元</w:t>
      </w:r>
      <w:r>
        <w:rPr>
          <w:rFonts w:hint="eastAsia" w:ascii="仿宋" w:hAnsi="仿宋" w:eastAsia="仿宋" w:cs="仿宋"/>
          <w:sz w:val="24"/>
          <w:szCs w:val="24"/>
          <w:lang w:val="en-US" w:eastAsia="zh-CN"/>
        </w:rPr>
        <w:t>/人/年</w:t>
      </w:r>
      <w:r>
        <w:rPr>
          <w:rFonts w:hint="eastAsia" w:ascii="仿宋" w:hAnsi="仿宋" w:eastAsia="仿宋" w:cs="仿宋"/>
          <w:sz w:val="24"/>
          <w:szCs w:val="24"/>
        </w:rPr>
        <w:t>）；</w:t>
      </w:r>
    </w:p>
    <w:p>
      <w:pPr>
        <w:widowControl/>
        <w:spacing w:line="360" w:lineRule="auto"/>
        <w:ind w:left="0" w:leftChars="0" w:firstLine="638" w:firstLineChars="266"/>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、学校清单如下</w:t>
      </w:r>
      <w:r>
        <w:rPr>
          <w:rFonts w:hint="eastAsia" w:ascii="仿宋" w:hAnsi="仿宋" w:eastAsia="仿宋" w:cs="仿宋"/>
          <w:b/>
          <w:bCs/>
          <w:sz w:val="24"/>
          <w:szCs w:val="24"/>
        </w:rPr>
        <w:t>（以实际投保人数和金额为准）</w:t>
      </w:r>
    </w:p>
    <w:tbl>
      <w:tblPr>
        <w:tblStyle w:val="26"/>
        <w:tblW w:w="8078" w:type="dxa"/>
        <w:jc w:val="center"/>
        <w:tblLayout w:type="fixed"/>
        <w:tblCellMar>
          <w:top w:w="0" w:type="dxa"/>
          <w:left w:w="108" w:type="dxa"/>
          <w:bottom w:w="0" w:type="dxa"/>
          <w:right w:w="108" w:type="dxa"/>
        </w:tblCellMar>
      </w:tblPr>
      <w:tblGrid>
        <w:gridCol w:w="1043"/>
        <w:gridCol w:w="3607"/>
        <w:gridCol w:w="1118"/>
        <w:gridCol w:w="1043"/>
        <w:gridCol w:w="1267"/>
      </w:tblGrid>
      <w:tr>
        <w:tblPrEx>
          <w:tblCellMar>
            <w:top w:w="0" w:type="dxa"/>
            <w:left w:w="108" w:type="dxa"/>
            <w:bottom w:w="0" w:type="dxa"/>
            <w:right w:w="108" w:type="dxa"/>
          </w:tblCellMar>
        </w:tblPrEx>
        <w:trPr>
          <w:trHeight w:val="574"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学校名称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办学类型</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学生数</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教职工数</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台州市路桥中学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470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225</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台州市金清中学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1658</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149</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台州市新桥中学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nil"/>
              <w:left w:val="nil"/>
              <w:bottom w:val="nil"/>
              <w:right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1304</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144</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台州市特殊教育学校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103</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31</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台州市启超中学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1100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台州市路桥区蓬街私立中学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1818</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台州市路桥明珠外国语学校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390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台州市黄岩第二高级中学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1933</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183</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台州市黄岩中学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351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214</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台州市灵石中学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853</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87</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台州市宁溪中学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738</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80</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台州市院桥中学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1212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124</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台州市九峰高级中学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1209</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台州市昌文高级中学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298</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317"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路桥区东方理想学校（高中部）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750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6</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台州市第一中学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173</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315</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17</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台州市三梅中学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1263</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149</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18</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台州市洪家中学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1918</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182</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19</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北京师范大学台州附属高级中学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w:t>
            </w:r>
            <w:r>
              <w:rPr>
                <w:rFonts w:ascii="仿宋" w:hAnsi="仿宋" w:eastAsia="仿宋" w:cs="仿宋"/>
                <w:kern w:val="0"/>
                <w:sz w:val="24"/>
                <w:szCs w:val="24"/>
              </w:rPr>
              <w:t>77</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177</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20</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台州市实验中学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1478</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21</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台州市外国语学校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1332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22</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台州市书生中学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1500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23</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台州市双语高级中学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576</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24</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台州市育英中学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332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25</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台州市振华高级中学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民办</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632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26</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27</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镇海中学台州分校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ins w:id="10" w:author="睡不醒" w:date="2025-07-17T14:15:22Z">
              <w:r>
                <w:rPr>
                  <w:rFonts w:hint="eastAsia" w:ascii="仿宋" w:hAnsi="仿宋" w:eastAsia="仿宋" w:cs="仿宋"/>
                  <w:kern w:val="0"/>
                  <w:sz w:val="24"/>
                  <w:szCs w:val="24"/>
                  <w:lang w:eastAsia="zh-CN"/>
                </w:rPr>
                <w:t>公</w:t>
              </w:r>
            </w:ins>
            <w:r>
              <w:rPr>
                <w:rFonts w:hint="eastAsia" w:ascii="仿宋" w:hAnsi="仿宋" w:eastAsia="仿宋" w:cs="仿宋"/>
                <w:kern w:val="0"/>
                <w:sz w:val="24"/>
                <w:szCs w:val="24"/>
              </w:rPr>
              <w:t>办</w:t>
            </w: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970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28</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28</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台州市中心幼儿园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544</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31</w:t>
            </w:r>
          </w:p>
        </w:tc>
      </w:tr>
      <w:tr>
        <w:tblPrEx>
          <w:tblCellMar>
            <w:top w:w="0" w:type="dxa"/>
            <w:left w:w="108" w:type="dxa"/>
            <w:bottom w:w="0" w:type="dxa"/>
            <w:right w:w="108" w:type="dxa"/>
          </w:tblCellMar>
        </w:tblPrEx>
        <w:trPr>
          <w:trHeight w:val="292"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29</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台州市枫南幼儿园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公办</w:t>
            </w: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330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22</w:t>
            </w:r>
          </w:p>
        </w:tc>
      </w:tr>
      <w:tr>
        <w:tblPrEx>
          <w:tblCellMar>
            <w:top w:w="0" w:type="dxa"/>
            <w:left w:w="108" w:type="dxa"/>
            <w:bottom w:w="0" w:type="dxa"/>
            <w:right w:w="108" w:type="dxa"/>
          </w:tblCellMar>
        </w:tblPrEx>
        <w:trPr>
          <w:trHeight w:val="689" w:hRule="atLeast"/>
          <w:jc w:val="center"/>
        </w:trPr>
        <w:tc>
          <w:tcPr>
            <w:tcW w:w="57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xml:space="preserve">合 </w:t>
            </w:r>
            <w:r>
              <w:rPr>
                <w:rFonts w:ascii="仿宋" w:hAnsi="仿宋" w:eastAsia="仿宋" w:cs="仿宋"/>
                <w:kern w:val="0"/>
                <w:sz w:val="24"/>
                <w:szCs w:val="24"/>
              </w:rPr>
              <w:t xml:space="preserve"> </w:t>
            </w:r>
            <w:r>
              <w:rPr>
                <w:rFonts w:hint="eastAsia" w:ascii="仿宋" w:hAnsi="仿宋" w:eastAsia="仿宋" w:cs="仿宋"/>
                <w:kern w:val="0"/>
                <w:sz w:val="24"/>
                <w:szCs w:val="24"/>
              </w:rPr>
              <w:t xml:space="preserve">计 </w:t>
            </w:r>
            <w:r>
              <w:rPr>
                <w:rFonts w:ascii="仿宋" w:hAnsi="仿宋" w:eastAsia="仿宋" w:cs="仿宋"/>
                <w:kern w:val="0"/>
                <w:sz w:val="24"/>
                <w:szCs w:val="24"/>
              </w:rPr>
              <w:t xml:space="preserve"> </w:t>
            </w:r>
            <w:r>
              <w:rPr>
                <w:rFonts w:hint="eastAsia" w:ascii="仿宋" w:hAnsi="仿宋" w:eastAsia="仿宋" w:cs="仿宋"/>
                <w:kern w:val="0"/>
                <w:sz w:val="24"/>
                <w:szCs w:val="24"/>
              </w:rPr>
              <w:t>数</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33982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2241</w:t>
            </w:r>
          </w:p>
        </w:tc>
      </w:tr>
    </w:tbl>
    <w:p>
      <w:pPr>
        <w:snapToGrid w:val="0"/>
        <w:spacing w:line="360" w:lineRule="auto"/>
        <w:ind w:firstLine="482" w:firstLineChars="200"/>
        <w:rPr>
          <w:rFonts w:ascii="仿宋" w:hAnsi="仿宋" w:eastAsia="仿宋" w:cs="仿宋"/>
          <w:b/>
          <w:bCs/>
          <w:sz w:val="24"/>
          <w:szCs w:val="24"/>
          <w:u w:val="single"/>
        </w:rPr>
      </w:pPr>
      <w:r>
        <w:rPr>
          <w:rFonts w:hint="eastAsia" w:ascii="仿宋" w:hAnsi="仿宋" w:eastAsia="仿宋" w:cs="仿宋"/>
          <w:b/>
          <w:bCs/>
          <w:sz w:val="24"/>
          <w:szCs w:val="24"/>
          <w:u w:val="single"/>
        </w:rPr>
        <w:t>注：具体按实际人数结算。</w:t>
      </w:r>
    </w:p>
    <w:p>
      <w:pPr>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u w:val="single"/>
        </w:rPr>
        <w:t>1、市直属学校校方责任险。学生保费：10元/人/年（主险：8元/人/年；附加无过失责任险 2 元/人/年)。投保时间</w:t>
      </w:r>
      <w:r>
        <w:rPr>
          <w:rFonts w:hint="eastAsia" w:ascii="仿宋" w:hAnsi="仿宋" w:eastAsia="仿宋" w:cs="仿宋"/>
          <w:sz w:val="24"/>
          <w:szCs w:val="24"/>
          <w:u w:val="single"/>
          <w:lang w:val="en-US" w:eastAsia="zh-CN"/>
        </w:rPr>
        <w:t>二</w:t>
      </w:r>
      <w:r>
        <w:rPr>
          <w:rFonts w:hint="eastAsia" w:ascii="仿宋" w:hAnsi="仿宋" w:eastAsia="仿宋" w:cs="仿宋"/>
          <w:sz w:val="24"/>
          <w:szCs w:val="24"/>
          <w:u w:val="single"/>
        </w:rPr>
        <w:t xml:space="preserve">学年（ </w:t>
      </w:r>
      <w:r>
        <w:rPr>
          <w:rFonts w:hint="eastAsia" w:ascii="仿宋" w:hAnsi="仿宋" w:eastAsia="仿宋" w:cs="仿宋"/>
          <w:sz w:val="24"/>
          <w:szCs w:val="24"/>
          <w:u w:val="single"/>
          <w:lang w:val="en-US" w:eastAsia="zh-CN"/>
        </w:rPr>
        <w:t>2025年</w:t>
      </w:r>
      <w:r>
        <w:rPr>
          <w:rFonts w:hint="eastAsia" w:ascii="仿宋" w:hAnsi="仿宋" w:eastAsia="仿宋" w:cs="仿宋"/>
          <w:sz w:val="24"/>
          <w:szCs w:val="24"/>
          <w:u w:val="single"/>
        </w:rPr>
        <w:t>8月15日-</w:t>
      </w:r>
      <w:r>
        <w:rPr>
          <w:rFonts w:hint="eastAsia" w:ascii="仿宋" w:hAnsi="仿宋" w:eastAsia="仿宋" w:cs="仿宋"/>
          <w:sz w:val="24"/>
          <w:szCs w:val="24"/>
          <w:u w:val="single"/>
          <w:lang w:val="en-US" w:eastAsia="zh-CN"/>
        </w:rPr>
        <w:t>2027年</w:t>
      </w:r>
      <w:r>
        <w:rPr>
          <w:rFonts w:hint="eastAsia" w:ascii="仿宋" w:hAnsi="仿宋" w:eastAsia="仿宋" w:cs="仿宋"/>
          <w:sz w:val="24"/>
          <w:szCs w:val="24"/>
          <w:u w:val="single"/>
        </w:rPr>
        <w:t>8月14日</w:t>
      </w:r>
      <w:r>
        <w:rPr>
          <w:rFonts w:hint="eastAsia" w:ascii="仿宋" w:hAnsi="仿宋" w:eastAsia="仿宋" w:cs="仿宋"/>
          <w:sz w:val="24"/>
          <w:szCs w:val="24"/>
          <w:u w:val="single"/>
          <w:lang w:eastAsia="zh-CN"/>
        </w:rPr>
        <w:t>止</w:t>
      </w:r>
      <w:r>
        <w:rPr>
          <w:rFonts w:hint="eastAsia" w:ascii="仿宋" w:hAnsi="仿宋" w:eastAsia="仿宋" w:cs="仿宋"/>
          <w:sz w:val="24"/>
          <w:szCs w:val="24"/>
          <w:u w:val="single"/>
        </w:rPr>
        <w:t>），以实际投保人数为准。</w:t>
      </w:r>
    </w:p>
    <w:p>
      <w:pPr>
        <w:spacing w:line="360" w:lineRule="auto"/>
        <w:ind w:left="260" w:right="100" w:firstLine="420"/>
        <w:rPr>
          <w:rFonts w:ascii="仿宋" w:hAnsi="仿宋" w:eastAsia="仿宋" w:cs="仿宋"/>
          <w:sz w:val="24"/>
          <w:szCs w:val="24"/>
          <w:u w:val="single"/>
        </w:rPr>
      </w:pPr>
      <w:r>
        <w:rPr>
          <w:rFonts w:hint="eastAsia" w:ascii="仿宋" w:hAnsi="仿宋" w:eastAsia="仿宋" w:cs="仿宋"/>
          <w:sz w:val="24"/>
          <w:szCs w:val="24"/>
          <w:u w:val="single"/>
        </w:rPr>
        <w:t>2、公办学校正式在编教师校方责任险。每个学校每次事故赔偿限额 1000 万元，每校累计赔偿限额 2000 万元。每人赔偿限额 50 万元，其中每人医疗费用责任限额 4 万元（赔付比例不低于90%）、额外费用责任限额 2 万元。每人保险费 50 元</w:t>
      </w:r>
      <w:r>
        <w:rPr>
          <w:rFonts w:hint="eastAsia" w:ascii="仿宋" w:hAnsi="仿宋" w:eastAsia="仿宋" w:cs="仿宋"/>
          <w:sz w:val="24"/>
          <w:szCs w:val="24"/>
          <w:u w:val="single"/>
          <w:lang w:val="en-US" w:eastAsia="zh-CN"/>
        </w:rPr>
        <w:t>/年</w:t>
      </w:r>
      <w:r>
        <w:rPr>
          <w:rFonts w:hint="eastAsia" w:ascii="仿宋" w:hAnsi="仿宋" w:eastAsia="仿宋" w:cs="仿宋"/>
          <w:sz w:val="24"/>
          <w:szCs w:val="24"/>
          <w:u w:val="single"/>
        </w:rPr>
        <w:t>，投保时间</w:t>
      </w:r>
      <w:r>
        <w:rPr>
          <w:rFonts w:hint="eastAsia" w:ascii="仿宋" w:hAnsi="仿宋" w:eastAsia="仿宋" w:cs="仿宋"/>
          <w:sz w:val="24"/>
          <w:szCs w:val="24"/>
          <w:u w:val="single"/>
          <w:lang w:val="en-US" w:eastAsia="zh-CN"/>
        </w:rPr>
        <w:t>二</w:t>
      </w:r>
      <w:r>
        <w:rPr>
          <w:rFonts w:hint="eastAsia" w:ascii="仿宋" w:hAnsi="仿宋" w:eastAsia="仿宋" w:cs="仿宋"/>
          <w:sz w:val="24"/>
          <w:szCs w:val="24"/>
          <w:u w:val="single"/>
        </w:rPr>
        <w:t>学年（</w:t>
      </w:r>
      <w:r>
        <w:rPr>
          <w:rFonts w:hint="eastAsia" w:ascii="仿宋" w:hAnsi="仿宋" w:eastAsia="仿宋" w:cs="仿宋"/>
          <w:sz w:val="24"/>
          <w:szCs w:val="24"/>
          <w:u w:val="single"/>
          <w:lang w:val="en-US" w:eastAsia="zh-CN"/>
        </w:rPr>
        <w:t>2025年</w:t>
      </w:r>
      <w:r>
        <w:rPr>
          <w:rFonts w:hint="eastAsia" w:ascii="仿宋" w:hAnsi="仿宋" w:eastAsia="仿宋" w:cs="仿宋"/>
          <w:sz w:val="24"/>
          <w:szCs w:val="24"/>
          <w:u w:val="single"/>
        </w:rPr>
        <w:t>8月15日-</w:t>
      </w:r>
      <w:r>
        <w:rPr>
          <w:rFonts w:hint="eastAsia" w:ascii="仿宋" w:hAnsi="仿宋" w:eastAsia="仿宋" w:cs="仿宋"/>
          <w:sz w:val="24"/>
          <w:szCs w:val="24"/>
          <w:u w:val="single"/>
          <w:lang w:val="en-US" w:eastAsia="zh-CN"/>
        </w:rPr>
        <w:t>2027年</w:t>
      </w:r>
      <w:r>
        <w:rPr>
          <w:rFonts w:hint="eastAsia" w:ascii="仿宋" w:hAnsi="仿宋" w:eastAsia="仿宋" w:cs="仿宋"/>
          <w:sz w:val="24"/>
          <w:szCs w:val="24"/>
          <w:u w:val="single"/>
        </w:rPr>
        <w:t>8月14日</w:t>
      </w:r>
      <w:r>
        <w:rPr>
          <w:rFonts w:hint="eastAsia" w:ascii="仿宋" w:hAnsi="仿宋" w:eastAsia="仿宋" w:cs="仿宋"/>
          <w:sz w:val="24"/>
          <w:szCs w:val="24"/>
          <w:u w:val="single"/>
          <w:lang w:eastAsia="zh-CN"/>
        </w:rPr>
        <w:t>止</w:t>
      </w:r>
      <w:r>
        <w:rPr>
          <w:rFonts w:hint="eastAsia" w:ascii="仿宋" w:hAnsi="仿宋" w:eastAsia="仿宋" w:cs="仿宋"/>
          <w:sz w:val="24"/>
          <w:szCs w:val="24"/>
          <w:u w:val="single"/>
        </w:rPr>
        <w:t>），以实际投保人数为准。</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3、</w:t>
      </w:r>
      <w:ins w:id="11" w:author="睡不醒" w:date="2025-07-17T14:22:50Z">
        <w:r>
          <w:rPr>
            <w:rFonts w:hint="eastAsia" w:ascii="仿宋" w:hAnsi="仿宋" w:eastAsia="仿宋" w:cs="仿宋"/>
            <w:bCs/>
            <w:szCs w:val="21"/>
          </w:rPr>
          <w:t xml:space="preserve"> </w:t>
        </w:r>
      </w:ins>
      <w:ins w:id="12" w:author="睡不醒" w:date="2025-07-17T14:22:50Z">
        <w:r>
          <w:rPr>
            <w:rFonts w:hint="eastAsia" w:ascii="仿宋" w:hAnsi="仿宋" w:eastAsia="仿宋" w:cs="仿宋"/>
            <w:bCs/>
            <w:szCs w:val="21"/>
            <w:lang w:eastAsia="zh-CN"/>
          </w:rPr>
          <w:t>一年一付，</w:t>
        </w:r>
      </w:ins>
      <w:ins w:id="13" w:author="睡不醒" w:date="2025-07-17T14:22:50Z">
        <w:r>
          <w:rPr>
            <w:rFonts w:hint="eastAsia" w:ascii="仿宋" w:hAnsi="仿宋" w:eastAsia="仿宋" w:cs="仿宋"/>
            <w:sz w:val="24"/>
            <w:szCs w:val="21"/>
          </w:rPr>
          <w:t>合同签订后，</w:t>
        </w:r>
      </w:ins>
      <w:ins w:id="14" w:author="睡不醒" w:date="2025-07-17T14:22:50Z">
        <w:r>
          <w:rPr>
            <w:rFonts w:hint="eastAsia" w:ascii="仿宋" w:hAnsi="仿宋" w:eastAsia="仿宋" w:cs="仿宋"/>
            <w:sz w:val="24"/>
            <w:szCs w:val="21"/>
            <w:lang w:eastAsia="zh-CN"/>
          </w:rPr>
          <w:t>甲方</w:t>
        </w:r>
      </w:ins>
      <w:ins w:id="15" w:author="睡不醒" w:date="2025-07-17T14:22:50Z">
        <w:r>
          <w:rPr>
            <w:rFonts w:hint="eastAsia" w:ascii="仿宋" w:hAnsi="仿宋" w:eastAsia="仿宋" w:cs="仿宋"/>
            <w:sz w:val="24"/>
            <w:szCs w:val="21"/>
          </w:rPr>
          <w:t>在一个月内向</w:t>
        </w:r>
      </w:ins>
      <w:ins w:id="16" w:author="睡不醒" w:date="2025-07-17T14:22:50Z">
        <w:r>
          <w:rPr>
            <w:rFonts w:hint="eastAsia" w:ascii="仿宋" w:hAnsi="仿宋" w:eastAsia="仿宋" w:cs="仿宋"/>
            <w:sz w:val="24"/>
            <w:szCs w:val="21"/>
            <w:lang w:eastAsia="zh-CN"/>
          </w:rPr>
          <w:t>乙方</w:t>
        </w:r>
      </w:ins>
      <w:ins w:id="17" w:author="睡不醒" w:date="2025-07-17T14:22:50Z">
        <w:r>
          <w:rPr>
            <w:rFonts w:hint="eastAsia" w:ascii="仿宋" w:hAnsi="仿宋" w:eastAsia="仿宋" w:cs="仿宋"/>
            <w:sz w:val="24"/>
            <w:szCs w:val="21"/>
          </w:rPr>
          <w:t>支付</w:t>
        </w:r>
      </w:ins>
      <w:ins w:id="18" w:author="睡不醒" w:date="2025-07-17T14:22:50Z">
        <w:r>
          <w:rPr>
            <w:rFonts w:hint="eastAsia" w:ascii="仿宋" w:hAnsi="仿宋" w:eastAsia="仿宋" w:cs="仿宋"/>
            <w:sz w:val="24"/>
            <w:szCs w:val="21"/>
            <w:lang w:eastAsia="zh-CN"/>
          </w:rPr>
          <w:t>当年</w:t>
        </w:r>
      </w:ins>
      <w:ins w:id="19" w:author="睡不醒" w:date="2025-07-17T14:22:50Z">
        <w:r>
          <w:rPr>
            <w:rFonts w:hint="eastAsia" w:ascii="仿宋" w:hAnsi="仿宋" w:eastAsia="仿宋" w:cs="仿宋"/>
            <w:sz w:val="24"/>
            <w:szCs w:val="21"/>
          </w:rPr>
          <w:t>投保金额，</w:t>
        </w:r>
      </w:ins>
      <w:ins w:id="20" w:author="睡不醒" w:date="2025-07-17T14:22:50Z">
        <w:r>
          <w:rPr>
            <w:rFonts w:hint="eastAsia" w:ascii="仿宋" w:hAnsi="仿宋" w:eastAsia="仿宋" w:cs="仿宋"/>
            <w:sz w:val="24"/>
            <w:szCs w:val="21"/>
            <w:lang w:eastAsia="zh-CN"/>
          </w:rPr>
          <w:t>一年期满后经考核合格后</w:t>
        </w:r>
      </w:ins>
      <w:ins w:id="21" w:author="睡不醒" w:date="2025-07-17T16:06:42Z">
        <w:r>
          <w:rPr>
            <w:rFonts w:hint="eastAsia" w:ascii="仿宋" w:hAnsi="仿宋" w:eastAsia="仿宋" w:cs="仿宋"/>
            <w:sz w:val="24"/>
            <w:szCs w:val="21"/>
            <w:lang w:val="en-US" w:eastAsia="zh-CN"/>
          </w:rPr>
          <w:t>一个</w:t>
        </w:r>
      </w:ins>
      <w:ins w:id="22" w:author="睡不醒" w:date="2025-07-17T16:06:43Z">
        <w:r>
          <w:rPr>
            <w:rFonts w:hint="eastAsia" w:ascii="仿宋" w:hAnsi="仿宋" w:eastAsia="仿宋" w:cs="仿宋"/>
            <w:sz w:val="24"/>
            <w:szCs w:val="21"/>
            <w:lang w:val="en-US" w:eastAsia="zh-CN"/>
          </w:rPr>
          <w:t>月</w:t>
        </w:r>
      </w:ins>
      <w:ins w:id="23" w:author="睡不醒" w:date="2025-07-17T16:06:44Z">
        <w:r>
          <w:rPr>
            <w:rFonts w:hint="eastAsia" w:ascii="仿宋" w:hAnsi="仿宋" w:eastAsia="仿宋" w:cs="仿宋"/>
            <w:sz w:val="24"/>
            <w:szCs w:val="21"/>
            <w:lang w:val="en-US" w:eastAsia="zh-CN"/>
          </w:rPr>
          <w:t>内</w:t>
        </w:r>
      </w:ins>
      <w:ins w:id="24" w:author="睡不醒" w:date="2025-07-17T14:22:50Z">
        <w:r>
          <w:rPr>
            <w:rFonts w:hint="eastAsia" w:ascii="仿宋" w:hAnsi="仿宋" w:eastAsia="仿宋" w:cs="仿宋"/>
            <w:sz w:val="24"/>
            <w:szCs w:val="21"/>
            <w:lang w:eastAsia="zh-CN"/>
          </w:rPr>
          <w:t>支付第二年投保金额。乙方</w:t>
        </w:r>
      </w:ins>
      <w:ins w:id="25" w:author="睡不醒" w:date="2025-07-17T14:22:50Z">
        <w:r>
          <w:rPr>
            <w:rFonts w:hint="eastAsia" w:ascii="仿宋" w:hAnsi="仿宋" w:eastAsia="仿宋" w:cs="仿宋"/>
            <w:sz w:val="24"/>
            <w:szCs w:val="21"/>
          </w:rPr>
          <w:t>收到教育风险管理顾问公司发票后，必须在15个工作日内向教育风险管理顾问公司支付</w:t>
        </w:r>
      </w:ins>
      <w:ins w:id="26" w:author="睡不醒" w:date="2025-07-17T14:22:50Z">
        <w:r>
          <w:rPr>
            <w:rFonts w:hint="eastAsia" w:ascii="仿宋" w:hAnsi="仿宋" w:eastAsia="仿宋" w:cs="仿宋"/>
            <w:sz w:val="24"/>
            <w:szCs w:val="21"/>
            <w:lang w:eastAsia="zh-CN"/>
          </w:rPr>
          <w:t>当年的</w:t>
        </w:r>
      </w:ins>
      <w:ins w:id="27" w:author="睡不醒" w:date="2025-07-17T14:22:50Z">
        <w:r>
          <w:rPr>
            <w:rFonts w:hint="eastAsia" w:ascii="仿宋" w:hAnsi="仿宋" w:eastAsia="仿宋" w:cs="仿宋"/>
            <w:sz w:val="24"/>
            <w:szCs w:val="21"/>
          </w:rPr>
          <w:t>佣金。</w:t>
        </w:r>
      </w:ins>
    </w:p>
    <w:p>
      <w:pPr>
        <w:spacing w:line="360" w:lineRule="auto"/>
        <w:rPr>
          <w:rFonts w:ascii="仿宋" w:hAnsi="仿宋" w:eastAsia="仿宋" w:cs="仿宋"/>
          <w:sz w:val="24"/>
          <w:szCs w:val="24"/>
        </w:rPr>
      </w:pPr>
      <w:r>
        <w:rPr>
          <w:rFonts w:hint="eastAsia" w:ascii="仿宋" w:hAnsi="仿宋" w:eastAsia="仿宋" w:cs="仿宋"/>
          <w:b/>
          <w:bCs/>
          <w:sz w:val="24"/>
          <w:szCs w:val="24"/>
        </w:rPr>
        <w:t>二、被保险人</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具体学校名单见上表。</w:t>
      </w:r>
    </w:p>
    <w:p>
      <w:pPr>
        <w:spacing w:line="360" w:lineRule="auto"/>
        <w:rPr>
          <w:rFonts w:ascii="仿宋" w:hAnsi="仿宋" w:eastAsia="仿宋" w:cs="仿宋"/>
          <w:sz w:val="24"/>
          <w:szCs w:val="24"/>
        </w:rPr>
      </w:pPr>
      <w:bookmarkStart w:id="51" w:name="_Toc98821986"/>
      <w:r>
        <w:rPr>
          <w:rFonts w:hint="eastAsia" w:ascii="仿宋" w:hAnsi="仿宋" w:eastAsia="仿宋" w:cs="仿宋"/>
          <w:b/>
          <w:bCs/>
          <w:sz w:val="24"/>
          <w:szCs w:val="24"/>
        </w:rPr>
        <w:t>三、保险期限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学年（</w:t>
      </w:r>
      <w:r>
        <w:rPr>
          <w:rFonts w:hint="eastAsia" w:ascii="仿宋" w:hAnsi="仿宋" w:eastAsia="仿宋" w:cs="仿宋"/>
          <w:sz w:val="24"/>
          <w:szCs w:val="24"/>
          <w:lang w:val="en-US" w:eastAsia="zh-CN"/>
        </w:rPr>
        <w:t>2025年</w:t>
      </w:r>
      <w:r>
        <w:rPr>
          <w:rFonts w:hint="eastAsia" w:ascii="仿宋" w:hAnsi="仿宋" w:eastAsia="仿宋" w:cs="仿宋"/>
          <w:sz w:val="24"/>
          <w:szCs w:val="24"/>
        </w:rPr>
        <w:t>8月15日-</w:t>
      </w:r>
      <w:r>
        <w:rPr>
          <w:rFonts w:hint="eastAsia" w:ascii="仿宋" w:hAnsi="仿宋" w:eastAsia="仿宋" w:cs="仿宋"/>
          <w:sz w:val="24"/>
          <w:szCs w:val="24"/>
          <w:lang w:val="en-US" w:eastAsia="zh-CN"/>
        </w:rPr>
        <w:t>2027年</w:t>
      </w:r>
      <w:r>
        <w:rPr>
          <w:rFonts w:hint="eastAsia" w:ascii="仿宋" w:hAnsi="仿宋" w:eastAsia="仿宋" w:cs="仿宋"/>
          <w:sz w:val="24"/>
          <w:szCs w:val="24"/>
        </w:rPr>
        <w:t>8月14日</w:t>
      </w:r>
      <w:r>
        <w:rPr>
          <w:rFonts w:hint="eastAsia" w:ascii="仿宋" w:hAnsi="仿宋" w:eastAsia="仿宋" w:cs="仿宋"/>
          <w:sz w:val="24"/>
          <w:szCs w:val="24"/>
          <w:lang w:eastAsia="zh-CN"/>
        </w:rPr>
        <w:t>止</w:t>
      </w:r>
      <w:r>
        <w:rPr>
          <w:rFonts w:hint="eastAsia" w:ascii="仿宋" w:hAnsi="仿宋" w:eastAsia="仿宋" w:cs="仿宋"/>
          <w:sz w:val="24"/>
          <w:szCs w:val="24"/>
        </w:rPr>
        <w:t>）。</w:t>
      </w:r>
    </w:p>
    <w:p>
      <w:pPr>
        <w:spacing w:line="360" w:lineRule="auto"/>
        <w:rPr>
          <w:rFonts w:ascii="仿宋" w:hAnsi="仿宋" w:eastAsia="仿宋" w:cs="仿宋"/>
          <w:b/>
          <w:sz w:val="24"/>
          <w:szCs w:val="24"/>
        </w:rPr>
      </w:pPr>
      <w:r>
        <w:rPr>
          <w:rFonts w:hint="eastAsia" w:ascii="仿宋" w:hAnsi="仿宋" w:eastAsia="仿宋" w:cs="仿宋"/>
          <w:b/>
          <w:sz w:val="24"/>
          <w:szCs w:val="24"/>
        </w:rPr>
        <w:t xml:space="preserve">四、政策执行 </w:t>
      </w:r>
      <w:bookmarkStart w:id="52" w:name="_Toc360701938"/>
      <w:bookmarkStart w:id="53" w:name="_Toc360701939"/>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关于贯彻浙教装【2006】147号</w:t>
      </w:r>
      <w:bookmarkEnd w:id="52"/>
      <w:r>
        <w:rPr>
          <w:rFonts w:hint="eastAsia" w:ascii="仿宋" w:hAnsi="仿宋" w:eastAsia="仿宋" w:cs="仿宋"/>
          <w:b/>
          <w:sz w:val="24"/>
          <w:szCs w:val="24"/>
        </w:rPr>
        <w:t>《</w:t>
      </w:r>
      <w:r>
        <w:rPr>
          <w:rFonts w:hint="eastAsia" w:ascii="仿宋" w:hAnsi="仿宋" w:eastAsia="仿宋" w:cs="仿宋"/>
          <w:sz w:val="24"/>
          <w:szCs w:val="24"/>
        </w:rPr>
        <w:t>关于积极推进校（园）方责任保险工作的通知</w:t>
      </w:r>
      <w:bookmarkEnd w:id="53"/>
      <w:r>
        <w:rPr>
          <w:rFonts w:hint="eastAsia" w:ascii="仿宋" w:hAnsi="仿宋" w:eastAsia="仿宋" w:cs="仿宋"/>
          <w:sz w:val="24"/>
          <w:szCs w:val="24"/>
        </w:rPr>
        <w:t>》和浙教装勤【2006】33号《关于开展浙江省校（园）方责任保险工作的实施意见》的通知（详见附件三、附件四）</w:t>
      </w:r>
    </w:p>
    <w:p>
      <w:pPr>
        <w:spacing w:line="360" w:lineRule="auto"/>
        <w:rPr>
          <w:rFonts w:ascii="仿宋" w:hAnsi="仿宋" w:eastAsia="仿宋" w:cs="仿宋"/>
          <w:sz w:val="24"/>
          <w:szCs w:val="24"/>
        </w:rPr>
      </w:pPr>
      <w:r>
        <w:rPr>
          <w:rFonts w:hint="eastAsia" w:ascii="仿宋" w:hAnsi="仿宋" w:eastAsia="仿宋" w:cs="仿宋"/>
          <w:b/>
          <w:bCs/>
          <w:sz w:val="24"/>
          <w:szCs w:val="24"/>
        </w:rPr>
        <w:t>五、人员管理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中标单位应在公司内设立责任险管理机构，落实专门人员负责与当地校方责任险教育管理部门、学校及</w:t>
      </w:r>
      <w:r>
        <w:rPr>
          <w:rFonts w:hint="eastAsia" w:ascii="仿宋" w:hAnsi="仿宋" w:eastAsia="仿宋" w:cs="仿宋"/>
          <w:sz w:val="24"/>
          <w:szCs w:val="24"/>
          <w:lang w:eastAsia="zh-CN"/>
        </w:rPr>
        <w:t>教育风险管理顾问公司</w:t>
      </w:r>
      <w:r>
        <w:rPr>
          <w:rFonts w:hint="eastAsia" w:ascii="仿宋" w:hAnsi="仿宋" w:eastAsia="仿宋" w:cs="仿宋"/>
          <w:sz w:val="24"/>
          <w:szCs w:val="24"/>
        </w:rPr>
        <w:t>的联系和协调，共同做好学校风险保障管理事宜。</w:t>
      </w:r>
    </w:p>
    <w:p>
      <w:pPr>
        <w:spacing w:line="360" w:lineRule="auto"/>
        <w:rPr>
          <w:rFonts w:ascii="仿宋" w:hAnsi="仿宋" w:eastAsia="仿宋" w:cs="仿宋"/>
          <w:sz w:val="24"/>
          <w:szCs w:val="24"/>
        </w:rPr>
      </w:pPr>
      <w:r>
        <w:rPr>
          <w:rFonts w:hint="eastAsia" w:ascii="仿宋" w:hAnsi="仿宋" w:eastAsia="仿宋" w:cs="仿宋"/>
          <w:b/>
          <w:bCs/>
          <w:sz w:val="24"/>
          <w:szCs w:val="24"/>
        </w:rPr>
        <w:t>六、项目招标合作方式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1、以政府购买服务的方式合作。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2、项目招标方案：按有关文件要求；</w:t>
      </w:r>
    </w:p>
    <w:p>
      <w:pPr>
        <w:adjustRightInd w:val="0"/>
        <w:snapToGrid w:val="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2.1、普通学校（幼儿园）校（园）方责任（学生）保险简明方案如下：</w:t>
      </w:r>
    </w:p>
    <w:tbl>
      <w:tblPr>
        <w:tblStyle w:val="26"/>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912"/>
        <w:gridCol w:w="1177"/>
        <w:gridCol w:w="1144"/>
        <w:gridCol w:w="114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94" w:type="dxa"/>
            <w:tcBorders>
              <w:top w:val="double" w:color="auto" w:sz="4" w:space="0"/>
              <w:left w:val="double" w:color="auto" w:sz="4" w:space="0"/>
              <w:bottom w:val="single" w:color="auto" w:sz="4" w:space="0"/>
              <w:right w:val="single" w:color="auto" w:sz="4" w:space="0"/>
            </w:tcBorders>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方案类别</w:t>
            </w:r>
          </w:p>
        </w:tc>
        <w:tc>
          <w:tcPr>
            <w:tcW w:w="912"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保费（元/人/年）</w:t>
            </w:r>
          </w:p>
        </w:tc>
        <w:tc>
          <w:tcPr>
            <w:tcW w:w="1177"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每次事故每人赔偿限额（万元）</w:t>
            </w:r>
          </w:p>
        </w:tc>
        <w:tc>
          <w:tcPr>
            <w:tcW w:w="1144"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每校每次事故赔偿限额（万元）</w:t>
            </w:r>
          </w:p>
        </w:tc>
        <w:tc>
          <w:tcPr>
            <w:tcW w:w="1144"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每校累计赔偿限额（万元）</w:t>
            </w:r>
          </w:p>
        </w:tc>
        <w:tc>
          <w:tcPr>
            <w:tcW w:w="3685" w:type="dxa"/>
            <w:tcBorders>
              <w:top w:val="double" w:color="auto" w:sz="4" w:space="0"/>
              <w:left w:val="single" w:color="auto" w:sz="4" w:space="0"/>
              <w:bottom w:val="single" w:color="auto" w:sz="4" w:space="0"/>
              <w:right w:val="double" w:color="auto" w:sz="4" w:space="0"/>
            </w:tcBorders>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主要保险责任（具体详见附件一）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2" w:hRule="atLeast"/>
          <w:jc w:val="center"/>
        </w:trPr>
        <w:tc>
          <w:tcPr>
            <w:tcW w:w="1194" w:type="dxa"/>
            <w:tcBorders>
              <w:top w:val="single" w:color="auto" w:sz="4" w:space="0"/>
              <w:left w:val="double" w:color="auto" w:sz="4" w:space="0"/>
              <w:right w:val="single" w:color="auto" w:sz="4" w:space="0"/>
            </w:tcBorders>
            <w:vAlign w:val="center"/>
          </w:tcPr>
          <w:p>
            <w:pPr>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优化方案</w:t>
            </w:r>
          </w:p>
        </w:tc>
        <w:tc>
          <w:tcPr>
            <w:tcW w:w="912"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177"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130</w:t>
            </w:r>
          </w:p>
        </w:tc>
        <w:tc>
          <w:tcPr>
            <w:tcW w:w="1144"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780</w:t>
            </w:r>
          </w:p>
        </w:tc>
        <w:tc>
          <w:tcPr>
            <w:tcW w:w="1144"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1560</w:t>
            </w:r>
          </w:p>
        </w:tc>
        <w:tc>
          <w:tcPr>
            <w:tcW w:w="3685" w:type="dxa"/>
            <w:tcBorders>
              <w:top w:val="single" w:color="auto" w:sz="4" w:space="0"/>
              <w:left w:val="single" w:color="auto" w:sz="4" w:space="0"/>
              <w:bottom w:val="single" w:color="auto" w:sz="4" w:space="0"/>
              <w:right w:val="double" w:color="auto" w:sz="4" w:space="0"/>
            </w:tcBorders>
            <w:vAlign w:val="center"/>
          </w:tcPr>
          <w:p>
            <w:pPr>
              <w:widowControl/>
              <w:ind w:firstLine="480" w:firstLineChars="200"/>
              <w:rPr>
                <w:rFonts w:ascii="仿宋" w:hAnsi="仿宋" w:eastAsia="仿宋" w:cs="仿宋"/>
                <w:kern w:val="0"/>
                <w:sz w:val="24"/>
                <w:szCs w:val="24"/>
              </w:rPr>
            </w:pPr>
            <w:r>
              <w:rPr>
                <w:rFonts w:hint="eastAsia" w:ascii="仿宋" w:hAnsi="仿宋" w:eastAsia="仿宋" w:cs="仿宋"/>
                <w:kern w:val="0"/>
                <w:sz w:val="24"/>
                <w:szCs w:val="24"/>
              </w:rPr>
              <w:t>在被保险人的在校活动中或由被保险人统一组织或安排的活动过程中，因被保险人疏忽和过失导致注册学生的人身伤害，依法应由被保险人承担的经济赔偿责任。具体内容涵盖《学生伤害事故处理办法》中列举的应由学校承担责任的所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194" w:type="dxa"/>
            <w:tcBorders>
              <w:top w:val="single" w:color="auto" w:sz="4" w:space="0"/>
              <w:left w:val="double" w:color="auto" w:sz="4" w:space="0"/>
              <w:bottom w:val="double" w:color="auto" w:sz="4" w:space="0"/>
              <w:right w:val="single" w:color="auto" w:sz="4" w:space="0"/>
            </w:tcBorders>
            <w:vAlign w:val="center"/>
          </w:tcPr>
          <w:p>
            <w:pPr>
              <w:widowControl/>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附加无过失责任险方案</w:t>
            </w:r>
          </w:p>
        </w:tc>
        <w:tc>
          <w:tcPr>
            <w:tcW w:w="912" w:type="dxa"/>
            <w:tcBorders>
              <w:top w:val="single" w:color="auto" w:sz="4" w:space="0"/>
              <w:left w:val="single" w:color="auto" w:sz="4" w:space="0"/>
              <w:bottom w:val="double" w:color="auto" w:sz="4" w:space="0"/>
              <w:right w:val="single" w:color="auto" w:sz="4" w:space="0"/>
            </w:tcBorders>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177" w:type="dxa"/>
            <w:tcBorders>
              <w:top w:val="single" w:color="auto" w:sz="4" w:space="0"/>
              <w:left w:val="single" w:color="auto" w:sz="4" w:space="0"/>
              <w:bottom w:val="double" w:color="auto" w:sz="4" w:space="0"/>
              <w:right w:val="single" w:color="auto" w:sz="4" w:space="0"/>
            </w:tcBorders>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25</w:t>
            </w:r>
          </w:p>
        </w:tc>
        <w:tc>
          <w:tcPr>
            <w:tcW w:w="1144" w:type="dxa"/>
            <w:tcBorders>
              <w:top w:val="single" w:color="auto" w:sz="4" w:space="0"/>
              <w:left w:val="single" w:color="auto" w:sz="4" w:space="0"/>
              <w:bottom w:val="double" w:color="auto" w:sz="4" w:space="0"/>
              <w:right w:val="single" w:color="auto" w:sz="4" w:space="0"/>
            </w:tcBorders>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130</w:t>
            </w:r>
          </w:p>
        </w:tc>
        <w:tc>
          <w:tcPr>
            <w:tcW w:w="1144" w:type="dxa"/>
            <w:tcBorders>
              <w:top w:val="single" w:color="auto" w:sz="4" w:space="0"/>
              <w:left w:val="single" w:color="auto" w:sz="4" w:space="0"/>
              <w:bottom w:val="double" w:color="auto" w:sz="4" w:space="0"/>
              <w:right w:val="single" w:color="auto" w:sz="4" w:space="0"/>
            </w:tcBorders>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260</w:t>
            </w:r>
          </w:p>
        </w:tc>
        <w:tc>
          <w:tcPr>
            <w:tcW w:w="3685" w:type="dxa"/>
            <w:tcBorders>
              <w:top w:val="single" w:color="auto" w:sz="4" w:space="0"/>
              <w:left w:val="single" w:color="auto" w:sz="4" w:space="0"/>
              <w:bottom w:val="double" w:color="auto" w:sz="4" w:space="0"/>
              <w:right w:val="double" w:color="auto" w:sz="4" w:space="0"/>
            </w:tcBorders>
            <w:vAlign w:val="center"/>
          </w:tcPr>
          <w:p>
            <w:pPr>
              <w:ind w:firstLine="480" w:firstLineChars="200"/>
              <w:rPr>
                <w:rFonts w:ascii="仿宋" w:hAnsi="仿宋" w:eastAsia="仿宋" w:cs="仿宋"/>
                <w:kern w:val="0"/>
                <w:sz w:val="24"/>
                <w:szCs w:val="24"/>
              </w:rPr>
            </w:pPr>
            <w:r>
              <w:rPr>
                <w:rFonts w:hint="eastAsia" w:ascii="仿宋" w:hAnsi="仿宋" w:eastAsia="仿宋" w:cs="仿宋"/>
                <w:kern w:val="0"/>
                <w:sz w:val="24"/>
                <w:szCs w:val="24"/>
              </w:rPr>
              <w:t>因自然灾害、学生自身原因、学生特异体质差异、校外的突发性侵害而导致在校学生发生人身伤亡，被保险人已履行相应职责，行为并无不当，但依法仍需对受伤害学生承担经济赔偿时，保险人根据无责险合同约定负责赔偿。</w:t>
            </w:r>
          </w:p>
        </w:tc>
      </w:tr>
    </w:tbl>
    <w:p>
      <w:pPr>
        <w:adjustRightInd w:val="0"/>
        <w:snapToGrid w:val="0"/>
        <w:spacing w:line="360" w:lineRule="auto"/>
        <w:ind w:firstLine="480" w:firstLineChars="200"/>
        <w:rPr>
          <w:rFonts w:ascii="仿宋" w:hAnsi="仿宋" w:eastAsia="仿宋" w:cs="仿宋"/>
          <w:sz w:val="24"/>
          <w:szCs w:val="24"/>
        </w:rPr>
      </w:pP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2.2、教职员工校（园）方责任保险</w:t>
      </w:r>
    </w:p>
    <w:tbl>
      <w:tblPr>
        <w:tblStyle w:val="26"/>
        <w:tblW w:w="0" w:type="auto"/>
        <w:jc w:val="center"/>
        <w:tblLayout w:type="fixed"/>
        <w:tblCellMar>
          <w:top w:w="0" w:type="dxa"/>
          <w:left w:w="108" w:type="dxa"/>
          <w:bottom w:w="0" w:type="dxa"/>
          <w:right w:w="108" w:type="dxa"/>
        </w:tblCellMar>
      </w:tblPr>
      <w:tblGrid>
        <w:gridCol w:w="1150"/>
        <w:gridCol w:w="1026"/>
        <w:gridCol w:w="919"/>
        <w:gridCol w:w="726"/>
        <w:gridCol w:w="884"/>
        <w:gridCol w:w="778"/>
        <w:gridCol w:w="814"/>
        <w:gridCol w:w="3343"/>
      </w:tblGrid>
      <w:tr>
        <w:tblPrEx>
          <w:tblCellMar>
            <w:top w:w="0" w:type="dxa"/>
            <w:left w:w="108" w:type="dxa"/>
            <w:bottom w:w="0" w:type="dxa"/>
            <w:right w:w="108" w:type="dxa"/>
          </w:tblCellMar>
        </w:tblPrEx>
        <w:trPr>
          <w:trHeight w:val="1522" w:hRule="atLeast"/>
          <w:jc w:val="center"/>
        </w:trPr>
        <w:tc>
          <w:tcPr>
            <w:tcW w:w="1150"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方案类别</w:t>
            </w:r>
          </w:p>
        </w:tc>
        <w:tc>
          <w:tcPr>
            <w:tcW w:w="1026"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保障项目</w:t>
            </w:r>
          </w:p>
        </w:tc>
        <w:tc>
          <w:tcPr>
            <w:tcW w:w="919"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赔付比例</w:t>
            </w:r>
          </w:p>
        </w:tc>
        <w:tc>
          <w:tcPr>
            <w:tcW w:w="726"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保险费（元/人/年）</w:t>
            </w:r>
          </w:p>
        </w:tc>
        <w:tc>
          <w:tcPr>
            <w:tcW w:w="884"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每次事故每人赔偿限额（万元）</w:t>
            </w:r>
          </w:p>
        </w:tc>
        <w:tc>
          <w:tcPr>
            <w:tcW w:w="778"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每校每次事故赔偿限额（万元）</w:t>
            </w:r>
          </w:p>
        </w:tc>
        <w:tc>
          <w:tcPr>
            <w:tcW w:w="814"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每校累计赔偿限额（万元）</w:t>
            </w:r>
          </w:p>
        </w:tc>
        <w:tc>
          <w:tcPr>
            <w:tcW w:w="3343" w:type="dxa"/>
            <w:tcBorders>
              <w:top w:val="single" w:color="auto" w:sz="8" w:space="0"/>
              <w:left w:val="nil"/>
              <w:bottom w:val="single" w:color="auto" w:sz="4" w:space="0"/>
              <w:right w:val="single" w:color="auto" w:sz="8"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主要保险责任</w:t>
            </w:r>
            <w:r>
              <w:rPr>
                <w:rFonts w:hint="eastAsia" w:ascii="仿宋" w:hAnsi="仿宋" w:eastAsia="仿宋" w:cs="仿宋"/>
                <w:b/>
                <w:kern w:val="0"/>
                <w:sz w:val="24"/>
                <w:szCs w:val="24"/>
              </w:rPr>
              <w:t>（具体详见附件二）</w:t>
            </w:r>
          </w:p>
        </w:tc>
      </w:tr>
      <w:tr>
        <w:tblPrEx>
          <w:tblCellMar>
            <w:top w:w="0" w:type="dxa"/>
            <w:left w:w="108" w:type="dxa"/>
            <w:bottom w:w="0" w:type="dxa"/>
            <w:right w:w="108" w:type="dxa"/>
          </w:tblCellMar>
        </w:tblPrEx>
        <w:trPr>
          <w:trHeight w:val="1200" w:hRule="atLeast"/>
          <w:jc w:val="center"/>
        </w:trPr>
        <w:tc>
          <w:tcPr>
            <w:tcW w:w="1150" w:type="dxa"/>
            <w:vMerge w:val="restart"/>
            <w:tcBorders>
              <w:top w:val="nil"/>
              <w:left w:val="single" w:color="auto" w:sz="8" w:space="0"/>
              <w:bottom w:val="single" w:color="000000" w:sz="8"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教职员工校（园）方责任保险</w:t>
            </w:r>
          </w:p>
        </w:tc>
        <w:tc>
          <w:tcPr>
            <w:tcW w:w="102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伤残、死亡</w:t>
            </w:r>
          </w:p>
        </w:tc>
        <w:tc>
          <w:tcPr>
            <w:tcW w:w="91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5%-100%</w:t>
            </w:r>
          </w:p>
        </w:tc>
        <w:tc>
          <w:tcPr>
            <w:tcW w:w="726" w:type="dxa"/>
            <w:vMerge w:val="restart"/>
            <w:tcBorders>
              <w:top w:val="nil"/>
              <w:left w:val="single" w:color="auto" w:sz="4" w:space="0"/>
              <w:bottom w:val="single" w:color="000000" w:sz="8"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50</w:t>
            </w:r>
          </w:p>
        </w:tc>
        <w:tc>
          <w:tcPr>
            <w:tcW w:w="8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50</w:t>
            </w:r>
          </w:p>
        </w:tc>
        <w:tc>
          <w:tcPr>
            <w:tcW w:w="778" w:type="dxa"/>
            <w:vMerge w:val="restart"/>
            <w:tcBorders>
              <w:top w:val="nil"/>
              <w:left w:val="single" w:color="auto" w:sz="4" w:space="0"/>
              <w:bottom w:val="single" w:color="000000" w:sz="8"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1000</w:t>
            </w:r>
          </w:p>
        </w:tc>
        <w:tc>
          <w:tcPr>
            <w:tcW w:w="814" w:type="dxa"/>
            <w:vMerge w:val="restart"/>
            <w:tcBorders>
              <w:top w:val="nil"/>
              <w:left w:val="single" w:color="auto" w:sz="4" w:space="0"/>
              <w:bottom w:val="single" w:color="000000" w:sz="8"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2000</w:t>
            </w:r>
          </w:p>
        </w:tc>
        <w:tc>
          <w:tcPr>
            <w:tcW w:w="3343" w:type="dxa"/>
            <w:vMerge w:val="restart"/>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被保险人的教职员工由于下列原因遭受人身伤亡，依法应由被保险人承担的经济赔偿责任，保险人按照约定负责赔偿：（一）在被保险人的工作场所内从事被保险人的工作期间遭受意外伤害事故；（二）上下班途中遭受交通事故； （三）因工外出期间由于工作原因遭受意外伤害事故；（四）在由被保险人统一组织的活动中遭受意外伤害事故；（五）在从事被保险人的工作期间罹患职业病</w:t>
            </w:r>
          </w:p>
        </w:tc>
      </w:tr>
      <w:tr>
        <w:tblPrEx>
          <w:tblCellMar>
            <w:top w:w="0" w:type="dxa"/>
            <w:left w:w="108" w:type="dxa"/>
            <w:bottom w:w="0" w:type="dxa"/>
            <w:right w:w="108" w:type="dxa"/>
          </w:tblCellMar>
        </w:tblPrEx>
        <w:trPr>
          <w:trHeight w:val="1210" w:hRule="atLeast"/>
          <w:jc w:val="center"/>
        </w:trPr>
        <w:tc>
          <w:tcPr>
            <w:tcW w:w="1150" w:type="dxa"/>
            <w:vMerge w:val="continue"/>
            <w:tcBorders>
              <w:top w:val="nil"/>
              <w:left w:val="single" w:color="auto" w:sz="8" w:space="0"/>
              <w:bottom w:val="single" w:color="000000" w:sz="8" w:space="0"/>
              <w:right w:val="single" w:color="auto" w:sz="4" w:space="0"/>
            </w:tcBorders>
            <w:vAlign w:val="center"/>
          </w:tcPr>
          <w:p>
            <w:pPr>
              <w:widowControl/>
              <w:jc w:val="left"/>
              <w:rPr>
                <w:rFonts w:ascii="仿宋" w:hAnsi="仿宋" w:eastAsia="仿宋" w:cs="仿宋"/>
                <w:kern w:val="0"/>
                <w:sz w:val="24"/>
                <w:szCs w:val="24"/>
              </w:rPr>
            </w:pPr>
          </w:p>
        </w:tc>
        <w:tc>
          <w:tcPr>
            <w:tcW w:w="102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医疗费用</w:t>
            </w:r>
          </w:p>
        </w:tc>
        <w:tc>
          <w:tcPr>
            <w:tcW w:w="91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90%</w:t>
            </w:r>
          </w:p>
        </w:tc>
        <w:tc>
          <w:tcPr>
            <w:tcW w:w="726"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eastAsia="仿宋" w:cs="仿宋"/>
                <w:kern w:val="0"/>
                <w:sz w:val="24"/>
                <w:szCs w:val="24"/>
              </w:rPr>
            </w:pPr>
          </w:p>
        </w:tc>
        <w:tc>
          <w:tcPr>
            <w:tcW w:w="8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778"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eastAsia="仿宋" w:cs="仿宋"/>
                <w:kern w:val="0"/>
                <w:sz w:val="24"/>
                <w:szCs w:val="24"/>
              </w:rPr>
            </w:pPr>
          </w:p>
        </w:tc>
        <w:tc>
          <w:tcPr>
            <w:tcW w:w="814"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eastAsia="仿宋" w:cs="仿宋"/>
                <w:kern w:val="0"/>
                <w:sz w:val="24"/>
                <w:szCs w:val="24"/>
              </w:rPr>
            </w:pPr>
          </w:p>
        </w:tc>
        <w:tc>
          <w:tcPr>
            <w:tcW w:w="3343"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026" w:hRule="atLeast"/>
          <w:jc w:val="center"/>
        </w:trPr>
        <w:tc>
          <w:tcPr>
            <w:tcW w:w="1150" w:type="dxa"/>
            <w:vMerge w:val="continue"/>
            <w:tcBorders>
              <w:top w:val="nil"/>
              <w:left w:val="single" w:color="auto" w:sz="8" w:space="0"/>
              <w:bottom w:val="single" w:color="000000" w:sz="8" w:space="0"/>
              <w:right w:val="single" w:color="auto" w:sz="4" w:space="0"/>
            </w:tcBorders>
            <w:vAlign w:val="center"/>
          </w:tcPr>
          <w:p>
            <w:pPr>
              <w:widowControl/>
              <w:jc w:val="left"/>
              <w:rPr>
                <w:rFonts w:ascii="仿宋" w:hAnsi="仿宋" w:eastAsia="仿宋" w:cs="仿宋"/>
                <w:kern w:val="0"/>
                <w:sz w:val="24"/>
                <w:szCs w:val="24"/>
              </w:rPr>
            </w:pPr>
          </w:p>
        </w:tc>
        <w:tc>
          <w:tcPr>
            <w:tcW w:w="1026" w:type="dxa"/>
            <w:tcBorders>
              <w:top w:val="nil"/>
              <w:left w:val="nil"/>
              <w:bottom w:val="single" w:color="auto" w:sz="8"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额外费用</w:t>
            </w:r>
          </w:p>
        </w:tc>
        <w:tc>
          <w:tcPr>
            <w:tcW w:w="919" w:type="dxa"/>
            <w:tcBorders>
              <w:top w:val="nil"/>
              <w:left w:val="nil"/>
              <w:bottom w:val="single" w:color="auto" w:sz="8"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26"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eastAsia="仿宋" w:cs="仿宋"/>
                <w:kern w:val="0"/>
                <w:sz w:val="24"/>
                <w:szCs w:val="24"/>
              </w:rPr>
            </w:pPr>
          </w:p>
        </w:tc>
        <w:tc>
          <w:tcPr>
            <w:tcW w:w="884" w:type="dxa"/>
            <w:tcBorders>
              <w:top w:val="nil"/>
              <w:left w:val="nil"/>
              <w:bottom w:val="single" w:color="auto" w:sz="8"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778"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eastAsia="仿宋" w:cs="仿宋"/>
                <w:kern w:val="0"/>
                <w:sz w:val="24"/>
                <w:szCs w:val="24"/>
              </w:rPr>
            </w:pPr>
          </w:p>
        </w:tc>
        <w:tc>
          <w:tcPr>
            <w:tcW w:w="814"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eastAsia="仿宋" w:cs="仿宋"/>
                <w:kern w:val="0"/>
                <w:sz w:val="24"/>
                <w:szCs w:val="24"/>
              </w:rPr>
            </w:pPr>
          </w:p>
        </w:tc>
        <w:tc>
          <w:tcPr>
            <w:tcW w:w="3343"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仿宋"/>
                <w:kern w:val="0"/>
                <w:sz w:val="24"/>
                <w:szCs w:val="24"/>
              </w:rPr>
            </w:pPr>
          </w:p>
        </w:tc>
      </w:tr>
    </w:tbl>
    <w:p>
      <w:pPr>
        <w:adjustRightInd w:val="0"/>
        <w:snapToGrid w:val="0"/>
        <w:spacing w:line="360" w:lineRule="auto"/>
        <w:ind w:firstLine="482" w:firstLineChars="200"/>
        <w:rPr>
          <w:rFonts w:ascii="仿宋" w:hAnsi="仿宋" w:eastAsia="仿宋" w:cs="仿宋"/>
          <w:b/>
          <w:sz w:val="24"/>
          <w:szCs w:val="24"/>
        </w:rPr>
      </w:pP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3、提供服务承诺、措施和具体举措。</w:t>
      </w:r>
    </w:p>
    <w:p>
      <w:pPr>
        <w:snapToGrid w:val="0"/>
        <w:spacing w:line="360" w:lineRule="auto"/>
        <w:rPr>
          <w:rFonts w:ascii="仿宋" w:hAnsi="仿宋" w:eastAsia="仿宋" w:cs="仿宋"/>
          <w:b/>
          <w:sz w:val="24"/>
          <w:szCs w:val="24"/>
        </w:rPr>
      </w:pPr>
      <w:r>
        <w:rPr>
          <w:rFonts w:hint="eastAsia" w:ascii="仿宋" w:hAnsi="仿宋" w:eastAsia="仿宋" w:cs="仿宋"/>
          <w:b/>
          <w:sz w:val="24"/>
          <w:szCs w:val="24"/>
        </w:rPr>
        <w:t>七、服务要求</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依据省教育厅教育技术中心（原单位名称；浙江省教育装备和勤工俭学管理中心）下发的《浙江省校（园）方责任保险（优化方案）条款、附加校方无过失责任保险条款》、《浙江省教职员工校（园）方责任保险条款》执行（详见附件一、二）。</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bCs/>
          <w:sz w:val="24"/>
          <w:szCs w:val="24"/>
        </w:rPr>
        <w:t>接到投保人或者风险管理顾问的索赔申请时，及时上门收取、审核索赔材料，并在3个工作日内向投保人反馈是否立案以及是否需要补充提供证明材料。对决定拒赔或者不予立案的，出具正式的书面意见。对索赔材料齐全的校责险案件，小案（赔付金额2000元以内）5个工作日、中案（赔付金额2000元至2万元）7个工作日、大案（赔付金额2万元至10万元）10个工作日内，重大案件（赔付金额10万元以上）15个工作日内开具赔款通知书。否则每超过1个工作日，投标人应按赔付金额的3%缴纳违约金，并支付给客户。</w:t>
      </w:r>
    </w:p>
    <w:p>
      <w:pPr>
        <w:adjustRightInd w:val="0"/>
        <w:snapToGrid w:val="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3、校（园）方责任保险赔偿纠纷处理，按双方认可的方式或民事司法调解或台州仲裁委员会裁决或人民法院判决。</w:t>
      </w:r>
    </w:p>
    <w:bookmarkEnd w:id="51"/>
    <w:p>
      <w:pPr>
        <w:rPr>
          <w:rFonts w:ascii="仿宋" w:hAnsi="仿宋" w:eastAsia="仿宋" w:cs="仿宋"/>
          <w:sz w:val="24"/>
          <w:szCs w:val="24"/>
        </w:rPr>
      </w:pPr>
      <w:r>
        <w:rPr>
          <w:rFonts w:hint="eastAsia" w:ascii="仿宋" w:hAnsi="仿宋" w:eastAsia="仿宋" w:cs="仿宋"/>
          <w:sz w:val="24"/>
          <w:szCs w:val="24"/>
        </w:rPr>
        <w:br w:type="page"/>
      </w:r>
    </w:p>
    <w:p>
      <w:pPr>
        <w:pStyle w:val="4"/>
        <w:spacing w:before="0" w:after="0" w:line="360" w:lineRule="auto"/>
        <w:rPr>
          <w:rFonts w:ascii="仿宋" w:hAnsi="仿宋" w:eastAsia="仿宋" w:cs="仿宋"/>
          <w:sz w:val="24"/>
          <w:szCs w:val="24"/>
        </w:rPr>
      </w:pPr>
      <w:r>
        <w:rPr>
          <w:rFonts w:hint="eastAsia" w:ascii="仿宋" w:hAnsi="仿宋" w:eastAsia="仿宋" w:cs="仿宋"/>
          <w:sz w:val="24"/>
          <w:szCs w:val="24"/>
        </w:rPr>
        <w:t>附件一：</w:t>
      </w:r>
    </w:p>
    <w:p>
      <w:pPr>
        <w:pStyle w:val="4"/>
        <w:spacing w:before="0" w:after="0" w:line="360" w:lineRule="auto"/>
        <w:jc w:val="center"/>
        <w:rPr>
          <w:rFonts w:ascii="仿宋" w:hAnsi="仿宋" w:eastAsia="仿宋" w:cs="仿宋"/>
          <w:kern w:val="0"/>
          <w:sz w:val="24"/>
          <w:szCs w:val="24"/>
        </w:rPr>
      </w:pPr>
      <w:bookmarkStart w:id="54" w:name="_Toc360701934"/>
      <w:r>
        <w:rPr>
          <w:rFonts w:hint="eastAsia" w:ascii="仿宋" w:hAnsi="仿宋" w:eastAsia="仿宋" w:cs="仿宋"/>
          <w:kern w:val="0"/>
          <w:sz w:val="24"/>
          <w:szCs w:val="24"/>
        </w:rPr>
        <w:t>浙江省校（园）方责任保险（优化方案，学生）条款</w:t>
      </w:r>
      <w:bookmarkEnd w:id="54"/>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第一条  本保险合同由保险条款、投保单、保险单以及批单组成。凡涉及本保险合同的约定，均应采取书面形式。</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第二条  凡经国家有关部门批准设立的普通教育机构，均可作为本保险合同的被保险人。</w:t>
      </w:r>
    </w:p>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保 险 责 任</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第三条  在保险期间内，在中华人民共和国境内(港澳台地区除外),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（一）被保险人的校舍、场地、其他公共设施，以及提供给学生使用的学具、教育教学和生活设施、设备不符合国家规定的标准，或者有明显不安全因素；</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（二）被保险人的安全保卫、消防、设施设备管理等安全管理制度有疏漏，或者管理混乱，存在安全隐患，而未及时采取措施；</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（三）被保险人向学生提供的药品、食品、饮用水以及玩具、文具或者其他物品不符合国家、行业和被保险人所在地市的卫生、安全标准；</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（四）被保险人组织学生参加教育教学活动或者校外活动，未按规定对学生进行必要的安全教育，并未在可预见的范围内采取必要的安全措施；</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（五）被保险人的教师或者其他工作人员患有不适宜担任教学工作的疾病，但被保险人未采取必要措施；</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（六）被保险人违反有关规定，组织或者安排未成年学生从事不宜未成年人参加的劳动、体育运动或者其他活动；</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（七）学生有特异体质或特定疾病，不宜参加某种教学活动，被保险人知道或者应当知道，但未予以必要注意；</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（八）学生在校期间突发疾病或者受到伤害，被保险人发现，但未根据实际情况及时采取相应措施，导致不良后果加重；</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（九）教师或者其他工作人员在负有组织、管理未成年学生的职责期间，发现学生行为具有危险性，但未进行必要的管理、告诫或者制止；</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（十）教师或者其他工作人员侮辱、殴打、体罚或者变相体罚学生；</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（十一）教师或者其他工作人员擅离工作岗位，不履行职责，或者虽在工作岗位但未履行职责，或者违反工作要求、操作规程或职业道德；</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（十二）对未成年学生擅自离校等与学生人身安全直接相关的信息，被保险人发现或者知道，但未及时告知未成年学生的监护人，导致未成年学生因脱离监护人的保护而发生伤害；</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（十三）被保险人知道或者应当知道学生患有传染性疾病，未采取必要的隔离防范措施导致其他学生感染；</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（十四）被保险人有未依法履行职责的其他情形。</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第四条  在保险期间内，在中华人民共和国境内(港澳台地区除外),发生下列情形导致被保险人的学生遭受人身伤亡，尽管被保险人已经履行了相应职责、行为并无不当，但法院或台州仲裁委员会仍判决或裁决被保险人需对受伤害学生给予经济补偿时，保险人按照本保险合同约定也负责赔偿：</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（一）学生在代表被保险人参加各项比赛，或者在参加被保险人统一组织的体育竞赛活动中发生意外事故；</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（二）火灾、爆炸、煤气中毒所造成的意外事故；</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（三）高空物体坠落所造成的意外事故；</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（四）学生拥挤所造成的意外事故。</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五条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责 任 免 除</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第六条下列原因造成被保险人学生发生人身伤亡事故的，保险人不负赔偿责任：</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（一）被保险人的故意行为；</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（二）被保险人默许或放任其教师或其他工作人员殴打、体罚学生的行为；</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（三）被保险人知道其教学、建筑设施不安全，仍继续使用；</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（四）被保险人统一组织或安排的活动宣布结束，学生已脱离被保险人管理范围；</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（五）学生自伤、自杀，被保险人及其教职员没有过错的；</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（六）学生打架、斗殴、吸毒等违法犯罪行为，但学生在学校范围内被殴打时的正当防卫行为除外；</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（七）核辐射、核爆炸、核污染及其他放射性污染；</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（八）学生有特异体质、特定疾病或者异常心理状态，被保险人不知道或者难于知道的；</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（九）学生突发疾病，被保险人采取的救护措施并无不当的；</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（十）学生本人或他人过错，而被保险人的行为并无不当的；</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（十一）雷击、暴雨、暴风、洪水、暴雪、冰雹、沙尘暴、冰凌、泥石流、崖崩、突发性滑坡、火山爆发、地面突然塌陷、地震、海啸及其他人力不可抗拒的破坏力强大的自然现象；</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（十二）战争、类似战争行为、敌对行动、军事行动、武装冲突、罢工、骚乱、暴动、政变、谋反、恐怖活动；</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（十三）行政行为或司法行为。</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第七条  下列损失、费用和责任，保险人不负责赔偿：</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（一）被保险人根据与他人签订的协议应承担的责任，但即使没有这种协议被保</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险人依法仍应承担的责任不在此限；</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（二）学生在被保险人安排的实习单位实习期间遭受人身伤害导致的任何损失、费用和责任；</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（三）被保险人的间接损失；</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（四）精神损害赔偿。</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 xml:space="preserve">第八条 </w:t>
      </w:r>
      <w:r>
        <w:rPr>
          <w:rFonts w:hint="eastAsia" w:ascii="仿宋" w:hAnsi="仿宋" w:eastAsia="仿宋" w:cs="仿宋"/>
          <w:sz w:val="24"/>
          <w:szCs w:val="24"/>
        </w:rPr>
        <w:t xml:space="preserve"> 其他不属于保险责任范围内的损失、费用和责任，保险人不负责赔偿。</w:t>
      </w:r>
    </w:p>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保 险 期 间</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第九条除另有约定外，保险期间为一年，以保险合同载明的起讫时间为准。</w:t>
      </w:r>
    </w:p>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责 任 限 额</w:t>
      </w:r>
    </w:p>
    <w:p>
      <w:pPr>
        <w:adjustRightInd w:val="0"/>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第十条  责任限额包括每人责任限额（人民币</w:t>
      </w:r>
      <w:r>
        <w:rPr>
          <w:rFonts w:ascii="仿宋" w:hAnsi="仿宋" w:eastAsia="仿宋" w:cs="仿宋"/>
          <w:sz w:val="24"/>
          <w:szCs w:val="24"/>
        </w:rPr>
        <w:t>130</w:t>
      </w:r>
      <w:r>
        <w:rPr>
          <w:rFonts w:hint="eastAsia" w:ascii="仿宋" w:hAnsi="仿宋" w:eastAsia="仿宋" w:cs="仿宋"/>
          <w:sz w:val="24"/>
          <w:szCs w:val="24"/>
        </w:rPr>
        <w:t>万元/年）、每次事故责任限额（人民币</w:t>
      </w:r>
      <w:r>
        <w:rPr>
          <w:rFonts w:ascii="仿宋" w:hAnsi="仿宋" w:eastAsia="仿宋" w:cs="仿宋"/>
          <w:sz w:val="24"/>
          <w:szCs w:val="24"/>
        </w:rPr>
        <w:t>780</w:t>
      </w:r>
      <w:r>
        <w:rPr>
          <w:rFonts w:hint="eastAsia" w:ascii="仿宋" w:hAnsi="仿宋" w:eastAsia="仿宋" w:cs="仿宋"/>
          <w:sz w:val="24"/>
          <w:szCs w:val="24"/>
        </w:rPr>
        <w:t>万元）及累计责任限额（人民币</w:t>
      </w:r>
      <w:r>
        <w:rPr>
          <w:rFonts w:ascii="仿宋" w:hAnsi="仿宋" w:eastAsia="仿宋" w:cs="仿宋"/>
          <w:sz w:val="24"/>
          <w:szCs w:val="24"/>
        </w:rPr>
        <w:t>1560</w:t>
      </w:r>
      <w:r>
        <w:rPr>
          <w:rFonts w:hint="eastAsia" w:ascii="仿宋" w:hAnsi="仿宋" w:eastAsia="仿宋" w:cs="仿宋"/>
          <w:sz w:val="24"/>
          <w:szCs w:val="24"/>
        </w:rPr>
        <w:t>万元/年），并在保险合同中载明。</w:t>
      </w:r>
    </w:p>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保险人义务</w:t>
      </w:r>
    </w:p>
    <w:p>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第十一条 </w:t>
      </w:r>
      <w:r>
        <w:rPr>
          <w:rFonts w:hint="eastAsia" w:ascii="仿宋" w:hAnsi="仿宋" w:eastAsia="仿宋" w:cs="仿宋"/>
          <w:sz w:val="24"/>
          <w:szCs w:val="24"/>
        </w:rPr>
        <w:t>本保险合同成立后，保险人应当及时向投保人签发保险单或其他保险凭证。</w:t>
      </w:r>
    </w:p>
    <w:p>
      <w:pPr>
        <w:adjustRightInd w:val="0"/>
        <w:snapToGrid w:val="0"/>
        <w:spacing w:line="360" w:lineRule="auto"/>
        <w:ind w:firstLine="480" w:firstLineChars="200"/>
        <w:rPr>
          <w:rStyle w:val="59"/>
          <w:rFonts w:ascii="仿宋" w:hAnsi="仿宋" w:eastAsia="仿宋" w:cs="仿宋"/>
          <w:sz w:val="24"/>
          <w:szCs w:val="24"/>
        </w:rPr>
      </w:pPr>
      <w:r>
        <w:rPr>
          <w:rFonts w:hint="eastAsia" w:ascii="仿宋" w:hAnsi="仿宋" w:eastAsia="仿宋" w:cs="仿宋"/>
          <w:bCs/>
          <w:sz w:val="24"/>
          <w:szCs w:val="24"/>
        </w:rPr>
        <w:t xml:space="preserve">第十二条 </w:t>
      </w:r>
      <w:r>
        <w:rPr>
          <w:rFonts w:hint="eastAsia" w:ascii="仿宋" w:hAnsi="仿宋" w:eastAsia="仿宋" w:cs="仿宋"/>
          <w:sz w:val="24"/>
          <w:szCs w:val="24"/>
        </w:rPr>
        <w:t>保险人依本保险条款第十六条取得的合同解除权，</w:t>
      </w:r>
      <w:r>
        <w:rPr>
          <w:rStyle w:val="59"/>
          <w:rFonts w:hint="eastAsia" w:ascii="仿宋" w:hAnsi="仿宋" w:eastAsia="仿宋" w:cs="仿宋"/>
          <w:sz w:val="24"/>
          <w:szCs w:val="24"/>
        </w:rPr>
        <w:t>自保险人知道有解除事由之日起，超过三十日不行使而消灭。</w:t>
      </w:r>
    </w:p>
    <w:p>
      <w:pPr>
        <w:adjustRightInd w:val="0"/>
        <w:snapToGrid w:val="0"/>
        <w:spacing w:line="360" w:lineRule="auto"/>
        <w:ind w:firstLine="480" w:firstLineChars="200"/>
        <w:rPr>
          <w:rFonts w:ascii="仿宋" w:hAnsi="仿宋" w:eastAsia="仿宋" w:cs="仿宋"/>
          <w:sz w:val="24"/>
          <w:szCs w:val="24"/>
          <w:u w:val="single"/>
        </w:rPr>
      </w:pPr>
      <w:r>
        <w:rPr>
          <w:rStyle w:val="59"/>
          <w:rFonts w:hint="eastAsia" w:ascii="仿宋" w:hAnsi="仿宋" w:eastAsia="仿宋" w:cs="仿宋"/>
          <w:sz w:val="24"/>
          <w:szCs w:val="24"/>
        </w:rPr>
        <w:t>保险人在保险合同订立时已经知道投保人未如实告知情况的，保险人不得解除合同；发生保险事故的，保险人应当承担赔偿责任。</w:t>
      </w:r>
    </w:p>
    <w:p>
      <w:pPr>
        <w:adjustRightInd w:val="0"/>
        <w:snapToGrid w:val="0"/>
        <w:spacing w:line="360" w:lineRule="auto"/>
        <w:ind w:firstLine="480" w:firstLineChars="200"/>
        <w:rPr>
          <w:rStyle w:val="59"/>
          <w:rFonts w:ascii="仿宋" w:hAnsi="仿宋" w:eastAsia="仿宋" w:cs="仿宋"/>
          <w:sz w:val="24"/>
          <w:szCs w:val="24"/>
        </w:rPr>
      </w:pPr>
      <w:r>
        <w:rPr>
          <w:rFonts w:hint="eastAsia" w:ascii="仿宋" w:hAnsi="仿宋" w:eastAsia="仿宋" w:cs="仿宋"/>
          <w:bCs/>
          <w:sz w:val="24"/>
          <w:szCs w:val="24"/>
        </w:rPr>
        <w:t xml:space="preserve">第十三条 </w:t>
      </w:r>
      <w:r>
        <w:rPr>
          <w:rStyle w:val="59"/>
          <w:rFonts w:hint="eastAsia" w:ascii="仿宋" w:hAnsi="仿宋" w:eastAsia="仿宋" w:cs="仿宋"/>
          <w:sz w:val="24"/>
          <w:szCs w:val="24"/>
        </w:rPr>
        <w:t>保险事故发生后，投保人、被保险人提供的有关索赔的证明和资料不完整的，保险人应当及时一次性通知投保人、被保险人补充提供。</w:t>
      </w:r>
    </w:p>
    <w:p>
      <w:pPr>
        <w:adjustRightInd w:val="0"/>
        <w:snapToGrid w:val="0"/>
        <w:spacing w:line="360" w:lineRule="auto"/>
        <w:ind w:firstLine="480" w:firstLineChars="200"/>
        <w:rPr>
          <w:rStyle w:val="59"/>
          <w:rFonts w:ascii="仿宋" w:hAnsi="仿宋" w:eastAsia="仿宋" w:cs="仿宋"/>
          <w:sz w:val="24"/>
          <w:szCs w:val="24"/>
        </w:rPr>
      </w:pPr>
      <w:r>
        <w:rPr>
          <w:rFonts w:hint="eastAsia" w:ascii="仿宋" w:hAnsi="仿宋" w:eastAsia="仿宋" w:cs="仿宋"/>
          <w:bCs/>
          <w:sz w:val="24"/>
          <w:szCs w:val="24"/>
        </w:rPr>
        <w:t xml:space="preserve">第十四条 </w:t>
      </w:r>
      <w:r>
        <w:rPr>
          <w:rStyle w:val="59"/>
          <w:rFonts w:hint="eastAsia" w:ascii="仿宋" w:hAnsi="仿宋" w:eastAsia="仿宋" w:cs="仿宋"/>
          <w:sz w:val="24"/>
          <w:szCs w:val="24"/>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pPr>
        <w:adjustRightInd w:val="0"/>
        <w:snapToGrid w:val="0"/>
        <w:spacing w:line="360" w:lineRule="auto"/>
        <w:ind w:firstLine="480" w:firstLineChars="200"/>
        <w:rPr>
          <w:rStyle w:val="59"/>
          <w:rFonts w:ascii="仿宋" w:hAnsi="仿宋" w:eastAsia="仿宋" w:cs="仿宋"/>
          <w:sz w:val="24"/>
          <w:szCs w:val="24"/>
        </w:rPr>
      </w:pPr>
      <w:r>
        <w:rPr>
          <w:rStyle w:val="59"/>
          <w:rFonts w:hint="eastAsia" w:ascii="仿宋" w:hAnsi="仿宋" w:eastAsia="仿宋" w:cs="仿宋"/>
          <w:sz w:val="24"/>
          <w:szCs w:val="24"/>
        </w:rPr>
        <w:t>保险人依照前款的规定作出核定后，对不属于保险责任的，应当自作出核定之日起三日内向被保险人发出拒绝赔偿保险金通知书，并说明理由。</w:t>
      </w:r>
    </w:p>
    <w:p>
      <w:pPr>
        <w:adjustRightInd w:val="0"/>
        <w:snapToGrid w:val="0"/>
        <w:spacing w:line="360" w:lineRule="auto"/>
        <w:ind w:firstLine="475" w:firstLineChars="198"/>
        <w:rPr>
          <w:rFonts w:ascii="仿宋" w:hAnsi="仿宋" w:eastAsia="仿宋" w:cs="仿宋"/>
          <w:sz w:val="24"/>
          <w:szCs w:val="24"/>
        </w:rPr>
      </w:pPr>
      <w:r>
        <w:rPr>
          <w:rFonts w:hint="eastAsia" w:ascii="仿宋" w:hAnsi="仿宋" w:eastAsia="仿宋" w:cs="仿宋"/>
          <w:bCs/>
          <w:sz w:val="24"/>
          <w:szCs w:val="24"/>
        </w:rPr>
        <w:t xml:space="preserve">第十五条 </w:t>
      </w:r>
      <w:r>
        <w:rPr>
          <w:rStyle w:val="59"/>
          <w:rFonts w:hint="eastAsia" w:ascii="仿宋" w:hAnsi="仿宋" w:eastAsia="仿宋" w:cs="仿宋"/>
          <w:sz w:val="24"/>
          <w:szCs w:val="24"/>
        </w:rPr>
        <w:t>保险人自收到</w:t>
      </w:r>
      <w:r>
        <w:rPr>
          <w:rFonts w:hint="eastAsia" w:ascii="仿宋" w:hAnsi="仿宋" w:eastAsia="仿宋" w:cs="仿宋"/>
          <w:sz w:val="24"/>
          <w:szCs w:val="24"/>
        </w:rPr>
        <w:t>赔偿</w:t>
      </w:r>
      <w:r>
        <w:rPr>
          <w:rStyle w:val="59"/>
          <w:rFonts w:hint="eastAsia" w:ascii="仿宋" w:hAnsi="仿宋" w:eastAsia="仿宋" w:cs="仿宋"/>
          <w:sz w:val="24"/>
          <w:szCs w:val="24"/>
        </w:rPr>
        <w:t>保险金的请求和有关证明、资料之日起六十日内，对其赔偿保险金的数额不能确定的，应当根据已有证明和资料可以确定的数额先予支付；保险人最终确定赔偿的数额后，应当支付相应的差额。</w:t>
      </w:r>
    </w:p>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投保人、被保险人义务</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第十六条  投保人应履行如实告知义务，如实回答保险人就学生以及被保险人的其他有关情况提出的询问，并如实填写投保单和提供全部在册学生名单。</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投保人故意或者因重大过失未履行前款规定的如实告知义务，足以影响保险人决定是否同意承保或者提高保险费率的，保险人有权解除合同。</w:t>
      </w:r>
    </w:p>
    <w:p>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投保人故意不履行如实告知义务的，保险人对于合同解除前发生的保险事故，不承担赔偿责任，并不退还保险费。</w:t>
      </w:r>
    </w:p>
    <w:p>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投保人因重大过失未履行如实告知义务，对保险事故的发生有严重影响的，保险人对于合同解除前发生的保险事故，不承担赔偿责任，但应当退还保险费。</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第十七条  除另有约定外，投保人应当在本保险合同成立时一次性向保险人交清保险费。保险费交清前发生的保险事故，保险人不承担赔偿责任。</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第十八条教师或者其他工作人员应当遵守教育工作者纪律，遵守国家有关部门制定的有关规定，关心、爱护、教育学生，使其遵纪守法。</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第十九条被保险人应对各类教学、建筑设施进行维护、保养、修缮，使其处于完好状态，并应加强安全管理，采取合理的预防措施，尽力避免或减少责任事故的发生。</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保险人可以对被保险人遵守前款约定的情况进行检查，向投保人、被保险人提出消除不安全因素和隐患的书面建议，投保人、被保险人应该认真付诸实施。</w:t>
      </w:r>
    </w:p>
    <w:p>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投保人、被保险人未遵守上述约定而导致保险事故的，保险人不承担赔偿责任；投保人、被保险人未遵守上述约定而导致损失扩大的，保险人对扩大部分的损失不承担赔偿责任。</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第二十条</w:t>
      </w:r>
      <w:r>
        <w:rPr>
          <w:rFonts w:hint="eastAsia" w:ascii="仿宋" w:hAnsi="仿宋" w:eastAsia="仿宋" w:cs="仿宋"/>
          <w:sz w:val="24"/>
          <w:szCs w:val="24"/>
        </w:rPr>
        <w:t xml:space="preserve">  在保险期间内，如被保险人的学生名单发生变动或其他足以影响保险人决定是否继续承保或是否增加保险费的保险合同重要事项变更，被保险人应及时书面通知保险人，保险人有权要求增加保险费或者解除合同。被保险人未履行通知义务，因上述保险合同重要事项变更而导致保险事故发生的，保险人不承担赔偿责任。</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学生人数变动幅度在全校学生人数的5%（含5%）以内的，可以不增减保险费，但被保险人应在新增学生报到之日起五日内通知保险人并办理批改手续。如变动幅度超过上述比例的，保险人将出具批单增减保险费。被保险人事先未及时通知保险人办理上述批改手续的，如新增学生发生人身伤亡事故，保险人不承担赔偿责任。</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第二十一条</w:t>
      </w:r>
      <w:r>
        <w:rPr>
          <w:rFonts w:hint="eastAsia" w:ascii="仿宋" w:hAnsi="仿宋" w:eastAsia="仿宋" w:cs="仿宋"/>
          <w:sz w:val="24"/>
          <w:szCs w:val="24"/>
        </w:rPr>
        <w:t xml:space="preserve">  被保险人一旦知道或应当知道保险责任范围内的学生人身伤害事故发生，应该：</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（一）尽力采取必要、合理的措施，防止或减少损失，否则，对因此扩大的损失，保险人不承担赔偿责任；</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（二）立即通知保险人，并书面说明事故发生的原因、经过和损失情况；</w:t>
      </w:r>
      <w:r>
        <w:rPr>
          <w:rStyle w:val="59"/>
          <w:rFonts w:hint="eastAsia" w:ascii="仿宋" w:hAnsi="仿宋" w:eastAsia="仿宋" w:cs="仿宋"/>
          <w:bCs/>
          <w:sz w:val="24"/>
          <w:szCs w:val="24"/>
        </w:rPr>
        <w:t>故意或者因重大过失未及时通知，致使保险事故的性质、原因、损失程度等难以确定的，保险人对无法确定的部分，不承担赔偿责任</w:t>
      </w:r>
      <w:r>
        <w:rPr>
          <w:rFonts w:hint="eastAsia" w:ascii="仿宋" w:hAnsi="仿宋" w:eastAsia="仿宋" w:cs="仿宋"/>
          <w:sz w:val="24"/>
          <w:szCs w:val="24"/>
        </w:rPr>
        <w:t>，</w:t>
      </w:r>
      <w:r>
        <w:rPr>
          <w:rStyle w:val="59"/>
          <w:rFonts w:hint="eastAsia" w:ascii="仿宋" w:hAnsi="仿宋" w:eastAsia="仿宋" w:cs="仿宋"/>
          <w:sz w:val="24"/>
          <w:szCs w:val="24"/>
        </w:rPr>
        <w:t>但保险人通过其他途径已经及时知道或者应当及时知道保险事故发生的除外</w:t>
      </w:r>
      <w:r>
        <w:rPr>
          <w:rFonts w:hint="eastAsia" w:ascii="仿宋" w:hAnsi="仿宋" w:eastAsia="仿宋" w:cs="仿宋"/>
          <w:bCs/>
          <w:sz w:val="24"/>
          <w:szCs w:val="24"/>
        </w:rPr>
        <w:t>；</w:t>
      </w:r>
    </w:p>
    <w:p>
      <w:pPr>
        <w:adjustRightInd w:val="0"/>
        <w:snapToGrid w:val="0"/>
        <w:spacing w:line="360" w:lineRule="auto"/>
        <w:ind w:firstLine="480"/>
        <w:rPr>
          <w:rFonts w:ascii="仿宋" w:hAnsi="仿宋" w:eastAsia="仿宋" w:cs="仿宋"/>
          <w:bCs/>
          <w:sz w:val="24"/>
          <w:szCs w:val="24"/>
        </w:rPr>
      </w:pPr>
      <w:r>
        <w:rPr>
          <w:rFonts w:hint="eastAsia" w:ascii="仿宋" w:hAnsi="仿宋" w:eastAsia="仿宋" w:cs="仿宋"/>
          <w:sz w:val="24"/>
          <w:szCs w:val="24"/>
        </w:rPr>
        <w:t>（三）保护事故现场，允许并且协助保险人进行事故调查；对于拒绝或者妨碍保险人进行事故调查导致无法确定事故原因或核实损失情况的，保险人对无法确定或核实的部分不承担赔偿责任。</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第二十二条</w:t>
      </w:r>
      <w:r>
        <w:rPr>
          <w:rFonts w:hint="eastAsia" w:ascii="仿宋" w:hAnsi="仿宋" w:eastAsia="仿宋" w:cs="仿宋"/>
          <w:sz w:val="24"/>
          <w:szCs w:val="24"/>
        </w:rPr>
        <w:t xml:space="preserve">  被保险人收到受害学生或其他索赔权利人的损害赔偿请求时，应立即通知保险人。</w:t>
      </w:r>
      <w:r>
        <w:rPr>
          <w:rFonts w:hint="eastAsia" w:ascii="仿宋" w:hAnsi="仿宋" w:eastAsia="仿宋" w:cs="仿宋"/>
          <w:bCs/>
          <w:sz w:val="24"/>
          <w:szCs w:val="24"/>
        </w:rPr>
        <w:t>未经保险人书面同意，被保险人对受害学生或其他索赔权利人作出的任何承诺、拒绝、出价、约定、付款或赔偿，保险人不受其约束。</w:t>
      </w:r>
      <w:r>
        <w:rPr>
          <w:rStyle w:val="59"/>
          <w:rFonts w:hint="eastAsia" w:ascii="仿宋" w:hAnsi="仿宋" w:eastAsia="仿宋" w:cs="仿宋"/>
          <w:bCs/>
          <w:sz w:val="24"/>
          <w:szCs w:val="24"/>
        </w:rPr>
        <w:t>对于被保险人自行承诺或支付的赔偿金额，保险人有权重新核定，不属于本保险责任范围或超出应赔偿限额的，保险人不承担赔偿责任。</w:t>
      </w:r>
      <w:r>
        <w:rPr>
          <w:rStyle w:val="59"/>
          <w:rFonts w:hint="eastAsia" w:ascii="仿宋" w:hAnsi="仿宋" w:eastAsia="仿宋" w:cs="仿宋"/>
          <w:sz w:val="24"/>
          <w:szCs w:val="24"/>
        </w:rPr>
        <w:t>在处理索赔过程中，保险人有权自行处理由其承担最终赔偿责任的任何索赔案件，被保险人有义务向保险人提供其所能提供的资料和协助</w:t>
      </w:r>
      <w:r>
        <w:rPr>
          <w:rFonts w:hint="eastAsia" w:ascii="仿宋" w:hAnsi="仿宋" w:eastAsia="仿宋" w:cs="仿宋"/>
          <w:bCs/>
          <w:sz w:val="24"/>
          <w:szCs w:val="24"/>
        </w:rPr>
        <w:t>。</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第二十三条</w:t>
      </w:r>
      <w:r>
        <w:rPr>
          <w:rFonts w:hint="eastAsia" w:ascii="仿宋" w:hAnsi="仿宋" w:eastAsia="仿宋" w:cs="仿宋"/>
          <w:sz w:val="24"/>
          <w:szCs w:val="24"/>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对因未及时提供上述通知或必要协助引起或扩大的损失，保险人不承担赔偿责任。</w:t>
      </w:r>
    </w:p>
    <w:p>
      <w:pPr>
        <w:adjustRightInd w:val="0"/>
        <w:snapToGrid w:val="0"/>
        <w:spacing w:line="360" w:lineRule="auto"/>
        <w:rPr>
          <w:rFonts w:ascii="仿宋" w:hAnsi="仿宋" w:eastAsia="仿宋" w:cs="仿宋"/>
          <w:sz w:val="24"/>
          <w:szCs w:val="24"/>
          <w:lang w:val="zh-CN"/>
        </w:rPr>
      </w:pPr>
      <w:r>
        <w:rPr>
          <w:rFonts w:hint="eastAsia" w:ascii="仿宋" w:hAnsi="仿宋" w:eastAsia="仿宋" w:cs="仿宋"/>
          <w:sz w:val="24"/>
          <w:szCs w:val="24"/>
        </w:rPr>
        <w:t xml:space="preserve">   </w:t>
      </w:r>
      <w:r>
        <w:rPr>
          <w:rFonts w:hint="eastAsia" w:ascii="仿宋" w:hAnsi="仿宋" w:eastAsia="仿宋" w:cs="仿宋"/>
          <w:bCs/>
          <w:sz w:val="24"/>
          <w:szCs w:val="24"/>
        </w:rPr>
        <w:t>第二十四条</w:t>
      </w:r>
      <w:r>
        <w:rPr>
          <w:rFonts w:hint="eastAsia" w:ascii="仿宋" w:hAnsi="仿宋" w:eastAsia="仿宋" w:cs="仿宋"/>
          <w:sz w:val="24"/>
          <w:szCs w:val="24"/>
        </w:rPr>
        <w:tab/>
      </w:r>
      <w:r>
        <w:rPr>
          <w:rFonts w:hint="eastAsia" w:ascii="仿宋" w:hAnsi="仿宋" w:eastAsia="仿宋" w:cs="仿宋"/>
          <w:sz w:val="24"/>
          <w:szCs w:val="24"/>
          <w:lang w:val="zh-CN"/>
        </w:rPr>
        <w:t>被保险人向保险人请求赔偿时，应提交保险单正本、索赔申请、</w:t>
      </w:r>
      <w:r>
        <w:rPr>
          <w:rFonts w:hint="eastAsia" w:ascii="仿宋" w:hAnsi="仿宋" w:eastAsia="仿宋" w:cs="仿宋"/>
          <w:sz w:val="24"/>
          <w:szCs w:val="24"/>
        </w:rPr>
        <w:t>国家、省、自治区、直辖市教委批准学校办学的许可证</w:t>
      </w:r>
      <w:r>
        <w:rPr>
          <w:rFonts w:hint="eastAsia" w:ascii="仿宋" w:hAnsi="仿宋" w:eastAsia="仿宋" w:cs="仿宋"/>
          <w:sz w:val="24"/>
          <w:szCs w:val="24"/>
          <w:lang w:val="zh-CN"/>
        </w:rPr>
        <w:t>、损失清单、事故证明、</w:t>
      </w:r>
      <w:r>
        <w:rPr>
          <w:rFonts w:hint="eastAsia" w:ascii="仿宋" w:hAnsi="仿宋" w:eastAsia="仿宋" w:cs="仿宋"/>
          <w:sz w:val="24"/>
          <w:szCs w:val="24"/>
        </w:rPr>
        <w:t>保险人认可的医疗机构或司法机关出具的残疾鉴定诊断书、死亡证明、二级以上（含二级）医院或保险人认可的医疗机构出具的医疗费用收据、诊断证明及病历、有关的法律文书（裁定书、裁决书、判决书、调解书等）</w:t>
      </w:r>
      <w:r>
        <w:rPr>
          <w:rFonts w:hint="eastAsia" w:ascii="仿宋" w:hAnsi="仿宋" w:eastAsia="仿宋" w:cs="仿宋"/>
          <w:sz w:val="24"/>
          <w:szCs w:val="24"/>
          <w:lang w:val="zh-CN"/>
        </w:rPr>
        <w:t>以及</w:t>
      </w:r>
      <w:bookmarkStart w:id="55" w:name="OLE_LINK3"/>
      <w:r>
        <w:rPr>
          <w:rFonts w:hint="eastAsia" w:ascii="仿宋" w:hAnsi="仿宋" w:eastAsia="仿宋" w:cs="仿宋"/>
          <w:sz w:val="24"/>
          <w:szCs w:val="24"/>
        </w:rPr>
        <w:t>其他投保人、被保险人所能提供的与确认保险事故的性质、原因、损失程度等有关的证明和资料</w:t>
      </w:r>
      <w:bookmarkEnd w:id="55"/>
      <w:r>
        <w:rPr>
          <w:rFonts w:hint="eastAsia" w:ascii="仿宋" w:hAnsi="仿宋" w:eastAsia="仿宋" w:cs="仿宋"/>
          <w:sz w:val="24"/>
          <w:szCs w:val="24"/>
          <w:lang w:val="zh-CN"/>
        </w:rPr>
        <w:t>。</w:t>
      </w:r>
    </w:p>
    <w:p>
      <w:pPr>
        <w:adjustRightInd w:val="0"/>
        <w:snapToGrid w:val="0"/>
        <w:spacing w:line="360" w:lineRule="auto"/>
        <w:ind w:firstLine="470" w:firstLineChars="196"/>
        <w:rPr>
          <w:rFonts w:ascii="仿宋" w:hAnsi="仿宋" w:eastAsia="仿宋" w:cs="仿宋"/>
          <w:sz w:val="24"/>
          <w:szCs w:val="24"/>
          <w:lang w:val="zh-CN"/>
        </w:rPr>
      </w:pPr>
      <w:r>
        <w:rPr>
          <w:rFonts w:hint="eastAsia" w:ascii="仿宋" w:hAnsi="仿宋" w:eastAsia="仿宋" w:cs="仿宋"/>
          <w:sz w:val="24"/>
          <w:szCs w:val="24"/>
          <w:lang w:val="zh-CN"/>
        </w:rPr>
        <w:t>投保人、被保险人未履行前款约定的单证提供义务，导致保险人无法核实损失情况的，保险人对无法核实部分不承担赔偿责任。</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第二十五条</w:t>
      </w:r>
      <w:r>
        <w:rPr>
          <w:rFonts w:hint="eastAsia" w:ascii="仿宋" w:hAnsi="仿宋" w:eastAsia="仿宋" w:cs="仿宋"/>
          <w:sz w:val="24"/>
          <w:szCs w:val="24"/>
        </w:rPr>
        <w:t xml:space="preserve">  发生保险责任范围内的损失，应由有关责任方负责赔偿的，被保险人应行使或保留向该责任方请求赔偿的权利。</w:t>
      </w:r>
    </w:p>
    <w:p>
      <w:pPr>
        <w:adjustRightInd w:val="0"/>
        <w:snapToGrid w:val="0"/>
        <w:spacing w:line="360" w:lineRule="auto"/>
        <w:ind w:firstLine="470" w:firstLineChars="196"/>
        <w:rPr>
          <w:rFonts w:ascii="仿宋" w:hAnsi="仿宋" w:eastAsia="仿宋" w:cs="仿宋"/>
          <w:bCs/>
          <w:sz w:val="24"/>
          <w:szCs w:val="24"/>
          <w:lang w:val="zh-CN"/>
        </w:rPr>
      </w:pPr>
      <w:r>
        <w:rPr>
          <w:rFonts w:hint="eastAsia" w:ascii="仿宋" w:hAnsi="仿宋" w:eastAsia="仿宋" w:cs="仿宋"/>
          <w:bCs/>
          <w:sz w:val="24"/>
          <w:szCs w:val="24"/>
          <w:lang w:val="zh-CN"/>
        </w:rPr>
        <w:t>保险事故发生后，保险人未履行赔偿义务之前，被保险人放弃对有关责任方请求赔偿的权利的，保险人不承担赔偿责任。</w:t>
      </w:r>
    </w:p>
    <w:p>
      <w:pPr>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保险人向被保险人赔偿保险金后，被保险人未经保险人同意放弃对有关责任方请求赔偿的权利的，该行为无效。</w:t>
      </w:r>
    </w:p>
    <w:p>
      <w:pPr>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在保险人向有关责任方行使代位请求赔偿权利时，被保险人应当向保险人提供必要的文件和其所知道的有关情况。</w:t>
      </w:r>
    </w:p>
    <w:p>
      <w:pPr>
        <w:adjustRightInd w:val="0"/>
        <w:snapToGrid w:val="0"/>
        <w:spacing w:line="360" w:lineRule="auto"/>
        <w:ind w:firstLine="470" w:firstLineChars="196"/>
        <w:rPr>
          <w:rFonts w:ascii="仿宋" w:hAnsi="仿宋" w:eastAsia="仿宋" w:cs="仿宋"/>
          <w:sz w:val="24"/>
          <w:szCs w:val="24"/>
        </w:rPr>
      </w:pPr>
      <w:r>
        <w:rPr>
          <w:rFonts w:hint="eastAsia" w:ascii="仿宋" w:hAnsi="仿宋" w:eastAsia="仿宋" w:cs="仿宋"/>
          <w:bCs/>
          <w:sz w:val="24"/>
          <w:szCs w:val="24"/>
        </w:rPr>
        <w:t>由于被保险人的故意或者重大过失致使保险人不能行使代位请求赔偿的权利的，保险人可以扣减或者要求返还相应的赔偿金额。</w:t>
      </w:r>
    </w:p>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赔 偿 处 理</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第二十六条</w:t>
      </w:r>
      <w:r>
        <w:rPr>
          <w:rFonts w:hint="eastAsia" w:ascii="仿宋" w:hAnsi="仿宋" w:eastAsia="仿宋" w:cs="仿宋"/>
          <w:sz w:val="24"/>
          <w:szCs w:val="24"/>
        </w:rPr>
        <w:t>　保险人的赔偿以下列方式之一确定的被保险人的赔偿责任为基础：</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（一）被保险人和向其提出损害赔偿请求的受害学生或其他索赔权利人协商并经保险人确认；</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（二）台州仲裁委员会裁决；</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（三）人民法院判决;</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（四）保险人认可的其他方式。（经双方约定的责任保险省级“指导小组”或市级“领导小组”或民事司法调解）</w:t>
      </w:r>
    </w:p>
    <w:p>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第二十七条 </w:t>
      </w:r>
      <w:r>
        <w:rPr>
          <w:rFonts w:hint="eastAsia" w:ascii="仿宋" w:hAnsi="仿宋" w:eastAsia="仿宋" w:cs="仿宋"/>
          <w:sz w:val="24"/>
          <w:szCs w:val="24"/>
        </w:rPr>
        <w:t>被保险人的学生因保险责任范围内的事故遭受损害，被保险人对该受害学生应负的赔偿责任确定的，根据被保险人的请求，保险人直接向该受害学生赔偿保险金。</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被保险人的学生因保险责任范围内的事故遭受损害</w:t>
      </w:r>
      <w:r>
        <w:rPr>
          <w:rFonts w:hint="eastAsia" w:ascii="仿宋" w:hAnsi="仿宋" w:eastAsia="仿宋" w:cs="仿宋"/>
          <w:bCs/>
          <w:sz w:val="24"/>
          <w:szCs w:val="24"/>
        </w:rPr>
        <w:t>，被保险人未向该受害学生赔偿的，保险人不负责向被保险人赔偿保险金。</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第二十八条</w:t>
      </w:r>
      <w:r>
        <w:rPr>
          <w:rFonts w:hint="eastAsia" w:ascii="仿宋" w:hAnsi="仿宋" w:eastAsia="仿宋" w:cs="仿宋"/>
          <w:sz w:val="24"/>
          <w:szCs w:val="24"/>
        </w:rPr>
        <w:t>　发生保险责任范围内的损失，保险人按以下方式计算赔偿：</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（一）对于每次事故造成的损失，保险人在每次事故责任限额内计算赔偿，其中对每个学生的赔偿金额不超过每人责任限额；</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（二）在保险期间内，保险人对多次事故损失的累计赔偿金额不超过累计责任限额。</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第二十九条  对每次事故法律费用的赔偿金额，保险人在第二十八条计算的赔偿金额以外按本保险合同的约定另行计算。</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 xml:space="preserve">第三十条  </w:t>
      </w:r>
      <w:r>
        <w:rPr>
          <w:rStyle w:val="59"/>
          <w:rFonts w:hint="eastAsia" w:ascii="仿宋" w:hAnsi="仿宋" w:eastAsia="仿宋" w:cs="仿宋"/>
          <w:sz w:val="24"/>
          <w:szCs w:val="24"/>
        </w:rPr>
        <w:t>发生保险事故时，如果被保险人的损失能够从其他相同保障的保险项下也获得赔偿，则本保险人按照本保险合同的累计责任限额与所有有关保险合同的累计责任限额总和的比例承担赔偿责任。</w:t>
      </w:r>
      <w:r>
        <w:rPr>
          <w:rFonts w:hint="eastAsia" w:ascii="仿宋" w:hAnsi="仿宋" w:eastAsia="仿宋" w:cs="仿宋"/>
          <w:sz w:val="24"/>
          <w:szCs w:val="24"/>
          <w:lang w:val="zh-CN"/>
        </w:rPr>
        <w:t>其他保险人应承担的赔偿金额，本保险人不负责垫付。</w:t>
      </w:r>
    </w:p>
    <w:p>
      <w:pPr>
        <w:pStyle w:val="60"/>
        <w:widowControl w:val="0"/>
        <w:overflowPunct/>
        <w:autoSpaceDE/>
        <w:autoSpaceDN/>
        <w:snapToGrid w:val="0"/>
        <w:spacing w:line="360" w:lineRule="auto"/>
        <w:ind w:firstLine="480" w:firstLineChars="200"/>
        <w:jc w:val="both"/>
        <w:textAlignment w:val="auto"/>
        <w:rPr>
          <w:rFonts w:ascii="仿宋" w:hAnsi="仿宋" w:eastAsia="仿宋" w:cs="仿宋"/>
          <w:szCs w:val="24"/>
        </w:rPr>
      </w:pPr>
      <w:r>
        <w:rPr>
          <w:rFonts w:hint="eastAsia" w:ascii="仿宋" w:hAnsi="仿宋" w:eastAsia="仿宋" w:cs="仿宋"/>
          <w:szCs w:val="24"/>
        </w:rPr>
        <w:t>被保险人在请求赔偿时应当如实向保险人说明与本保险合同保险责任有关的其他保险合同的情况。对未如实说明导致保险人多支付保险金的，保险人有权向被保险人追回多支付的部分。</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第三十一条  </w:t>
      </w:r>
      <w:r>
        <w:rPr>
          <w:rStyle w:val="59"/>
          <w:rFonts w:hint="eastAsia" w:ascii="仿宋" w:hAnsi="仿宋" w:eastAsia="仿宋" w:cs="仿宋"/>
          <w:sz w:val="24"/>
          <w:szCs w:val="24"/>
        </w:rPr>
        <w:t>被保险人向保险人请求赔偿的诉讼时效期间为二年，自其知道或者应当知道保险事故发生之日起计算。</w:t>
      </w:r>
    </w:p>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争 议 处 理</w:t>
      </w:r>
    </w:p>
    <w:p>
      <w:pPr>
        <w:adjustRightInd w:val="0"/>
        <w:snapToGrid w:val="0"/>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第三十二条  因履行本保险合同发生的争议，由当事人协商解决。协商不成的，提交保险单载明的台州仲裁委员会仲裁；保险单未载明台州仲裁委员会且争议发生后未达成仲裁协议的，应向中华人民共和国人民法院起诉。</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第三十三条 本保险合同的争议处理适用中华人民共和国法律（不包</w:t>
      </w:r>
      <w:r>
        <w:rPr>
          <w:rFonts w:hint="eastAsia" w:ascii="仿宋" w:hAnsi="仿宋" w:eastAsia="仿宋" w:cs="仿宋"/>
          <w:sz w:val="24"/>
          <w:szCs w:val="24"/>
          <w:lang w:val="zh-CN"/>
        </w:rPr>
        <w:t>括港澳台地区法律）</w:t>
      </w:r>
      <w:r>
        <w:rPr>
          <w:rFonts w:hint="eastAsia" w:ascii="仿宋" w:hAnsi="仿宋" w:eastAsia="仿宋" w:cs="仿宋"/>
          <w:sz w:val="24"/>
          <w:szCs w:val="24"/>
        </w:rPr>
        <w:t>。</w:t>
      </w:r>
    </w:p>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其 他 事 项</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第三十四条  保险责任开始前，投保人要求解除保险合同的，应当向保险人支付相当于保险费5%的退保手续费，保险人应当退还剩余部分保险费；保险人要求解除保险合同的，不得向投保人收取手续费并应退还已收取的保险费。</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保险责任开始后，投保人要求解除保险合同的，自通知保险人之日起，保险合同解除，保险人按短期费率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第三十五条  本保险合同自成立时起生效。</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第三十六条  本保险合同所使用的下列名词，其释义如下：</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普通教育机构：是指</w:t>
      </w:r>
      <w:r>
        <w:rPr>
          <w:rFonts w:hint="eastAsia" w:ascii="仿宋" w:hAnsi="仿宋" w:eastAsia="仿宋" w:cs="仿宋"/>
          <w:spacing w:val="7"/>
          <w:sz w:val="24"/>
          <w:szCs w:val="24"/>
        </w:rPr>
        <w:t>依法设立，受各级教育主管机构管辖的教育教学机构。</w:t>
      </w:r>
      <w:r>
        <w:rPr>
          <w:rFonts w:hint="eastAsia" w:ascii="仿宋" w:hAnsi="仿宋" w:eastAsia="仿宋" w:cs="仿宋"/>
          <w:sz w:val="24"/>
          <w:szCs w:val="24"/>
        </w:rPr>
        <w:t>包括托儿所、幼儿园、小学、中学、中专、职业高中、技校、工读学校、特殊学校，以及各类专科、本科、研究生等高等学历层次的教育机构。</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学生：是指在被保险人所在普通教育机构注册就读的受教育者。</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教师：是指与被保险人签订劳动合同、聘用合同的从事教育教学工作的人员。</w:t>
      </w:r>
    </w:p>
    <w:p>
      <w:pPr>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  工作人员：是指与被保险人签订劳动合同的非从事教育教学的人员。</w:t>
      </w:r>
    </w:p>
    <w:p>
      <w:pPr>
        <w:adjustRightInd w:val="0"/>
        <w:snapToGrid w:val="0"/>
        <w:spacing w:line="360" w:lineRule="auto"/>
        <w:ind w:firstLine="477" w:firstLineChars="199"/>
        <w:rPr>
          <w:rFonts w:ascii="仿宋" w:hAnsi="仿宋" w:eastAsia="仿宋" w:cs="仿宋"/>
          <w:sz w:val="24"/>
          <w:szCs w:val="24"/>
        </w:rPr>
      </w:pPr>
      <w:r>
        <w:rPr>
          <w:rFonts w:hint="eastAsia" w:ascii="仿宋" w:hAnsi="仿宋" w:eastAsia="仿宋" w:cs="仿宋"/>
          <w:sz w:val="24"/>
          <w:szCs w:val="24"/>
        </w:rPr>
        <w:t>实习：指被保险人按照专业培养目标要求和教学计划的安排，统一组织或安排在校学生到企业等用人单位进行的顶岗实习。</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附录：</w:t>
      </w:r>
      <w:r>
        <w:rPr>
          <w:rFonts w:hint="eastAsia" w:ascii="仿宋" w:hAnsi="仿宋" w:eastAsia="仿宋" w:cs="仿宋"/>
          <w:bCs/>
          <w:sz w:val="24"/>
          <w:szCs w:val="24"/>
        </w:rPr>
        <w:t>短期费率表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540"/>
        <w:gridCol w:w="540"/>
        <w:gridCol w:w="540"/>
        <w:gridCol w:w="540"/>
        <w:gridCol w:w="540"/>
        <w:gridCol w:w="540"/>
        <w:gridCol w:w="540"/>
        <w:gridCol w:w="540"/>
        <w:gridCol w:w="540"/>
        <w:gridCol w:w="540"/>
        <w:gridCol w:w="537"/>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保险</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期间</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一</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二</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三</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四</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五</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六</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七</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八</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九</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十</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c>
          <w:tcPr>
            <w:tcW w:w="5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十</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一</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十</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二</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个</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年费率的百分比</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20</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30</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40</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50</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60</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70</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80</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85</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90</w:t>
            </w:r>
          </w:p>
        </w:tc>
        <w:tc>
          <w:tcPr>
            <w:tcW w:w="5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100</w:t>
            </w:r>
          </w:p>
        </w:tc>
      </w:tr>
    </w:tbl>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注：保险期间不足一个月的部分按一个月计收。</w:t>
      </w:r>
    </w:p>
    <w:p>
      <w:pPr>
        <w:adjustRightInd w:val="0"/>
        <w:snapToGrid w:val="0"/>
        <w:spacing w:line="360" w:lineRule="auto"/>
        <w:ind w:firstLine="1680" w:firstLineChars="700"/>
        <w:rPr>
          <w:rFonts w:ascii="仿宋" w:hAnsi="仿宋" w:eastAsia="仿宋" w:cs="仿宋"/>
          <w:sz w:val="24"/>
          <w:szCs w:val="24"/>
        </w:rPr>
      </w:pPr>
      <w:r>
        <w:rPr>
          <w:rFonts w:hint="eastAsia" w:ascii="仿宋" w:hAnsi="仿宋" w:eastAsia="仿宋" w:cs="仿宋"/>
          <w:sz w:val="24"/>
          <w:szCs w:val="24"/>
        </w:rPr>
        <w:t>----------------------------------------------------</w:t>
      </w:r>
    </w:p>
    <w:p>
      <w:pPr>
        <w:snapToGrid w:val="0"/>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 xml:space="preserve">                </w:t>
      </w:r>
    </w:p>
    <w:p>
      <w:pPr>
        <w:snapToGrid w:val="0"/>
        <w:spacing w:line="360" w:lineRule="auto"/>
        <w:ind w:firstLine="470" w:firstLineChars="196"/>
        <w:rPr>
          <w:rFonts w:ascii="仿宋" w:hAnsi="仿宋" w:eastAsia="仿宋" w:cs="仿宋"/>
          <w:sz w:val="24"/>
          <w:szCs w:val="24"/>
        </w:rPr>
      </w:pPr>
    </w:p>
    <w:p>
      <w:pPr>
        <w:snapToGrid w:val="0"/>
        <w:spacing w:line="360" w:lineRule="auto"/>
        <w:ind w:firstLine="470" w:firstLineChars="196"/>
        <w:rPr>
          <w:rFonts w:ascii="仿宋" w:hAnsi="仿宋" w:eastAsia="仿宋" w:cs="仿宋"/>
          <w:sz w:val="24"/>
          <w:szCs w:val="24"/>
        </w:rPr>
      </w:pPr>
    </w:p>
    <w:p>
      <w:pPr>
        <w:rPr>
          <w:rFonts w:ascii="仿宋" w:hAnsi="仿宋" w:eastAsia="仿宋" w:cs="仿宋"/>
          <w:b/>
          <w:kern w:val="0"/>
          <w:sz w:val="24"/>
          <w:szCs w:val="24"/>
        </w:rPr>
      </w:pPr>
      <w:r>
        <w:rPr>
          <w:rFonts w:hint="eastAsia" w:ascii="仿宋" w:hAnsi="仿宋" w:eastAsia="仿宋" w:cs="仿宋"/>
          <w:b/>
          <w:kern w:val="0"/>
          <w:sz w:val="24"/>
          <w:szCs w:val="24"/>
        </w:rPr>
        <w:br w:type="page"/>
      </w:r>
    </w:p>
    <w:p>
      <w:pPr>
        <w:snapToGrid w:val="0"/>
        <w:spacing w:line="360" w:lineRule="auto"/>
        <w:ind w:firstLine="472" w:firstLineChars="196"/>
        <w:jc w:val="center"/>
        <w:rPr>
          <w:rFonts w:ascii="仿宋" w:hAnsi="仿宋" w:eastAsia="仿宋" w:cs="仿宋"/>
          <w:b/>
          <w:kern w:val="0"/>
          <w:sz w:val="24"/>
          <w:szCs w:val="24"/>
        </w:rPr>
      </w:pPr>
      <w:r>
        <w:rPr>
          <w:rFonts w:hint="eastAsia" w:ascii="仿宋" w:hAnsi="仿宋" w:eastAsia="仿宋" w:cs="仿宋"/>
          <w:b/>
          <w:kern w:val="0"/>
          <w:sz w:val="24"/>
          <w:szCs w:val="24"/>
        </w:rPr>
        <w:t>附加校方无过失责任保险条款</w:t>
      </w:r>
    </w:p>
    <w:p>
      <w:pPr>
        <w:snapToGrid w:val="0"/>
        <w:spacing w:line="600" w:lineRule="exact"/>
        <w:ind w:firstLine="482" w:firstLineChars="200"/>
        <w:rPr>
          <w:rFonts w:ascii="仿宋" w:hAnsi="仿宋" w:eastAsia="仿宋" w:cs="仿宋"/>
          <w:sz w:val="24"/>
          <w:szCs w:val="24"/>
        </w:rPr>
      </w:pPr>
      <w:r>
        <w:rPr>
          <w:rFonts w:hint="eastAsia" w:ascii="仿宋" w:hAnsi="仿宋" w:eastAsia="仿宋" w:cs="仿宋"/>
          <w:b/>
          <w:sz w:val="24"/>
          <w:szCs w:val="24"/>
        </w:rPr>
        <w:t>第一条</w:t>
      </w:r>
      <w:r>
        <w:rPr>
          <w:rFonts w:hint="eastAsia" w:ascii="仿宋" w:hAnsi="仿宋" w:eastAsia="仿宋" w:cs="仿宋"/>
          <w:sz w:val="24"/>
          <w:szCs w:val="24"/>
        </w:rPr>
        <w:t xml:space="preserve"> 本条款为《中国人民财产保险股份有限公司校（园）方责任保险（2018版）》（以下简称主险）的附加险条款，只有在投保了主险的基础上，方可投保本附加险。</w:t>
      </w:r>
    </w:p>
    <w:p>
      <w:pPr>
        <w:widowControl/>
        <w:spacing w:line="600" w:lineRule="exact"/>
        <w:ind w:firstLine="482" w:firstLineChars="200"/>
        <w:rPr>
          <w:rFonts w:ascii="仿宋" w:hAnsi="仿宋" w:eastAsia="仿宋" w:cs="仿宋"/>
          <w:kern w:val="0"/>
          <w:sz w:val="24"/>
          <w:szCs w:val="24"/>
        </w:rPr>
      </w:pPr>
      <w:r>
        <w:rPr>
          <w:rFonts w:hint="eastAsia" w:ascii="仿宋" w:hAnsi="仿宋" w:eastAsia="仿宋" w:cs="仿宋"/>
          <w:b/>
          <w:kern w:val="0"/>
          <w:sz w:val="24"/>
          <w:szCs w:val="24"/>
        </w:rPr>
        <w:t xml:space="preserve">第二条 </w:t>
      </w:r>
      <w:r>
        <w:rPr>
          <w:rFonts w:hint="eastAsia" w:ascii="仿宋" w:hAnsi="仿宋" w:eastAsia="仿宋" w:cs="仿宋"/>
          <w:kern w:val="0"/>
          <w:sz w:val="24"/>
          <w:szCs w:val="24"/>
        </w:rPr>
        <w:t>在保险期间内，因发生主险或其他附加险责任范围内的事故造成学生人身伤亡，尽管被保险人已经履行了相应职责、行为并无不当，但依据判决、裁决、司法调解或行政调解 ，被保险人仍需对受伤害学生给予经济补偿时，保险人按照本保险合同的约定负责赔偿。</w:t>
      </w:r>
    </w:p>
    <w:p>
      <w:pPr>
        <w:widowControl/>
        <w:spacing w:line="600" w:lineRule="exact"/>
        <w:ind w:firstLine="482" w:firstLineChars="200"/>
        <w:rPr>
          <w:rFonts w:ascii="仿宋" w:hAnsi="仿宋" w:eastAsia="仿宋" w:cs="仿宋"/>
          <w:kern w:val="0"/>
          <w:sz w:val="24"/>
          <w:szCs w:val="24"/>
        </w:rPr>
      </w:pPr>
      <w:r>
        <w:rPr>
          <w:rFonts w:hint="eastAsia" w:ascii="仿宋" w:hAnsi="仿宋" w:eastAsia="仿宋" w:cs="仿宋"/>
          <w:b/>
          <w:kern w:val="0"/>
          <w:sz w:val="24"/>
          <w:szCs w:val="24"/>
        </w:rPr>
        <w:t>第三条</w:t>
      </w:r>
      <w:r>
        <w:rPr>
          <w:rFonts w:hint="eastAsia" w:ascii="仿宋" w:hAnsi="仿宋" w:eastAsia="仿宋" w:cs="仿宋"/>
          <w:kern w:val="0"/>
          <w:sz w:val="24"/>
          <w:szCs w:val="24"/>
        </w:rPr>
        <w:t xml:space="preserve"> 除另有约定外，责任限额包括每人责任限额、每次事故责任限额及累计责任限额。</w:t>
      </w:r>
    </w:p>
    <w:p>
      <w:pPr>
        <w:widowControl/>
        <w:spacing w:line="6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各项责任限额由投保人和保险人协商确定，并在保险单中载明。</w:t>
      </w:r>
    </w:p>
    <w:p>
      <w:pPr>
        <w:widowControl/>
        <w:spacing w:line="600" w:lineRule="exact"/>
        <w:ind w:firstLine="482" w:firstLineChars="200"/>
        <w:rPr>
          <w:rFonts w:ascii="仿宋" w:hAnsi="仿宋" w:eastAsia="仿宋" w:cs="仿宋"/>
          <w:kern w:val="0"/>
          <w:sz w:val="24"/>
          <w:szCs w:val="24"/>
        </w:rPr>
      </w:pPr>
      <w:r>
        <w:rPr>
          <w:rFonts w:hint="eastAsia" w:ascii="仿宋" w:hAnsi="仿宋" w:eastAsia="仿宋" w:cs="仿宋"/>
          <w:b/>
          <w:kern w:val="0"/>
          <w:sz w:val="24"/>
          <w:szCs w:val="24"/>
        </w:rPr>
        <w:t xml:space="preserve">第四条 </w:t>
      </w:r>
      <w:r>
        <w:rPr>
          <w:rFonts w:hint="eastAsia" w:ascii="仿宋" w:hAnsi="仿宋" w:eastAsia="仿宋" w:cs="仿宋"/>
          <w:kern w:val="0"/>
          <w:sz w:val="24"/>
          <w:szCs w:val="24"/>
        </w:rPr>
        <w:t>除另有约定外，发生本附加险保险责任范围内的保险事故后，保险人在主险约定的各项责任限额之外，按照以下方式计算赔偿：</w:t>
      </w:r>
    </w:p>
    <w:p>
      <w:pPr>
        <w:widowControl/>
        <w:spacing w:line="6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（一）对于每名学生人身伤亡的赔偿，保险人在每人责任限额内赔偿；</w:t>
      </w:r>
    </w:p>
    <w:p>
      <w:pPr>
        <w:widowControl/>
        <w:spacing w:line="6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（二）对于每次事故造成的损失，保险人在每次事故责任限额内赔偿；</w:t>
      </w:r>
    </w:p>
    <w:p>
      <w:pPr>
        <w:widowControl/>
        <w:spacing w:line="6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（三）在保险期间内，保险人对多次事故的赔偿金额不超过累计责任限额。</w:t>
      </w:r>
    </w:p>
    <w:p>
      <w:pPr>
        <w:spacing w:line="6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第五条</w:t>
      </w:r>
      <w:r>
        <w:rPr>
          <w:rFonts w:hint="eastAsia" w:ascii="仿宋" w:hAnsi="仿宋" w:eastAsia="仿宋" w:cs="仿宋"/>
          <w:sz w:val="24"/>
          <w:szCs w:val="24"/>
        </w:rPr>
        <w:t xml:space="preserve"> 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pPr>
        <w:spacing w:line="600" w:lineRule="exact"/>
        <w:ind w:firstLine="480" w:firstLineChars="200"/>
        <w:rPr>
          <w:rFonts w:ascii="仿宋" w:hAnsi="仿宋" w:eastAsia="仿宋" w:cs="仿宋"/>
          <w:sz w:val="24"/>
          <w:szCs w:val="24"/>
        </w:rPr>
      </w:pPr>
    </w:p>
    <w:p>
      <w:pPr>
        <w:rPr>
          <w:rFonts w:ascii="仿宋" w:hAnsi="仿宋" w:eastAsia="仿宋" w:cs="仿宋"/>
          <w:b/>
          <w:sz w:val="24"/>
          <w:szCs w:val="24"/>
        </w:rPr>
        <w:sectPr>
          <w:pgSz w:w="11906" w:h="16838"/>
          <w:pgMar w:top="1440" w:right="1440" w:bottom="1440" w:left="1701" w:header="851" w:footer="992" w:gutter="0"/>
          <w:pgNumType w:fmt="decimal" w:start="1"/>
          <w:cols w:space="720" w:num="1"/>
          <w:docGrid w:linePitch="312" w:charSpace="0"/>
        </w:sectPr>
      </w:pPr>
    </w:p>
    <w:p>
      <w:pPr>
        <w:outlineLvl w:val="1"/>
        <w:rPr>
          <w:rFonts w:ascii="仿宋" w:hAnsi="仿宋" w:eastAsia="仿宋" w:cs="仿宋"/>
          <w:b/>
          <w:sz w:val="24"/>
          <w:szCs w:val="24"/>
        </w:rPr>
      </w:pPr>
      <w:r>
        <w:rPr>
          <w:rFonts w:hint="eastAsia" w:ascii="仿宋" w:hAnsi="仿宋" w:eastAsia="仿宋" w:cs="仿宋"/>
          <w:b/>
          <w:sz w:val="24"/>
          <w:szCs w:val="24"/>
        </w:rPr>
        <w:t xml:space="preserve">附件二 </w:t>
      </w:r>
    </w:p>
    <w:p>
      <w:pPr>
        <w:jc w:val="center"/>
        <w:outlineLvl w:val="1"/>
        <w:rPr>
          <w:rFonts w:ascii="仿宋" w:hAnsi="仿宋" w:eastAsia="仿宋" w:cs="仿宋"/>
          <w:b/>
          <w:sz w:val="24"/>
          <w:szCs w:val="24"/>
        </w:rPr>
      </w:pPr>
      <w:r>
        <w:rPr>
          <w:rFonts w:hint="eastAsia" w:ascii="仿宋" w:hAnsi="仿宋" w:eastAsia="仿宋" w:cs="仿宋"/>
          <w:b/>
          <w:sz w:val="24"/>
          <w:szCs w:val="24"/>
        </w:rPr>
        <w:t>浙江省教职员工校（园）方责任保险条款</w:t>
      </w:r>
    </w:p>
    <w:p>
      <w:pPr>
        <w:spacing w:after="120" w:afterLines="50"/>
        <w:jc w:val="center"/>
        <w:rPr>
          <w:rFonts w:ascii="仿宋" w:hAnsi="仿宋" w:eastAsia="仿宋" w:cs="仿宋"/>
          <w:b/>
          <w:bCs/>
          <w:sz w:val="24"/>
          <w:szCs w:val="24"/>
        </w:rPr>
      </w:pPr>
    </w:p>
    <w:p>
      <w:pPr>
        <w:spacing w:after="120" w:afterLines="50"/>
        <w:jc w:val="center"/>
        <w:rPr>
          <w:rFonts w:ascii="仿宋" w:hAnsi="仿宋" w:eastAsia="仿宋" w:cs="仿宋"/>
          <w:b/>
          <w:bCs/>
          <w:sz w:val="24"/>
          <w:szCs w:val="24"/>
        </w:rPr>
      </w:pPr>
      <w:r>
        <w:rPr>
          <w:rFonts w:hint="eastAsia" w:ascii="仿宋" w:hAnsi="仿宋" w:eastAsia="仿宋" w:cs="仿宋"/>
          <w:b/>
          <w:bCs/>
          <w:sz w:val="24"/>
          <w:szCs w:val="24"/>
        </w:rPr>
        <w:t>总则</w:t>
      </w:r>
    </w:p>
    <w:p>
      <w:pPr>
        <w:spacing w:after="120" w:afterLines="50"/>
        <w:ind w:firstLine="360"/>
        <w:rPr>
          <w:rFonts w:ascii="仿宋" w:hAnsi="仿宋" w:eastAsia="仿宋" w:cs="仿宋"/>
          <w:sz w:val="24"/>
          <w:szCs w:val="24"/>
        </w:rPr>
      </w:pPr>
      <w:r>
        <w:rPr>
          <w:rFonts w:hint="eastAsia" w:ascii="仿宋" w:hAnsi="仿宋" w:eastAsia="仿宋" w:cs="仿宋"/>
          <w:b/>
          <w:bCs/>
          <w:sz w:val="24"/>
          <w:szCs w:val="24"/>
        </w:rPr>
        <w:t>第一条</w:t>
      </w:r>
      <w:r>
        <w:rPr>
          <w:rFonts w:hint="eastAsia" w:ascii="仿宋" w:hAnsi="仿宋" w:eastAsia="仿宋" w:cs="仿宋"/>
          <w:sz w:val="24"/>
          <w:szCs w:val="24"/>
        </w:rPr>
        <w:t xml:space="preserve">  本保险合同由保险条款、投保单、保险单及批单组成。凡涉及本保险合同的约定，均应采用书面形式。</w:t>
      </w:r>
    </w:p>
    <w:p>
      <w:pPr>
        <w:spacing w:after="120" w:afterLines="50"/>
        <w:ind w:firstLine="360"/>
        <w:rPr>
          <w:rFonts w:ascii="仿宋" w:hAnsi="仿宋" w:eastAsia="仿宋" w:cs="仿宋"/>
          <w:sz w:val="24"/>
          <w:szCs w:val="24"/>
        </w:rPr>
      </w:pPr>
      <w:r>
        <w:rPr>
          <w:rFonts w:hint="eastAsia" w:ascii="仿宋" w:hAnsi="仿宋" w:eastAsia="仿宋" w:cs="仿宋"/>
          <w:b/>
          <w:bCs/>
          <w:sz w:val="24"/>
          <w:szCs w:val="24"/>
        </w:rPr>
        <w:t xml:space="preserve">第二条 </w:t>
      </w:r>
      <w:r>
        <w:rPr>
          <w:rFonts w:hint="eastAsia" w:ascii="仿宋" w:hAnsi="仿宋" w:eastAsia="仿宋" w:cs="仿宋"/>
          <w:sz w:val="24"/>
          <w:szCs w:val="24"/>
        </w:rPr>
        <w:t xml:space="preserve"> 凡在中华人民共和国境内（不包括港、澳、台地区）经教育行政主管部门批准或登记注册、以实施学制系统内各阶段教育为主的教育机构，均可作为本保险合同的被保险人。</w:t>
      </w:r>
    </w:p>
    <w:p>
      <w:pPr>
        <w:spacing w:after="120" w:afterLines="50"/>
        <w:ind w:firstLine="360"/>
        <w:rPr>
          <w:rFonts w:ascii="仿宋" w:hAnsi="仿宋" w:eastAsia="仿宋" w:cs="仿宋"/>
          <w:sz w:val="24"/>
          <w:szCs w:val="24"/>
        </w:rPr>
      </w:pPr>
      <w:r>
        <w:rPr>
          <w:rFonts w:hint="eastAsia" w:ascii="仿宋" w:hAnsi="仿宋" w:eastAsia="仿宋" w:cs="仿宋"/>
          <w:sz w:val="24"/>
          <w:szCs w:val="24"/>
        </w:rPr>
        <w:t>前款所称教育机构包括幼儿园、小学、初级中学、高级中学或完全中学、各类中等专业学校、职业学校、技工学校、普通高等学校、具有颁发学历证明资格的成人学校，以及其它专门实施学历性教育的教育机构。</w:t>
      </w:r>
    </w:p>
    <w:p>
      <w:pPr>
        <w:spacing w:after="120" w:afterLines="50"/>
        <w:ind w:firstLine="360"/>
        <w:rPr>
          <w:rFonts w:ascii="仿宋" w:hAnsi="仿宋" w:eastAsia="仿宋" w:cs="仿宋"/>
          <w:sz w:val="24"/>
          <w:szCs w:val="24"/>
        </w:rPr>
      </w:pPr>
    </w:p>
    <w:p>
      <w:pPr>
        <w:spacing w:after="120" w:afterLines="50"/>
        <w:jc w:val="center"/>
        <w:rPr>
          <w:rFonts w:ascii="仿宋" w:hAnsi="仿宋" w:eastAsia="仿宋" w:cs="仿宋"/>
          <w:b/>
          <w:bCs/>
          <w:sz w:val="24"/>
          <w:szCs w:val="24"/>
        </w:rPr>
      </w:pPr>
      <w:r>
        <w:rPr>
          <w:rFonts w:hint="eastAsia" w:ascii="仿宋" w:hAnsi="仿宋" w:eastAsia="仿宋" w:cs="仿宋"/>
          <w:b/>
          <w:bCs/>
          <w:sz w:val="24"/>
          <w:szCs w:val="24"/>
        </w:rPr>
        <w:t>保险责任</w:t>
      </w:r>
    </w:p>
    <w:p>
      <w:pPr>
        <w:spacing w:after="120" w:afterLines="50"/>
        <w:ind w:firstLine="360"/>
        <w:rPr>
          <w:rFonts w:ascii="仿宋" w:hAnsi="仿宋" w:eastAsia="仿宋" w:cs="仿宋"/>
          <w:sz w:val="24"/>
          <w:szCs w:val="24"/>
        </w:rPr>
      </w:pPr>
      <w:r>
        <w:rPr>
          <w:rFonts w:hint="eastAsia" w:ascii="仿宋" w:hAnsi="仿宋" w:eastAsia="仿宋" w:cs="仿宋"/>
          <w:b/>
          <w:bCs/>
          <w:sz w:val="24"/>
          <w:szCs w:val="24"/>
        </w:rPr>
        <w:t>第三条</w:t>
      </w:r>
      <w:r>
        <w:rPr>
          <w:rFonts w:hint="eastAsia" w:ascii="仿宋" w:hAnsi="仿宋" w:eastAsia="仿宋" w:cs="仿宋"/>
          <w:sz w:val="24"/>
          <w:szCs w:val="24"/>
        </w:rPr>
        <w:t xml:space="preserve">  保险期间内，保险单载明的被保险人的教职员工由于下列原因遭受人身伤亡，依照中华人民共和国法律应由被保险人承担的经济赔偿责任，保险人按照本保险合同约定负责赔偿：</w:t>
      </w:r>
    </w:p>
    <w:p>
      <w:pPr>
        <w:spacing w:after="120" w:afterLines="50"/>
        <w:ind w:firstLine="360"/>
        <w:rPr>
          <w:rFonts w:ascii="仿宋" w:hAnsi="仿宋" w:eastAsia="仿宋" w:cs="仿宋"/>
          <w:sz w:val="24"/>
          <w:szCs w:val="24"/>
        </w:rPr>
      </w:pPr>
      <w:r>
        <w:rPr>
          <w:rFonts w:hint="eastAsia" w:ascii="仿宋" w:hAnsi="仿宋" w:eastAsia="仿宋" w:cs="仿宋"/>
          <w:sz w:val="24"/>
          <w:szCs w:val="24"/>
        </w:rPr>
        <w:t>（一）在被保险人的工作场所内从事被保险人的工作期间遭受意外伤害事故；</w:t>
      </w:r>
    </w:p>
    <w:p>
      <w:pPr>
        <w:spacing w:after="120" w:afterLines="50"/>
        <w:ind w:firstLine="360"/>
        <w:rPr>
          <w:rFonts w:ascii="仿宋" w:hAnsi="仿宋" w:eastAsia="仿宋" w:cs="仿宋"/>
          <w:sz w:val="24"/>
          <w:szCs w:val="24"/>
        </w:rPr>
      </w:pPr>
      <w:r>
        <w:rPr>
          <w:rFonts w:hint="eastAsia" w:ascii="仿宋" w:hAnsi="仿宋" w:eastAsia="仿宋" w:cs="仿宋"/>
          <w:sz w:val="24"/>
          <w:szCs w:val="24"/>
        </w:rPr>
        <w:t xml:space="preserve">（二）上下班途中遭受交通事故； </w:t>
      </w:r>
    </w:p>
    <w:p>
      <w:pPr>
        <w:spacing w:after="120" w:afterLines="50"/>
        <w:ind w:firstLine="360"/>
        <w:rPr>
          <w:rFonts w:ascii="仿宋" w:hAnsi="仿宋" w:eastAsia="仿宋" w:cs="仿宋"/>
          <w:sz w:val="24"/>
          <w:szCs w:val="24"/>
        </w:rPr>
      </w:pPr>
      <w:r>
        <w:rPr>
          <w:rFonts w:hint="eastAsia" w:ascii="仿宋" w:hAnsi="仿宋" w:eastAsia="仿宋" w:cs="仿宋"/>
          <w:sz w:val="24"/>
          <w:szCs w:val="24"/>
        </w:rPr>
        <w:t>（三）在中华人民共和国境内（不含港、澳、台地区），因工外出期间由于工作原因遭受意外伤害事故；</w:t>
      </w:r>
    </w:p>
    <w:p>
      <w:pPr>
        <w:spacing w:after="120" w:afterLines="50"/>
        <w:ind w:firstLine="360"/>
        <w:rPr>
          <w:rFonts w:ascii="仿宋" w:hAnsi="仿宋" w:eastAsia="仿宋" w:cs="仿宋"/>
          <w:sz w:val="24"/>
          <w:szCs w:val="24"/>
        </w:rPr>
      </w:pPr>
      <w:r>
        <w:rPr>
          <w:rFonts w:hint="eastAsia" w:ascii="仿宋" w:hAnsi="仿宋" w:eastAsia="仿宋" w:cs="仿宋"/>
          <w:sz w:val="24"/>
          <w:szCs w:val="24"/>
        </w:rPr>
        <w:t>（四）在由被保险人统一组织的活动中遭受意外伤害事故；</w:t>
      </w:r>
    </w:p>
    <w:p>
      <w:pPr>
        <w:spacing w:after="120" w:afterLines="50"/>
        <w:ind w:firstLine="360"/>
        <w:rPr>
          <w:rFonts w:ascii="仿宋" w:hAnsi="仿宋" w:eastAsia="仿宋" w:cs="仿宋"/>
          <w:sz w:val="24"/>
          <w:szCs w:val="24"/>
        </w:rPr>
      </w:pPr>
      <w:r>
        <w:rPr>
          <w:rFonts w:hint="eastAsia" w:ascii="仿宋" w:hAnsi="仿宋" w:eastAsia="仿宋" w:cs="仿宋"/>
          <w:sz w:val="24"/>
          <w:szCs w:val="24"/>
        </w:rPr>
        <w:t>（五）在从事被保险人的工作期间罹患职业病。</w:t>
      </w:r>
    </w:p>
    <w:p>
      <w:pPr>
        <w:spacing w:after="120" w:afterLines="50"/>
        <w:ind w:firstLine="360"/>
        <w:rPr>
          <w:rFonts w:ascii="仿宋" w:hAnsi="仿宋" w:eastAsia="仿宋" w:cs="仿宋"/>
          <w:sz w:val="24"/>
          <w:szCs w:val="24"/>
        </w:rPr>
      </w:pPr>
      <w:r>
        <w:rPr>
          <w:rFonts w:hint="eastAsia" w:ascii="仿宋" w:hAnsi="仿宋" w:eastAsia="仿宋" w:cs="仿宋"/>
          <w:b/>
          <w:bCs/>
          <w:sz w:val="24"/>
          <w:szCs w:val="24"/>
        </w:rPr>
        <w:t>第四条</w:t>
      </w:r>
      <w:r>
        <w:rPr>
          <w:rFonts w:hint="eastAsia" w:ascii="仿宋" w:hAnsi="仿宋" w:eastAsia="仿宋" w:cs="仿宋"/>
          <w:sz w:val="24"/>
          <w:szCs w:val="24"/>
        </w:rPr>
        <w:t xml:space="preserve">  保险事故发生后，被保险人因保险事故而被提起仲裁或者诉讼的，对应由被保险人支付的仲裁或诉讼费用以及其它必要的、合理的费用（以下简称“法律费用”），经保险人事先书面同意，保险人按照本保险合同约定也负责赔偿。</w:t>
      </w:r>
    </w:p>
    <w:p>
      <w:pPr>
        <w:spacing w:after="120" w:afterLines="50"/>
        <w:ind w:firstLine="360"/>
        <w:rPr>
          <w:rFonts w:ascii="仿宋" w:hAnsi="仿宋" w:eastAsia="仿宋" w:cs="仿宋"/>
          <w:sz w:val="24"/>
          <w:szCs w:val="24"/>
        </w:rPr>
      </w:pPr>
    </w:p>
    <w:p>
      <w:pPr>
        <w:spacing w:after="120" w:afterLines="50"/>
        <w:jc w:val="center"/>
        <w:rPr>
          <w:rFonts w:ascii="仿宋" w:hAnsi="仿宋" w:eastAsia="仿宋" w:cs="仿宋"/>
          <w:b/>
          <w:bCs/>
          <w:sz w:val="24"/>
          <w:szCs w:val="24"/>
        </w:rPr>
      </w:pPr>
      <w:r>
        <w:rPr>
          <w:rFonts w:hint="eastAsia" w:ascii="仿宋" w:hAnsi="仿宋" w:eastAsia="仿宋" w:cs="仿宋"/>
          <w:b/>
          <w:bCs/>
          <w:sz w:val="24"/>
          <w:szCs w:val="24"/>
        </w:rPr>
        <w:t>责任免除</w:t>
      </w:r>
    </w:p>
    <w:p>
      <w:pPr>
        <w:spacing w:after="120" w:afterLines="50"/>
        <w:ind w:firstLine="360"/>
        <w:rPr>
          <w:rFonts w:ascii="仿宋" w:hAnsi="仿宋" w:eastAsia="仿宋" w:cs="仿宋"/>
          <w:b/>
          <w:sz w:val="24"/>
          <w:szCs w:val="24"/>
        </w:rPr>
      </w:pPr>
      <w:r>
        <w:rPr>
          <w:rFonts w:hint="eastAsia" w:ascii="仿宋" w:hAnsi="仿宋" w:eastAsia="仿宋" w:cs="仿宋"/>
          <w:b/>
          <w:bCs/>
          <w:sz w:val="24"/>
          <w:szCs w:val="24"/>
        </w:rPr>
        <w:t xml:space="preserve">第五条  </w:t>
      </w:r>
      <w:r>
        <w:rPr>
          <w:rFonts w:hint="eastAsia" w:ascii="仿宋" w:hAnsi="仿宋" w:eastAsia="仿宋" w:cs="仿宋"/>
          <w:b/>
          <w:sz w:val="24"/>
          <w:szCs w:val="24"/>
        </w:rPr>
        <w:t>下列原因造成的损失、费用和责任，保险人不负责赔偿：</w:t>
      </w:r>
    </w:p>
    <w:p>
      <w:pPr>
        <w:spacing w:after="120" w:afterLines="50"/>
        <w:ind w:firstLine="360"/>
        <w:rPr>
          <w:rFonts w:ascii="仿宋" w:hAnsi="仿宋" w:eastAsia="仿宋" w:cs="仿宋"/>
          <w:b/>
          <w:sz w:val="24"/>
          <w:szCs w:val="24"/>
        </w:rPr>
      </w:pPr>
      <w:r>
        <w:rPr>
          <w:rFonts w:hint="eastAsia" w:ascii="仿宋" w:hAnsi="仿宋" w:eastAsia="仿宋" w:cs="仿宋"/>
          <w:b/>
          <w:sz w:val="24"/>
          <w:szCs w:val="24"/>
        </w:rPr>
        <w:t>（一）投保人、被保险人或其教职员工的故意行为或违法行为；</w:t>
      </w:r>
    </w:p>
    <w:p>
      <w:pPr>
        <w:spacing w:after="120" w:afterLines="50"/>
        <w:ind w:firstLine="360"/>
        <w:rPr>
          <w:rFonts w:ascii="仿宋" w:hAnsi="仿宋" w:eastAsia="仿宋" w:cs="仿宋"/>
          <w:b/>
          <w:sz w:val="24"/>
          <w:szCs w:val="24"/>
        </w:rPr>
      </w:pPr>
      <w:r>
        <w:rPr>
          <w:rFonts w:hint="eastAsia" w:ascii="仿宋" w:hAnsi="仿宋" w:eastAsia="仿宋" w:cs="仿宋"/>
          <w:b/>
          <w:sz w:val="24"/>
          <w:szCs w:val="24"/>
        </w:rPr>
        <w:t>（二）战争、类似战争行为、军事行动、武装冲突、恐怖活动、反恐怖活动、暴动、动乱、内乱、骚乱；</w:t>
      </w:r>
    </w:p>
    <w:p>
      <w:pPr>
        <w:spacing w:after="120" w:afterLines="50"/>
        <w:ind w:firstLine="360"/>
        <w:rPr>
          <w:rFonts w:ascii="仿宋" w:hAnsi="仿宋" w:eastAsia="仿宋" w:cs="仿宋"/>
          <w:b/>
          <w:sz w:val="24"/>
          <w:szCs w:val="24"/>
        </w:rPr>
      </w:pPr>
      <w:r>
        <w:rPr>
          <w:rFonts w:hint="eastAsia" w:ascii="仿宋" w:hAnsi="仿宋" w:eastAsia="仿宋" w:cs="仿宋"/>
          <w:b/>
          <w:sz w:val="24"/>
          <w:szCs w:val="24"/>
        </w:rPr>
        <w:t>（三）核爆炸、核辐射、核污染及其它放射性污染，大气、土地、水污染及其它各种污染；</w:t>
      </w:r>
    </w:p>
    <w:p>
      <w:pPr>
        <w:spacing w:after="120" w:afterLines="50"/>
        <w:ind w:firstLine="360"/>
        <w:rPr>
          <w:rFonts w:ascii="仿宋" w:hAnsi="仿宋" w:eastAsia="仿宋" w:cs="仿宋"/>
          <w:b/>
          <w:sz w:val="24"/>
          <w:szCs w:val="24"/>
        </w:rPr>
      </w:pPr>
      <w:r>
        <w:rPr>
          <w:rFonts w:hint="eastAsia" w:ascii="仿宋" w:hAnsi="仿宋" w:eastAsia="仿宋" w:cs="仿宋"/>
          <w:b/>
          <w:sz w:val="24"/>
          <w:szCs w:val="24"/>
        </w:rPr>
        <w:t>（四）行政行为或司法行为。</w:t>
      </w:r>
    </w:p>
    <w:p>
      <w:pPr>
        <w:spacing w:after="120" w:afterLines="50"/>
        <w:ind w:firstLine="360"/>
        <w:rPr>
          <w:rFonts w:ascii="仿宋" w:hAnsi="仿宋" w:eastAsia="仿宋" w:cs="仿宋"/>
          <w:b/>
          <w:sz w:val="24"/>
          <w:szCs w:val="24"/>
        </w:rPr>
      </w:pPr>
      <w:r>
        <w:rPr>
          <w:rFonts w:hint="eastAsia" w:ascii="仿宋" w:hAnsi="仿宋" w:eastAsia="仿宋" w:cs="仿宋"/>
          <w:b/>
          <w:bCs/>
          <w:sz w:val="24"/>
          <w:szCs w:val="24"/>
        </w:rPr>
        <w:t>第六条</w:t>
      </w:r>
      <w:r>
        <w:rPr>
          <w:rFonts w:hint="eastAsia" w:ascii="仿宋" w:hAnsi="仿宋" w:eastAsia="仿宋" w:cs="仿宋"/>
          <w:b/>
          <w:sz w:val="24"/>
          <w:szCs w:val="24"/>
        </w:rPr>
        <w:t xml:space="preserve">  被保险人的教职员工因下列原因造成人身伤亡的，保险人不负责赔偿：</w:t>
      </w:r>
    </w:p>
    <w:p>
      <w:pPr>
        <w:spacing w:after="120" w:afterLines="50"/>
        <w:ind w:firstLine="360"/>
        <w:rPr>
          <w:rFonts w:ascii="仿宋" w:hAnsi="仿宋" w:eastAsia="仿宋" w:cs="仿宋"/>
          <w:b/>
          <w:sz w:val="24"/>
          <w:szCs w:val="24"/>
        </w:rPr>
      </w:pPr>
      <w:r>
        <w:rPr>
          <w:rFonts w:hint="eastAsia" w:ascii="仿宋" w:hAnsi="仿宋" w:eastAsia="仿宋" w:cs="仿宋"/>
          <w:b/>
          <w:sz w:val="24"/>
          <w:szCs w:val="24"/>
        </w:rPr>
        <w:t>（一）职业病以外的疾病、传染病、分娩、流产以及因上述原因接受医疗、诊治；</w:t>
      </w:r>
    </w:p>
    <w:p>
      <w:pPr>
        <w:spacing w:after="120" w:afterLines="50"/>
        <w:ind w:firstLine="360"/>
        <w:rPr>
          <w:rFonts w:ascii="仿宋" w:hAnsi="仿宋" w:eastAsia="仿宋" w:cs="仿宋"/>
          <w:b/>
          <w:sz w:val="24"/>
          <w:szCs w:val="24"/>
        </w:rPr>
      </w:pPr>
      <w:r>
        <w:rPr>
          <w:rFonts w:hint="eastAsia" w:ascii="仿宋" w:hAnsi="仿宋" w:eastAsia="仿宋" w:cs="仿宋"/>
          <w:b/>
          <w:sz w:val="24"/>
          <w:szCs w:val="24"/>
        </w:rPr>
        <w:t>（二）自残、自伤、自杀、打架、斗殴及无合法有效驾驶证照驾驶各种机动车辆；</w:t>
      </w:r>
    </w:p>
    <w:p>
      <w:pPr>
        <w:spacing w:after="120" w:afterLines="50"/>
        <w:ind w:firstLine="360"/>
        <w:rPr>
          <w:rFonts w:ascii="仿宋" w:hAnsi="仿宋" w:eastAsia="仿宋" w:cs="仿宋"/>
          <w:b/>
          <w:sz w:val="24"/>
          <w:szCs w:val="24"/>
        </w:rPr>
      </w:pPr>
      <w:r>
        <w:rPr>
          <w:rFonts w:hint="eastAsia" w:ascii="仿宋" w:hAnsi="仿宋" w:eastAsia="仿宋" w:cs="仿宋"/>
          <w:b/>
          <w:sz w:val="24"/>
          <w:szCs w:val="24"/>
        </w:rPr>
        <w:t>（三）因非职业原因受酒精或药剂的影响。</w:t>
      </w:r>
    </w:p>
    <w:p>
      <w:pPr>
        <w:spacing w:after="120" w:afterLines="50"/>
        <w:ind w:firstLine="360"/>
        <w:rPr>
          <w:rFonts w:ascii="仿宋" w:hAnsi="仿宋" w:eastAsia="仿宋" w:cs="仿宋"/>
          <w:b/>
          <w:sz w:val="24"/>
          <w:szCs w:val="24"/>
        </w:rPr>
      </w:pPr>
      <w:r>
        <w:rPr>
          <w:rFonts w:hint="eastAsia" w:ascii="仿宋" w:hAnsi="仿宋" w:eastAsia="仿宋" w:cs="仿宋"/>
          <w:b/>
          <w:bCs/>
          <w:sz w:val="24"/>
          <w:szCs w:val="24"/>
        </w:rPr>
        <w:t>第七条</w:t>
      </w:r>
      <w:r>
        <w:rPr>
          <w:rFonts w:hint="eastAsia" w:ascii="仿宋" w:hAnsi="仿宋" w:eastAsia="仿宋" w:cs="仿宋"/>
          <w:b/>
          <w:sz w:val="24"/>
          <w:szCs w:val="24"/>
        </w:rPr>
        <w:t xml:space="preserve">  下列损失、费用和责任，保险人不负责赔偿：</w:t>
      </w:r>
    </w:p>
    <w:p>
      <w:pPr>
        <w:spacing w:after="120" w:afterLines="50"/>
        <w:ind w:firstLine="360"/>
        <w:rPr>
          <w:rFonts w:ascii="仿宋" w:hAnsi="仿宋" w:eastAsia="仿宋" w:cs="仿宋"/>
          <w:b/>
          <w:sz w:val="24"/>
          <w:szCs w:val="24"/>
        </w:rPr>
      </w:pPr>
      <w:r>
        <w:rPr>
          <w:rFonts w:hint="eastAsia" w:ascii="仿宋" w:hAnsi="仿宋" w:eastAsia="仿宋" w:cs="仿宋"/>
          <w:b/>
          <w:sz w:val="24"/>
          <w:szCs w:val="24"/>
        </w:rPr>
        <w:t>（一）被保险人应该承担的合同责任，但无合同存在时仍然应由被保险人承担的法律责任不在此限；</w:t>
      </w:r>
    </w:p>
    <w:p>
      <w:pPr>
        <w:spacing w:after="120" w:afterLines="50"/>
        <w:ind w:firstLine="360"/>
        <w:rPr>
          <w:rFonts w:ascii="仿宋" w:hAnsi="仿宋" w:eastAsia="仿宋" w:cs="仿宋"/>
          <w:b/>
          <w:sz w:val="24"/>
          <w:szCs w:val="24"/>
        </w:rPr>
      </w:pPr>
      <w:r>
        <w:rPr>
          <w:rFonts w:hint="eastAsia" w:ascii="仿宋" w:hAnsi="仿宋" w:eastAsia="仿宋" w:cs="仿宋"/>
          <w:b/>
          <w:sz w:val="24"/>
          <w:szCs w:val="24"/>
        </w:rPr>
        <w:t>（二）劳动和社会保障部颁布的《工伤保险药品目录》规定之外的医药费用；</w:t>
      </w:r>
    </w:p>
    <w:p>
      <w:pPr>
        <w:spacing w:after="120" w:afterLines="50"/>
        <w:ind w:firstLine="360"/>
        <w:rPr>
          <w:rFonts w:ascii="仿宋" w:hAnsi="仿宋" w:eastAsia="仿宋" w:cs="仿宋"/>
          <w:b/>
          <w:sz w:val="24"/>
          <w:szCs w:val="24"/>
        </w:rPr>
      </w:pPr>
      <w:r>
        <w:rPr>
          <w:rFonts w:hint="eastAsia" w:ascii="仿宋" w:hAnsi="仿宋" w:eastAsia="仿宋" w:cs="仿宋"/>
          <w:b/>
          <w:sz w:val="24"/>
          <w:szCs w:val="24"/>
        </w:rPr>
        <w:t>（三）配置假肢、假眼、假牙、矫形器和轮椅等辅助器具发生的费用；</w:t>
      </w:r>
    </w:p>
    <w:p>
      <w:pPr>
        <w:spacing w:after="120" w:afterLines="50"/>
        <w:ind w:firstLine="410" w:firstLineChars="170"/>
        <w:rPr>
          <w:rFonts w:ascii="仿宋" w:hAnsi="仿宋" w:eastAsia="仿宋" w:cs="仿宋"/>
          <w:b/>
          <w:sz w:val="24"/>
          <w:szCs w:val="24"/>
        </w:rPr>
      </w:pPr>
      <w:r>
        <w:rPr>
          <w:rFonts w:hint="eastAsia" w:ascii="仿宋" w:hAnsi="仿宋" w:eastAsia="仿宋" w:cs="仿宋"/>
          <w:b/>
          <w:sz w:val="24"/>
          <w:szCs w:val="24"/>
        </w:rPr>
        <w:t>（四）精神损害赔偿；</w:t>
      </w:r>
    </w:p>
    <w:p>
      <w:pPr>
        <w:spacing w:after="120" w:afterLines="50"/>
        <w:ind w:firstLine="410" w:firstLineChars="170"/>
        <w:rPr>
          <w:rFonts w:ascii="仿宋" w:hAnsi="仿宋" w:eastAsia="仿宋" w:cs="仿宋"/>
          <w:b/>
          <w:sz w:val="24"/>
          <w:szCs w:val="24"/>
        </w:rPr>
      </w:pPr>
      <w:r>
        <w:rPr>
          <w:rFonts w:hint="eastAsia" w:ascii="仿宋" w:hAnsi="仿宋" w:eastAsia="仿宋" w:cs="仿宋"/>
          <w:b/>
          <w:sz w:val="24"/>
          <w:szCs w:val="24"/>
        </w:rPr>
        <w:t>（五）任何间接损失；</w:t>
      </w:r>
    </w:p>
    <w:p>
      <w:pPr>
        <w:spacing w:after="120" w:afterLines="50"/>
        <w:ind w:firstLine="410" w:firstLineChars="170"/>
        <w:rPr>
          <w:rFonts w:ascii="仿宋" w:hAnsi="仿宋" w:eastAsia="仿宋" w:cs="仿宋"/>
          <w:b/>
          <w:sz w:val="24"/>
          <w:szCs w:val="24"/>
        </w:rPr>
      </w:pPr>
      <w:r>
        <w:rPr>
          <w:rFonts w:hint="eastAsia" w:ascii="仿宋" w:hAnsi="仿宋" w:eastAsia="仿宋" w:cs="仿宋"/>
          <w:b/>
          <w:sz w:val="24"/>
          <w:szCs w:val="24"/>
        </w:rPr>
        <w:t>（六）本保险合同中载明的免赔额。</w:t>
      </w:r>
    </w:p>
    <w:p>
      <w:pPr>
        <w:spacing w:after="120" w:afterLines="50"/>
        <w:ind w:firstLine="472" w:firstLineChars="196"/>
        <w:rPr>
          <w:rFonts w:ascii="仿宋" w:hAnsi="仿宋" w:eastAsia="仿宋" w:cs="仿宋"/>
          <w:b/>
          <w:sz w:val="24"/>
          <w:szCs w:val="24"/>
        </w:rPr>
      </w:pPr>
      <w:r>
        <w:rPr>
          <w:rFonts w:hint="eastAsia" w:ascii="仿宋" w:hAnsi="仿宋" w:eastAsia="仿宋" w:cs="仿宋"/>
          <w:b/>
          <w:bCs/>
          <w:sz w:val="24"/>
          <w:szCs w:val="24"/>
        </w:rPr>
        <w:t xml:space="preserve">第八条 </w:t>
      </w:r>
      <w:r>
        <w:rPr>
          <w:rFonts w:hint="eastAsia" w:ascii="仿宋" w:hAnsi="仿宋" w:eastAsia="仿宋" w:cs="仿宋"/>
          <w:b/>
          <w:sz w:val="24"/>
          <w:szCs w:val="24"/>
        </w:rPr>
        <w:t xml:space="preserve"> 其他不属于保险责任范围内的损失、费用和责任，保险人不负责赔偿。</w:t>
      </w:r>
    </w:p>
    <w:p>
      <w:pPr>
        <w:spacing w:after="120" w:afterLines="50"/>
        <w:rPr>
          <w:rFonts w:ascii="仿宋" w:hAnsi="仿宋" w:eastAsia="仿宋" w:cs="仿宋"/>
          <w:sz w:val="24"/>
          <w:szCs w:val="24"/>
        </w:rPr>
      </w:pPr>
    </w:p>
    <w:p>
      <w:pPr>
        <w:spacing w:after="120" w:afterLines="50"/>
        <w:ind w:left="504" w:hanging="504" w:hangingChars="209"/>
        <w:jc w:val="center"/>
        <w:rPr>
          <w:rFonts w:ascii="仿宋" w:hAnsi="仿宋" w:eastAsia="仿宋" w:cs="仿宋"/>
          <w:b/>
          <w:bCs/>
          <w:sz w:val="24"/>
          <w:szCs w:val="24"/>
        </w:rPr>
      </w:pPr>
      <w:r>
        <w:rPr>
          <w:rFonts w:hint="eastAsia" w:ascii="仿宋" w:hAnsi="仿宋" w:eastAsia="仿宋" w:cs="仿宋"/>
          <w:b/>
          <w:bCs/>
          <w:sz w:val="24"/>
          <w:szCs w:val="24"/>
        </w:rPr>
        <w:t>责任限额与免赔额</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第九条</w:t>
      </w:r>
      <w:r>
        <w:rPr>
          <w:rFonts w:hint="eastAsia" w:ascii="仿宋" w:hAnsi="仿宋" w:eastAsia="仿宋" w:cs="仿宋"/>
          <w:sz w:val="24"/>
          <w:szCs w:val="24"/>
        </w:rPr>
        <w:t xml:space="preserve">  责任限额包括累计责任限额和每人责任限额，其中每人责任限额分为每人伤亡责任限额、每人医疗费用责任限额和每人额外费用责任限额，由投保人自行确定，并在保险合同中载明。</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第十条</w:t>
      </w:r>
      <w:r>
        <w:rPr>
          <w:rFonts w:hint="eastAsia" w:ascii="仿宋" w:hAnsi="仿宋" w:eastAsia="仿宋" w:cs="仿宋"/>
          <w:sz w:val="24"/>
          <w:szCs w:val="24"/>
        </w:rPr>
        <w:t xml:space="preserve">  每次事故每人医疗费用免赔额由投保人与保险人在签订保险合同时协商确定，并在保险合同中载明。</w:t>
      </w:r>
    </w:p>
    <w:p>
      <w:pPr>
        <w:spacing w:after="120" w:afterLines="50"/>
        <w:rPr>
          <w:rFonts w:ascii="仿宋" w:hAnsi="仿宋" w:eastAsia="仿宋" w:cs="仿宋"/>
          <w:sz w:val="24"/>
          <w:szCs w:val="24"/>
        </w:rPr>
      </w:pPr>
    </w:p>
    <w:p>
      <w:pPr>
        <w:spacing w:after="120" w:afterLines="50"/>
        <w:ind w:left="504" w:hanging="504" w:hangingChars="209"/>
        <w:jc w:val="center"/>
        <w:rPr>
          <w:rFonts w:ascii="仿宋" w:hAnsi="仿宋" w:eastAsia="仿宋" w:cs="仿宋"/>
          <w:b/>
          <w:bCs/>
          <w:sz w:val="24"/>
          <w:szCs w:val="24"/>
        </w:rPr>
      </w:pPr>
      <w:r>
        <w:rPr>
          <w:rFonts w:hint="eastAsia" w:ascii="仿宋" w:hAnsi="仿宋" w:eastAsia="仿宋" w:cs="仿宋"/>
          <w:b/>
          <w:bCs/>
          <w:sz w:val="24"/>
          <w:szCs w:val="24"/>
        </w:rPr>
        <w:t>保险期间</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第十一条</w:t>
      </w:r>
      <w:r>
        <w:rPr>
          <w:rFonts w:hint="eastAsia" w:ascii="仿宋" w:hAnsi="仿宋" w:eastAsia="仿宋" w:cs="仿宋"/>
          <w:sz w:val="24"/>
          <w:szCs w:val="24"/>
        </w:rPr>
        <w:t xml:space="preserve">  除另有约定外，保险期间为一年，以保险合同载明的起讫时间为准。</w:t>
      </w:r>
    </w:p>
    <w:p>
      <w:pPr>
        <w:spacing w:after="120" w:afterLines="50"/>
        <w:ind w:firstLine="480" w:firstLineChars="200"/>
        <w:rPr>
          <w:rFonts w:ascii="仿宋" w:hAnsi="仿宋" w:eastAsia="仿宋" w:cs="仿宋"/>
          <w:sz w:val="24"/>
          <w:szCs w:val="24"/>
        </w:rPr>
      </w:pPr>
    </w:p>
    <w:p>
      <w:pPr>
        <w:spacing w:after="120" w:afterLines="50"/>
        <w:jc w:val="center"/>
        <w:rPr>
          <w:rFonts w:ascii="仿宋" w:hAnsi="仿宋" w:eastAsia="仿宋" w:cs="仿宋"/>
          <w:b/>
          <w:bCs/>
          <w:sz w:val="24"/>
          <w:szCs w:val="24"/>
        </w:rPr>
      </w:pPr>
      <w:r>
        <w:rPr>
          <w:rFonts w:hint="eastAsia" w:ascii="仿宋" w:hAnsi="仿宋" w:eastAsia="仿宋" w:cs="仿宋"/>
          <w:b/>
          <w:bCs/>
          <w:sz w:val="24"/>
          <w:szCs w:val="24"/>
        </w:rPr>
        <w:t>保险人义务</w:t>
      </w:r>
    </w:p>
    <w:p>
      <w:pPr>
        <w:spacing w:after="120" w:afterLines="50"/>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第十二条 </w:t>
      </w:r>
      <w:r>
        <w:rPr>
          <w:rFonts w:hint="eastAsia" w:ascii="仿宋" w:hAnsi="仿宋" w:eastAsia="仿宋" w:cs="仿宋"/>
          <w:sz w:val="24"/>
          <w:szCs w:val="24"/>
        </w:rPr>
        <w:t>本保险合同成立后，保险人应当及时向投保人签发保险单或其他保险凭证。</w:t>
      </w:r>
    </w:p>
    <w:p>
      <w:pPr>
        <w:spacing w:after="120" w:afterLines="50"/>
        <w:ind w:firstLine="482" w:firstLineChars="200"/>
        <w:rPr>
          <w:rStyle w:val="59"/>
          <w:rFonts w:ascii="仿宋" w:hAnsi="仿宋" w:eastAsia="仿宋" w:cs="仿宋"/>
          <w:sz w:val="24"/>
          <w:szCs w:val="24"/>
        </w:rPr>
      </w:pPr>
      <w:r>
        <w:rPr>
          <w:rFonts w:hint="eastAsia" w:ascii="仿宋" w:hAnsi="仿宋" w:eastAsia="仿宋" w:cs="仿宋"/>
          <w:b/>
          <w:bCs/>
          <w:sz w:val="24"/>
          <w:szCs w:val="24"/>
        </w:rPr>
        <w:t xml:space="preserve">第十三条 </w:t>
      </w:r>
      <w:r>
        <w:rPr>
          <w:rFonts w:hint="eastAsia" w:ascii="仿宋" w:hAnsi="仿宋" w:eastAsia="仿宋" w:cs="仿宋"/>
          <w:sz w:val="24"/>
          <w:szCs w:val="24"/>
        </w:rPr>
        <w:t>保险人依本保险条款第十七条取得的合同解除权，</w:t>
      </w:r>
      <w:r>
        <w:rPr>
          <w:rStyle w:val="59"/>
          <w:rFonts w:hint="eastAsia" w:ascii="仿宋" w:hAnsi="仿宋" w:eastAsia="仿宋" w:cs="仿宋"/>
          <w:sz w:val="24"/>
          <w:szCs w:val="24"/>
        </w:rPr>
        <w:t>自保险人知道有解除事由之日起，超过三十日不行使而消灭。</w:t>
      </w:r>
    </w:p>
    <w:p>
      <w:pPr>
        <w:spacing w:after="120" w:afterLines="50"/>
        <w:ind w:firstLine="480" w:firstLineChars="200"/>
        <w:rPr>
          <w:rFonts w:ascii="仿宋" w:hAnsi="仿宋" w:eastAsia="仿宋" w:cs="仿宋"/>
          <w:sz w:val="24"/>
          <w:szCs w:val="24"/>
          <w:u w:val="single"/>
        </w:rPr>
      </w:pPr>
      <w:r>
        <w:rPr>
          <w:rStyle w:val="59"/>
          <w:rFonts w:hint="eastAsia" w:ascii="仿宋" w:hAnsi="仿宋" w:eastAsia="仿宋" w:cs="仿宋"/>
          <w:sz w:val="24"/>
          <w:szCs w:val="24"/>
        </w:rPr>
        <w:t>保险人在保险合同订立时已经知道投保人未如实告知的情况的，保险人不得解除合同；发生保险事故的，保险人应当承担赔偿责任。</w:t>
      </w:r>
    </w:p>
    <w:p>
      <w:pPr>
        <w:spacing w:after="120" w:afterLines="50"/>
        <w:ind w:firstLine="482" w:firstLineChars="200"/>
        <w:rPr>
          <w:rStyle w:val="59"/>
          <w:rFonts w:ascii="仿宋" w:hAnsi="仿宋" w:eastAsia="仿宋" w:cs="仿宋"/>
          <w:sz w:val="24"/>
          <w:szCs w:val="24"/>
        </w:rPr>
      </w:pPr>
      <w:r>
        <w:rPr>
          <w:rFonts w:hint="eastAsia" w:ascii="仿宋" w:hAnsi="仿宋" w:eastAsia="仿宋" w:cs="仿宋"/>
          <w:b/>
          <w:bCs/>
          <w:sz w:val="24"/>
          <w:szCs w:val="24"/>
        </w:rPr>
        <w:t xml:space="preserve">第十四条 </w:t>
      </w:r>
      <w:r>
        <w:rPr>
          <w:rStyle w:val="59"/>
          <w:rFonts w:hint="eastAsia" w:ascii="仿宋" w:hAnsi="仿宋" w:eastAsia="仿宋" w:cs="仿宋"/>
          <w:sz w:val="24"/>
          <w:szCs w:val="24"/>
        </w:rPr>
        <w:t>保险事故发生后，投保人、被保险人提供的有关索赔的证明和资料不完整的，保险人应当及时一次性通知投保人、被保险人补充提供。</w:t>
      </w:r>
    </w:p>
    <w:p>
      <w:pPr>
        <w:spacing w:after="120" w:afterLines="50"/>
        <w:ind w:firstLine="482" w:firstLineChars="200"/>
        <w:rPr>
          <w:rStyle w:val="59"/>
          <w:rFonts w:ascii="仿宋" w:hAnsi="仿宋" w:eastAsia="仿宋" w:cs="仿宋"/>
          <w:sz w:val="24"/>
          <w:szCs w:val="24"/>
        </w:rPr>
      </w:pPr>
      <w:r>
        <w:rPr>
          <w:rFonts w:hint="eastAsia" w:ascii="仿宋" w:hAnsi="仿宋" w:eastAsia="仿宋" w:cs="仿宋"/>
          <w:b/>
          <w:bCs/>
          <w:sz w:val="24"/>
          <w:szCs w:val="24"/>
        </w:rPr>
        <w:t xml:space="preserve">第十五条 </w:t>
      </w:r>
      <w:r>
        <w:rPr>
          <w:rStyle w:val="59"/>
          <w:rFonts w:hint="eastAsia" w:ascii="仿宋" w:hAnsi="仿宋" w:eastAsia="仿宋" w:cs="仿宋"/>
          <w:sz w:val="24"/>
          <w:szCs w:val="24"/>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pPr>
        <w:spacing w:after="120" w:afterLines="50"/>
        <w:ind w:firstLine="480" w:firstLineChars="200"/>
        <w:rPr>
          <w:rStyle w:val="59"/>
          <w:rFonts w:ascii="仿宋" w:hAnsi="仿宋" w:eastAsia="仿宋" w:cs="仿宋"/>
          <w:sz w:val="24"/>
          <w:szCs w:val="24"/>
        </w:rPr>
      </w:pPr>
      <w:r>
        <w:rPr>
          <w:rStyle w:val="59"/>
          <w:rFonts w:hint="eastAsia" w:ascii="仿宋" w:hAnsi="仿宋" w:eastAsia="仿宋" w:cs="仿宋"/>
          <w:sz w:val="24"/>
          <w:szCs w:val="24"/>
        </w:rPr>
        <w:t>保险人依照前款的规定作出核定后，对不属于保险责任的，应当自作出核定之日起三日内向被保险人发出拒绝赔偿保险金通知书，并说明理由。</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 xml:space="preserve">第十六条 </w:t>
      </w:r>
      <w:r>
        <w:rPr>
          <w:rStyle w:val="59"/>
          <w:rFonts w:hint="eastAsia" w:ascii="仿宋" w:hAnsi="仿宋" w:eastAsia="仿宋" w:cs="仿宋"/>
          <w:sz w:val="24"/>
          <w:szCs w:val="24"/>
        </w:rPr>
        <w:t>保险人自收到</w:t>
      </w:r>
      <w:r>
        <w:rPr>
          <w:rFonts w:hint="eastAsia" w:ascii="仿宋" w:hAnsi="仿宋" w:eastAsia="仿宋" w:cs="仿宋"/>
          <w:sz w:val="24"/>
          <w:szCs w:val="24"/>
        </w:rPr>
        <w:t>赔偿</w:t>
      </w:r>
      <w:r>
        <w:rPr>
          <w:rStyle w:val="59"/>
          <w:rFonts w:hint="eastAsia" w:ascii="仿宋" w:hAnsi="仿宋" w:eastAsia="仿宋" w:cs="仿宋"/>
          <w:sz w:val="24"/>
          <w:szCs w:val="24"/>
        </w:rPr>
        <w:t>保险金的请求和有关证明、资料之日起六十日内，对其赔偿保险金的数额不能确定的，应当根据已有证明和资料可以确定的数额先予支付；保险人最终确定赔偿的数额后，应当支付相应的差额。</w:t>
      </w:r>
    </w:p>
    <w:p>
      <w:pPr>
        <w:spacing w:after="120" w:afterLines="50"/>
        <w:ind w:firstLine="480" w:firstLineChars="200"/>
        <w:rPr>
          <w:rFonts w:ascii="仿宋" w:hAnsi="仿宋" w:eastAsia="仿宋" w:cs="仿宋"/>
          <w:sz w:val="24"/>
          <w:szCs w:val="24"/>
        </w:rPr>
      </w:pPr>
    </w:p>
    <w:p>
      <w:pPr>
        <w:spacing w:after="120" w:afterLines="50"/>
        <w:jc w:val="center"/>
        <w:rPr>
          <w:rFonts w:ascii="仿宋" w:hAnsi="仿宋" w:eastAsia="仿宋" w:cs="仿宋"/>
          <w:b/>
          <w:bCs/>
          <w:sz w:val="24"/>
          <w:szCs w:val="24"/>
        </w:rPr>
      </w:pPr>
      <w:r>
        <w:rPr>
          <w:rFonts w:hint="eastAsia" w:ascii="仿宋" w:hAnsi="仿宋" w:eastAsia="仿宋" w:cs="仿宋"/>
          <w:b/>
          <w:bCs/>
          <w:sz w:val="24"/>
          <w:szCs w:val="24"/>
        </w:rPr>
        <w:t>投保人、被保险人义务</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第十七条</w:t>
      </w:r>
      <w:r>
        <w:rPr>
          <w:rFonts w:hint="eastAsia" w:ascii="仿宋" w:hAnsi="仿宋" w:eastAsia="仿宋" w:cs="仿宋"/>
          <w:sz w:val="24"/>
          <w:szCs w:val="24"/>
        </w:rPr>
        <w:t xml:space="preserve">  投保人应履行如实告知义务，如实回答保险人就教职员工情况以及被保险人的其他有关情况提出的询问，并如实填写投保单和提供教职员工人员名单。</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投保人故意或者因重大过失未履行前款规定的如实告知义务，足以影响保险人决定是否同意承保或者提高保险费率的，保险人有权解除合同。</w:t>
      </w:r>
    </w:p>
    <w:p>
      <w:pPr>
        <w:spacing w:after="120" w:afterLines="50"/>
        <w:ind w:firstLine="482" w:firstLineChars="200"/>
        <w:rPr>
          <w:rFonts w:ascii="仿宋" w:hAnsi="仿宋" w:eastAsia="仿宋" w:cs="仿宋"/>
          <w:b/>
          <w:bCs/>
          <w:sz w:val="24"/>
          <w:szCs w:val="24"/>
        </w:rPr>
      </w:pPr>
      <w:r>
        <w:rPr>
          <w:rFonts w:hint="eastAsia" w:ascii="仿宋" w:hAnsi="仿宋" w:eastAsia="仿宋" w:cs="仿宋"/>
          <w:b/>
          <w:bCs/>
          <w:sz w:val="24"/>
          <w:szCs w:val="24"/>
        </w:rPr>
        <w:t>投保人故意不履行如实告知义务的，保险人对于合同解除前发生的保险事故，不承担赔偿责任，并不退还保险费。</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投保人因重大过失未履行如实告知义务，对保险事故的发生有严重影响的，保险人对于合同解除前发生的保险事故，不承担赔偿责任，但应当退还保险费</w:t>
      </w:r>
      <w:r>
        <w:rPr>
          <w:rFonts w:hint="eastAsia" w:ascii="仿宋" w:hAnsi="仿宋" w:eastAsia="仿宋" w:cs="仿宋"/>
          <w:sz w:val="24"/>
          <w:szCs w:val="24"/>
        </w:rPr>
        <w:t>。</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第十八条</w:t>
      </w:r>
      <w:r>
        <w:rPr>
          <w:rFonts w:hint="eastAsia" w:ascii="仿宋" w:hAnsi="仿宋" w:eastAsia="仿宋" w:cs="仿宋"/>
          <w:sz w:val="24"/>
          <w:szCs w:val="24"/>
        </w:rPr>
        <w:t xml:space="preserve">  除另有约定外，投保人应在保险合同成立时一次性交清保险费。</w:t>
      </w:r>
      <w:r>
        <w:rPr>
          <w:rFonts w:hint="eastAsia" w:ascii="仿宋" w:hAnsi="仿宋" w:eastAsia="仿宋" w:cs="仿宋"/>
          <w:b/>
          <w:sz w:val="24"/>
          <w:szCs w:val="24"/>
        </w:rPr>
        <w:t>保险费交清前发生的保险事故，保险人不承担赔偿责任</w:t>
      </w:r>
      <w:r>
        <w:rPr>
          <w:rFonts w:hint="eastAsia" w:ascii="仿宋" w:hAnsi="仿宋" w:eastAsia="仿宋" w:cs="仿宋"/>
          <w:sz w:val="24"/>
          <w:szCs w:val="24"/>
        </w:rPr>
        <w:t>。</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第十九条</w:t>
      </w:r>
      <w:r>
        <w:rPr>
          <w:rFonts w:hint="eastAsia" w:ascii="仿宋" w:hAnsi="仿宋" w:eastAsia="仿宋" w:cs="仿宋"/>
          <w:sz w:val="24"/>
          <w:szCs w:val="24"/>
        </w:rPr>
        <w:t xml:space="preserve">  投保人、被保险人应将每一教职员工的姓名及其工资/薪金、加班费、奖金及其它津贴情况妥为记录，并同意保险人必要时查阅。</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第二十条</w:t>
      </w:r>
      <w:r>
        <w:rPr>
          <w:rFonts w:hint="eastAsia" w:ascii="仿宋" w:hAnsi="仿宋" w:eastAsia="仿宋" w:cs="仿宋"/>
          <w:sz w:val="24"/>
          <w:szCs w:val="24"/>
        </w:rPr>
        <w:t xml:space="preserve">  被保险人应加强安全管理，严格遵守国家有关劳动保护的法律、法规及规定，采取合理的预防措施，尽力避免或减少责任事故的发生。</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保险人可以对被保险人遵守前款约定的情况进行检查，向投保人、被保险人提出消除不安全因素和隐患的书面建议，投保人、被保险人应该认真付诸实施。</w:t>
      </w:r>
    </w:p>
    <w:p>
      <w:pPr>
        <w:spacing w:after="120" w:afterLines="50"/>
        <w:ind w:firstLine="482" w:firstLineChars="200"/>
        <w:rPr>
          <w:rFonts w:ascii="仿宋" w:hAnsi="仿宋" w:eastAsia="仿宋" w:cs="仿宋"/>
          <w:b/>
          <w:bCs/>
          <w:sz w:val="24"/>
          <w:szCs w:val="24"/>
        </w:rPr>
      </w:pPr>
      <w:r>
        <w:rPr>
          <w:rFonts w:hint="eastAsia" w:ascii="仿宋" w:hAnsi="仿宋" w:eastAsia="仿宋" w:cs="仿宋"/>
          <w:b/>
          <w:sz w:val="24"/>
          <w:szCs w:val="24"/>
        </w:rPr>
        <w:t>投保人、被保险人未遵守上述约定而导致保险事故的，保险人不承担赔偿责任；投保人、被保险人未遵守上述约定而导致损失扩大的，保险人对扩大部分的损失不承担赔偿责任</w:t>
      </w:r>
      <w:r>
        <w:rPr>
          <w:rFonts w:hint="eastAsia" w:ascii="仿宋" w:hAnsi="仿宋" w:eastAsia="仿宋" w:cs="仿宋"/>
          <w:sz w:val="24"/>
          <w:szCs w:val="24"/>
        </w:rPr>
        <w:t>。</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第二十一条</w:t>
      </w:r>
      <w:r>
        <w:rPr>
          <w:rFonts w:hint="eastAsia" w:ascii="仿宋" w:hAnsi="仿宋" w:eastAsia="仿宋" w:cs="仿宋"/>
          <w:sz w:val="24"/>
          <w:szCs w:val="24"/>
        </w:rPr>
        <w:t xml:space="preserve">  在保险期间内，如被保险人的教职员工人员名单发生变动或其他足以影响保险人决定是否继续承保或是否增加保险费的保险合同重要事项变更，被保险人应及时书面通知保险人，保险人有权要求增加保险费或者解除合同。</w:t>
      </w:r>
      <w:r>
        <w:rPr>
          <w:rFonts w:hint="eastAsia" w:ascii="仿宋" w:hAnsi="仿宋" w:eastAsia="仿宋" w:cs="仿宋"/>
          <w:b/>
          <w:sz w:val="24"/>
          <w:szCs w:val="24"/>
        </w:rPr>
        <w:t>被保险人未履行通知义务，因上述保险合同重要事项变更而导致保险事故发生的，保险人不承担赔偿责任</w:t>
      </w:r>
      <w:r>
        <w:rPr>
          <w:rFonts w:hint="eastAsia" w:ascii="仿宋" w:hAnsi="仿宋" w:eastAsia="仿宋" w:cs="仿宋"/>
          <w:sz w:val="24"/>
          <w:szCs w:val="24"/>
        </w:rPr>
        <w:t>。</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普通高等学校教职员工变动幅度在全校教职员工总人数的2%（含2%）、其它学校变动浮动在5%（含5%）以内的，可以不增减保险费，但被保险人应在新增人员报到之日起五日内通知保险人并办理批改手续。如名单变动幅度超过上述比例的，保险人将出具批单增减保险费。</w:t>
      </w:r>
      <w:r>
        <w:rPr>
          <w:rFonts w:hint="eastAsia" w:ascii="仿宋" w:hAnsi="仿宋" w:eastAsia="仿宋" w:cs="仿宋"/>
          <w:b/>
          <w:sz w:val="24"/>
          <w:szCs w:val="24"/>
        </w:rPr>
        <w:t>事先未及时通知保险人办理批改手续的更改或新增的教职员工发生的保险事故，保险人不承担赔偿责任</w:t>
      </w:r>
      <w:r>
        <w:rPr>
          <w:rFonts w:hint="eastAsia" w:ascii="仿宋" w:hAnsi="仿宋" w:eastAsia="仿宋" w:cs="仿宋"/>
          <w:sz w:val="24"/>
          <w:szCs w:val="24"/>
        </w:rPr>
        <w:t>。</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第二十二条</w:t>
      </w:r>
      <w:r>
        <w:rPr>
          <w:rFonts w:hint="eastAsia" w:ascii="仿宋" w:hAnsi="仿宋" w:eastAsia="仿宋" w:cs="仿宋"/>
          <w:sz w:val="24"/>
          <w:szCs w:val="24"/>
        </w:rPr>
        <w:t xml:space="preserve">  被保险人一旦知道或应当知道保险责任范围内的教职员工人身伤害事故发生，应该：</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（一）尽力采取必要、合理的措施，防止或减少损失，</w:t>
      </w:r>
      <w:r>
        <w:rPr>
          <w:rFonts w:hint="eastAsia" w:ascii="仿宋" w:hAnsi="仿宋" w:eastAsia="仿宋" w:cs="仿宋"/>
          <w:b/>
          <w:sz w:val="24"/>
          <w:szCs w:val="24"/>
        </w:rPr>
        <w:t>否则，对因此扩大的损失，保险人不承担赔偿责任</w:t>
      </w:r>
      <w:r>
        <w:rPr>
          <w:rFonts w:hint="eastAsia" w:ascii="仿宋" w:hAnsi="仿宋" w:eastAsia="仿宋" w:cs="仿宋"/>
          <w:sz w:val="24"/>
          <w:szCs w:val="24"/>
        </w:rPr>
        <w:t>；</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（二）立即通知保险人，并书面说明事故发生的原因、经过和损失情况；</w:t>
      </w:r>
      <w:r>
        <w:rPr>
          <w:rStyle w:val="59"/>
          <w:rFonts w:hint="eastAsia" w:ascii="仿宋" w:hAnsi="仿宋" w:eastAsia="仿宋" w:cs="仿宋"/>
          <w:b/>
          <w:bCs/>
          <w:sz w:val="24"/>
          <w:szCs w:val="24"/>
        </w:rPr>
        <w:t>故意或者因重大过失未及时通知，致使保险事故的性质、原因、损失程度等难以确定的，保险人对无法确定的部分，不承担赔偿责任</w:t>
      </w:r>
      <w:r>
        <w:rPr>
          <w:rFonts w:hint="eastAsia" w:ascii="仿宋" w:hAnsi="仿宋" w:eastAsia="仿宋" w:cs="仿宋"/>
          <w:sz w:val="24"/>
          <w:szCs w:val="24"/>
        </w:rPr>
        <w:t>，</w:t>
      </w:r>
      <w:r>
        <w:rPr>
          <w:rStyle w:val="59"/>
          <w:rFonts w:hint="eastAsia" w:ascii="仿宋" w:hAnsi="仿宋" w:eastAsia="仿宋" w:cs="仿宋"/>
          <w:sz w:val="24"/>
          <w:szCs w:val="24"/>
        </w:rPr>
        <w:t>但保险人通过其他途径已经及时知道或者应当及时知道保险事故发生的除外</w:t>
      </w:r>
      <w:r>
        <w:rPr>
          <w:rFonts w:hint="eastAsia" w:ascii="仿宋" w:hAnsi="仿宋" w:eastAsia="仿宋" w:cs="仿宋"/>
          <w:sz w:val="24"/>
          <w:szCs w:val="24"/>
        </w:rPr>
        <w:t>；</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（三）保护事故现场，允许并且协助保险人进行事故调查；</w:t>
      </w:r>
      <w:r>
        <w:rPr>
          <w:rFonts w:hint="eastAsia" w:ascii="仿宋" w:hAnsi="仿宋" w:eastAsia="仿宋" w:cs="仿宋"/>
          <w:b/>
          <w:sz w:val="24"/>
          <w:szCs w:val="24"/>
        </w:rPr>
        <w:t>对于拒绝或者妨碍保险人进行事故调查导致无法确定事故原因或核实损失情况的，保险人对无法确定或核实的部分不承担赔偿责任</w:t>
      </w:r>
      <w:r>
        <w:rPr>
          <w:rFonts w:hint="eastAsia" w:ascii="仿宋" w:hAnsi="仿宋" w:eastAsia="仿宋" w:cs="仿宋"/>
          <w:sz w:val="24"/>
          <w:szCs w:val="24"/>
        </w:rPr>
        <w:t>。</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第二十三条</w:t>
      </w:r>
      <w:r>
        <w:rPr>
          <w:rFonts w:hint="eastAsia" w:ascii="仿宋" w:hAnsi="仿宋" w:eastAsia="仿宋" w:cs="仿宋"/>
          <w:sz w:val="24"/>
          <w:szCs w:val="24"/>
        </w:rPr>
        <w:tab/>
      </w:r>
      <w:r>
        <w:rPr>
          <w:rFonts w:hint="eastAsia" w:ascii="仿宋" w:hAnsi="仿宋" w:eastAsia="仿宋" w:cs="仿宋"/>
          <w:sz w:val="24"/>
          <w:szCs w:val="24"/>
        </w:rPr>
        <w:t>被保险人向保险人提出索赔时，应提供下列索赔单证：</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（一）保险单正本；</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（二）保险人认可的相关机构出具的事故证明书、责任认定书或其它有关法律文书，劳动保障行政部门出具的工伤认定证明；</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（三）损失清单；</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（四）被保险人的教职员工身故的，应提供公安部门出具的或保险人认可的医疗机构出具的死亡证明。若被保险人的教职员工为宣告死亡，应提供人民法院出具的宣告死亡证明文件；</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（五）被保险人的教职员工残疾的，应提供保险人认可的医疗机构或劳动能力鉴定委员会出具的伤残鉴定书；</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（六）对于本保险条款第三十条项下的医疗费用，应提供治疗地二级以上（含二级）医院或保险人认可的医疗机构出具的医疗费用收据、诊断证明、住院证明及病历等；</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（七）对于本保险条款第三十一条项下的额外费用，应提供临时聘用人员的工资单据；</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（八）其他投保人、被保险人所能提供的与确认保险事故的性质、原因、损失程度等有关的证明和资料。</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投保人、被保险人未履行前款约定的单证提供义务，导致保险人无法核实损失情况的，保险人对无法核实部分不承担赔偿责任</w:t>
      </w:r>
      <w:r>
        <w:rPr>
          <w:rFonts w:hint="eastAsia" w:ascii="仿宋" w:hAnsi="仿宋" w:eastAsia="仿宋" w:cs="仿宋"/>
          <w:bCs/>
          <w:sz w:val="24"/>
          <w:szCs w:val="24"/>
        </w:rPr>
        <w:t>。</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第二十四条</w:t>
      </w:r>
      <w:r>
        <w:rPr>
          <w:rFonts w:hint="eastAsia" w:ascii="仿宋" w:hAnsi="仿宋" w:eastAsia="仿宋" w:cs="仿宋"/>
          <w:sz w:val="24"/>
          <w:szCs w:val="24"/>
        </w:rPr>
        <w:t xml:space="preserve">  被保险人收到教职员工或其家属的损害赔偿请求时，应立即通知保险人。</w:t>
      </w:r>
      <w:r>
        <w:rPr>
          <w:rFonts w:hint="eastAsia" w:ascii="仿宋" w:hAnsi="仿宋" w:eastAsia="仿宋" w:cs="仿宋"/>
          <w:b/>
          <w:bCs/>
          <w:sz w:val="24"/>
          <w:szCs w:val="24"/>
        </w:rPr>
        <w:t>未经保险人书面同意，被保险人对其</w:t>
      </w:r>
      <w:r>
        <w:rPr>
          <w:rFonts w:hint="eastAsia" w:ascii="仿宋" w:hAnsi="仿宋" w:eastAsia="仿宋" w:cs="仿宋"/>
          <w:b/>
          <w:sz w:val="24"/>
          <w:szCs w:val="24"/>
        </w:rPr>
        <w:t>教职员工或其家属</w:t>
      </w:r>
      <w:r>
        <w:rPr>
          <w:rFonts w:hint="eastAsia" w:ascii="仿宋" w:hAnsi="仿宋" w:eastAsia="仿宋" w:cs="仿宋"/>
          <w:b/>
          <w:bCs/>
          <w:sz w:val="24"/>
          <w:szCs w:val="24"/>
        </w:rPr>
        <w:t>作出的任何承诺、拒绝、出价、约定、付款或赔偿，保险人不受其约束。</w:t>
      </w:r>
      <w:r>
        <w:rPr>
          <w:rStyle w:val="59"/>
          <w:rFonts w:hint="eastAsia" w:ascii="仿宋" w:hAnsi="仿宋" w:eastAsia="仿宋" w:cs="仿宋"/>
          <w:b/>
          <w:bCs/>
          <w:sz w:val="24"/>
          <w:szCs w:val="24"/>
        </w:rPr>
        <w:t>对</w:t>
      </w:r>
      <w:r>
        <w:rPr>
          <w:rFonts w:hint="eastAsia" w:ascii="仿宋" w:hAnsi="仿宋" w:eastAsia="仿宋" w:cs="仿宋"/>
          <w:b/>
          <w:bCs/>
          <w:sz w:val="24"/>
          <w:szCs w:val="24"/>
        </w:rPr>
        <w:t>于被保险人自行承诺或支付的赔偿金额，保险人有权重新核定，不属于本保险责任范围或超出应赔偿限额的，保险人不承担赔偿责任。</w:t>
      </w:r>
      <w:r>
        <w:rPr>
          <w:rFonts w:hint="eastAsia" w:ascii="仿宋" w:hAnsi="仿宋" w:eastAsia="仿宋" w:cs="仿宋"/>
          <w:sz w:val="24"/>
          <w:szCs w:val="24"/>
        </w:rPr>
        <w:t>在处理索赔过程中，保险人有权自行处理由其承担最终赔偿责任的任何索赔案件，被保险人有义务向保险人提供其所能提供的资料和协助。</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第二十五条</w:t>
      </w:r>
      <w:r>
        <w:rPr>
          <w:rFonts w:hint="eastAsia" w:ascii="仿宋" w:hAnsi="仿宋" w:eastAsia="仿宋" w:cs="仿宋"/>
          <w:sz w:val="24"/>
          <w:szCs w:val="24"/>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spacing w:after="120" w:afterLines="50"/>
        <w:ind w:firstLine="482" w:firstLineChars="200"/>
        <w:rPr>
          <w:rFonts w:ascii="仿宋" w:hAnsi="仿宋" w:eastAsia="仿宋" w:cs="仿宋"/>
          <w:sz w:val="24"/>
          <w:szCs w:val="24"/>
        </w:rPr>
      </w:pPr>
      <w:r>
        <w:rPr>
          <w:rFonts w:hint="eastAsia" w:ascii="仿宋" w:hAnsi="仿宋" w:eastAsia="仿宋" w:cs="仿宋"/>
          <w:b/>
          <w:sz w:val="24"/>
          <w:szCs w:val="24"/>
        </w:rPr>
        <w:t>对因未及时提供上述通知或必要协助引起或扩大的损失，保险人不承担赔偿责任</w:t>
      </w:r>
      <w:r>
        <w:rPr>
          <w:rFonts w:hint="eastAsia" w:ascii="仿宋" w:hAnsi="仿宋" w:eastAsia="仿宋" w:cs="仿宋"/>
          <w:sz w:val="24"/>
          <w:szCs w:val="24"/>
        </w:rPr>
        <w:t>。</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第二十六条</w:t>
      </w:r>
      <w:r>
        <w:rPr>
          <w:rFonts w:hint="eastAsia" w:ascii="仿宋" w:hAnsi="仿宋" w:eastAsia="仿宋" w:cs="仿宋"/>
          <w:sz w:val="24"/>
          <w:szCs w:val="24"/>
        </w:rPr>
        <w:t xml:space="preserve">  被保险人在请求赔偿时应当如实向保险人说明与本保险合同保险责任有关的其他保险合同的情况。</w:t>
      </w:r>
      <w:r>
        <w:rPr>
          <w:rFonts w:hint="eastAsia" w:ascii="仿宋" w:hAnsi="仿宋" w:eastAsia="仿宋" w:cs="仿宋"/>
          <w:b/>
          <w:sz w:val="24"/>
          <w:szCs w:val="24"/>
        </w:rPr>
        <w:t>对未如实说明导致保险人多支付保险金的，保险人有权向被保险人追回多支付的部分</w:t>
      </w:r>
      <w:r>
        <w:rPr>
          <w:rFonts w:hint="eastAsia" w:ascii="仿宋" w:hAnsi="仿宋" w:eastAsia="仿宋" w:cs="仿宋"/>
          <w:sz w:val="24"/>
          <w:szCs w:val="24"/>
        </w:rPr>
        <w:t>。</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第二十七条</w:t>
      </w:r>
      <w:r>
        <w:rPr>
          <w:rFonts w:hint="eastAsia" w:ascii="仿宋" w:hAnsi="仿宋" w:eastAsia="仿宋" w:cs="仿宋"/>
          <w:sz w:val="24"/>
          <w:szCs w:val="24"/>
        </w:rPr>
        <w:t xml:space="preserve">  发生保险责任范围内的损失，应由有关责任方负责赔偿的，被保险人应行使或保留向该责任方请求赔偿的权利。</w:t>
      </w:r>
    </w:p>
    <w:p>
      <w:pPr>
        <w:spacing w:after="120" w:afterLines="50"/>
        <w:ind w:firstLine="360"/>
        <w:rPr>
          <w:rFonts w:ascii="仿宋" w:hAnsi="仿宋" w:eastAsia="仿宋" w:cs="仿宋"/>
          <w:b/>
          <w:bCs/>
          <w:sz w:val="24"/>
          <w:szCs w:val="24"/>
          <w:lang w:val="zh-CN"/>
        </w:rPr>
      </w:pPr>
      <w:r>
        <w:rPr>
          <w:rFonts w:hint="eastAsia" w:ascii="仿宋" w:hAnsi="仿宋" w:eastAsia="仿宋" w:cs="仿宋"/>
          <w:b/>
          <w:bCs/>
          <w:sz w:val="24"/>
          <w:szCs w:val="24"/>
          <w:lang w:val="zh-CN"/>
        </w:rPr>
        <w:t>保险事故发生后，保险人未履行赔偿义务之前，被保险人放弃对有关责任方请求赔偿的权利的，保险人不承担赔偿责任。</w:t>
      </w:r>
    </w:p>
    <w:p>
      <w:pPr>
        <w:spacing w:after="120" w:afterLines="50"/>
        <w:ind w:firstLine="360"/>
        <w:rPr>
          <w:rFonts w:ascii="仿宋" w:hAnsi="仿宋" w:eastAsia="仿宋" w:cs="仿宋"/>
          <w:sz w:val="24"/>
          <w:szCs w:val="24"/>
          <w:lang w:val="zh-CN"/>
        </w:rPr>
      </w:pPr>
      <w:r>
        <w:rPr>
          <w:rFonts w:hint="eastAsia" w:ascii="仿宋" w:hAnsi="仿宋" w:eastAsia="仿宋" w:cs="仿宋"/>
          <w:sz w:val="24"/>
          <w:szCs w:val="24"/>
        </w:rPr>
        <w:t>保险人向被保险人赔偿保险金后，被保险人未经保险人同意放弃对有关责任方请求赔偿的权利的，该行为无效。</w:t>
      </w:r>
    </w:p>
    <w:p>
      <w:pPr>
        <w:spacing w:after="120" w:afterLines="50"/>
        <w:ind w:firstLine="360"/>
        <w:rPr>
          <w:rFonts w:ascii="仿宋" w:hAnsi="仿宋" w:eastAsia="仿宋" w:cs="仿宋"/>
          <w:sz w:val="24"/>
          <w:szCs w:val="24"/>
          <w:lang w:val="zh-CN"/>
        </w:rPr>
      </w:pPr>
      <w:r>
        <w:rPr>
          <w:rFonts w:hint="eastAsia" w:ascii="仿宋" w:hAnsi="仿宋" w:eastAsia="仿宋" w:cs="仿宋"/>
          <w:sz w:val="24"/>
          <w:szCs w:val="24"/>
          <w:lang w:val="zh-CN"/>
        </w:rPr>
        <w:t>在保险人向有关责任方行使代位请求赔偿权利时，被保险人应当向保险人提供必要的文件和其所知道的有关情况。</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由于被保险人的故意或者重大过失致使保险人不能行使代位请求赔偿的权利的，保险人可以扣减或者要求返还相应的赔偿金额。</w:t>
      </w:r>
    </w:p>
    <w:p>
      <w:pPr>
        <w:spacing w:after="120" w:afterLines="50"/>
        <w:jc w:val="center"/>
        <w:rPr>
          <w:rFonts w:ascii="仿宋" w:hAnsi="仿宋" w:eastAsia="仿宋" w:cs="仿宋"/>
          <w:b/>
          <w:bCs/>
          <w:sz w:val="24"/>
          <w:szCs w:val="24"/>
        </w:rPr>
      </w:pPr>
      <w:r>
        <w:rPr>
          <w:rFonts w:hint="eastAsia" w:ascii="仿宋" w:hAnsi="仿宋" w:eastAsia="仿宋" w:cs="仿宋"/>
          <w:b/>
          <w:bCs/>
          <w:sz w:val="24"/>
          <w:szCs w:val="24"/>
        </w:rPr>
        <w:t>赔偿处理</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第二十八条</w:t>
      </w:r>
      <w:r>
        <w:rPr>
          <w:rFonts w:hint="eastAsia" w:ascii="仿宋" w:hAnsi="仿宋" w:eastAsia="仿宋" w:cs="仿宋"/>
          <w:sz w:val="24"/>
          <w:szCs w:val="24"/>
        </w:rPr>
        <w:t xml:space="preserve">  被保险人的教职员工因</w:t>
      </w:r>
      <w:r>
        <w:rPr>
          <w:rFonts w:hint="eastAsia" w:ascii="仿宋" w:hAnsi="仿宋" w:eastAsia="仿宋" w:cs="仿宋"/>
          <w:bCs/>
          <w:sz w:val="24"/>
          <w:szCs w:val="24"/>
        </w:rPr>
        <w:t>保险责任范围内的事故</w:t>
      </w:r>
      <w:r>
        <w:rPr>
          <w:rFonts w:hint="eastAsia" w:ascii="仿宋" w:hAnsi="仿宋" w:eastAsia="仿宋" w:cs="仿宋"/>
          <w:sz w:val="24"/>
          <w:szCs w:val="24"/>
        </w:rPr>
        <w:t>遭受损害，被保险人对该教职员工应负的赔偿责任确定的，根据被保险人的请求，保险人直接向该教职员工赔偿保险金。</w:t>
      </w:r>
    </w:p>
    <w:p>
      <w:pPr>
        <w:spacing w:after="120" w:afterLines="50"/>
        <w:ind w:firstLine="482" w:firstLineChars="200"/>
        <w:rPr>
          <w:rFonts w:ascii="仿宋" w:hAnsi="仿宋" w:eastAsia="仿宋" w:cs="仿宋"/>
          <w:b/>
          <w:bCs/>
          <w:sz w:val="24"/>
          <w:szCs w:val="24"/>
        </w:rPr>
      </w:pPr>
      <w:r>
        <w:rPr>
          <w:rFonts w:hint="eastAsia" w:ascii="仿宋" w:hAnsi="仿宋" w:eastAsia="仿宋" w:cs="仿宋"/>
          <w:b/>
          <w:bCs/>
          <w:sz w:val="24"/>
          <w:szCs w:val="24"/>
        </w:rPr>
        <w:t>被保险人的教职员工因保险责任范围内的事故遭受损害，被保险人未向该</w:t>
      </w:r>
      <w:r>
        <w:rPr>
          <w:rFonts w:hint="eastAsia" w:ascii="仿宋" w:hAnsi="仿宋" w:eastAsia="仿宋" w:cs="仿宋"/>
          <w:b/>
          <w:sz w:val="24"/>
          <w:szCs w:val="24"/>
        </w:rPr>
        <w:t>教职员工</w:t>
      </w:r>
      <w:r>
        <w:rPr>
          <w:rFonts w:hint="eastAsia" w:ascii="仿宋" w:hAnsi="仿宋" w:eastAsia="仿宋" w:cs="仿宋"/>
          <w:b/>
          <w:bCs/>
          <w:sz w:val="24"/>
          <w:szCs w:val="24"/>
        </w:rPr>
        <w:t>赔偿的，保险人不负责向被保险人赔偿保险金。</w:t>
      </w:r>
    </w:p>
    <w:p>
      <w:pPr>
        <w:spacing w:after="120" w:afterLines="50"/>
        <w:ind w:firstLine="472" w:firstLineChars="196"/>
        <w:rPr>
          <w:rFonts w:ascii="仿宋" w:hAnsi="仿宋" w:eastAsia="仿宋" w:cs="仿宋"/>
          <w:sz w:val="24"/>
          <w:szCs w:val="24"/>
        </w:rPr>
      </w:pPr>
      <w:r>
        <w:rPr>
          <w:rFonts w:hint="eastAsia" w:ascii="仿宋" w:hAnsi="仿宋" w:eastAsia="仿宋" w:cs="仿宋"/>
          <w:b/>
          <w:bCs/>
          <w:sz w:val="24"/>
          <w:szCs w:val="24"/>
        </w:rPr>
        <w:t>第二十九条</w:t>
      </w:r>
      <w:r>
        <w:rPr>
          <w:rFonts w:hint="eastAsia" w:ascii="仿宋" w:hAnsi="仿宋" w:eastAsia="仿宋" w:cs="仿宋"/>
          <w:sz w:val="24"/>
          <w:szCs w:val="24"/>
        </w:rPr>
        <w:tab/>
      </w:r>
      <w:r>
        <w:rPr>
          <w:rFonts w:hint="eastAsia" w:ascii="仿宋" w:hAnsi="仿宋" w:eastAsia="仿宋" w:cs="仿宋"/>
          <w:bCs/>
          <w:sz w:val="24"/>
          <w:szCs w:val="24"/>
        </w:rPr>
        <w:t>在保险责任范围内</w:t>
      </w:r>
      <w:r>
        <w:rPr>
          <w:rFonts w:hint="eastAsia" w:ascii="仿宋" w:hAnsi="仿宋" w:eastAsia="仿宋" w:cs="仿宋"/>
          <w:sz w:val="24"/>
          <w:szCs w:val="24"/>
        </w:rPr>
        <w:t>，被保险人对教职员工因本保险合同列明的原因所致伤残、死亡依法应承担的经济赔偿责任，保险人按照本保险合同约定负责赔偿：</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（一）死亡</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被保险人的教职员工因本保险合同列明的原因致死亡的，保险人在保险合同约定的每人伤亡责任限额内据实赔偿。</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教职员工死亡前保险人已根据本条第（二）项约定支付残疾赔偿金的，死亡赔偿金额为扣除已支付残疾赔偿金后的余额。</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（二）伤残</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1、永久丧失全部工作能力</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被保险人的教职员工因本保险合同列明的原因致永久丧失全部工作能力的，保险人在保险合同约定的每人伤亡责任限额内据实赔偿。</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2、永久丧失部分工作能力</w:t>
      </w:r>
    </w:p>
    <w:p>
      <w:pPr>
        <w:spacing w:after="120" w:afterLines="50"/>
        <w:ind w:firstLine="360"/>
        <w:rPr>
          <w:rFonts w:ascii="仿宋" w:hAnsi="仿宋" w:eastAsia="仿宋" w:cs="仿宋"/>
          <w:sz w:val="24"/>
          <w:szCs w:val="24"/>
        </w:rPr>
      </w:pPr>
      <w:r>
        <w:rPr>
          <w:rFonts w:hint="eastAsia" w:ascii="仿宋" w:hAnsi="仿宋" w:eastAsia="仿宋" w:cs="仿宋"/>
          <w:sz w:val="24"/>
          <w:szCs w:val="24"/>
        </w:rPr>
        <w:t>被保险人的教职员工因本保险合同列明的原因致永久丧失部分工作能力的，保险人依保险人认可的医疗机构出具的伤残程度证明，在附表二规定的百分比乘以每人伤亡责任限额的数额内赔偿。</w:t>
      </w:r>
    </w:p>
    <w:p>
      <w:pPr>
        <w:spacing w:after="120" w:afterLines="50"/>
        <w:ind w:firstLine="360"/>
        <w:rPr>
          <w:rFonts w:ascii="仿宋" w:hAnsi="仿宋" w:eastAsia="仿宋" w:cs="仿宋"/>
          <w:sz w:val="24"/>
          <w:szCs w:val="24"/>
        </w:rPr>
      </w:pPr>
      <w:r>
        <w:rPr>
          <w:rFonts w:hint="eastAsia" w:ascii="仿宋" w:hAnsi="仿宋" w:eastAsia="仿宋" w:cs="仿宋"/>
          <w:sz w:val="24"/>
          <w:szCs w:val="24"/>
        </w:rPr>
        <w:t>被保险人的教职员工因同一保险责任范围内的原因导致附表二一项以上残疾时，</w:t>
      </w:r>
      <w:r>
        <w:rPr>
          <w:rFonts w:hint="eastAsia" w:ascii="仿宋" w:hAnsi="仿宋" w:eastAsia="仿宋" w:cs="仿宋"/>
          <w:kern w:val="0"/>
          <w:sz w:val="24"/>
          <w:szCs w:val="24"/>
        </w:rPr>
        <w:t>如果两项残疾对应不同的伤残等级，以级别较高者为伤残等级，如果两项残疾对应相同的伤残等级，以该级别的上浮一级为伤残等级；如伤残项目对应三项以上伤残等级的（含三项），以其中最高级别上浮一级为伤残等级。但在任何情况下，伤残等级不得高于</w:t>
      </w:r>
      <w:r>
        <w:rPr>
          <w:rFonts w:hint="eastAsia" w:ascii="仿宋" w:hAnsi="仿宋" w:eastAsia="仿宋" w:cs="仿宋"/>
          <w:sz w:val="24"/>
          <w:szCs w:val="24"/>
        </w:rPr>
        <w:t>附表二</w:t>
      </w:r>
      <w:r>
        <w:rPr>
          <w:rFonts w:hint="eastAsia" w:ascii="仿宋" w:hAnsi="仿宋" w:eastAsia="仿宋" w:cs="仿宋"/>
          <w:kern w:val="0"/>
          <w:sz w:val="24"/>
          <w:szCs w:val="24"/>
        </w:rPr>
        <w:t>所规定的一级。</w:t>
      </w:r>
    </w:p>
    <w:p>
      <w:pPr>
        <w:spacing w:after="120" w:afterLines="50"/>
        <w:ind w:firstLine="360"/>
        <w:rPr>
          <w:rFonts w:ascii="仿宋" w:hAnsi="仿宋" w:eastAsia="仿宋" w:cs="仿宋"/>
          <w:sz w:val="24"/>
          <w:szCs w:val="24"/>
        </w:rPr>
      </w:pPr>
      <w:r>
        <w:rPr>
          <w:rFonts w:hint="eastAsia" w:ascii="仿宋" w:hAnsi="仿宋" w:eastAsia="仿宋" w:cs="仿宋"/>
          <w:b/>
          <w:bCs/>
          <w:sz w:val="24"/>
          <w:szCs w:val="24"/>
        </w:rPr>
        <w:t>第三十条</w:t>
      </w:r>
      <w:r>
        <w:rPr>
          <w:rFonts w:hint="eastAsia" w:ascii="仿宋" w:hAnsi="仿宋" w:eastAsia="仿宋" w:cs="仿宋"/>
          <w:sz w:val="24"/>
          <w:szCs w:val="24"/>
        </w:rPr>
        <w:t xml:space="preserve">  被保险人对其教职员工因本保险合同列明的原因所致伤残、死亡依法应承担的医疗费用，保险人在扣除每次事故每人医疗费用免赔额后在每人医疗费用责任限额内进行赔偿。医疗费用包括挂号费、治疗费、手术费、床位费、检查费（最高人民币500元/人）、医药费、住院期间的护理费。</w:t>
      </w:r>
    </w:p>
    <w:p>
      <w:pPr>
        <w:spacing w:after="120" w:afterLines="50"/>
        <w:ind w:firstLine="360"/>
        <w:rPr>
          <w:rFonts w:ascii="仿宋" w:hAnsi="仿宋" w:eastAsia="仿宋" w:cs="仿宋"/>
          <w:sz w:val="24"/>
          <w:szCs w:val="24"/>
        </w:rPr>
      </w:pPr>
      <w:r>
        <w:rPr>
          <w:rFonts w:hint="eastAsia" w:ascii="仿宋" w:hAnsi="仿宋" w:eastAsia="仿宋" w:cs="仿宋"/>
          <w:sz w:val="24"/>
          <w:szCs w:val="24"/>
        </w:rPr>
        <w:t>除紧急抢救外，被保险人的教职员工应在治疗地二级以上（含二级）医院或保险人认可的医疗机构就诊。</w:t>
      </w:r>
    </w:p>
    <w:p>
      <w:pPr>
        <w:pStyle w:val="21"/>
        <w:spacing w:after="120" w:afterLines="50"/>
        <w:ind w:firstLine="422"/>
        <w:rPr>
          <w:rFonts w:ascii="仿宋" w:hAnsi="仿宋" w:eastAsia="仿宋" w:cs="仿宋"/>
          <w:sz w:val="24"/>
          <w:szCs w:val="24"/>
        </w:rPr>
      </w:pPr>
      <w:r>
        <w:rPr>
          <w:rFonts w:hint="eastAsia" w:ascii="仿宋" w:hAnsi="仿宋" w:eastAsia="仿宋" w:cs="仿宋"/>
          <w:bCs/>
          <w:sz w:val="24"/>
          <w:szCs w:val="24"/>
        </w:rPr>
        <w:t>第三十一条</w:t>
      </w:r>
      <w:r>
        <w:rPr>
          <w:rFonts w:hint="eastAsia" w:ascii="仿宋" w:hAnsi="仿宋" w:eastAsia="仿宋" w:cs="仿宋"/>
          <w:sz w:val="24"/>
          <w:szCs w:val="24"/>
        </w:rPr>
        <w:t xml:space="preserve">  被保险人的教职员工因本保险合同列明的原因导致其暂时丧失工作能力，持续缺岗五天以上（不包括五天）的，保险人在每人额外费用责任限额内负责赔偿被保险人用于聘用其他人员暂时接替该教职员工所花费的费用。</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额外费用的计算方式为</w:t>
      </w:r>
      <w:r>
        <w:rPr>
          <w:rFonts w:hint="eastAsia" w:ascii="仿宋" w:hAnsi="仿宋" w:eastAsia="仿宋" w:cs="仿宋"/>
          <w:kern w:val="0"/>
          <w:sz w:val="24"/>
          <w:szCs w:val="24"/>
        </w:rPr>
        <w:t>：暂时丧失工作能力的教职员工的申报月工资标准（或临时聘用的人员的实际月工资，两者以低者为准）/30×（暂时丧失工作能力的教职员工的实际暂时丧失工作能力天数－5天）。实际暂时丧失工作能力的天数</w:t>
      </w:r>
      <w:r>
        <w:rPr>
          <w:rFonts w:hint="eastAsia" w:ascii="仿宋" w:hAnsi="仿宋" w:eastAsia="仿宋" w:cs="仿宋"/>
          <w:sz w:val="24"/>
          <w:szCs w:val="24"/>
        </w:rPr>
        <w:t>以该教职员工医疗期满日和确定伤残程度日期的先发生者为限，最长不超过365天。</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 xml:space="preserve">第三十二条  </w:t>
      </w:r>
      <w:r>
        <w:rPr>
          <w:rFonts w:hint="eastAsia" w:ascii="仿宋" w:hAnsi="仿宋" w:eastAsia="仿宋" w:cs="仿宋"/>
          <w:sz w:val="24"/>
          <w:szCs w:val="24"/>
        </w:rPr>
        <w:t>保险期间内，保险人一次或多次对被保险人的每位教职员工的分项赔偿金额分别不得超过保险单载明的每人伤亡责任限额、每人医疗费用责任限额和每人额外费用责任限额，各分项责任限额不可相互调剂使用。保险人一次或多次赔偿的金额达到分项责任限额时，该分项的赔偿责任终止。</w:t>
      </w:r>
    </w:p>
    <w:p>
      <w:pPr>
        <w:spacing w:after="120" w:afterLines="50"/>
        <w:ind w:firstLine="482" w:firstLineChars="200"/>
        <w:rPr>
          <w:rFonts w:ascii="仿宋" w:hAnsi="仿宋" w:eastAsia="仿宋" w:cs="仿宋"/>
          <w:b/>
          <w:bCs/>
          <w:sz w:val="24"/>
          <w:szCs w:val="24"/>
        </w:rPr>
      </w:pPr>
      <w:r>
        <w:rPr>
          <w:rFonts w:hint="eastAsia" w:ascii="仿宋" w:hAnsi="仿宋" w:eastAsia="仿宋" w:cs="仿宋"/>
          <w:b/>
          <w:bCs/>
          <w:sz w:val="24"/>
          <w:szCs w:val="24"/>
        </w:rPr>
        <w:t>第三十三条</w:t>
      </w:r>
      <w:r>
        <w:rPr>
          <w:rFonts w:hint="eastAsia" w:ascii="仿宋" w:hAnsi="仿宋" w:eastAsia="仿宋" w:cs="仿宋"/>
          <w:sz w:val="24"/>
          <w:szCs w:val="24"/>
        </w:rPr>
        <w:t xml:space="preserve">  对每次事故法律费用的赔偿金额，保险人在第二十九条、第三十条、第三十一条计算的赔偿金额以外按本保险合同的约定另行计算。</w:t>
      </w:r>
    </w:p>
    <w:p>
      <w:pPr>
        <w:spacing w:after="120" w:afterLines="50"/>
        <w:ind w:firstLine="482" w:firstLineChars="200"/>
        <w:rPr>
          <w:rFonts w:ascii="仿宋" w:hAnsi="仿宋" w:eastAsia="仿宋" w:cs="仿宋"/>
          <w:sz w:val="24"/>
          <w:szCs w:val="24"/>
          <w:lang w:val="zh-CN"/>
        </w:rPr>
      </w:pPr>
      <w:r>
        <w:rPr>
          <w:rFonts w:hint="eastAsia" w:ascii="仿宋" w:hAnsi="仿宋" w:eastAsia="仿宋" w:cs="仿宋"/>
          <w:b/>
          <w:bCs/>
          <w:sz w:val="24"/>
          <w:szCs w:val="24"/>
        </w:rPr>
        <w:t>第三十四条</w:t>
      </w:r>
      <w:r>
        <w:rPr>
          <w:rFonts w:hint="eastAsia" w:ascii="仿宋" w:hAnsi="仿宋" w:eastAsia="仿宋" w:cs="仿宋"/>
          <w:sz w:val="24"/>
          <w:szCs w:val="24"/>
        </w:rPr>
        <w:t xml:space="preserve">  发生保险事故时，如果被保险人的损失能够从其他相同保障的保险项下也获得赔偿，则本保险人按照本保险合同的累计责任限额与所有有关保险合同的累计责任限额总和的比例承担赔偿责任。</w:t>
      </w:r>
    </w:p>
    <w:p>
      <w:pPr>
        <w:pStyle w:val="60"/>
        <w:widowControl w:val="0"/>
        <w:overflowPunct/>
        <w:autoSpaceDE/>
        <w:autoSpaceDN/>
        <w:adjustRightInd/>
        <w:spacing w:after="120" w:afterLines="50"/>
        <w:ind w:firstLine="472" w:firstLineChars="196"/>
        <w:jc w:val="both"/>
        <w:textAlignment w:val="auto"/>
        <w:rPr>
          <w:rFonts w:ascii="仿宋" w:hAnsi="仿宋" w:eastAsia="仿宋" w:cs="仿宋"/>
          <w:b/>
          <w:szCs w:val="24"/>
        </w:rPr>
      </w:pPr>
      <w:r>
        <w:rPr>
          <w:rFonts w:hint="eastAsia" w:ascii="仿宋" w:hAnsi="仿宋" w:eastAsia="仿宋" w:cs="仿宋"/>
          <w:b/>
          <w:szCs w:val="24"/>
          <w:lang w:val="zh-CN"/>
        </w:rPr>
        <w:t>其他保险人应承担的赔偿金额，本保险人不负责垫付。</w:t>
      </w:r>
    </w:p>
    <w:p>
      <w:pPr>
        <w:spacing w:after="120" w:afterLines="50"/>
        <w:ind w:firstLine="482" w:firstLineChars="200"/>
        <w:rPr>
          <w:rFonts w:ascii="仿宋" w:hAnsi="仿宋" w:eastAsia="仿宋" w:cs="仿宋"/>
          <w:sz w:val="24"/>
          <w:szCs w:val="24"/>
        </w:rPr>
      </w:pPr>
      <w:r>
        <w:rPr>
          <w:rFonts w:hint="eastAsia" w:ascii="仿宋" w:hAnsi="仿宋" w:eastAsia="仿宋" w:cs="仿宋"/>
          <w:b/>
          <w:sz w:val="24"/>
          <w:szCs w:val="24"/>
        </w:rPr>
        <w:t>第三十五条</w:t>
      </w:r>
      <w:r>
        <w:rPr>
          <w:rFonts w:hint="eastAsia" w:ascii="仿宋" w:hAnsi="仿宋" w:eastAsia="仿宋" w:cs="仿宋"/>
          <w:sz w:val="24"/>
          <w:szCs w:val="24"/>
        </w:rPr>
        <w:t xml:space="preserve">  被保险人向保险人请求赔偿的诉讼时效期间为二年，自其知道或者应当知道保险事故发生之日起计算。</w:t>
      </w:r>
    </w:p>
    <w:p>
      <w:pPr>
        <w:spacing w:after="120" w:afterLines="50"/>
        <w:ind w:firstLine="480" w:firstLineChars="200"/>
        <w:rPr>
          <w:rFonts w:ascii="仿宋" w:hAnsi="仿宋" w:eastAsia="仿宋" w:cs="仿宋"/>
          <w:sz w:val="24"/>
          <w:szCs w:val="24"/>
        </w:rPr>
      </w:pPr>
    </w:p>
    <w:p>
      <w:pPr>
        <w:spacing w:after="120" w:afterLines="50"/>
        <w:jc w:val="center"/>
        <w:rPr>
          <w:rFonts w:ascii="仿宋" w:hAnsi="仿宋" w:eastAsia="仿宋" w:cs="仿宋"/>
          <w:b/>
          <w:bCs/>
          <w:sz w:val="24"/>
          <w:szCs w:val="24"/>
        </w:rPr>
      </w:pPr>
      <w:r>
        <w:rPr>
          <w:rFonts w:hint="eastAsia" w:ascii="仿宋" w:hAnsi="仿宋" w:eastAsia="仿宋" w:cs="仿宋"/>
          <w:b/>
          <w:bCs/>
          <w:sz w:val="24"/>
          <w:szCs w:val="24"/>
        </w:rPr>
        <w:t>争议处理</w:t>
      </w:r>
    </w:p>
    <w:p>
      <w:pPr>
        <w:spacing w:after="120" w:afterLines="50"/>
        <w:ind w:firstLine="472" w:firstLineChars="196"/>
        <w:rPr>
          <w:rFonts w:ascii="仿宋" w:hAnsi="仿宋" w:eastAsia="仿宋" w:cs="仿宋"/>
          <w:sz w:val="24"/>
          <w:szCs w:val="24"/>
        </w:rPr>
      </w:pPr>
      <w:r>
        <w:rPr>
          <w:rFonts w:hint="eastAsia" w:ascii="仿宋" w:hAnsi="仿宋" w:eastAsia="仿宋" w:cs="仿宋"/>
          <w:b/>
          <w:bCs/>
          <w:sz w:val="24"/>
          <w:szCs w:val="24"/>
        </w:rPr>
        <w:t>第三十六条</w:t>
      </w:r>
      <w:r>
        <w:rPr>
          <w:rFonts w:hint="eastAsia" w:ascii="仿宋" w:hAnsi="仿宋" w:eastAsia="仿宋" w:cs="仿宋"/>
          <w:sz w:val="24"/>
          <w:szCs w:val="24"/>
        </w:rPr>
        <w:t xml:space="preserve">  因履行本保险合同发生的争议，由当事人协商解决。协商不成的，提交保险单载明的台州仲裁委员会仲裁；保险单未载明台州仲裁委员会且争议发生后未达成仲裁协议的，应向中华人民共和国人民法院起诉。</w:t>
      </w:r>
    </w:p>
    <w:p>
      <w:pPr>
        <w:spacing w:after="120" w:afterLines="50"/>
        <w:ind w:firstLine="482" w:firstLineChars="200"/>
        <w:rPr>
          <w:rFonts w:ascii="仿宋" w:hAnsi="仿宋" w:eastAsia="仿宋" w:cs="仿宋"/>
          <w:sz w:val="24"/>
          <w:szCs w:val="24"/>
        </w:rPr>
      </w:pPr>
      <w:r>
        <w:rPr>
          <w:rFonts w:hint="eastAsia" w:ascii="仿宋" w:hAnsi="仿宋" w:eastAsia="仿宋" w:cs="仿宋"/>
          <w:b/>
          <w:sz w:val="24"/>
          <w:szCs w:val="24"/>
        </w:rPr>
        <w:t>第三十七条</w:t>
      </w:r>
      <w:r>
        <w:rPr>
          <w:rFonts w:hint="eastAsia" w:ascii="仿宋" w:hAnsi="仿宋" w:eastAsia="仿宋" w:cs="仿宋"/>
          <w:sz w:val="24"/>
          <w:szCs w:val="24"/>
        </w:rPr>
        <w:t xml:space="preserve"> 本保险合同的争议处理适用中华人民共和国法律（不包</w:t>
      </w:r>
      <w:r>
        <w:rPr>
          <w:rFonts w:hint="eastAsia" w:ascii="仿宋" w:hAnsi="仿宋" w:eastAsia="仿宋" w:cs="仿宋"/>
          <w:sz w:val="24"/>
          <w:szCs w:val="24"/>
          <w:lang w:val="zh-CN"/>
        </w:rPr>
        <w:t>括港澳台地区法律）</w:t>
      </w:r>
      <w:r>
        <w:rPr>
          <w:rFonts w:hint="eastAsia" w:ascii="仿宋" w:hAnsi="仿宋" w:eastAsia="仿宋" w:cs="仿宋"/>
          <w:sz w:val="24"/>
          <w:szCs w:val="24"/>
        </w:rPr>
        <w:t>。</w:t>
      </w:r>
    </w:p>
    <w:p>
      <w:pPr>
        <w:spacing w:after="120" w:afterLines="50"/>
        <w:jc w:val="center"/>
        <w:rPr>
          <w:rFonts w:ascii="仿宋" w:hAnsi="仿宋" w:eastAsia="仿宋" w:cs="仿宋"/>
          <w:b/>
          <w:bCs/>
          <w:sz w:val="24"/>
          <w:szCs w:val="24"/>
        </w:rPr>
      </w:pPr>
      <w:r>
        <w:rPr>
          <w:rFonts w:hint="eastAsia" w:ascii="仿宋" w:hAnsi="仿宋" w:eastAsia="仿宋" w:cs="仿宋"/>
          <w:b/>
          <w:bCs/>
          <w:sz w:val="24"/>
          <w:szCs w:val="24"/>
        </w:rPr>
        <w:t>其他事项</w:t>
      </w:r>
    </w:p>
    <w:p>
      <w:pPr>
        <w:spacing w:after="120" w:afterLines="50"/>
        <w:ind w:firstLine="482" w:firstLineChars="200"/>
        <w:rPr>
          <w:rFonts w:ascii="仿宋" w:hAnsi="仿宋" w:eastAsia="仿宋" w:cs="仿宋"/>
          <w:sz w:val="24"/>
          <w:szCs w:val="24"/>
        </w:rPr>
      </w:pPr>
      <w:r>
        <w:rPr>
          <w:rFonts w:hint="eastAsia" w:ascii="仿宋" w:hAnsi="仿宋" w:eastAsia="仿宋" w:cs="仿宋"/>
          <w:b/>
          <w:bCs/>
          <w:sz w:val="24"/>
          <w:szCs w:val="24"/>
        </w:rPr>
        <w:t>第三十八条</w:t>
      </w:r>
      <w:r>
        <w:rPr>
          <w:rFonts w:hint="eastAsia" w:ascii="仿宋" w:hAnsi="仿宋" w:eastAsia="仿宋" w:cs="仿宋"/>
          <w:sz w:val="24"/>
          <w:szCs w:val="24"/>
        </w:rPr>
        <w:t xml:space="preserve">  保险责任开始前，投保人要求解除保险合同的，应当向保险人支付相当于保险费5%的退保手续费，保险人应当退还剩余部分保险费；保险人要求解除保险合同的，不得向投保人收取手续费并应退还已收取的保险费。</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保险责任开始后，投保人要求解除保险合同的，自通知保险人之日起，保险合同解除，保险人按短期费率计收保险责任开始之日起至合同解除之日止期间的保险费，并退还剩余部分保险费；保险人也可提前十五日向投保人发出解约通知书解除本保险合同，并按保险责任开始之日起至合同解除之日止期间与保险期间的日比例计收保险费后，退还剩余部分保险费。</w:t>
      </w:r>
    </w:p>
    <w:p>
      <w:pPr>
        <w:spacing w:after="120" w:afterLines="50"/>
        <w:ind w:firstLine="482" w:firstLineChars="200"/>
        <w:rPr>
          <w:rFonts w:ascii="仿宋" w:hAnsi="仿宋" w:eastAsia="仿宋" w:cs="仿宋"/>
          <w:b/>
          <w:bCs/>
          <w:sz w:val="24"/>
          <w:szCs w:val="24"/>
        </w:rPr>
      </w:pPr>
      <w:r>
        <w:rPr>
          <w:rFonts w:hint="eastAsia" w:ascii="仿宋" w:hAnsi="仿宋" w:eastAsia="仿宋" w:cs="仿宋"/>
          <w:b/>
          <w:bCs/>
          <w:sz w:val="24"/>
          <w:szCs w:val="24"/>
        </w:rPr>
        <w:t>第三十九条  释义</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（一）教职员工：指从事学校管理或服务工作并接受被保险人薪金工资的人员，包括教师、职员、教学辅助人员和工勤人员。实习教师、临时工也属于本保险合同的教职员工范围。</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（二）意外伤害：指遭受外来的、突发的、非本意的、非疾病的使身体受到伤害的客观事件。</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（三）职业病：指教职员工在职业性活动中因接触粉尘、放射性物质或其它有害物质引起的并且在保险期间内确诊的疾病。职业病以法定职业病鉴定机构的鉴定结果为准。</w:t>
      </w:r>
    </w:p>
    <w:p>
      <w:pPr>
        <w:spacing w:after="120" w:afterLines="50"/>
        <w:ind w:firstLine="480" w:firstLineChars="200"/>
        <w:rPr>
          <w:rFonts w:ascii="仿宋" w:hAnsi="仿宋" w:eastAsia="仿宋" w:cs="仿宋"/>
          <w:sz w:val="24"/>
          <w:szCs w:val="24"/>
        </w:rPr>
      </w:pPr>
      <w:r>
        <w:rPr>
          <w:rFonts w:hint="eastAsia" w:ascii="仿宋" w:hAnsi="仿宋" w:eastAsia="仿宋" w:cs="仿宋"/>
          <w:sz w:val="24"/>
          <w:szCs w:val="24"/>
        </w:rPr>
        <w:t>（四）报到之日：指被保险人的教职员工赴被保险人的人事部门办理工作报到手续之日。</w:t>
      </w:r>
    </w:p>
    <w:p>
      <w:pPr>
        <w:spacing w:after="120" w:afterLines="50"/>
        <w:rPr>
          <w:rFonts w:ascii="仿宋" w:hAnsi="仿宋" w:eastAsia="仿宋" w:cs="仿宋"/>
          <w:b/>
          <w:bCs/>
          <w:sz w:val="24"/>
          <w:szCs w:val="24"/>
        </w:rPr>
      </w:pPr>
    </w:p>
    <w:p>
      <w:pPr>
        <w:spacing w:after="120" w:afterLines="50"/>
        <w:rPr>
          <w:rFonts w:ascii="仿宋" w:hAnsi="仿宋" w:eastAsia="仿宋" w:cs="仿宋"/>
          <w:b/>
          <w:bCs/>
          <w:sz w:val="24"/>
          <w:szCs w:val="24"/>
        </w:rPr>
        <w:sectPr>
          <w:pgSz w:w="11906" w:h="16838"/>
          <w:pgMar w:top="1440" w:right="1440" w:bottom="1440" w:left="1701" w:header="851" w:footer="992" w:gutter="0"/>
          <w:pgNumType w:fmt="decimal"/>
          <w:cols w:space="720" w:num="1"/>
          <w:docGrid w:linePitch="312" w:charSpace="0"/>
        </w:sectPr>
      </w:pPr>
    </w:p>
    <w:p>
      <w:pPr>
        <w:spacing w:after="120" w:afterLines="50"/>
        <w:rPr>
          <w:rFonts w:ascii="仿宋" w:hAnsi="仿宋" w:eastAsia="仿宋" w:cs="仿宋"/>
          <w:b/>
          <w:bCs/>
          <w:sz w:val="24"/>
          <w:szCs w:val="24"/>
        </w:rPr>
      </w:pPr>
      <w:r>
        <w:rPr>
          <w:rFonts w:hint="eastAsia" w:ascii="仿宋" w:hAnsi="仿宋" w:eastAsia="仿宋" w:cs="仿宋"/>
          <w:b/>
          <w:bCs/>
          <w:sz w:val="24"/>
          <w:szCs w:val="24"/>
        </w:rPr>
        <w:t>附表一：短期费率表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537"/>
        <w:gridCol w:w="537"/>
        <w:gridCol w:w="537"/>
        <w:gridCol w:w="538"/>
        <w:gridCol w:w="538"/>
        <w:gridCol w:w="538"/>
        <w:gridCol w:w="538"/>
        <w:gridCol w:w="538"/>
        <w:gridCol w:w="538"/>
        <w:gridCol w:w="538"/>
        <w:gridCol w:w="53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保险期间</w:t>
            </w:r>
          </w:p>
        </w:tc>
        <w:tc>
          <w:tcPr>
            <w:tcW w:w="537"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一</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c>
          <w:tcPr>
            <w:tcW w:w="537"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二</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c>
          <w:tcPr>
            <w:tcW w:w="537"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三</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四</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五</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六</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七</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八</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九</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十</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c>
          <w:tcPr>
            <w:tcW w:w="535"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十</w:t>
            </w:r>
          </w:p>
          <w:p>
            <w:pPr>
              <w:spacing w:after="120" w:afterLines="50"/>
              <w:jc w:val="center"/>
              <w:rPr>
                <w:rFonts w:ascii="仿宋" w:hAnsi="仿宋" w:eastAsia="仿宋" w:cs="仿宋"/>
                <w:sz w:val="24"/>
                <w:szCs w:val="24"/>
              </w:rPr>
            </w:pPr>
            <w:r>
              <w:rPr>
                <w:rFonts w:hint="eastAsia" w:ascii="仿宋" w:hAnsi="仿宋" w:eastAsia="仿宋" w:cs="仿宋"/>
                <w:sz w:val="24"/>
                <w:szCs w:val="24"/>
              </w:rPr>
              <w:t>一</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c>
          <w:tcPr>
            <w:tcW w:w="646"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十</w:t>
            </w:r>
          </w:p>
          <w:p>
            <w:pPr>
              <w:spacing w:after="120" w:afterLines="50"/>
              <w:jc w:val="center"/>
              <w:rPr>
                <w:rFonts w:ascii="仿宋" w:hAnsi="仿宋" w:eastAsia="仿宋" w:cs="仿宋"/>
                <w:sz w:val="24"/>
                <w:szCs w:val="24"/>
              </w:rPr>
            </w:pPr>
            <w:r>
              <w:rPr>
                <w:rFonts w:hint="eastAsia" w:ascii="仿宋" w:hAnsi="仿宋" w:eastAsia="仿宋" w:cs="仿宋"/>
                <w:sz w:val="24"/>
                <w:szCs w:val="24"/>
              </w:rPr>
              <w:t>二</w:t>
            </w:r>
          </w:p>
          <w:p>
            <w:pPr>
              <w:spacing w:after="120" w:afterLines="50"/>
              <w:jc w:val="center"/>
              <w:rPr>
                <w:rFonts w:ascii="仿宋" w:hAnsi="仿宋" w:eastAsia="仿宋" w:cs="仿宋"/>
                <w:sz w:val="24"/>
                <w:szCs w:val="24"/>
              </w:rPr>
            </w:pPr>
            <w:r>
              <w:rPr>
                <w:rFonts w:hint="eastAsia" w:ascii="仿宋" w:hAnsi="仿宋" w:eastAsia="仿宋" w:cs="仿宋"/>
                <w:sz w:val="24"/>
                <w:szCs w:val="24"/>
              </w:rPr>
              <w:t>个</w:t>
            </w:r>
          </w:p>
          <w:p>
            <w:pPr>
              <w:spacing w:after="120" w:afterLines="50"/>
              <w:jc w:val="center"/>
              <w:rPr>
                <w:rFonts w:ascii="仿宋" w:hAnsi="仿宋" w:eastAsia="仿宋" w:cs="仿宋"/>
                <w:sz w:val="24"/>
                <w:szCs w:val="24"/>
              </w:rPr>
            </w:pPr>
            <w:r>
              <w:rPr>
                <w:rFonts w:hint="eastAsia" w:ascii="仿宋" w:hAnsi="仿宋" w:eastAsia="仿宋" w:cs="仿宋"/>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年费率的百分比(%)</w:t>
            </w:r>
          </w:p>
        </w:tc>
        <w:tc>
          <w:tcPr>
            <w:tcW w:w="537"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10</w:t>
            </w:r>
          </w:p>
        </w:tc>
        <w:tc>
          <w:tcPr>
            <w:tcW w:w="537"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20</w:t>
            </w:r>
          </w:p>
        </w:tc>
        <w:tc>
          <w:tcPr>
            <w:tcW w:w="537"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30</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40</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50</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60</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70</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80</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85</w:t>
            </w:r>
          </w:p>
        </w:tc>
        <w:tc>
          <w:tcPr>
            <w:tcW w:w="538"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90</w:t>
            </w:r>
          </w:p>
        </w:tc>
        <w:tc>
          <w:tcPr>
            <w:tcW w:w="535"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95</w:t>
            </w:r>
          </w:p>
        </w:tc>
        <w:tc>
          <w:tcPr>
            <w:tcW w:w="646" w:type="dxa"/>
            <w:vAlign w:val="center"/>
          </w:tcPr>
          <w:p>
            <w:pPr>
              <w:spacing w:after="120" w:afterLines="50"/>
              <w:jc w:val="center"/>
              <w:rPr>
                <w:rFonts w:ascii="仿宋" w:hAnsi="仿宋" w:eastAsia="仿宋" w:cs="仿宋"/>
                <w:sz w:val="24"/>
                <w:szCs w:val="24"/>
              </w:rPr>
            </w:pPr>
            <w:r>
              <w:rPr>
                <w:rFonts w:hint="eastAsia" w:ascii="仿宋" w:hAnsi="仿宋" w:eastAsia="仿宋" w:cs="仿宋"/>
                <w:sz w:val="24"/>
                <w:szCs w:val="24"/>
              </w:rPr>
              <w:t>100</w:t>
            </w:r>
          </w:p>
        </w:tc>
      </w:tr>
    </w:tbl>
    <w:p>
      <w:pPr>
        <w:spacing w:after="120" w:afterLines="50"/>
        <w:rPr>
          <w:rFonts w:ascii="仿宋" w:hAnsi="仿宋" w:eastAsia="仿宋" w:cs="仿宋"/>
          <w:sz w:val="24"/>
          <w:szCs w:val="24"/>
        </w:rPr>
      </w:pPr>
      <w:r>
        <w:rPr>
          <w:rFonts w:hint="eastAsia" w:ascii="仿宋" w:hAnsi="仿宋" w:eastAsia="仿宋" w:cs="仿宋"/>
          <w:sz w:val="24"/>
          <w:szCs w:val="24"/>
        </w:rPr>
        <w:t>注：保险期间不足一个月的部分，按一个月计算。</w:t>
      </w:r>
    </w:p>
    <w:p>
      <w:pPr>
        <w:spacing w:after="120" w:afterLines="50"/>
        <w:rPr>
          <w:rFonts w:ascii="仿宋" w:hAnsi="仿宋" w:eastAsia="仿宋" w:cs="仿宋"/>
          <w:sz w:val="24"/>
          <w:szCs w:val="24"/>
        </w:rPr>
      </w:pPr>
    </w:p>
    <w:p>
      <w:pPr>
        <w:spacing w:after="120" w:afterLines="50"/>
        <w:rPr>
          <w:rFonts w:ascii="仿宋" w:hAnsi="仿宋" w:eastAsia="仿宋" w:cs="仿宋"/>
          <w:b/>
          <w:bCs/>
          <w:sz w:val="24"/>
          <w:szCs w:val="24"/>
        </w:rPr>
      </w:pPr>
    </w:p>
    <w:p>
      <w:pPr>
        <w:spacing w:after="120" w:afterLines="50"/>
        <w:rPr>
          <w:rFonts w:ascii="仿宋" w:hAnsi="仿宋" w:eastAsia="仿宋" w:cs="仿宋"/>
          <w:b/>
          <w:bCs/>
          <w:kern w:val="0"/>
          <w:sz w:val="24"/>
          <w:szCs w:val="24"/>
        </w:rPr>
      </w:pPr>
      <w:r>
        <w:rPr>
          <w:rFonts w:hint="eastAsia" w:ascii="仿宋" w:hAnsi="仿宋" w:eastAsia="仿宋" w:cs="仿宋"/>
          <w:b/>
          <w:bCs/>
          <w:sz w:val="24"/>
          <w:szCs w:val="24"/>
        </w:rPr>
        <w:t>附表二：</w:t>
      </w:r>
      <w:r>
        <w:rPr>
          <w:rFonts w:hint="eastAsia" w:ascii="仿宋" w:hAnsi="仿宋" w:eastAsia="仿宋" w:cs="仿宋"/>
          <w:b/>
          <w:bCs/>
          <w:kern w:val="0"/>
          <w:sz w:val="24"/>
          <w:szCs w:val="24"/>
        </w:rPr>
        <w:t>伤残等级赔偿比例表</w:t>
      </w:r>
    </w:p>
    <w:tbl>
      <w:tblPr>
        <w:tblStyle w:val="26"/>
        <w:tblW w:w="0" w:type="auto"/>
        <w:tblInd w:w="19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b/>
                <w:bCs/>
                <w:kern w:val="0"/>
                <w:sz w:val="24"/>
                <w:szCs w:val="24"/>
              </w:rPr>
              <w:t>伤残等级</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b/>
                <w:bCs/>
                <w:kern w:val="0"/>
                <w:sz w:val="24"/>
                <w:szCs w:val="24"/>
              </w:rPr>
              <w:t>赔偿比例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一级</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二级</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三级</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四级</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五级</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六级</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七级</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八级</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九级</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十级</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ascii="仿宋" w:hAnsi="仿宋" w:eastAsia="仿宋" w:cs="仿宋"/>
                <w:b/>
                <w:bCs/>
                <w:kern w:val="0"/>
                <w:sz w:val="24"/>
                <w:szCs w:val="24"/>
              </w:rPr>
            </w:pPr>
            <w:r>
              <w:rPr>
                <w:rFonts w:hint="eastAsia" w:ascii="仿宋" w:hAnsi="仿宋" w:eastAsia="仿宋" w:cs="仿宋"/>
                <w:kern w:val="0"/>
                <w:sz w:val="24"/>
                <w:szCs w:val="24"/>
              </w:rPr>
              <w:t>5%</w:t>
            </w:r>
          </w:p>
        </w:tc>
      </w:tr>
    </w:tbl>
    <w:p>
      <w:pPr>
        <w:pStyle w:val="11"/>
        <w:spacing w:line="360" w:lineRule="auto"/>
        <w:rPr>
          <w:rFonts w:ascii="仿宋" w:hAnsi="仿宋" w:eastAsia="仿宋" w:cs="仿宋"/>
          <w:szCs w:val="24"/>
        </w:rPr>
      </w:pPr>
    </w:p>
    <w:p>
      <w:pPr>
        <w:pStyle w:val="11"/>
        <w:spacing w:line="360" w:lineRule="auto"/>
        <w:rPr>
          <w:rFonts w:ascii="仿宋" w:hAnsi="仿宋" w:eastAsia="仿宋" w:cs="仿宋"/>
          <w:szCs w:val="24"/>
        </w:rPr>
        <w:sectPr>
          <w:pgSz w:w="11906" w:h="16838"/>
          <w:pgMar w:top="1440" w:right="1440" w:bottom="1440" w:left="1701" w:header="851" w:footer="992" w:gutter="0"/>
          <w:pgNumType w:fmt="decimal"/>
          <w:cols w:space="720" w:num="1"/>
          <w:docGrid w:linePitch="312" w:charSpace="0"/>
        </w:sectPr>
      </w:pPr>
    </w:p>
    <w:p>
      <w:pPr>
        <w:keepNext/>
        <w:keepLines/>
        <w:spacing w:line="360" w:lineRule="auto"/>
        <w:outlineLvl w:val="1"/>
        <w:rPr>
          <w:rFonts w:ascii="仿宋" w:hAnsi="仿宋" w:eastAsia="仿宋" w:cs="仿宋"/>
          <w:b/>
          <w:bCs/>
          <w:kern w:val="0"/>
          <w:sz w:val="24"/>
          <w:szCs w:val="24"/>
        </w:rPr>
      </w:pPr>
      <w:r>
        <w:rPr>
          <w:rFonts w:hint="eastAsia" w:ascii="仿宋" w:hAnsi="仿宋" w:eastAsia="仿宋" w:cs="仿宋"/>
          <w:b/>
          <w:bCs/>
          <w:kern w:val="0"/>
          <w:sz w:val="24"/>
          <w:szCs w:val="24"/>
        </w:rPr>
        <w:t>附件三：</w:t>
      </w:r>
    </w:p>
    <w:p>
      <w:pPr>
        <w:keepNext/>
        <w:keepLines/>
        <w:spacing w:line="360" w:lineRule="auto"/>
        <w:jc w:val="center"/>
        <w:outlineLvl w:val="1"/>
        <w:rPr>
          <w:rFonts w:ascii="仿宋" w:hAnsi="仿宋" w:eastAsia="仿宋" w:cs="仿宋"/>
          <w:b/>
          <w:bCs/>
          <w:sz w:val="24"/>
          <w:szCs w:val="24"/>
        </w:rPr>
      </w:pPr>
      <w:bookmarkStart w:id="56" w:name="_Toc360701936"/>
      <w:r>
        <w:rPr>
          <w:rFonts w:hint="eastAsia" w:ascii="仿宋" w:hAnsi="仿宋" w:eastAsia="仿宋" w:cs="仿宋"/>
          <w:b/>
          <w:bCs/>
          <w:sz w:val="24"/>
          <w:szCs w:val="24"/>
        </w:rPr>
        <w:t>浙    江    省    教    育      厅</w:t>
      </w:r>
      <w:bookmarkEnd w:id="56"/>
    </w:p>
    <w:p>
      <w:pPr>
        <w:keepNext/>
        <w:keepLines/>
        <w:spacing w:line="360" w:lineRule="auto"/>
        <w:jc w:val="center"/>
        <w:rPr>
          <w:rFonts w:ascii="仿宋" w:hAnsi="仿宋" w:eastAsia="仿宋" w:cs="仿宋"/>
          <w:b/>
          <w:bCs/>
          <w:sz w:val="24"/>
          <w:szCs w:val="24"/>
        </w:rPr>
      </w:pPr>
      <w:bookmarkStart w:id="57" w:name="_Toc360701937"/>
      <w:r>
        <w:rPr>
          <w:rFonts w:hint="eastAsia" w:ascii="仿宋" w:hAnsi="仿宋" w:eastAsia="仿宋" w:cs="仿宋"/>
          <w:b/>
          <w:bCs/>
          <w:sz w:val="24"/>
          <w:szCs w:val="24"/>
        </w:rPr>
        <w:t>中国保险监督管理委员</w:t>
      </w:r>
      <w:r>
        <w:rPr>
          <w:rFonts w:hint="eastAsia" w:ascii="仿宋" w:hAnsi="仿宋" w:eastAsia="仿宋" w:cs="仿宋"/>
          <w:b/>
          <w:bCs/>
          <w:sz w:val="24"/>
          <w:szCs w:val="24"/>
          <w:lang w:eastAsia="zh-CN"/>
        </w:rPr>
        <w:t>会</w:t>
      </w:r>
      <w:r>
        <w:rPr>
          <w:rFonts w:hint="eastAsia" w:ascii="仿宋" w:hAnsi="仿宋" w:eastAsia="仿宋" w:cs="仿宋"/>
          <w:b/>
          <w:bCs/>
          <w:sz w:val="24"/>
          <w:szCs w:val="24"/>
        </w:rPr>
        <w:t>浙江监管局  文件</w:t>
      </w:r>
      <w:bookmarkEnd w:id="57"/>
    </w:p>
    <w:p>
      <w:pPr>
        <w:keepNext/>
        <w:keepLines/>
        <w:spacing w:line="360" w:lineRule="auto"/>
        <w:jc w:val="center"/>
        <w:rPr>
          <w:rFonts w:ascii="仿宋" w:hAnsi="仿宋" w:eastAsia="仿宋" w:cs="仿宋"/>
          <w:b/>
          <w:bCs/>
          <w:sz w:val="24"/>
          <w:szCs w:val="24"/>
        </w:rPr>
      </w:pPr>
      <w:r>
        <w:rPr>
          <w:rFonts w:hint="eastAsia" w:ascii="仿宋" w:hAnsi="仿宋" w:eastAsia="仿宋" w:cs="仿宋"/>
          <w:b/>
          <w:bCs/>
          <w:sz w:val="24"/>
          <w:szCs w:val="24"/>
        </w:rPr>
        <w:t>浙教装【2006】147号</w:t>
      </w:r>
    </w:p>
    <w:p>
      <w:pPr>
        <w:keepNext/>
        <w:keepLines/>
        <w:spacing w:line="360" w:lineRule="auto"/>
        <w:jc w:val="center"/>
        <w:rPr>
          <w:rFonts w:ascii="仿宋" w:hAnsi="仿宋" w:eastAsia="仿宋" w:cs="仿宋"/>
          <w:b/>
          <w:bCs/>
          <w:sz w:val="24"/>
          <w:szCs w:val="24"/>
        </w:rPr>
      </w:pPr>
      <w:r>
        <w:rPr>
          <w:rFonts w:hint="eastAsia" w:ascii="仿宋" w:hAnsi="仿宋" w:eastAsia="仿宋" w:cs="仿宋"/>
          <w:b/>
          <w:bCs/>
          <w:sz w:val="24"/>
          <w:szCs w:val="24"/>
        </w:rPr>
        <w:t>关于积极推进校（园）方责任保险工作的通知</w:t>
      </w:r>
    </w:p>
    <w:p>
      <w:pPr>
        <w:snapToGrid w:val="0"/>
        <w:spacing w:line="360" w:lineRule="auto"/>
        <w:rPr>
          <w:rFonts w:ascii="仿宋" w:hAnsi="仿宋" w:eastAsia="仿宋" w:cs="仿宋"/>
          <w:sz w:val="24"/>
          <w:szCs w:val="24"/>
        </w:rPr>
      </w:pPr>
      <w:r>
        <w:rPr>
          <w:rFonts w:hint="eastAsia" w:ascii="仿宋" w:hAnsi="仿宋" w:eastAsia="仿宋" w:cs="仿宋"/>
          <w:sz w:val="24"/>
          <w:szCs w:val="24"/>
        </w:rPr>
        <w:t>各市、县（市、区）教育局，各高等院校、中等职业学校，各财产保险公司省级分公司，各保险经纪公司：</w:t>
      </w:r>
    </w:p>
    <w:p>
      <w:pPr>
        <w:snapToGrid w:val="0"/>
        <w:spacing w:line="360" w:lineRule="auto"/>
        <w:ind w:firstLine="600"/>
        <w:rPr>
          <w:rFonts w:ascii="仿宋" w:hAnsi="仿宋" w:eastAsia="仿宋" w:cs="仿宋"/>
          <w:sz w:val="24"/>
          <w:szCs w:val="24"/>
        </w:rPr>
      </w:pPr>
      <w:r>
        <w:rPr>
          <w:rFonts w:hint="eastAsia" w:ascii="仿宋" w:hAnsi="仿宋" w:eastAsia="仿宋" w:cs="仿宋"/>
          <w:sz w:val="24"/>
          <w:szCs w:val="24"/>
        </w:rPr>
        <w:t>近年来，校园学生伤害事故时有发生，不仅影响了学校正常教学秩序，也给学校带来各类法律纠纷，甚至影响了社会稳定。为积极防范和妥善处理各类学生伤害事故，保护师生和学校的合法权益，根据《保险法》、《学生伤害事故处理办法》（教育部12号令）、《浙江省中小学校学生人身安全事故预防与处理办法》（浙江省人民政府令第169号）和《关于保险业开展治理商业贿赂专项工作的实施意见》（保监发[2006]26号）等相关规定，决定在全省范围内推进校（园）方责任保险工作。现就有关要求通知如下：</w:t>
      </w:r>
    </w:p>
    <w:p>
      <w:pPr>
        <w:snapToGrid w:val="0"/>
        <w:spacing w:line="360" w:lineRule="auto"/>
        <w:ind w:firstLine="600"/>
        <w:rPr>
          <w:rFonts w:ascii="仿宋" w:hAnsi="仿宋" w:eastAsia="仿宋" w:cs="仿宋"/>
          <w:sz w:val="24"/>
          <w:szCs w:val="24"/>
        </w:rPr>
      </w:pPr>
      <w:r>
        <w:rPr>
          <w:rFonts w:hint="eastAsia" w:ascii="仿宋" w:hAnsi="仿宋" w:eastAsia="仿宋" w:cs="仿宋"/>
          <w:sz w:val="24"/>
          <w:szCs w:val="24"/>
        </w:rPr>
        <w:t>一、统一思想，充分认识校（园）方责任保险的重要性</w:t>
      </w:r>
    </w:p>
    <w:p>
      <w:pPr>
        <w:snapToGrid w:val="0"/>
        <w:spacing w:line="360" w:lineRule="auto"/>
        <w:ind w:firstLine="600"/>
        <w:rPr>
          <w:rFonts w:ascii="仿宋" w:hAnsi="仿宋" w:eastAsia="仿宋" w:cs="仿宋"/>
          <w:sz w:val="24"/>
          <w:szCs w:val="24"/>
        </w:rPr>
      </w:pPr>
      <w:r>
        <w:rPr>
          <w:rFonts w:hint="eastAsia" w:ascii="仿宋" w:hAnsi="仿宋" w:eastAsia="仿宋" w:cs="仿宋"/>
          <w:sz w:val="24"/>
          <w:szCs w:val="24"/>
        </w:rPr>
        <w:t>校（园）方责任保险是指在学校实施的教育教学活动或者学校组织的校外活动中，因学校过错而导致在校学生人身伤害事故，依法应由学校承担的经济赔偿责任，由保险公司在赔偿限额内负责赔偿的保险。积极发展校（园）方责任保险，既是建立健全教育风险管理服务体系的需要，也是保险业参与地方教育安全管理的有效途径。各地、各单位要从构建“和谐社会”和打造“平安浙江”的高度，充分认识校（园）方责任保险的重要意义，认真研究制定相关政策，大力推动校（园）方责任保险工作，充分运用责任保险来加强和改善安全教育工作。</w:t>
      </w:r>
    </w:p>
    <w:p>
      <w:pPr>
        <w:snapToGrid w:val="0"/>
        <w:spacing w:line="360" w:lineRule="auto"/>
        <w:ind w:firstLine="600"/>
        <w:rPr>
          <w:rFonts w:ascii="仿宋" w:hAnsi="仿宋" w:eastAsia="仿宋" w:cs="仿宋"/>
          <w:sz w:val="24"/>
          <w:szCs w:val="24"/>
        </w:rPr>
      </w:pPr>
      <w:r>
        <w:rPr>
          <w:rFonts w:hint="eastAsia" w:ascii="仿宋" w:hAnsi="仿宋" w:eastAsia="仿宋" w:cs="仿宋"/>
          <w:sz w:val="24"/>
          <w:szCs w:val="24"/>
        </w:rPr>
        <w:t>二、协调配合，加强校（园）方责任保险工作的组织领导</w:t>
      </w:r>
    </w:p>
    <w:p>
      <w:pPr>
        <w:snapToGrid w:val="0"/>
        <w:spacing w:line="360" w:lineRule="auto"/>
        <w:ind w:firstLine="600"/>
        <w:rPr>
          <w:rFonts w:ascii="仿宋" w:hAnsi="仿宋" w:eastAsia="仿宋" w:cs="仿宋"/>
          <w:sz w:val="24"/>
          <w:szCs w:val="24"/>
        </w:rPr>
      </w:pPr>
      <w:r>
        <w:rPr>
          <w:rFonts w:hint="eastAsia" w:ascii="仿宋" w:hAnsi="仿宋" w:eastAsia="仿宋" w:cs="仿宋"/>
          <w:sz w:val="24"/>
          <w:szCs w:val="24"/>
        </w:rPr>
        <w:t>校（园）方责任保险工作是一项全新的、政策性较强的工作。各地要坚持“政府推动、多方参与、市场运作”的原则，选择社会信誉好、专业技术强、管理水平高、服务质量优、熟悉教育行业的保险经纪公司作为教育系统风险管理顾问，积极、稳妥地推动开展校（园）方责任保险。省教育厅和省保监局将联合成立“浙江省校（园）方责任保险推动工作指导小组”，由省教育厅教育装备和勤工俭学管理中心具体负责协调全省范围的校（园）方责任保险开展工作。</w:t>
      </w:r>
    </w:p>
    <w:p>
      <w:pPr>
        <w:snapToGrid w:val="0"/>
        <w:spacing w:line="360" w:lineRule="auto"/>
        <w:ind w:firstLine="600"/>
        <w:rPr>
          <w:rFonts w:ascii="仿宋" w:hAnsi="仿宋" w:eastAsia="仿宋" w:cs="仿宋"/>
          <w:sz w:val="24"/>
          <w:szCs w:val="24"/>
        </w:rPr>
      </w:pPr>
      <w:r>
        <w:rPr>
          <w:rFonts w:hint="eastAsia" w:ascii="仿宋" w:hAnsi="仿宋" w:eastAsia="仿宋" w:cs="仿宋"/>
          <w:sz w:val="24"/>
          <w:szCs w:val="24"/>
        </w:rPr>
        <w:t>各级教育行政部门和各财产保险公司、保险经纪公司要各司其职，加强协调配合，运用法律手段和经济手段，共同促进学校做好教育安全管理工作；要在风险评估、防灾防损、安全教育、事故赔偿等方面密切合作，建立信息交换制度，及时沟通情况，研究预防对策。</w:t>
      </w:r>
    </w:p>
    <w:p>
      <w:pPr>
        <w:snapToGrid w:val="0"/>
        <w:spacing w:line="360" w:lineRule="auto"/>
        <w:ind w:firstLine="600"/>
        <w:rPr>
          <w:rFonts w:ascii="仿宋" w:hAnsi="仿宋" w:eastAsia="仿宋" w:cs="仿宋"/>
          <w:sz w:val="24"/>
          <w:szCs w:val="24"/>
        </w:rPr>
      </w:pPr>
      <w:r>
        <w:rPr>
          <w:rFonts w:hint="eastAsia" w:ascii="仿宋" w:hAnsi="仿宋" w:eastAsia="仿宋" w:cs="仿宋"/>
          <w:sz w:val="24"/>
          <w:szCs w:val="24"/>
        </w:rPr>
        <w:t>各级教育行政部门要将校（园）方责任保险工作纳入学校安全管理工作的重要内容，鼓励和支持学校参加校（园）方责任保险。各级各类学校要在校（园）方责任保险工作的基础上，切实落实安全管理责任，预防和减少安全事故的发生。</w:t>
      </w:r>
    </w:p>
    <w:p>
      <w:pPr>
        <w:snapToGrid w:val="0"/>
        <w:spacing w:line="360" w:lineRule="auto"/>
        <w:ind w:firstLine="600"/>
        <w:rPr>
          <w:rFonts w:ascii="仿宋" w:hAnsi="仿宋" w:eastAsia="仿宋" w:cs="仿宋"/>
          <w:sz w:val="24"/>
          <w:szCs w:val="24"/>
        </w:rPr>
      </w:pPr>
      <w:r>
        <w:rPr>
          <w:rFonts w:hint="eastAsia" w:ascii="仿宋" w:hAnsi="仿宋" w:eastAsia="仿宋" w:cs="仿宋"/>
          <w:sz w:val="24"/>
          <w:szCs w:val="24"/>
        </w:rPr>
        <w:t>三、加强管理，不断规范校（园）方责任保险经营活动</w:t>
      </w:r>
    </w:p>
    <w:p>
      <w:pPr>
        <w:snapToGrid w:val="0"/>
        <w:spacing w:line="360" w:lineRule="auto"/>
        <w:ind w:firstLine="630"/>
        <w:rPr>
          <w:rFonts w:ascii="仿宋" w:hAnsi="仿宋" w:eastAsia="仿宋" w:cs="仿宋"/>
          <w:sz w:val="24"/>
          <w:szCs w:val="24"/>
        </w:rPr>
      </w:pPr>
      <w:r>
        <w:rPr>
          <w:rFonts w:hint="eastAsia" w:ascii="仿宋" w:hAnsi="仿宋" w:eastAsia="仿宋" w:cs="仿宋"/>
          <w:sz w:val="24"/>
          <w:szCs w:val="24"/>
        </w:rPr>
        <w:t>各财产保险公司、保险经纪公司要树立全局意识、服务意识和责任意识，积极参与校（园）方责任保险工作，完善服务内容，不断提高服务质量。保险公司要加强风险管控，加大对市场的调查与分析，积极开发出适销对路的责任保险产品，不断满足教育行业对风险管理的需求；要定期对学校进行防灾防损查勘，开展安全教育培训，建立完善风险提示、风险防范、预防检查等预防工作机制；要加强事故发生后的施救及理赔服务，减少理赔环节，提高理赔效率。</w:t>
      </w:r>
    </w:p>
    <w:p>
      <w:pPr>
        <w:snapToGrid w:val="0"/>
        <w:spacing w:line="360" w:lineRule="auto"/>
        <w:ind w:firstLine="630"/>
        <w:rPr>
          <w:rFonts w:ascii="仿宋" w:hAnsi="仿宋" w:eastAsia="仿宋" w:cs="仿宋"/>
          <w:sz w:val="24"/>
          <w:szCs w:val="24"/>
        </w:rPr>
      </w:pPr>
      <w:r>
        <w:rPr>
          <w:rFonts w:hint="eastAsia" w:ascii="仿宋" w:hAnsi="仿宋" w:eastAsia="仿宋" w:cs="仿宋"/>
          <w:sz w:val="24"/>
          <w:szCs w:val="24"/>
        </w:rPr>
        <w:t>保险经纪公司要充分发挥专业化优势，切实代表投保人利益，科学拟订保险方案，合理选择保险公司，积极参与事故调查、定损和赔偿协商等工作，不断提高服务水平，为学校提供优质的风险管理咨询服务。</w:t>
      </w:r>
    </w:p>
    <w:p>
      <w:pPr>
        <w:snapToGrid w:val="0"/>
        <w:spacing w:line="360" w:lineRule="auto"/>
        <w:ind w:firstLine="630"/>
        <w:rPr>
          <w:rFonts w:ascii="仿宋" w:hAnsi="仿宋" w:eastAsia="仿宋" w:cs="仿宋"/>
          <w:sz w:val="24"/>
          <w:szCs w:val="24"/>
        </w:rPr>
      </w:pPr>
      <w:r>
        <w:rPr>
          <w:rFonts w:hint="eastAsia" w:ascii="仿宋" w:hAnsi="仿宋" w:eastAsia="仿宋" w:cs="仿宋"/>
          <w:sz w:val="24"/>
          <w:szCs w:val="24"/>
        </w:rPr>
        <w:t>按照谁办学、谁支付的原则，规范校（园）方责任保险收费工作，不得向学生转嫁收费或变相摊派。学校支付的校（园）方责任保险费用可依据财政部、教育部的有关规定列支。教育行政部门不得违规代理代办，不得收取保险公司任何形式的回扣和保险合同以外的其他利益，坚决杜绝商业贿赂的发生。</w:t>
      </w:r>
    </w:p>
    <w:p>
      <w:pPr>
        <w:snapToGrid w:val="0"/>
        <w:spacing w:line="360" w:lineRule="auto"/>
        <w:ind w:firstLine="600"/>
        <w:rPr>
          <w:rFonts w:ascii="仿宋" w:hAnsi="仿宋" w:eastAsia="仿宋" w:cs="仿宋"/>
          <w:sz w:val="24"/>
          <w:szCs w:val="24"/>
        </w:rPr>
      </w:pPr>
      <w:r>
        <w:rPr>
          <w:rFonts w:hint="eastAsia" w:ascii="仿宋" w:hAnsi="仿宋" w:eastAsia="仿宋" w:cs="仿宋"/>
          <w:sz w:val="24"/>
          <w:szCs w:val="24"/>
        </w:rPr>
        <w:t>四、广泛宣传，努力营造安全教育与责任保险相结合的社会氛围</w:t>
      </w:r>
    </w:p>
    <w:p>
      <w:pPr>
        <w:snapToGrid w:val="0"/>
        <w:spacing w:line="360" w:lineRule="auto"/>
        <w:ind w:firstLine="600"/>
        <w:rPr>
          <w:rFonts w:ascii="仿宋" w:hAnsi="仿宋" w:eastAsia="仿宋" w:cs="仿宋"/>
          <w:sz w:val="24"/>
          <w:szCs w:val="24"/>
        </w:rPr>
      </w:pPr>
      <w:r>
        <w:rPr>
          <w:rFonts w:hint="eastAsia" w:ascii="仿宋" w:hAnsi="仿宋" w:eastAsia="仿宋" w:cs="仿宋"/>
          <w:sz w:val="24"/>
          <w:szCs w:val="24"/>
        </w:rPr>
        <w:t>各级教育行政部门、各财产保险公司和保险经纪公司要充分利用各种公众媒体，采取多种形式，主动宣传保险尤其是责任保险在防灾防损、经济补偿及社会管理等方面的积极作用，以及开展校（园）方责任保险的重大意义，提升教育机构（学校）对责任保险的认知度，增强其责任意识、风险意识和保险意识，提高其投保积极性，努力营造安全教育与责任保险相结合的良好氛围，促进学校建立与健全风险管理服务体系。</w:t>
      </w:r>
    </w:p>
    <w:p>
      <w:pPr>
        <w:tabs>
          <w:tab w:val="left" w:pos="8460"/>
          <w:tab w:val="left" w:pos="8640"/>
          <w:tab w:val="left" w:pos="8820"/>
        </w:tabs>
        <w:spacing w:line="360" w:lineRule="auto"/>
        <w:jc w:val="right"/>
        <w:rPr>
          <w:rFonts w:ascii="仿宋" w:hAnsi="仿宋" w:eastAsia="仿宋" w:cs="仿宋"/>
          <w:sz w:val="24"/>
          <w:szCs w:val="24"/>
        </w:rPr>
      </w:pPr>
      <w:r>
        <w:rPr>
          <w:rFonts w:hint="eastAsia" w:ascii="仿宋" w:hAnsi="仿宋" w:eastAsia="仿宋" w:cs="仿宋"/>
          <w:sz w:val="24"/>
          <w:szCs w:val="24"/>
        </w:rPr>
        <w:t>二○○六年七月六日</w:t>
      </w:r>
    </w:p>
    <w:p>
      <w:pPr>
        <w:keepNext/>
        <w:keepLines/>
        <w:spacing w:line="360" w:lineRule="auto"/>
        <w:outlineLvl w:val="1"/>
        <w:rPr>
          <w:rFonts w:ascii="仿宋" w:hAnsi="仿宋" w:eastAsia="仿宋" w:cs="仿宋"/>
          <w:b/>
          <w:bCs/>
          <w:kern w:val="0"/>
          <w:sz w:val="24"/>
          <w:szCs w:val="24"/>
        </w:rPr>
      </w:pPr>
      <w:r>
        <w:rPr>
          <w:rFonts w:hint="eastAsia" w:ascii="仿宋" w:hAnsi="仿宋" w:eastAsia="仿宋" w:cs="仿宋"/>
          <w:b/>
          <w:bCs/>
          <w:kern w:val="0"/>
          <w:sz w:val="24"/>
          <w:szCs w:val="24"/>
        </w:rPr>
        <w:t>附件四：</w:t>
      </w:r>
    </w:p>
    <w:p>
      <w:pPr>
        <w:keepNext/>
        <w:keepLines/>
        <w:spacing w:line="360" w:lineRule="auto"/>
        <w:jc w:val="center"/>
        <w:outlineLvl w:val="1"/>
        <w:rPr>
          <w:rFonts w:ascii="仿宋" w:hAnsi="仿宋" w:eastAsia="仿宋" w:cs="仿宋"/>
          <w:b/>
          <w:bCs/>
          <w:sz w:val="24"/>
          <w:szCs w:val="24"/>
        </w:rPr>
      </w:pPr>
      <w:r>
        <w:rPr>
          <w:rFonts w:hint="eastAsia" w:ascii="仿宋" w:hAnsi="仿宋" w:eastAsia="仿宋" w:cs="仿宋"/>
          <w:b/>
          <w:bCs/>
          <w:sz w:val="24"/>
          <w:szCs w:val="24"/>
        </w:rPr>
        <w:t>浙江省教育装备和勤工俭学管理中心</w:t>
      </w:r>
    </w:p>
    <w:p>
      <w:pPr>
        <w:keepNext/>
        <w:keepLines/>
        <w:spacing w:line="360" w:lineRule="auto"/>
        <w:jc w:val="center"/>
        <w:rPr>
          <w:rFonts w:ascii="仿宋" w:hAnsi="仿宋" w:eastAsia="仿宋" w:cs="仿宋"/>
          <w:b/>
          <w:bCs/>
          <w:sz w:val="24"/>
          <w:szCs w:val="24"/>
        </w:rPr>
      </w:pPr>
      <w:r>
        <w:rPr>
          <w:rFonts w:hint="eastAsia" w:ascii="仿宋" w:hAnsi="仿宋" w:eastAsia="仿宋" w:cs="仿宋"/>
          <w:b/>
          <w:bCs/>
          <w:sz w:val="24"/>
          <w:szCs w:val="24"/>
        </w:rPr>
        <w:t>浙教装勤【2006】33号</w:t>
      </w:r>
    </w:p>
    <w:p>
      <w:pPr>
        <w:keepNext/>
        <w:keepLines/>
        <w:spacing w:line="360" w:lineRule="auto"/>
        <w:ind w:firstLine="420" w:firstLineChars="175"/>
        <w:jc w:val="center"/>
        <w:rPr>
          <w:rFonts w:ascii="仿宋" w:hAnsi="仿宋" w:eastAsia="仿宋" w:cs="仿宋"/>
          <w:b/>
          <w:bCs/>
          <w:sz w:val="24"/>
          <w:szCs w:val="24"/>
        </w:rPr>
      </w:pPr>
      <w:r>
        <w:rPr>
          <w:rFonts w:hint="eastAsia" w:ascii="仿宋" w:hAnsi="仿宋" w:eastAsia="仿宋" w:cs="仿宋"/>
          <w:bCs/>
          <w:sz w:val="24"/>
          <w:szCs w:val="24"/>
        </w:rPr>
        <w:t>关于开展浙江省校（园）方责任保险工作的实施意见</w:t>
      </w:r>
    </w:p>
    <w:p>
      <w:pPr>
        <w:tabs>
          <w:tab w:val="left" w:pos="8460"/>
          <w:tab w:val="left" w:pos="8640"/>
          <w:tab w:val="left" w:pos="8820"/>
        </w:tabs>
        <w:adjustRightInd w:val="0"/>
        <w:snapToGrid w:val="0"/>
        <w:spacing w:line="360" w:lineRule="auto"/>
        <w:ind w:firstLine="420"/>
        <w:rPr>
          <w:rFonts w:ascii="仿宋" w:hAnsi="仿宋" w:eastAsia="仿宋" w:cs="仿宋"/>
          <w:sz w:val="24"/>
          <w:szCs w:val="24"/>
        </w:rPr>
      </w:pPr>
      <w:r>
        <w:rPr>
          <w:rFonts w:hint="eastAsia" w:ascii="仿宋" w:hAnsi="仿宋" w:eastAsia="仿宋" w:cs="仿宋"/>
          <w:sz w:val="24"/>
          <w:szCs w:val="24"/>
        </w:rPr>
        <w:t>为认真贯彻落实省教育厅和浙江保监局联合下发的《关于积极推进校（园）方责任保险工作的通知》（浙教装〔2006〕147号），进一步加强学校的安全防范工作，维护学校正常教育教学秩序，更好地为各级教育行政部门和学校服务，现就我省开展校（园）方责任保险工作提出如下实施意见：</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一、校（园）方责任保险工作的指导思想</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邓小平理论和“三个代表”重要思想为指导，认真贯彻落实中共中央办公厅、国务院办公厅、国家教育部、省政府和省教育厅、省保监局的有关文件精神，全面启动校（园）方责任保险工作，本着“政府推动、多方参与、市场运作”的原则，为学校和师生争取最大的利益保障。用创新的工作思路，科学的服务流程，完善的服务网络，严谨的管理措施，高效的理赔机制，努力建立健全全省教育行业风险管理服务体系，为我省教育事业健康稳定发展、打造“平安浙江”、构建和谐社会做出积极的贡献。</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二、校（园）方责任保险工作的目标要求</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（一）建立健全省、市、县三级教育行业风险管理服务体系和工作网络，做到管理机构明确、人员配备到位、保障措施落实。</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（二）2006年开始在全省启动中小学、幼儿园和高等院校、中等职业学校的校（园）方责任保险工作。在“政府推动、多方参与、市场运作”模式下，让全省各级各类学校均参加校（园）方责任保险。</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（三）建立教育行政部门、学校和保险经纪公司、保险公司的协调配合机制，明确责任，狠抓落实，及时防范和化解教育风险，确保投保学校风险转移达到100%。</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（四）学校安全工作得到高度重视，风险事故率有明显下降，努力构建平安和谐的学校育人环境，让领导放心，让群众满意。</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三、校</w:t>
      </w:r>
      <w:r>
        <w:rPr>
          <w:rFonts w:hint="eastAsia" w:ascii="仿宋" w:hAnsi="仿宋" w:eastAsia="仿宋" w:cs="仿宋"/>
          <w:bCs/>
          <w:sz w:val="24"/>
          <w:szCs w:val="24"/>
        </w:rPr>
        <w:t>（园）</w:t>
      </w:r>
      <w:r>
        <w:rPr>
          <w:rFonts w:hint="eastAsia" w:ascii="仿宋" w:hAnsi="仿宋" w:eastAsia="仿宋" w:cs="仿宋"/>
          <w:sz w:val="24"/>
          <w:szCs w:val="24"/>
        </w:rPr>
        <w:t>方责任保险工作的实施方式</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由于保险业务比较复杂、条款比较专业，各保险公司的校（园）方责任保险产品存在较大差别，投保人在保险行为中往往处于劣势。通过委托代表投保人利益的保险经纪公司统一购买校（园）方责任险，一方面可以充分发挥保险经纪人的专业化优势及规模采购和集团客户的优势，降低学校投保成本，同时在索赔过程中，让学校及时获得最合理的赔付，切实维护学校利益；另一方面，通过保险经纪公司合法、专业、规范、高效的市场化运作，有利于规范保险市场，避免不正当竞争。为此，根据省教育厅、省保监局《关于积极推进校（园）方责任保险工作的通知》（浙教装[2006]147号）精神，本着对保险经纪公司“社会信誉好、专业技术强、管理水平高、服务质量优”的要求，借鉴其他省市开展校（园）方责任保险工作的成功经验，决定选择熟悉教育行业、具有丰富校（园）方责任保险工作经验的北京联合保险经纪有限公司浙江分公司（以下简称联合经纪浙江分公司）作为我省教育系统风险管理顾问，负责全省校（园）方责任保险的相关工作。</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合经纪浙江分公司根据《保险法》、《保险经纪机构管理规定》等法律法规和《关于积极推进校（园）方责任保险工作的通知》精神，切实代表投保人利益，为建立健全我省教育行业风险管理服务体系提供专业化技术支持和保险经纪服务。具体负责与保险公司就我省校（园）方责任保险条款、费率进行洽谈，拟订保险方案，选择保险公司，办理投保手续，配合各级教育行政部门进行学校安全教育及相关风险管理知识培训，向教育部门提供各类风险管理解决方案，并在伤害事故发生后，参与事故调查、定损和赔偿协商工作，协助学校索赔，无偿为学校提供服务。</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四、校</w:t>
      </w:r>
      <w:r>
        <w:rPr>
          <w:rFonts w:hint="eastAsia" w:ascii="仿宋" w:hAnsi="仿宋" w:eastAsia="仿宋" w:cs="仿宋"/>
          <w:sz w:val="24"/>
          <w:szCs w:val="24"/>
        </w:rPr>
        <w:t>（园）</w:t>
      </w:r>
      <w:r>
        <w:rPr>
          <w:rFonts w:hint="eastAsia" w:ascii="仿宋" w:hAnsi="仿宋" w:eastAsia="仿宋" w:cs="仿宋"/>
          <w:bCs/>
          <w:sz w:val="24"/>
          <w:szCs w:val="24"/>
        </w:rPr>
        <w:t>方责任保险工作的相关内容</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省目前推广的校（园）方责任保险条款，是由北京联合保险经纪有限公司会同保险公司共同改良并报保监会批准的。在保障范围方面，最大限度的涵盖了学校和教育部门面临的各种风险因素；在保障金额方面，充分考虑到了目前学校发生事故后可能发生的经济赔偿额度；在保险费方面，已将价格谈到了能够维持保险公司经营此险种的最合理水平；在理赔服务方面，联合经纪为学校争取到最方便、快捷、周到的服务承诺，力求在第一时间为学校、学生排忧解难。</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（一）校（园）方责任保险的保险期限</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校（园）方责任保险的保险期限为一年，一般为一个学年度，期满续保。今年即为2006年9月1日至2007年8月31日。为适应学校教学工作的安排，保险期限的起始时间可根据具体入学时间确定。</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（二）校（园）方责任保险的保险责任</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校（园）方责任保险的保险责任为：在教育教学活动中或由学校统一组织或安排的活动（学校活动包括体育课、实验课、课间操、课外活动、春游、夏令营、冬令营和各类社会实践活动、学生实习等）过程中，因学校疏忽和过失导致注册学生的人身伤害和财产损失，依法应由学校承担的直接经济赔偿责任。具体内容涵盖了《学生伤害事故处理办法》中列举的应由学校承担责任的所有情形。</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（三）赔偿限额和保险费</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1、中小学、幼儿园、中等职业学校：</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赔偿限额：在校学生因同一事件或同一原因造成的人身伤亡视作一次事故，每所学校每次事故最高赔偿限额为人民币450万元，每名受伤害学生每年累计赔偿限额为人民币30万元。</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保险费：按在册人数交费，保险费为每生每年人民币5元。</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2、高等院校：</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赔偿限额：每所学校每次事故赔偿限额为人民币500万元，每所学校累计赔偿限额为人民币1000万元；每次事故每人赔偿限额为人民币30万元；其中每次事故每人财产损失赔偿限额为人民币1万元。</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保险费：按在册人数交费，保险费为每生每年人民币8元。</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（四）赔偿范围和标准</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依据《学生伤害事故处理办法》、《最高人民法院关于审理人身意外损害赔偿案件适用法律若干问题的解释》等相关法律法规确定，或根据司法行政机关的裁定确定。</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（五）保险费来源和开支渠道</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保险费按照谁办学、谁支付的原则承担，不得向学生收取。已纳入财政预算的地方由财政统一支付；尚未纳入预算的，可采取政府、学校、社会赞助、勤工俭学等方式多渠道、多方面筹措解决。</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学校支付的校（园）方责任保险费用可依据财政部、教育部有关规定列支。全国农村义务教育经费保障机制改革领导小组办公室（保障办[2006] 1号）明确校（园）方责任保险的保险费在“日常公用支出”第15栏体现。</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（六）校（园）方责任保险的理赔程序</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根据事故性质和损失程度，按照省、市、县三级通道理赔。</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发生保险责任事故后，学校应立即对受伤人员进行救治，保护现场，并向当地校（园）方责任保险工作管理部门（勤工俭学管理部门）报告，由校（园）方责任保险工作管理部门通知联合经纪浙江分公司和保险公司，高等院校直接向联合经纪浙江分公司报案，由联合经纪报保险公司；保险公司接到报案后，在第一时间赴现场勘查，审查学校提供的与赔案有关的各种资料和证明，定责定损，出具理赔意见，最后根据协商、仲裁或诉讼的结果进行理赔。</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（七）校（园）方责任保险的投保要求</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原则上中小学、幼儿园和中等职业学校以市或县（市、区）为单位投保，高等院校以学校为单位投保。</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校（园）方责任保险工作的具体事项，参见北京联合保险经纪有限公司浙江分公司编制的《校（园）方责任保险工作手册》。</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五、校</w:t>
      </w:r>
      <w:r>
        <w:rPr>
          <w:rFonts w:hint="eastAsia" w:ascii="仿宋" w:hAnsi="仿宋" w:eastAsia="仿宋" w:cs="仿宋"/>
          <w:sz w:val="24"/>
          <w:szCs w:val="24"/>
        </w:rPr>
        <w:t>（园）</w:t>
      </w:r>
      <w:r>
        <w:rPr>
          <w:rFonts w:hint="eastAsia" w:ascii="仿宋" w:hAnsi="仿宋" w:eastAsia="仿宋" w:cs="仿宋"/>
          <w:bCs/>
          <w:sz w:val="24"/>
          <w:szCs w:val="24"/>
        </w:rPr>
        <w:t>方责任保险工作的具体措施</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（一）加强组织领导</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省教育厅和省保监局联合成立“浙江省校（园）方责任保险推动工作指导小组”。省教育厅教育装备和勤工俭学管理中心具体负责全省校（园）方责任保险的统筹、协调和日常管理工作。包括选择保险经纪公司作为全省教育系统风险管理顾问；指导各级教育部门实施校（园）方责任保险工作；加强监督管理，防范和纠正风险规避和保险工作中的违法违规现象；做好与保险监督、工商、税务、新闻等部门的组织协调和配合等工作。</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各级教育行政部门要将校（园）方责任保险工作纳入教育安全管理工作的重要考评内容，高度重视，精心组织，切实加强对校（园）方责任保险工作的组织领导。各市、县（市、区）成立相应的“指导小组”，具体负责当地校（园）方责任保险的组织、协调、指导工作。</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各级勤工俭学管理部门要把开展校（园）方责任保险作为新时期勤工俭学工作的一项重要内容，认真履行职责，切实负起责任，抓好落实。要积极争取领导支持和相关部门及学校校长的配合，把当地校（园）方责任保险的实施和管理工作做深、做细、做实，做出成绩。</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各级各类学校的校长是学校安全工作的第一责任人，要承担起实施校（园）方责任保险工作的责任，并指定专人负责这项工作。</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（二）搞好宣传发动</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各级教育行政部门要采取多种形式，加大宣传发动力度。积极宣传校（园）方责任保险在防灾防损、经济补偿及社会管理等方面的积极作用以及开展校（园）方责任保险的重大意义，加大教育行业对校（园）方责任保险的认知度，增强责任意识、风险意识和保险意识，提高其投保积极性，为校（园）方责任保险的开展营造良好的社会氛围，促进教育行业风险管理服务体系的建立与健全。</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（三）确立大局意识</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建立全省教育行业风险管理服务体系是一个系统工程，校（园）方责任保险是这个系统工程的工作内容之一。全省上下要密切配合，各负其责，齐抓共管，统一行动。实现信息共享，风险共防，责任共担，共同推动校（园）方责任保险工作的开展，促进我省教育行业风险管理服务体系的建立健全。各级教育行政部门和学校，要确立大局意识，按照总体布局和规定程序、要求开展工作，不得各行其是。新开展校（园）方责任保险的市、县（市、区）和高等学校，由联合经纪浙江分公司统一拟订保险方案、选择保险公司、办理投保手续；已经开展校（园）方责任保险工作的市、县（市、区）和高等院校，从2006年秋季起，纳入全省统一归口管理。</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（四）坚持规范运作</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校（园）方责任保险工作是教育系统一项全新的、政策性较强的工作。各地、各校要坚持“积极组织、规范运作、强化管理、有序推进”的原则，不得违规代理代办，不得收取保险公司任何形式的回扣和保险合同以外的其他利益，坚决杜绝商业贿赂的发生，确保我省校（园）方责任保险工作积极、健康、有序发展。“浙江省校（园）方责任保险推动工作指导小组”将于适当时候对校（园）方责任保险工作的开展情况进行专项检查。</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（五）具体工作安排</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1、7月下旬召开全省开展校（园）方责任保险工作会议，部署启动校（园）方责任保险工作；同时进行相关业务培训。</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2、8月中旬各市、县（市、区）做好宣传发动，全面部署当地校（园）方责任保险的开展工作；高校的相关工作同时启动。</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3、8月底前各市、县（市、区）做好校（园）方责任保险规模预测，以市为单位将预测情况汇总后报联合经纪浙江分公司；各市、县（市、区）和高等院校领取投保所需单证并分发至学校。</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4、9月1日至9月15日，办理具体投保手续：</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①中小学、幼儿园和中等职业学校：投保学校填写《校（园）方责任保险学生名册》交县（市、区）教育局勤工俭学管理部门，县（市、区）勤工俭学管理部门编制《中小学、幼儿园在校人数明细表》和《投保学校分类统计表》报各市，各市汇总后报送联合经纪浙江分公司；同时，以县（市、区）为单位填写投保单，解缴保险费。</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②各高等院校直接填写投保单、缮制相关表格，解缴保险费。</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5、9月16日至9月30日，保险公司出具保单和发票交联合经纪浙江分公司，联合经纪浙江分公司分发至各地各校。</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6、10月进行校（园）方责任保险工作专项检查。</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7、11月进行风险管理服务体系建设研讨及下一步风险管理服务工作的布置。</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8、年底进行校（园）方责任保险工作评比、总结和经验交流。</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（六）加强信息沟通</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实施校（园）方责任保险工作过程中，各单位要加强信息交流，保证上下信息通畅。要学习借鉴各兄弟省市经验，不断完善我省工作。同时，各级教育行政部门和学校要积极为校（园）方责任保险工作的开展进言献策，使此项工作能够健康有序地推进。</w:t>
      </w:r>
    </w:p>
    <w:p>
      <w:pPr>
        <w:tabs>
          <w:tab w:val="left" w:pos="8460"/>
          <w:tab w:val="left" w:pos="8640"/>
          <w:tab w:val="left" w:pos="882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各级教育行政部门和学校，要以《保险法》、《学生伤害事故处理办法》、《浙江省中小学校学生人身安全事故预防与处理办法》、《关于保险业开展治理商业贿赂专项工作的实施意见》和《关于积极推进校（园）方责任保险工作的通知》等法律法规政策为指导，积极稳妥的推进校（园）方责任保险工作。在具体实施过程中有何意见和建议，请及时与省教育装备和勤工俭学管理中心或联合经纪浙江分公司联系。</w:t>
      </w:r>
    </w:p>
    <w:p>
      <w:pPr>
        <w:snapToGrid w:val="0"/>
        <w:spacing w:line="360" w:lineRule="auto"/>
        <w:ind w:firstLine="723" w:firstLineChars="200"/>
        <w:rPr>
          <w:rFonts w:ascii="宋体" w:hAnsi="宋体"/>
          <w:b/>
          <w:sz w:val="36"/>
          <w:szCs w:val="36"/>
        </w:rPr>
        <w:sectPr>
          <w:headerReference r:id="rId9" w:type="default"/>
          <w:pgSz w:w="11906" w:h="16838"/>
          <w:pgMar w:top="1440" w:right="1486" w:bottom="1440" w:left="1800" w:header="851" w:footer="992" w:gutter="0"/>
          <w:pgNumType w:fmt="decimal"/>
          <w:cols w:space="425" w:num="1"/>
          <w:docGrid w:type="lines" w:linePitch="312" w:charSpace="0"/>
        </w:sectPr>
      </w:pPr>
    </w:p>
    <w:p/>
    <w:p>
      <w:pPr>
        <w:keepNext/>
        <w:keepLines/>
        <w:numPr>
          <w:ilvl w:val="0"/>
          <w:numId w:val="2"/>
        </w:numPr>
        <w:snapToGrid w:val="0"/>
        <w:spacing w:line="360" w:lineRule="auto"/>
        <w:ind w:left="432" w:hanging="432"/>
        <w:jc w:val="center"/>
        <w:outlineLvl w:val="0"/>
        <w:rPr>
          <w:rFonts w:ascii="仿宋" w:hAnsi="仿宋" w:eastAsia="仿宋" w:cs="黑体"/>
          <w:b/>
          <w:bCs/>
          <w:kern w:val="44"/>
          <w:sz w:val="32"/>
          <w:szCs w:val="44"/>
        </w:rPr>
      </w:pPr>
      <w:bookmarkStart w:id="58" w:name="_Toc28356"/>
      <w:r>
        <w:rPr>
          <w:rFonts w:hint="eastAsia" w:ascii="仿宋" w:hAnsi="仿宋" w:eastAsia="仿宋" w:cs="黑体"/>
          <w:b/>
          <w:bCs/>
          <w:kern w:val="44"/>
          <w:sz w:val="32"/>
          <w:szCs w:val="44"/>
        </w:rPr>
        <w:t>投标人须知</w:t>
      </w:r>
      <w:bookmarkEnd w:id="58"/>
    </w:p>
    <w:p>
      <w:pPr>
        <w:pStyle w:val="3"/>
        <w:spacing w:line="240" w:lineRule="auto"/>
        <w:ind w:right="1126" w:rightChars="536"/>
        <w:jc w:val="center"/>
        <w:rPr>
          <w:rFonts w:eastAsia="仿宋"/>
        </w:rPr>
      </w:pPr>
      <w:bookmarkStart w:id="59" w:name="_Toc27894"/>
      <w:r>
        <w:rPr>
          <w:rFonts w:hint="eastAsia" w:ascii="仿宋" w:hAnsi="仿宋" w:eastAsia="仿宋" w:cs="黑体"/>
          <w:bCs/>
          <w:sz w:val="32"/>
          <w:szCs w:val="44"/>
        </w:rPr>
        <w:t>前附表</w:t>
      </w:r>
      <w:bookmarkEnd w:id="59"/>
    </w:p>
    <w:tbl>
      <w:tblPr>
        <w:tblStyle w:val="26"/>
        <w:tblpPr w:leftFromText="180" w:rightFromText="180" w:vertAnchor="text" w:horzAnchor="page" w:tblpX="1645" w:tblpY="617"/>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07"/>
        <w:gridCol w:w="5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39"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项目</w:t>
            </w:r>
          </w:p>
        </w:tc>
        <w:tc>
          <w:tcPr>
            <w:tcW w:w="5853" w:type="dxa"/>
            <w:vAlign w:val="center"/>
          </w:tcPr>
          <w:p>
            <w:pPr>
              <w:jc w:val="center"/>
              <w:rPr>
                <w:rFonts w:ascii="仿宋" w:hAnsi="仿宋" w:eastAsia="仿宋" w:cs="仿宋"/>
                <w:sz w:val="24"/>
                <w:szCs w:val="24"/>
              </w:rPr>
            </w:pPr>
            <w:r>
              <w:rPr>
                <w:rFonts w:hint="eastAsia" w:ascii="仿宋" w:hAnsi="仿宋" w:eastAsia="仿宋" w:cs="仿宋"/>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napToGrid w:val="0"/>
                <w:sz w:val="24"/>
                <w:szCs w:val="24"/>
                <w:lang w:val="zh-CN"/>
              </w:rPr>
            </w:pPr>
            <w:r>
              <w:rPr>
                <w:rFonts w:hint="eastAsia" w:ascii="仿宋" w:hAnsi="仿宋" w:eastAsia="仿宋" w:cs="仿宋"/>
                <w:sz w:val="24"/>
                <w:szCs w:val="24"/>
              </w:rPr>
              <w:t>项目名称</w:t>
            </w:r>
          </w:p>
        </w:tc>
        <w:tc>
          <w:tcPr>
            <w:tcW w:w="5853" w:type="dxa"/>
            <w:vAlign w:val="center"/>
          </w:tcPr>
          <w:p>
            <w:pPr>
              <w:snapToGrid w:val="0"/>
              <w:spacing w:line="360" w:lineRule="auto"/>
              <w:rPr>
                <w:rFonts w:ascii="仿宋" w:hAnsi="仿宋" w:eastAsia="仿宋" w:cs="仿宋"/>
                <w:snapToGrid w:val="0"/>
                <w:sz w:val="24"/>
                <w:szCs w:val="24"/>
                <w:lang w:val="zh-CN"/>
              </w:rPr>
            </w:pPr>
            <w:r>
              <w:rPr>
                <w:rFonts w:hint="eastAsia" w:ascii="仿宋" w:hAnsi="仿宋" w:eastAsia="仿宋" w:cs="仿宋"/>
                <w:snapToGrid w:val="0"/>
                <w:sz w:val="24"/>
                <w:szCs w:val="24"/>
                <w:lang w:val="zh-CN"/>
              </w:rPr>
              <w:t>2025-2026学年市直属学校校方责任保险项目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招标编号</w:t>
            </w:r>
          </w:p>
        </w:tc>
        <w:tc>
          <w:tcPr>
            <w:tcW w:w="5853" w:type="dxa"/>
            <w:vAlign w:val="center"/>
          </w:tcPr>
          <w:p>
            <w:pPr>
              <w:snapToGrid w:val="0"/>
              <w:spacing w:line="360" w:lineRule="auto"/>
              <w:rPr>
                <w:rFonts w:ascii="仿宋" w:hAnsi="仿宋" w:eastAsia="仿宋" w:cs="仿宋"/>
                <w:snapToGrid w:val="0"/>
                <w:sz w:val="24"/>
                <w:szCs w:val="24"/>
                <w:lang w:val="zh-CN"/>
              </w:rPr>
            </w:pPr>
            <w:r>
              <w:rPr>
                <w:rFonts w:hint="eastAsia" w:ascii="仿宋" w:hAnsi="仿宋" w:eastAsia="仿宋" w:cs="仿宋"/>
                <w:snapToGrid w:val="0"/>
                <w:sz w:val="24"/>
                <w:szCs w:val="24"/>
                <w:lang w:val="zh-CN"/>
              </w:rPr>
              <w:t>TZFD(2025)-1037号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招标方式</w:t>
            </w:r>
          </w:p>
        </w:tc>
        <w:tc>
          <w:tcPr>
            <w:tcW w:w="5853" w:type="dxa"/>
            <w:vAlign w:val="center"/>
          </w:tcPr>
          <w:p>
            <w:pPr>
              <w:pStyle w:val="23"/>
              <w:spacing w:before="0" w:beforeAutospacing="0" w:after="0" w:afterAutospacing="0"/>
              <w:rPr>
                <w:rFonts w:ascii="仿宋" w:hAnsi="仿宋" w:eastAsia="仿宋" w:cs="仿宋"/>
                <w:sz w:val="24"/>
                <w:szCs w:val="24"/>
              </w:rPr>
            </w:pPr>
            <w:r>
              <w:rPr>
                <w:rFonts w:hint="eastAsia" w:ascii="仿宋" w:hAnsi="仿宋" w:eastAsia="仿宋" w:cs="仿宋"/>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招标内容</w:t>
            </w:r>
          </w:p>
        </w:tc>
        <w:tc>
          <w:tcPr>
            <w:tcW w:w="5853" w:type="dxa"/>
            <w:vAlign w:val="center"/>
          </w:tcPr>
          <w:p>
            <w:pPr>
              <w:pStyle w:val="23"/>
              <w:spacing w:before="0" w:beforeAutospacing="0" w:after="0" w:afterAutospacing="0"/>
              <w:rPr>
                <w:rFonts w:ascii="仿宋" w:hAnsi="仿宋" w:eastAsia="仿宋" w:cs="仿宋"/>
                <w:sz w:val="24"/>
                <w:szCs w:val="24"/>
              </w:rPr>
            </w:pPr>
            <w:r>
              <w:rPr>
                <w:rFonts w:hint="eastAsia" w:ascii="仿宋" w:hAnsi="仿宋" w:eastAsia="仿宋" w:cs="仿宋"/>
                <w:sz w:val="24"/>
                <w:szCs w:val="24"/>
                <w:lang w:eastAsia="zh-CN"/>
              </w:rPr>
              <w:t>2025-2026学年市直属学校校方责任保险项目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投</w:t>
            </w:r>
            <w:r>
              <w:rPr>
                <w:rFonts w:hint="eastAsia" w:ascii="仿宋" w:hAnsi="仿宋" w:eastAsia="仿宋" w:cs="仿宋"/>
                <w:sz w:val="24"/>
                <w:szCs w:val="24"/>
                <w:lang w:val="en-US" w:eastAsia="zh-CN"/>
              </w:rPr>
              <w:t>保</w:t>
            </w:r>
            <w:r>
              <w:rPr>
                <w:rFonts w:hint="eastAsia" w:ascii="仿宋" w:hAnsi="仿宋" w:eastAsia="仿宋" w:cs="仿宋"/>
                <w:sz w:val="24"/>
                <w:szCs w:val="24"/>
              </w:rPr>
              <w:t>时间</w:t>
            </w:r>
          </w:p>
        </w:tc>
        <w:tc>
          <w:tcPr>
            <w:tcW w:w="5853" w:type="dxa"/>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w:t>
            </w:r>
            <w:r>
              <w:rPr>
                <w:rFonts w:hint="eastAsia" w:ascii="仿宋" w:hAnsi="仿宋" w:eastAsia="仿宋" w:cs="仿宋"/>
                <w:sz w:val="24"/>
                <w:szCs w:val="24"/>
              </w:rPr>
              <w:t>学年（</w:t>
            </w:r>
            <w:r>
              <w:rPr>
                <w:rFonts w:hint="eastAsia" w:ascii="仿宋" w:hAnsi="仿宋" w:eastAsia="仿宋" w:cs="仿宋"/>
                <w:sz w:val="24"/>
                <w:szCs w:val="24"/>
                <w:lang w:val="en-US" w:eastAsia="zh-CN"/>
              </w:rPr>
              <w:t>2025年</w:t>
            </w:r>
            <w:r>
              <w:rPr>
                <w:rFonts w:hint="eastAsia" w:ascii="仿宋" w:hAnsi="仿宋" w:eastAsia="仿宋" w:cs="仿宋"/>
                <w:sz w:val="24"/>
                <w:szCs w:val="24"/>
              </w:rPr>
              <w:t>8月15日-</w:t>
            </w:r>
            <w:r>
              <w:rPr>
                <w:rFonts w:hint="eastAsia" w:ascii="仿宋" w:hAnsi="仿宋" w:eastAsia="仿宋" w:cs="仿宋"/>
                <w:sz w:val="24"/>
                <w:szCs w:val="24"/>
                <w:lang w:val="en-US" w:eastAsia="zh-CN"/>
              </w:rPr>
              <w:t>2027年</w:t>
            </w:r>
            <w:r>
              <w:rPr>
                <w:rFonts w:hint="eastAsia" w:ascii="仿宋" w:hAnsi="仿宋" w:eastAsia="仿宋" w:cs="仿宋"/>
                <w:sz w:val="24"/>
                <w:szCs w:val="24"/>
              </w:rPr>
              <w:t>8月14日</w:t>
            </w:r>
            <w:r>
              <w:rPr>
                <w:rFonts w:hint="eastAsia" w:ascii="仿宋" w:hAnsi="仿宋" w:eastAsia="仿宋" w:cs="仿宋"/>
                <w:sz w:val="24"/>
                <w:szCs w:val="24"/>
                <w:lang w:eastAsia="zh-CN"/>
              </w:rPr>
              <w:t>止</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5853" w:type="dxa"/>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dxa"/>
            <w:vAlign w:val="center"/>
          </w:tcPr>
          <w:p>
            <w:pPr>
              <w:numPr>
                <w:ilvl w:val="0"/>
                <w:numId w:val="5"/>
              </w:numPr>
              <w:ind w:left="425" w:leftChars="0" w:hanging="425" w:firstLineChars="0"/>
              <w:jc w:val="right"/>
              <w:rPr>
                <w:rFonts w:hint="eastAsia" w:ascii="仿宋" w:hAnsi="仿宋" w:eastAsia="仿宋" w:cs="仿宋"/>
                <w:sz w:val="24"/>
                <w:szCs w:val="24"/>
              </w:rPr>
            </w:pPr>
          </w:p>
        </w:tc>
        <w:tc>
          <w:tcPr>
            <w:tcW w:w="190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预算价</w:t>
            </w:r>
          </w:p>
        </w:tc>
        <w:tc>
          <w:tcPr>
            <w:tcW w:w="5853" w:type="dxa"/>
            <w:vAlign w:val="center"/>
          </w:tcPr>
          <w:p>
            <w:pPr>
              <w:rPr>
                <w:rFonts w:ascii="仿宋" w:hAnsi="仿宋" w:cs="仿宋"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招标人</w:t>
            </w:r>
          </w:p>
        </w:tc>
        <w:tc>
          <w:tcPr>
            <w:tcW w:w="5853" w:type="dxa"/>
            <w:vAlign w:val="center"/>
          </w:tcPr>
          <w:p>
            <w:pPr>
              <w:rPr>
                <w:rFonts w:ascii="仿宋" w:hAnsi="仿宋" w:eastAsia="仿宋" w:cs="仿宋"/>
                <w:sz w:val="24"/>
                <w:szCs w:val="24"/>
              </w:rPr>
            </w:pPr>
            <w:r>
              <w:rPr>
                <w:rFonts w:hint="eastAsia" w:ascii="仿宋" w:hAnsi="仿宋" w:eastAsia="仿宋" w:cs="仿宋"/>
                <w:sz w:val="24"/>
                <w:szCs w:val="24"/>
              </w:rPr>
              <w:t>台州市教育技术与信息中心</w:t>
            </w:r>
          </w:p>
          <w:p>
            <w:pPr>
              <w:rPr>
                <w:rFonts w:ascii="仿宋" w:hAnsi="仿宋" w:eastAsia="仿宋" w:cs="仿宋"/>
                <w:sz w:val="24"/>
                <w:szCs w:val="24"/>
              </w:rPr>
            </w:pPr>
            <w:r>
              <w:rPr>
                <w:rFonts w:hint="eastAsia" w:ascii="仿宋" w:hAnsi="仿宋" w:eastAsia="仿宋" w:cs="仿宋"/>
                <w:sz w:val="24"/>
                <w:szCs w:val="24"/>
              </w:rPr>
              <w:t>联系人：刘女士  联系电话：0576-88582079</w:t>
            </w:r>
          </w:p>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pStyle w:val="23"/>
              <w:spacing w:before="0" w:beforeAutospacing="0" w:after="0" w:afterAutospacing="0"/>
              <w:jc w:val="center"/>
              <w:textAlignment w:val="bottom"/>
              <w:rPr>
                <w:rFonts w:ascii="仿宋" w:hAnsi="仿宋" w:eastAsia="仿宋" w:cs="仿宋"/>
                <w:sz w:val="24"/>
                <w:szCs w:val="24"/>
              </w:rPr>
            </w:pPr>
            <w:r>
              <w:rPr>
                <w:rFonts w:hint="eastAsia" w:ascii="仿宋" w:hAnsi="仿宋" w:eastAsia="仿宋" w:cs="仿宋"/>
                <w:sz w:val="24"/>
                <w:szCs w:val="24"/>
              </w:rPr>
              <w:t>招标代理</w:t>
            </w:r>
          </w:p>
        </w:tc>
        <w:tc>
          <w:tcPr>
            <w:tcW w:w="5853" w:type="dxa"/>
            <w:vAlign w:val="center"/>
          </w:tcPr>
          <w:p>
            <w:pPr>
              <w:rPr>
                <w:rFonts w:ascii="仿宋" w:hAnsi="仿宋" w:eastAsia="仿宋" w:cs="仿宋"/>
                <w:sz w:val="24"/>
                <w:szCs w:val="24"/>
              </w:rPr>
            </w:pPr>
            <w:r>
              <w:rPr>
                <w:rFonts w:hint="eastAsia" w:ascii="仿宋" w:hAnsi="仿宋" w:eastAsia="仿宋" w:cs="仿宋"/>
                <w:sz w:val="24"/>
                <w:szCs w:val="24"/>
              </w:rPr>
              <w:t>台州锋鼎工程项目管理有限公司</w:t>
            </w:r>
          </w:p>
          <w:p>
            <w:pPr>
              <w:rPr>
                <w:rFonts w:ascii="仿宋" w:hAnsi="仿宋" w:eastAsia="仿宋" w:cs="仿宋"/>
                <w:sz w:val="24"/>
                <w:szCs w:val="24"/>
              </w:rPr>
            </w:pPr>
            <w:r>
              <w:rPr>
                <w:rFonts w:hint="eastAsia" w:ascii="仿宋" w:hAnsi="仿宋" w:eastAsia="仿宋" w:cs="仿宋"/>
                <w:sz w:val="24"/>
                <w:szCs w:val="24"/>
              </w:rPr>
              <w:t>联系人：蔡女士  联系电话：15372111333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投标文件份数</w:t>
            </w:r>
          </w:p>
        </w:tc>
        <w:tc>
          <w:tcPr>
            <w:tcW w:w="5853" w:type="dxa"/>
            <w:vAlign w:val="center"/>
          </w:tcPr>
          <w:p>
            <w:pPr>
              <w:rPr>
                <w:rFonts w:ascii="仿宋" w:hAnsi="仿宋" w:eastAsia="仿宋" w:cs="仿宋"/>
                <w:sz w:val="24"/>
                <w:szCs w:val="24"/>
              </w:rPr>
            </w:pPr>
            <w:r>
              <w:rPr>
                <w:rFonts w:hint="eastAsia" w:ascii="仿宋" w:hAnsi="仿宋" w:eastAsia="仿宋" w:cs="仿宋"/>
                <w:sz w:val="24"/>
                <w:szCs w:val="24"/>
              </w:rPr>
              <w:t>正本一份、副本五份。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投标文件密封及装订</w:t>
            </w:r>
          </w:p>
        </w:tc>
        <w:tc>
          <w:tcPr>
            <w:tcW w:w="5853" w:type="dxa"/>
            <w:vAlign w:val="center"/>
          </w:tcPr>
          <w:p>
            <w:pPr>
              <w:rPr>
                <w:rFonts w:ascii="仿宋" w:hAnsi="仿宋" w:eastAsia="仿宋" w:cs="仿宋"/>
                <w:sz w:val="24"/>
                <w:szCs w:val="24"/>
              </w:rPr>
            </w:pPr>
            <w:r>
              <w:rPr>
                <w:rFonts w:hint="eastAsia" w:ascii="仿宋" w:hAnsi="仿宋" w:eastAsia="仿宋" w:cs="仿宋"/>
                <w:sz w:val="24"/>
                <w:szCs w:val="24"/>
              </w:rPr>
              <w:t>投标文件的资格证明文件、资信技术文件必须单独密封。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39" w:type="dxa"/>
            <w:vMerge w:val="restart"/>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投标有效期</w:t>
            </w:r>
          </w:p>
        </w:tc>
        <w:tc>
          <w:tcPr>
            <w:tcW w:w="5853" w:type="dxa"/>
            <w:vAlign w:val="center"/>
          </w:tcPr>
          <w:p>
            <w:pPr>
              <w:rPr>
                <w:rFonts w:ascii="仿宋" w:hAnsi="仿宋" w:eastAsia="仿宋" w:cs="仿宋"/>
                <w:sz w:val="24"/>
                <w:szCs w:val="24"/>
              </w:rPr>
            </w:pPr>
            <w:r>
              <w:rPr>
                <w:rFonts w:hint="eastAsia" w:ascii="仿宋" w:hAnsi="仿宋" w:eastAsia="仿宋" w:cs="仿宋"/>
                <w:sz w:val="24"/>
                <w:szCs w:val="24"/>
              </w:rPr>
              <w:t>从投标截止日起90天内有效。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739" w:type="dxa"/>
            <w:vMerge w:val="continue"/>
            <w:vAlign w:val="center"/>
          </w:tcPr>
          <w:p>
            <w:pPr>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投标截止时间</w:t>
            </w:r>
          </w:p>
        </w:tc>
        <w:tc>
          <w:tcPr>
            <w:tcW w:w="5853" w:type="dxa"/>
            <w:vAlign w:val="center"/>
          </w:tcPr>
          <w:p>
            <w:pPr>
              <w:rPr>
                <w:rFonts w:ascii="仿宋" w:hAnsi="仿宋" w:eastAsia="仿宋" w:cs="仿宋"/>
                <w:sz w:val="24"/>
                <w:szCs w:val="24"/>
              </w:rPr>
            </w:pPr>
            <w:r>
              <w:rPr>
                <w:rFonts w:hint="eastAsia" w:ascii="仿宋" w:hAnsi="仿宋" w:eastAsia="仿宋" w:cs="仿宋"/>
                <w:sz w:val="24"/>
                <w:szCs w:val="24"/>
              </w:rPr>
              <w:t>详见 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投标书递交及开标地点</w:t>
            </w:r>
          </w:p>
        </w:tc>
        <w:tc>
          <w:tcPr>
            <w:tcW w:w="5853" w:type="dxa"/>
            <w:vAlign w:val="center"/>
          </w:tcPr>
          <w:p>
            <w:pPr>
              <w:rPr>
                <w:rFonts w:ascii="仿宋" w:hAnsi="仿宋" w:eastAsia="仿宋" w:cs="仿宋"/>
                <w:sz w:val="24"/>
                <w:szCs w:val="24"/>
              </w:rPr>
            </w:pPr>
            <w:r>
              <w:rPr>
                <w:rFonts w:hint="eastAsia" w:ascii="仿宋" w:hAnsi="仿宋" w:eastAsia="仿宋" w:cs="仿宋"/>
                <w:sz w:val="24"/>
                <w:szCs w:val="24"/>
              </w:rPr>
              <w:t>详见 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递交投标文件时应提交的材料</w:t>
            </w:r>
          </w:p>
        </w:tc>
        <w:tc>
          <w:tcPr>
            <w:tcW w:w="5853" w:type="dxa"/>
            <w:vAlign w:val="center"/>
          </w:tcPr>
          <w:p>
            <w:pPr>
              <w:numPr>
                <w:ilvl w:val="0"/>
                <w:numId w:val="6"/>
              </w:numPr>
              <w:rPr>
                <w:rFonts w:ascii="仿宋" w:hAnsi="仿宋" w:eastAsia="仿宋" w:cs="仿宋"/>
                <w:b/>
                <w:bCs/>
                <w:sz w:val="24"/>
                <w:szCs w:val="24"/>
              </w:rPr>
            </w:pPr>
            <w:r>
              <w:rPr>
                <w:rFonts w:hint="eastAsia" w:ascii="仿宋" w:hAnsi="仿宋" w:eastAsia="仿宋" w:cs="仿宋"/>
                <w:b/>
                <w:bCs/>
                <w:sz w:val="24"/>
                <w:szCs w:val="24"/>
              </w:rPr>
              <w:t>法定代表人授权书（格式参照附件一）；</w:t>
            </w:r>
          </w:p>
          <w:p>
            <w:pPr>
              <w:numPr>
                <w:ilvl w:val="0"/>
                <w:numId w:val="6"/>
              </w:numPr>
              <w:rPr>
                <w:rFonts w:ascii="仿宋" w:hAnsi="仿宋" w:eastAsia="仿宋" w:cs="仿宋"/>
                <w:b/>
                <w:bCs/>
                <w:sz w:val="24"/>
                <w:szCs w:val="24"/>
              </w:rPr>
            </w:pPr>
            <w:r>
              <w:rPr>
                <w:rFonts w:hint="eastAsia" w:ascii="仿宋" w:hAnsi="仿宋" w:eastAsia="仿宋" w:cs="仿宋"/>
                <w:b/>
                <w:bCs/>
                <w:sz w:val="24"/>
                <w:szCs w:val="24"/>
              </w:rPr>
              <w:t>投标文件；</w:t>
            </w:r>
          </w:p>
          <w:p>
            <w:pPr>
              <w:numPr>
                <w:ilvl w:val="0"/>
                <w:numId w:val="6"/>
              </w:numPr>
              <w:rPr>
                <w:rFonts w:ascii="仿宋" w:hAnsi="仿宋" w:eastAsia="仿宋" w:cs="仿宋"/>
                <w:sz w:val="24"/>
                <w:szCs w:val="24"/>
              </w:rPr>
            </w:pPr>
            <w:r>
              <w:rPr>
                <w:rFonts w:hint="eastAsia" w:ascii="仿宋" w:hAnsi="仿宋" w:eastAsia="仿宋" w:cs="仿宋"/>
                <w:b/>
                <w:bCs/>
                <w:sz w:val="24"/>
                <w:szCs w:val="24"/>
              </w:rPr>
              <w:t>电子版投标文件（如有，以U盘或光盘方式提交）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履约保证金</w:t>
            </w:r>
          </w:p>
        </w:tc>
        <w:tc>
          <w:tcPr>
            <w:tcW w:w="5853"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投标保证金</w:t>
            </w:r>
          </w:p>
        </w:tc>
        <w:tc>
          <w:tcPr>
            <w:tcW w:w="5853" w:type="dxa"/>
            <w:vAlign w:val="center"/>
          </w:tcPr>
          <w:p>
            <w:pPr>
              <w:rPr>
                <w:rFonts w:ascii="仿宋" w:hAnsi="仿宋" w:eastAsia="仿宋" w:cs="仿宋"/>
                <w:sz w:val="24"/>
                <w:szCs w:val="24"/>
              </w:rPr>
            </w:pPr>
            <w:r>
              <w:rPr>
                <w:rFonts w:hint="eastAsia" w:ascii="仿宋" w:hAnsi="仿宋" w:eastAsia="仿宋" w:cs="仿宋"/>
                <w:sz w:val="24"/>
                <w:szCs w:val="24"/>
              </w:rPr>
              <w:t>无。但若投标人在投标过程中存在违规行为给采购人造成损失的，须赔偿全部损失。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 w:hAnsi="仿宋" w:eastAsia="仿宋" w:cs="仿宋"/>
                <w:sz w:val="24"/>
                <w:szCs w:val="24"/>
              </w:rPr>
              <w:t>投标样品</w:t>
            </w:r>
          </w:p>
        </w:tc>
        <w:tc>
          <w:tcPr>
            <w:tcW w:w="5853" w:type="dxa"/>
            <w:vAlign w:val="center"/>
          </w:tcPr>
          <w:p>
            <w:pPr>
              <w:snapToGrid w:val="0"/>
              <w:spacing w:line="360" w:lineRule="auto"/>
              <w:rPr>
                <w:rFonts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Align w:val="center"/>
          </w:tcPr>
          <w:p>
            <w:pPr>
              <w:numPr>
                <w:ilvl w:val="0"/>
                <w:numId w:val="5"/>
              </w:numPr>
              <w:ind w:left="425" w:leftChars="0" w:hanging="425" w:firstLineChars="0"/>
              <w:jc w:val="right"/>
              <w:rPr>
                <w:rFonts w:ascii="仿宋" w:hAnsi="仿宋" w:eastAsia="仿宋" w:cs="仿宋"/>
                <w:sz w:val="24"/>
                <w:szCs w:val="24"/>
              </w:rPr>
            </w:pPr>
          </w:p>
        </w:tc>
        <w:tc>
          <w:tcPr>
            <w:tcW w:w="1907" w:type="dxa"/>
            <w:vAlign w:val="center"/>
          </w:tcPr>
          <w:p>
            <w:pPr>
              <w:jc w:val="center"/>
              <w:rPr>
                <w:rFonts w:ascii="仿宋" w:hAnsi="仿宋" w:eastAsia="仿宋" w:cs="仿宋"/>
                <w:sz w:val="24"/>
                <w:szCs w:val="24"/>
              </w:rPr>
            </w:pPr>
            <w:r>
              <w:rPr>
                <w:rFonts w:hint="eastAsia" w:ascii="仿宋_GB2312" w:hAnsi="仿宋_GB2312" w:eastAsia="仿宋_GB2312" w:cs="仿宋_GB2312"/>
                <w:sz w:val="28"/>
                <w:szCs w:val="28"/>
              </w:rPr>
              <w:t>▲</w:t>
            </w:r>
            <w:r>
              <w:rPr>
                <w:rFonts w:hint="eastAsia" w:ascii="仿宋" w:hAnsi="仿宋" w:eastAsia="仿宋" w:cs="仿宋"/>
                <w:sz w:val="24"/>
                <w:szCs w:val="24"/>
              </w:rPr>
              <w:t>经纪佣金</w:t>
            </w:r>
          </w:p>
        </w:tc>
        <w:tc>
          <w:tcPr>
            <w:tcW w:w="5853" w:type="dxa"/>
            <w:vAlign w:val="center"/>
          </w:tcPr>
          <w:p>
            <w:pPr>
              <w:jc w:val="left"/>
              <w:rPr>
                <w:rFonts w:ascii="仿宋" w:hAnsi="仿宋" w:eastAsia="仿宋" w:cs="仿宋"/>
                <w:sz w:val="24"/>
                <w:szCs w:val="24"/>
              </w:rPr>
            </w:pPr>
            <w:r>
              <w:rPr>
                <w:rFonts w:hint="eastAsia" w:ascii="仿宋" w:hAnsi="仿宋" w:eastAsia="仿宋" w:cs="仿宋"/>
                <w:sz w:val="24"/>
                <w:szCs w:val="24"/>
              </w:rPr>
              <w:t>中标人需向采购人的教育风险管理顾问公司支付经纪佣金，佣金为</w:t>
            </w:r>
            <w:ins w:id="28" w:author="睡不醒" w:date="2025-07-17T15:11:09Z">
              <w:r>
                <w:rPr>
                  <w:rFonts w:hint="eastAsia" w:ascii="仿宋" w:hAnsi="仿宋" w:eastAsia="仿宋" w:cs="仿宋"/>
                  <w:sz w:val="24"/>
                  <w:szCs w:val="24"/>
                  <w:lang w:val="en-US" w:eastAsia="zh-CN"/>
                </w:rPr>
                <w:t>不</w:t>
              </w:r>
            </w:ins>
            <w:ins w:id="29" w:author="睡不醒" w:date="2025-07-17T15:11:11Z">
              <w:r>
                <w:rPr>
                  <w:rFonts w:hint="eastAsia" w:ascii="仿宋" w:hAnsi="仿宋" w:eastAsia="仿宋" w:cs="仿宋"/>
                  <w:sz w:val="24"/>
                  <w:szCs w:val="24"/>
                  <w:lang w:val="en-US" w:eastAsia="zh-CN"/>
                </w:rPr>
                <w:t>超过</w:t>
              </w:r>
            </w:ins>
            <w:r>
              <w:rPr>
                <w:rFonts w:hint="eastAsia" w:ascii="仿宋" w:hAnsi="仿宋" w:eastAsia="仿宋" w:cs="仿宋"/>
                <w:sz w:val="24"/>
                <w:szCs w:val="24"/>
              </w:rPr>
              <w:t>保费总额的26%，根据投标人承诺的佣金比例确定，超出范围投标无效。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39" w:type="dxa"/>
            <w:vAlign w:val="center"/>
          </w:tcPr>
          <w:p>
            <w:pPr>
              <w:numPr>
                <w:ilvl w:val="0"/>
                <w:numId w:val="5"/>
              </w:numPr>
              <w:ind w:left="425" w:leftChars="0" w:hanging="425" w:firstLineChars="0"/>
              <w:jc w:val="right"/>
              <w:rPr>
                <w:rFonts w:ascii="仿宋" w:hAnsi="仿宋" w:eastAsia="仿宋" w:cs="仿宋"/>
                <w:snapToGrid w:val="0"/>
                <w:sz w:val="24"/>
                <w:szCs w:val="24"/>
              </w:rPr>
            </w:pPr>
          </w:p>
        </w:tc>
        <w:tc>
          <w:tcPr>
            <w:tcW w:w="1907" w:type="dxa"/>
            <w:vAlign w:val="center"/>
          </w:tcPr>
          <w:p>
            <w:pPr>
              <w:jc w:val="center"/>
              <w:rPr>
                <w:rFonts w:ascii="仿宋" w:hAnsi="仿宋" w:eastAsia="仿宋" w:cs="仿宋"/>
                <w:snapToGrid w:val="0"/>
                <w:sz w:val="24"/>
                <w:szCs w:val="24"/>
              </w:rPr>
            </w:pPr>
            <w:r>
              <w:rPr>
                <w:rFonts w:hint="eastAsia" w:ascii="仿宋" w:hAnsi="仿宋" w:eastAsia="仿宋" w:cs="仿宋"/>
                <w:sz w:val="24"/>
                <w:szCs w:val="24"/>
              </w:rPr>
              <w:t>解释权</w:t>
            </w:r>
          </w:p>
        </w:tc>
        <w:tc>
          <w:tcPr>
            <w:tcW w:w="5853" w:type="dxa"/>
            <w:vAlign w:val="center"/>
          </w:tcPr>
          <w:p>
            <w:pPr>
              <w:jc w:val="center"/>
              <w:rPr>
                <w:rFonts w:ascii="仿宋" w:hAnsi="仿宋" w:eastAsia="仿宋" w:cs="仿宋"/>
                <w:snapToGrid w:val="0"/>
                <w:sz w:val="24"/>
                <w:szCs w:val="24"/>
              </w:rPr>
            </w:pPr>
            <w:r>
              <w:rPr>
                <w:rFonts w:hint="eastAsia" w:ascii="仿宋" w:hAnsi="仿宋" w:eastAsia="仿宋" w:cs="仿宋"/>
                <w:sz w:val="24"/>
                <w:szCs w:val="24"/>
              </w:rPr>
              <w:t>本招标文件解释权属于招标人和采购代理机构。</w:t>
            </w:r>
          </w:p>
        </w:tc>
      </w:tr>
    </w:tbl>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 、总  则</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（一）适用范围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本招标文件适用于本项目的招标、投标、评标、定标、验收、合同履约、付款等行为（法律、法规另有规定的，从其规定）。</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（二）定义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1、采购人：是指采购本次项目的国家机关、事业单位和团体组织。</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2、投标人：是指向采购人提交投标文件的单位或个人。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3、货物：是指各种形态和种类的物品，包括原材料、燃料、设备、产品等。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4、产品：是指供方按招标文件规定，须向采购人提供的一切设备、保险、税金、备品备件、工具、手册及其他有关技术资料和材料。</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5、服务：是指除货物和工程以外的政府采购对象，包括各类专业服务、信息网络开发服务、金融保险服务、运输服务，以及维修与维护服务等。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6、项目：是指投标人按招标文件规定向采购人提供的产品和服务。</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7、“书面形式”包括信函、传真等。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8、“▲”系指实质性要求条款。</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（三）招标方式</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本次招标采用公开招标方式进行。</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（四）投标委托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投标人代表须携带有效身份证件。如投标人代表不是法定代表人，须有法定代表人出具的授权委托书。</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（五）投标费用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1）除采购人要求或设计变更要求外不签署任何增加费用的联系单，可能增加的成本投标人自行考虑并计入投标报价，中标后不予调整。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2）不论投标结果如何，投标人均应自行承担所有与投标有关的全部费用。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3）本项目招标代理费参照中华人民共和国国家发展计划委员会（计价格[2002]1980号）招标代理服务收费管理暂行办法计取招标代理费,不足6000元按定额6000收取。由中标人支付，在领取中标通知书前付清。</w:t>
      </w:r>
    </w:p>
    <w:tbl>
      <w:tblPr>
        <w:tblStyle w:val="26"/>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1816"/>
        <w:gridCol w:w="199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13" w:type="dxa"/>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360" w:lineRule="auto"/>
              <w:ind w:firstLine="480" w:firstLineChars="200"/>
              <w:rPr>
                <w:rFonts w:ascii="仿宋" w:hAnsi="仿宋" w:eastAsia="仿宋" w:cs="仿宋"/>
                <w:sz w:val="24"/>
                <w:szCs w:val="24"/>
              </w:rPr>
            </w:pP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货物招标</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服务招标</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0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100以下</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100—500</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0.8%</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500-1000</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0.8%</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0.45%</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1000-5000</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0.5%</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0.25%</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0.35%</w:t>
            </w:r>
          </w:p>
        </w:tc>
      </w:tr>
    </w:tbl>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招标代理服务费汇入以下账号：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账户名称：台州锋鼎工程项目管理有限公司</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开户银行：中国工商银行股份有限公司台州分行</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银行账号：1207 0212 0920 0306 679；</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（六）转包与分包</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本项目不允许分包或转包。</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（七）特别说明</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1、投标人投标所使用的资格、信誉、荣誉、业绩与企业认证必须为本法人所拥有。投标人投标所使用的采购项目实施人员必须为本法人员工（指本法人或控股公司正式员工）。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5、为采购项目提供整体设计、规范编制或者项目管理、监理、检测等服务的供应商，不得再参加该采购项目的其他采购活动。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6、投标文件格式中的表格式样可以根据项目差别做适当调整,但应当保持表格样式基本形态不变。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7、单位负责人为同一人或者存在直接控股、管理关系的不同供应商，不得参加同一合同项下的政府采购活动。</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8、本项目不允许分包。</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二、招标文件</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（一）招标文件的构成</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1.招标公告</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2.招标需求</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3.投标人须知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4.评标办法及标准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5.合同格式</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6.投标文件格式</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7.本项目招标文件的澄清、答复、修改、补充的内容（如有）</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（二）投标人的风险</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投标人没有按照招标文件要求提供全部资料，或者投标人没有对招标文件在各方面作出实质性响应是投标人的风险，并可能导致其投标被拒绝。</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（三）招标文件的澄清与修改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采购人可视采购具体情况对已发出的招标文件进行必要的澄清或者修改。澄清或者修改的内容可能影响投标文件编制的，采购人应当在投标截止时间至少15日前，在原公告发布媒体上发布澄清公告，澄清或者修改的内容为招标文件的组成部分；不足15日的，采购人应当顺延提交投标文件的截止时间。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三、投标文件的编制</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▲（一）投标文件的组成</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投标文件由资格证明文件、商务技术文件二部分组成。相关格式见附件，其余格式自拟。</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1、资格证明文件的组成：</w:t>
      </w:r>
    </w:p>
    <w:tbl>
      <w:tblPr>
        <w:tblStyle w:val="26"/>
        <w:tblW w:w="8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4" w:type="dxa"/>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lang w:val="zh-CN"/>
              </w:rPr>
              <w:t>序号</w:t>
            </w:r>
          </w:p>
        </w:tc>
        <w:tc>
          <w:tcPr>
            <w:tcW w:w="7975" w:type="dxa"/>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679" w:type="dxa"/>
            <w:gridSpan w:val="2"/>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lang w:val="zh-CN"/>
              </w:rPr>
              <w:t>资格证明文件（</w:t>
            </w:r>
            <w:r>
              <w:rPr>
                <w:rFonts w:hint="eastAsia" w:ascii="仿宋" w:hAnsi="仿宋" w:eastAsia="仿宋" w:cs="仿宋"/>
                <w:b/>
                <w:sz w:val="22"/>
                <w:u w:val="single"/>
                <w:lang w:val="zh-CN"/>
              </w:rPr>
              <w:t>▲序号1-</w:t>
            </w:r>
            <w:r>
              <w:rPr>
                <w:rFonts w:hint="eastAsia" w:ascii="仿宋" w:hAnsi="仿宋" w:eastAsia="仿宋" w:cs="仿宋"/>
                <w:b/>
                <w:sz w:val="22"/>
                <w:u w:val="single"/>
              </w:rPr>
              <w:t>4</w:t>
            </w:r>
            <w:r>
              <w:rPr>
                <w:rFonts w:hint="eastAsia" w:ascii="仿宋" w:hAnsi="仿宋" w:eastAsia="仿宋" w:cs="仿宋"/>
                <w:b/>
                <w:sz w:val="22"/>
                <w:u w:val="single"/>
                <w:lang w:val="zh-CN"/>
              </w:rPr>
              <w:t>项供应商必须提供，否则不能通过资格性审查的，责任自负）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4"/>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供应商法定代表人授权书（见附件）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4"/>
              </w:rPr>
              <w:t>提供采购公告中符合供应商特定条件的有效资质证书复印件（投标人特定条件中有要求的必须提供），以及需要说明的其他资料</w:t>
            </w:r>
          </w:p>
        </w:tc>
      </w:tr>
    </w:tbl>
    <w:p>
      <w:pPr>
        <w:spacing w:line="360" w:lineRule="auto"/>
        <w:ind w:left="420"/>
        <w:rPr>
          <w:rFonts w:ascii="仿宋" w:hAnsi="仿宋" w:eastAsia="仿宋" w:cs="仿宋"/>
          <w:sz w:val="24"/>
        </w:rPr>
      </w:pP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2、商务技术文件的组成</w:t>
      </w:r>
    </w:p>
    <w:tbl>
      <w:tblPr>
        <w:tblStyle w:val="26"/>
        <w:tblW w:w="8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lang w:val="zh-CN"/>
              </w:rPr>
              <w:t>序号</w:t>
            </w:r>
          </w:p>
        </w:tc>
        <w:tc>
          <w:tcPr>
            <w:tcW w:w="7975" w:type="dxa"/>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679" w:type="dxa"/>
            <w:gridSpan w:val="2"/>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lang w:val="zh-CN"/>
              </w:rPr>
              <w:t>商务部分（</w:t>
            </w:r>
            <w:r>
              <w:rPr>
                <w:rFonts w:hint="eastAsia" w:ascii="仿宋" w:hAnsi="仿宋" w:eastAsia="仿宋" w:cs="仿宋"/>
                <w:b/>
                <w:sz w:val="22"/>
                <w:u w:val="single"/>
                <w:lang w:val="zh-CN"/>
              </w:rPr>
              <w:t>▲序号1项供应商必须提供，否则不能通过</w:t>
            </w:r>
            <w:r>
              <w:rPr>
                <w:rFonts w:hint="eastAsia" w:ascii="仿宋" w:hAnsi="仿宋" w:eastAsia="仿宋" w:cs="仿宋"/>
                <w:b/>
                <w:sz w:val="22"/>
                <w:u w:val="single"/>
              </w:rPr>
              <w:t>符合</w:t>
            </w:r>
            <w:r>
              <w:rPr>
                <w:rFonts w:hint="eastAsia" w:ascii="仿宋" w:hAnsi="仿宋" w:eastAsia="仿宋" w:cs="仿宋"/>
                <w:b/>
                <w:sz w:val="22"/>
                <w:u w:val="single"/>
                <w:lang w:val="zh-CN"/>
              </w:rPr>
              <w:t>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rPr>
              <w:t>投标函（见附件）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偿付能力</w:t>
            </w:r>
            <w:r>
              <w:rPr>
                <w:rFonts w:hint="eastAsia" w:ascii="仿宋" w:hAnsi="仿宋" w:eastAsia="仿宋" w:cs="仿宋"/>
                <w:bCs/>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承保服务</w:t>
            </w:r>
            <w:r>
              <w:rPr>
                <w:rFonts w:hint="eastAsia" w:ascii="仿宋" w:hAnsi="仿宋" w:eastAsia="仿宋" w:cs="仿宋"/>
                <w:bCs/>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pacing w:val="-4"/>
                <w:szCs w:val="21"/>
              </w:rPr>
              <w:t>项目组成员情况</w:t>
            </w:r>
            <w:r>
              <w:rPr>
                <w:rFonts w:hint="eastAsia" w:ascii="仿宋" w:hAnsi="仿宋" w:eastAsia="仿宋" w:cs="仿宋"/>
                <w:bCs/>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Style w:val="61"/>
                <w:rFonts w:hint="eastAsia" w:ascii="仿宋" w:hAnsi="仿宋" w:eastAsia="仿宋" w:cs="仿宋"/>
                <w:szCs w:val="21"/>
              </w:rPr>
              <w:t>承接经验</w:t>
            </w:r>
            <w:r>
              <w:rPr>
                <w:rFonts w:hint="eastAsia" w:ascii="仿宋" w:hAnsi="仿宋" w:eastAsia="仿宋" w:cs="仿宋"/>
                <w:sz w:val="22"/>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679" w:type="dxa"/>
            <w:gridSpan w:val="2"/>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lang w:val="zh-CN"/>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szCs w:val="24"/>
              </w:rPr>
            </w:pPr>
            <w:r>
              <w:rPr>
                <w:rFonts w:hint="eastAsia" w:ascii="仿宋" w:hAnsi="仿宋" w:eastAsia="仿宋" w:cs="仿宋"/>
                <w:sz w:val="22"/>
              </w:rPr>
              <w:t>商务及技术响应表（见附件）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工作方案</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kern w:val="0"/>
                <w:szCs w:val="21"/>
              </w:rPr>
              <w:t>售后服务</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kern w:val="0"/>
                <w:szCs w:val="21"/>
              </w:rPr>
              <w:t>服务承诺</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服务响应</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理赔时限</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服务质量管控</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kern w:val="0"/>
                <w:szCs w:val="21"/>
              </w:rPr>
              <w:t>合理化建议</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保密措施</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根据采购文件中的采购内容与技术要求、评标细则，需要提供的其它文件和资料。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4" w:type="dxa"/>
          </w:tcPr>
          <w:p>
            <w:pPr>
              <w:numPr>
                <w:ilvl w:val="0"/>
                <w:numId w:val="7"/>
              </w:numPr>
              <w:autoSpaceDE w:val="0"/>
              <w:autoSpaceDN w:val="0"/>
              <w:snapToGrid w:val="0"/>
              <w:spacing w:line="430" w:lineRule="atLeast"/>
              <w:rPr>
                <w:rFonts w:ascii="仿宋" w:hAnsi="仿宋" w:eastAsia="仿宋" w:cs="仿宋"/>
                <w:sz w:val="22"/>
                <w:lang w:val="zh-CN"/>
              </w:rPr>
            </w:pPr>
          </w:p>
        </w:tc>
        <w:tc>
          <w:tcPr>
            <w:tcW w:w="7975"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供应商针对评分细则，编制目录索引，注明评标细则项目所在报价响应文件页码。</w:t>
            </w:r>
          </w:p>
        </w:tc>
      </w:tr>
    </w:tbl>
    <w:p>
      <w:pPr>
        <w:snapToGrid w:val="0"/>
        <w:spacing w:line="360" w:lineRule="auto"/>
        <w:ind w:firstLine="480" w:firstLineChars="200"/>
        <w:rPr>
          <w:rFonts w:ascii="仿宋" w:hAnsi="仿宋" w:eastAsia="仿宋" w:cs="仿宋"/>
          <w:sz w:val="24"/>
          <w:szCs w:val="24"/>
        </w:rPr>
      </w:pPr>
    </w:p>
    <w:p>
      <w:pPr>
        <w:snapToGrid w:val="0"/>
        <w:spacing w:line="360" w:lineRule="auto"/>
        <w:ind w:left="0" w:leftChars="0" w:firstLine="422" w:firstLineChars="175"/>
        <w:rPr>
          <w:rFonts w:ascii="仿宋" w:hAnsi="仿宋" w:eastAsia="仿宋" w:cs="仿宋"/>
          <w:b/>
          <w:bCs/>
          <w:sz w:val="24"/>
          <w:szCs w:val="24"/>
        </w:rPr>
      </w:pPr>
      <w:r>
        <w:rPr>
          <w:rFonts w:hint="eastAsia" w:ascii="仿宋" w:hAnsi="仿宋" w:eastAsia="仿宋" w:cs="仿宋"/>
          <w:b/>
          <w:bCs/>
          <w:sz w:val="24"/>
          <w:szCs w:val="24"/>
        </w:rPr>
        <w:t>（二）投标文件的语言及计量</w:t>
      </w:r>
    </w:p>
    <w:p>
      <w:pPr>
        <w:snapToGrid w:val="0"/>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left="0" w:leftChars="0" w:firstLine="422" w:firstLineChars="175"/>
        <w:rPr>
          <w:rFonts w:ascii="仿宋" w:hAnsi="仿宋" w:eastAsia="仿宋" w:cs="仿宋"/>
          <w:b/>
          <w:bCs/>
          <w:sz w:val="24"/>
          <w:szCs w:val="24"/>
        </w:rPr>
      </w:pPr>
      <w:r>
        <w:rPr>
          <w:rFonts w:hint="eastAsia" w:ascii="仿宋" w:hAnsi="仿宋" w:eastAsia="仿宋" w:cs="仿宋"/>
          <w:b/>
          <w:bCs/>
          <w:sz w:val="24"/>
          <w:szCs w:val="24"/>
        </w:rPr>
        <w:t>（三）投标报价</w:t>
      </w:r>
    </w:p>
    <w:p>
      <w:pPr>
        <w:snapToGrid w:val="0"/>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无</w:t>
      </w:r>
    </w:p>
    <w:p>
      <w:pPr>
        <w:snapToGrid w:val="0"/>
        <w:spacing w:line="360" w:lineRule="auto"/>
        <w:ind w:left="0" w:leftChars="0" w:firstLine="422" w:firstLineChars="175"/>
        <w:rPr>
          <w:rFonts w:ascii="仿宋" w:hAnsi="仿宋" w:eastAsia="仿宋" w:cs="仿宋"/>
          <w:b/>
          <w:bCs/>
          <w:sz w:val="24"/>
          <w:szCs w:val="24"/>
        </w:rPr>
      </w:pPr>
      <w:r>
        <w:rPr>
          <w:rFonts w:hint="eastAsia" w:ascii="仿宋" w:hAnsi="仿宋" w:eastAsia="仿宋" w:cs="仿宋"/>
          <w:b/>
          <w:bCs/>
          <w:sz w:val="24"/>
          <w:szCs w:val="24"/>
        </w:rPr>
        <w:t>（四）投标有效期</w:t>
      </w:r>
    </w:p>
    <w:p>
      <w:pPr>
        <w:snapToGrid w:val="0"/>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 xml:space="preserve">▲1.自投标截止日起 </w:t>
      </w:r>
      <w:r>
        <w:rPr>
          <w:rFonts w:hint="eastAsia" w:ascii="仿宋" w:hAnsi="仿宋" w:eastAsia="仿宋" w:cs="仿宋"/>
          <w:sz w:val="24"/>
          <w:szCs w:val="24"/>
          <w:u w:val="single"/>
        </w:rPr>
        <w:t xml:space="preserve"> 90 </w:t>
      </w:r>
      <w:r>
        <w:rPr>
          <w:rFonts w:hint="eastAsia" w:ascii="仿宋" w:hAnsi="仿宋" w:eastAsia="仿宋" w:cs="仿宋"/>
          <w:sz w:val="24"/>
          <w:szCs w:val="24"/>
        </w:rPr>
        <w:t xml:space="preserve"> 天投标文件应保持有效。</w:t>
      </w:r>
    </w:p>
    <w:p>
      <w:pPr>
        <w:snapToGrid w:val="0"/>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2.在特殊情况下，采购人可与投标人协商延长投标文件的有效期，这种要求和答复均以书面形式进行。</w:t>
      </w:r>
    </w:p>
    <w:p>
      <w:pPr>
        <w:snapToGrid w:val="0"/>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 xml:space="preserve">3.投标人可拒绝接受延期要求而不会导致投标保证金不被退回。同意延长有效期的投标人需要相应延长投标保证金的有效期，但不能修改投标文件内容。 </w:t>
      </w:r>
    </w:p>
    <w:p>
      <w:pPr>
        <w:snapToGrid w:val="0"/>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4.中标人的投标文件自开标之日起至合同履行完毕止均应保持有效。</w:t>
      </w:r>
    </w:p>
    <w:p>
      <w:pPr>
        <w:snapToGrid w:val="0"/>
        <w:spacing w:line="360" w:lineRule="auto"/>
        <w:ind w:left="0" w:leftChars="0" w:firstLine="422" w:firstLineChars="175"/>
        <w:rPr>
          <w:rFonts w:ascii="仿宋" w:hAnsi="仿宋" w:eastAsia="仿宋" w:cs="仿宋"/>
          <w:b/>
          <w:bCs/>
          <w:sz w:val="24"/>
          <w:szCs w:val="24"/>
        </w:rPr>
      </w:pPr>
      <w:r>
        <w:rPr>
          <w:rFonts w:hint="eastAsia" w:ascii="仿宋" w:hAnsi="仿宋" w:eastAsia="仿宋" w:cs="仿宋"/>
          <w:b/>
          <w:bCs/>
          <w:sz w:val="24"/>
          <w:szCs w:val="24"/>
        </w:rPr>
        <w:t>（五）投标保证金:\</w:t>
      </w:r>
    </w:p>
    <w:p>
      <w:pPr>
        <w:snapToGrid w:val="0"/>
        <w:spacing w:line="360" w:lineRule="auto"/>
        <w:ind w:left="0" w:leftChars="0" w:firstLine="422" w:firstLineChars="175"/>
        <w:rPr>
          <w:rFonts w:ascii="仿宋" w:hAnsi="仿宋" w:eastAsia="仿宋" w:cs="仿宋"/>
          <w:b/>
          <w:bCs/>
          <w:sz w:val="24"/>
          <w:szCs w:val="24"/>
        </w:rPr>
      </w:pPr>
      <w:r>
        <w:rPr>
          <w:rFonts w:hint="eastAsia" w:ascii="仿宋" w:hAnsi="仿宋" w:eastAsia="仿宋" w:cs="仿宋"/>
          <w:b/>
          <w:bCs/>
          <w:sz w:val="24"/>
          <w:szCs w:val="24"/>
        </w:rPr>
        <w:t>（六）投标文件的制作、封装及递交要求</w:t>
      </w:r>
    </w:p>
    <w:p>
      <w:pPr>
        <w:snapToGrid w:val="0"/>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 xml:space="preserve">1、投标文件的制作要求 </w:t>
      </w:r>
    </w:p>
    <w:p>
      <w:pPr>
        <w:snapToGrid w:val="0"/>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 xml:space="preserve">（1）投标人应按照投标文件组成内容及项目招标需求制作投标文件，不按招标文件要求制作投标文件的将视情处理，责任由投标人自行承担。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（2）投标人应对所提供的全部资料的真实性承担法律责任，投标文件内容中有要求盖章或签字 的地方，必须加盖投标人的公章以及法定代表人或授权代理人的签字或盖章。 </w:t>
      </w:r>
    </w:p>
    <w:p>
      <w:pPr>
        <w:snapToGrid w:val="0"/>
        <w:spacing w:line="360" w:lineRule="auto"/>
        <w:ind w:firstLine="480" w:firstLineChars="200"/>
        <w:rPr>
          <w:ins w:id="30" w:author="睡不醒" w:date="2025-07-17T15:14:00Z"/>
          <w:rFonts w:hint="eastAsia" w:ascii="仿宋" w:hAnsi="仿宋" w:eastAsia="仿宋" w:cs="仿宋"/>
          <w:sz w:val="24"/>
          <w:szCs w:val="24"/>
        </w:rPr>
      </w:pPr>
      <w:r>
        <w:rPr>
          <w:rFonts w:hint="eastAsia" w:ascii="仿宋" w:hAnsi="仿宋" w:eastAsia="仿宋" w:cs="仿宋"/>
          <w:sz w:val="24"/>
          <w:szCs w:val="24"/>
        </w:rPr>
        <w:t>（3）若投标人不按招标文件的要求提供资格审查材料，其责任由投标人自行承担。</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2、投标文件的式样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人应按资格证明文件、商务技术文件二部分分别密封封装。投标文件，正、副本可共同密封。投标文件的包装封面上应注明投标人名称、投标人地址、投标文件名称（资格证明文件、商务技术文件）、投标项目名称、项目编号及“开标时启封”字样，并加盖投标人公章。</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3、投标文件的递交要求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未按规定密封或标记的投标文件将被拒绝，由此造成投标文件被误投或提前拆封的风险由投标人自己承担。相关原件在投标文件递交截止时间前递交，逾期将不予接收（原件放置在档案袋中，可不用密封）。</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（七） 投标文件的补充、修改和撤回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 投标人在递交投标文件后，在规定的投标截止时间前，可以对已提交的投标文件进行修改或撤回，并书面通知采购人。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 在投标截止期之后，投标人不得对其投标作任何修改。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 从投标截止期至投标人在投标函格式中确定的投标有效期期满这段时间内，投标人不得 撤回其投标。</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（八）投标无效的情形</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22" w:firstLineChars="175"/>
        <w:rPr>
          <w:rFonts w:ascii="仿宋" w:hAnsi="仿宋" w:eastAsia="仿宋" w:cs="仿宋"/>
          <w:b/>
          <w:bCs/>
          <w:sz w:val="24"/>
          <w:szCs w:val="24"/>
        </w:rPr>
      </w:pPr>
      <w:r>
        <w:rPr>
          <w:rFonts w:hint="eastAsia" w:ascii="仿宋" w:hAnsi="仿宋" w:eastAsia="仿宋" w:cs="仿宋"/>
          <w:b/>
          <w:bCs/>
          <w:sz w:val="24"/>
          <w:szCs w:val="24"/>
        </w:rPr>
        <w:t>1.在符合性审查和商务技术评审时，如发现下列情形之一的，投标文件将被视为无效：</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（1）资格证明文件不全的，或者不符合招标文件标明的资格要求的；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（2）投标文件无法定代表人盖章或签字,或未提供法定代表人授权委托书、投标函或者填写项目不齐全的；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（3）投标代表人未能出具身份证明或与法定代表人授权委托人身份不符的；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（4）投标文件内容虚假的；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（5）投标文件的实质性内容未使用中文表述、意思表述不明确、前后矛盾（经评标委员会认定并允许其当场更正的笔误除外）；</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（6）投标有效期、交货期等商务条款不能满足招标文件要求的；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（7）未实质性响应招标文件要求或者投标文件有招标方不能接受的附加条件的；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（8）未提供或未如实提供投标产品的技术参数，或者投标文件标明的响应或偏离与事实不符或虚假投标的；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（9）商务技术文件中出现报价的；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（10）明显不符合招标文件要求的，或者与招标文件中标“▲”的技术指标、主要功能项目未响应或不满足，发生实质性偏离的；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（11）与其他参加本次投标人的投标文件（技术文件）的文字表述内容相同连续20行（含）以上或者差错相同2处（含）以上的。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（12）不符合中华人民共和国财政部令第87号《政府采购货物和服务招标投标管理办法》第三十七条情形之一的，视为投标人串通投标，其投标无效，并移送采购监管部门：</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（1）不同投标人的投标文件由同一单位或者个人编制；</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（2）不同投标人委托同一单位或者个人办理投标事宜；</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（3）不同投标人的投标文件载明的项目管理成员或者联系人员为同一人；</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（4）不同投标人的投标文件异常一致或者投标报价呈规律性差异；</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（5）不同投标人的投标文件相互混装；</w:t>
      </w:r>
    </w:p>
    <w:p>
      <w:pPr>
        <w:snapToGrid w:val="0"/>
        <w:spacing w:line="360" w:lineRule="auto"/>
        <w:ind w:firstLine="422" w:firstLineChars="175"/>
        <w:rPr>
          <w:rFonts w:ascii="仿宋" w:hAnsi="仿宋" w:eastAsia="仿宋" w:cs="仿宋"/>
          <w:b/>
          <w:bCs/>
          <w:sz w:val="24"/>
          <w:szCs w:val="24"/>
        </w:rPr>
      </w:pPr>
      <w:r>
        <w:rPr>
          <w:rFonts w:hint="eastAsia" w:ascii="仿宋" w:hAnsi="仿宋" w:eastAsia="仿宋" w:cs="仿宋"/>
          <w:b/>
          <w:bCs/>
          <w:sz w:val="24"/>
          <w:szCs w:val="24"/>
        </w:rPr>
        <w:t>2.在报价评审时，如发现下列情形之一的，投标文件将被视为无效：</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（1）未采用人民币报价或者未按照招标文件标明的币种报价的；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（2）投标报价具有选择性，或者开标价格与投标文件承诺的优惠（折扣）价格不一致的；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2" w:firstLineChars="175"/>
        <w:rPr>
          <w:rFonts w:ascii="仿宋" w:hAnsi="仿宋" w:eastAsia="仿宋" w:cs="仿宋"/>
          <w:b/>
          <w:bCs/>
          <w:sz w:val="24"/>
          <w:szCs w:val="24"/>
        </w:rPr>
      </w:pPr>
      <w:r>
        <w:rPr>
          <w:rFonts w:hint="eastAsia" w:ascii="仿宋" w:hAnsi="仿宋" w:eastAsia="仿宋" w:cs="仿宋"/>
          <w:b/>
          <w:bCs/>
          <w:sz w:val="24"/>
          <w:szCs w:val="24"/>
        </w:rPr>
        <w:t>3.被合法拒绝的投标文件为无效。</w:t>
      </w:r>
    </w:p>
    <w:p>
      <w:pPr>
        <w:snapToGrid w:val="0"/>
        <w:spacing w:line="360" w:lineRule="auto"/>
        <w:ind w:firstLine="422" w:firstLineChars="175"/>
        <w:rPr>
          <w:rFonts w:ascii="仿宋" w:hAnsi="仿宋" w:eastAsia="仿宋" w:cs="仿宋"/>
          <w:b/>
          <w:bCs/>
          <w:sz w:val="24"/>
          <w:szCs w:val="24"/>
        </w:rPr>
      </w:pPr>
      <w:r>
        <w:rPr>
          <w:rFonts w:hint="eastAsia" w:ascii="仿宋" w:hAnsi="仿宋" w:eastAsia="仿宋" w:cs="仿宋"/>
          <w:b/>
          <w:bCs/>
          <w:sz w:val="24"/>
          <w:szCs w:val="24"/>
        </w:rPr>
        <w:t>（九）在招标采购中，出现下列情形之一的，应予废标</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1、出现影响采购公正的违法、违规行为的；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2、因重大变故，采购任务取消的；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3、符合专业条件的供应商或者对招标文件作实质性响应的供应商不足三家的。</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 xml:space="preserve">4、评标委员会发现招标文件存在歧义、重大缺陷导致评标工作无法进行，或者招标文件内容违反国家有关强制性规定的； </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5、法律、法规和招标文件规定的其他导致评标结果无效的。</w:t>
      </w:r>
    </w:p>
    <w:p>
      <w:pPr>
        <w:snapToGrid w:val="0"/>
        <w:spacing w:line="360" w:lineRule="auto"/>
        <w:ind w:firstLine="422" w:firstLineChars="175"/>
        <w:rPr>
          <w:rFonts w:ascii="仿宋" w:hAnsi="仿宋" w:eastAsia="仿宋" w:cs="仿宋"/>
          <w:b/>
          <w:bCs/>
          <w:sz w:val="24"/>
          <w:szCs w:val="24"/>
        </w:rPr>
      </w:pPr>
      <w:r>
        <w:rPr>
          <w:rFonts w:hint="eastAsia" w:ascii="仿宋" w:hAnsi="仿宋" w:eastAsia="仿宋" w:cs="仿宋"/>
          <w:b/>
          <w:bCs/>
          <w:sz w:val="24"/>
          <w:szCs w:val="24"/>
        </w:rPr>
        <w:t>四、开标</w:t>
      </w:r>
    </w:p>
    <w:p>
      <w:pPr>
        <w:pStyle w:val="14"/>
        <w:snapToGrid w:val="0"/>
        <w:ind w:firstLine="422" w:firstLineChars="175"/>
        <w:rPr>
          <w:rFonts w:ascii="仿宋" w:hAnsi="仿宋" w:eastAsia="仿宋" w:cs="仿宋"/>
          <w:b/>
          <w:sz w:val="24"/>
          <w:szCs w:val="24"/>
        </w:rPr>
      </w:pPr>
      <w:r>
        <w:rPr>
          <w:rFonts w:hint="eastAsia" w:ascii="仿宋" w:hAnsi="仿宋" w:eastAsia="仿宋" w:cs="仿宋"/>
          <w:b/>
          <w:sz w:val="24"/>
          <w:szCs w:val="24"/>
        </w:rPr>
        <w:t>（一）开标准备</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招标人将在规定的时间和地点进行开标（若采购人通过修改采购文件更改了开标时间和地点的，以后者为准。）投标人的法定代表人或其授权代表携带身份证明、授权委托书等参加开标会并签到。投标人的法定代表人或其授权代表未按时签到的，视同放弃开标监督权利、认可开标结果，事后不得对开标过程和开标结果提出异议。</w:t>
      </w:r>
    </w:p>
    <w:p>
      <w:pPr>
        <w:pStyle w:val="14"/>
        <w:snapToGrid w:val="0"/>
        <w:ind w:firstLine="422" w:firstLineChars="175"/>
        <w:rPr>
          <w:rFonts w:ascii="仿宋" w:hAnsi="仿宋" w:eastAsia="仿宋" w:cs="仿宋"/>
          <w:b/>
          <w:sz w:val="24"/>
          <w:szCs w:val="24"/>
        </w:rPr>
      </w:pPr>
      <w:r>
        <w:rPr>
          <w:rFonts w:hint="eastAsia" w:ascii="仿宋" w:hAnsi="仿宋" w:eastAsia="仿宋" w:cs="仿宋"/>
          <w:b/>
          <w:sz w:val="24"/>
          <w:szCs w:val="24"/>
        </w:rPr>
        <w:t>（二）开标程序</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1.开标会由招标项目负责人主持；</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2.主持人介绍参加开标会的人员名单；告知应当回避的情形,提请有关人员回避；</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对投标人进行资格验证，同时由投标人检查投标文件密封的完整性后，打开投标文件外包装，清点投标文件正本、副本数量，符合招标文件要求的送评标室评审；不符合要求的，当场退还投标人，并由投标人代表签字确认；</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4.评标委员会进行投标文件评审；</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5.由主持人公布无效投标的投标人名单、投标无效的原因及其他有效投标的评分结果；</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6.招标人做好开标记录,投标人代表对开标记录进行当场校核及勘误，并签字确认；</w:t>
      </w:r>
      <w:r>
        <w:rPr>
          <w:rFonts w:hint="eastAsia" w:ascii="仿宋" w:hAnsi="仿宋" w:eastAsia="仿宋" w:cs="仿宋"/>
          <w:b/>
          <w:bCs/>
          <w:sz w:val="24"/>
          <w:szCs w:val="24"/>
        </w:rPr>
        <w:t>投标人代表未到场签字确认或者拒绝签字确认的，不影响评标过程。</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7.宣布综合得分结果及入围候选人名单；</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8．开标会议结束。</w:t>
      </w:r>
    </w:p>
    <w:p>
      <w:pPr>
        <w:pStyle w:val="14"/>
        <w:snapToGrid w:val="0"/>
        <w:ind w:firstLine="422" w:firstLineChars="175"/>
        <w:rPr>
          <w:rFonts w:ascii="仿宋" w:hAnsi="仿宋" w:eastAsia="仿宋" w:cs="仿宋"/>
          <w:b/>
          <w:sz w:val="24"/>
          <w:szCs w:val="24"/>
        </w:rPr>
      </w:pPr>
      <w:r>
        <w:rPr>
          <w:rFonts w:hint="eastAsia" w:ascii="仿宋" w:hAnsi="仿宋" w:eastAsia="仿宋" w:cs="仿宋"/>
          <w:b/>
          <w:sz w:val="24"/>
          <w:szCs w:val="24"/>
        </w:rPr>
        <w:t>五、评标</w:t>
      </w:r>
    </w:p>
    <w:p>
      <w:pPr>
        <w:pStyle w:val="14"/>
        <w:snapToGrid w:val="0"/>
        <w:ind w:firstLine="422" w:firstLineChars="175"/>
        <w:rPr>
          <w:rFonts w:ascii="仿宋" w:hAnsi="仿宋" w:eastAsia="仿宋" w:cs="仿宋"/>
          <w:b/>
          <w:sz w:val="24"/>
          <w:szCs w:val="24"/>
        </w:rPr>
      </w:pPr>
      <w:r>
        <w:rPr>
          <w:rFonts w:hint="eastAsia" w:ascii="仿宋" w:hAnsi="仿宋" w:eastAsia="仿宋" w:cs="仿宋"/>
          <w:b/>
          <w:sz w:val="24"/>
          <w:szCs w:val="24"/>
        </w:rPr>
        <w:t>（一）组建评标委员会</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评标委员会由采购人代表和评审专家组成。成员人数应当为5人以上单数，其中评审专家不得少于成员总数的三分之二。</w:t>
      </w:r>
    </w:p>
    <w:p>
      <w:pPr>
        <w:pStyle w:val="14"/>
        <w:snapToGrid w:val="0"/>
        <w:ind w:firstLine="422" w:firstLineChars="175"/>
        <w:rPr>
          <w:rFonts w:ascii="仿宋" w:hAnsi="仿宋" w:eastAsia="仿宋" w:cs="仿宋"/>
          <w:b/>
          <w:sz w:val="24"/>
          <w:szCs w:val="24"/>
        </w:rPr>
      </w:pPr>
      <w:r>
        <w:rPr>
          <w:rFonts w:hint="eastAsia" w:ascii="仿宋" w:hAnsi="仿宋" w:eastAsia="仿宋" w:cs="仿宋"/>
          <w:b/>
          <w:sz w:val="24"/>
          <w:szCs w:val="24"/>
        </w:rPr>
        <w:t>（二）评标的方式</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本项目采用不公开方式评标，评标的依据为招标文件和投标文件。</w:t>
      </w:r>
    </w:p>
    <w:p>
      <w:pPr>
        <w:pStyle w:val="14"/>
        <w:snapToGrid w:val="0"/>
        <w:ind w:firstLine="422" w:firstLineChars="175"/>
        <w:rPr>
          <w:rFonts w:ascii="仿宋" w:hAnsi="仿宋" w:eastAsia="仿宋" w:cs="仿宋"/>
          <w:b/>
          <w:sz w:val="24"/>
          <w:szCs w:val="24"/>
        </w:rPr>
      </w:pPr>
      <w:r>
        <w:rPr>
          <w:rFonts w:hint="eastAsia" w:ascii="仿宋" w:hAnsi="仿宋" w:eastAsia="仿宋" w:cs="仿宋"/>
          <w:b/>
          <w:sz w:val="24"/>
          <w:szCs w:val="24"/>
        </w:rPr>
        <w:t>（三）</w:t>
      </w:r>
      <w:r>
        <w:rPr>
          <w:rFonts w:hint="eastAsia" w:ascii="仿宋" w:hAnsi="仿宋" w:eastAsia="仿宋" w:cs="仿宋"/>
          <w:b/>
          <w:bCs/>
          <w:sz w:val="24"/>
          <w:szCs w:val="24"/>
        </w:rPr>
        <w:t>评标程序</w:t>
      </w:r>
    </w:p>
    <w:p>
      <w:pPr>
        <w:spacing w:line="400" w:lineRule="exact"/>
        <w:ind w:firstLine="422" w:firstLineChars="175"/>
        <w:rPr>
          <w:rFonts w:ascii="仿宋" w:hAnsi="仿宋" w:eastAsia="仿宋" w:cs="仿宋"/>
          <w:b/>
          <w:bCs/>
          <w:sz w:val="24"/>
          <w:szCs w:val="24"/>
        </w:rPr>
      </w:pPr>
      <w:r>
        <w:rPr>
          <w:rFonts w:hint="eastAsia" w:ascii="仿宋" w:hAnsi="仿宋" w:eastAsia="仿宋" w:cs="仿宋"/>
          <w:b/>
          <w:bCs/>
          <w:sz w:val="24"/>
          <w:szCs w:val="24"/>
        </w:rPr>
        <w:t>1.形式审查</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招标单位代表和采购代理机构工作人员协助评标委员会对投标人的资格和投标文件的完整性、合法性等进行审查。</w:t>
      </w:r>
    </w:p>
    <w:p>
      <w:pPr>
        <w:spacing w:line="400" w:lineRule="exact"/>
        <w:ind w:firstLine="422" w:firstLineChars="175"/>
        <w:rPr>
          <w:rFonts w:ascii="仿宋" w:hAnsi="仿宋" w:eastAsia="仿宋" w:cs="仿宋"/>
          <w:b/>
          <w:bCs/>
          <w:sz w:val="24"/>
          <w:szCs w:val="24"/>
        </w:rPr>
      </w:pPr>
      <w:r>
        <w:rPr>
          <w:rFonts w:hint="eastAsia" w:ascii="仿宋" w:hAnsi="仿宋" w:eastAsia="仿宋" w:cs="仿宋"/>
          <w:b/>
          <w:bCs/>
          <w:sz w:val="24"/>
          <w:szCs w:val="24"/>
        </w:rPr>
        <w:t>2.实质审查与比较</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（1）评标委员会审查投标文件的实质性内容是否符合招标文件的实质性要求。</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投标人代表未到场或者拒绝澄清或者澄清的内容改变了投标文件的实质性内容的，评标委员会有权对该投标文件作出不利于投标人的评判。</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（3）资信技术分及其他分按照评标委员会成员的独立评分结果汇总数后，取全部评标委员会成员评分值的算术平均分。</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（4）采购代理机构人员协助评标委员会根据本项目的评分标准计算各投标人的报价得分。</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（5）评标委员会完成评标后,代理机构对各部分得分进行汇总,计算出本项目最终得分。评标委员会按评标原则推荐中标候选人同时起草评标报告，签字确认。</w:t>
      </w:r>
    </w:p>
    <w:p>
      <w:pPr>
        <w:spacing w:line="400" w:lineRule="exact"/>
        <w:ind w:firstLine="422" w:firstLineChars="175"/>
        <w:rPr>
          <w:rFonts w:ascii="仿宋" w:hAnsi="仿宋" w:eastAsia="仿宋" w:cs="仿宋"/>
          <w:b/>
          <w:sz w:val="24"/>
          <w:szCs w:val="24"/>
        </w:rPr>
      </w:pPr>
      <w:r>
        <w:rPr>
          <w:rFonts w:hint="eastAsia" w:ascii="仿宋" w:hAnsi="仿宋" w:eastAsia="仿宋" w:cs="仿宋"/>
          <w:b/>
          <w:sz w:val="24"/>
          <w:szCs w:val="24"/>
        </w:rPr>
        <w:t>（四）澄清问题的形式</w:t>
      </w:r>
    </w:p>
    <w:p>
      <w:pPr>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对投标文件中含义不明确、同类问题表述不一致或者有明显文字和计算错误的内容，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pStyle w:val="14"/>
        <w:numPr>
          <w:ilvl w:val="0"/>
          <w:numId w:val="8"/>
        </w:numPr>
        <w:snapToGrid w:val="0"/>
        <w:ind w:firstLine="422" w:firstLineChars="175"/>
        <w:rPr>
          <w:rFonts w:ascii="仿宋" w:hAnsi="仿宋" w:eastAsia="仿宋" w:cs="仿宋"/>
          <w:b/>
          <w:sz w:val="24"/>
          <w:szCs w:val="24"/>
        </w:rPr>
      </w:pPr>
      <w:r>
        <w:rPr>
          <w:rFonts w:hint="eastAsia" w:ascii="仿宋" w:hAnsi="仿宋" w:eastAsia="仿宋" w:cs="仿宋"/>
          <w:b/>
          <w:sz w:val="24"/>
          <w:szCs w:val="24"/>
        </w:rPr>
        <w:t>错误修正</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投标文件如果出现计算或表达上的错误，修正错误的原则如下：</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（一）投标文件中开标一览表（报价表）内容与投标文件中相应内容不一致的，以开标一览表（报价表）为准;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（二）大写金额和小写金额不一致的，以大写金额为准;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（三）单价金额小数点或者百分比有明显错位的，以开标一览表的总价为准，并修改单价;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（四）总价金额与按单价汇总金额不一致的，以单价金额计算结果为准。</w:t>
      </w:r>
    </w:p>
    <w:p>
      <w:pPr>
        <w:pStyle w:val="23"/>
        <w:spacing w:before="0" w:beforeAutospacing="0" w:after="0" w:afterAutospacing="0" w:line="300" w:lineRule="auto"/>
        <w:ind w:firstLine="420"/>
        <w:rPr>
          <w:rFonts w:ascii="仿宋" w:hAnsi="仿宋" w:eastAsia="仿宋" w:cs="仿宋"/>
          <w:b/>
          <w:bCs/>
          <w:sz w:val="24"/>
          <w:szCs w:val="24"/>
        </w:rPr>
      </w:pPr>
      <w:r>
        <w:rPr>
          <w:rFonts w:hint="eastAsia" w:ascii="仿宋" w:hAnsi="仿宋" w:eastAsia="仿宋" w:cs="仿宋"/>
          <w:b/>
          <w:bCs/>
          <w:sz w:val="24"/>
          <w:szCs w:val="24"/>
        </w:rPr>
        <w:t>同时出现两种以上不一致的，按上述修正错误的原则及方法调整或修正投标文件的投标报价，投标人同意并签字确认后，调整后的投标报价对投标人具有约束作用。如果投标人不接受修正后的报价，则其投标将作为无效投标处理。</w:t>
      </w:r>
    </w:p>
    <w:p>
      <w:pPr>
        <w:pStyle w:val="14"/>
        <w:tabs>
          <w:tab w:val="left" w:pos="630"/>
        </w:tabs>
        <w:snapToGrid w:val="0"/>
        <w:rPr>
          <w:rFonts w:ascii="仿宋" w:hAnsi="仿宋" w:eastAsia="仿宋" w:cs="仿宋"/>
          <w:b/>
          <w:sz w:val="24"/>
          <w:szCs w:val="24"/>
        </w:rPr>
      </w:pPr>
      <w:r>
        <w:rPr>
          <w:rFonts w:hint="eastAsia" w:ascii="仿宋" w:hAnsi="仿宋" w:eastAsia="仿宋" w:cs="仿宋"/>
          <w:b/>
          <w:sz w:val="24"/>
          <w:szCs w:val="24"/>
        </w:rPr>
        <w:t>（六）评标原则和评标办法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2.评标办法。本项目评标办法是综合评分法，具体评标内容及评分标准等详见《第四章：评标办法及评分标准》。</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六、定标</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（一）确定中标人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1.采购人在评标结束后2个工作日内将评标报告交采购人确认，同时在发布招标公告的网站上对评标结果进行公示。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2.投标人对评标结果无异议的，采购人应在收到评标报告后5个工作日内对评标结果进行确认。如有投标人对评标结果提出质疑的，采购人可在质疑处理完毕后确定中标人。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3.采购人依法确定中标人后2个工作日内，采购人以书面形式发出《中标通知书》,并同时在相关网站上发布中标公告。</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4.如果中标人自动放弃中标资格或因质疑、投诉被取消中标资格的，可视情报经财政部门同意后根据评审结果按顺序由排在后面的候选供应商递补，以此类推或重新组织招标。</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七、合同授予</w:t>
      </w:r>
    </w:p>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（一）签订合同</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1.采购人与中标人应当在中标通知书规定的时间内签订政府采购合同，采购人对合同内容进行审查，如发现与采购结果和投标承诺内容不一致的，予以纠正。</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2.中标人拖延、拒签合同的,取消中标资格。</w:t>
      </w:r>
    </w:p>
    <w:p>
      <w:pPr>
        <w:rPr>
          <w:rFonts w:ascii="宋体" w:hAnsi="宋体"/>
          <w:sz w:val="24"/>
          <w:szCs w:val="24"/>
        </w:rPr>
      </w:pPr>
      <w:r>
        <w:rPr>
          <w:rFonts w:hint="eastAsia" w:ascii="宋体" w:hAnsi="宋体"/>
          <w:sz w:val="24"/>
          <w:szCs w:val="24"/>
        </w:rPr>
        <w:br w:type="page"/>
      </w:r>
    </w:p>
    <w:p>
      <w:pPr>
        <w:keepNext/>
        <w:keepLines/>
        <w:numPr>
          <w:ilvl w:val="0"/>
          <w:numId w:val="2"/>
        </w:numPr>
        <w:snapToGrid w:val="0"/>
        <w:spacing w:line="360" w:lineRule="auto"/>
        <w:ind w:left="0" w:firstLine="420"/>
        <w:jc w:val="center"/>
        <w:outlineLvl w:val="0"/>
        <w:rPr>
          <w:rFonts w:ascii="仿宋" w:hAnsi="仿宋" w:eastAsia="仿宋" w:cs="黑体"/>
          <w:b/>
          <w:bCs/>
          <w:kern w:val="44"/>
          <w:sz w:val="32"/>
          <w:szCs w:val="44"/>
        </w:rPr>
      </w:pPr>
      <w:bookmarkStart w:id="60" w:name="_Toc608"/>
      <w:bookmarkStart w:id="61" w:name="_Toc48647097"/>
      <w:r>
        <w:rPr>
          <w:rFonts w:hint="eastAsia" w:ascii="仿宋" w:hAnsi="仿宋" w:eastAsia="仿宋" w:cs="黑体"/>
          <w:b/>
          <w:bCs/>
          <w:kern w:val="44"/>
          <w:sz w:val="32"/>
          <w:szCs w:val="44"/>
        </w:rPr>
        <w:t>评标办法及评分标准</w:t>
      </w:r>
      <w:bookmarkEnd w:id="60"/>
      <w:bookmarkEnd w:id="61"/>
    </w:p>
    <w:p>
      <w:pPr>
        <w:spacing w:line="360" w:lineRule="auto"/>
        <w:ind w:firstLine="420" w:firstLineChars="0"/>
        <w:rPr>
          <w:rFonts w:ascii="仿宋" w:hAnsi="仿宋" w:eastAsia="仿宋" w:cs="仿宋"/>
          <w:sz w:val="24"/>
          <w:szCs w:val="24"/>
        </w:rPr>
      </w:pPr>
      <w:r>
        <w:rPr>
          <w:rFonts w:hint="eastAsia" w:ascii="仿宋" w:hAnsi="仿宋" w:eastAsia="仿宋" w:cs="仿宋"/>
          <w:sz w:val="24"/>
          <w:szCs w:val="24"/>
        </w:rPr>
        <w:t>一、采购组织机构将组织评标委员会，对投标人提供的投标文件进行综合评审。</w:t>
      </w:r>
    </w:p>
    <w:p>
      <w:pPr>
        <w:spacing w:line="360" w:lineRule="auto"/>
        <w:ind w:firstLine="420" w:firstLineChars="0"/>
        <w:rPr>
          <w:rFonts w:ascii="仿宋" w:hAnsi="仿宋" w:eastAsia="仿宋" w:cs="仿宋"/>
          <w:sz w:val="24"/>
          <w:szCs w:val="24"/>
        </w:rPr>
      </w:pPr>
      <w:r>
        <w:rPr>
          <w:rFonts w:hint="eastAsia" w:ascii="仿宋" w:hAnsi="仿宋" w:eastAsia="仿宋" w:cs="仿宋"/>
          <w:sz w:val="24"/>
          <w:szCs w:val="24"/>
        </w:rPr>
        <w:t>二、本次招标项目的评标方法为综合评分法，总计100分，其中资格及</w:t>
      </w:r>
      <w:r>
        <w:rPr>
          <w:rFonts w:hint="eastAsia" w:ascii="仿宋" w:hAnsi="仿宋" w:eastAsia="仿宋" w:cs="仿宋"/>
          <w:sz w:val="24"/>
          <w:szCs w:val="24"/>
          <w:lang w:val="zh-CN"/>
        </w:rPr>
        <w:t>商务技术文件分值</w:t>
      </w:r>
      <w:r>
        <w:rPr>
          <w:rFonts w:hint="eastAsia" w:ascii="仿宋" w:hAnsi="仿宋" w:eastAsia="仿宋" w:cs="仿宋"/>
          <w:sz w:val="24"/>
          <w:szCs w:val="24"/>
        </w:rPr>
        <w:t>100</w:t>
      </w:r>
      <w:r>
        <w:rPr>
          <w:rFonts w:hint="eastAsia" w:ascii="仿宋" w:hAnsi="仿宋" w:eastAsia="仿宋" w:cs="仿宋"/>
          <w:sz w:val="24"/>
          <w:szCs w:val="24"/>
          <w:lang w:val="zh-CN"/>
        </w:rPr>
        <w:t>分，</w:t>
      </w:r>
      <w:r>
        <w:rPr>
          <w:rFonts w:hint="eastAsia" w:ascii="仿宋" w:hAnsi="仿宋" w:eastAsia="仿宋" w:cs="仿宋"/>
          <w:b/>
          <w:bCs/>
          <w:sz w:val="24"/>
          <w:szCs w:val="24"/>
          <w:shd w:val="clear" w:color="auto" w:fill="FFFFFF"/>
        </w:rPr>
        <w:t>根据本项目实际情况及《政府采购货物和服务招标投标管理办法》第五十二条规定，本项目价格执行统一价格标准，其价格不列为评分因素</w:t>
      </w:r>
      <w:r>
        <w:rPr>
          <w:rFonts w:hint="eastAsia" w:ascii="仿宋" w:hAnsi="仿宋" w:eastAsia="仿宋" w:cs="仿宋"/>
          <w:sz w:val="24"/>
          <w:szCs w:val="24"/>
        </w:rPr>
        <w:t>。评标标准按评分细化条款及分值进行评审。</w:t>
      </w:r>
    </w:p>
    <w:p>
      <w:pPr>
        <w:spacing w:line="360" w:lineRule="auto"/>
        <w:ind w:firstLine="420" w:firstLineChars="0"/>
        <w:rPr>
          <w:rFonts w:ascii="仿宋" w:hAnsi="仿宋" w:eastAsia="仿宋" w:cs="仿宋"/>
          <w:sz w:val="24"/>
          <w:szCs w:val="24"/>
          <w:lang w:val="zh-CN"/>
        </w:rPr>
      </w:pPr>
      <w:r>
        <w:rPr>
          <w:rFonts w:hint="eastAsia" w:ascii="仿宋" w:hAnsi="仿宋" w:eastAsia="仿宋" w:cs="仿宋"/>
          <w:sz w:val="24"/>
          <w:szCs w:val="24"/>
          <w:lang w:val="zh-CN"/>
        </w:rPr>
        <w:t>（一）</w:t>
      </w:r>
      <w:r>
        <w:rPr>
          <w:rFonts w:hint="eastAsia" w:ascii="仿宋" w:hAnsi="仿宋" w:eastAsia="仿宋" w:cs="仿宋"/>
          <w:sz w:val="24"/>
          <w:szCs w:val="24"/>
        </w:rPr>
        <w:t>资格及</w:t>
      </w:r>
      <w:r>
        <w:rPr>
          <w:rFonts w:hint="eastAsia" w:ascii="仿宋" w:hAnsi="仿宋" w:eastAsia="仿宋" w:cs="仿宋"/>
          <w:sz w:val="24"/>
          <w:szCs w:val="24"/>
          <w:lang w:val="zh-CN"/>
        </w:rPr>
        <w:t>商务技术文件中的客观分由评标委员会讨论后统一打分；其余在规定的分值内单独评定打分</w:t>
      </w:r>
      <w:r>
        <w:rPr>
          <w:rFonts w:hint="eastAsia" w:ascii="仿宋" w:hAnsi="仿宋" w:eastAsia="仿宋" w:cs="仿宋"/>
          <w:sz w:val="24"/>
          <w:szCs w:val="24"/>
        </w:rPr>
        <w:t>（小数点后保留1位）</w:t>
      </w:r>
      <w:r>
        <w:rPr>
          <w:rFonts w:hint="eastAsia" w:ascii="仿宋" w:hAnsi="仿宋" w:eastAsia="仿宋" w:cs="仿宋"/>
          <w:sz w:val="24"/>
          <w:szCs w:val="24"/>
          <w:lang w:val="zh-CN"/>
        </w:rPr>
        <w:t>。</w:t>
      </w:r>
    </w:p>
    <w:p>
      <w:pPr>
        <w:spacing w:line="360" w:lineRule="auto"/>
        <w:ind w:firstLine="420" w:firstLineChars="0"/>
        <w:rPr>
          <w:rFonts w:ascii="仿宋" w:hAnsi="仿宋" w:eastAsia="仿宋" w:cs="仿宋"/>
          <w:sz w:val="24"/>
          <w:szCs w:val="24"/>
          <w:lang w:val="zh-CN"/>
        </w:rPr>
      </w:pPr>
      <w:r>
        <w:rPr>
          <w:rFonts w:hint="eastAsia" w:ascii="仿宋" w:hAnsi="仿宋" w:eastAsia="仿宋" w:cs="仿宋"/>
          <w:sz w:val="24"/>
          <w:szCs w:val="24"/>
          <w:lang w:val="zh-CN"/>
        </w:rPr>
        <w:t>（二）各投标人</w:t>
      </w:r>
      <w:r>
        <w:rPr>
          <w:rFonts w:hint="eastAsia" w:ascii="仿宋" w:hAnsi="仿宋" w:eastAsia="仿宋" w:cs="仿宋"/>
          <w:sz w:val="24"/>
          <w:szCs w:val="24"/>
        </w:rPr>
        <w:t>资格及</w:t>
      </w:r>
      <w:r>
        <w:rPr>
          <w:rFonts w:hint="eastAsia" w:ascii="仿宋" w:hAnsi="仿宋" w:eastAsia="仿宋" w:cs="仿宋"/>
          <w:sz w:val="24"/>
          <w:szCs w:val="24"/>
          <w:lang w:val="zh-CN"/>
        </w:rPr>
        <w:t>商务技术文件得分按照评标委员会成员的独立评分结果汇总后的算术平均分计算</w:t>
      </w:r>
      <w:r>
        <w:rPr>
          <w:rFonts w:hint="eastAsia" w:ascii="仿宋" w:hAnsi="仿宋" w:eastAsia="仿宋" w:cs="仿宋"/>
          <w:sz w:val="24"/>
          <w:szCs w:val="24"/>
        </w:rPr>
        <w:t>（小数点后保留2位）</w:t>
      </w:r>
      <w:r>
        <w:rPr>
          <w:rFonts w:hint="eastAsia" w:ascii="仿宋" w:hAnsi="仿宋" w:eastAsia="仿宋" w:cs="仿宋"/>
          <w:sz w:val="24"/>
          <w:szCs w:val="24"/>
          <w:lang w:val="zh-CN"/>
        </w:rPr>
        <w:t>，计算公式为：</w:t>
      </w:r>
    </w:p>
    <w:p>
      <w:pPr>
        <w:spacing w:line="360" w:lineRule="auto"/>
        <w:ind w:firstLine="420" w:firstLineChars="0"/>
        <w:rPr>
          <w:rFonts w:ascii="仿宋" w:hAnsi="仿宋" w:eastAsia="仿宋" w:cs="仿宋"/>
          <w:sz w:val="24"/>
          <w:szCs w:val="24"/>
          <w:lang w:val="zh-CN"/>
        </w:rPr>
      </w:pPr>
      <w:r>
        <w:rPr>
          <w:rFonts w:hint="eastAsia" w:ascii="仿宋" w:hAnsi="仿宋" w:eastAsia="仿宋" w:cs="仿宋"/>
          <w:sz w:val="24"/>
          <w:szCs w:val="24"/>
        </w:rPr>
        <w:t>资格及</w:t>
      </w:r>
      <w:r>
        <w:rPr>
          <w:rFonts w:hint="eastAsia" w:ascii="仿宋" w:hAnsi="仿宋" w:eastAsia="仿宋" w:cs="仿宋"/>
          <w:sz w:val="24"/>
          <w:szCs w:val="24"/>
          <w:lang w:val="zh-CN"/>
        </w:rPr>
        <w:t>商务技术文件</w:t>
      </w:r>
      <w:r>
        <w:rPr>
          <w:rFonts w:hint="eastAsia" w:ascii="仿宋" w:hAnsi="仿宋" w:eastAsia="仿宋" w:cs="仿宋"/>
          <w:sz w:val="24"/>
          <w:szCs w:val="24"/>
        </w:rPr>
        <w:t>得分</w:t>
      </w:r>
      <w:r>
        <w:rPr>
          <w:rFonts w:hint="eastAsia" w:ascii="仿宋" w:hAnsi="仿宋" w:eastAsia="仿宋" w:cs="仿宋"/>
          <w:sz w:val="24"/>
          <w:szCs w:val="24"/>
          <w:lang w:val="zh-CN"/>
        </w:rPr>
        <w:t>=评标委员会所有成员评分合计数/评标委员会组成人员数。</w:t>
      </w:r>
    </w:p>
    <w:p>
      <w:pPr>
        <w:spacing w:line="360" w:lineRule="auto"/>
        <w:ind w:firstLine="420" w:firstLineChars="0"/>
        <w:rPr>
          <w:rFonts w:ascii="仿宋" w:hAnsi="仿宋" w:eastAsia="仿宋" w:cs="仿宋"/>
          <w:sz w:val="24"/>
          <w:szCs w:val="24"/>
          <w:u w:val="single"/>
          <w:lang w:val="zh-CN"/>
        </w:rPr>
      </w:pPr>
      <w:r>
        <w:rPr>
          <w:rFonts w:hint="eastAsia" w:ascii="仿宋" w:hAnsi="仿宋" w:eastAsia="仿宋" w:cs="仿宋"/>
          <w:sz w:val="24"/>
          <w:szCs w:val="24"/>
          <w:lang w:val="zh-CN"/>
        </w:rPr>
        <w:t>（三）投标报价</w:t>
      </w:r>
      <w:r>
        <w:rPr>
          <w:rFonts w:hint="eastAsia" w:ascii="仿宋" w:hAnsi="仿宋" w:eastAsia="仿宋" w:cs="仿宋"/>
          <w:sz w:val="24"/>
          <w:szCs w:val="24"/>
        </w:rPr>
        <w:t>按</w:t>
      </w:r>
      <w:r>
        <w:rPr>
          <w:rFonts w:hint="eastAsia" w:ascii="仿宋" w:hAnsi="仿宋" w:eastAsia="仿宋" w:cs="仿宋"/>
          <w:sz w:val="24"/>
          <w:szCs w:val="24"/>
          <w:lang w:val="zh-CN"/>
        </w:rPr>
        <w:t>招标文件要求</w:t>
      </w:r>
      <w:r>
        <w:rPr>
          <w:rFonts w:hint="eastAsia" w:ascii="仿宋" w:hAnsi="仿宋" w:eastAsia="仿宋" w:cs="仿宋"/>
          <w:sz w:val="24"/>
          <w:szCs w:val="24"/>
        </w:rPr>
        <w:t>统一报价，</w:t>
      </w:r>
      <w:r>
        <w:rPr>
          <w:rFonts w:hint="eastAsia" w:ascii="仿宋" w:hAnsi="仿宋" w:eastAsia="仿宋" w:cs="仿宋"/>
          <w:bCs/>
          <w:sz w:val="24"/>
          <w:szCs w:val="24"/>
        </w:rPr>
        <w:t>不按招标文件要求统一报价的，不推荐为中标候选人。</w:t>
      </w:r>
    </w:p>
    <w:p>
      <w:pPr>
        <w:spacing w:line="360" w:lineRule="auto"/>
        <w:ind w:firstLine="420" w:firstLineChars="0"/>
        <w:rPr>
          <w:rFonts w:ascii="仿宋" w:hAnsi="仿宋" w:eastAsia="仿宋" w:cs="仿宋"/>
          <w:sz w:val="24"/>
          <w:szCs w:val="24"/>
          <w:u w:val="single"/>
          <w:lang w:val="zh-CN"/>
        </w:rPr>
      </w:pPr>
      <w:r>
        <w:rPr>
          <w:rFonts w:hint="eastAsia" w:ascii="仿宋" w:hAnsi="仿宋" w:eastAsia="仿宋" w:cs="仿宋"/>
          <w:sz w:val="24"/>
          <w:szCs w:val="24"/>
          <w:lang w:val="zh-CN"/>
        </w:rPr>
        <w:t>（四）投标人综合得分＝资格及商务技术文件得分。</w:t>
      </w:r>
    </w:p>
    <w:p>
      <w:pPr>
        <w:spacing w:line="360" w:lineRule="auto"/>
        <w:ind w:firstLine="420" w:firstLineChars="0"/>
        <w:rPr>
          <w:rFonts w:ascii="仿宋" w:hAnsi="仿宋" w:eastAsia="仿宋" w:cs="仿宋"/>
          <w:sz w:val="24"/>
          <w:szCs w:val="24"/>
          <w:lang w:val="zh-CN"/>
        </w:rPr>
      </w:pPr>
      <w:r>
        <w:rPr>
          <w:rFonts w:hint="eastAsia" w:ascii="仿宋" w:hAnsi="仿宋" w:eastAsia="仿宋" w:cs="仿宋"/>
          <w:b/>
          <w:sz w:val="24"/>
          <w:szCs w:val="24"/>
        </w:rPr>
        <w:t>经评审专家统一认定明显低价有可能影响产品质量或者不能诚信履约的做无效标处理。</w:t>
      </w:r>
    </w:p>
    <w:p>
      <w:pPr>
        <w:spacing w:line="360" w:lineRule="auto"/>
        <w:ind w:firstLine="420" w:firstLineChars="0"/>
        <w:rPr>
          <w:rFonts w:ascii="仿宋" w:hAnsi="仿宋" w:eastAsia="仿宋" w:cs="仿宋"/>
          <w:sz w:val="24"/>
          <w:szCs w:val="24"/>
          <w:lang w:val="zh-CN"/>
        </w:rPr>
      </w:pPr>
      <w:r>
        <w:rPr>
          <w:rFonts w:hint="eastAsia" w:ascii="仿宋" w:hAnsi="仿宋" w:eastAsia="仿宋" w:cs="仿宋"/>
          <w:sz w:val="24"/>
          <w:szCs w:val="24"/>
          <w:lang w:val="zh-CN"/>
        </w:rPr>
        <w:t>三、在最大限度地满足招标文件实质性要求前提下，评标委员会按照招标文件中规定的各项因素进行综合评审后，按评审总得分从高到低排序，推荐评审总得分第一名的为标段一中标候选供人，评审总得分第二名的</w:t>
      </w:r>
      <w:r>
        <w:rPr>
          <w:rFonts w:hint="eastAsia" w:ascii="仿宋" w:hAnsi="仿宋" w:eastAsia="仿宋" w:cs="仿宋"/>
          <w:sz w:val="24"/>
          <w:szCs w:val="24"/>
        </w:rPr>
        <w:t>第二</w:t>
      </w:r>
      <w:r>
        <w:rPr>
          <w:rFonts w:hint="eastAsia" w:ascii="仿宋" w:hAnsi="仿宋" w:eastAsia="仿宋" w:cs="仿宋"/>
          <w:sz w:val="24"/>
          <w:szCs w:val="24"/>
          <w:lang w:val="zh-CN"/>
        </w:rPr>
        <w:t>中标候选供人。</w:t>
      </w:r>
    </w:p>
    <w:p>
      <w:pPr>
        <w:autoSpaceDE w:val="0"/>
        <w:autoSpaceDN w:val="0"/>
        <w:adjustRightInd w:val="0"/>
        <w:spacing w:line="360" w:lineRule="auto"/>
        <w:ind w:right="85" w:firstLine="420" w:firstLineChars="0"/>
        <w:rPr>
          <w:rFonts w:ascii="仿宋" w:hAnsi="仿宋" w:eastAsia="仿宋" w:cs="仿宋"/>
          <w:sz w:val="24"/>
          <w:szCs w:val="24"/>
          <w:lang w:val="zh-CN"/>
        </w:rPr>
      </w:pPr>
      <w:r>
        <w:rPr>
          <w:rFonts w:hint="eastAsia" w:ascii="仿宋" w:hAnsi="仿宋" w:eastAsia="仿宋" w:cs="仿宋"/>
          <w:sz w:val="24"/>
          <w:szCs w:val="24"/>
          <w:lang w:val="zh-CN"/>
        </w:rPr>
        <w:t>四、如综合得分相同，以</w:t>
      </w:r>
      <w:r>
        <w:rPr>
          <w:rFonts w:hint="eastAsia" w:ascii="仿宋" w:hAnsi="仿宋" w:eastAsia="仿宋" w:cs="仿宋"/>
          <w:sz w:val="24"/>
          <w:szCs w:val="24"/>
        </w:rPr>
        <w:t>商务</w:t>
      </w:r>
      <w:r>
        <w:rPr>
          <w:rFonts w:hint="eastAsia" w:ascii="仿宋" w:hAnsi="仿宋" w:eastAsia="仿宋" w:cs="仿宋"/>
          <w:sz w:val="24"/>
          <w:szCs w:val="24"/>
          <w:lang w:val="zh-CN"/>
        </w:rPr>
        <w:t>得分较高者为先。</w:t>
      </w:r>
    </w:p>
    <w:p>
      <w:pPr>
        <w:spacing w:line="360" w:lineRule="auto"/>
        <w:ind w:firstLine="420" w:firstLineChars="0"/>
        <w:rPr>
          <w:rFonts w:ascii="仿宋" w:hAnsi="仿宋" w:eastAsia="仿宋" w:cs="仿宋"/>
          <w:sz w:val="24"/>
          <w:szCs w:val="24"/>
          <w:lang w:val="zh-CN"/>
        </w:rPr>
      </w:pPr>
      <w:r>
        <w:rPr>
          <w:rFonts w:hint="eastAsia" w:ascii="仿宋" w:hAnsi="仿宋" w:eastAsia="仿宋" w:cs="仿宋"/>
          <w:sz w:val="24"/>
          <w:szCs w:val="24"/>
          <w:lang w:val="zh-CN"/>
        </w:rPr>
        <w:t xml:space="preserve">五、本次评分具体分值细化条款如下表：  </w:t>
      </w:r>
    </w:p>
    <w:p>
      <w:pPr>
        <w:spacing w:line="300" w:lineRule="exact"/>
        <w:ind w:firstLine="482" w:firstLineChars="200"/>
        <w:jc w:val="center"/>
        <w:rPr>
          <w:rFonts w:ascii="仿宋" w:hAnsi="仿宋" w:eastAsia="仿宋" w:cs="仿宋"/>
          <w:sz w:val="24"/>
          <w:szCs w:val="24"/>
        </w:rPr>
      </w:pPr>
      <w:r>
        <w:rPr>
          <w:rFonts w:hint="eastAsia" w:ascii="仿宋" w:hAnsi="仿宋" w:eastAsia="仿宋" w:cs="仿宋"/>
          <w:b/>
          <w:sz w:val="24"/>
          <w:szCs w:val="24"/>
        </w:rPr>
        <w:t>评标打分标准</w:t>
      </w:r>
    </w:p>
    <w:tbl>
      <w:tblPr>
        <w:tblStyle w:val="26"/>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70"/>
        <w:gridCol w:w="6241"/>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6" w:type="dxa"/>
            <w:gridSpan w:val="2"/>
            <w:tcBorders>
              <w:top w:val="single" w:color="5B5B5B" w:sz="8" w:space="0"/>
              <w:left w:val="single" w:color="5B5B5B" w:sz="8" w:space="0"/>
              <w:bottom w:val="single" w:color="5B5B5B" w:sz="8" w:space="0"/>
              <w:right w:val="single" w:color="5B5B5B" w:sz="8" w:space="0"/>
            </w:tcBorders>
            <w:shd w:val="clear" w:color="auto" w:fill="DCDCDC"/>
            <w:vAlign w:val="center"/>
          </w:tcPr>
          <w:p>
            <w:pPr>
              <w:adjustRightInd w:val="0"/>
              <w:snapToGrid w:val="0"/>
              <w:jc w:val="center"/>
              <w:rPr>
                <w:rFonts w:ascii="仿宋" w:hAnsi="仿宋" w:eastAsia="仿宋" w:cs="仿宋"/>
                <w:b/>
                <w:bCs/>
                <w:color w:val="000000"/>
                <w:szCs w:val="21"/>
              </w:rPr>
            </w:pPr>
            <w:r>
              <w:rPr>
                <w:rFonts w:hint="eastAsia" w:ascii="仿宋" w:hAnsi="仿宋" w:eastAsia="仿宋" w:cs="仿宋"/>
                <w:b/>
                <w:bCs/>
                <w:color w:val="000000"/>
                <w:szCs w:val="21"/>
              </w:rPr>
              <w:t>评标因素</w:t>
            </w:r>
          </w:p>
        </w:tc>
        <w:tc>
          <w:tcPr>
            <w:tcW w:w="6241" w:type="dxa"/>
            <w:tcBorders>
              <w:top w:val="single" w:color="5B5B5B" w:sz="8" w:space="0"/>
              <w:left w:val="single" w:color="5B5B5B" w:sz="8" w:space="0"/>
              <w:bottom w:val="single" w:color="5B5B5B" w:sz="8" w:space="0"/>
              <w:right w:val="single" w:color="5B5B5B" w:sz="8" w:space="0"/>
            </w:tcBorders>
            <w:shd w:val="clear" w:color="auto" w:fill="DCDCDC"/>
            <w:vAlign w:val="center"/>
          </w:tcPr>
          <w:p>
            <w:pPr>
              <w:adjustRightInd w:val="0"/>
              <w:snapToGrid w:val="0"/>
              <w:jc w:val="center"/>
              <w:rPr>
                <w:rFonts w:ascii="仿宋" w:hAnsi="仿宋" w:eastAsia="仿宋" w:cs="仿宋"/>
                <w:b/>
                <w:bCs/>
                <w:color w:val="000000"/>
                <w:szCs w:val="21"/>
              </w:rPr>
            </w:pPr>
            <w:r>
              <w:rPr>
                <w:rFonts w:hint="eastAsia" w:ascii="仿宋" w:hAnsi="仿宋" w:eastAsia="仿宋" w:cs="仿宋"/>
                <w:b/>
                <w:bCs/>
                <w:color w:val="000000"/>
                <w:szCs w:val="21"/>
              </w:rPr>
              <w:t>评分标准</w:t>
            </w:r>
          </w:p>
        </w:tc>
        <w:tc>
          <w:tcPr>
            <w:tcW w:w="581" w:type="dxa"/>
            <w:tcBorders>
              <w:top w:val="single" w:color="5B5B5B" w:sz="8" w:space="0"/>
              <w:left w:val="single" w:color="5B5B5B" w:sz="8" w:space="0"/>
              <w:bottom w:val="single" w:color="5B5B5B" w:sz="8" w:space="0"/>
              <w:right w:val="single" w:color="5B5B5B" w:sz="8" w:space="0"/>
            </w:tcBorders>
            <w:shd w:val="clear" w:color="auto" w:fill="DCDCDC"/>
            <w:vAlign w:val="center"/>
          </w:tcPr>
          <w:p>
            <w:pPr>
              <w:adjustRightInd w:val="0"/>
              <w:snapToGrid w:val="0"/>
              <w:jc w:val="center"/>
              <w:rPr>
                <w:rFonts w:ascii="仿宋" w:hAnsi="仿宋" w:eastAsia="仿宋" w:cs="仿宋"/>
                <w:b/>
                <w:bCs/>
                <w:color w:val="000000"/>
                <w:szCs w:val="21"/>
              </w:rPr>
            </w:pPr>
            <w:r>
              <w:rPr>
                <w:rFonts w:hint="eastAsia" w:ascii="仿宋" w:hAnsi="仿宋" w:eastAsia="仿宋" w:cs="仿宋"/>
                <w:b/>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6" w:type="dxa"/>
            <w:vMerge w:val="restart"/>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r>
              <w:rPr>
                <w:rFonts w:hint="eastAsia" w:ascii="仿宋" w:hAnsi="仿宋" w:eastAsia="仿宋" w:cs="仿宋"/>
                <w:color w:val="000000"/>
                <w:szCs w:val="21"/>
              </w:rPr>
              <w:t>商务分（30分）</w:t>
            </w:r>
          </w:p>
        </w:tc>
        <w:tc>
          <w:tcPr>
            <w:tcW w:w="970" w:type="dxa"/>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szCs w:val="21"/>
              </w:rPr>
            </w:pPr>
            <w:r>
              <w:rPr>
                <w:rFonts w:hint="eastAsia" w:ascii="仿宋" w:hAnsi="仿宋" w:eastAsia="仿宋" w:cs="仿宋"/>
                <w:color w:val="000000"/>
                <w:szCs w:val="21"/>
              </w:rPr>
              <w:t>偿付能力</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jc w:val="left"/>
              <w:rPr>
                <w:rFonts w:ascii="仿宋" w:hAnsi="仿宋" w:eastAsia="仿宋" w:cs="仿宋"/>
                <w:color w:val="000000"/>
              </w:rPr>
            </w:pPr>
            <w:r>
              <w:rPr>
                <w:rFonts w:hint="eastAsia" w:ascii="仿宋" w:hAnsi="仿宋" w:eastAsia="仿宋" w:cs="仿宋"/>
                <w:color w:val="000000"/>
              </w:rPr>
              <w:t>根据投标人2023年第四季度核心偿付能力情况进行打分。</w:t>
            </w:r>
          </w:p>
          <w:p>
            <w:pPr>
              <w:jc w:val="left"/>
              <w:rPr>
                <w:rFonts w:ascii="仿宋" w:hAnsi="仿宋" w:eastAsia="仿宋" w:cs="仿宋"/>
                <w:color w:val="000000"/>
              </w:rPr>
            </w:pPr>
            <w:r>
              <w:rPr>
                <w:rFonts w:hint="eastAsia" w:ascii="仿宋" w:hAnsi="仿宋" w:eastAsia="仿宋" w:cs="仿宋"/>
                <w:color w:val="000000"/>
              </w:rPr>
              <w:t>核心偿付能力≥200%的得6分；</w:t>
            </w:r>
          </w:p>
          <w:p>
            <w:pPr>
              <w:jc w:val="left"/>
              <w:rPr>
                <w:rFonts w:ascii="仿宋" w:hAnsi="仿宋" w:eastAsia="仿宋" w:cs="仿宋"/>
                <w:color w:val="000000"/>
              </w:rPr>
            </w:pPr>
            <w:r>
              <w:rPr>
                <w:rFonts w:hint="eastAsia" w:ascii="仿宋" w:hAnsi="仿宋" w:eastAsia="仿宋" w:cs="仿宋"/>
                <w:color w:val="000000"/>
              </w:rPr>
              <w:t>200%＞核心偿付能力≥150%的得3分；</w:t>
            </w:r>
          </w:p>
          <w:p>
            <w:pPr>
              <w:jc w:val="left"/>
              <w:rPr>
                <w:rFonts w:ascii="仿宋" w:hAnsi="仿宋" w:eastAsia="仿宋" w:cs="仿宋"/>
                <w:color w:val="000000"/>
                <w:szCs w:val="21"/>
              </w:rPr>
            </w:pPr>
            <w:r>
              <w:rPr>
                <w:rFonts w:hint="eastAsia" w:ascii="仿宋" w:hAnsi="仿宋" w:eastAsia="仿宋" w:cs="仿宋"/>
                <w:color w:val="000000"/>
              </w:rPr>
              <w:t>核心偿付能力&lt;150%的得1分。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szCs w:val="21"/>
              </w:rPr>
            </w:pPr>
            <w:r>
              <w:rPr>
                <w:rFonts w:hint="eastAsia" w:ascii="仿宋" w:hAnsi="仿宋" w:eastAsia="仿宋" w:cs="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center"/>
              <w:rPr>
                <w:rFonts w:ascii="仿宋" w:hAnsi="仿宋" w:eastAsia="仿宋" w:cs="仿宋"/>
                <w:color w:val="000000"/>
                <w:szCs w:val="21"/>
              </w:rPr>
            </w:pPr>
          </w:p>
        </w:tc>
        <w:tc>
          <w:tcPr>
            <w:tcW w:w="970" w:type="dxa"/>
            <w:vMerge w:val="restart"/>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szCs w:val="21"/>
              </w:rPr>
            </w:pPr>
            <w:r>
              <w:rPr>
                <w:rFonts w:hint="eastAsia" w:ascii="仿宋" w:hAnsi="仿宋" w:eastAsia="仿宋" w:cs="仿宋"/>
                <w:color w:val="000000"/>
                <w:szCs w:val="21"/>
              </w:rPr>
              <w:t>承保服务</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left"/>
              <w:rPr>
                <w:rFonts w:ascii="仿宋" w:hAnsi="仿宋" w:eastAsia="仿宋" w:cs="仿宋"/>
                <w:color w:val="000000"/>
                <w:szCs w:val="21"/>
              </w:rPr>
            </w:pPr>
            <w:r>
              <w:rPr>
                <w:rFonts w:hint="eastAsia" w:ascii="仿宋" w:hAnsi="仿宋" w:eastAsia="仿宋" w:cs="仿宋"/>
                <w:color w:val="000000"/>
                <w:szCs w:val="21"/>
              </w:rPr>
              <w:t>本地市级服务团队的负责人具有高级职称得</w:t>
            </w:r>
            <w:r>
              <w:rPr>
                <w:rFonts w:ascii="仿宋" w:hAnsi="仿宋" w:eastAsia="仿宋" w:cs="仿宋"/>
                <w:color w:val="000000"/>
                <w:szCs w:val="21"/>
              </w:rPr>
              <w:t>1分。</w:t>
            </w:r>
          </w:p>
          <w:p>
            <w:pPr>
              <w:adjustRightInd w:val="0"/>
              <w:snapToGrid w:val="0"/>
              <w:jc w:val="left"/>
              <w:rPr>
                <w:rFonts w:ascii="仿宋" w:hAnsi="仿宋" w:eastAsia="仿宋" w:cs="仿宋"/>
                <w:b/>
                <w:bCs/>
                <w:color w:val="000000"/>
                <w:szCs w:val="21"/>
              </w:rPr>
            </w:pPr>
            <w:r>
              <w:rPr>
                <w:rFonts w:hint="eastAsia" w:ascii="仿宋" w:hAnsi="仿宋" w:eastAsia="仿宋" w:cs="仿宋"/>
                <w:b/>
                <w:bCs/>
                <w:color w:val="000000"/>
                <w:szCs w:val="21"/>
              </w:rPr>
              <w:t>（须提供相关人员的高级职称证书复印件</w:t>
            </w:r>
            <w:r>
              <w:rPr>
                <w:rFonts w:hint="eastAsia" w:ascii="仿宋" w:hAnsi="仿宋" w:eastAsia="仿宋" w:cs="仿宋"/>
                <w:b/>
                <w:bCs/>
                <w:color w:val="000000"/>
              </w:rPr>
              <w:t>，不提供的不得分</w:t>
            </w:r>
            <w:r>
              <w:rPr>
                <w:rFonts w:hint="eastAsia" w:ascii="仿宋" w:hAnsi="仿宋" w:eastAsia="仿宋" w:cs="仿宋"/>
                <w:b/>
                <w:bCs/>
                <w:color w:val="000000"/>
                <w:szCs w:val="21"/>
              </w:rPr>
              <w:t>）</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center"/>
              <w:rPr>
                <w:rFonts w:ascii="仿宋" w:hAnsi="仿宋" w:eastAsia="仿宋" w:cs="仿宋"/>
                <w:color w:val="000000"/>
                <w:szCs w:val="21"/>
              </w:rPr>
            </w:pPr>
            <w:r>
              <w:rPr>
                <w:rFonts w:ascii="仿宋" w:hAnsi="仿宋" w:eastAsia="仿宋"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center"/>
              <w:rPr>
                <w:rFonts w:ascii="仿宋" w:hAnsi="仿宋" w:eastAsia="仿宋" w:cs="仿宋"/>
                <w:color w:val="000000"/>
                <w:szCs w:val="21"/>
              </w:rPr>
            </w:pPr>
          </w:p>
        </w:tc>
        <w:tc>
          <w:tcPr>
            <w:tcW w:w="970"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szCs w:val="21"/>
              </w:rPr>
            </w:pP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left"/>
              <w:rPr>
                <w:rFonts w:ascii="仿宋" w:hAnsi="仿宋" w:eastAsia="仿宋" w:cs="仿宋"/>
                <w:color w:val="000000"/>
              </w:rPr>
            </w:pPr>
            <w:r>
              <w:rPr>
                <w:rFonts w:hint="eastAsia" w:ascii="仿宋" w:hAnsi="仿宋" w:eastAsia="仿宋" w:cs="仿宋"/>
                <w:color w:val="000000"/>
              </w:rPr>
              <w:t>配有保险服务指导员的得</w:t>
            </w:r>
            <w:r>
              <w:rPr>
                <w:rFonts w:ascii="仿宋" w:hAnsi="仿宋" w:eastAsia="仿宋" w:cs="仿宋"/>
                <w:color w:val="000000"/>
              </w:rPr>
              <w:t>1分。</w:t>
            </w:r>
          </w:p>
          <w:p>
            <w:pPr>
              <w:adjustRightInd w:val="0"/>
              <w:snapToGrid w:val="0"/>
              <w:jc w:val="left"/>
              <w:rPr>
                <w:rFonts w:ascii="仿宋" w:hAnsi="仿宋" w:eastAsia="仿宋" w:cs="仿宋"/>
                <w:color w:val="000000"/>
              </w:rPr>
            </w:pPr>
            <w:r>
              <w:rPr>
                <w:rFonts w:hint="eastAsia" w:ascii="仿宋" w:hAnsi="仿宋" w:eastAsia="仿宋" w:cs="仿宋"/>
                <w:color w:val="000000"/>
              </w:rPr>
              <w:t>配有保险服务人员的得</w:t>
            </w:r>
            <w:r>
              <w:rPr>
                <w:rFonts w:ascii="仿宋" w:hAnsi="仿宋" w:eastAsia="仿宋" w:cs="仿宋"/>
                <w:color w:val="000000"/>
              </w:rPr>
              <w:t>2</w:t>
            </w:r>
            <w:r>
              <w:rPr>
                <w:rFonts w:hint="eastAsia" w:ascii="仿宋" w:hAnsi="仿宋" w:eastAsia="仿宋" w:cs="仿宋"/>
                <w:color w:val="000000"/>
              </w:rPr>
              <w:t>分。</w:t>
            </w:r>
          </w:p>
          <w:p>
            <w:pPr>
              <w:adjustRightInd w:val="0"/>
              <w:snapToGrid w:val="0"/>
              <w:jc w:val="left"/>
              <w:rPr>
                <w:rFonts w:ascii="仿宋" w:hAnsi="仿宋" w:eastAsia="仿宋" w:cs="仿宋"/>
                <w:color w:val="000000"/>
                <w:szCs w:val="21"/>
              </w:rPr>
            </w:pPr>
            <w:r>
              <w:rPr>
                <w:rFonts w:hint="eastAsia" w:ascii="仿宋" w:hAnsi="仿宋" w:eastAsia="仿宋" w:cs="仿宋"/>
                <w:b/>
                <w:bCs/>
                <w:color w:val="000000"/>
                <w:szCs w:val="21"/>
              </w:rPr>
              <w:t>（须提供相关人员的毕业证书复印件、最近</w:t>
            </w:r>
            <w:r>
              <w:rPr>
                <w:rFonts w:ascii="仿宋" w:hAnsi="仿宋" w:eastAsia="仿宋" w:cs="仿宋"/>
                <w:b/>
                <w:bCs/>
                <w:color w:val="000000"/>
                <w:szCs w:val="21"/>
              </w:rPr>
              <w:t>3个月的社保证明复印件、个人简历及人员配置承诺书，加盖投标人公章</w:t>
            </w:r>
            <w:r>
              <w:rPr>
                <w:rFonts w:hint="eastAsia" w:ascii="仿宋" w:hAnsi="仿宋" w:eastAsia="仿宋" w:cs="仿宋"/>
                <w:b/>
                <w:bCs/>
                <w:color w:val="000000"/>
              </w:rPr>
              <w:t>，不提供的或提供不全的不得分</w:t>
            </w:r>
            <w:r>
              <w:rPr>
                <w:rFonts w:hint="eastAsia" w:ascii="仿宋" w:hAnsi="仿宋" w:eastAsia="仿宋" w:cs="仿宋"/>
                <w:b/>
                <w:bCs/>
                <w:color w:val="000000"/>
                <w:szCs w:val="21"/>
              </w:rPr>
              <w:t>）</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center"/>
              <w:rPr>
                <w:rFonts w:ascii="仿宋" w:hAnsi="仿宋" w:eastAsia="仿宋" w:cs="仿宋"/>
                <w:color w:val="000000"/>
                <w:szCs w:val="21"/>
              </w:rPr>
            </w:pPr>
            <w:r>
              <w:rPr>
                <w:rFonts w:ascii="仿宋" w:hAnsi="仿宋" w:eastAsia="仿宋" w:cs="仿宋"/>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autoSpaceDE w:val="0"/>
              <w:autoSpaceDN w:val="0"/>
              <w:adjustRightInd w:val="0"/>
              <w:jc w:val="center"/>
              <w:rPr>
                <w:rFonts w:ascii="仿宋" w:hAnsi="仿宋" w:eastAsia="仿宋" w:cs="仿宋"/>
                <w:color w:val="000000"/>
                <w:szCs w:val="21"/>
              </w:rPr>
            </w:pPr>
          </w:p>
        </w:tc>
        <w:tc>
          <w:tcPr>
            <w:tcW w:w="970" w:type="dxa"/>
            <w:vMerge w:val="restart"/>
            <w:tcBorders>
              <w:top w:val="single" w:color="5B5B5B" w:sz="8" w:space="0"/>
              <w:left w:val="single" w:color="5B5B5B" w:sz="8" w:space="0"/>
              <w:bottom w:val="single" w:color="5B5B5B" w:sz="8" w:space="0"/>
              <w:right w:val="single" w:color="5B5B5B" w:sz="8" w:space="0"/>
            </w:tcBorders>
            <w:shd w:val="clear" w:color="auto" w:fill="FEFEFE"/>
            <w:vAlign w:val="center"/>
          </w:tcPr>
          <w:p>
            <w:pPr>
              <w:autoSpaceDE w:val="0"/>
              <w:autoSpaceDN w:val="0"/>
              <w:adjustRightInd w:val="0"/>
              <w:jc w:val="center"/>
              <w:rPr>
                <w:rFonts w:ascii="仿宋" w:hAnsi="仿宋" w:eastAsia="仿宋" w:cs="仿宋"/>
                <w:color w:val="000000"/>
                <w:szCs w:val="21"/>
              </w:rPr>
            </w:pPr>
            <w:r>
              <w:rPr>
                <w:rFonts w:hint="eastAsia" w:ascii="仿宋" w:hAnsi="仿宋" w:eastAsia="仿宋" w:cs="仿宋"/>
                <w:color w:val="000000"/>
                <w:spacing w:val="-4"/>
                <w:szCs w:val="21"/>
              </w:rPr>
              <w:t>项目组成员情况</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left"/>
              <w:rPr>
                <w:rFonts w:ascii="仿宋" w:hAnsi="仿宋" w:eastAsia="仿宋" w:cs="仿宋"/>
                <w:color w:val="000000"/>
                <w:szCs w:val="21"/>
              </w:rPr>
            </w:pPr>
            <w:r>
              <w:rPr>
                <w:rFonts w:hint="eastAsia" w:ascii="仿宋" w:hAnsi="仿宋" w:eastAsia="仿宋" w:cs="仿宋"/>
                <w:color w:val="000000"/>
                <w:szCs w:val="21"/>
              </w:rPr>
              <w:t>配有专职的医疗专业人员：≥</w:t>
            </w:r>
            <w:r>
              <w:rPr>
                <w:rFonts w:ascii="仿宋" w:hAnsi="仿宋" w:eastAsia="仿宋" w:cs="仿宋"/>
                <w:color w:val="000000"/>
                <w:szCs w:val="21"/>
              </w:rPr>
              <w:t xml:space="preserve">2 </w:t>
            </w:r>
            <w:r>
              <w:rPr>
                <w:rFonts w:hint="eastAsia" w:ascii="仿宋" w:hAnsi="仿宋" w:eastAsia="仿宋" w:cs="仿宋"/>
                <w:color w:val="000000"/>
                <w:szCs w:val="21"/>
              </w:rPr>
              <w:t>人得</w:t>
            </w:r>
            <w:r>
              <w:rPr>
                <w:rFonts w:ascii="仿宋" w:hAnsi="仿宋" w:eastAsia="仿宋" w:cs="仿宋"/>
                <w:color w:val="000000"/>
                <w:szCs w:val="21"/>
              </w:rPr>
              <w:t xml:space="preserve"> 4 </w:t>
            </w:r>
            <w:r>
              <w:rPr>
                <w:rFonts w:hint="eastAsia" w:ascii="仿宋" w:hAnsi="仿宋" w:eastAsia="仿宋" w:cs="仿宋"/>
                <w:color w:val="000000"/>
                <w:szCs w:val="21"/>
              </w:rPr>
              <w:t>分；</w:t>
            </w:r>
            <w:r>
              <w:rPr>
                <w:rFonts w:ascii="仿宋" w:hAnsi="仿宋" w:eastAsia="仿宋" w:cs="仿宋"/>
                <w:color w:val="000000"/>
                <w:szCs w:val="21"/>
              </w:rPr>
              <w:t xml:space="preserve">1 </w:t>
            </w:r>
            <w:r>
              <w:rPr>
                <w:rFonts w:hint="eastAsia" w:ascii="仿宋" w:hAnsi="仿宋" w:eastAsia="仿宋" w:cs="仿宋"/>
                <w:color w:val="000000"/>
                <w:szCs w:val="21"/>
              </w:rPr>
              <w:t>人得</w:t>
            </w:r>
            <w:r>
              <w:rPr>
                <w:rFonts w:ascii="仿宋" w:hAnsi="仿宋" w:eastAsia="仿宋" w:cs="仿宋"/>
                <w:color w:val="000000"/>
                <w:szCs w:val="21"/>
              </w:rPr>
              <w:t xml:space="preserve"> 2 </w:t>
            </w:r>
            <w:r>
              <w:rPr>
                <w:rFonts w:hint="eastAsia" w:ascii="仿宋" w:hAnsi="仿宋" w:eastAsia="仿宋" w:cs="仿宋"/>
                <w:color w:val="000000"/>
                <w:szCs w:val="21"/>
              </w:rPr>
              <w:t>分；没有不得分。</w:t>
            </w:r>
          </w:p>
          <w:p>
            <w:pPr>
              <w:adjustRightInd w:val="0"/>
              <w:snapToGrid w:val="0"/>
              <w:jc w:val="left"/>
              <w:rPr>
                <w:rFonts w:ascii="仿宋" w:hAnsi="仿宋" w:eastAsia="仿宋" w:cs="仿宋"/>
                <w:color w:val="000000"/>
                <w:szCs w:val="21"/>
              </w:rPr>
            </w:pPr>
            <w:r>
              <w:rPr>
                <w:rFonts w:hint="eastAsia" w:ascii="仿宋" w:hAnsi="仿宋" w:eastAsia="仿宋" w:cs="仿宋"/>
                <w:b/>
                <w:bCs/>
                <w:color w:val="000000"/>
                <w:szCs w:val="21"/>
              </w:rPr>
              <w:t>（须提供相关人员的毕业证书复印件、最近</w:t>
            </w:r>
            <w:r>
              <w:rPr>
                <w:rFonts w:ascii="仿宋" w:hAnsi="仿宋" w:eastAsia="仿宋" w:cs="仿宋"/>
                <w:b/>
                <w:bCs/>
                <w:color w:val="000000"/>
                <w:szCs w:val="21"/>
              </w:rPr>
              <w:t>3个月的社保证明复印件、个人简历及人员配置承诺书，加盖投标人公章</w:t>
            </w:r>
            <w:r>
              <w:rPr>
                <w:rFonts w:hint="eastAsia" w:ascii="仿宋" w:hAnsi="仿宋" w:eastAsia="仿宋" w:cs="仿宋"/>
                <w:b/>
                <w:bCs/>
                <w:color w:val="000000"/>
              </w:rPr>
              <w:t>，不提供的或提供不全的不得分</w:t>
            </w:r>
            <w:r>
              <w:rPr>
                <w:rFonts w:hint="eastAsia" w:ascii="仿宋" w:hAnsi="仿宋" w:eastAsia="仿宋" w:cs="仿宋"/>
                <w:b/>
                <w:bCs/>
                <w:color w:val="000000"/>
                <w:szCs w:val="21"/>
              </w:rPr>
              <w:t>）</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center"/>
              <w:rPr>
                <w:rFonts w:ascii="仿宋" w:hAnsi="仿宋" w:eastAsia="仿宋" w:cs="仿宋"/>
                <w:color w:val="000000"/>
                <w:kern w:val="0"/>
                <w:szCs w:val="21"/>
              </w:rPr>
            </w:pPr>
            <w:r>
              <w:rPr>
                <w:rFonts w:ascii="仿宋" w:hAnsi="仿宋" w:eastAsia="仿宋" w:cs="仿宋"/>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autoSpaceDE w:val="0"/>
              <w:autoSpaceDN w:val="0"/>
              <w:adjustRightInd w:val="0"/>
              <w:jc w:val="center"/>
              <w:rPr>
                <w:rFonts w:ascii="仿宋" w:hAnsi="仿宋" w:eastAsia="仿宋" w:cs="仿宋"/>
                <w:color w:val="000000"/>
                <w:szCs w:val="21"/>
              </w:rPr>
            </w:pPr>
          </w:p>
        </w:tc>
        <w:tc>
          <w:tcPr>
            <w:tcW w:w="970"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autoSpaceDE w:val="0"/>
              <w:autoSpaceDN w:val="0"/>
              <w:adjustRightInd w:val="0"/>
              <w:jc w:val="center"/>
              <w:rPr>
                <w:rFonts w:ascii="仿宋" w:hAnsi="仿宋" w:eastAsia="仿宋" w:cs="仿宋"/>
                <w:color w:val="000000"/>
                <w:spacing w:val="-4"/>
                <w:szCs w:val="21"/>
              </w:rPr>
            </w:pP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left"/>
              <w:rPr>
                <w:rFonts w:ascii="仿宋" w:hAnsi="仿宋" w:eastAsia="仿宋" w:cs="仿宋"/>
                <w:color w:val="000000"/>
                <w:szCs w:val="21"/>
              </w:rPr>
            </w:pPr>
            <w:r>
              <w:rPr>
                <w:rFonts w:hint="eastAsia" w:ascii="仿宋" w:hAnsi="仿宋" w:eastAsia="仿宋" w:cs="仿宋"/>
                <w:color w:val="000000"/>
                <w:szCs w:val="21"/>
              </w:rPr>
              <w:t>配有责任险现场查勘人员：≥</w:t>
            </w:r>
            <w:r>
              <w:rPr>
                <w:rFonts w:ascii="仿宋" w:hAnsi="仿宋" w:eastAsia="仿宋" w:cs="仿宋"/>
                <w:color w:val="000000"/>
                <w:szCs w:val="21"/>
              </w:rPr>
              <w:t xml:space="preserve">3 </w:t>
            </w:r>
            <w:r>
              <w:rPr>
                <w:rFonts w:hint="eastAsia" w:ascii="仿宋" w:hAnsi="仿宋" w:eastAsia="仿宋" w:cs="仿宋"/>
                <w:color w:val="000000"/>
                <w:szCs w:val="21"/>
              </w:rPr>
              <w:t>人得</w:t>
            </w:r>
            <w:r>
              <w:rPr>
                <w:rFonts w:ascii="仿宋" w:hAnsi="仿宋" w:eastAsia="仿宋" w:cs="仿宋"/>
                <w:color w:val="000000"/>
                <w:szCs w:val="21"/>
              </w:rPr>
              <w:t xml:space="preserve"> 4 </w:t>
            </w:r>
            <w:r>
              <w:rPr>
                <w:rFonts w:hint="eastAsia" w:ascii="仿宋" w:hAnsi="仿宋" w:eastAsia="仿宋" w:cs="仿宋"/>
                <w:color w:val="000000"/>
                <w:szCs w:val="21"/>
              </w:rPr>
              <w:t>分；＜</w:t>
            </w:r>
            <w:r>
              <w:rPr>
                <w:rFonts w:ascii="仿宋" w:hAnsi="仿宋" w:eastAsia="仿宋" w:cs="仿宋"/>
                <w:color w:val="000000"/>
                <w:szCs w:val="21"/>
              </w:rPr>
              <w:t xml:space="preserve">3人得2 </w:t>
            </w:r>
            <w:r>
              <w:rPr>
                <w:rFonts w:hint="eastAsia" w:ascii="仿宋" w:hAnsi="仿宋" w:eastAsia="仿宋" w:cs="仿宋"/>
                <w:color w:val="000000"/>
                <w:szCs w:val="21"/>
              </w:rPr>
              <w:t>分；没有不得分。</w:t>
            </w:r>
          </w:p>
          <w:p>
            <w:pPr>
              <w:adjustRightInd w:val="0"/>
              <w:snapToGrid w:val="0"/>
              <w:jc w:val="left"/>
              <w:rPr>
                <w:rFonts w:ascii="仿宋" w:hAnsi="仿宋" w:eastAsia="仿宋" w:cs="仿宋"/>
                <w:color w:val="000000"/>
                <w:szCs w:val="21"/>
              </w:rPr>
            </w:pPr>
            <w:r>
              <w:rPr>
                <w:rFonts w:hint="eastAsia" w:ascii="仿宋" w:hAnsi="仿宋" w:eastAsia="仿宋" w:cs="仿宋"/>
                <w:b/>
                <w:bCs/>
                <w:color w:val="000000"/>
                <w:szCs w:val="21"/>
              </w:rPr>
              <w:t>（须提供相关人员的毕业证书复印件、最近</w:t>
            </w:r>
            <w:r>
              <w:rPr>
                <w:rFonts w:ascii="仿宋" w:hAnsi="仿宋" w:eastAsia="仿宋" w:cs="仿宋"/>
                <w:b/>
                <w:bCs/>
                <w:color w:val="000000"/>
                <w:szCs w:val="21"/>
              </w:rPr>
              <w:t>3个月的社保证明复印件、个人简历及人员配置承诺书，加盖投标人公章</w:t>
            </w:r>
            <w:r>
              <w:rPr>
                <w:rFonts w:hint="eastAsia" w:ascii="仿宋" w:hAnsi="仿宋" w:eastAsia="仿宋" w:cs="仿宋"/>
                <w:b/>
                <w:bCs/>
                <w:color w:val="000000"/>
              </w:rPr>
              <w:t>，不提供的或提供不全的不得分</w:t>
            </w:r>
            <w:r>
              <w:rPr>
                <w:rFonts w:hint="eastAsia" w:ascii="仿宋" w:hAnsi="仿宋" w:eastAsia="仿宋" w:cs="仿宋"/>
                <w:b/>
                <w:bCs/>
                <w:color w:val="000000"/>
                <w:szCs w:val="21"/>
              </w:rPr>
              <w:t>）</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kern w:val="0"/>
                <w:szCs w:val="21"/>
              </w:rPr>
            </w:pPr>
            <w:r>
              <w:rPr>
                <w:rFonts w:ascii="仿宋" w:hAnsi="仿宋" w:eastAsia="仿宋" w:cs="仿宋"/>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autoSpaceDE w:val="0"/>
              <w:autoSpaceDN w:val="0"/>
              <w:adjustRightInd w:val="0"/>
              <w:jc w:val="center"/>
              <w:rPr>
                <w:rFonts w:ascii="仿宋" w:hAnsi="仿宋" w:eastAsia="仿宋" w:cs="仿宋"/>
                <w:color w:val="000000"/>
                <w:szCs w:val="21"/>
              </w:rPr>
            </w:pPr>
          </w:p>
        </w:tc>
        <w:tc>
          <w:tcPr>
            <w:tcW w:w="970"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autoSpaceDE w:val="0"/>
              <w:autoSpaceDN w:val="0"/>
              <w:adjustRightInd w:val="0"/>
              <w:jc w:val="center"/>
              <w:rPr>
                <w:rFonts w:ascii="仿宋" w:hAnsi="仿宋" w:eastAsia="仿宋" w:cs="仿宋"/>
                <w:color w:val="000000"/>
                <w:spacing w:val="-4"/>
                <w:szCs w:val="21"/>
              </w:rPr>
            </w:pP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left"/>
              <w:rPr>
                <w:rFonts w:ascii="仿宋" w:hAnsi="仿宋" w:eastAsia="仿宋" w:cs="仿宋"/>
                <w:color w:val="000000"/>
                <w:szCs w:val="21"/>
              </w:rPr>
            </w:pPr>
            <w:r>
              <w:rPr>
                <w:rFonts w:hint="eastAsia" w:ascii="仿宋" w:hAnsi="仿宋" w:eastAsia="仿宋" w:cs="仿宋"/>
                <w:color w:val="000000"/>
                <w:szCs w:val="21"/>
              </w:rPr>
              <w:t>现场查勘、医疗及理赔人员从业经验：均具有</w:t>
            </w:r>
            <w:r>
              <w:rPr>
                <w:rFonts w:ascii="仿宋" w:hAnsi="仿宋" w:eastAsia="仿宋" w:cs="仿宋"/>
                <w:color w:val="000000"/>
                <w:szCs w:val="21"/>
              </w:rPr>
              <w:t xml:space="preserve"> 2年以上医疗审核从业经验的得 4分；有部分人员具有医疗审核从业经验的得 2 </w:t>
            </w:r>
            <w:r>
              <w:rPr>
                <w:rFonts w:hint="eastAsia" w:ascii="仿宋" w:hAnsi="仿宋" w:eastAsia="仿宋" w:cs="仿宋"/>
                <w:color w:val="000000"/>
                <w:szCs w:val="21"/>
              </w:rPr>
              <w:t>分；没有从业经验的不得分。</w:t>
            </w:r>
          </w:p>
          <w:p>
            <w:pPr>
              <w:adjustRightInd w:val="0"/>
              <w:snapToGrid w:val="0"/>
              <w:jc w:val="left"/>
              <w:rPr>
                <w:rFonts w:ascii="仿宋" w:hAnsi="仿宋" w:eastAsia="仿宋" w:cs="仿宋"/>
                <w:color w:val="000000"/>
                <w:szCs w:val="21"/>
              </w:rPr>
            </w:pPr>
            <w:r>
              <w:rPr>
                <w:rFonts w:hint="eastAsia" w:ascii="仿宋" w:hAnsi="仿宋" w:eastAsia="仿宋" w:cs="仿宋"/>
                <w:b/>
                <w:bCs/>
                <w:color w:val="000000"/>
                <w:szCs w:val="21"/>
              </w:rPr>
              <w:t>（须提供相关人员的毕业证书复印件、最近</w:t>
            </w:r>
            <w:r>
              <w:rPr>
                <w:rFonts w:ascii="仿宋" w:hAnsi="仿宋" w:eastAsia="仿宋" w:cs="仿宋"/>
                <w:b/>
                <w:bCs/>
                <w:color w:val="000000"/>
                <w:szCs w:val="21"/>
              </w:rPr>
              <w:t>3个月的社保证明复印件、个人简历及人员配置承诺书，加盖投标人公章</w:t>
            </w:r>
            <w:r>
              <w:rPr>
                <w:rFonts w:hint="eastAsia" w:ascii="仿宋" w:hAnsi="仿宋" w:eastAsia="仿宋" w:cs="仿宋"/>
                <w:b/>
                <w:bCs/>
                <w:color w:val="000000"/>
              </w:rPr>
              <w:t>，不提供的或提供不全的不得分</w:t>
            </w:r>
            <w:r>
              <w:rPr>
                <w:rFonts w:hint="eastAsia" w:ascii="仿宋" w:hAnsi="仿宋" w:eastAsia="仿宋" w:cs="仿宋"/>
                <w:b/>
                <w:bCs/>
                <w:color w:val="000000"/>
                <w:szCs w:val="21"/>
              </w:rPr>
              <w:t>）</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kern w:val="0"/>
                <w:szCs w:val="21"/>
              </w:rPr>
            </w:pPr>
            <w:r>
              <w:rPr>
                <w:rFonts w:ascii="仿宋" w:hAnsi="仿宋" w:eastAsia="仿宋" w:cs="仿宋"/>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color w:val="000000"/>
                <w:szCs w:val="21"/>
              </w:rPr>
            </w:pPr>
          </w:p>
        </w:tc>
        <w:tc>
          <w:tcPr>
            <w:tcW w:w="970" w:type="dxa"/>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Style w:val="61"/>
                <w:rFonts w:ascii="仿宋" w:hAnsi="仿宋" w:eastAsia="仿宋" w:cs="仿宋"/>
                <w:color w:val="000000"/>
                <w:szCs w:val="21"/>
              </w:rPr>
            </w:pPr>
            <w:r>
              <w:rPr>
                <w:rStyle w:val="61"/>
                <w:rFonts w:hint="eastAsia" w:ascii="仿宋" w:hAnsi="仿宋" w:eastAsia="仿宋" w:cs="仿宋"/>
                <w:color w:val="000000"/>
                <w:szCs w:val="21"/>
              </w:rPr>
              <w:t>承接经验</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jc w:val="left"/>
              <w:rPr>
                <w:rFonts w:ascii="仿宋" w:hAnsi="仿宋" w:eastAsia="仿宋" w:cs="仿宋"/>
                <w:color w:val="000000"/>
                <w:kern w:val="0"/>
                <w:szCs w:val="21"/>
              </w:rPr>
            </w:pPr>
            <w:r>
              <w:rPr>
                <w:rFonts w:hint="eastAsia" w:ascii="仿宋" w:hAnsi="仿宋" w:eastAsia="仿宋" w:cs="仿宋"/>
                <w:color w:val="000000"/>
                <w:szCs w:val="21"/>
              </w:rPr>
              <w:t>投标人自</w:t>
            </w:r>
            <w:r>
              <w:rPr>
                <w:rFonts w:ascii="仿宋" w:hAnsi="仿宋" w:eastAsia="仿宋" w:cs="仿宋"/>
                <w:color w:val="000000"/>
                <w:szCs w:val="21"/>
              </w:rPr>
              <w:t>202</w:t>
            </w:r>
            <w:ins w:id="31" w:author="睡不醒" w:date="2025-07-17T14:00:18Z">
              <w:r>
                <w:rPr>
                  <w:rFonts w:hint="eastAsia" w:ascii="仿宋" w:hAnsi="仿宋" w:eastAsia="仿宋" w:cs="仿宋"/>
                  <w:color w:val="000000"/>
                  <w:szCs w:val="21"/>
                  <w:lang w:val="en-US" w:eastAsia="zh-CN"/>
                </w:rPr>
                <w:t>2</w:t>
              </w:r>
            </w:ins>
            <w:r>
              <w:rPr>
                <w:rFonts w:hint="eastAsia" w:ascii="仿宋" w:hAnsi="仿宋" w:eastAsia="仿宋" w:cs="仿宋"/>
                <w:color w:val="000000"/>
                <w:szCs w:val="21"/>
              </w:rPr>
              <w:t>年1月1日以来</w:t>
            </w:r>
            <w:r>
              <w:rPr>
                <w:rFonts w:hint="eastAsia" w:ascii="仿宋" w:hAnsi="仿宋" w:eastAsia="仿宋" w:cs="仿宋"/>
                <w:color w:val="000000"/>
                <w:kern w:val="0"/>
                <w:szCs w:val="21"/>
                <w:lang w:val="zh-CN"/>
              </w:rPr>
              <w:t>（以合同签订时间为准），</w:t>
            </w:r>
            <w:r>
              <w:rPr>
                <w:rFonts w:hint="eastAsia" w:ascii="仿宋" w:hAnsi="仿宋" w:eastAsia="仿宋" w:cs="仿宋"/>
                <w:color w:val="000000"/>
                <w:kern w:val="0"/>
                <w:szCs w:val="21"/>
              </w:rPr>
              <w:t>承接过类似责任保险项目的。每提供1个合同得1分，最高得6分。</w:t>
            </w:r>
          </w:p>
          <w:p>
            <w:pPr>
              <w:jc w:val="left"/>
              <w:rPr>
                <w:rFonts w:ascii="仿宋" w:hAnsi="仿宋" w:eastAsia="仿宋" w:cs="仿宋"/>
                <w:color w:val="000000"/>
                <w:szCs w:val="21"/>
              </w:rPr>
            </w:pPr>
            <w:r>
              <w:rPr>
                <w:rFonts w:hint="eastAsia" w:ascii="仿宋" w:hAnsi="仿宋" w:eastAsia="仿宋" w:cs="仿宋"/>
                <w:b/>
                <w:bCs/>
                <w:color w:val="000000"/>
                <w:szCs w:val="21"/>
                <w:lang w:val="zh-CN"/>
              </w:rPr>
              <w:t>（</w:t>
            </w:r>
            <w:r>
              <w:rPr>
                <w:rFonts w:hint="eastAsia" w:ascii="仿宋" w:hAnsi="仿宋" w:eastAsia="仿宋" w:cs="仿宋"/>
                <w:b/>
                <w:bCs/>
                <w:color w:val="000000"/>
                <w:szCs w:val="21"/>
              </w:rPr>
              <w:t>须</w:t>
            </w:r>
            <w:r>
              <w:rPr>
                <w:rFonts w:hint="eastAsia" w:ascii="仿宋" w:hAnsi="仿宋" w:eastAsia="仿宋" w:cs="仿宋"/>
                <w:b/>
                <w:bCs/>
                <w:color w:val="000000"/>
                <w:szCs w:val="21"/>
                <w:lang w:val="zh-CN"/>
              </w:rPr>
              <w:t>提供</w:t>
            </w:r>
            <w:r>
              <w:rPr>
                <w:rFonts w:hint="eastAsia" w:ascii="仿宋" w:hAnsi="仿宋" w:eastAsia="仿宋" w:cs="仿宋"/>
                <w:b/>
                <w:bCs/>
                <w:color w:val="000000"/>
                <w:szCs w:val="21"/>
              </w:rPr>
              <w:t>保单或中标通知书或</w:t>
            </w:r>
            <w:r>
              <w:rPr>
                <w:rFonts w:hint="eastAsia" w:ascii="仿宋" w:hAnsi="仿宋" w:eastAsia="仿宋" w:cs="仿宋"/>
                <w:b/>
                <w:bCs/>
                <w:color w:val="000000"/>
                <w:szCs w:val="21"/>
                <w:lang w:val="zh-CN"/>
              </w:rPr>
              <w:t>合同</w:t>
            </w:r>
            <w:r>
              <w:rPr>
                <w:rFonts w:hint="eastAsia" w:ascii="仿宋" w:hAnsi="仿宋" w:eastAsia="仿宋" w:cs="仿宋"/>
                <w:b/>
                <w:bCs/>
                <w:color w:val="000000"/>
                <w:szCs w:val="21"/>
              </w:rPr>
              <w:t>等相关证明材料</w:t>
            </w:r>
            <w:r>
              <w:rPr>
                <w:rFonts w:hint="eastAsia" w:ascii="仿宋" w:hAnsi="仿宋" w:eastAsia="仿宋" w:cs="仿宋"/>
                <w:b/>
                <w:bCs/>
                <w:color w:val="000000"/>
                <w:szCs w:val="21"/>
                <w:lang w:val="zh-CN"/>
              </w:rPr>
              <w:t>复印件</w:t>
            </w:r>
            <w:r>
              <w:rPr>
                <w:rFonts w:hint="eastAsia" w:ascii="仿宋" w:hAnsi="仿宋" w:eastAsia="仿宋" w:cs="仿宋"/>
                <w:b/>
                <w:bCs/>
                <w:color w:val="000000"/>
                <w:szCs w:val="21"/>
              </w:rPr>
              <w:t>，</w:t>
            </w:r>
            <w:r>
              <w:rPr>
                <w:rFonts w:hint="eastAsia" w:ascii="仿宋" w:hAnsi="仿宋" w:eastAsia="仿宋" w:cs="仿宋"/>
                <w:b/>
                <w:bCs/>
                <w:color w:val="000000"/>
                <w:szCs w:val="21"/>
                <w:lang w:val="zh-CN"/>
              </w:rPr>
              <w:t>加盖</w:t>
            </w:r>
            <w:r>
              <w:rPr>
                <w:rFonts w:hint="eastAsia" w:ascii="仿宋" w:hAnsi="仿宋" w:eastAsia="仿宋" w:cs="仿宋"/>
                <w:b/>
                <w:bCs/>
                <w:color w:val="000000"/>
                <w:szCs w:val="21"/>
              </w:rPr>
              <w:t>投标人</w:t>
            </w:r>
            <w:r>
              <w:rPr>
                <w:rFonts w:hint="eastAsia" w:ascii="仿宋" w:hAnsi="仿宋" w:eastAsia="仿宋" w:cs="仿宋"/>
                <w:b/>
                <w:bCs/>
                <w:color w:val="000000"/>
                <w:szCs w:val="21"/>
                <w:lang w:val="zh-CN"/>
              </w:rPr>
              <w:t>公章</w:t>
            </w:r>
            <w:r>
              <w:rPr>
                <w:rFonts w:hint="eastAsia" w:ascii="仿宋" w:hAnsi="仿宋" w:eastAsia="仿宋" w:cs="仿宋"/>
                <w:b/>
                <w:bCs/>
                <w:color w:val="000000"/>
                <w:szCs w:val="21"/>
              </w:rPr>
              <w:t>，不提供的不得分</w:t>
            </w:r>
            <w:r>
              <w:rPr>
                <w:rFonts w:hint="eastAsia" w:ascii="仿宋" w:hAnsi="仿宋" w:eastAsia="仿宋" w:cs="仿宋"/>
                <w:b/>
                <w:bCs/>
                <w:color w:val="000000"/>
                <w:szCs w:val="21"/>
                <w:lang w:val="zh-CN"/>
              </w:rPr>
              <w:t>）</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4"/>
              <w:snapToGrid w:val="0"/>
              <w:jc w:val="center"/>
              <w:rPr>
                <w:rFonts w:ascii="仿宋" w:hAnsi="仿宋" w:eastAsia="仿宋" w:cs="仿宋"/>
                <w:color w:val="000000"/>
              </w:rPr>
            </w:pPr>
            <w:r>
              <w:rPr>
                <w:rFonts w:hint="eastAsia" w:ascii="仿宋" w:hAnsi="仿宋" w:eastAsia="仿宋" w:cs="仿宋"/>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46" w:type="dxa"/>
            <w:vMerge w:val="restart"/>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adjustRightInd w:val="0"/>
              <w:snapToGrid w:val="0"/>
              <w:jc w:val="center"/>
              <w:rPr>
                <w:rFonts w:ascii="仿宋" w:hAnsi="仿宋" w:eastAsia="仿宋" w:cs="仿宋"/>
                <w:color w:val="000000"/>
                <w:szCs w:val="21"/>
              </w:rPr>
            </w:pPr>
          </w:p>
          <w:p>
            <w:pPr>
              <w:pStyle w:val="11"/>
              <w:jc w:val="center"/>
              <w:rPr>
                <w:rFonts w:ascii="仿宋" w:hAnsi="仿宋" w:eastAsia="仿宋" w:cs="仿宋"/>
                <w:color w:val="000000"/>
                <w:szCs w:val="21"/>
              </w:rPr>
            </w:pPr>
            <w:r>
              <w:rPr>
                <w:rFonts w:hint="eastAsia" w:ascii="仿宋" w:hAnsi="仿宋" w:eastAsia="仿宋" w:cs="仿宋"/>
                <w:color w:val="000000"/>
                <w:szCs w:val="21"/>
              </w:rPr>
              <w:t>技术分（70分）</w:t>
            </w:r>
          </w:p>
          <w:p>
            <w:pPr>
              <w:pStyle w:val="12"/>
              <w:spacing w:after="0"/>
              <w:ind w:firstLine="0" w:firstLineChars="0"/>
              <w:jc w:val="center"/>
              <w:rPr>
                <w:rFonts w:ascii="仿宋" w:hAnsi="仿宋" w:eastAsia="仿宋" w:cs="仿宋"/>
                <w:szCs w:val="21"/>
              </w:rPr>
            </w:pPr>
          </w:p>
        </w:tc>
        <w:tc>
          <w:tcPr>
            <w:tcW w:w="970" w:type="dxa"/>
            <w:vMerge w:val="restart"/>
            <w:tcBorders>
              <w:top w:val="single" w:color="5B5B5B" w:sz="8" w:space="0"/>
              <w:left w:val="single" w:color="5B5B5B" w:sz="8" w:space="0"/>
              <w:bottom w:val="single" w:color="5B5B5B" w:sz="8" w:space="0"/>
              <w:right w:val="single" w:color="5B5B5B" w:sz="8" w:space="0"/>
            </w:tcBorders>
            <w:shd w:val="clear" w:color="auto" w:fill="FEFEFE"/>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工作方案</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left"/>
              <w:rPr>
                <w:rFonts w:ascii="仿宋" w:hAnsi="仿宋" w:eastAsia="仿宋" w:cs="仿宋"/>
                <w:color w:val="000000"/>
              </w:rPr>
            </w:pPr>
            <w:r>
              <w:rPr>
                <w:rFonts w:hint="eastAsia" w:ascii="仿宋" w:hAnsi="仿宋" w:eastAsia="仿宋" w:cs="仿宋"/>
                <w:color w:val="000000"/>
              </w:rPr>
              <w:t>根据投标人对本项目制定的</w:t>
            </w:r>
            <w:r>
              <w:rPr>
                <w:rFonts w:hint="eastAsia" w:ascii="仿宋" w:hAnsi="仿宋" w:eastAsia="仿宋" w:cs="仿宋"/>
                <w:b/>
                <w:bCs/>
                <w:color w:val="000000"/>
                <w:szCs w:val="21"/>
                <w:u w:val="single"/>
              </w:rPr>
              <w:t>普通学校（幼儿园）校（园）方责任（学生）保险</w:t>
            </w:r>
            <w:r>
              <w:rPr>
                <w:rFonts w:hint="eastAsia" w:ascii="仿宋" w:hAnsi="仿宋" w:eastAsia="仿宋" w:cs="仿宋"/>
                <w:color w:val="000000"/>
                <w:szCs w:val="21"/>
              </w:rPr>
              <w:t>投保</w:t>
            </w:r>
            <w:r>
              <w:rPr>
                <w:rFonts w:hint="eastAsia" w:ascii="仿宋" w:hAnsi="仿宋" w:eastAsia="仿宋" w:cs="仿宋"/>
                <w:color w:val="000000"/>
              </w:rPr>
              <w:t>方案进行打分。</w:t>
            </w:r>
            <w:r>
              <w:rPr>
                <w:rFonts w:hint="eastAsia" w:ascii="仿宋" w:hAnsi="仿宋" w:eastAsia="仿宋" w:cs="仿宋"/>
                <w:color w:val="000000"/>
                <w:szCs w:val="21"/>
              </w:rPr>
              <w:t>方案阐述详细全面、工作方法明确、内容完整、符合项目需求的得3.0-5.0分；方案合理、但内容有欠缺、无法保障项目完成质量的得0.1-2.9分；未提及此项不得分。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4"/>
              <w:snapToGrid w:val="0"/>
              <w:jc w:val="center"/>
              <w:rPr>
                <w:rFonts w:ascii="仿宋" w:hAnsi="仿宋" w:eastAsia="仿宋" w:cs="仿宋"/>
                <w:color w:val="000000"/>
              </w:rPr>
            </w:pPr>
            <w:r>
              <w:rPr>
                <w:rFonts w:hint="eastAsia" w:ascii="仿宋" w:hAnsi="仿宋" w:eastAsia="仿宋" w:cs="仿宋"/>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widowControl/>
              <w:jc w:val="center"/>
              <w:rPr>
                <w:rFonts w:ascii="仿宋" w:hAnsi="仿宋" w:eastAsia="仿宋" w:cs="仿宋"/>
                <w:color w:val="000000"/>
                <w:szCs w:val="21"/>
              </w:rPr>
            </w:pP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djustRightInd w:val="0"/>
              <w:snapToGrid w:val="0"/>
              <w:jc w:val="left"/>
              <w:rPr>
                <w:rFonts w:ascii="仿宋" w:hAnsi="仿宋" w:eastAsia="仿宋" w:cs="仿宋"/>
                <w:color w:val="000000"/>
              </w:rPr>
            </w:pPr>
            <w:r>
              <w:rPr>
                <w:rFonts w:hint="eastAsia" w:ascii="仿宋" w:hAnsi="仿宋" w:eastAsia="仿宋" w:cs="仿宋"/>
                <w:color w:val="000000"/>
              </w:rPr>
              <w:t>根据投标人对本项目制定的</w:t>
            </w:r>
            <w:r>
              <w:rPr>
                <w:rFonts w:hint="eastAsia" w:ascii="仿宋" w:hAnsi="仿宋" w:eastAsia="仿宋" w:cs="仿宋"/>
                <w:b/>
                <w:bCs/>
                <w:color w:val="000000"/>
                <w:szCs w:val="21"/>
                <w:u w:val="single"/>
              </w:rPr>
              <w:t>教职员工校（园）方责任保险</w:t>
            </w:r>
            <w:r>
              <w:rPr>
                <w:rFonts w:hint="eastAsia" w:ascii="仿宋" w:hAnsi="仿宋" w:eastAsia="仿宋" w:cs="仿宋"/>
                <w:color w:val="000000"/>
                <w:szCs w:val="21"/>
              </w:rPr>
              <w:t>投保</w:t>
            </w:r>
            <w:r>
              <w:rPr>
                <w:rFonts w:hint="eastAsia" w:ascii="仿宋" w:hAnsi="仿宋" w:eastAsia="仿宋" w:cs="仿宋"/>
                <w:color w:val="000000"/>
              </w:rPr>
              <w:t>方案进行打分。</w:t>
            </w:r>
            <w:r>
              <w:rPr>
                <w:rFonts w:hint="eastAsia" w:ascii="仿宋" w:hAnsi="仿宋" w:eastAsia="仿宋" w:cs="仿宋"/>
                <w:color w:val="000000"/>
                <w:szCs w:val="21"/>
              </w:rPr>
              <w:t>方案阐述详细全面、工作方法明确、内容完整、符合项目需求的得</w:t>
            </w:r>
            <w:r>
              <w:rPr>
                <w:rFonts w:ascii="仿宋" w:hAnsi="仿宋" w:eastAsia="仿宋" w:cs="仿宋"/>
                <w:color w:val="000000"/>
                <w:szCs w:val="21"/>
              </w:rPr>
              <w:t>3.0-5.0分；方案合理、但内容有欠缺、无法保障项目完成质量的得0.1-2.9分；未提及此项不得分。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4"/>
              <w:snapToGrid w:val="0"/>
              <w:jc w:val="center"/>
              <w:rPr>
                <w:rFonts w:ascii="仿宋" w:hAnsi="仿宋" w:eastAsia="仿宋" w:cs="仿宋"/>
                <w:color w:val="000000"/>
              </w:rPr>
            </w:pPr>
            <w:r>
              <w:rPr>
                <w:rFonts w:ascii="仿宋" w:hAnsi="仿宋" w:eastAsia="仿宋" w:cs="仿宋"/>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widowControl/>
              <w:jc w:val="center"/>
              <w:rPr>
                <w:rFonts w:ascii="仿宋" w:hAnsi="仿宋" w:eastAsia="仿宋" w:cs="仿宋"/>
                <w:color w:val="000000"/>
                <w:szCs w:val="21"/>
              </w:rPr>
            </w:pP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widowControl/>
              <w:tabs>
                <w:tab w:val="right" w:pos="4937"/>
              </w:tabs>
              <w:jc w:val="left"/>
              <w:textAlignment w:val="baseline"/>
              <w:rPr>
                <w:rFonts w:ascii="仿宋" w:hAnsi="仿宋" w:eastAsia="仿宋" w:cs="仿宋"/>
                <w:color w:val="000000"/>
                <w:szCs w:val="21"/>
              </w:rPr>
            </w:pPr>
            <w:r>
              <w:rPr>
                <w:rFonts w:hint="eastAsia" w:ascii="仿宋" w:hAnsi="仿宋" w:eastAsia="仿宋" w:cs="仿宋"/>
                <w:color w:val="000000"/>
                <w:szCs w:val="21"/>
              </w:rPr>
              <w:t>根据投标人制定的</w:t>
            </w:r>
            <w:r>
              <w:rPr>
                <w:rFonts w:hint="eastAsia" w:ascii="仿宋" w:hAnsi="仿宋" w:eastAsia="仿宋" w:cs="仿宋"/>
                <w:b/>
                <w:bCs/>
                <w:color w:val="000000"/>
                <w:szCs w:val="21"/>
              </w:rPr>
              <w:t>紧急事项赔付方案</w:t>
            </w:r>
            <w:r>
              <w:rPr>
                <w:rFonts w:hint="eastAsia" w:ascii="仿宋" w:hAnsi="仿宋" w:eastAsia="仿宋" w:cs="仿宋"/>
                <w:color w:val="000000"/>
                <w:szCs w:val="21"/>
              </w:rPr>
              <w:t>，包括针对家庭贫困的学生是否可以预支费用等情况进行打分。建立详细的紧急赔付工作方案、针对特殊情况有特别处理方案，</w:t>
            </w:r>
            <w:r>
              <w:rPr>
                <w:rFonts w:hint="eastAsia" w:ascii="仿宋" w:hAnsi="仿宋" w:eastAsia="仿宋" w:cs="仿宋"/>
                <w:color w:val="000000"/>
                <w:spacing w:val="-4"/>
                <w:szCs w:val="21"/>
              </w:rPr>
              <w:t>提出的应急措施科学</w:t>
            </w:r>
            <w:r>
              <w:rPr>
                <w:rFonts w:hint="eastAsia" w:ascii="仿宋" w:hAnsi="仿宋" w:eastAsia="仿宋" w:cs="仿宋"/>
                <w:color w:val="000000"/>
                <w:szCs w:val="21"/>
              </w:rPr>
              <w:t>可行，有效保障理赔服务质量的得</w:t>
            </w:r>
            <w:r>
              <w:rPr>
                <w:rFonts w:ascii="仿宋" w:hAnsi="仿宋" w:eastAsia="仿宋" w:cs="仿宋"/>
                <w:color w:val="000000"/>
                <w:szCs w:val="21"/>
              </w:rPr>
              <w:t>3.0-5.0分；具备紧急事项赔付工作机制，但具体操作流程不完整，无法保障服务质量的得0.1-2.9分；未提及此项不得分。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tabs>
                <w:tab w:val="left" w:pos="780"/>
              </w:tabs>
              <w:jc w:val="center"/>
              <w:textAlignment w:val="baseline"/>
              <w:rPr>
                <w:rFonts w:ascii="仿宋" w:hAnsi="仿宋" w:eastAsia="仿宋" w:cs="仿宋"/>
                <w:color w:val="000000"/>
                <w:szCs w:val="21"/>
              </w:rPr>
            </w:pPr>
            <w:r>
              <w:rPr>
                <w:rFonts w:ascii="仿宋" w:hAnsi="仿宋" w:eastAsia="仿宋" w:cs="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售后服务</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widowControl/>
              <w:tabs>
                <w:tab w:val="right" w:pos="4937"/>
              </w:tabs>
              <w:jc w:val="left"/>
              <w:textAlignment w:val="baseline"/>
              <w:rPr>
                <w:rFonts w:ascii="仿宋" w:hAnsi="仿宋" w:eastAsia="仿宋" w:cs="仿宋"/>
                <w:color w:val="000000"/>
                <w:szCs w:val="21"/>
              </w:rPr>
            </w:pPr>
            <w:r>
              <w:rPr>
                <w:rFonts w:hint="eastAsia" w:ascii="仿宋" w:hAnsi="仿宋" w:eastAsia="仿宋" w:cs="仿宋"/>
                <w:color w:val="000000"/>
              </w:rPr>
              <w:t>根据</w:t>
            </w:r>
            <w:r>
              <w:rPr>
                <w:rFonts w:hint="eastAsia" w:ascii="仿宋" w:hAnsi="仿宋" w:eastAsia="仿宋" w:cs="仿宋"/>
                <w:color w:val="000000"/>
                <w:szCs w:val="21"/>
              </w:rPr>
              <w:t>投标人承诺提供的售后服务方案（服务能力、服务措施等方面），包括服务方案的可行性、完整性以及后续的服务保障措施等进行打分。服务方案全面、后续服务保障措施合理有效的得</w:t>
            </w:r>
            <w:r>
              <w:rPr>
                <w:rFonts w:ascii="仿宋" w:hAnsi="仿宋" w:eastAsia="仿宋" w:cs="仿宋"/>
                <w:color w:val="000000"/>
                <w:szCs w:val="21"/>
              </w:rPr>
              <w:t>3.0-</w:t>
            </w:r>
            <w:r>
              <w:rPr>
                <w:rFonts w:hint="eastAsia" w:ascii="仿宋" w:hAnsi="仿宋" w:eastAsia="仿宋" w:cs="仿宋"/>
                <w:color w:val="000000"/>
                <w:szCs w:val="21"/>
              </w:rPr>
              <w:t>5.0分；服务方案阐述较详尽，后续服务保障措施有欠缺的得0.1-2.9分；未提及此项不得分。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4"/>
              <w:snapToGrid w:val="0"/>
              <w:jc w:val="center"/>
              <w:rPr>
                <w:rFonts w:ascii="仿宋" w:hAnsi="仿宋" w:eastAsia="仿宋" w:cs="仿宋"/>
                <w:color w:val="000000"/>
              </w:rPr>
            </w:pPr>
            <w:r>
              <w:rPr>
                <w:rFonts w:hint="eastAsia" w:ascii="仿宋" w:hAnsi="仿宋" w:eastAsia="仿宋" w:cs="仿宋"/>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vMerge w:val="restart"/>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服务承诺</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widowControl/>
              <w:tabs>
                <w:tab w:val="right" w:pos="4937"/>
              </w:tabs>
              <w:jc w:val="left"/>
              <w:textAlignment w:val="baseline"/>
              <w:rPr>
                <w:rFonts w:ascii="仿宋" w:hAnsi="仿宋" w:eastAsia="仿宋" w:cs="仿宋"/>
                <w:color w:val="000000"/>
              </w:rPr>
            </w:pPr>
            <w:r>
              <w:rPr>
                <w:rFonts w:hint="eastAsia" w:ascii="仿宋" w:hAnsi="仿宋" w:eastAsia="仿宋" w:cs="仿宋"/>
                <w:color w:val="000000"/>
                <w:szCs w:val="21"/>
              </w:rPr>
              <w:t>根据投标人是否建有快速理赔机制和绿色理赔通道，且操作规范，切实可行等情况进行打分。建有快速理赔机制和绿色理赔通道，操作流程规范，能有效保障项目后续服务质量的得</w:t>
            </w:r>
            <w:r>
              <w:rPr>
                <w:rFonts w:ascii="仿宋" w:hAnsi="仿宋" w:eastAsia="仿宋" w:cs="仿宋"/>
                <w:color w:val="000000"/>
                <w:szCs w:val="21"/>
              </w:rPr>
              <w:t>3.0-5.0分；建有理赔机制和理赔通道，但规章制度不清晰，缺乏时效保障的得0.1-2.9分；未提及此项不得分。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4"/>
              <w:snapToGrid w:val="0"/>
              <w:jc w:val="center"/>
              <w:rPr>
                <w:rFonts w:ascii="仿宋" w:hAnsi="仿宋" w:eastAsia="仿宋" w:cs="仿宋"/>
                <w:color w:val="000000"/>
              </w:rPr>
            </w:pPr>
            <w:r>
              <w:rPr>
                <w:rFonts w:ascii="仿宋" w:hAnsi="仿宋" w:eastAsia="仿宋" w:cs="仿宋"/>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color w:val="000000"/>
                <w:kern w:val="0"/>
                <w:szCs w:val="21"/>
              </w:rPr>
            </w:pP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widowControl/>
              <w:tabs>
                <w:tab w:val="right" w:pos="4937"/>
              </w:tabs>
              <w:jc w:val="left"/>
              <w:textAlignment w:val="baseline"/>
              <w:rPr>
                <w:rFonts w:ascii="仿宋" w:hAnsi="仿宋" w:eastAsia="仿宋" w:cs="仿宋"/>
                <w:color w:val="000000"/>
              </w:rPr>
            </w:pPr>
            <w:r>
              <w:rPr>
                <w:rFonts w:hint="eastAsia" w:ascii="仿宋" w:hAnsi="仿宋" w:eastAsia="仿宋" w:cs="仿宋"/>
                <w:color w:val="000000"/>
                <w:szCs w:val="21"/>
              </w:rPr>
              <w:t>根据投标人是否建立重大案件临时协调处理工作小组及预赔付等工作机制进行打分。建立详细的预赔付等工作机制、能及时组建临时协调处理工作小组，有效保障理赔服务质量的得</w:t>
            </w:r>
            <w:r>
              <w:rPr>
                <w:rFonts w:ascii="仿宋" w:hAnsi="仿宋" w:eastAsia="仿宋" w:cs="仿宋"/>
                <w:color w:val="000000"/>
                <w:szCs w:val="21"/>
              </w:rPr>
              <w:t>3.0-5.0分；具备预赔付等工作机制，但内容不完整，无法保障服务质量的得0.1-2.9分；未提及此项不得分。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tabs>
                <w:tab w:val="left" w:pos="780"/>
              </w:tabs>
              <w:jc w:val="center"/>
              <w:textAlignment w:val="baseline"/>
              <w:rPr>
                <w:rFonts w:ascii="仿宋" w:hAnsi="仿宋" w:eastAsia="仿宋" w:cs="仿宋"/>
                <w:color w:val="000000"/>
                <w:szCs w:val="21"/>
              </w:rPr>
            </w:pPr>
            <w:r>
              <w:rPr>
                <w:rFonts w:ascii="仿宋" w:hAnsi="仿宋" w:eastAsia="仿宋" w:cs="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color w:val="000000"/>
                <w:kern w:val="0"/>
                <w:szCs w:val="21"/>
              </w:rPr>
            </w:pP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jc w:val="left"/>
              <w:textAlignment w:val="baseline"/>
              <w:rPr>
                <w:rFonts w:ascii="仿宋" w:hAnsi="仿宋" w:eastAsia="仿宋" w:cs="仿宋"/>
                <w:color w:val="000000"/>
                <w:szCs w:val="21"/>
              </w:rPr>
            </w:pPr>
            <w:r>
              <w:rPr>
                <w:rFonts w:hint="eastAsia" w:ascii="仿宋" w:hAnsi="仿宋" w:eastAsia="仿宋" w:cs="仿宋"/>
                <w:color w:val="000000"/>
                <w:szCs w:val="21"/>
              </w:rPr>
              <w:t>投标人对牙齿损伤赔偿特别承诺</w:t>
            </w:r>
            <w:r>
              <w:rPr>
                <w:rFonts w:ascii="仿宋" w:hAnsi="仿宋" w:eastAsia="仿宋" w:cs="仿宋"/>
                <w:color w:val="000000"/>
                <w:szCs w:val="21"/>
              </w:rPr>
              <w:t>:</w:t>
            </w:r>
          </w:p>
          <w:p>
            <w:pPr>
              <w:jc w:val="left"/>
              <w:textAlignment w:val="baseline"/>
              <w:rPr>
                <w:rFonts w:ascii="仿宋" w:hAnsi="仿宋" w:eastAsia="仿宋" w:cs="仿宋"/>
                <w:color w:val="000000"/>
                <w:szCs w:val="21"/>
              </w:rPr>
            </w:pPr>
            <w:r>
              <w:rPr>
                <w:rFonts w:hint="eastAsia" w:ascii="仿宋" w:hAnsi="仿宋" w:eastAsia="仿宋" w:cs="仿宋"/>
                <w:color w:val="000000"/>
                <w:szCs w:val="21"/>
              </w:rPr>
              <w:t>合规医疗费用凭医疗票据按原约定赔付除外，保险人承诺被保险人因意外伤害导致牙齿缺失性损伤或虽未缺失但根据治疗需要拔除的，凭医嘱病历和牙齿损伤正面照片（无需医疗发票，下同），每颗给付赔偿金</w:t>
            </w:r>
            <w:r>
              <w:rPr>
                <w:rFonts w:ascii="仿宋" w:hAnsi="仿宋" w:eastAsia="仿宋" w:cs="仿宋"/>
                <w:color w:val="000000"/>
                <w:szCs w:val="21"/>
              </w:rPr>
              <w:t>6000元，得基本分1分，每增加1000元加1分，最高得5分。</w:t>
            </w:r>
          </w:p>
          <w:p>
            <w:pPr>
              <w:jc w:val="left"/>
              <w:textAlignment w:val="baseline"/>
              <w:rPr>
                <w:rFonts w:ascii="仿宋" w:hAnsi="仿宋" w:eastAsia="仿宋" w:cs="仿宋"/>
                <w:color w:val="000000"/>
                <w:szCs w:val="21"/>
              </w:rPr>
            </w:pPr>
            <w:r>
              <w:rPr>
                <w:rFonts w:hint="eastAsia" w:ascii="仿宋" w:hAnsi="仿宋" w:eastAsia="仿宋" w:cs="仿宋"/>
                <w:b/>
                <w:bCs/>
                <w:color w:val="000000"/>
                <w:szCs w:val="21"/>
              </w:rPr>
              <w:t>（须同时承诺冠折性损伤且根据医嘱能保留的，每颗按缺失性损伤报价的</w:t>
            </w:r>
            <w:r>
              <w:rPr>
                <w:rFonts w:ascii="仿宋" w:hAnsi="仿宋" w:eastAsia="仿宋" w:cs="仿宋"/>
                <w:b/>
                <w:bCs/>
                <w:color w:val="000000"/>
                <w:szCs w:val="21"/>
              </w:rPr>
              <w:t>20％-50%标准给付赔偿金，否则单一对缺失性损伤报价无效，本项不得分）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szCs w:val="21"/>
              </w:rPr>
            </w:pPr>
            <w:r>
              <w:rPr>
                <w:rFonts w:ascii="仿宋" w:hAnsi="仿宋" w:eastAsia="仿宋" w:cs="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color w:val="000000"/>
                <w:kern w:val="0"/>
                <w:szCs w:val="21"/>
              </w:rPr>
            </w:pP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ind w:left="80"/>
              <w:jc w:val="left"/>
              <w:rPr>
                <w:rFonts w:ascii="仿宋" w:hAnsi="仿宋" w:eastAsia="仿宋" w:cs="仿宋"/>
                <w:color w:val="000000"/>
                <w:szCs w:val="21"/>
              </w:rPr>
            </w:pPr>
            <w:r>
              <w:rPr>
                <w:rFonts w:hint="eastAsia" w:ascii="仿宋" w:hAnsi="仿宋" w:eastAsia="仿宋" w:cs="仿宋"/>
                <w:color w:val="000000"/>
                <w:szCs w:val="21"/>
              </w:rPr>
              <w:t>理赔工作客户满意函：投标人</w:t>
            </w:r>
            <w:r>
              <w:rPr>
                <w:rFonts w:ascii="仿宋" w:hAnsi="仿宋" w:eastAsia="仿宋" w:cs="仿宋"/>
                <w:color w:val="000000"/>
                <w:szCs w:val="21"/>
              </w:rPr>
              <w:t>202</w:t>
            </w:r>
            <w:ins w:id="32" w:author="睡不醒" w:date="2025-07-17T14:00:46Z">
              <w:r>
                <w:rPr>
                  <w:rFonts w:hint="eastAsia" w:ascii="仿宋" w:hAnsi="仿宋" w:eastAsia="仿宋" w:cs="仿宋"/>
                  <w:color w:val="000000"/>
                  <w:szCs w:val="21"/>
                  <w:lang w:val="en-US" w:eastAsia="zh-CN"/>
                </w:rPr>
                <w:t>2</w:t>
              </w:r>
            </w:ins>
            <w:r>
              <w:rPr>
                <w:rFonts w:hint="eastAsia" w:ascii="仿宋" w:hAnsi="仿宋" w:eastAsia="仿宋" w:cs="仿宋"/>
                <w:color w:val="000000"/>
                <w:szCs w:val="21"/>
              </w:rPr>
              <w:t>年1月1日起以来，责任险业务客户理赔工作满意函，提供一份得 2 分，最高得 4分。</w:t>
            </w:r>
          </w:p>
          <w:p>
            <w:pPr>
              <w:ind w:left="80"/>
              <w:jc w:val="left"/>
              <w:rPr>
                <w:rFonts w:ascii="仿宋" w:hAnsi="仿宋" w:eastAsia="仿宋" w:cs="仿宋"/>
                <w:color w:val="000000"/>
                <w:szCs w:val="21"/>
              </w:rPr>
            </w:pPr>
            <w:r>
              <w:rPr>
                <w:rFonts w:hint="eastAsia" w:ascii="仿宋" w:hAnsi="仿宋" w:eastAsia="仿宋" w:cs="仿宋"/>
                <w:color w:val="000000"/>
                <w:szCs w:val="21"/>
              </w:rPr>
              <w:t>同一客户不累计计分。</w:t>
            </w:r>
          </w:p>
          <w:p>
            <w:pPr>
              <w:ind w:left="80"/>
              <w:jc w:val="left"/>
              <w:rPr>
                <w:rFonts w:ascii="仿宋" w:hAnsi="仿宋" w:eastAsia="仿宋" w:cs="仿宋"/>
                <w:color w:val="000000"/>
              </w:rPr>
            </w:pPr>
            <w:r>
              <w:rPr>
                <w:rFonts w:hint="eastAsia" w:ascii="仿宋" w:hAnsi="仿宋" w:eastAsia="仿宋" w:cs="仿宋"/>
                <w:b/>
                <w:bCs/>
                <w:color w:val="000000"/>
                <w:szCs w:val="21"/>
              </w:rPr>
              <w:t>（须提供保单复印件及加盖客户公章的客户满意度评价，加盖投标人公章</w:t>
            </w:r>
            <w:r>
              <w:rPr>
                <w:rFonts w:hint="eastAsia" w:ascii="仿宋" w:hAnsi="仿宋" w:eastAsia="仿宋" w:cs="仿宋"/>
                <w:b/>
                <w:bCs/>
                <w:color w:val="000000"/>
              </w:rPr>
              <w:t>，不提供的或提供不全的不得分</w:t>
            </w:r>
            <w:r>
              <w:rPr>
                <w:rFonts w:hint="eastAsia" w:ascii="仿宋" w:hAnsi="仿宋" w:eastAsia="仿宋" w:cs="仿宋"/>
                <w:b/>
                <w:bCs/>
                <w:color w:val="000000"/>
                <w:szCs w:val="21"/>
              </w:rPr>
              <w:t>）</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szCs w:val="21"/>
              </w:rPr>
            </w:pPr>
            <w:r>
              <w:rPr>
                <w:rFonts w:hint="eastAsia" w:ascii="仿宋" w:hAnsi="仿宋" w:eastAsia="仿宋" w:cs="仿宋"/>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color w:val="000000"/>
                <w:kern w:val="0"/>
                <w:szCs w:val="21"/>
              </w:rPr>
            </w:pP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ind w:left="80"/>
              <w:jc w:val="left"/>
              <w:rPr>
                <w:rFonts w:ascii="仿宋" w:hAnsi="仿宋" w:eastAsia="仿宋" w:cs="仿宋"/>
                <w:color w:val="000000"/>
                <w:szCs w:val="21"/>
              </w:rPr>
            </w:pPr>
            <w:r>
              <w:rPr>
                <w:rFonts w:hint="eastAsia" w:ascii="仿宋" w:hAnsi="仿宋" w:eastAsia="仿宋" w:cs="仿宋"/>
                <w:color w:val="000000"/>
                <w:szCs w:val="21"/>
              </w:rPr>
              <w:t>根据投标人是否承诺为学校提供风险查勘、投保、理赔等优惠措施，以及优惠措施或优惠服务承诺的全面性、科学性进行打分。优惠措施或优惠服务承诺详细且切实可行的得</w:t>
            </w:r>
            <w:r>
              <w:rPr>
                <w:rFonts w:ascii="仿宋" w:hAnsi="仿宋" w:eastAsia="仿宋" w:cs="仿宋"/>
                <w:color w:val="000000"/>
                <w:szCs w:val="21"/>
              </w:rPr>
              <w:t>3.0-5.0分；缺乏具体优惠措施、优惠承诺简单片面的得0.1-2.9分；未提及此项不得分。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szCs w:val="21"/>
              </w:rPr>
            </w:pPr>
            <w:r>
              <w:rPr>
                <w:rFonts w:ascii="仿宋" w:hAnsi="仿宋" w:eastAsia="仿宋" w:cs="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color w:val="000000"/>
                <w:kern w:val="0"/>
                <w:szCs w:val="21"/>
              </w:rPr>
            </w:pP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ind w:left="80"/>
              <w:jc w:val="left"/>
              <w:rPr>
                <w:rFonts w:ascii="仿宋" w:hAnsi="仿宋" w:eastAsia="仿宋" w:cs="仿宋"/>
                <w:color w:val="000000"/>
                <w:szCs w:val="21"/>
              </w:rPr>
            </w:pPr>
            <w:r>
              <w:rPr>
                <w:rFonts w:hint="eastAsia" w:ascii="仿宋" w:hAnsi="仿宋" w:eastAsia="仿宋" w:cs="仿宋"/>
                <w:color w:val="000000"/>
                <w:szCs w:val="21"/>
              </w:rPr>
              <w:t>根据投标人承诺的保险经纪服务佣金支付情况评分。投标人在</w:t>
            </w:r>
            <w:ins w:id="33" w:author="睡不醒" w:date="2025-07-17T13:58:16Z">
              <w:r>
                <w:rPr>
                  <w:rFonts w:hint="eastAsia" w:ascii="仿宋" w:hAnsi="仿宋" w:eastAsia="仿宋" w:cs="仿宋"/>
                  <w:color w:val="000000"/>
                  <w:szCs w:val="21"/>
                  <w:lang w:eastAsia="zh-CN"/>
                </w:rPr>
                <w:t>不超过</w:t>
              </w:r>
            </w:ins>
            <w:r>
              <w:rPr>
                <w:rFonts w:hint="eastAsia" w:ascii="仿宋" w:hAnsi="仿宋" w:eastAsia="仿宋" w:cs="仿宋"/>
                <w:color w:val="000000"/>
                <w:szCs w:val="21"/>
              </w:rPr>
              <w:t>保费的26%内承诺经纪佣金支付比例，超出该范围判无效投标。</w:t>
            </w:r>
          </w:p>
          <w:p>
            <w:pPr>
              <w:ind w:left="80"/>
              <w:jc w:val="left"/>
              <w:rPr>
                <w:rFonts w:ascii="仿宋" w:hAnsi="仿宋" w:eastAsia="仿宋" w:cs="仿宋"/>
                <w:color w:val="000000"/>
                <w:szCs w:val="21"/>
              </w:rPr>
            </w:pPr>
            <w:r>
              <w:rPr>
                <w:rFonts w:hint="eastAsia" w:ascii="仿宋" w:hAnsi="仿宋" w:eastAsia="仿宋" w:cs="仿宋"/>
                <w:color w:val="000000"/>
                <w:szCs w:val="21"/>
              </w:rPr>
              <w:t>根据所有有效投标人承诺佣金支付比例的高低进行排名，承诺支付佣金比例最高的投标人得5分，第二名得4分，第三名得3分，第四名得2分，第五名得1分，第六名及以后得0.5分。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szCs w:val="21"/>
              </w:rPr>
            </w:pPr>
            <w:r>
              <w:rPr>
                <w:rFonts w:hint="eastAsia" w:ascii="仿宋" w:hAnsi="仿宋" w:eastAsia="仿宋" w:cs="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tcBorders>
              <w:top w:val="single" w:color="5B5B5B" w:sz="8" w:space="0"/>
              <w:left w:val="single" w:color="5B5B5B" w:sz="8" w:space="0"/>
              <w:bottom w:val="single" w:color="5B5B5B" w:sz="8" w:space="0"/>
              <w:right w:val="single" w:color="5B5B5B" w:sz="8" w:space="0"/>
            </w:tcBorders>
            <w:shd w:val="clear" w:color="auto" w:fill="FEFEFE"/>
            <w:vAlign w:val="center"/>
          </w:tcPr>
          <w:p>
            <w:pPr>
              <w:snapToGrid w:val="0"/>
              <w:jc w:val="center"/>
              <w:rPr>
                <w:rFonts w:ascii="仿宋" w:hAnsi="仿宋" w:eastAsia="仿宋" w:cs="仿宋"/>
                <w:color w:val="000000"/>
                <w:kern w:val="0"/>
                <w:szCs w:val="21"/>
              </w:rPr>
            </w:pPr>
            <w:r>
              <w:rPr>
                <w:rFonts w:hint="eastAsia" w:ascii="仿宋" w:hAnsi="仿宋" w:eastAsia="仿宋" w:cs="仿宋"/>
                <w:color w:val="000000"/>
                <w:szCs w:val="21"/>
              </w:rPr>
              <w:t>服务响应</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widowControl/>
              <w:rPr>
                <w:rFonts w:ascii="仿宋" w:hAnsi="仿宋" w:eastAsia="仿宋" w:cs="仿宋"/>
                <w:color w:val="000000"/>
                <w:spacing w:val="-4"/>
                <w:szCs w:val="21"/>
              </w:rPr>
            </w:pPr>
            <w:r>
              <w:rPr>
                <w:rFonts w:hint="eastAsia" w:ascii="仿宋" w:hAnsi="仿宋" w:eastAsia="仿宋" w:cs="仿宋"/>
                <w:color w:val="000000"/>
                <w:spacing w:val="-4"/>
                <w:szCs w:val="21"/>
              </w:rPr>
              <w:t>根据投标人承诺的服务响应时间等情况进行打分。</w:t>
            </w:r>
          </w:p>
          <w:p>
            <w:pPr>
              <w:widowControl/>
              <w:rPr>
                <w:rFonts w:ascii="仿宋" w:hAnsi="仿宋" w:eastAsia="仿宋" w:cs="仿宋"/>
                <w:color w:val="000000"/>
                <w:spacing w:val="-4"/>
                <w:szCs w:val="21"/>
              </w:rPr>
            </w:pPr>
            <w:r>
              <w:rPr>
                <w:rFonts w:hint="eastAsia" w:ascii="仿宋" w:hAnsi="仿宋" w:eastAsia="仿宋" w:cs="仿宋"/>
                <w:color w:val="000000"/>
                <w:spacing w:val="-4"/>
                <w:szCs w:val="21"/>
              </w:rPr>
              <w:t>承诺接到采购方通知后，在</w:t>
            </w:r>
            <w:r>
              <w:rPr>
                <w:rFonts w:ascii="仿宋" w:hAnsi="仿宋" w:eastAsia="仿宋" w:cs="仿宋"/>
                <w:color w:val="000000"/>
                <w:spacing w:val="-4"/>
                <w:szCs w:val="21"/>
              </w:rPr>
              <w:t>6小时内（含）到达现场的得5分；</w:t>
            </w:r>
          </w:p>
          <w:p>
            <w:pPr>
              <w:widowControl/>
              <w:rPr>
                <w:rFonts w:ascii="仿宋" w:hAnsi="仿宋" w:eastAsia="仿宋" w:cs="仿宋"/>
                <w:color w:val="000000"/>
                <w:spacing w:val="-4"/>
                <w:szCs w:val="21"/>
              </w:rPr>
            </w:pPr>
            <w:r>
              <w:rPr>
                <w:rFonts w:hint="eastAsia" w:ascii="仿宋" w:hAnsi="仿宋" w:eastAsia="仿宋" w:cs="仿宋"/>
                <w:color w:val="000000"/>
                <w:spacing w:val="-4"/>
                <w:szCs w:val="21"/>
              </w:rPr>
              <w:t>承诺接到采购方通知后，在</w:t>
            </w:r>
            <w:r>
              <w:rPr>
                <w:rFonts w:ascii="仿宋" w:hAnsi="仿宋" w:eastAsia="仿宋" w:cs="仿宋"/>
                <w:color w:val="000000"/>
                <w:spacing w:val="-4"/>
                <w:szCs w:val="21"/>
              </w:rPr>
              <w:t>9小时内（含）到达现场的得3分；</w:t>
            </w:r>
          </w:p>
          <w:p>
            <w:pPr>
              <w:widowControl/>
              <w:rPr>
                <w:rFonts w:ascii="仿宋" w:hAnsi="仿宋" w:eastAsia="仿宋" w:cs="仿宋"/>
                <w:color w:val="000000"/>
                <w:spacing w:val="-4"/>
                <w:szCs w:val="21"/>
              </w:rPr>
            </w:pPr>
            <w:r>
              <w:rPr>
                <w:rFonts w:hint="eastAsia" w:ascii="仿宋" w:hAnsi="仿宋" w:eastAsia="仿宋" w:cs="仿宋"/>
                <w:color w:val="000000"/>
                <w:spacing w:val="-4"/>
                <w:szCs w:val="21"/>
              </w:rPr>
              <w:t>承诺接到采购方通知后，在</w:t>
            </w:r>
            <w:r>
              <w:rPr>
                <w:rFonts w:ascii="仿宋" w:hAnsi="仿宋" w:eastAsia="仿宋" w:cs="仿宋"/>
                <w:color w:val="000000"/>
                <w:spacing w:val="-4"/>
                <w:szCs w:val="21"/>
              </w:rPr>
              <w:t>12小时内（含）到达现场的得1分；</w:t>
            </w:r>
          </w:p>
          <w:p>
            <w:pPr>
              <w:widowControl/>
              <w:rPr>
                <w:rFonts w:ascii="仿宋" w:hAnsi="仿宋" w:eastAsia="仿宋" w:cs="仿宋"/>
                <w:color w:val="000000"/>
                <w:szCs w:val="21"/>
              </w:rPr>
            </w:pPr>
            <w:r>
              <w:rPr>
                <w:rFonts w:hint="eastAsia" w:ascii="仿宋" w:hAnsi="仿宋" w:eastAsia="仿宋" w:cs="仿宋"/>
                <w:color w:val="000000"/>
                <w:spacing w:val="-4"/>
                <w:szCs w:val="21"/>
              </w:rPr>
              <w:t>接到采购方通知后，超过</w:t>
            </w:r>
            <w:r>
              <w:rPr>
                <w:rFonts w:ascii="仿宋" w:hAnsi="仿宋" w:eastAsia="仿宋" w:cs="仿宋"/>
                <w:color w:val="000000"/>
                <w:spacing w:val="-4"/>
                <w:szCs w:val="21"/>
              </w:rPr>
              <w:t>12小时到达现场的或未提及此项不得分。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tabs>
                <w:tab w:val="left" w:pos="780"/>
              </w:tabs>
              <w:autoSpaceDE w:val="0"/>
              <w:autoSpaceDN w:val="0"/>
              <w:adjustRightInd w:val="0"/>
              <w:jc w:val="center"/>
              <w:rPr>
                <w:rFonts w:ascii="仿宋" w:hAnsi="仿宋" w:eastAsia="仿宋" w:cs="仿宋"/>
                <w:color w:val="000000"/>
                <w:szCs w:val="21"/>
              </w:rPr>
            </w:pPr>
            <w:r>
              <w:rPr>
                <w:rFonts w:ascii="仿宋" w:hAnsi="仿宋" w:eastAsia="仿宋" w:cs="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kern w:val="0"/>
                <w:szCs w:val="21"/>
              </w:rPr>
            </w:pPr>
            <w:r>
              <w:rPr>
                <w:rFonts w:hint="eastAsia" w:ascii="仿宋" w:hAnsi="仿宋" w:eastAsia="仿宋" w:cs="仿宋"/>
                <w:color w:val="000000"/>
                <w:szCs w:val="21"/>
              </w:rPr>
              <w:t>理赔时限</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ind w:left="80"/>
              <w:jc w:val="left"/>
              <w:rPr>
                <w:rFonts w:ascii="仿宋" w:hAnsi="仿宋" w:eastAsia="仿宋" w:cs="仿宋"/>
                <w:color w:val="000000"/>
                <w:szCs w:val="21"/>
              </w:rPr>
            </w:pPr>
            <w:r>
              <w:rPr>
                <w:rFonts w:ascii="仿宋" w:hAnsi="仿宋" w:eastAsia="仿宋" w:cs="仿宋"/>
                <w:color w:val="000000"/>
                <w:szCs w:val="21"/>
              </w:rPr>
              <w:t xml:space="preserve">1、收到索赔材料 3 </w:t>
            </w:r>
            <w:r>
              <w:rPr>
                <w:rFonts w:hint="eastAsia" w:ascii="仿宋" w:hAnsi="仿宋" w:eastAsia="仿宋" w:cs="仿宋"/>
                <w:color w:val="000000"/>
                <w:szCs w:val="21"/>
              </w:rPr>
              <w:t>个工作日内向投保人反馈是否立案以及是否需要补充提供证明材料；</w:t>
            </w:r>
          </w:p>
          <w:p>
            <w:pPr>
              <w:ind w:left="80"/>
              <w:jc w:val="left"/>
              <w:rPr>
                <w:rFonts w:ascii="仿宋" w:hAnsi="仿宋" w:eastAsia="仿宋" w:cs="仿宋"/>
                <w:color w:val="000000"/>
                <w:szCs w:val="21"/>
              </w:rPr>
            </w:pPr>
            <w:r>
              <w:rPr>
                <w:rFonts w:ascii="仿宋" w:hAnsi="仿宋" w:eastAsia="仿宋" w:cs="仿宋"/>
                <w:color w:val="000000"/>
                <w:szCs w:val="21"/>
              </w:rPr>
              <w:t>2、对索赔材料齐全的案件：</w:t>
            </w:r>
          </w:p>
          <w:p>
            <w:pPr>
              <w:ind w:left="80"/>
              <w:jc w:val="left"/>
              <w:rPr>
                <w:rFonts w:ascii="仿宋" w:hAnsi="仿宋" w:eastAsia="仿宋" w:cs="仿宋"/>
                <w:color w:val="000000"/>
                <w:szCs w:val="21"/>
              </w:rPr>
            </w:pPr>
            <w:r>
              <w:rPr>
                <w:rFonts w:hint="eastAsia" w:ascii="仿宋" w:hAnsi="仿宋" w:eastAsia="仿宋" w:cs="仿宋"/>
                <w:color w:val="000000"/>
                <w:szCs w:val="21"/>
              </w:rPr>
              <w:t>小案（赔付金额</w:t>
            </w:r>
            <w:r>
              <w:rPr>
                <w:rFonts w:ascii="仿宋" w:hAnsi="仿宋" w:eastAsia="仿宋" w:cs="仿宋"/>
                <w:color w:val="000000"/>
                <w:szCs w:val="21"/>
              </w:rPr>
              <w:t xml:space="preserve"> 2000 </w:t>
            </w:r>
            <w:r>
              <w:rPr>
                <w:rFonts w:hint="eastAsia" w:ascii="仿宋" w:hAnsi="仿宋" w:eastAsia="仿宋" w:cs="仿宋"/>
                <w:color w:val="000000"/>
                <w:szCs w:val="21"/>
              </w:rPr>
              <w:t>元以内）</w:t>
            </w:r>
            <w:r>
              <w:rPr>
                <w:rFonts w:ascii="仿宋" w:hAnsi="仿宋" w:eastAsia="仿宋" w:cs="仿宋"/>
                <w:color w:val="000000"/>
                <w:szCs w:val="21"/>
              </w:rPr>
              <w:t xml:space="preserve">5 </w:t>
            </w:r>
            <w:r>
              <w:rPr>
                <w:rFonts w:hint="eastAsia" w:ascii="仿宋" w:hAnsi="仿宋" w:eastAsia="仿宋" w:cs="仿宋"/>
                <w:color w:val="000000"/>
                <w:szCs w:val="21"/>
              </w:rPr>
              <w:t>个工作日内赔付；</w:t>
            </w:r>
          </w:p>
          <w:p>
            <w:pPr>
              <w:ind w:left="80"/>
              <w:jc w:val="left"/>
              <w:rPr>
                <w:rFonts w:ascii="仿宋" w:hAnsi="仿宋" w:eastAsia="仿宋" w:cs="仿宋"/>
                <w:color w:val="000000"/>
                <w:szCs w:val="21"/>
              </w:rPr>
            </w:pPr>
            <w:r>
              <w:rPr>
                <w:rFonts w:hint="eastAsia" w:ascii="仿宋" w:hAnsi="仿宋" w:eastAsia="仿宋" w:cs="仿宋"/>
                <w:color w:val="000000"/>
                <w:szCs w:val="21"/>
              </w:rPr>
              <w:t>中案（赔付金额</w:t>
            </w:r>
            <w:r>
              <w:rPr>
                <w:rFonts w:ascii="仿宋" w:hAnsi="仿宋" w:eastAsia="仿宋" w:cs="仿宋"/>
                <w:color w:val="000000"/>
                <w:szCs w:val="21"/>
              </w:rPr>
              <w:t xml:space="preserve">2000 </w:t>
            </w:r>
            <w:r>
              <w:rPr>
                <w:rFonts w:hint="eastAsia" w:ascii="仿宋" w:hAnsi="仿宋" w:eastAsia="仿宋" w:cs="仿宋"/>
                <w:color w:val="000000"/>
                <w:szCs w:val="21"/>
              </w:rPr>
              <w:t>元至</w:t>
            </w:r>
            <w:r>
              <w:rPr>
                <w:rFonts w:ascii="仿宋" w:hAnsi="仿宋" w:eastAsia="仿宋" w:cs="仿宋"/>
                <w:color w:val="000000"/>
                <w:szCs w:val="21"/>
              </w:rPr>
              <w:t xml:space="preserve"> 2 </w:t>
            </w:r>
            <w:r>
              <w:rPr>
                <w:rFonts w:hint="eastAsia" w:ascii="仿宋" w:hAnsi="仿宋" w:eastAsia="仿宋" w:cs="仿宋"/>
                <w:color w:val="000000"/>
                <w:szCs w:val="21"/>
              </w:rPr>
              <w:t>万元）</w:t>
            </w:r>
            <w:r>
              <w:rPr>
                <w:rFonts w:ascii="仿宋" w:hAnsi="仿宋" w:eastAsia="仿宋" w:cs="仿宋"/>
                <w:color w:val="000000"/>
                <w:szCs w:val="21"/>
              </w:rPr>
              <w:t xml:space="preserve">7 </w:t>
            </w:r>
            <w:r>
              <w:rPr>
                <w:rFonts w:hint="eastAsia" w:ascii="仿宋" w:hAnsi="仿宋" w:eastAsia="仿宋" w:cs="仿宋"/>
                <w:color w:val="000000"/>
                <w:szCs w:val="21"/>
              </w:rPr>
              <w:t>个工作日内赔付；</w:t>
            </w:r>
          </w:p>
          <w:p>
            <w:pPr>
              <w:ind w:left="80"/>
              <w:jc w:val="left"/>
              <w:rPr>
                <w:rFonts w:ascii="仿宋" w:hAnsi="仿宋" w:eastAsia="仿宋" w:cs="仿宋"/>
                <w:color w:val="000000"/>
                <w:szCs w:val="21"/>
              </w:rPr>
            </w:pPr>
            <w:r>
              <w:rPr>
                <w:rFonts w:hint="eastAsia" w:ascii="仿宋" w:hAnsi="仿宋" w:eastAsia="仿宋" w:cs="仿宋"/>
                <w:color w:val="000000"/>
                <w:szCs w:val="21"/>
              </w:rPr>
              <w:t>大案（赔付金额</w:t>
            </w:r>
            <w:r>
              <w:rPr>
                <w:rFonts w:ascii="仿宋" w:hAnsi="仿宋" w:eastAsia="仿宋" w:cs="仿宋"/>
                <w:color w:val="000000"/>
                <w:szCs w:val="21"/>
              </w:rPr>
              <w:t xml:space="preserve"> 2 </w:t>
            </w:r>
            <w:r>
              <w:rPr>
                <w:rFonts w:hint="eastAsia" w:ascii="仿宋" w:hAnsi="仿宋" w:eastAsia="仿宋" w:cs="仿宋"/>
                <w:color w:val="000000"/>
                <w:szCs w:val="21"/>
              </w:rPr>
              <w:t>万元至</w:t>
            </w:r>
            <w:r>
              <w:rPr>
                <w:rFonts w:ascii="仿宋" w:hAnsi="仿宋" w:eastAsia="仿宋" w:cs="仿宋"/>
                <w:color w:val="000000"/>
                <w:szCs w:val="21"/>
              </w:rPr>
              <w:t xml:space="preserve">10 </w:t>
            </w:r>
            <w:r>
              <w:rPr>
                <w:rFonts w:hint="eastAsia" w:ascii="仿宋" w:hAnsi="仿宋" w:eastAsia="仿宋" w:cs="仿宋"/>
                <w:color w:val="000000"/>
                <w:szCs w:val="21"/>
              </w:rPr>
              <w:t>万元）</w:t>
            </w:r>
            <w:r>
              <w:rPr>
                <w:rFonts w:ascii="仿宋" w:hAnsi="仿宋" w:eastAsia="仿宋" w:cs="仿宋"/>
                <w:color w:val="000000"/>
                <w:szCs w:val="21"/>
              </w:rPr>
              <w:t xml:space="preserve">10 </w:t>
            </w:r>
            <w:r>
              <w:rPr>
                <w:rFonts w:hint="eastAsia" w:ascii="仿宋" w:hAnsi="仿宋" w:eastAsia="仿宋" w:cs="仿宋"/>
                <w:color w:val="000000"/>
                <w:szCs w:val="21"/>
              </w:rPr>
              <w:t>个工作日内赔付；</w:t>
            </w:r>
          </w:p>
          <w:p>
            <w:pPr>
              <w:ind w:left="80"/>
              <w:jc w:val="left"/>
              <w:rPr>
                <w:rFonts w:ascii="仿宋" w:hAnsi="仿宋" w:eastAsia="仿宋" w:cs="仿宋"/>
                <w:color w:val="000000"/>
                <w:szCs w:val="21"/>
              </w:rPr>
            </w:pPr>
            <w:r>
              <w:rPr>
                <w:rFonts w:hint="eastAsia" w:ascii="仿宋" w:hAnsi="仿宋" w:eastAsia="仿宋" w:cs="仿宋"/>
                <w:color w:val="000000"/>
                <w:szCs w:val="21"/>
              </w:rPr>
              <w:t>重大案件（赔付金额</w:t>
            </w:r>
            <w:r>
              <w:rPr>
                <w:rFonts w:ascii="仿宋" w:hAnsi="仿宋" w:eastAsia="仿宋" w:cs="仿宋"/>
                <w:color w:val="000000"/>
                <w:szCs w:val="21"/>
              </w:rPr>
              <w:t xml:space="preserve"> 10 </w:t>
            </w:r>
            <w:r>
              <w:rPr>
                <w:rFonts w:hint="eastAsia" w:ascii="仿宋" w:hAnsi="仿宋" w:eastAsia="仿宋" w:cs="仿宋"/>
                <w:color w:val="000000"/>
                <w:szCs w:val="21"/>
              </w:rPr>
              <w:t>万元以上）</w:t>
            </w:r>
            <w:r>
              <w:rPr>
                <w:rFonts w:ascii="仿宋" w:hAnsi="仿宋" w:eastAsia="仿宋" w:cs="仿宋"/>
                <w:color w:val="000000"/>
                <w:szCs w:val="21"/>
              </w:rPr>
              <w:t xml:space="preserve">15 </w:t>
            </w:r>
            <w:r>
              <w:rPr>
                <w:rFonts w:hint="eastAsia" w:ascii="仿宋" w:hAnsi="仿宋" w:eastAsia="仿宋" w:cs="仿宋"/>
                <w:color w:val="000000"/>
                <w:szCs w:val="21"/>
              </w:rPr>
              <w:t>个工作日内赔付。</w:t>
            </w:r>
          </w:p>
          <w:p>
            <w:pPr>
              <w:ind w:left="80"/>
              <w:jc w:val="left"/>
              <w:rPr>
                <w:rFonts w:ascii="仿宋" w:hAnsi="仿宋" w:eastAsia="仿宋" w:cs="仿宋"/>
                <w:color w:val="000000"/>
                <w:szCs w:val="21"/>
              </w:rPr>
            </w:pPr>
            <w:r>
              <w:rPr>
                <w:rFonts w:hint="eastAsia" w:ascii="仿宋" w:hAnsi="仿宋" w:eastAsia="仿宋" w:cs="仿宋"/>
                <w:color w:val="000000"/>
                <w:szCs w:val="21"/>
              </w:rPr>
              <w:t>按规定时间或者优于规定时间承诺的得</w:t>
            </w:r>
            <w:r>
              <w:rPr>
                <w:rFonts w:ascii="仿宋" w:hAnsi="仿宋" w:eastAsia="仿宋" w:cs="仿宋"/>
                <w:color w:val="000000"/>
                <w:szCs w:val="21"/>
              </w:rPr>
              <w:t xml:space="preserve"> </w:t>
            </w:r>
            <w:r>
              <w:rPr>
                <w:rFonts w:hint="eastAsia" w:ascii="仿宋" w:hAnsi="仿宋" w:eastAsia="仿宋" w:cs="仿宋"/>
                <w:color w:val="000000"/>
                <w:szCs w:val="21"/>
              </w:rPr>
              <w:t>4 分，每个案件类型每超过 1 个工作日（24 小时）扣 1 分，扣完为止。</w:t>
            </w:r>
          </w:p>
          <w:p>
            <w:pPr>
              <w:ind w:left="80"/>
              <w:jc w:val="left"/>
              <w:rPr>
                <w:rFonts w:ascii="仿宋" w:hAnsi="仿宋" w:eastAsia="仿宋" w:cs="仿宋"/>
                <w:color w:val="000000"/>
                <w:szCs w:val="21"/>
              </w:rPr>
            </w:pPr>
            <w:r>
              <w:rPr>
                <w:rFonts w:hint="eastAsia" w:ascii="仿宋" w:hAnsi="仿宋" w:eastAsia="仿宋" w:cs="仿宋"/>
                <w:b/>
                <w:color w:val="000000"/>
                <w:szCs w:val="21"/>
              </w:rPr>
              <w:t>（须提供相关承诺函原件，</w:t>
            </w:r>
            <w:r>
              <w:rPr>
                <w:rFonts w:hint="eastAsia" w:ascii="仿宋" w:hAnsi="仿宋" w:eastAsia="仿宋" w:cs="仿宋"/>
                <w:b/>
                <w:bCs/>
                <w:color w:val="000000"/>
                <w:kern w:val="0"/>
                <w:szCs w:val="21"/>
                <w:lang w:val="zh-CN"/>
              </w:rPr>
              <w:t>加盖</w:t>
            </w:r>
            <w:r>
              <w:rPr>
                <w:rFonts w:hint="eastAsia" w:ascii="仿宋" w:hAnsi="仿宋" w:eastAsia="仿宋" w:cs="仿宋"/>
                <w:b/>
                <w:bCs/>
                <w:color w:val="000000"/>
                <w:kern w:val="0"/>
                <w:szCs w:val="21"/>
              </w:rPr>
              <w:t>投标人</w:t>
            </w:r>
            <w:r>
              <w:rPr>
                <w:rFonts w:hint="eastAsia" w:ascii="仿宋" w:hAnsi="仿宋" w:eastAsia="仿宋" w:cs="仿宋"/>
                <w:b/>
                <w:bCs/>
                <w:color w:val="000000"/>
                <w:kern w:val="0"/>
                <w:szCs w:val="21"/>
                <w:lang w:val="zh-CN"/>
              </w:rPr>
              <w:t>公章</w:t>
            </w:r>
            <w:r>
              <w:rPr>
                <w:rFonts w:hint="eastAsia" w:ascii="仿宋" w:hAnsi="仿宋" w:eastAsia="仿宋" w:cs="仿宋"/>
                <w:b/>
                <w:bCs/>
                <w:color w:val="000000"/>
              </w:rPr>
              <w:t>，不提供的或提供不全的不得分</w:t>
            </w:r>
            <w:r>
              <w:rPr>
                <w:rFonts w:hint="eastAsia" w:ascii="仿宋" w:hAnsi="仿宋" w:eastAsia="仿宋" w:cs="仿宋"/>
                <w:b/>
                <w:color w:val="000000"/>
                <w:szCs w:val="21"/>
              </w:rPr>
              <w:t>）</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spacing w:line="360" w:lineRule="auto"/>
              <w:ind w:left="80"/>
              <w:jc w:val="center"/>
              <w:rPr>
                <w:rFonts w:ascii="仿宋" w:hAnsi="仿宋" w:eastAsia="仿宋" w:cs="仿宋"/>
                <w:color w:val="000000"/>
                <w:szCs w:val="21"/>
              </w:rPr>
            </w:pPr>
            <w:r>
              <w:rPr>
                <w:rFonts w:hint="eastAsia" w:ascii="仿宋" w:hAnsi="仿宋" w:eastAsia="仿宋" w:cs="仿宋"/>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tcBorders>
              <w:top w:val="single" w:color="5B5B5B" w:sz="8" w:space="0"/>
              <w:left w:val="single" w:color="5B5B5B" w:sz="8" w:space="0"/>
              <w:bottom w:val="single" w:color="5B5B5B" w:sz="8" w:space="0"/>
              <w:right w:val="single" w:color="5B5B5B" w:sz="8" w:space="0"/>
            </w:tcBorders>
            <w:shd w:val="clear" w:color="auto" w:fill="FEFEFE"/>
            <w:vAlign w:val="center"/>
          </w:tcPr>
          <w:p>
            <w:pPr>
              <w:autoSpaceDE w:val="0"/>
              <w:autoSpaceDN w:val="0"/>
              <w:adjustRightInd w:val="0"/>
              <w:jc w:val="center"/>
              <w:rPr>
                <w:rFonts w:ascii="仿宋" w:hAnsi="仿宋" w:eastAsia="仿宋" w:cs="仿宋"/>
                <w:color w:val="000000"/>
                <w:szCs w:val="21"/>
              </w:rPr>
            </w:pPr>
            <w:r>
              <w:rPr>
                <w:rFonts w:hint="eastAsia" w:ascii="仿宋" w:hAnsi="仿宋" w:eastAsia="仿宋" w:cs="仿宋"/>
                <w:color w:val="000000"/>
                <w:szCs w:val="21"/>
              </w:rPr>
              <w:t>服务质量管控</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tabs>
                <w:tab w:val="left" w:pos="2061"/>
              </w:tabs>
              <w:jc w:val="left"/>
              <w:rPr>
                <w:rFonts w:ascii="仿宋" w:hAnsi="仿宋" w:eastAsia="仿宋" w:cs="仿宋"/>
                <w:b/>
                <w:color w:val="000000"/>
                <w:szCs w:val="21"/>
              </w:rPr>
            </w:pPr>
            <w:r>
              <w:rPr>
                <w:rFonts w:hint="eastAsia" w:ascii="仿宋" w:hAnsi="仿宋" w:eastAsia="仿宋" w:cs="仿宋"/>
                <w:color w:val="000000"/>
              </w:rPr>
              <w:t>根据投标人对校方责任保险服务工作的管理规范、管理组织构架、监督体系、内控制度、质量管控措施进行打分。质控方案全面，</w:t>
            </w:r>
            <w:r>
              <w:rPr>
                <w:rFonts w:hint="eastAsia" w:ascii="仿宋" w:hAnsi="仿宋" w:eastAsia="仿宋" w:cs="仿宋"/>
                <w:color w:val="000000"/>
                <w:szCs w:val="21"/>
              </w:rPr>
              <w:t>合理可行能</w:t>
            </w:r>
            <w:r>
              <w:rPr>
                <w:rFonts w:hint="eastAsia" w:ascii="仿宋" w:hAnsi="仿宋" w:eastAsia="仿宋" w:cs="仿宋"/>
                <w:color w:val="000000"/>
              </w:rPr>
              <w:t>有效保障并有针对性的得</w:t>
            </w:r>
            <w:r>
              <w:rPr>
                <w:rFonts w:ascii="仿宋" w:hAnsi="仿宋" w:eastAsia="仿宋" w:cs="仿宋"/>
                <w:color w:val="000000"/>
              </w:rPr>
              <w:t>3.0-5.0分；方案简单，</w:t>
            </w:r>
            <w:r>
              <w:rPr>
                <w:rFonts w:hint="eastAsia" w:ascii="仿宋" w:hAnsi="仿宋" w:eastAsia="仿宋" w:cs="仿宋"/>
                <w:color w:val="000000"/>
                <w:szCs w:val="21"/>
              </w:rPr>
              <w:t>内容不完整但</w:t>
            </w:r>
            <w:r>
              <w:rPr>
                <w:rFonts w:hint="eastAsia" w:ascii="仿宋" w:hAnsi="仿宋" w:eastAsia="仿宋" w:cs="仿宋"/>
                <w:color w:val="000000"/>
              </w:rPr>
              <w:t>基本能保障的得</w:t>
            </w:r>
            <w:r>
              <w:rPr>
                <w:rFonts w:ascii="仿宋" w:hAnsi="仿宋" w:eastAsia="仿宋" w:cs="仿宋"/>
                <w:color w:val="000000"/>
              </w:rPr>
              <w:t>0.1-2.9分；未提及此项不得分。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utoSpaceDE w:val="0"/>
              <w:autoSpaceDN w:val="0"/>
              <w:adjustRightInd w:val="0"/>
              <w:jc w:val="center"/>
              <w:rPr>
                <w:rFonts w:ascii="仿宋" w:hAnsi="仿宋" w:eastAsia="仿宋" w:cs="仿宋"/>
                <w:color w:val="000000"/>
                <w:szCs w:val="21"/>
              </w:rPr>
            </w:pPr>
            <w:r>
              <w:rPr>
                <w:rFonts w:ascii="仿宋" w:hAnsi="仿宋" w:eastAsia="仿宋" w:cs="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tcBorders>
              <w:top w:val="single" w:color="5B5B5B" w:sz="8" w:space="0"/>
              <w:left w:val="single" w:color="5B5B5B" w:sz="8" w:space="0"/>
              <w:bottom w:val="single" w:color="5B5B5B" w:sz="8" w:space="0"/>
              <w:right w:val="single" w:color="5B5B5B" w:sz="8" w:space="0"/>
            </w:tcBorders>
            <w:shd w:val="clear" w:color="auto" w:fill="FEFEFE"/>
            <w:vAlign w:val="center"/>
          </w:tcPr>
          <w:p>
            <w:pPr>
              <w:autoSpaceDE w:val="0"/>
              <w:autoSpaceDN w:val="0"/>
              <w:adjustRightInd w:val="0"/>
              <w:jc w:val="center"/>
              <w:rPr>
                <w:rFonts w:ascii="仿宋" w:hAnsi="仿宋" w:eastAsia="仿宋" w:cs="仿宋"/>
                <w:color w:val="000000"/>
                <w:szCs w:val="21"/>
              </w:rPr>
            </w:pPr>
            <w:r>
              <w:rPr>
                <w:rFonts w:hint="eastAsia" w:ascii="仿宋" w:hAnsi="仿宋" w:eastAsia="仿宋" w:cs="仿宋"/>
                <w:color w:val="000000"/>
                <w:kern w:val="0"/>
                <w:szCs w:val="21"/>
              </w:rPr>
              <w:t>合理化建议</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jc w:val="left"/>
              <w:rPr>
                <w:rFonts w:ascii="仿宋" w:hAnsi="仿宋" w:eastAsia="仿宋" w:cs="仿宋"/>
                <w:b/>
                <w:color w:val="000000"/>
                <w:szCs w:val="21"/>
              </w:rPr>
            </w:pPr>
            <w:r>
              <w:rPr>
                <w:rFonts w:hint="eastAsia" w:ascii="仿宋" w:hAnsi="仿宋" w:eastAsia="仿宋" w:cs="仿宋"/>
                <w:color w:val="000000"/>
                <w:szCs w:val="21"/>
              </w:rPr>
              <w:t>根据投标人依据本项目服务要求、实际服务需求提出的合理化建议进行打分。建议合理，可实现性强，具有改进意义的得</w:t>
            </w:r>
            <w:r>
              <w:rPr>
                <w:rFonts w:ascii="仿宋" w:hAnsi="仿宋" w:eastAsia="仿宋" w:cs="仿宋"/>
                <w:color w:val="000000"/>
                <w:szCs w:val="21"/>
              </w:rPr>
              <w:t>3.0-5.0分</w:t>
            </w:r>
            <w:r>
              <w:rPr>
                <w:rFonts w:hint="eastAsia" w:ascii="仿宋" w:hAnsi="仿宋" w:eastAsia="仿宋" w:cs="仿宋"/>
                <w:color w:val="000000"/>
                <w:szCs w:val="20"/>
              </w:rPr>
              <w:t>；建议</w:t>
            </w:r>
            <w:r>
              <w:rPr>
                <w:rFonts w:hint="eastAsia" w:ascii="仿宋" w:hAnsi="仿宋" w:eastAsia="仿宋" w:cs="仿宋"/>
                <w:color w:val="000000"/>
                <w:szCs w:val="21"/>
              </w:rPr>
              <w:t>可实现性较差，几乎没有改进意义的</w:t>
            </w:r>
            <w:r>
              <w:rPr>
                <w:rFonts w:hint="eastAsia" w:ascii="仿宋" w:hAnsi="仿宋" w:eastAsia="仿宋" w:cs="仿宋"/>
                <w:color w:val="000000"/>
                <w:szCs w:val="20"/>
              </w:rPr>
              <w:t>得</w:t>
            </w:r>
            <w:r>
              <w:rPr>
                <w:rFonts w:ascii="仿宋" w:hAnsi="仿宋" w:eastAsia="仿宋" w:cs="仿宋"/>
                <w:color w:val="000000"/>
                <w:szCs w:val="21"/>
              </w:rPr>
              <w:t>0.1-2.9分；未提及此项不得分。</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autoSpaceDE w:val="0"/>
              <w:autoSpaceDN w:val="0"/>
              <w:adjustRightInd w:val="0"/>
              <w:jc w:val="center"/>
              <w:rPr>
                <w:rFonts w:ascii="仿宋" w:hAnsi="仿宋" w:eastAsia="仿宋" w:cs="仿宋"/>
                <w:color w:val="000000"/>
                <w:szCs w:val="21"/>
              </w:rPr>
            </w:pPr>
            <w:r>
              <w:rPr>
                <w:rFonts w:ascii="仿宋" w:hAnsi="仿宋" w:eastAsia="仿宋" w:cs="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846" w:type="dxa"/>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pStyle w:val="12"/>
              <w:spacing w:after="0"/>
              <w:ind w:firstLine="0" w:firstLineChars="0"/>
              <w:jc w:val="center"/>
              <w:rPr>
                <w:rFonts w:ascii="仿宋" w:hAnsi="仿宋" w:eastAsia="仿宋" w:cs="仿宋"/>
                <w:szCs w:val="21"/>
              </w:rPr>
            </w:pPr>
          </w:p>
        </w:tc>
        <w:tc>
          <w:tcPr>
            <w:tcW w:w="970" w:type="dxa"/>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color w:val="000000"/>
                <w:szCs w:val="21"/>
              </w:rPr>
            </w:pPr>
            <w:r>
              <w:rPr>
                <w:rFonts w:hint="eastAsia" w:ascii="仿宋" w:hAnsi="仿宋" w:eastAsia="仿宋" w:cs="仿宋"/>
                <w:color w:val="000000"/>
                <w:szCs w:val="21"/>
              </w:rPr>
              <w:t>保密措施</w:t>
            </w:r>
          </w:p>
        </w:tc>
        <w:tc>
          <w:tcPr>
            <w:tcW w:w="6241" w:type="dxa"/>
            <w:tcBorders>
              <w:top w:val="single" w:color="5B5B5B" w:sz="8" w:space="0"/>
              <w:left w:val="single" w:color="5B5B5B" w:sz="8" w:space="0"/>
              <w:bottom w:val="single" w:color="5B5B5B" w:sz="8" w:space="0"/>
              <w:right w:val="single" w:color="5B5B5B" w:sz="8" w:space="0"/>
            </w:tcBorders>
            <w:shd w:val="clear" w:color="auto" w:fill="FEFEFE"/>
            <w:vAlign w:val="center"/>
          </w:tcPr>
          <w:p>
            <w:pPr>
              <w:rPr>
                <w:rFonts w:ascii="仿宋" w:hAnsi="仿宋" w:eastAsia="仿宋" w:cs="仿宋"/>
                <w:bCs/>
                <w:color w:val="000000"/>
                <w:szCs w:val="21"/>
              </w:rPr>
            </w:pPr>
            <w:r>
              <w:rPr>
                <w:rFonts w:hint="eastAsia" w:ascii="仿宋" w:hAnsi="仿宋" w:eastAsia="仿宋" w:cs="仿宋"/>
                <w:bCs/>
                <w:color w:val="000000"/>
                <w:szCs w:val="21"/>
              </w:rPr>
              <w:t>根据供应商是否有具体保密措施，使被投保人信息资料不被泄露等情况进行打分。详细阐述具体的保密措施，措施全面可行，能够确保资料不被泄露的得</w:t>
            </w:r>
            <w:r>
              <w:rPr>
                <w:rFonts w:ascii="仿宋" w:hAnsi="仿宋" w:eastAsia="仿宋" w:cs="仿宋"/>
                <w:bCs/>
                <w:color w:val="000000"/>
                <w:szCs w:val="21"/>
              </w:rPr>
              <w:t>3.0-</w:t>
            </w:r>
            <w:r>
              <w:rPr>
                <w:rFonts w:hint="eastAsia" w:ascii="仿宋" w:hAnsi="仿宋" w:eastAsia="仿宋" w:cs="仿宋"/>
                <w:bCs/>
                <w:color w:val="000000"/>
                <w:szCs w:val="21"/>
              </w:rPr>
              <w:t>4.0分；保密措施简单，缺乏可行性，不能保障服务质量的得0.1-2.9分；未提及此项不得分。</w:t>
            </w:r>
          </w:p>
          <w:p>
            <w:pPr>
              <w:rPr>
                <w:rFonts w:ascii="仿宋" w:hAnsi="仿宋" w:eastAsia="仿宋" w:cs="仿宋"/>
                <w:color w:val="000000"/>
                <w:szCs w:val="21"/>
              </w:rPr>
            </w:pPr>
            <w:r>
              <w:rPr>
                <w:rFonts w:hint="eastAsia" w:ascii="仿宋" w:hAnsi="仿宋" w:eastAsia="仿宋" w:cs="仿宋"/>
                <w:b/>
                <w:color w:val="000000"/>
                <w:szCs w:val="21"/>
              </w:rPr>
              <w:t>（须提供相关承诺函原件，</w:t>
            </w:r>
            <w:r>
              <w:rPr>
                <w:rFonts w:hint="eastAsia" w:ascii="仿宋" w:hAnsi="仿宋" w:eastAsia="仿宋" w:cs="仿宋"/>
                <w:b/>
                <w:bCs/>
                <w:color w:val="000000"/>
                <w:kern w:val="0"/>
                <w:szCs w:val="21"/>
                <w:lang w:val="zh-CN"/>
              </w:rPr>
              <w:t>加盖</w:t>
            </w:r>
            <w:r>
              <w:rPr>
                <w:rFonts w:hint="eastAsia" w:ascii="仿宋" w:hAnsi="仿宋" w:eastAsia="仿宋" w:cs="仿宋"/>
                <w:b/>
                <w:bCs/>
                <w:color w:val="000000"/>
                <w:kern w:val="0"/>
                <w:szCs w:val="21"/>
              </w:rPr>
              <w:t>投标人</w:t>
            </w:r>
            <w:r>
              <w:rPr>
                <w:rFonts w:hint="eastAsia" w:ascii="仿宋" w:hAnsi="仿宋" w:eastAsia="仿宋" w:cs="仿宋"/>
                <w:b/>
                <w:bCs/>
                <w:color w:val="000000"/>
                <w:kern w:val="0"/>
                <w:szCs w:val="21"/>
                <w:lang w:val="zh-CN"/>
              </w:rPr>
              <w:t>公章</w:t>
            </w:r>
            <w:r>
              <w:rPr>
                <w:rFonts w:hint="eastAsia" w:ascii="仿宋" w:hAnsi="仿宋" w:eastAsia="仿宋" w:cs="仿宋"/>
                <w:b/>
                <w:bCs/>
                <w:color w:val="000000"/>
              </w:rPr>
              <w:t>，不提供的或提供不全的不得分</w:t>
            </w:r>
            <w:r>
              <w:rPr>
                <w:rFonts w:hint="eastAsia" w:ascii="仿宋" w:hAnsi="仿宋" w:eastAsia="仿宋" w:cs="仿宋"/>
                <w:b/>
                <w:color w:val="000000"/>
                <w:szCs w:val="21"/>
              </w:rPr>
              <w:t>）</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color w:val="000000"/>
                <w:szCs w:val="21"/>
              </w:rPr>
            </w:pPr>
            <w:r>
              <w:rPr>
                <w:rFonts w:hint="eastAsia" w:ascii="仿宋" w:hAnsi="仿宋" w:eastAsia="仿宋" w:cs="仿宋"/>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57" w:type="dxa"/>
            <w:gridSpan w:val="3"/>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合计</w:t>
            </w:r>
          </w:p>
        </w:tc>
        <w:tc>
          <w:tcPr>
            <w:tcW w:w="581" w:type="dxa"/>
            <w:tcBorders>
              <w:top w:val="single" w:color="5B5B5B" w:sz="8" w:space="0"/>
              <w:left w:val="single" w:color="5B5B5B" w:sz="8" w:space="0"/>
              <w:bottom w:val="single" w:color="5B5B5B" w:sz="8" w:space="0"/>
              <w:right w:val="single" w:color="5B5B5B" w:sz="8" w:space="0"/>
            </w:tcBorders>
            <w:shd w:val="clear" w:color="auto" w:fill="FEFEFE"/>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100</w:t>
            </w:r>
          </w:p>
        </w:tc>
      </w:tr>
    </w:tbl>
    <w:p>
      <w:pPr>
        <w:rPr>
          <w:rFonts w:ascii="仿宋" w:hAnsi="仿宋" w:eastAsia="仿宋" w:cs="黑体"/>
          <w:b/>
          <w:bCs/>
          <w:kern w:val="44"/>
          <w:sz w:val="32"/>
          <w:szCs w:val="44"/>
        </w:rPr>
      </w:pPr>
      <w:r>
        <w:rPr>
          <w:rFonts w:hint="eastAsia" w:ascii="仿宋" w:hAnsi="仿宋" w:eastAsia="仿宋" w:cs="黑体"/>
          <w:b/>
          <w:bCs/>
          <w:kern w:val="44"/>
          <w:sz w:val="32"/>
          <w:szCs w:val="44"/>
        </w:rPr>
        <w:br w:type="page"/>
      </w:r>
    </w:p>
    <w:p>
      <w:pPr>
        <w:keepNext/>
        <w:keepLines/>
        <w:numPr>
          <w:ilvl w:val="0"/>
          <w:numId w:val="2"/>
        </w:numPr>
        <w:snapToGrid w:val="0"/>
        <w:spacing w:line="360" w:lineRule="auto"/>
        <w:ind w:left="10" w:leftChars="5" w:right="924" w:rightChars="440" w:firstLine="408"/>
        <w:jc w:val="center"/>
        <w:outlineLvl w:val="0"/>
        <w:rPr>
          <w:rFonts w:ascii="仿宋" w:hAnsi="仿宋" w:eastAsia="仿宋" w:cs="黑体"/>
          <w:b/>
          <w:bCs/>
          <w:kern w:val="44"/>
          <w:sz w:val="32"/>
          <w:szCs w:val="44"/>
        </w:rPr>
      </w:pPr>
      <w:bookmarkStart w:id="62" w:name="_Toc9300"/>
      <w:r>
        <w:rPr>
          <w:rFonts w:hint="eastAsia" w:ascii="仿宋" w:hAnsi="仿宋" w:eastAsia="仿宋" w:cs="黑体"/>
          <w:b/>
          <w:bCs/>
          <w:kern w:val="44"/>
          <w:sz w:val="32"/>
          <w:szCs w:val="44"/>
        </w:rPr>
        <w:t>政府采购合同主要条款指引</w:t>
      </w:r>
      <w:bookmarkEnd w:id="62"/>
    </w:p>
    <w:p>
      <w:pPr>
        <w:pStyle w:val="13"/>
        <w:ind w:left="10" w:leftChars="5" w:right="924" w:rightChars="440" w:firstLine="408"/>
        <w:rPr>
          <w:rFonts w:ascii="仿宋" w:hAnsi="仿宋" w:eastAsia="仿宋" w:cs="仿宋"/>
        </w:rPr>
      </w:pPr>
    </w:p>
    <w:p>
      <w:pPr>
        <w:snapToGrid w:val="0"/>
        <w:spacing w:line="360" w:lineRule="auto"/>
        <w:ind w:left="10" w:leftChars="5" w:right="924" w:rightChars="440" w:firstLine="408"/>
        <w:jc w:val="center"/>
        <w:rPr>
          <w:rFonts w:ascii="仿宋" w:hAnsi="仿宋" w:eastAsia="仿宋" w:cs="仿宋"/>
          <w:b/>
          <w:bCs/>
          <w:sz w:val="32"/>
          <w:szCs w:val="32"/>
        </w:rPr>
      </w:pPr>
      <w:bookmarkStart w:id="63" w:name="_Toc11444"/>
      <w:r>
        <w:rPr>
          <w:rFonts w:hint="eastAsia" w:ascii="仿宋" w:hAnsi="仿宋" w:eastAsia="仿宋" w:cs="仿宋"/>
          <w:b/>
          <w:bCs/>
          <w:sz w:val="32"/>
          <w:szCs w:val="32"/>
        </w:rPr>
        <w:t>（此稿为合同样本，最终定稿待双方协商后定）</w:t>
      </w:r>
      <w:bookmarkEnd w:id="63"/>
    </w:p>
    <w:p>
      <w:pPr>
        <w:tabs>
          <w:tab w:val="left" w:pos="8820"/>
        </w:tabs>
        <w:snapToGrid w:val="0"/>
        <w:spacing w:line="288" w:lineRule="auto"/>
        <w:ind w:left="10" w:leftChars="5" w:right="0" w:rightChars="0" w:firstLine="408"/>
        <w:rPr>
          <w:rFonts w:ascii="仿宋" w:hAnsi="仿宋" w:eastAsia="仿宋" w:cs="仿宋"/>
          <w:sz w:val="24"/>
          <w:szCs w:val="24"/>
          <w:lang w:val="zh-CN"/>
        </w:rPr>
      </w:pPr>
      <w:r>
        <w:rPr>
          <w:rFonts w:hint="eastAsia" w:ascii="仿宋" w:hAnsi="仿宋" w:eastAsia="仿宋" w:cs="仿宋"/>
          <w:sz w:val="24"/>
          <w:szCs w:val="24"/>
        </w:rPr>
        <w:t>项目名称：</w:t>
      </w:r>
      <w:r>
        <w:rPr>
          <w:rFonts w:hint="eastAsia" w:ascii="仿宋" w:hAnsi="仿宋" w:eastAsia="仿宋" w:cs="仿宋"/>
          <w:sz w:val="24"/>
          <w:szCs w:val="24"/>
          <w:u w:val="single"/>
          <w:lang w:eastAsia="zh-CN"/>
        </w:rPr>
        <w:t>2025-2026学年市直属学校校方责任保险项目</w:t>
      </w:r>
    </w:p>
    <w:p>
      <w:pPr>
        <w:tabs>
          <w:tab w:val="left" w:pos="8820"/>
        </w:tabs>
        <w:snapToGrid w:val="0"/>
        <w:spacing w:line="288" w:lineRule="auto"/>
        <w:ind w:left="10" w:leftChars="5" w:right="0" w:rightChars="0" w:firstLine="408"/>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u w:val="single"/>
        </w:rPr>
        <w:t>TZFD(</w:t>
      </w:r>
      <w:r>
        <w:rPr>
          <w:rFonts w:hint="eastAsia" w:ascii="仿宋" w:hAnsi="仿宋" w:eastAsia="仿宋" w:cs="仿宋"/>
          <w:sz w:val="24"/>
          <w:szCs w:val="24"/>
          <w:u w:val="single"/>
          <w:lang w:eastAsia="zh-CN"/>
        </w:rPr>
        <w:t>2025</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1037号</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 xml:space="preserve">甲方：（采购人）                            所在地：                              </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乙方：（中标人）                            所在地：</w:t>
      </w:r>
    </w:p>
    <w:p>
      <w:pPr>
        <w:pStyle w:val="14"/>
        <w:tabs>
          <w:tab w:val="left" w:pos="8820"/>
        </w:tabs>
        <w:snapToGrid w:val="0"/>
        <w:spacing w:before="120" w:after="120" w:line="288" w:lineRule="auto"/>
        <w:ind w:left="10" w:leftChars="5" w:right="0" w:rightChars="0" w:firstLine="408"/>
        <w:rPr>
          <w:rFonts w:ascii="仿宋" w:hAnsi="仿宋" w:eastAsia="仿宋" w:cs="仿宋"/>
          <w:b/>
          <w:sz w:val="24"/>
        </w:rPr>
      </w:pPr>
      <w:r>
        <w:rPr>
          <w:rFonts w:hint="eastAsia" w:ascii="仿宋" w:hAnsi="仿宋" w:eastAsia="仿宋" w:cs="仿宋"/>
          <w:sz w:val="24"/>
        </w:rPr>
        <w:t>甲、乙双方根据××（采购组织机构名称）关于××单位××项目公开招标的结果，签署本合同。</w:t>
      </w:r>
    </w:p>
    <w:p>
      <w:pPr>
        <w:tabs>
          <w:tab w:val="left" w:pos="8820"/>
        </w:tabs>
        <w:spacing w:line="288" w:lineRule="auto"/>
        <w:ind w:left="10" w:leftChars="5" w:right="0" w:rightChars="0" w:firstLine="408"/>
        <w:rPr>
          <w:rFonts w:ascii="仿宋" w:hAnsi="仿宋" w:eastAsia="仿宋" w:cs="仿宋"/>
          <w:sz w:val="24"/>
          <w:lang w:val="zh-CN"/>
        </w:rPr>
      </w:pPr>
      <w:r>
        <w:rPr>
          <w:rFonts w:hint="eastAsia" w:ascii="仿宋" w:hAnsi="仿宋" w:eastAsia="仿宋" w:cs="仿宋"/>
          <w:sz w:val="24"/>
          <w:lang w:val="zh-CN"/>
        </w:rPr>
        <w:t xml:space="preserve">一、合同文件： </w:t>
      </w:r>
    </w:p>
    <w:p>
      <w:pPr>
        <w:tabs>
          <w:tab w:val="left" w:pos="8820"/>
        </w:tabs>
        <w:spacing w:line="288" w:lineRule="auto"/>
        <w:ind w:left="10" w:leftChars="5" w:right="0" w:rightChars="0" w:firstLine="408" w:firstLineChars="0"/>
        <w:rPr>
          <w:rFonts w:ascii="仿宋" w:hAnsi="仿宋" w:eastAsia="仿宋" w:cs="仿宋"/>
          <w:sz w:val="24"/>
          <w:lang w:val="zh-CN"/>
        </w:rPr>
      </w:pPr>
      <w:r>
        <w:rPr>
          <w:rFonts w:hint="eastAsia" w:ascii="仿宋" w:hAnsi="仿宋" w:eastAsia="仿宋" w:cs="仿宋"/>
          <w:sz w:val="24"/>
          <w:lang w:val="zh-CN"/>
        </w:rPr>
        <w:t>1.合同条款。</w:t>
      </w:r>
    </w:p>
    <w:p>
      <w:pPr>
        <w:tabs>
          <w:tab w:val="left" w:pos="8820"/>
        </w:tabs>
        <w:spacing w:line="288" w:lineRule="auto"/>
        <w:ind w:left="10" w:leftChars="5" w:right="0" w:rightChars="0" w:firstLine="408" w:firstLineChars="0"/>
        <w:rPr>
          <w:rFonts w:ascii="仿宋" w:hAnsi="仿宋" w:eastAsia="仿宋" w:cs="仿宋"/>
          <w:sz w:val="24"/>
          <w:lang w:val="zh-CN"/>
        </w:rPr>
      </w:pPr>
      <w:r>
        <w:rPr>
          <w:rFonts w:hint="eastAsia" w:ascii="仿宋" w:hAnsi="仿宋" w:eastAsia="仿宋" w:cs="仿宋"/>
          <w:sz w:val="24"/>
          <w:lang w:val="zh-CN"/>
        </w:rPr>
        <w:t>2.中标通知书。</w:t>
      </w:r>
    </w:p>
    <w:p>
      <w:pPr>
        <w:tabs>
          <w:tab w:val="left" w:pos="8820"/>
        </w:tabs>
        <w:spacing w:line="288" w:lineRule="auto"/>
        <w:ind w:left="10" w:leftChars="5" w:right="0" w:rightChars="0" w:firstLine="408" w:firstLineChars="0"/>
        <w:rPr>
          <w:rFonts w:ascii="仿宋" w:hAnsi="仿宋" w:eastAsia="仿宋" w:cs="仿宋"/>
          <w:sz w:val="24"/>
          <w:lang w:val="zh-CN"/>
        </w:rPr>
      </w:pPr>
      <w:r>
        <w:rPr>
          <w:rFonts w:hint="eastAsia" w:ascii="仿宋" w:hAnsi="仿宋" w:eastAsia="仿宋" w:cs="仿宋"/>
          <w:sz w:val="24"/>
          <w:lang w:val="zh-CN"/>
        </w:rPr>
        <w:t>3.更正补充文件。</w:t>
      </w:r>
    </w:p>
    <w:p>
      <w:pPr>
        <w:tabs>
          <w:tab w:val="left" w:pos="8820"/>
        </w:tabs>
        <w:spacing w:line="288" w:lineRule="auto"/>
        <w:ind w:left="10" w:leftChars="5" w:right="0" w:rightChars="0" w:firstLine="408" w:firstLineChars="0"/>
        <w:rPr>
          <w:rFonts w:ascii="仿宋" w:hAnsi="仿宋" w:eastAsia="仿宋" w:cs="仿宋"/>
          <w:sz w:val="24"/>
          <w:lang w:val="zh-CN"/>
        </w:rPr>
      </w:pPr>
      <w:r>
        <w:rPr>
          <w:rFonts w:hint="eastAsia" w:ascii="仿宋" w:hAnsi="仿宋" w:eastAsia="仿宋" w:cs="仿宋"/>
          <w:sz w:val="24"/>
          <w:lang w:val="zh-CN"/>
        </w:rPr>
        <w:t>4.招标文件。</w:t>
      </w:r>
    </w:p>
    <w:p>
      <w:pPr>
        <w:tabs>
          <w:tab w:val="left" w:pos="8820"/>
        </w:tabs>
        <w:spacing w:line="288" w:lineRule="auto"/>
        <w:ind w:left="10" w:leftChars="5" w:right="0" w:rightChars="0" w:firstLine="408" w:firstLineChars="0"/>
        <w:rPr>
          <w:rFonts w:ascii="仿宋" w:hAnsi="仿宋" w:eastAsia="仿宋" w:cs="仿宋"/>
          <w:sz w:val="24"/>
          <w:lang w:val="zh-CN"/>
        </w:rPr>
      </w:pPr>
      <w:r>
        <w:rPr>
          <w:rFonts w:hint="eastAsia" w:ascii="仿宋" w:hAnsi="仿宋" w:eastAsia="仿宋" w:cs="仿宋"/>
          <w:sz w:val="24"/>
          <w:lang w:val="zh-CN"/>
        </w:rPr>
        <w:t>5.中标人投标文件。</w:t>
      </w:r>
    </w:p>
    <w:p>
      <w:pPr>
        <w:tabs>
          <w:tab w:val="left" w:pos="8820"/>
        </w:tabs>
        <w:spacing w:line="288" w:lineRule="auto"/>
        <w:ind w:left="10" w:leftChars="5" w:right="0" w:rightChars="0" w:firstLine="408" w:firstLineChars="0"/>
        <w:rPr>
          <w:rFonts w:ascii="仿宋" w:hAnsi="仿宋" w:eastAsia="仿宋" w:cs="仿宋"/>
          <w:sz w:val="24"/>
          <w:lang w:val="zh-CN"/>
        </w:rPr>
      </w:pPr>
      <w:r>
        <w:rPr>
          <w:rFonts w:hint="eastAsia" w:ascii="仿宋" w:hAnsi="仿宋" w:eastAsia="仿宋" w:cs="仿宋"/>
          <w:sz w:val="24"/>
          <w:lang w:val="zh-CN"/>
        </w:rPr>
        <w:t>6.其他。</w:t>
      </w:r>
    </w:p>
    <w:p>
      <w:pPr>
        <w:pStyle w:val="14"/>
        <w:tabs>
          <w:tab w:val="left" w:pos="8820"/>
        </w:tabs>
        <w:snapToGrid w:val="0"/>
        <w:spacing w:line="288" w:lineRule="auto"/>
        <w:ind w:left="10" w:leftChars="5" w:right="0" w:rightChars="0" w:firstLine="408" w:firstLineChars="0"/>
        <w:rPr>
          <w:rFonts w:ascii="仿宋" w:hAnsi="仿宋" w:eastAsia="仿宋" w:cs="仿宋"/>
          <w:sz w:val="24"/>
          <w:lang w:val="zh-CN"/>
        </w:rPr>
      </w:pPr>
      <w:r>
        <w:rPr>
          <w:rFonts w:hint="eastAsia" w:ascii="仿宋" w:hAnsi="仿宋" w:eastAsia="仿宋" w:cs="仿宋"/>
          <w:sz w:val="24"/>
          <w:lang w:val="zh-CN"/>
        </w:rPr>
        <w:t>上述所指合同文件应认为是互相补充和解释的，但是有模棱两可或互相矛盾之处，以其所列内容顺序为准。</w:t>
      </w:r>
    </w:p>
    <w:p>
      <w:pPr>
        <w:pStyle w:val="14"/>
        <w:tabs>
          <w:tab w:val="left" w:pos="8820"/>
        </w:tabs>
        <w:snapToGrid w:val="0"/>
        <w:spacing w:before="120" w:after="120" w:line="288" w:lineRule="auto"/>
        <w:ind w:left="10" w:leftChars="5" w:right="0" w:rightChars="0" w:firstLine="408"/>
        <w:rPr>
          <w:rFonts w:ascii="仿宋" w:hAnsi="仿宋" w:eastAsia="仿宋" w:cs="仿宋"/>
          <w:b/>
          <w:sz w:val="24"/>
        </w:rPr>
      </w:pPr>
      <w:r>
        <w:rPr>
          <w:rFonts w:hint="eastAsia" w:ascii="仿宋" w:hAnsi="仿宋" w:eastAsia="仿宋" w:cs="仿宋"/>
          <w:b/>
          <w:sz w:val="24"/>
        </w:rPr>
        <w:t>二、服务内容</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1、详见本项目招标文件第四章《公开招标需求》。</w:t>
      </w:r>
    </w:p>
    <w:p>
      <w:pPr>
        <w:pStyle w:val="14"/>
        <w:tabs>
          <w:tab w:val="left" w:pos="8820"/>
        </w:tabs>
        <w:snapToGrid w:val="0"/>
        <w:spacing w:before="120" w:after="120" w:line="288" w:lineRule="auto"/>
        <w:ind w:left="10" w:leftChars="5" w:right="0" w:rightChars="0" w:firstLine="408"/>
        <w:rPr>
          <w:rFonts w:ascii="仿宋" w:hAnsi="仿宋" w:eastAsia="仿宋" w:cs="仿宋"/>
          <w:b/>
          <w:sz w:val="24"/>
        </w:rPr>
      </w:pPr>
      <w:r>
        <w:rPr>
          <w:rFonts w:hint="eastAsia" w:ascii="仿宋" w:hAnsi="仿宋" w:eastAsia="仿宋" w:cs="仿宋"/>
          <w:b/>
          <w:sz w:val="24"/>
        </w:rPr>
        <w:t>三、合同金额</w:t>
      </w:r>
    </w:p>
    <w:p>
      <w:pPr>
        <w:tabs>
          <w:tab w:val="left" w:pos="8820"/>
        </w:tabs>
        <w:adjustRightInd w:val="0"/>
        <w:snapToGrid w:val="0"/>
        <w:spacing w:line="288" w:lineRule="auto"/>
        <w:ind w:left="10" w:leftChars="5" w:right="0" w:rightChars="0" w:firstLine="408" w:firstLineChars="0"/>
        <w:rPr>
          <w:rFonts w:ascii="仿宋" w:hAnsi="仿宋" w:eastAsia="仿宋" w:cs="仿宋"/>
          <w:sz w:val="24"/>
          <w:szCs w:val="21"/>
          <w:lang w:val="zh-CN"/>
        </w:rPr>
      </w:pPr>
      <w:r>
        <w:rPr>
          <w:rFonts w:hint="eastAsia" w:ascii="仿宋" w:hAnsi="仿宋" w:eastAsia="仿宋" w:cs="仿宋"/>
          <w:sz w:val="24"/>
          <w:szCs w:val="21"/>
          <w:lang w:val="zh-CN"/>
        </w:rPr>
        <w:t>本合同金额暂定为人民币（大写）： ___________________ 元（¥__________元）。其中，学生每生投保</w:t>
      </w:r>
      <w:r>
        <w:rPr>
          <w:rFonts w:hint="eastAsia" w:ascii="仿宋" w:hAnsi="仿宋" w:eastAsia="仿宋" w:cs="仿宋"/>
          <w:sz w:val="24"/>
          <w:szCs w:val="21"/>
          <w:u w:val="single"/>
          <w:lang w:val="zh-CN"/>
        </w:rPr>
        <w:tab/>
      </w:r>
      <w:r>
        <w:rPr>
          <w:rFonts w:hint="eastAsia" w:ascii="仿宋" w:hAnsi="仿宋" w:eastAsia="仿宋" w:cs="仿宋"/>
          <w:sz w:val="24"/>
          <w:szCs w:val="21"/>
          <w:u w:val="single"/>
          <w:lang w:val="zh-CN"/>
        </w:rPr>
        <w:t xml:space="preserve">    元</w:t>
      </w:r>
      <w:r>
        <w:rPr>
          <w:rFonts w:hint="eastAsia" w:ascii="仿宋" w:hAnsi="仿宋" w:eastAsia="仿宋" w:cs="仿宋"/>
          <w:sz w:val="24"/>
          <w:szCs w:val="21"/>
          <w:lang w:val="zh-CN"/>
        </w:rPr>
        <w:t>；公办学校正式在编教师，每人投保</w:t>
      </w:r>
      <w:r>
        <w:rPr>
          <w:rFonts w:hint="eastAsia" w:ascii="仿宋" w:hAnsi="仿宋" w:eastAsia="仿宋" w:cs="仿宋"/>
          <w:sz w:val="24"/>
          <w:szCs w:val="21"/>
          <w:u w:val="single"/>
          <w:lang w:val="zh-CN"/>
        </w:rPr>
        <w:tab/>
      </w:r>
      <w:r>
        <w:rPr>
          <w:rFonts w:hint="eastAsia" w:ascii="仿宋" w:hAnsi="仿宋" w:eastAsia="仿宋" w:cs="仿宋"/>
          <w:sz w:val="24"/>
          <w:szCs w:val="21"/>
          <w:u w:val="single"/>
          <w:lang w:val="zh-CN"/>
        </w:rPr>
        <w:t xml:space="preserve">    </w:t>
      </w:r>
      <w:r>
        <w:rPr>
          <w:rFonts w:hint="eastAsia" w:ascii="仿宋" w:hAnsi="仿宋" w:eastAsia="仿宋" w:cs="仿宋"/>
          <w:sz w:val="24"/>
          <w:szCs w:val="21"/>
          <w:lang w:val="zh-CN"/>
        </w:rPr>
        <w:t>元。具体学校清单，学生、教师数量见附件。</w:t>
      </w:r>
    </w:p>
    <w:p>
      <w:pPr>
        <w:tabs>
          <w:tab w:val="left" w:pos="8820"/>
        </w:tabs>
        <w:adjustRightInd w:val="0"/>
        <w:snapToGrid w:val="0"/>
        <w:spacing w:line="288" w:lineRule="auto"/>
        <w:ind w:left="10" w:leftChars="5" w:right="0" w:rightChars="0" w:firstLine="408"/>
        <w:rPr>
          <w:rFonts w:ascii="仿宋" w:hAnsi="仿宋" w:eastAsia="仿宋" w:cs="仿宋"/>
          <w:sz w:val="24"/>
          <w:szCs w:val="21"/>
          <w:lang w:val="zh-CN"/>
        </w:rPr>
      </w:pPr>
      <w:r>
        <w:rPr>
          <w:rFonts w:hint="eastAsia" w:ascii="仿宋" w:hAnsi="仿宋" w:eastAsia="仿宋" w:cs="仿宋"/>
          <w:sz w:val="24"/>
          <w:szCs w:val="21"/>
          <w:lang w:val="zh-CN"/>
        </w:rPr>
        <w:t>注：人数按实结算。</w:t>
      </w:r>
    </w:p>
    <w:p>
      <w:pPr>
        <w:pStyle w:val="14"/>
        <w:tabs>
          <w:tab w:val="left" w:pos="8820"/>
        </w:tabs>
        <w:snapToGrid w:val="0"/>
        <w:spacing w:before="120" w:after="120" w:line="288" w:lineRule="auto"/>
        <w:ind w:left="10" w:leftChars="5" w:right="0" w:rightChars="0" w:firstLine="408"/>
        <w:rPr>
          <w:rFonts w:ascii="仿宋" w:hAnsi="仿宋" w:eastAsia="仿宋" w:cs="仿宋"/>
          <w:b/>
          <w:sz w:val="24"/>
        </w:rPr>
      </w:pPr>
      <w:r>
        <w:rPr>
          <w:rFonts w:hint="eastAsia" w:ascii="仿宋" w:hAnsi="仿宋" w:eastAsia="仿宋" w:cs="仿宋"/>
          <w:b/>
          <w:sz w:val="24"/>
        </w:rPr>
        <w:t>四、技术资料</w:t>
      </w:r>
    </w:p>
    <w:p>
      <w:pPr>
        <w:pStyle w:val="14"/>
        <w:tabs>
          <w:tab w:val="left" w:pos="8820"/>
        </w:tabs>
        <w:snapToGrid w:val="0"/>
        <w:spacing w:before="120" w:after="120" w:line="288" w:lineRule="auto"/>
        <w:ind w:left="10" w:leftChars="5" w:right="0" w:rightChars="0" w:firstLine="408" w:firstLineChars="0"/>
        <w:rPr>
          <w:rFonts w:ascii="仿宋" w:hAnsi="仿宋" w:eastAsia="仿宋" w:cs="仿宋"/>
          <w:sz w:val="24"/>
        </w:rPr>
      </w:pPr>
      <w:r>
        <w:rPr>
          <w:rFonts w:hint="eastAsia" w:ascii="仿宋" w:hAnsi="仿宋" w:eastAsia="仿宋" w:cs="仿宋"/>
          <w:sz w:val="24"/>
        </w:rPr>
        <w:t>1.乙方应按招标文件规定的时间向甲方提供使用货物的有关技术资料。</w:t>
      </w:r>
    </w:p>
    <w:p>
      <w:pPr>
        <w:pStyle w:val="14"/>
        <w:tabs>
          <w:tab w:val="left" w:pos="8820"/>
        </w:tabs>
        <w:snapToGrid w:val="0"/>
        <w:spacing w:before="120" w:after="120" w:line="288" w:lineRule="auto"/>
        <w:ind w:left="10" w:leftChars="5" w:right="0" w:rightChars="0" w:firstLine="408" w:firstLineChars="0"/>
        <w:rPr>
          <w:rFonts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tabs>
          <w:tab w:val="left" w:pos="8820"/>
        </w:tabs>
        <w:snapToGrid w:val="0"/>
        <w:spacing w:before="120" w:after="120" w:line="288" w:lineRule="auto"/>
        <w:ind w:left="10" w:leftChars="5" w:right="0" w:rightChars="0" w:firstLine="408" w:firstLineChars="0"/>
        <w:rPr>
          <w:rFonts w:ascii="仿宋" w:hAnsi="仿宋" w:eastAsia="仿宋" w:cs="仿宋"/>
          <w:b/>
          <w:sz w:val="24"/>
        </w:rPr>
      </w:pPr>
      <w:r>
        <w:rPr>
          <w:rFonts w:hint="eastAsia" w:ascii="仿宋" w:hAnsi="仿宋" w:eastAsia="仿宋" w:cs="仿宋"/>
          <w:b/>
          <w:sz w:val="24"/>
        </w:rPr>
        <w:t>五、知识产权</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1.乙方应保证所提供的货物或其任何一部分均不会侵犯任何第三方的知识产权。</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2.若侵犯,由乙方赔偿甲方因此遭受的损失（包括但不限于应对及追偿过程中所支付的律师费、差旅费、诉讼费、保全费、鉴定费、评估费等）。</w:t>
      </w:r>
    </w:p>
    <w:p>
      <w:pPr>
        <w:pStyle w:val="14"/>
        <w:tabs>
          <w:tab w:val="left" w:pos="8820"/>
        </w:tabs>
        <w:snapToGrid w:val="0"/>
        <w:spacing w:before="120" w:after="120" w:line="288" w:lineRule="auto"/>
        <w:ind w:left="10" w:leftChars="5" w:right="0" w:rightChars="0" w:firstLine="408"/>
        <w:rPr>
          <w:rFonts w:ascii="仿宋" w:hAnsi="仿宋" w:eastAsia="仿宋" w:cs="仿宋"/>
          <w:sz w:val="24"/>
          <w:u w:val="single"/>
        </w:rPr>
      </w:pPr>
      <w:r>
        <w:rPr>
          <w:rFonts w:hint="eastAsia" w:ascii="仿宋" w:hAnsi="仿宋" w:eastAsia="仿宋" w:cs="仿宋"/>
          <w:b/>
          <w:sz w:val="24"/>
        </w:rPr>
        <w:t>六、产权担保</w:t>
      </w:r>
    </w:p>
    <w:p>
      <w:pPr>
        <w:pStyle w:val="14"/>
        <w:tabs>
          <w:tab w:val="left" w:pos="8820"/>
        </w:tabs>
        <w:snapToGrid w:val="0"/>
        <w:spacing w:before="120" w:after="120" w:line="288" w:lineRule="auto"/>
        <w:ind w:left="10" w:leftChars="5" w:right="0" w:rightChars="0" w:firstLine="408"/>
        <w:rPr>
          <w:rFonts w:ascii="仿宋" w:hAnsi="仿宋" w:eastAsia="仿宋" w:cs="仿宋"/>
          <w:sz w:val="24"/>
          <w:u w:val="single"/>
        </w:rPr>
      </w:pPr>
      <w:r>
        <w:rPr>
          <w:rFonts w:hint="eastAsia" w:ascii="仿宋" w:hAnsi="仿宋" w:eastAsia="仿宋" w:cs="仿宋"/>
          <w:sz w:val="24"/>
        </w:rPr>
        <w:t>乙方保证所交付的货物的所有权完全属于乙方且无任何抵押、查封等产权瑕疵。</w:t>
      </w:r>
    </w:p>
    <w:p>
      <w:pPr>
        <w:pStyle w:val="14"/>
        <w:tabs>
          <w:tab w:val="left" w:pos="8820"/>
        </w:tabs>
        <w:snapToGrid w:val="0"/>
        <w:spacing w:before="120" w:after="120" w:line="288" w:lineRule="auto"/>
        <w:ind w:left="10" w:leftChars="5" w:right="0" w:rightChars="0" w:firstLine="408" w:firstLineChars="0"/>
        <w:rPr>
          <w:rFonts w:ascii="仿宋" w:hAnsi="仿宋" w:eastAsia="仿宋" w:cs="仿宋"/>
          <w:b/>
          <w:sz w:val="24"/>
        </w:rPr>
      </w:pPr>
      <w:r>
        <w:rPr>
          <w:rFonts w:hint="eastAsia" w:ascii="仿宋" w:hAnsi="仿宋" w:eastAsia="仿宋" w:cs="仿宋"/>
          <w:b/>
          <w:sz w:val="24"/>
        </w:rPr>
        <w:t>七、履约保证金：/</w:t>
      </w:r>
    </w:p>
    <w:p>
      <w:pPr>
        <w:pStyle w:val="14"/>
        <w:tabs>
          <w:tab w:val="left" w:pos="8820"/>
        </w:tabs>
        <w:snapToGrid w:val="0"/>
        <w:spacing w:before="120" w:after="120" w:line="288" w:lineRule="auto"/>
        <w:ind w:left="10" w:leftChars="5" w:right="0" w:rightChars="0" w:firstLine="408" w:firstLineChars="0"/>
        <w:rPr>
          <w:rFonts w:ascii="仿宋" w:hAnsi="仿宋" w:eastAsia="仿宋" w:cs="仿宋"/>
          <w:b/>
          <w:sz w:val="24"/>
        </w:rPr>
      </w:pPr>
      <w:r>
        <w:rPr>
          <w:rFonts w:hint="eastAsia" w:ascii="仿宋" w:hAnsi="仿宋" w:eastAsia="仿宋" w:cs="仿宋"/>
          <w:b/>
          <w:sz w:val="24"/>
        </w:rPr>
        <w:t>八、转包或分包</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1.本合同范围的服务，应由乙方直接提供，不得转让他人提供；</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2.除非得到甲方的书面同意，供方不得部分分包给他人提供。甲方有绝对权力阻止分包。</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3.如有转让和未经甲方同意的分包行为，甲方有权给予终止合同。</w:t>
      </w:r>
    </w:p>
    <w:p>
      <w:pPr>
        <w:pStyle w:val="14"/>
        <w:tabs>
          <w:tab w:val="left" w:pos="8820"/>
        </w:tabs>
        <w:snapToGrid w:val="0"/>
        <w:spacing w:before="120" w:after="120" w:line="288" w:lineRule="auto"/>
        <w:ind w:left="10" w:leftChars="5" w:right="0" w:rightChars="0" w:firstLine="408" w:firstLineChars="0"/>
        <w:rPr>
          <w:rFonts w:ascii="仿宋" w:hAnsi="仿宋" w:eastAsia="仿宋" w:cs="仿宋"/>
          <w:b/>
          <w:sz w:val="24"/>
        </w:rPr>
      </w:pPr>
      <w:r>
        <w:rPr>
          <w:rFonts w:hint="eastAsia" w:ascii="仿宋" w:hAnsi="仿宋" w:eastAsia="仿宋" w:cs="仿宋"/>
          <w:b/>
          <w:sz w:val="24"/>
        </w:rPr>
        <w:t>九、合同履行时间</w:t>
      </w:r>
    </w:p>
    <w:p>
      <w:pPr>
        <w:pStyle w:val="14"/>
        <w:tabs>
          <w:tab w:val="left" w:pos="8820"/>
        </w:tabs>
        <w:snapToGrid w:val="0"/>
        <w:spacing w:before="120" w:after="120" w:line="288" w:lineRule="auto"/>
        <w:ind w:left="10" w:leftChars="5" w:right="0" w:rightChars="0" w:firstLine="408" w:firstLineChars="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lang w:val="en-US" w:eastAsia="zh-CN"/>
        </w:rPr>
        <w:t>二</w:t>
      </w:r>
      <w:r>
        <w:rPr>
          <w:rFonts w:hint="eastAsia" w:ascii="仿宋" w:hAnsi="仿宋" w:eastAsia="仿宋" w:cs="仿宋"/>
          <w:sz w:val="24"/>
        </w:rPr>
        <w:t>学年（</w:t>
      </w:r>
      <w:r>
        <w:rPr>
          <w:rFonts w:hint="eastAsia" w:ascii="仿宋" w:hAnsi="仿宋" w:eastAsia="仿宋" w:cs="仿宋"/>
          <w:sz w:val="24"/>
          <w:lang w:val="en-US" w:eastAsia="zh-CN"/>
        </w:rPr>
        <w:t xml:space="preserve"> </w:t>
      </w:r>
      <w:r>
        <w:rPr>
          <w:rFonts w:hint="eastAsia" w:ascii="仿宋" w:hAnsi="仿宋" w:eastAsia="仿宋" w:cs="仿宋"/>
          <w:sz w:val="24"/>
          <w:szCs w:val="24"/>
          <w:lang w:val="en-US" w:eastAsia="zh-CN"/>
        </w:rPr>
        <w:t>2025年</w:t>
      </w:r>
      <w:r>
        <w:rPr>
          <w:rFonts w:hint="eastAsia" w:ascii="仿宋" w:hAnsi="仿宋" w:eastAsia="仿宋" w:cs="仿宋"/>
          <w:sz w:val="24"/>
          <w:szCs w:val="24"/>
        </w:rPr>
        <w:t>8月15日-</w:t>
      </w:r>
      <w:r>
        <w:rPr>
          <w:rFonts w:hint="eastAsia" w:ascii="仿宋" w:hAnsi="仿宋" w:eastAsia="仿宋" w:cs="仿宋"/>
          <w:sz w:val="24"/>
          <w:szCs w:val="24"/>
          <w:lang w:val="en-US" w:eastAsia="zh-CN"/>
        </w:rPr>
        <w:t>2027年</w:t>
      </w:r>
      <w:r>
        <w:rPr>
          <w:rFonts w:hint="eastAsia" w:ascii="仿宋" w:hAnsi="仿宋" w:eastAsia="仿宋" w:cs="仿宋"/>
          <w:sz w:val="24"/>
          <w:szCs w:val="24"/>
        </w:rPr>
        <w:t>8月14日</w:t>
      </w:r>
      <w:r>
        <w:rPr>
          <w:rFonts w:hint="eastAsia" w:ascii="仿宋" w:hAnsi="仿宋" w:eastAsia="仿宋" w:cs="仿宋"/>
          <w:sz w:val="24"/>
          <w:szCs w:val="24"/>
          <w:lang w:eastAsia="zh-CN"/>
        </w:rPr>
        <w:t>止</w:t>
      </w:r>
      <w:r>
        <w:rPr>
          <w:rFonts w:hint="eastAsia" w:ascii="仿宋" w:hAnsi="仿宋" w:eastAsia="仿宋" w:cs="仿宋"/>
          <w:sz w:val="24"/>
        </w:rPr>
        <w:t>）</w:t>
      </w:r>
    </w:p>
    <w:p>
      <w:pPr>
        <w:pStyle w:val="14"/>
        <w:tabs>
          <w:tab w:val="left" w:pos="8820"/>
        </w:tabs>
        <w:snapToGrid w:val="0"/>
        <w:spacing w:before="120" w:after="120" w:line="288" w:lineRule="auto"/>
        <w:ind w:left="10" w:leftChars="5" w:right="0" w:rightChars="0" w:firstLine="408" w:firstLineChars="0"/>
        <w:rPr>
          <w:rFonts w:ascii="仿宋" w:hAnsi="仿宋" w:eastAsia="仿宋" w:cs="仿宋"/>
          <w:b/>
          <w:sz w:val="24"/>
        </w:rPr>
      </w:pPr>
      <w:r>
        <w:rPr>
          <w:rFonts w:hint="eastAsia" w:ascii="仿宋" w:hAnsi="仿宋" w:eastAsia="仿宋" w:cs="仿宋"/>
          <w:b/>
          <w:sz w:val="24"/>
        </w:rPr>
        <w:t>十、履行地点</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1.台州市</w:t>
      </w:r>
    </w:p>
    <w:p>
      <w:pPr>
        <w:pStyle w:val="14"/>
        <w:tabs>
          <w:tab w:val="left" w:pos="8820"/>
        </w:tabs>
        <w:snapToGrid w:val="0"/>
        <w:spacing w:before="120" w:after="120" w:line="288" w:lineRule="auto"/>
        <w:ind w:left="10" w:leftChars="5" w:right="0" w:rightChars="0" w:firstLine="408"/>
        <w:rPr>
          <w:rFonts w:ascii="仿宋" w:hAnsi="仿宋" w:eastAsia="仿宋" w:cs="仿宋"/>
          <w:b/>
          <w:sz w:val="24"/>
        </w:rPr>
      </w:pPr>
      <w:r>
        <w:rPr>
          <w:rFonts w:hint="eastAsia" w:ascii="仿宋" w:hAnsi="仿宋" w:eastAsia="仿宋" w:cs="仿宋"/>
          <w:b/>
          <w:sz w:val="24"/>
        </w:rPr>
        <w:t>十一、货款支付</w:t>
      </w:r>
    </w:p>
    <w:p>
      <w:pPr>
        <w:tabs>
          <w:tab w:val="left" w:pos="8820"/>
        </w:tabs>
        <w:autoSpaceDE w:val="0"/>
        <w:autoSpaceDN w:val="0"/>
        <w:adjustRightInd w:val="0"/>
        <w:spacing w:line="288" w:lineRule="auto"/>
        <w:ind w:left="10" w:leftChars="5" w:right="0" w:rightChars="0" w:firstLine="408"/>
        <w:rPr>
          <w:rFonts w:hint="eastAsia" w:ascii="仿宋" w:hAnsi="仿宋" w:eastAsia="仿宋" w:cs="仿宋"/>
          <w:bCs/>
          <w:szCs w:val="21"/>
          <w:lang w:eastAsia="zh-CN"/>
        </w:rPr>
      </w:pPr>
      <w:r>
        <w:rPr>
          <w:rFonts w:hint="eastAsia" w:ascii="仿宋" w:hAnsi="仿宋" w:eastAsia="仿宋" w:cs="仿宋"/>
          <w:bCs w:val="0"/>
          <w:sz w:val="24"/>
          <w:szCs w:val="21"/>
        </w:rPr>
        <w:t xml:space="preserve">   </w:t>
      </w:r>
      <w:ins w:id="34" w:author="睡不醒" w:date="2025-07-17T16:08:55Z">
        <w:r>
          <w:rPr>
            <w:rFonts w:hint="eastAsia" w:ascii="仿宋" w:hAnsi="仿宋" w:eastAsia="仿宋" w:cs="仿宋"/>
            <w:bCs/>
            <w:szCs w:val="21"/>
          </w:rPr>
          <w:t xml:space="preserve"> </w:t>
        </w:r>
      </w:ins>
      <w:ins w:id="35" w:author="睡不醒" w:date="2025-07-17T16:08:55Z">
        <w:r>
          <w:rPr>
            <w:rFonts w:hint="eastAsia" w:ascii="仿宋" w:hAnsi="仿宋" w:eastAsia="仿宋" w:cs="仿宋"/>
            <w:bCs/>
            <w:szCs w:val="21"/>
            <w:lang w:eastAsia="zh-CN"/>
          </w:rPr>
          <w:t>一年一付，</w:t>
        </w:r>
      </w:ins>
      <w:ins w:id="36" w:author="睡不醒" w:date="2025-07-17T16:08:55Z">
        <w:r>
          <w:rPr>
            <w:rFonts w:hint="eastAsia" w:ascii="仿宋" w:hAnsi="仿宋" w:eastAsia="仿宋" w:cs="仿宋"/>
            <w:sz w:val="24"/>
            <w:szCs w:val="21"/>
          </w:rPr>
          <w:t>合同签订后，</w:t>
        </w:r>
      </w:ins>
      <w:ins w:id="37" w:author="睡不醒" w:date="2025-07-17T16:08:55Z">
        <w:r>
          <w:rPr>
            <w:rFonts w:hint="eastAsia" w:ascii="仿宋" w:hAnsi="仿宋" w:eastAsia="仿宋" w:cs="仿宋"/>
            <w:sz w:val="24"/>
            <w:szCs w:val="21"/>
            <w:lang w:eastAsia="zh-CN"/>
          </w:rPr>
          <w:t>甲方</w:t>
        </w:r>
      </w:ins>
      <w:ins w:id="38" w:author="睡不醒" w:date="2025-07-17T16:08:55Z">
        <w:r>
          <w:rPr>
            <w:rFonts w:hint="eastAsia" w:ascii="仿宋" w:hAnsi="仿宋" w:eastAsia="仿宋" w:cs="仿宋"/>
            <w:sz w:val="24"/>
            <w:szCs w:val="21"/>
          </w:rPr>
          <w:t>在一个月内向</w:t>
        </w:r>
      </w:ins>
      <w:ins w:id="39" w:author="睡不醒" w:date="2025-07-17T16:08:55Z">
        <w:r>
          <w:rPr>
            <w:rFonts w:hint="eastAsia" w:ascii="仿宋" w:hAnsi="仿宋" w:eastAsia="仿宋" w:cs="仿宋"/>
            <w:sz w:val="24"/>
            <w:szCs w:val="21"/>
            <w:lang w:eastAsia="zh-CN"/>
          </w:rPr>
          <w:t>乙方</w:t>
        </w:r>
      </w:ins>
      <w:ins w:id="40" w:author="睡不醒" w:date="2025-07-17T16:08:55Z">
        <w:r>
          <w:rPr>
            <w:rFonts w:hint="eastAsia" w:ascii="仿宋" w:hAnsi="仿宋" w:eastAsia="仿宋" w:cs="仿宋"/>
            <w:sz w:val="24"/>
            <w:szCs w:val="21"/>
          </w:rPr>
          <w:t>支付</w:t>
        </w:r>
      </w:ins>
      <w:ins w:id="41" w:author="睡不醒" w:date="2025-07-17T16:08:55Z">
        <w:r>
          <w:rPr>
            <w:rFonts w:hint="eastAsia" w:ascii="仿宋" w:hAnsi="仿宋" w:eastAsia="仿宋" w:cs="仿宋"/>
            <w:sz w:val="24"/>
            <w:szCs w:val="21"/>
            <w:lang w:eastAsia="zh-CN"/>
          </w:rPr>
          <w:t>当年</w:t>
        </w:r>
      </w:ins>
      <w:ins w:id="42" w:author="睡不醒" w:date="2025-07-17T16:08:55Z">
        <w:r>
          <w:rPr>
            <w:rFonts w:hint="eastAsia" w:ascii="仿宋" w:hAnsi="仿宋" w:eastAsia="仿宋" w:cs="仿宋"/>
            <w:sz w:val="24"/>
            <w:szCs w:val="21"/>
          </w:rPr>
          <w:t>投保金额，</w:t>
        </w:r>
      </w:ins>
      <w:ins w:id="43" w:author="睡不醒" w:date="2025-07-17T16:08:55Z">
        <w:r>
          <w:rPr>
            <w:rFonts w:hint="eastAsia" w:ascii="仿宋" w:hAnsi="仿宋" w:eastAsia="仿宋" w:cs="仿宋"/>
            <w:sz w:val="24"/>
            <w:szCs w:val="21"/>
            <w:lang w:eastAsia="zh-CN"/>
          </w:rPr>
          <w:t>一年期满后经考核合格后</w:t>
        </w:r>
      </w:ins>
      <w:ins w:id="44" w:author="睡不醒" w:date="2025-07-17T16:08:55Z">
        <w:r>
          <w:rPr>
            <w:rFonts w:hint="eastAsia" w:ascii="仿宋" w:hAnsi="仿宋" w:eastAsia="仿宋" w:cs="仿宋"/>
            <w:sz w:val="24"/>
            <w:szCs w:val="21"/>
            <w:lang w:val="en-US" w:eastAsia="zh-CN"/>
          </w:rPr>
          <w:t>一个月内</w:t>
        </w:r>
      </w:ins>
      <w:ins w:id="45" w:author="睡不醒" w:date="2025-07-17T16:08:55Z">
        <w:r>
          <w:rPr>
            <w:rFonts w:hint="eastAsia" w:ascii="仿宋" w:hAnsi="仿宋" w:eastAsia="仿宋" w:cs="仿宋"/>
            <w:sz w:val="24"/>
            <w:szCs w:val="21"/>
            <w:lang w:eastAsia="zh-CN"/>
          </w:rPr>
          <w:t>支付第二年投保金额。乙方</w:t>
        </w:r>
      </w:ins>
      <w:ins w:id="46" w:author="睡不醒" w:date="2025-07-17T16:08:55Z">
        <w:r>
          <w:rPr>
            <w:rFonts w:hint="eastAsia" w:ascii="仿宋" w:hAnsi="仿宋" w:eastAsia="仿宋" w:cs="仿宋"/>
            <w:sz w:val="24"/>
            <w:szCs w:val="21"/>
          </w:rPr>
          <w:t>收到教育风险管理顾问公司发票后，必须在15个工作日内向教育风险管理顾问公司支付</w:t>
        </w:r>
      </w:ins>
      <w:ins w:id="47" w:author="睡不醒" w:date="2025-07-17T16:08:55Z">
        <w:r>
          <w:rPr>
            <w:rFonts w:hint="eastAsia" w:ascii="仿宋" w:hAnsi="仿宋" w:eastAsia="仿宋" w:cs="仿宋"/>
            <w:sz w:val="24"/>
            <w:szCs w:val="21"/>
            <w:lang w:eastAsia="zh-CN"/>
          </w:rPr>
          <w:t>当年的</w:t>
        </w:r>
      </w:ins>
      <w:ins w:id="48" w:author="睡不醒" w:date="2025-07-17T16:08:55Z">
        <w:r>
          <w:rPr>
            <w:rFonts w:hint="eastAsia" w:ascii="仿宋" w:hAnsi="仿宋" w:eastAsia="仿宋" w:cs="仿宋"/>
            <w:sz w:val="24"/>
            <w:szCs w:val="21"/>
          </w:rPr>
          <w:t>佣金。</w:t>
        </w:r>
      </w:ins>
      <w:bookmarkStart w:id="90" w:name="_GoBack"/>
      <w:bookmarkEnd w:id="90"/>
    </w:p>
    <w:p>
      <w:pPr>
        <w:tabs>
          <w:tab w:val="left" w:pos="8820"/>
        </w:tabs>
        <w:snapToGrid w:val="0"/>
        <w:spacing w:before="156" w:beforeLines="50" w:after="156" w:afterLines="50" w:line="288" w:lineRule="auto"/>
        <w:ind w:left="10" w:leftChars="5" w:right="0" w:rightChars="0" w:firstLine="408"/>
        <w:rPr>
          <w:rFonts w:ascii="仿宋" w:hAnsi="仿宋" w:eastAsia="仿宋" w:cs="仿宋"/>
          <w:b/>
          <w:sz w:val="24"/>
        </w:rPr>
      </w:pPr>
      <w:r>
        <w:rPr>
          <w:rFonts w:hint="eastAsia" w:ascii="仿宋" w:hAnsi="仿宋" w:eastAsia="仿宋" w:cs="仿宋"/>
          <w:b/>
          <w:sz w:val="24"/>
        </w:rPr>
        <w:t>十二、税费</w:t>
      </w:r>
    </w:p>
    <w:p>
      <w:pPr>
        <w:tabs>
          <w:tab w:val="left" w:pos="8820"/>
        </w:tabs>
        <w:snapToGrid w:val="0"/>
        <w:spacing w:before="156" w:beforeLines="50" w:after="156" w:afterLines="50" w:line="288" w:lineRule="auto"/>
        <w:ind w:left="10" w:leftChars="5" w:right="0" w:rightChars="0" w:firstLine="408"/>
        <w:rPr>
          <w:rFonts w:ascii="仿宋" w:hAnsi="仿宋" w:eastAsia="仿宋" w:cs="仿宋"/>
          <w:sz w:val="24"/>
        </w:rPr>
      </w:pPr>
      <w:r>
        <w:rPr>
          <w:rFonts w:hint="eastAsia" w:ascii="仿宋" w:hAnsi="仿宋" w:eastAsia="仿宋" w:cs="仿宋"/>
          <w:sz w:val="24"/>
        </w:rPr>
        <w:t>本合同执行中相关的一切税费均由乙方负担。</w:t>
      </w:r>
    </w:p>
    <w:p>
      <w:pPr>
        <w:pStyle w:val="14"/>
        <w:tabs>
          <w:tab w:val="left" w:pos="8820"/>
        </w:tabs>
        <w:snapToGrid w:val="0"/>
        <w:spacing w:before="120" w:after="120" w:line="288" w:lineRule="auto"/>
        <w:ind w:left="10" w:leftChars="5" w:right="0" w:rightChars="0" w:firstLine="408" w:firstLineChars="0"/>
        <w:rPr>
          <w:rFonts w:ascii="仿宋" w:hAnsi="仿宋" w:eastAsia="仿宋" w:cs="仿宋"/>
          <w:sz w:val="24"/>
        </w:rPr>
      </w:pPr>
      <w:r>
        <w:rPr>
          <w:rFonts w:hint="eastAsia" w:ascii="仿宋" w:hAnsi="仿宋" w:eastAsia="仿宋" w:cs="仿宋"/>
          <w:b/>
          <w:sz w:val="24"/>
        </w:rPr>
        <w:t>十三、服务保证及后续服务</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1. 乙方应按招标文件规定向甲方提供服务。</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 如在使用过程中发生问题，乙方必须在现场解决问题。</w:t>
      </w:r>
    </w:p>
    <w:p>
      <w:pPr>
        <w:pStyle w:val="14"/>
        <w:tabs>
          <w:tab w:val="left" w:pos="8820"/>
        </w:tabs>
        <w:snapToGrid w:val="0"/>
        <w:spacing w:before="120" w:after="120" w:line="288" w:lineRule="auto"/>
        <w:ind w:left="10" w:leftChars="5" w:right="0" w:rightChars="0" w:firstLine="408"/>
        <w:rPr>
          <w:ins w:id="49" w:author="睡不醒" w:date="2025-07-17T14:06:38Z"/>
          <w:rFonts w:hint="eastAsia" w:ascii="仿宋" w:hAnsi="仿宋" w:eastAsia="仿宋" w:cs="仿宋"/>
          <w:b/>
          <w:sz w:val="24"/>
        </w:rPr>
      </w:pPr>
      <w:r>
        <w:rPr>
          <w:rFonts w:hint="eastAsia" w:ascii="仿宋" w:hAnsi="仿宋" w:eastAsia="仿宋" w:cs="仿宋"/>
          <w:bCs/>
          <w:sz w:val="24"/>
        </w:rPr>
        <w:t>3. 在服务期内，乙方应对出现的问题负责处理解决并承担一切费用</w:t>
      </w:r>
      <w:r>
        <w:rPr>
          <w:rFonts w:hint="eastAsia" w:ascii="仿宋" w:hAnsi="仿宋" w:eastAsia="仿宋" w:cs="仿宋"/>
          <w:b/>
          <w:sz w:val="24"/>
        </w:rPr>
        <w:t>。</w:t>
      </w:r>
    </w:p>
    <w:p>
      <w:pPr>
        <w:pStyle w:val="14"/>
        <w:tabs>
          <w:tab w:val="left" w:pos="8820"/>
        </w:tabs>
        <w:snapToGrid w:val="0"/>
        <w:spacing w:before="120" w:after="120" w:line="288" w:lineRule="auto"/>
        <w:ind w:left="10" w:leftChars="5" w:right="0" w:rightChars="0" w:firstLine="408"/>
        <w:rPr>
          <w:rFonts w:ascii="仿宋" w:hAnsi="仿宋" w:eastAsia="仿宋" w:cs="仿宋"/>
          <w:b/>
          <w:sz w:val="24"/>
        </w:rPr>
      </w:pPr>
      <w:r>
        <w:rPr>
          <w:rFonts w:hint="eastAsia" w:ascii="仿宋" w:hAnsi="仿宋" w:eastAsia="仿宋" w:cs="仿宋"/>
          <w:b/>
          <w:sz w:val="24"/>
        </w:rPr>
        <w:t>十四、双方的权利、义务</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1.甲方的权利与义务</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1.1甲方在提供风险管理服务时，应协助投保人办理投保和索赔手续。</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1.2甲方在提供风险管理服务时，不能单方更改双方约定的保险条款、保险费率、赔付限额和宣传资料。</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1.3未经乙方同意，不得修改、印刷乙方所提供的辅助单证和宣传资料。</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1.4按照双方的约定甲方应将收取的保费及时划拨给乙方。</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1.5甲方负责受理案件报案、咨询、资料收集、赔案提交与反馈，不断完善校（园）方责任险报案系统的数据登录及数据分析。</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2.乙方的权利与义务</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2.1乙方应按本合同约定的保险方案承保，办理承保手续。</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2.2乙方及时向甲方提供校（园）方责任险的操作流程和条款。</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2.3乙方应建立安全预警机制，协助学校进行事前风险防范，并每学期（或学年）要为学校的相关人员组织校园风险管理培训。</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2.4学生变动以教育局电子学籍管理档案为准；学校在职（聘）教工、职工、管理人员变动以与学校有实际劳动关系并接受薪金工资为准，不实行批改手续。</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2.5暑期招收的新生，学生出险办理自然转入新校办理。</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2.6由于学年初学生不稳定，甲方只能在开学四周后才确定学生人数，校（园）方保险责任应按8月15日起执行。</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2.7无过错责任协商补偿或超过依法部分赔付在</w:t>
      </w:r>
      <w:r>
        <w:rPr>
          <w:rFonts w:hint="eastAsia" w:ascii="仿宋" w:hAnsi="仿宋" w:eastAsia="仿宋" w:cs="仿宋"/>
          <w:bCs/>
          <w:sz w:val="24"/>
          <w:szCs w:val="24"/>
        </w:rPr>
        <w:t>10万元</w:t>
      </w:r>
      <w:r>
        <w:rPr>
          <w:rFonts w:hint="eastAsia" w:ascii="仿宋" w:hAnsi="仿宋" w:eastAsia="仿宋" w:cs="仿宋"/>
          <w:bCs/>
          <w:sz w:val="24"/>
        </w:rPr>
        <w:t>以内的由甲方提出建议，乙方尽量予以解决。</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2.8发生校（园）方责任事故，理赔后的结果，乙方要及时通报甲方。</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2.9乙方应提供校（园）方责任险简易服务手册，并做好相关保险知识宣传引导工作。</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2.10乙方不能单方面更改双方约定的保险条款、保险费率、赔付限额和宣传资料。</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2.11乙方应成立以负责人为主的校（园）方责任保险理赔服务团队，由有经验的专业理赔人员负责具体的理赔服务工作。设立专门的服务热线电话，配备专用的车辆及相关的服务用具，以满足理赔服务的要求。</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2.12乙方应提供必要的法律援助服务</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成立专门的法律服务小组，在发生校内（外）人身伤害事故时，协助学校妥善处理善后事宜，对学校提供法律和保险方面的援助，减少学校的经济损失和社会纠纷。</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2.13诉讼服务</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对于法院判决中未提及的由学校支出的与所诉讼案件有关的合理费用，乙方应予赔付，同时负责相关法律费用。</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2.14简易定责服务</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对于校（园）方责任不明确的案件，乙方应当依照相关法律法规征求相关部门的意见，做出最终定责，及时进行赔付。</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2.15重大事故协调处理服务</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乙方应当配合教育行政管理部门、学校和省教育风险管理顾问，组建“重大事故临时处理小组”，妥善处理纠纷，缓解社会矛盾。</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2.16信息保密措施</w:t>
      </w:r>
    </w:p>
    <w:p>
      <w:pPr>
        <w:pStyle w:val="14"/>
        <w:tabs>
          <w:tab w:val="left" w:pos="8820"/>
        </w:tabs>
        <w:snapToGrid w:val="0"/>
        <w:spacing w:before="120" w:after="120" w:line="288" w:lineRule="auto"/>
        <w:ind w:left="10" w:leftChars="5" w:right="0" w:rightChars="0" w:firstLine="408"/>
        <w:rPr>
          <w:rFonts w:ascii="仿宋" w:hAnsi="仿宋" w:eastAsia="仿宋" w:cs="仿宋"/>
          <w:bCs/>
          <w:sz w:val="24"/>
        </w:rPr>
      </w:pPr>
      <w:r>
        <w:rPr>
          <w:rFonts w:hint="eastAsia" w:ascii="仿宋" w:hAnsi="仿宋" w:eastAsia="仿宋" w:cs="仿宋"/>
          <w:bCs/>
          <w:sz w:val="24"/>
        </w:rPr>
        <w:t>乙方在保险服务过程中，承诺落实信息安全和保密责任，所有涉及相关合作内容（包括但不限于学生、教职员工）的信息不用于其它领域，如确实需要信息披露的，必须经得甲方同意，否则将承担经济和法律责任。</w:t>
      </w:r>
    </w:p>
    <w:p>
      <w:pPr>
        <w:pStyle w:val="14"/>
        <w:tabs>
          <w:tab w:val="left" w:pos="8820"/>
        </w:tabs>
        <w:snapToGrid w:val="0"/>
        <w:spacing w:before="120" w:after="120" w:line="288" w:lineRule="auto"/>
        <w:ind w:left="10" w:leftChars="5" w:right="0" w:rightChars="0" w:firstLine="408"/>
        <w:rPr>
          <w:rFonts w:ascii="仿宋" w:hAnsi="仿宋" w:eastAsia="仿宋" w:cs="仿宋"/>
          <w:b/>
          <w:sz w:val="24"/>
        </w:rPr>
      </w:pPr>
      <w:r>
        <w:rPr>
          <w:rFonts w:hint="eastAsia" w:ascii="仿宋" w:hAnsi="仿宋" w:eastAsia="仿宋" w:cs="仿宋"/>
          <w:b/>
          <w:sz w:val="24"/>
        </w:rPr>
        <w:t>十五、违约责任</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1.甲、乙双方应严格遵守本合同，违反本合同的应承担违约责任，给对方造成经济损失的应承担赔偿责任。</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2.在合作过程中，甲方有下列情形之一者，乙方有权单方终止合同。甲方因此给乙方造成经济损失的，应承担赔偿责任。构成犯罪的，由甲方自行承担相关法律责任。</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2.1串通投保人，被保险人或受益人欺诈乙方；</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2.2挪用或侵占，贪污保险费；</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2.3擅自变更保险条款；</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2.4其他违反监管规定的行为，情节严重的。</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3.在合作过程中，乙方有下列情形之一者，甲方有权单方终止合同，乙方因此给甲方造成经济损失的，应承担赔偿责任。构成犯罪的，由乙方自行承担相关法律责任。</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3.1乙方避开甲方直接与甲方所介绍的客户签订保险合同；</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3.2未经甲方同意，单方改变对客户的承保条件；</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3.3未按规定支付经纪佣金；</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3.4被保险监管机构收回或吊销保险业务经营许可证；</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3.5其他违反监管规定的行为，情节严重的。</w:t>
      </w:r>
    </w:p>
    <w:p>
      <w:pPr>
        <w:pStyle w:val="14"/>
        <w:tabs>
          <w:tab w:val="left" w:pos="8820"/>
        </w:tabs>
        <w:snapToGrid w:val="0"/>
        <w:spacing w:before="120" w:after="120" w:line="288" w:lineRule="auto"/>
        <w:ind w:left="10" w:leftChars="5" w:right="0" w:rightChars="0" w:firstLine="408"/>
        <w:rPr>
          <w:rFonts w:ascii="仿宋" w:hAnsi="仿宋" w:eastAsia="仿宋" w:cs="仿宋"/>
          <w:b/>
          <w:sz w:val="24"/>
        </w:rPr>
      </w:pPr>
      <w:r>
        <w:rPr>
          <w:rFonts w:hint="eastAsia" w:ascii="仿宋" w:hAnsi="仿宋" w:eastAsia="仿宋" w:cs="仿宋"/>
          <w:b/>
          <w:sz w:val="24"/>
        </w:rPr>
        <w:t>十六、不可抗力事件处理</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1. 在合同有效期内，任何一方因不可抗力事件导致不能履行合同，则合同履行期可延长，其延长期与不可抗力影响期相同。</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2. 不可抗力事件发生后，应立即通知对方，并寄送有关权威机构出具的证明。</w:t>
      </w:r>
    </w:p>
    <w:p>
      <w:pPr>
        <w:pStyle w:val="14"/>
        <w:tabs>
          <w:tab w:val="left" w:pos="8820"/>
        </w:tabs>
        <w:snapToGrid w:val="0"/>
        <w:spacing w:before="120" w:after="120" w:line="288" w:lineRule="auto"/>
        <w:ind w:left="10" w:leftChars="5" w:right="0" w:rightChars="0" w:firstLine="408"/>
        <w:rPr>
          <w:rFonts w:ascii="仿宋" w:hAnsi="仿宋" w:eastAsia="仿宋" w:cs="仿宋"/>
          <w:sz w:val="24"/>
        </w:rPr>
      </w:pPr>
      <w:r>
        <w:rPr>
          <w:rFonts w:hint="eastAsia" w:ascii="仿宋" w:hAnsi="仿宋" w:eastAsia="仿宋" w:cs="仿宋"/>
          <w:sz w:val="24"/>
        </w:rPr>
        <w:t>3. 不可抗力事件延续120天以上，双方应通过友好协商，确定是否继续履行合同。</w:t>
      </w:r>
    </w:p>
    <w:p>
      <w:pPr>
        <w:pStyle w:val="14"/>
        <w:tabs>
          <w:tab w:val="left" w:pos="8820"/>
        </w:tabs>
        <w:snapToGrid w:val="0"/>
        <w:spacing w:before="120" w:after="120" w:line="360" w:lineRule="auto"/>
        <w:ind w:left="10" w:leftChars="5" w:right="0" w:rightChars="0" w:firstLine="408"/>
        <w:rPr>
          <w:rFonts w:ascii="仿宋" w:hAnsi="仿宋" w:eastAsia="仿宋" w:cs="仿宋"/>
          <w:b/>
          <w:sz w:val="24"/>
        </w:rPr>
      </w:pPr>
      <w:r>
        <w:rPr>
          <w:rFonts w:hint="eastAsia" w:ascii="仿宋" w:hAnsi="仿宋" w:eastAsia="仿宋" w:cs="仿宋"/>
          <w:b/>
          <w:sz w:val="24"/>
        </w:rPr>
        <w:t>十七、解决争议的方法</w:t>
      </w:r>
    </w:p>
    <w:p>
      <w:pPr>
        <w:widowControl/>
        <w:tabs>
          <w:tab w:val="left" w:pos="8820"/>
        </w:tabs>
        <w:spacing w:line="360" w:lineRule="auto"/>
        <w:ind w:left="10" w:leftChars="5" w:right="0" w:rightChars="0" w:firstLine="408"/>
        <w:jc w:val="left"/>
        <w:rPr>
          <w:rFonts w:ascii="仿宋" w:hAnsi="仿宋" w:eastAsia="仿宋" w:cs="仿宋"/>
          <w:kern w:val="0"/>
          <w:sz w:val="24"/>
        </w:rPr>
      </w:pPr>
      <w:r>
        <w:rPr>
          <w:rFonts w:hint="eastAsia" w:ascii="仿宋" w:hAnsi="仿宋" w:eastAsia="仿宋" w:cs="仿宋"/>
          <w:kern w:val="0"/>
          <w:sz w:val="24"/>
        </w:rPr>
        <w:t>1. 如双方在履行合同时发生纠纷，应协商解决；协商不成时，可提请政府采购管理部门调解；调解不成的通过以下方式解决：</w:t>
      </w:r>
    </w:p>
    <w:p>
      <w:pPr>
        <w:widowControl/>
        <w:tabs>
          <w:tab w:val="left" w:pos="8820"/>
        </w:tabs>
        <w:spacing w:line="360" w:lineRule="auto"/>
        <w:ind w:left="10" w:leftChars="5" w:right="0" w:rightChars="0" w:firstLine="408"/>
        <w:jc w:val="left"/>
        <w:rPr>
          <w:rFonts w:ascii="仿宋" w:hAnsi="仿宋" w:eastAsia="仿宋" w:cs="仿宋"/>
          <w:sz w:val="24"/>
        </w:rPr>
      </w:pPr>
      <w:r>
        <w:rPr>
          <w:rFonts w:hint="eastAsia" w:ascii="仿宋" w:hAnsi="仿宋" w:eastAsia="仿宋" w:cs="仿宋"/>
          <w:kern w:val="0"/>
          <w:sz w:val="24"/>
        </w:rPr>
        <w:t xml:space="preserve">（1） 依法向人民法院提起诉讼。 </w:t>
      </w:r>
    </w:p>
    <w:p>
      <w:pPr>
        <w:pStyle w:val="14"/>
        <w:tabs>
          <w:tab w:val="left" w:pos="5790"/>
          <w:tab w:val="left" w:pos="8820"/>
        </w:tabs>
        <w:snapToGrid w:val="0"/>
        <w:spacing w:before="120" w:after="120" w:line="360" w:lineRule="auto"/>
        <w:ind w:left="10" w:leftChars="5" w:right="0" w:rightChars="0" w:firstLine="408"/>
        <w:rPr>
          <w:rFonts w:ascii="仿宋" w:hAnsi="仿宋" w:eastAsia="仿宋" w:cs="仿宋"/>
          <w:b/>
          <w:sz w:val="24"/>
        </w:rPr>
      </w:pPr>
      <w:r>
        <w:rPr>
          <w:rFonts w:hint="eastAsia" w:ascii="仿宋" w:hAnsi="仿宋" w:eastAsia="仿宋" w:cs="仿宋"/>
          <w:b/>
          <w:sz w:val="24"/>
        </w:rPr>
        <w:t>十八、合同生效及其它</w:t>
      </w:r>
      <w:r>
        <w:rPr>
          <w:rFonts w:hint="eastAsia" w:ascii="仿宋" w:hAnsi="仿宋" w:eastAsia="仿宋" w:cs="仿宋"/>
          <w:b/>
          <w:sz w:val="24"/>
        </w:rPr>
        <w:tab/>
      </w:r>
    </w:p>
    <w:p>
      <w:pPr>
        <w:pStyle w:val="11"/>
        <w:widowControl/>
        <w:tabs>
          <w:tab w:val="left" w:pos="8820"/>
        </w:tabs>
        <w:spacing w:line="360" w:lineRule="auto"/>
        <w:ind w:left="10" w:leftChars="5" w:right="0" w:rightChars="0" w:firstLine="408"/>
        <w:rPr>
          <w:rFonts w:ascii="仿宋" w:hAnsi="仿宋" w:eastAsia="仿宋" w:cs="仿宋"/>
        </w:rPr>
      </w:pPr>
      <w:r>
        <w:rPr>
          <w:rFonts w:hint="eastAsia" w:ascii="仿宋" w:hAnsi="仿宋" w:eastAsia="仿宋" w:cs="仿宋"/>
        </w:rPr>
        <w:t>1. 合同经双方法定代表人或授权代表签字并加盖单位公章后生效。</w:t>
      </w:r>
    </w:p>
    <w:p>
      <w:pPr>
        <w:pStyle w:val="11"/>
        <w:widowControl/>
        <w:tabs>
          <w:tab w:val="left" w:pos="8820"/>
        </w:tabs>
        <w:spacing w:line="360" w:lineRule="auto"/>
        <w:ind w:left="10" w:leftChars="5" w:right="0" w:rightChars="0" w:firstLine="408"/>
        <w:rPr>
          <w:rFonts w:ascii="仿宋" w:hAnsi="仿宋" w:eastAsia="仿宋" w:cs="仿宋"/>
        </w:rPr>
      </w:pPr>
      <w:r>
        <w:rPr>
          <w:rFonts w:hint="eastAsia" w:ascii="仿宋" w:hAnsi="仿宋" w:eastAsia="仿宋" w:cs="仿宋"/>
        </w:rPr>
        <w:t>2. 本合同未尽事宜，遵照《民法典》有关条文执行。</w:t>
      </w:r>
    </w:p>
    <w:p>
      <w:pPr>
        <w:pStyle w:val="11"/>
        <w:widowControl/>
        <w:tabs>
          <w:tab w:val="left" w:pos="8820"/>
        </w:tabs>
        <w:spacing w:line="360" w:lineRule="auto"/>
        <w:ind w:left="10" w:leftChars="5" w:right="0" w:rightChars="0" w:firstLine="408"/>
        <w:rPr>
          <w:rFonts w:ascii="仿宋" w:hAnsi="仿宋" w:eastAsia="仿宋" w:cs="仿宋"/>
        </w:rPr>
      </w:pPr>
      <w:r>
        <w:rPr>
          <w:rFonts w:hint="eastAsia" w:ascii="仿宋" w:hAnsi="仿宋" w:eastAsia="仿宋" w:cs="仿宋"/>
        </w:rPr>
        <w:t>3. 本合同一式四份。甲、乙双方各执一份，采购组织机构及同级人民政府财政部门各执一份。本项目未尽事宜以招标文件、投标文件及澄清文件等为准。</w:t>
      </w:r>
    </w:p>
    <w:p>
      <w:pPr>
        <w:tabs>
          <w:tab w:val="left" w:pos="8820"/>
        </w:tabs>
        <w:spacing w:line="360" w:lineRule="auto"/>
        <w:ind w:left="10" w:leftChars="5" w:right="0" w:rightChars="0" w:firstLine="408"/>
        <w:rPr>
          <w:rFonts w:ascii="仿宋" w:hAnsi="仿宋" w:eastAsia="仿宋" w:cs="仿宋"/>
          <w:sz w:val="24"/>
        </w:rPr>
      </w:pPr>
      <w:r>
        <w:rPr>
          <w:rFonts w:hint="eastAsia" w:ascii="仿宋" w:hAnsi="仿宋" w:eastAsia="仿宋" w:cs="仿宋"/>
          <w:sz w:val="24"/>
        </w:rPr>
        <w:t>甲方（公章）                                     乙方（公章）</w:t>
      </w:r>
    </w:p>
    <w:p>
      <w:pPr>
        <w:tabs>
          <w:tab w:val="left" w:pos="8820"/>
        </w:tabs>
        <w:spacing w:line="360" w:lineRule="auto"/>
        <w:ind w:left="10" w:leftChars="5" w:right="0" w:rightChars="0" w:firstLine="408"/>
        <w:rPr>
          <w:rFonts w:ascii="仿宋" w:hAnsi="仿宋" w:eastAsia="仿宋" w:cs="仿宋"/>
          <w:sz w:val="24"/>
        </w:rPr>
      </w:pPr>
      <w:r>
        <w:rPr>
          <w:rFonts w:hint="eastAsia" w:ascii="仿宋" w:hAnsi="仿宋" w:eastAsia="仿宋" w:cs="仿宋"/>
          <w:sz w:val="24"/>
        </w:rPr>
        <w:t>法定代表人：                                     法定代表人：</w:t>
      </w:r>
    </w:p>
    <w:p>
      <w:pPr>
        <w:tabs>
          <w:tab w:val="left" w:pos="8820"/>
        </w:tabs>
        <w:spacing w:line="360" w:lineRule="auto"/>
        <w:ind w:left="10" w:leftChars="5" w:right="0" w:rightChars="0" w:firstLine="408"/>
        <w:rPr>
          <w:rFonts w:ascii="仿宋" w:hAnsi="仿宋" w:eastAsia="仿宋" w:cs="仿宋"/>
          <w:sz w:val="24"/>
        </w:rPr>
      </w:pPr>
      <w:r>
        <w:rPr>
          <w:rFonts w:hint="eastAsia" w:ascii="仿宋" w:hAnsi="仿宋" w:eastAsia="仿宋" w:cs="仿宋"/>
          <w:sz w:val="24"/>
        </w:rPr>
        <w:t>委托代理人：                                     委托代理人：</w:t>
      </w:r>
    </w:p>
    <w:p>
      <w:pPr>
        <w:tabs>
          <w:tab w:val="left" w:pos="8820"/>
        </w:tabs>
        <w:spacing w:line="360" w:lineRule="auto"/>
        <w:ind w:left="10" w:leftChars="5" w:right="0" w:rightChars="0" w:firstLine="408"/>
        <w:rPr>
          <w:rFonts w:ascii="仿宋" w:hAnsi="仿宋" w:eastAsia="仿宋" w:cs="仿宋"/>
          <w:sz w:val="24"/>
        </w:rPr>
      </w:pPr>
      <w:r>
        <w:rPr>
          <w:rFonts w:hint="eastAsia" w:ascii="仿宋" w:hAnsi="仿宋" w:eastAsia="仿宋" w:cs="仿宋"/>
          <w:sz w:val="24"/>
        </w:rPr>
        <w:t>联系电话：                                       联系电话：</w:t>
      </w:r>
    </w:p>
    <w:p>
      <w:pPr>
        <w:tabs>
          <w:tab w:val="left" w:pos="8820"/>
        </w:tabs>
        <w:spacing w:line="360" w:lineRule="auto"/>
        <w:ind w:left="10" w:leftChars="5" w:right="0" w:rightChars="0" w:firstLine="408"/>
        <w:rPr>
          <w:rFonts w:ascii="仿宋" w:hAnsi="仿宋" w:eastAsia="仿宋" w:cs="仿宋"/>
          <w:sz w:val="24"/>
        </w:rPr>
      </w:pPr>
      <w:r>
        <w:rPr>
          <w:rFonts w:hint="eastAsia" w:ascii="仿宋" w:hAnsi="仿宋" w:eastAsia="仿宋" w:cs="仿宋"/>
          <w:sz w:val="24"/>
        </w:rPr>
        <w:t>开户银行：                                       开户银行：</w:t>
      </w:r>
    </w:p>
    <w:p>
      <w:pPr>
        <w:tabs>
          <w:tab w:val="left" w:pos="8820"/>
        </w:tabs>
        <w:spacing w:line="360" w:lineRule="auto"/>
        <w:ind w:left="10" w:leftChars="5" w:right="0" w:rightChars="0" w:firstLine="408"/>
        <w:rPr>
          <w:rFonts w:ascii="仿宋" w:hAnsi="仿宋" w:eastAsia="仿宋" w:cs="仿宋"/>
          <w:sz w:val="24"/>
        </w:rPr>
      </w:pPr>
      <w:r>
        <w:rPr>
          <w:rFonts w:hint="eastAsia" w:ascii="仿宋" w:hAnsi="仿宋" w:eastAsia="仿宋" w:cs="仿宋"/>
          <w:sz w:val="24"/>
        </w:rPr>
        <w:t>帐号：                                           帐号：</w:t>
      </w:r>
    </w:p>
    <w:p>
      <w:pPr>
        <w:tabs>
          <w:tab w:val="left" w:pos="8820"/>
        </w:tabs>
        <w:spacing w:line="360" w:lineRule="auto"/>
        <w:ind w:left="10" w:leftChars="5" w:right="0" w:rightChars="0" w:firstLine="408"/>
        <w:rPr>
          <w:rFonts w:ascii="仿宋" w:hAnsi="仿宋" w:eastAsia="仿宋" w:cs="仿宋"/>
          <w:sz w:val="24"/>
        </w:rPr>
      </w:pPr>
      <w:r>
        <w:rPr>
          <w:rFonts w:hint="eastAsia" w:ascii="仿宋" w:hAnsi="仿宋" w:eastAsia="仿宋" w:cs="仿宋"/>
          <w:sz w:val="24"/>
        </w:rPr>
        <w:t>地址及邮编：                                     地址及邮编：</w:t>
      </w:r>
    </w:p>
    <w:p>
      <w:pPr>
        <w:tabs>
          <w:tab w:val="left" w:pos="8820"/>
        </w:tabs>
        <w:spacing w:line="360" w:lineRule="auto"/>
        <w:ind w:left="10" w:leftChars="5" w:right="0" w:rightChars="0" w:firstLine="408" w:firstLineChars="0"/>
        <w:rPr>
          <w:rFonts w:ascii="仿宋" w:hAnsi="仿宋" w:eastAsia="仿宋" w:cs="仿宋"/>
          <w:sz w:val="24"/>
        </w:rPr>
      </w:pPr>
      <w:r>
        <w:rPr>
          <w:rFonts w:hint="eastAsia" w:ascii="仿宋" w:hAnsi="仿宋" w:eastAsia="仿宋" w:cs="仿宋"/>
          <w:sz w:val="24"/>
        </w:rPr>
        <w:t>签订时间：    年   月    日</w:t>
      </w:r>
    </w:p>
    <w:p>
      <w:pPr>
        <w:rPr>
          <w:rFonts w:ascii="仿宋" w:hAnsi="仿宋" w:eastAsia="仿宋" w:cs="仿宋"/>
        </w:rPr>
      </w:pPr>
      <w:r>
        <w:rPr>
          <w:rFonts w:hint="eastAsia" w:ascii="仿宋" w:hAnsi="仿宋" w:eastAsia="仿宋" w:cs="仿宋"/>
        </w:rPr>
        <w:br w:type="page"/>
      </w:r>
    </w:p>
    <w:p>
      <w:pPr>
        <w:keepNext/>
        <w:keepLines/>
        <w:numPr>
          <w:ilvl w:val="0"/>
          <w:numId w:val="2"/>
        </w:numPr>
        <w:snapToGrid w:val="0"/>
        <w:spacing w:line="360" w:lineRule="auto"/>
        <w:ind w:left="432" w:leftChars="200" w:right="924" w:rightChars="440" w:hanging="12"/>
        <w:jc w:val="center"/>
        <w:outlineLvl w:val="0"/>
        <w:rPr>
          <w:rFonts w:ascii="仿宋" w:hAnsi="仿宋" w:eastAsia="仿宋" w:cs="仿宋"/>
          <w:b/>
          <w:bCs/>
          <w:kern w:val="44"/>
          <w:sz w:val="32"/>
          <w:szCs w:val="44"/>
        </w:rPr>
      </w:pPr>
      <w:bookmarkStart w:id="64" w:name="_Toc48647099"/>
      <w:bookmarkStart w:id="65" w:name="_Toc8524"/>
      <w:r>
        <w:rPr>
          <w:rFonts w:hint="eastAsia" w:ascii="仿宋" w:hAnsi="仿宋" w:eastAsia="仿宋" w:cs="仿宋"/>
          <w:b/>
          <w:bCs/>
          <w:kern w:val="44"/>
          <w:sz w:val="32"/>
          <w:szCs w:val="44"/>
        </w:rPr>
        <w:t>投标文件格式</w:t>
      </w:r>
      <w:bookmarkEnd w:id="64"/>
      <w:bookmarkEnd w:id="65"/>
    </w:p>
    <w:p>
      <w:pPr>
        <w:keepNext/>
        <w:keepLines/>
        <w:snapToGrid w:val="0"/>
        <w:spacing w:line="360" w:lineRule="auto"/>
        <w:ind w:left="432" w:leftChars="200" w:right="924" w:rightChars="440" w:hanging="12"/>
        <w:outlineLvl w:val="1"/>
        <w:rPr>
          <w:rFonts w:ascii="仿宋" w:hAnsi="仿宋" w:eastAsia="仿宋" w:cs="仿宋"/>
          <w:b/>
          <w:bCs/>
          <w:sz w:val="30"/>
          <w:szCs w:val="32"/>
        </w:rPr>
      </w:pPr>
      <w:bookmarkStart w:id="66" w:name="_Toc11206_WPSOffice_Level1"/>
      <w:bookmarkStart w:id="67" w:name="_Toc48647100"/>
      <w:bookmarkStart w:id="68" w:name="_Toc18242_WPSOffice_Level1"/>
      <w:bookmarkStart w:id="69" w:name="_Toc16311_WPSOffice_Level1"/>
      <w:bookmarkStart w:id="70" w:name="_Toc28187_WPSOffice_Level2"/>
      <w:r>
        <w:rPr>
          <w:rFonts w:hint="eastAsia" w:ascii="仿宋" w:hAnsi="仿宋" w:eastAsia="仿宋" w:cs="仿宋"/>
          <w:b/>
          <w:bCs/>
          <w:sz w:val="30"/>
          <w:szCs w:val="32"/>
        </w:rPr>
        <w:t>一、资格证明文件格式</w:t>
      </w:r>
      <w:bookmarkEnd w:id="66"/>
      <w:bookmarkEnd w:id="67"/>
      <w:bookmarkEnd w:id="68"/>
      <w:bookmarkEnd w:id="69"/>
      <w:bookmarkEnd w:id="70"/>
    </w:p>
    <w:p>
      <w:pPr>
        <w:spacing w:line="360" w:lineRule="auto"/>
        <w:ind w:left="432" w:leftChars="200" w:right="924" w:rightChars="440" w:hanging="12"/>
        <w:rPr>
          <w:rFonts w:ascii="仿宋" w:hAnsi="仿宋" w:eastAsia="仿宋" w:cs="仿宋"/>
          <w:b/>
          <w:sz w:val="32"/>
          <w:szCs w:val="32"/>
        </w:rPr>
      </w:pPr>
    </w:p>
    <w:p>
      <w:pPr>
        <w:spacing w:line="360" w:lineRule="auto"/>
        <w:ind w:left="432" w:leftChars="200" w:right="924" w:rightChars="440" w:hanging="12"/>
        <w:jc w:val="center"/>
        <w:rPr>
          <w:rFonts w:ascii="仿宋" w:hAnsi="仿宋" w:eastAsia="仿宋" w:cs="仿宋"/>
          <w:spacing w:val="40"/>
          <w:sz w:val="32"/>
          <w:szCs w:val="32"/>
        </w:rPr>
      </w:pPr>
      <w:bookmarkStart w:id="71" w:name="_Toc10933_WPSOffice_Level1"/>
      <w:bookmarkStart w:id="72" w:name="_Toc19080_WPSOffice_Level1"/>
      <w:bookmarkStart w:id="73" w:name="_Toc29152_WPSOffice_Level1"/>
      <w:r>
        <w:rPr>
          <w:rFonts w:hint="eastAsia" w:ascii="仿宋" w:hAnsi="仿宋" w:eastAsia="仿宋" w:cs="仿宋"/>
          <w:spacing w:val="40"/>
          <w:sz w:val="32"/>
          <w:szCs w:val="32"/>
        </w:rPr>
        <w:t>项目名称</w:t>
      </w:r>
      <w:bookmarkEnd w:id="71"/>
      <w:bookmarkEnd w:id="72"/>
      <w:bookmarkEnd w:id="73"/>
    </w:p>
    <w:p>
      <w:pPr>
        <w:spacing w:line="360" w:lineRule="auto"/>
        <w:ind w:left="432" w:leftChars="200" w:right="924" w:rightChars="440" w:hanging="12"/>
        <w:jc w:val="center"/>
        <w:rPr>
          <w:rFonts w:ascii="仿宋" w:hAnsi="仿宋" w:eastAsia="仿宋" w:cs="仿宋"/>
          <w:spacing w:val="40"/>
          <w:sz w:val="32"/>
          <w:szCs w:val="32"/>
        </w:rPr>
      </w:pPr>
    </w:p>
    <w:p>
      <w:pPr>
        <w:spacing w:before="312" w:beforeLines="100" w:line="360" w:lineRule="auto"/>
        <w:ind w:left="432" w:leftChars="200" w:right="924" w:rightChars="440" w:hanging="12"/>
        <w:jc w:val="center"/>
        <w:rPr>
          <w:rFonts w:ascii="仿宋" w:hAnsi="仿宋" w:eastAsia="仿宋" w:cs="仿宋"/>
          <w:sz w:val="32"/>
          <w:szCs w:val="32"/>
        </w:rPr>
      </w:pPr>
      <w:bookmarkStart w:id="74" w:name="_Toc28057_WPSOffice_Level2"/>
      <w:bookmarkStart w:id="75" w:name="_Toc17833_WPSOffice_Level2"/>
      <w:r>
        <w:rPr>
          <w:rFonts w:hint="eastAsia" w:ascii="仿宋" w:hAnsi="仿宋" w:eastAsia="仿宋" w:cs="仿宋"/>
          <w:sz w:val="32"/>
          <w:szCs w:val="32"/>
        </w:rPr>
        <w:t>项目编号：</w:t>
      </w:r>
      <w:bookmarkEnd w:id="74"/>
      <w:bookmarkEnd w:id="75"/>
    </w:p>
    <w:p>
      <w:pPr>
        <w:spacing w:before="312" w:beforeLines="100" w:line="360" w:lineRule="auto"/>
        <w:ind w:left="432" w:leftChars="200" w:right="924" w:rightChars="440" w:hanging="12"/>
        <w:jc w:val="center"/>
        <w:rPr>
          <w:rFonts w:ascii="仿宋" w:hAnsi="仿宋" w:eastAsia="仿宋" w:cs="仿宋"/>
          <w:sz w:val="32"/>
          <w:szCs w:val="32"/>
        </w:rPr>
      </w:pPr>
    </w:p>
    <w:p>
      <w:pPr>
        <w:autoSpaceDE w:val="0"/>
        <w:autoSpaceDN w:val="0"/>
        <w:adjustRightInd w:val="0"/>
        <w:spacing w:line="360" w:lineRule="auto"/>
        <w:ind w:left="432" w:leftChars="200" w:right="924" w:rightChars="440" w:hanging="12"/>
        <w:jc w:val="center"/>
        <w:rPr>
          <w:rFonts w:ascii="仿宋" w:hAnsi="仿宋" w:eastAsia="仿宋" w:cs="仿宋"/>
          <w:sz w:val="32"/>
          <w:szCs w:val="32"/>
          <w:lang w:val="zh-CN"/>
        </w:rPr>
      </w:pPr>
      <w:r>
        <w:rPr>
          <w:rFonts w:hint="eastAsia" w:ascii="仿宋" w:hAnsi="仿宋" w:eastAsia="仿宋" w:cs="仿宋"/>
          <w:sz w:val="32"/>
          <w:szCs w:val="32"/>
          <w:lang w:val="zh-CN"/>
        </w:rPr>
        <w:t>投</w:t>
      </w:r>
    </w:p>
    <w:p>
      <w:pPr>
        <w:autoSpaceDE w:val="0"/>
        <w:autoSpaceDN w:val="0"/>
        <w:adjustRightInd w:val="0"/>
        <w:spacing w:line="360" w:lineRule="auto"/>
        <w:ind w:left="432" w:leftChars="200" w:right="924" w:rightChars="440" w:hanging="12"/>
        <w:jc w:val="center"/>
        <w:rPr>
          <w:rFonts w:ascii="仿宋" w:hAnsi="仿宋" w:eastAsia="仿宋" w:cs="仿宋"/>
          <w:sz w:val="32"/>
          <w:szCs w:val="32"/>
          <w:lang w:val="zh-CN"/>
        </w:rPr>
      </w:pPr>
      <w:r>
        <w:rPr>
          <w:rFonts w:hint="eastAsia" w:ascii="仿宋" w:hAnsi="仿宋" w:eastAsia="仿宋" w:cs="仿宋"/>
          <w:sz w:val="32"/>
          <w:szCs w:val="32"/>
          <w:lang w:val="zh-CN"/>
        </w:rPr>
        <w:t>标</w:t>
      </w:r>
    </w:p>
    <w:p>
      <w:pPr>
        <w:autoSpaceDE w:val="0"/>
        <w:autoSpaceDN w:val="0"/>
        <w:adjustRightInd w:val="0"/>
        <w:spacing w:line="360" w:lineRule="auto"/>
        <w:ind w:left="432" w:leftChars="200" w:right="924" w:rightChars="440" w:hanging="12"/>
        <w:jc w:val="center"/>
        <w:rPr>
          <w:rFonts w:ascii="仿宋" w:hAnsi="仿宋" w:eastAsia="仿宋" w:cs="仿宋"/>
          <w:sz w:val="32"/>
          <w:szCs w:val="32"/>
        </w:rPr>
      </w:pPr>
      <w:r>
        <w:rPr>
          <w:rFonts w:hint="eastAsia" w:ascii="仿宋" w:hAnsi="仿宋" w:eastAsia="仿宋" w:cs="仿宋"/>
          <w:sz w:val="32"/>
          <w:szCs w:val="32"/>
          <w:lang w:val="zh-CN"/>
        </w:rPr>
        <w:t>文</w:t>
      </w:r>
    </w:p>
    <w:p>
      <w:pPr>
        <w:spacing w:after="100" w:afterAutospacing="1" w:line="360" w:lineRule="auto"/>
        <w:ind w:left="432" w:leftChars="200" w:right="924" w:rightChars="440" w:hanging="12"/>
        <w:jc w:val="center"/>
        <w:rPr>
          <w:rFonts w:ascii="仿宋" w:hAnsi="仿宋" w:eastAsia="仿宋" w:cs="仿宋"/>
          <w:sz w:val="32"/>
          <w:szCs w:val="32"/>
          <w:lang w:val="zh-CN"/>
        </w:rPr>
      </w:pPr>
      <w:r>
        <w:rPr>
          <w:rFonts w:hint="eastAsia" w:ascii="仿宋" w:hAnsi="仿宋" w:eastAsia="仿宋" w:cs="仿宋"/>
          <w:sz w:val="32"/>
          <w:szCs w:val="32"/>
          <w:lang w:val="zh-CN"/>
        </w:rPr>
        <w:t>件</w:t>
      </w:r>
    </w:p>
    <w:p>
      <w:pPr>
        <w:spacing w:after="100" w:afterAutospacing="1" w:line="360" w:lineRule="auto"/>
        <w:ind w:left="432" w:leftChars="200" w:right="924" w:rightChars="440" w:hanging="12"/>
        <w:jc w:val="center"/>
        <w:rPr>
          <w:rFonts w:ascii="仿宋" w:hAnsi="仿宋" w:eastAsia="仿宋" w:cs="仿宋"/>
          <w:sz w:val="32"/>
          <w:szCs w:val="32"/>
          <w:lang w:val="zh-CN"/>
        </w:rPr>
      </w:pPr>
    </w:p>
    <w:p>
      <w:pPr>
        <w:spacing w:after="100" w:afterAutospacing="1" w:line="360" w:lineRule="auto"/>
        <w:ind w:left="432" w:leftChars="200" w:right="924" w:rightChars="440" w:hanging="12"/>
        <w:jc w:val="center"/>
        <w:rPr>
          <w:rFonts w:ascii="仿宋" w:hAnsi="仿宋" w:eastAsia="仿宋" w:cs="仿宋"/>
          <w:b/>
          <w:spacing w:val="40"/>
          <w:sz w:val="32"/>
          <w:szCs w:val="32"/>
        </w:rPr>
      </w:pPr>
      <w:r>
        <w:rPr>
          <w:rFonts w:hint="eastAsia" w:ascii="仿宋" w:hAnsi="仿宋" w:eastAsia="仿宋" w:cs="仿宋"/>
          <w:sz w:val="32"/>
          <w:szCs w:val="32"/>
          <w:lang w:val="zh-CN"/>
        </w:rPr>
        <w:t>（</w:t>
      </w:r>
      <w:r>
        <w:rPr>
          <w:rFonts w:hint="eastAsia" w:ascii="仿宋" w:hAnsi="仿宋" w:eastAsia="仿宋" w:cs="仿宋"/>
          <w:b/>
          <w:spacing w:val="40"/>
          <w:sz w:val="32"/>
          <w:szCs w:val="32"/>
        </w:rPr>
        <w:t>资格证明文件）</w:t>
      </w:r>
    </w:p>
    <w:p>
      <w:pPr>
        <w:spacing w:after="100" w:afterAutospacing="1" w:line="360" w:lineRule="auto"/>
        <w:ind w:left="432" w:leftChars="200" w:right="924" w:rightChars="440" w:hanging="12"/>
        <w:jc w:val="center"/>
        <w:rPr>
          <w:rFonts w:ascii="仿宋" w:hAnsi="仿宋" w:eastAsia="仿宋" w:cs="仿宋"/>
          <w:b/>
          <w:spacing w:val="40"/>
          <w:sz w:val="32"/>
          <w:szCs w:val="32"/>
        </w:rPr>
      </w:pPr>
    </w:p>
    <w:p>
      <w:pPr>
        <w:spacing w:line="360" w:lineRule="auto"/>
        <w:ind w:left="432" w:leftChars="200" w:right="924" w:rightChars="440" w:hanging="12"/>
        <w:rPr>
          <w:rFonts w:ascii="仿宋" w:hAnsi="仿宋" w:eastAsia="仿宋" w:cs="仿宋"/>
          <w:sz w:val="32"/>
          <w:szCs w:val="32"/>
        </w:rPr>
      </w:pPr>
      <w:r>
        <w:rPr>
          <w:rFonts w:hint="eastAsia" w:ascii="仿宋" w:hAnsi="仿宋" w:eastAsia="仿宋" w:cs="仿宋"/>
          <w:sz w:val="32"/>
          <w:szCs w:val="32"/>
        </w:rPr>
        <w:t>投标人全称（公章）：</w:t>
      </w:r>
    </w:p>
    <w:p>
      <w:pPr>
        <w:spacing w:line="360" w:lineRule="auto"/>
        <w:ind w:left="432" w:leftChars="200" w:right="924" w:rightChars="440" w:hanging="12"/>
        <w:rPr>
          <w:rFonts w:ascii="仿宋" w:hAnsi="仿宋" w:eastAsia="仿宋" w:cs="仿宋"/>
          <w:sz w:val="32"/>
          <w:szCs w:val="32"/>
        </w:rPr>
      </w:pPr>
      <w:r>
        <w:rPr>
          <w:rFonts w:hint="eastAsia" w:ascii="仿宋" w:hAnsi="仿宋" w:eastAsia="仿宋" w:cs="仿宋"/>
          <w:sz w:val="32"/>
          <w:szCs w:val="32"/>
        </w:rPr>
        <w:t>地    址：</w:t>
      </w:r>
    </w:p>
    <w:p>
      <w:pPr>
        <w:spacing w:line="360" w:lineRule="auto"/>
        <w:ind w:left="432" w:leftChars="200" w:right="924" w:rightChars="440" w:hanging="12"/>
        <w:rPr>
          <w:rFonts w:ascii="仿宋" w:hAnsi="仿宋" w:eastAsia="仿宋" w:cs="仿宋"/>
          <w:sz w:val="32"/>
          <w:szCs w:val="32"/>
        </w:rPr>
      </w:pPr>
      <w:r>
        <w:rPr>
          <w:rFonts w:hint="eastAsia" w:ascii="仿宋" w:hAnsi="仿宋" w:eastAsia="仿宋" w:cs="仿宋"/>
          <w:sz w:val="32"/>
          <w:szCs w:val="32"/>
        </w:rPr>
        <w:t>时    间：</w:t>
      </w:r>
    </w:p>
    <w:p>
      <w:pPr>
        <w:spacing w:line="360" w:lineRule="auto"/>
        <w:rPr>
          <w:rFonts w:ascii="宋体" w:hAnsi="宋体"/>
          <w:sz w:val="32"/>
          <w:szCs w:val="32"/>
        </w:rPr>
      </w:pPr>
      <w:r>
        <w:rPr>
          <w:rFonts w:hint="eastAsia" w:ascii="宋体" w:hAnsi="宋体"/>
          <w:sz w:val="32"/>
          <w:szCs w:val="32"/>
        </w:rPr>
        <w:br w:type="page"/>
      </w:r>
    </w:p>
    <w:p>
      <w:pPr>
        <w:keepNext/>
        <w:keepLines/>
        <w:snapToGrid w:val="0"/>
        <w:spacing w:line="360" w:lineRule="auto"/>
        <w:ind w:left="720" w:hanging="720"/>
        <w:jc w:val="center"/>
        <w:outlineLvl w:val="2"/>
        <w:rPr>
          <w:rFonts w:ascii="宋体" w:hAnsi="宋体"/>
          <w:b/>
          <w:bCs/>
          <w:sz w:val="28"/>
          <w:szCs w:val="32"/>
        </w:rPr>
      </w:pPr>
      <w:bookmarkStart w:id="76" w:name="_Toc48647101"/>
      <w:r>
        <w:rPr>
          <w:rFonts w:hint="eastAsia" w:ascii="宋体" w:hAnsi="宋体"/>
          <w:b/>
          <w:bCs/>
          <w:sz w:val="28"/>
          <w:szCs w:val="32"/>
        </w:rPr>
        <w:t>资格证明文件目录</w:t>
      </w:r>
      <w:bookmarkEnd w:id="76"/>
    </w:p>
    <w:tbl>
      <w:tblPr>
        <w:tblStyle w:val="26"/>
        <w:tblW w:w="85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autoSpaceDE w:val="0"/>
              <w:autoSpaceDN w:val="0"/>
              <w:snapToGrid w:val="0"/>
              <w:spacing w:line="430" w:lineRule="atLeast"/>
              <w:rPr>
                <w:rFonts w:ascii="仿宋" w:hAnsi="仿宋" w:eastAsia="仿宋" w:cs="仿宋"/>
                <w:sz w:val="22"/>
                <w:lang w:val="zh-CN"/>
              </w:rPr>
            </w:pPr>
            <w:bookmarkStart w:id="77" w:name="_Toc48647102"/>
            <w:r>
              <w:rPr>
                <w:rFonts w:hint="eastAsia" w:ascii="仿宋" w:hAnsi="仿宋" w:eastAsia="仿宋" w:cs="仿宋"/>
                <w:sz w:val="22"/>
                <w:lang w:val="zh-CN"/>
              </w:rPr>
              <w:t>序号</w:t>
            </w:r>
          </w:p>
        </w:tc>
        <w:tc>
          <w:tcPr>
            <w:tcW w:w="7864" w:type="dxa"/>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9" w:type="dxa"/>
            <w:gridSpan w:val="2"/>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lang w:val="zh-CN"/>
              </w:rPr>
              <w:t>资格证明文件（</w:t>
            </w:r>
            <w:r>
              <w:rPr>
                <w:rFonts w:hint="eastAsia" w:ascii="仿宋" w:hAnsi="仿宋" w:eastAsia="仿宋" w:cs="仿宋"/>
                <w:b/>
                <w:sz w:val="22"/>
                <w:u w:val="single"/>
                <w:lang w:val="zh-CN"/>
              </w:rPr>
              <w:t>▲序号1-</w:t>
            </w:r>
            <w:r>
              <w:rPr>
                <w:rFonts w:hint="eastAsia" w:ascii="仿宋" w:hAnsi="仿宋" w:eastAsia="仿宋" w:cs="仿宋"/>
                <w:b/>
                <w:sz w:val="22"/>
                <w:u w:val="single"/>
              </w:rPr>
              <w:t>4</w:t>
            </w:r>
            <w:r>
              <w:rPr>
                <w:rFonts w:hint="eastAsia" w:ascii="仿宋" w:hAnsi="仿宋" w:eastAsia="仿宋" w:cs="仿宋"/>
                <w:b/>
                <w:sz w:val="22"/>
                <w:u w:val="single"/>
                <w:lang w:val="zh-CN"/>
              </w:rPr>
              <w:t>项供应商必须提供，否则不能通过资格性审查的，责任自负）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tcPr>
          <w:p>
            <w:pPr>
              <w:numPr>
                <w:ilvl w:val="0"/>
                <w:numId w:val="9"/>
              </w:numPr>
              <w:autoSpaceDE w:val="0"/>
              <w:autoSpaceDN w:val="0"/>
              <w:snapToGrid w:val="0"/>
              <w:spacing w:line="430" w:lineRule="atLeast"/>
              <w:rPr>
                <w:rFonts w:ascii="仿宋" w:hAnsi="仿宋" w:eastAsia="仿宋" w:cs="仿宋"/>
                <w:sz w:val="22"/>
                <w:lang w:val="zh-CN"/>
              </w:rPr>
            </w:pPr>
          </w:p>
        </w:tc>
        <w:tc>
          <w:tcPr>
            <w:tcW w:w="7864" w:type="dxa"/>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4"/>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numPr>
                <w:ilvl w:val="0"/>
                <w:numId w:val="9"/>
              </w:numPr>
              <w:autoSpaceDE w:val="0"/>
              <w:autoSpaceDN w:val="0"/>
              <w:snapToGrid w:val="0"/>
              <w:spacing w:line="430" w:lineRule="atLeast"/>
              <w:rPr>
                <w:rFonts w:ascii="仿宋" w:hAnsi="仿宋" w:eastAsia="仿宋" w:cs="仿宋"/>
                <w:sz w:val="22"/>
                <w:lang w:val="zh-CN"/>
              </w:rPr>
            </w:pPr>
          </w:p>
        </w:tc>
        <w:tc>
          <w:tcPr>
            <w:tcW w:w="7864"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供应商法定代表人授权书（见附件）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numPr>
                <w:ilvl w:val="0"/>
                <w:numId w:val="9"/>
              </w:numPr>
              <w:autoSpaceDE w:val="0"/>
              <w:autoSpaceDN w:val="0"/>
              <w:snapToGrid w:val="0"/>
              <w:spacing w:line="430" w:lineRule="atLeast"/>
              <w:rPr>
                <w:rFonts w:ascii="仿宋" w:hAnsi="仿宋" w:eastAsia="仿宋" w:cs="仿宋"/>
                <w:sz w:val="22"/>
                <w:lang w:val="zh-CN"/>
              </w:rPr>
            </w:pPr>
          </w:p>
        </w:tc>
        <w:tc>
          <w:tcPr>
            <w:tcW w:w="7864"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tcPr>
          <w:p>
            <w:pPr>
              <w:numPr>
                <w:ilvl w:val="0"/>
                <w:numId w:val="9"/>
              </w:numPr>
              <w:autoSpaceDE w:val="0"/>
              <w:autoSpaceDN w:val="0"/>
              <w:snapToGrid w:val="0"/>
              <w:spacing w:line="430" w:lineRule="atLeast"/>
              <w:rPr>
                <w:rFonts w:ascii="仿宋" w:hAnsi="仿宋" w:eastAsia="仿宋" w:cs="仿宋"/>
                <w:sz w:val="22"/>
                <w:lang w:val="zh-CN"/>
              </w:rPr>
            </w:pPr>
          </w:p>
        </w:tc>
        <w:tc>
          <w:tcPr>
            <w:tcW w:w="7864"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4"/>
              </w:rPr>
              <w:t>提供采购公告中符合供应商特定条件的有效资质证书复印件（投标人特定条件中有要求的必须提供），以及需要说明的其他资料</w:t>
            </w:r>
          </w:p>
        </w:tc>
      </w:tr>
    </w:tbl>
    <w:p>
      <w:pPr>
        <w:snapToGrid w:val="0"/>
        <w:spacing w:line="360" w:lineRule="auto"/>
        <w:ind w:firstLine="480" w:firstLineChars="200"/>
        <w:rPr>
          <w:rFonts w:ascii="宋体" w:hAnsi="宋体"/>
          <w:sz w:val="24"/>
          <w:szCs w:val="24"/>
        </w:rPr>
      </w:pPr>
    </w:p>
    <w:p>
      <w:pPr>
        <w:rPr>
          <w:rFonts w:ascii="宋体" w:hAnsi="宋体"/>
          <w:b/>
          <w:bCs/>
          <w:sz w:val="28"/>
          <w:szCs w:val="32"/>
        </w:rPr>
      </w:pPr>
      <w:r>
        <w:rPr>
          <w:rFonts w:hint="eastAsia" w:ascii="宋体" w:hAnsi="宋体"/>
          <w:b/>
          <w:bCs/>
          <w:sz w:val="28"/>
          <w:szCs w:val="32"/>
        </w:rPr>
        <w:br w:type="page"/>
      </w:r>
    </w:p>
    <w:bookmarkEnd w:id="77"/>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sz w:val="24"/>
          <w:szCs w:val="21"/>
        </w:rPr>
        <w:t>投标人公章</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jc w:val="center"/>
        <w:outlineLvl w:val="2"/>
        <w:rPr>
          <w:rFonts w:ascii="仿宋" w:hAnsi="仿宋" w:eastAsia="仿宋" w:cs="仿宋"/>
          <w:b/>
          <w:kern w:val="0"/>
          <w:sz w:val="32"/>
          <w:szCs w:val="32"/>
          <w:lang w:val="zh-CN"/>
        </w:rPr>
      </w:pPr>
      <w:r>
        <w:rPr>
          <w:rFonts w:hint="eastAsia" w:ascii="仿宋" w:hAnsi="仿宋" w:eastAsia="仿宋" w:cs="仿宋"/>
          <w:b/>
          <w:kern w:val="0"/>
          <w:sz w:val="32"/>
          <w:szCs w:val="32"/>
        </w:rPr>
        <w:t>（二）</w:t>
      </w:r>
      <w:r>
        <w:rPr>
          <w:rFonts w:hint="eastAsia" w:ascii="仿宋" w:hAnsi="仿宋" w:eastAsia="仿宋" w:cs="仿宋"/>
          <w:b/>
          <w:kern w:val="0"/>
          <w:sz w:val="32"/>
          <w:szCs w:val="32"/>
          <w:lang w:val="zh-CN"/>
        </w:rPr>
        <w:t>授权委托书或法定代表人（单位负责人、自然人本人）身份证明</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6746" w:firstLineChars="2100"/>
        <w:rPr>
          <w:rFonts w:ascii="仿宋" w:hAnsi="仿宋" w:eastAsia="仿宋" w:cs="仿宋"/>
          <w:kern w:val="0"/>
          <w:sz w:val="24"/>
          <w:lang w:val="zh-CN"/>
        </w:rPr>
      </w:pPr>
      <w:r>
        <w:rPr>
          <w:rFonts w:hint="eastAsia" w:ascii="仿宋" w:hAnsi="仿宋" w:eastAsia="仿宋" w:cs="仿宋"/>
          <w:b/>
          <w:kern w:val="0"/>
          <w:sz w:val="32"/>
          <w:szCs w:val="32"/>
          <w:lang w:val="zh-CN"/>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2"/>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62"/>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投标人名称(盖章)：                              </w:t>
      </w:r>
    </w:p>
    <w:p>
      <w:pPr>
        <w:widowControl/>
        <w:spacing w:line="360" w:lineRule="auto"/>
        <w:ind w:left="0"/>
        <w:jc w:val="center"/>
        <w:outlineLvl w:val="9"/>
        <w:rPr>
          <w:rFonts w:ascii="仿宋" w:hAnsi="仿宋" w:eastAsia="仿宋" w:cs="仿宋"/>
          <w:b/>
          <w:kern w:val="0"/>
          <w:sz w:val="32"/>
          <w:szCs w:val="32"/>
        </w:rPr>
      </w:pPr>
      <w:r>
        <w:rPr>
          <w:rFonts w:hint="eastAsia" w:ascii="仿宋" w:hAnsi="仿宋" w:eastAsia="仿宋" w:cs="仿宋"/>
          <w:kern w:val="0"/>
          <w:sz w:val="24"/>
          <w:lang w:val="zh-CN"/>
        </w:rPr>
        <w:t xml:space="preserve">                   日期：  年  月  日</w:t>
      </w:r>
      <w:r>
        <w:rPr>
          <w:rFonts w:hint="eastAsia" w:ascii="仿宋" w:hAnsi="仿宋" w:eastAsia="仿宋" w:cs="仿宋"/>
          <w:b/>
          <w:kern w:val="0"/>
          <w:sz w:val="32"/>
          <w:szCs w:val="32"/>
        </w:rPr>
        <w:br w:type="page"/>
      </w: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宋体" w:hAnsi="宋体"/>
          <w:sz w:val="24"/>
          <w:szCs w:val="24"/>
        </w:rPr>
      </w:pPr>
    </w:p>
    <w:p>
      <w:pPr>
        <w:pStyle w:val="8"/>
      </w:pPr>
    </w:p>
    <w:p>
      <w:pPr>
        <w:rPr>
          <w:rFonts w:ascii="仿宋" w:hAnsi="仿宋" w:eastAsia="仿宋" w:cs="仿宋"/>
          <w:b/>
          <w:bCs/>
          <w:sz w:val="30"/>
          <w:szCs w:val="32"/>
        </w:rPr>
      </w:pPr>
      <w:bookmarkStart w:id="78" w:name="_Toc48647105"/>
      <w:r>
        <w:rPr>
          <w:rFonts w:hint="eastAsia" w:ascii="仿宋" w:hAnsi="仿宋" w:eastAsia="仿宋" w:cs="仿宋"/>
          <w:b/>
          <w:bCs/>
          <w:sz w:val="30"/>
          <w:szCs w:val="32"/>
        </w:rPr>
        <w:br w:type="page"/>
      </w:r>
    </w:p>
    <w:p>
      <w:pPr>
        <w:keepNext/>
        <w:keepLines/>
        <w:snapToGrid w:val="0"/>
        <w:spacing w:line="360" w:lineRule="auto"/>
        <w:outlineLvl w:val="1"/>
        <w:rPr>
          <w:rFonts w:ascii="仿宋" w:hAnsi="仿宋" w:eastAsia="仿宋" w:cs="仿宋"/>
          <w:b/>
          <w:bCs/>
          <w:sz w:val="30"/>
          <w:szCs w:val="32"/>
        </w:rPr>
      </w:pPr>
      <w:r>
        <w:rPr>
          <w:rFonts w:hint="eastAsia" w:ascii="仿宋" w:hAnsi="仿宋" w:eastAsia="仿宋" w:cs="仿宋"/>
          <w:b/>
          <w:bCs/>
          <w:sz w:val="30"/>
          <w:szCs w:val="32"/>
        </w:rPr>
        <w:t>二、商务技术文件格式</w:t>
      </w:r>
      <w:bookmarkEnd w:id="78"/>
    </w:p>
    <w:p>
      <w:pPr>
        <w:widowControl/>
        <w:spacing w:line="360" w:lineRule="auto"/>
        <w:jc w:val="center"/>
        <w:rPr>
          <w:rFonts w:ascii="仿宋" w:hAnsi="仿宋" w:eastAsia="仿宋" w:cs="仿宋"/>
          <w:kern w:val="0"/>
          <w:sz w:val="32"/>
          <w:szCs w:val="32"/>
        </w:rPr>
      </w:pPr>
      <w:bookmarkStart w:id="79" w:name="_Toc28840_WPSOffice_Level1"/>
      <w:bookmarkStart w:id="80" w:name="_Toc26593_WPSOffice_Level1"/>
      <w:bookmarkStart w:id="81" w:name="_Toc21206_WPSOffice_Level1"/>
      <w:r>
        <w:rPr>
          <w:rFonts w:hint="eastAsia" w:ascii="仿宋" w:hAnsi="仿宋" w:eastAsia="仿宋" w:cs="仿宋"/>
          <w:kern w:val="0"/>
          <w:sz w:val="32"/>
          <w:szCs w:val="32"/>
        </w:rPr>
        <w:t>项目名称</w:t>
      </w:r>
      <w:bookmarkEnd w:id="79"/>
      <w:bookmarkEnd w:id="80"/>
      <w:bookmarkEnd w:id="81"/>
    </w:p>
    <w:p>
      <w:pPr>
        <w:widowControl/>
        <w:spacing w:line="360" w:lineRule="auto"/>
        <w:jc w:val="center"/>
        <w:rPr>
          <w:rFonts w:ascii="仿宋" w:hAnsi="仿宋" w:eastAsia="仿宋" w:cs="仿宋"/>
          <w:sz w:val="32"/>
          <w:szCs w:val="32"/>
        </w:rPr>
      </w:pPr>
    </w:p>
    <w:p>
      <w:pPr>
        <w:widowControl/>
        <w:spacing w:line="360" w:lineRule="auto"/>
        <w:jc w:val="center"/>
        <w:rPr>
          <w:rFonts w:ascii="仿宋" w:hAnsi="仿宋" w:eastAsia="仿宋" w:cs="仿宋"/>
          <w:kern w:val="0"/>
          <w:sz w:val="32"/>
          <w:szCs w:val="32"/>
        </w:rPr>
      </w:pPr>
      <w:bookmarkStart w:id="82" w:name="_Toc18872_WPSOffice_Level2"/>
      <w:bookmarkStart w:id="83" w:name="_Toc27780_WPSOffice_Level2"/>
      <w:r>
        <w:rPr>
          <w:rFonts w:hint="eastAsia" w:ascii="仿宋" w:hAnsi="仿宋" w:eastAsia="仿宋" w:cs="仿宋"/>
          <w:kern w:val="0"/>
          <w:sz w:val="32"/>
          <w:szCs w:val="32"/>
        </w:rPr>
        <w:t>项目编号：</w:t>
      </w:r>
      <w:bookmarkEnd w:id="82"/>
      <w:bookmarkEnd w:id="83"/>
    </w:p>
    <w:p>
      <w:pPr>
        <w:widowControl/>
        <w:spacing w:line="360" w:lineRule="auto"/>
        <w:jc w:val="center"/>
        <w:rPr>
          <w:rFonts w:ascii="仿宋" w:hAnsi="仿宋" w:eastAsia="仿宋" w:cs="仿宋"/>
          <w:sz w:val="32"/>
          <w:szCs w:val="32"/>
        </w:rPr>
      </w:pPr>
    </w:p>
    <w:p>
      <w:pPr>
        <w:widowControl/>
        <w:spacing w:line="360" w:lineRule="auto"/>
        <w:jc w:val="center"/>
        <w:rPr>
          <w:rFonts w:ascii="仿宋" w:hAnsi="仿宋" w:eastAsia="仿宋" w:cs="仿宋"/>
          <w:sz w:val="32"/>
          <w:szCs w:val="32"/>
        </w:rPr>
      </w:pPr>
      <w:r>
        <w:rPr>
          <w:rFonts w:hint="eastAsia" w:ascii="仿宋" w:hAnsi="仿宋" w:eastAsia="仿宋" w:cs="仿宋"/>
          <w:kern w:val="0"/>
          <w:sz w:val="32"/>
          <w:szCs w:val="32"/>
        </w:rPr>
        <w:t>投</w:t>
      </w:r>
    </w:p>
    <w:p>
      <w:pPr>
        <w:widowControl/>
        <w:spacing w:line="360" w:lineRule="auto"/>
        <w:jc w:val="center"/>
        <w:rPr>
          <w:rFonts w:ascii="仿宋" w:hAnsi="仿宋" w:eastAsia="仿宋" w:cs="仿宋"/>
          <w:sz w:val="32"/>
          <w:szCs w:val="32"/>
        </w:rPr>
      </w:pPr>
      <w:r>
        <w:rPr>
          <w:rFonts w:hint="eastAsia" w:ascii="仿宋" w:hAnsi="仿宋" w:eastAsia="仿宋" w:cs="仿宋"/>
          <w:kern w:val="0"/>
          <w:sz w:val="32"/>
          <w:szCs w:val="32"/>
        </w:rPr>
        <w:t>标</w:t>
      </w:r>
    </w:p>
    <w:p>
      <w:pPr>
        <w:widowControl/>
        <w:spacing w:line="360" w:lineRule="auto"/>
        <w:jc w:val="center"/>
        <w:rPr>
          <w:rFonts w:ascii="仿宋" w:hAnsi="仿宋" w:eastAsia="仿宋" w:cs="仿宋"/>
          <w:sz w:val="32"/>
          <w:szCs w:val="32"/>
        </w:rPr>
      </w:pPr>
      <w:r>
        <w:rPr>
          <w:rFonts w:hint="eastAsia" w:ascii="仿宋" w:hAnsi="仿宋" w:eastAsia="仿宋" w:cs="仿宋"/>
          <w:kern w:val="0"/>
          <w:sz w:val="32"/>
          <w:szCs w:val="32"/>
        </w:rPr>
        <w:t>文</w:t>
      </w:r>
    </w:p>
    <w:p>
      <w:pPr>
        <w:widowControl/>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件</w:t>
      </w:r>
    </w:p>
    <w:p>
      <w:pPr>
        <w:widowControl/>
        <w:spacing w:line="360" w:lineRule="auto"/>
        <w:jc w:val="center"/>
        <w:rPr>
          <w:rFonts w:ascii="仿宋" w:hAnsi="仿宋" w:eastAsia="仿宋" w:cs="仿宋"/>
          <w:sz w:val="32"/>
          <w:szCs w:val="32"/>
        </w:rPr>
      </w:pPr>
    </w:p>
    <w:p>
      <w:pPr>
        <w:widowControl/>
        <w:spacing w:line="360" w:lineRule="auto"/>
        <w:jc w:val="center"/>
        <w:rPr>
          <w:rFonts w:ascii="仿宋" w:hAnsi="仿宋" w:eastAsia="仿宋" w:cs="仿宋"/>
          <w:b/>
          <w:kern w:val="0"/>
          <w:sz w:val="32"/>
          <w:szCs w:val="32"/>
        </w:rPr>
      </w:pPr>
      <w:r>
        <w:rPr>
          <w:rFonts w:hint="eastAsia" w:ascii="仿宋" w:hAnsi="仿宋" w:eastAsia="仿宋" w:cs="仿宋"/>
          <w:kern w:val="0"/>
          <w:sz w:val="32"/>
          <w:szCs w:val="32"/>
        </w:rPr>
        <w:t>（商务技术文件</w:t>
      </w:r>
      <w:r>
        <w:rPr>
          <w:rFonts w:hint="eastAsia" w:ascii="仿宋" w:hAnsi="仿宋" w:eastAsia="仿宋" w:cs="仿宋"/>
          <w:b/>
          <w:kern w:val="0"/>
          <w:sz w:val="32"/>
          <w:szCs w:val="32"/>
        </w:rPr>
        <w:t>）</w:t>
      </w:r>
    </w:p>
    <w:p>
      <w:pPr>
        <w:widowControl/>
        <w:spacing w:line="360" w:lineRule="auto"/>
        <w:jc w:val="center"/>
        <w:rPr>
          <w:rFonts w:ascii="仿宋" w:hAnsi="仿宋" w:eastAsia="仿宋" w:cs="仿宋"/>
          <w:sz w:val="32"/>
          <w:szCs w:val="32"/>
        </w:rPr>
      </w:pPr>
    </w:p>
    <w:p>
      <w:pPr>
        <w:widowControl/>
        <w:spacing w:line="360" w:lineRule="auto"/>
        <w:jc w:val="left"/>
        <w:rPr>
          <w:rFonts w:ascii="仿宋" w:hAnsi="仿宋" w:eastAsia="仿宋" w:cs="仿宋"/>
          <w:sz w:val="32"/>
          <w:szCs w:val="32"/>
        </w:rPr>
      </w:pPr>
      <w:r>
        <w:rPr>
          <w:rFonts w:hint="eastAsia" w:ascii="仿宋" w:hAnsi="仿宋" w:eastAsia="仿宋" w:cs="仿宋"/>
          <w:kern w:val="0"/>
          <w:sz w:val="32"/>
          <w:szCs w:val="32"/>
        </w:rPr>
        <w:t>投标人名称（盖公章）：</w:t>
      </w:r>
    </w:p>
    <w:p>
      <w:pPr>
        <w:widowControl/>
        <w:spacing w:line="360" w:lineRule="auto"/>
        <w:jc w:val="left"/>
        <w:rPr>
          <w:rFonts w:ascii="仿宋" w:hAnsi="仿宋" w:eastAsia="仿宋" w:cs="仿宋"/>
          <w:sz w:val="32"/>
          <w:szCs w:val="32"/>
        </w:rPr>
      </w:pPr>
      <w:r>
        <w:rPr>
          <w:rFonts w:hint="eastAsia" w:ascii="仿宋" w:hAnsi="仿宋" w:eastAsia="仿宋" w:cs="仿宋"/>
          <w:kern w:val="0"/>
          <w:sz w:val="32"/>
          <w:szCs w:val="32"/>
        </w:rPr>
        <w:t>地 址：</w:t>
      </w:r>
    </w:p>
    <w:p>
      <w:pPr>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时 间：</w:t>
      </w:r>
    </w:p>
    <w:p>
      <w:pPr>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br w:type="page"/>
      </w:r>
    </w:p>
    <w:p>
      <w:pPr>
        <w:spacing w:line="360" w:lineRule="auto"/>
        <w:ind w:right="420" w:firstLine="3614" w:firstLineChars="1000"/>
        <w:outlineLvl w:val="1"/>
        <w:rPr>
          <w:rFonts w:ascii="仿宋" w:hAnsi="仿宋" w:eastAsia="仿宋" w:cs="仿宋"/>
          <w:b/>
          <w:kern w:val="0"/>
          <w:sz w:val="36"/>
          <w:szCs w:val="36"/>
        </w:rPr>
      </w:pPr>
      <w:bookmarkStart w:id="84" w:name="_Toc48647106"/>
      <w:bookmarkStart w:id="85" w:name="_Hlk48640572"/>
      <w:bookmarkStart w:id="86" w:name="_Toc27648_WPSOffice_Level1"/>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bookmarkStart w:id="87" w:name="_Toc9622"/>
      <w:r>
        <w:rPr>
          <w:rFonts w:hint="eastAsia" w:ascii="仿宋" w:hAnsi="仿宋" w:eastAsia="仿宋" w:cs="仿宋"/>
          <w:b/>
          <w:kern w:val="0"/>
          <w:sz w:val="28"/>
          <w:szCs w:val="28"/>
        </w:rPr>
        <w:t>目录</w:t>
      </w:r>
      <w:bookmarkEnd w:id="87"/>
    </w:p>
    <w:tbl>
      <w:tblPr>
        <w:tblStyle w:val="26"/>
        <w:tblW w:w="86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lang w:val="zh-CN"/>
              </w:rPr>
              <w:t>序号</w:t>
            </w:r>
          </w:p>
        </w:tc>
        <w:tc>
          <w:tcPr>
            <w:tcW w:w="7920" w:type="dxa"/>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619" w:type="dxa"/>
            <w:gridSpan w:val="2"/>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lang w:val="zh-CN"/>
              </w:rPr>
              <w:t>商务部分（</w:t>
            </w:r>
            <w:r>
              <w:rPr>
                <w:rFonts w:hint="eastAsia" w:ascii="仿宋" w:hAnsi="仿宋" w:eastAsia="仿宋" w:cs="仿宋"/>
                <w:b/>
                <w:sz w:val="22"/>
                <w:u w:val="single"/>
                <w:lang w:val="zh-CN"/>
              </w:rPr>
              <w:t>▲序号1项供应商必须提供，否则不能通过</w:t>
            </w:r>
            <w:r>
              <w:rPr>
                <w:rFonts w:hint="eastAsia" w:ascii="仿宋" w:hAnsi="仿宋" w:eastAsia="仿宋" w:cs="仿宋"/>
                <w:b/>
                <w:sz w:val="22"/>
                <w:u w:val="single"/>
              </w:rPr>
              <w:t>符合</w:t>
            </w:r>
            <w:r>
              <w:rPr>
                <w:rFonts w:hint="eastAsia" w:ascii="仿宋" w:hAnsi="仿宋" w:eastAsia="仿宋" w:cs="仿宋"/>
                <w:b/>
                <w:sz w:val="22"/>
                <w:u w:val="single"/>
                <w:lang w:val="zh-CN"/>
              </w:rPr>
              <w:t>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lang w:val="zh-CN"/>
              </w:rPr>
            </w:pPr>
            <w:r>
              <w:rPr>
                <w:rFonts w:hint="eastAsia" w:ascii="仿宋" w:hAnsi="仿宋" w:eastAsia="仿宋" w:cs="仿宋"/>
                <w:sz w:val="22"/>
              </w:rPr>
              <w:t>投标函（见附件）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偿付能力</w:t>
            </w:r>
            <w:r>
              <w:rPr>
                <w:rFonts w:hint="eastAsia" w:ascii="仿宋" w:hAnsi="仿宋" w:eastAsia="仿宋" w:cs="仿宋"/>
                <w:bCs/>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承保服务</w:t>
            </w:r>
            <w:r>
              <w:rPr>
                <w:rFonts w:hint="eastAsia" w:ascii="仿宋" w:hAnsi="仿宋" w:eastAsia="仿宋" w:cs="仿宋"/>
                <w:bCs/>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pacing w:val="-4"/>
                <w:szCs w:val="21"/>
              </w:rPr>
              <w:t>项目组成员情况</w:t>
            </w:r>
            <w:r>
              <w:rPr>
                <w:rFonts w:hint="eastAsia" w:ascii="仿宋" w:hAnsi="仿宋" w:eastAsia="仿宋" w:cs="仿宋"/>
                <w:bCs/>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Style w:val="61"/>
                <w:rFonts w:hint="eastAsia" w:ascii="仿宋" w:hAnsi="仿宋" w:eastAsia="仿宋" w:cs="仿宋"/>
                <w:szCs w:val="21"/>
              </w:rPr>
              <w:t>承接经验</w:t>
            </w:r>
            <w:r>
              <w:rPr>
                <w:rFonts w:hint="eastAsia" w:ascii="仿宋" w:hAnsi="仿宋" w:eastAsia="仿宋" w:cs="仿宋"/>
                <w:sz w:val="22"/>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619" w:type="dxa"/>
            <w:gridSpan w:val="2"/>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lang w:val="zh-CN"/>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szCs w:val="24"/>
              </w:rPr>
            </w:pPr>
            <w:r>
              <w:rPr>
                <w:rFonts w:hint="eastAsia" w:ascii="仿宋" w:hAnsi="仿宋" w:eastAsia="仿宋" w:cs="仿宋"/>
                <w:sz w:val="22"/>
              </w:rPr>
              <w:t>商务及技术响应表（见附件）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工作方案</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kern w:val="0"/>
                <w:szCs w:val="21"/>
              </w:rPr>
              <w:t>售后服务</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kern w:val="0"/>
                <w:szCs w:val="21"/>
              </w:rPr>
              <w:t>服务承诺</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服务响应</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理赔时限</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服务质量管控</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kern w:val="0"/>
                <w:szCs w:val="21"/>
              </w:rPr>
              <w:t>合理化建议</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Cs w:val="21"/>
              </w:rPr>
              <w:t>保密措施</w:t>
            </w:r>
            <w:r>
              <w:rPr>
                <w:rFonts w:hint="eastAsia" w:ascii="仿宋" w:hAnsi="仿宋" w:eastAsia="仿宋" w:cs="仿宋"/>
                <w:sz w:val="22"/>
              </w:rPr>
              <w:t>（根据评分标准提供）；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根据采购文件中的采购内容与技术要求、评标细则，需要提供的其它文件和资料；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9" w:type="dxa"/>
          </w:tcPr>
          <w:p>
            <w:pPr>
              <w:numPr>
                <w:ilvl w:val="0"/>
                <w:numId w:val="10"/>
              </w:numPr>
              <w:autoSpaceDE w:val="0"/>
              <w:autoSpaceDN w:val="0"/>
              <w:snapToGrid w:val="0"/>
              <w:spacing w:line="430" w:lineRule="atLeast"/>
              <w:rPr>
                <w:rFonts w:ascii="仿宋" w:hAnsi="仿宋" w:eastAsia="仿宋" w:cs="仿宋"/>
                <w:sz w:val="22"/>
                <w:lang w:val="zh-CN"/>
              </w:rPr>
            </w:pPr>
          </w:p>
        </w:tc>
        <w:tc>
          <w:tcPr>
            <w:tcW w:w="7920" w:type="dxa"/>
          </w:tcPr>
          <w:p>
            <w:pPr>
              <w:autoSpaceDE w:val="0"/>
              <w:autoSpaceDN w:val="0"/>
              <w:snapToGrid w:val="0"/>
              <w:spacing w:line="430" w:lineRule="atLeast"/>
              <w:rPr>
                <w:rFonts w:ascii="仿宋" w:hAnsi="仿宋" w:eastAsia="仿宋" w:cs="仿宋"/>
                <w:sz w:val="22"/>
              </w:rPr>
            </w:pPr>
            <w:r>
              <w:rPr>
                <w:rFonts w:hint="eastAsia" w:ascii="仿宋" w:hAnsi="仿宋" w:eastAsia="仿宋" w:cs="仿宋"/>
                <w:sz w:val="22"/>
              </w:rPr>
              <w:t>供应商针对评分细则，编制目录索引，注明评标细则项目所在报价响应文件页码。</w:t>
            </w:r>
          </w:p>
        </w:tc>
      </w:tr>
    </w:tbl>
    <w:p>
      <w:pPr>
        <w:pStyle w:val="25"/>
        <w:rPr>
          <w:rFonts w:ascii="仿宋" w:hAnsi="仿宋" w:eastAsia="仿宋" w:cs="仿宋"/>
        </w:rPr>
      </w:pPr>
    </w:p>
    <w:p>
      <w:pPr>
        <w:snapToGrid w:val="0"/>
        <w:spacing w:line="360" w:lineRule="auto"/>
        <w:ind w:left="479" w:leftChars="228"/>
        <w:rPr>
          <w:rFonts w:ascii="仿宋" w:hAnsi="仿宋" w:eastAsia="仿宋" w:cs="仿宋"/>
        </w:rPr>
      </w:pPr>
    </w:p>
    <w:p>
      <w:pPr>
        <w:snapToGrid w:val="0"/>
        <w:spacing w:line="360" w:lineRule="auto"/>
        <w:jc w:val="center"/>
        <w:rPr>
          <w:rFonts w:ascii="仿宋" w:hAnsi="仿宋" w:eastAsia="仿宋" w:cs="仿宋"/>
          <w:b/>
          <w:kern w:val="0"/>
          <w:sz w:val="32"/>
          <w:szCs w:val="32"/>
        </w:rPr>
      </w:pPr>
    </w:p>
    <w:p>
      <w:pPr>
        <w:rPr>
          <w:rFonts w:ascii="仿宋" w:hAnsi="仿宋" w:eastAsia="仿宋" w:cs="仿宋"/>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outlineLvl w:val="2"/>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numPr>
          <w:ilvl w:val="2"/>
          <w:numId w:val="11"/>
        </w:numPr>
        <w:snapToGrid w:val="0"/>
        <w:spacing w:line="360" w:lineRule="auto"/>
        <w:rPr>
          <w:rFonts w:ascii="仿宋" w:hAnsi="仿宋" w:eastAsia="仿宋" w:cs="仿宋"/>
          <w:sz w:val="24"/>
        </w:rPr>
      </w:pPr>
      <w:r>
        <w:rPr>
          <w:rFonts w:hint="eastAsia" w:ascii="仿宋" w:hAnsi="仿宋" w:eastAsia="仿宋" w:cs="仿宋"/>
          <w:sz w:val="24"/>
        </w:rPr>
        <w:t>承诺函</w:t>
      </w:r>
    </w:p>
    <w:p>
      <w:pPr>
        <w:numPr>
          <w:ilvl w:val="2"/>
          <w:numId w:val="11"/>
        </w:numPr>
        <w:snapToGrid w:val="0"/>
        <w:spacing w:line="360" w:lineRule="auto"/>
        <w:rPr>
          <w:rFonts w:ascii="仿宋" w:hAnsi="仿宋" w:eastAsia="仿宋" w:cs="仿宋"/>
          <w:sz w:val="24"/>
        </w:rPr>
      </w:pPr>
      <w:r>
        <w:rPr>
          <w:rFonts w:hint="eastAsia" w:ascii="仿宋" w:hAnsi="仿宋" w:eastAsia="仿宋" w:cs="仿宋"/>
          <w:sz w:val="24"/>
        </w:rPr>
        <w:t>授权委托书（法定代表人亲自办理投标事宜的，则无须提交）；</w:t>
      </w:r>
    </w:p>
    <w:p>
      <w:pPr>
        <w:numPr>
          <w:ilvl w:val="2"/>
          <w:numId w:val="11"/>
        </w:numPr>
        <w:snapToGrid w:val="0"/>
        <w:spacing w:line="360" w:lineRule="auto"/>
        <w:rPr>
          <w:rFonts w:ascii="仿宋" w:hAnsi="仿宋" w:eastAsia="仿宋" w:cs="仿宋"/>
          <w:sz w:val="24"/>
        </w:rPr>
      </w:pPr>
      <w:r>
        <w:rPr>
          <w:rFonts w:hint="eastAsia" w:ascii="仿宋" w:hAnsi="仿宋" w:eastAsia="仿宋" w:cs="仿宋"/>
          <w:sz w:val="24"/>
        </w:rPr>
        <w:t>法人或者其他组织的营业执照等证明文件，自然人的身份证明；</w:t>
      </w:r>
    </w:p>
    <w:p>
      <w:pPr>
        <w:numPr>
          <w:ilvl w:val="2"/>
          <w:numId w:val="11"/>
        </w:numPr>
        <w:snapToGrid w:val="0"/>
        <w:spacing w:line="360" w:lineRule="auto"/>
        <w:rPr>
          <w:rFonts w:ascii="仿宋" w:hAnsi="仿宋" w:eastAsia="仿宋" w:cs="仿宋"/>
          <w:sz w:val="24"/>
        </w:rPr>
      </w:pPr>
      <w:r>
        <w:rPr>
          <w:rFonts w:hint="eastAsia" w:ascii="仿宋" w:hAnsi="仿宋" w:eastAsia="仿宋" w:cs="仿宋"/>
          <w:sz w:val="24"/>
        </w:rPr>
        <w:t>提供采购公告中符合供应商特定条件的有效资质证书复印件（投标人特定条件中有要求的必须提供），以及需要说明的其他资料。</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投标函；</w:t>
      </w:r>
      <w:r>
        <w:rPr>
          <w:rFonts w:hint="eastAsia" w:ascii="仿宋" w:hAnsi="仿宋" w:eastAsia="仿宋" w:cs="仿宋"/>
          <w:sz w:val="24"/>
          <w:lang w:val="zh-CN"/>
        </w:rPr>
        <w:t xml:space="preserve"> </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2"/>
        </w:rPr>
        <w:t>偿付能力</w:t>
      </w:r>
      <w:r>
        <w:rPr>
          <w:rFonts w:hint="eastAsia" w:ascii="仿宋" w:hAnsi="仿宋" w:eastAsia="仿宋" w:cs="仿宋"/>
          <w:sz w:val="24"/>
        </w:rPr>
        <w:t>；</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承保服务；</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pacing w:val="-4"/>
          <w:szCs w:val="21"/>
        </w:rPr>
        <w:t>项目组成员情况</w:t>
      </w:r>
      <w:r>
        <w:rPr>
          <w:rFonts w:hint="eastAsia" w:ascii="仿宋" w:hAnsi="仿宋" w:eastAsia="仿宋" w:cs="仿宋"/>
          <w:sz w:val="24"/>
        </w:rPr>
        <w:t>；</w:t>
      </w:r>
    </w:p>
    <w:p>
      <w:pPr>
        <w:numPr>
          <w:ilvl w:val="2"/>
          <w:numId w:val="12"/>
        </w:numPr>
        <w:snapToGrid w:val="0"/>
        <w:spacing w:line="360" w:lineRule="auto"/>
        <w:ind w:left="1049" w:hanging="409"/>
        <w:rPr>
          <w:rFonts w:ascii="仿宋" w:hAnsi="仿宋" w:eastAsia="仿宋" w:cs="仿宋"/>
          <w:sz w:val="24"/>
        </w:rPr>
      </w:pPr>
      <w:r>
        <w:rPr>
          <w:rStyle w:val="61"/>
          <w:rFonts w:hint="eastAsia" w:ascii="仿宋" w:hAnsi="仿宋" w:eastAsia="仿宋" w:cs="仿宋"/>
          <w:szCs w:val="21"/>
        </w:rPr>
        <w:t>承接经验；</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2"/>
        </w:rPr>
        <w:t>商务及技术响应表</w:t>
      </w:r>
      <w:r>
        <w:rPr>
          <w:rFonts w:hint="eastAsia" w:ascii="仿宋" w:hAnsi="仿宋" w:eastAsia="仿宋" w:cs="仿宋"/>
          <w:sz w:val="24"/>
        </w:rPr>
        <w:t>；</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投标人证书一览表；</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工作方案；</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售后服务；</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服务承诺；</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服务响应；</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理赔时限；</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服务质量管控；</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合理化建议；</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保密措施；</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评分标准或采购文件需要提供的其他技术商务材料；</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rPr>
        <w:t>供应商认为有必要提供的其他技术商务文件资料；</w:t>
      </w:r>
    </w:p>
    <w:p>
      <w:pPr>
        <w:numPr>
          <w:ilvl w:val="2"/>
          <w:numId w:val="12"/>
        </w:numPr>
        <w:snapToGrid w:val="0"/>
        <w:spacing w:line="360" w:lineRule="auto"/>
        <w:ind w:left="1049" w:hanging="409"/>
        <w:rPr>
          <w:rFonts w:ascii="仿宋" w:hAnsi="仿宋" w:eastAsia="仿宋" w:cs="仿宋"/>
          <w:sz w:val="24"/>
        </w:rPr>
      </w:pPr>
      <w:r>
        <w:rPr>
          <w:rFonts w:hint="eastAsia" w:ascii="仿宋" w:hAnsi="仿宋" w:eastAsia="仿宋" w:cs="仿宋"/>
          <w:sz w:val="24"/>
          <w:lang w:val="zh-CN"/>
        </w:rPr>
        <w:t>政府采购供应商廉洁自律承诺书</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投标人名称（盖章）：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left"/>
        <w:rPr>
          <w:rFonts w:ascii="仿宋" w:hAnsi="仿宋" w:eastAsia="仿宋" w:cs="仿宋"/>
          <w:b/>
          <w:kern w:val="0"/>
          <w:sz w:val="32"/>
          <w:szCs w:val="32"/>
        </w:rPr>
        <w:sectPr>
          <w:pgSz w:w="11906" w:h="16838"/>
          <w:pgMar w:top="1440" w:right="2006" w:bottom="1440" w:left="1080" w:header="851" w:footer="992" w:gutter="0"/>
          <w:pgNumType w:fmt="decimal"/>
          <w:cols w:space="720" w:num="1"/>
          <w:docGrid w:type="lines" w:linePitch="312" w:charSpace="0"/>
        </w:sectPr>
      </w:pPr>
    </w:p>
    <w:p>
      <w:pPr>
        <w:snapToGrid w:val="0"/>
        <w:spacing w:line="360" w:lineRule="auto"/>
        <w:jc w:val="center"/>
        <w:outlineLvl w:val="2"/>
        <w:rPr>
          <w:rFonts w:ascii="仿宋" w:hAnsi="仿宋" w:eastAsia="仿宋" w:cs="仿宋"/>
          <w:b/>
          <w:sz w:val="32"/>
          <w:szCs w:val="32"/>
        </w:rPr>
      </w:pPr>
      <w:r>
        <w:rPr>
          <w:rFonts w:hint="eastAsia" w:ascii="仿宋" w:hAnsi="仿宋" w:eastAsia="仿宋" w:cs="仿宋"/>
          <w:b/>
          <w:kern w:val="0"/>
          <w:sz w:val="32"/>
          <w:szCs w:val="32"/>
        </w:rPr>
        <w:t>二、</w:t>
      </w:r>
      <w:r>
        <w:rPr>
          <w:rFonts w:hint="eastAsia" w:ascii="仿宋" w:hAnsi="仿宋" w:eastAsia="仿宋" w:cs="仿宋"/>
          <w:b/>
          <w:sz w:val="32"/>
          <w:szCs w:val="32"/>
        </w:rPr>
        <w:t>供应商基本情况表</w:t>
      </w:r>
    </w:p>
    <w:tbl>
      <w:tblPr>
        <w:tblStyle w:val="2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780"/>
        <w:gridCol w:w="615"/>
        <w:gridCol w:w="735"/>
        <w:gridCol w:w="138"/>
        <w:gridCol w:w="417"/>
        <w:gridCol w:w="615"/>
        <w:gridCol w:w="444"/>
        <w:gridCol w:w="951"/>
        <w:gridCol w:w="306"/>
        <w:gridCol w:w="579"/>
        <w:gridCol w:w="468"/>
        <w:gridCol w:w="477"/>
        <w:gridCol w:w="23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36" w:type="dxa"/>
            <w:vAlign w:val="center"/>
          </w:tcPr>
          <w:p>
            <w:pPr>
              <w:spacing w:line="240" w:lineRule="auto"/>
              <w:jc w:val="center"/>
              <w:rPr>
                <w:rFonts w:ascii="仿宋" w:hAnsi="仿宋" w:eastAsia="仿宋" w:cs="仿宋"/>
              </w:rPr>
            </w:pPr>
            <w:r>
              <w:rPr>
                <w:rFonts w:hint="eastAsia" w:ascii="仿宋" w:hAnsi="仿宋" w:eastAsia="仿宋" w:cs="仿宋"/>
              </w:rPr>
              <w:t>企业名称</w:t>
            </w:r>
          </w:p>
        </w:tc>
        <w:tc>
          <w:tcPr>
            <w:tcW w:w="4695" w:type="dxa"/>
            <w:gridSpan w:val="8"/>
            <w:vAlign w:val="center"/>
          </w:tcPr>
          <w:p>
            <w:pPr>
              <w:spacing w:line="240" w:lineRule="auto"/>
              <w:jc w:val="center"/>
              <w:rPr>
                <w:rFonts w:ascii="仿宋" w:hAnsi="仿宋" w:eastAsia="仿宋" w:cs="仿宋"/>
              </w:rPr>
            </w:pPr>
          </w:p>
        </w:tc>
        <w:tc>
          <w:tcPr>
            <w:tcW w:w="1830" w:type="dxa"/>
            <w:gridSpan w:val="4"/>
            <w:vAlign w:val="center"/>
          </w:tcPr>
          <w:p>
            <w:pPr>
              <w:spacing w:line="240" w:lineRule="auto"/>
              <w:jc w:val="center"/>
              <w:rPr>
                <w:rFonts w:ascii="仿宋" w:hAnsi="仿宋" w:eastAsia="仿宋" w:cs="仿宋"/>
              </w:rPr>
            </w:pPr>
            <w:r>
              <w:rPr>
                <w:rFonts w:hint="eastAsia" w:ascii="仿宋" w:hAnsi="仿宋" w:eastAsia="仿宋" w:cs="仿宋"/>
              </w:rPr>
              <w:t>法人代表</w:t>
            </w:r>
          </w:p>
        </w:tc>
        <w:tc>
          <w:tcPr>
            <w:tcW w:w="1497" w:type="dxa"/>
            <w:gridSpan w:val="2"/>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36" w:type="dxa"/>
            <w:vAlign w:val="center"/>
          </w:tcPr>
          <w:p>
            <w:pPr>
              <w:spacing w:line="240" w:lineRule="auto"/>
              <w:jc w:val="center"/>
              <w:rPr>
                <w:rFonts w:ascii="仿宋" w:hAnsi="仿宋" w:eastAsia="仿宋" w:cs="仿宋"/>
              </w:rPr>
            </w:pPr>
            <w:r>
              <w:rPr>
                <w:rFonts w:hint="eastAsia" w:ascii="仿宋" w:hAnsi="仿宋" w:eastAsia="仿宋" w:cs="仿宋"/>
              </w:rPr>
              <w:t>地址</w:t>
            </w:r>
          </w:p>
        </w:tc>
        <w:tc>
          <w:tcPr>
            <w:tcW w:w="4695" w:type="dxa"/>
            <w:gridSpan w:val="8"/>
            <w:vAlign w:val="center"/>
          </w:tcPr>
          <w:p>
            <w:pPr>
              <w:spacing w:line="240" w:lineRule="auto"/>
              <w:jc w:val="center"/>
              <w:rPr>
                <w:rFonts w:ascii="仿宋" w:hAnsi="仿宋" w:eastAsia="仿宋" w:cs="仿宋"/>
              </w:rPr>
            </w:pPr>
          </w:p>
        </w:tc>
        <w:tc>
          <w:tcPr>
            <w:tcW w:w="1830" w:type="dxa"/>
            <w:gridSpan w:val="4"/>
            <w:vAlign w:val="center"/>
          </w:tcPr>
          <w:p>
            <w:pPr>
              <w:spacing w:line="240" w:lineRule="auto"/>
              <w:jc w:val="center"/>
              <w:rPr>
                <w:rFonts w:ascii="仿宋" w:hAnsi="仿宋" w:eastAsia="仿宋" w:cs="仿宋"/>
              </w:rPr>
            </w:pPr>
            <w:r>
              <w:rPr>
                <w:rFonts w:hint="eastAsia" w:ascii="仿宋" w:hAnsi="仿宋" w:eastAsia="仿宋" w:cs="仿宋"/>
              </w:rPr>
              <w:t>企业性质</w:t>
            </w:r>
          </w:p>
        </w:tc>
        <w:tc>
          <w:tcPr>
            <w:tcW w:w="1497" w:type="dxa"/>
            <w:gridSpan w:val="2"/>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36" w:type="dxa"/>
            <w:vAlign w:val="center"/>
          </w:tcPr>
          <w:p>
            <w:pPr>
              <w:spacing w:line="240" w:lineRule="auto"/>
              <w:jc w:val="center"/>
              <w:rPr>
                <w:rFonts w:ascii="仿宋" w:hAnsi="仿宋" w:eastAsia="仿宋" w:cs="仿宋"/>
              </w:rPr>
            </w:pPr>
            <w:r>
              <w:rPr>
                <w:rFonts w:hint="eastAsia" w:ascii="仿宋" w:hAnsi="仿宋" w:eastAsia="仿宋" w:cs="仿宋"/>
              </w:rPr>
              <w:t>股东姓名</w:t>
            </w:r>
          </w:p>
        </w:tc>
        <w:tc>
          <w:tcPr>
            <w:tcW w:w="1395" w:type="dxa"/>
            <w:gridSpan w:val="2"/>
            <w:vAlign w:val="center"/>
          </w:tcPr>
          <w:p>
            <w:pPr>
              <w:spacing w:line="240" w:lineRule="auto"/>
              <w:jc w:val="center"/>
              <w:rPr>
                <w:rFonts w:ascii="仿宋" w:hAnsi="仿宋" w:eastAsia="仿宋" w:cs="仿宋"/>
              </w:rPr>
            </w:pPr>
          </w:p>
        </w:tc>
        <w:tc>
          <w:tcPr>
            <w:tcW w:w="1290" w:type="dxa"/>
            <w:gridSpan w:val="3"/>
            <w:vAlign w:val="center"/>
          </w:tcPr>
          <w:p>
            <w:pPr>
              <w:spacing w:line="240" w:lineRule="auto"/>
              <w:jc w:val="center"/>
              <w:rPr>
                <w:rFonts w:ascii="仿宋" w:hAnsi="仿宋" w:eastAsia="仿宋" w:cs="仿宋"/>
              </w:rPr>
            </w:pPr>
            <w:r>
              <w:rPr>
                <w:rFonts w:hint="eastAsia" w:ascii="仿宋" w:hAnsi="仿宋" w:eastAsia="仿宋" w:cs="仿宋"/>
              </w:rPr>
              <w:t>股权结构（%）</w:t>
            </w:r>
          </w:p>
        </w:tc>
        <w:tc>
          <w:tcPr>
            <w:tcW w:w="2010" w:type="dxa"/>
            <w:gridSpan w:val="3"/>
            <w:vAlign w:val="center"/>
          </w:tcPr>
          <w:p>
            <w:pPr>
              <w:spacing w:line="240" w:lineRule="auto"/>
              <w:jc w:val="center"/>
              <w:rPr>
                <w:rFonts w:ascii="仿宋" w:hAnsi="仿宋" w:eastAsia="仿宋" w:cs="仿宋"/>
              </w:rPr>
            </w:pPr>
          </w:p>
        </w:tc>
        <w:tc>
          <w:tcPr>
            <w:tcW w:w="1830" w:type="dxa"/>
            <w:gridSpan w:val="4"/>
            <w:vAlign w:val="center"/>
          </w:tcPr>
          <w:p>
            <w:pPr>
              <w:spacing w:line="240" w:lineRule="auto"/>
              <w:jc w:val="center"/>
              <w:rPr>
                <w:rFonts w:ascii="仿宋" w:hAnsi="仿宋" w:eastAsia="仿宋" w:cs="仿宋"/>
              </w:rPr>
            </w:pPr>
            <w:r>
              <w:rPr>
                <w:rFonts w:hint="eastAsia" w:ascii="仿宋" w:hAnsi="仿宋" w:eastAsia="仿宋" w:cs="仿宋"/>
              </w:rPr>
              <w:t>股东关系</w:t>
            </w:r>
          </w:p>
        </w:tc>
        <w:tc>
          <w:tcPr>
            <w:tcW w:w="1497" w:type="dxa"/>
            <w:gridSpan w:val="2"/>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36" w:type="dxa"/>
            <w:vMerge w:val="restart"/>
            <w:vAlign w:val="center"/>
          </w:tcPr>
          <w:p>
            <w:pPr>
              <w:spacing w:line="240" w:lineRule="auto"/>
              <w:jc w:val="center"/>
              <w:rPr>
                <w:rFonts w:ascii="仿宋" w:hAnsi="仿宋" w:eastAsia="仿宋" w:cs="仿宋"/>
              </w:rPr>
            </w:pPr>
            <w:r>
              <w:rPr>
                <w:rFonts w:hint="eastAsia" w:ascii="仿宋" w:hAnsi="仿宋" w:eastAsia="仿宋" w:cs="仿宋"/>
              </w:rPr>
              <w:t>联系人姓名</w:t>
            </w:r>
          </w:p>
        </w:tc>
        <w:tc>
          <w:tcPr>
            <w:tcW w:w="1395" w:type="dxa"/>
            <w:gridSpan w:val="2"/>
            <w:vMerge w:val="restart"/>
            <w:vAlign w:val="center"/>
          </w:tcPr>
          <w:p>
            <w:pPr>
              <w:spacing w:line="240" w:lineRule="auto"/>
              <w:jc w:val="center"/>
              <w:rPr>
                <w:rFonts w:ascii="仿宋" w:hAnsi="仿宋" w:eastAsia="仿宋" w:cs="仿宋"/>
              </w:rPr>
            </w:pPr>
          </w:p>
        </w:tc>
        <w:tc>
          <w:tcPr>
            <w:tcW w:w="1290" w:type="dxa"/>
            <w:gridSpan w:val="3"/>
            <w:vAlign w:val="center"/>
          </w:tcPr>
          <w:p>
            <w:pPr>
              <w:spacing w:line="240" w:lineRule="auto"/>
              <w:jc w:val="center"/>
              <w:rPr>
                <w:rFonts w:ascii="仿宋" w:hAnsi="仿宋" w:eastAsia="仿宋" w:cs="仿宋"/>
              </w:rPr>
            </w:pPr>
            <w:r>
              <w:rPr>
                <w:rFonts w:hint="eastAsia" w:ascii="仿宋" w:hAnsi="仿宋" w:eastAsia="仿宋" w:cs="仿宋"/>
              </w:rPr>
              <w:t>固定电话</w:t>
            </w:r>
          </w:p>
        </w:tc>
        <w:tc>
          <w:tcPr>
            <w:tcW w:w="2010" w:type="dxa"/>
            <w:gridSpan w:val="3"/>
            <w:vAlign w:val="center"/>
          </w:tcPr>
          <w:p>
            <w:pPr>
              <w:spacing w:line="240" w:lineRule="auto"/>
              <w:jc w:val="center"/>
              <w:rPr>
                <w:rFonts w:ascii="仿宋" w:hAnsi="仿宋" w:eastAsia="仿宋" w:cs="仿宋"/>
              </w:rPr>
            </w:pPr>
          </w:p>
        </w:tc>
        <w:tc>
          <w:tcPr>
            <w:tcW w:w="1830" w:type="dxa"/>
            <w:gridSpan w:val="4"/>
            <w:vMerge w:val="restart"/>
            <w:vAlign w:val="center"/>
          </w:tcPr>
          <w:p>
            <w:pPr>
              <w:spacing w:line="240" w:lineRule="auto"/>
              <w:jc w:val="center"/>
              <w:rPr>
                <w:rFonts w:ascii="仿宋" w:hAnsi="仿宋" w:eastAsia="仿宋" w:cs="仿宋"/>
              </w:rPr>
            </w:pPr>
            <w:r>
              <w:rPr>
                <w:rFonts w:hint="eastAsia" w:ascii="仿宋" w:hAnsi="仿宋" w:eastAsia="仿宋" w:cs="仿宋"/>
              </w:rPr>
              <w:t>传真</w:t>
            </w:r>
          </w:p>
        </w:tc>
        <w:tc>
          <w:tcPr>
            <w:tcW w:w="1497" w:type="dxa"/>
            <w:gridSpan w:val="2"/>
            <w:vMerge w:val="restart"/>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36" w:type="dxa"/>
            <w:vMerge w:val="continue"/>
            <w:vAlign w:val="center"/>
          </w:tcPr>
          <w:p>
            <w:pPr>
              <w:spacing w:line="240" w:lineRule="auto"/>
              <w:jc w:val="center"/>
              <w:rPr>
                <w:rFonts w:ascii="仿宋" w:hAnsi="仿宋" w:eastAsia="仿宋" w:cs="仿宋"/>
              </w:rPr>
            </w:pPr>
          </w:p>
        </w:tc>
        <w:tc>
          <w:tcPr>
            <w:tcW w:w="1395" w:type="dxa"/>
            <w:gridSpan w:val="2"/>
            <w:vMerge w:val="continue"/>
            <w:vAlign w:val="center"/>
          </w:tcPr>
          <w:p>
            <w:pPr>
              <w:spacing w:line="240" w:lineRule="auto"/>
              <w:jc w:val="center"/>
              <w:rPr>
                <w:rFonts w:ascii="仿宋" w:hAnsi="仿宋" w:eastAsia="仿宋" w:cs="仿宋"/>
              </w:rPr>
            </w:pPr>
          </w:p>
        </w:tc>
        <w:tc>
          <w:tcPr>
            <w:tcW w:w="1290" w:type="dxa"/>
            <w:gridSpan w:val="3"/>
            <w:vAlign w:val="center"/>
          </w:tcPr>
          <w:p>
            <w:pPr>
              <w:spacing w:line="240" w:lineRule="auto"/>
              <w:jc w:val="center"/>
              <w:rPr>
                <w:rFonts w:ascii="仿宋" w:hAnsi="仿宋" w:eastAsia="仿宋" w:cs="仿宋"/>
              </w:rPr>
            </w:pPr>
            <w:r>
              <w:rPr>
                <w:rFonts w:hint="eastAsia" w:ascii="仿宋" w:hAnsi="仿宋" w:eastAsia="仿宋" w:cs="仿宋"/>
              </w:rPr>
              <w:t>手机</w:t>
            </w:r>
          </w:p>
        </w:tc>
        <w:tc>
          <w:tcPr>
            <w:tcW w:w="2010" w:type="dxa"/>
            <w:gridSpan w:val="3"/>
            <w:vAlign w:val="center"/>
          </w:tcPr>
          <w:p>
            <w:pPr>
              <w:spacing w:line="240" w:lineRule="auto"/>
              <w:jc w:val="center"/>
              <w:rPr>
                <w:rFonts w:ascii="仿宋" w:hAnsi="仿宋" w:eastAsia="仿宋" w:cs="仿宋"/>
              </w:rPr>
            </w:pPr>
          </w:p>
        </w:tc>
        <w:tc>
          <w:tcPr>
            <w:tcW w:w="1830" w:type="dxa"/>
            <w:gridSpan w:val="4"/>
            <w:vMerge w:val="continue"/>
            <w:vAlign w:val="center"/>
          </w:tcPr>
          <w:p>
            <w:pPr>
              <w:spacing w:line="240" w:lineRule="auto"/>
              <w:jc w:val="center"/>
              <w:rPr>
                <w:rFonts w:ascii="仿宋" w:hAnsi="仿宋" w:eastAsia="仿宋" w:cs="仿宋"/>
              </w:rPr>
            </w:pPr>
          </w:p>
        </w:tc>
        <w:tc>
          <w:tcPr>
            <w:tcW w:w="1497" w:type="dxa"/>
            <w:gridSpan w:val="2"/>
            <w:vMerge w:val="continue"/>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36" w:type="dxa"/>
            <w:vMerge w:val="restart"/>
            <w:vAlign w:val="center"/>
          </w:tcPr>
          <w:p>
            <w:pPr>
              <w:spacing w:line="240" w:lineRule="auto"/>
              <w:jc w:val="center"/>
              <w:rPr>
                <w:rFonts w:ascii="仿宋" w:hAnsi="仿宋" w:eastAsia="仿宋" w:cs="仿宋"/>
              </w:rPr>
            </w:pPr>
            <w:r>
              <w:rPr>
                <w:rFonts w:hint="eastAsia" w:ascii="仿宋" w:hAnsi="仿宋" w:eastAsia="仿宋" w:cs="仿宋"/>
              </w:rPr>
              <w:t xml:space="preserve">1. </w:t>
            </w:r>
          </w:p>
          <w:p>
            <w:pPr>
              <w:spacing w:line="240" w:lineRule="auto"/>
              <w:jc w:val="center"/>
              <w:rPr>
                <w:rFonts w:ascii="仿宋" w:hAnsi="仿宋" w:eastAsia="仿宋" w:cs="仿宋"/>
              </w:rPr>
            </w:pPr>
            <w:r>
              <w:rPr>
                <w:rFonts w:hint="eastAsia" w:ascii="仿宋" w:hAnsi="仿宋" w:eastAsia="仿宋" w:cs="仿宋"/>
              </w:rPr>
              <w:t>企</w:t>
            </w:r>
          </w:p>
          <w:p>
            <w:pPr>
              <w:spacing w:line="240" w:lineRule="auto"/>
              <w:jc w:val="center"/>
              <w:rPr>
                <w:rFonts w:ascii="仿宋" w:hAnsi="仿宋" w:eastAsia="仿宋" w:cs="仿宋"/>
              </w:rPr>
            </w:pPr>
            <w:r>
              <w:rPr>
                <w:rFonts w:hint="eastAsia" w:ascii="仿宋" w:hAnsi="仿宋" w:eastAsia="仿宋" w:cs="仿宋"/>
              </w:rPr>
              <w:t>业</w:t>
            </w:r>
          </w:p>
          <w:p>
            <w:pPr>
              <w:spacing w:line="240" w:lineRule="auto"/>
              <w:jc w:val="center"/>
              <w:rPr>
                <w:rFonts w:ascii="仿宋" w:hAnsi="仿宋" w:eastAsia="仿宋" w:cs="仿宋"/>
              </w:rPr>
            </w:pPr>
            <w:r>
              <w:rPr>
                <w:rFonts w:hint="eastAsia" w:ascii="仿宋" w:hAnsi="仿宋" w:eastAsia="仿宋" w:cs="仿宋"/>
              </w:rPr>
              <w:t>概</w:t>
            </w:r>
          </w:p>
          <w:p>
            <w:pPr>
              <w:spacing w:line="240" w:lineRule="auto"/>
              <w:jc w:val="center"/>
              <w:rPr>
                <w:rFonts w:ascii="仿宋" w:hAnsi="仿宋" w:eastAsia="仿宋" w:cs="仿宋"/>
              </w:rPr>
            </w:pPr>
            <w:r>
              <w:rPr>
                <w:rFonts w:hint="eastAsia" w:ascii="仿宋" w:hAnsi="仿宋" w:eastAsia="仿宋" w:cs="仿宋"/>
              </w:rPr>
              <w:t>况</w:t>
            </w:r>
          </w:p>
        </w:tc>
        <w:tc>
          <w:tcPr>
            <w:tcW w:w="780" w:type="dxa"/>
            <w:vAlign w:val="center"/>
          </w:tcPr>
          <w:p>
            <w:pPr>
              <w:spacing w:line="240" w:lineRule="auto"/>
              <w:jc w:val="center"/>
              <w:rPr>
                <w:rFonts w:ascii="仿宋" w:hAnsi="仿宋" w:eastAsia="仿宋" w:cs="仿宋"/>
              </w:rPr>
            </w:pPr>
            <w:r>
              <w:rPr>
                <w:rFonts w:hint="eastAsia" w:ascii="仿宋" w:hAnsi="仿宋" w:eastAsia="仿宋" w:cs="仿宋"/>
              </w:rPr>
              <w:t>职工</w:t>
            </w:r>
          </w:p>
          <w:p>
            <w:pPr>
              <w:spacing w:line="240" w:lineRule="auto"/>
              <w:jc w:val="center"/>
              <w:rPr>
                <w:rFonts w:ascii="仿宋" w:hAnsi="仿宋" w:eastAsia="仿宋" w:cs="仿宋"/>
              </w:rPr>
            </w:pPr>
            <w:r>
              <w:rPr>
                <w:rFonts w:hint="eastAsia" w:ascii="仿宋" w:hAnsi="仿宋" w:eastAsia="仿宋" w:cs="仿宋"/>
              </w:rPr>
              <w:t>人数</w:t>
            </w:r>
          </w:p>
        </w:tc>
        <w:tc>
          <w:tcPr>
            <w:tcW w:w="1350" w:type="dxa"/>
            <w:gridSpan w:val="2"/>
            <w:vAlign w:val="center"/>
          </w:tcPr>
          <w:p>
            <w:pPr>
              <w:spacing w:line="240" w:lineRule="auto"/>
              <w:jc w:val="center"/>
              <w:rPr>
                <w:rFonts w:ascii="仿宋" w:hAnsi="仿宋" w:eastAsia="仿宋" w:cs="仿宋"/>
              </w:rPr>
            </w:pPr>
          </w:p>
        </w:tc>
        <w:tc>
          <w:tcPr>
            <w:tcW w:w="1170" w:type="dxa"/>
            <w:gridSpan w:val="3"/>
            <w:vAlign w:val="center"/>
          </w:tcPr>
          <w:p>
            <w:pPr>
              <w:spacing w:line="240" w:lineRule="auto"/>
              <w:jc w:val="center"/>
              <w:rPr>
                <w:rFonts w:ascii="仿宋" w:hAnsi="仿宋" w:eastAsia="仿宋" w:cs="仿宋"/>
              </w:rPr>
            </w:pPr>
            <w:r>
              <w:rPr>
                <w:rFonts w:hint="eastAsia" w:ascii="仿宋" w:hAnsi="仿宋" w:eastAsia="仿宋" w:cs="仿宋"/>
              </w:rPr>
              <w:t>具备大专以上学历人数</w:t>
            </w:r>
          </w:p>
        </w:tc>
        <w:tc>
          <w:tcPr>
            <w:tcW w:w="1395" w:type="dxa"/>
            <w:gridSpan w:val="2"/>
            <w:vAlign w:val="center"/>
          </w:tcPr>
          <w:p>
            <w:pPr>
              <w:spacing w:line="240" w:lineRule="auto"/>
              <w:jc w:val="center"/>
              <w:rPr>
                <w:rFonts w:ascii="仿宋" w:hAnsi="仿宋" w:eastAsia="仿宋" w:cs="仿宋"/>
              </w:rPr>
            </w:pPr>
          </w:p>
        </w:tc>
        <w:tc>
          <w:tcPr>
            <w:tcW w:w="1830" w:type="dxa"/>
            <w:gridSpan w:val="4"/>
            <w:vAlign w:val="center"/>
          </w:tcPr>
          <w:p>
            <w:pPr>
              <w:spacing w:line="240" w:lineRule="auto"/>
              <w:jc w:val="center"/>
              <w:rPr>
                <w:rFonts w:ascii="仿宋" w:hAnsi="仿宋" w:eastAsia="仿宋" w:cs="仿宋"/>
              </w:rPr>
            </w:pPr>
            <w:r>
              <w:rPr>
                <w:rFonts w:hint="eastAsia" w:ascii="仿宋" w:hAnsi="仿宋" w:eastAsia="仿宋" w:cs="仿宋"/>
              </w:rPr>
              <w:t>国家授予技术职称人数</w:t>
            </w:r>
          </w:p>
        </w:tc>
        <w:tc>
          <w:tcPr>
            <w:tcW w:w="1497" w:type="dxa"/>
            <w:gridSpan w:val="2"/>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36" w:type="dxa"/>
            <w:vMerge w:val="continue"/>
            <w:vAlign w:val="center"/>
          </w:tcPr>
          <w:p>
            <w:pPr>
              <w:spacing w:line="240" w:lineRule="auto"/>
              <w:jc w:val="center"/>
              <w:rPr>
                <w:rFonts w:ascii="仿宋" w:hAnsi="仿宋" w:eastAsia="仿宋" w:cs="仿宋"/>
              </w:rPr>
            </w:pPr>
          </w:p>
        </w:tc>
        <w:tc>
          <w:tcPr>
            <w:tcW w:w="780" w:type="dxa"/>
            <w:vAlign w:val="center"/>
          </w:tcPr>
          <w:p>
            <w:pPr>
              <w:spacing w:line="240" w:lineRule="auto"/>
              <w:jc w:val="center"/>
              <w:rPr>
                <w:rFonts w:ascii="仿宋" w:hAnsi="仿宋" w:eastAsia="仿宋" w:cs="仿宋"/>
              </w:rPr>
            </w:pPr>
            <w:r>
              <w:rPr>
                <w:rFonts w:hint="eastAsia" w:ascii="仿宋" w:hAnsi="仿宋" w:eastAsia="仿宋" w:cs="仿宋"/>
              </w:rPr>
              <w:t>占地</w:t>
            </w:r>
          </w:p>
          <w:p>
            <w:pPr>
              <w:spacing w:line="240" w:lineRule="auto"/>
              <w:jc w:val="center"/>
              <w:rPr>
                <w:rFonts w:ascii="仿宋" w:hAnsi="仿宋" w:eastAsia="仿宋" w:cs="仿宋"/>
              </w:rPr>
            </w:pPr>
            <w:r>
              <w:rPr>
                <w:rFonts w:hint="eastAsia" w:ascii="仿宋" w:hAnsi="仿宋" w:eastAsia="仿宋" w:cs="仿宋"/>
              </w:rPr>
              <w:t>面积</w:t>
            </w:r>
          </w:p>
        </w:tc>
        <w:tc>
          <w:tcPr>
            <w:tcW w:w="1350" w:type="dxa"/>
            <w:gridSpan w:val="2"/>
            <w:vAlign w:val="center"/>
          </w:tcPr>
          <w:p>
            <w:pPr>
              <w:spacing w:line="240" w:lineRule="auto"/>
              <w:jc w:val="center"/>
              <w:rPr>
                <w:rFonts w:ascii="仿宋" w:hAnsi="仿宋" w:eastAsia="仿宋" w:cs="仿宋"/>
              </w:rPr>
            </w:pPr>
          </w:p>
        </w:tc>
        <w:tc>
          <w:tcPr>
            <w:tcW w:w="1170" w:type="dxa"/>
            <w:gridSpan w:val="3"/>
            <w:vAlign w:val="center"/>
          </w:tcPr>
          <w:p>
            <w:pPr>
              <w:spacing w:line="240" w:lineRule="auto"/>
              <w:jc w:val="center"/>
              <w:rPr>
                <w:rFonts w:ascii="仿宋" w:hAnsi="仿宋" w:eastAsia="仿宋" w:cs="仿宋"/>
              </w:rPr>
            </w:pPr>
            <w:r>
              <w:rPr>
                <w:rFonts w:hint="eastAsia" w:ascii="仿宋" w:hAnsi="仿宋" w:eastAsia="仿宋" w:cs="仿宋"/>
              </w:rPr>
              <w:t>建筑面积</w:t>
            </w:r>
          </w:p>
        </w:tc>
        <w:tc>
          <w:tcPr>
            <w:tcW w:w="1395" w:type="dxa"/>
            <w:gridSpan w:val="2"/>
            <w:vAlign w:val="center"/>
          </w:tcPr>
          <w:p>
            <w:pPr>
              <w:spacing w:line="240" w:lineRule="auto"/>
              <w:jc w:val="center"/>
              <w:rPr>
                <w:rFonts w:ascii="仿宋" w:hAnsi="仿宋" w:eastAsia="仿宋" w:cs="仿宋"/>
              </w:rPr>
            </w:pPr>
            <w:r>
              <w:rPr>
                <w:rFonts w:hint="eastAsia" w:ascii="仿宋" w:hAnsi="仿宋" w:eastAsia="仿宋" w:cs="仿宋"/>
              </w:rPr>
              <w:t>平方米□自有□租赁</w:t>
            </w:r>
          </w:p>
        </w:tc>
        <w:tc>
          <w:tcPr>
            <w:tcW w:w="1830" w:type="dxa"/>
            <w:gridSpan w:val="4"/>
            <w:vAlign w:val="center"/>
          </w:tcPr>
          <w:p>
            <w:pPr>
              <w:spacing w:line="240" w:lineRule="auto"/>
              <w:jc w:val="center"/>
              <w:rPr>
                <w:rFonts w:ascii="仿宋" w:hAnsi="仿宋" w:eastAsia="仿宋" w:cs="仿宋"/>
              </w:rPr>
            </w:pPr>
            <w:r>
              <w:rPr>
                <w:rFonts w:hint="eastAsia" w:ascii="仿宋" w:hAnsi="仿宋" w:eastAsia="仿宋" w:cs="仿宋"/>
              </w:rPr>
              <w:t>生产经营场所及场所的设施与设备</w:t>
            </w:r>
          </w:p>
        </w:tc>
        <w:tc>
          <w:tcPr>
            <w:tcW w:w="1497" w:type="dxa"/>
            <w:gridSpan w:val="2"/>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36" w:type="dxa"/>
            <w:vMerge w:val="continue"/>
            <w:vAlign w:val="center"/>
          </w:tcPr>
          <w:p>
            <w:pPr>
              <w:spacing w:line="240" w:lineRule="auto"/>
              <w:jc w:val="center"/>
              <w:rPr>
                <w:rFonts w:ascii="仿宋" w:hAnsi="仿宋" w:eastAsia="仿宋" w:cs="仿宋"/>
              </w:rPr>
            </w:pPr>
          </w:p>
        </w:tc>
        <w:tc>
          <w:tcPr>
            <w:tcW w:w="780" w:type="dxa"/>
            <w:vAlign w:val="center"/>
          </w:tcPr>
          <w:p>
            <w:pPr>
              <w:spacing w:line="240" w:lineRule="auto"/>
              <w:jc w:val="center"/>
              <w:rPr>
                <w:rFonts w:ascii="仿宋" w:hAnsi="仿宋" w:eastAsia="仿宋" w:cs="仿宋"/>
              </w:rPr>
            </w:pPr>
            <w:r>
              <w:rPr>
                <w:rFonts w:hint="eastAsia" w:ascii="仿宋" w:hAnsi="仿宋" w:eastAsia="仿宋" w:cs="仿宋"/>
              </w:rPr>
              <w:t>注册</w:t>
            </w:r>
          </w:p>
          <w:p>
            <w:pPr>
              <w:spacing w:line="240" w:lineRule="auto"/>
              <w:jc w:val="center"/>
              <w:rPr>
                <w:rFonts w:ascii="仿宋" w:hAnsi="仿宋" w:eastAsia="仿宋" w:cs="仿宋"/>
              </w:rPr>
            </w:pPr>
            <w:r>
              <w:rPr>
                <w:rFonts w:hint="eastAsia" w:ascii="仿宋" w:hAnsi="仿宋" w:eastAsia="仿宋" w:cs="仿宋"/>
              </w:rPr>
              <w:t>资金</w:t>
            </w:r>
          </w:p>
        </w:tc>
        <w:tc>
          <w:tcPr>
            <w:tcW w:w="1350" w:type="dxa"/>
            <w:gridSpan w:val="2"/>
            <w:vAlign w:val="center"/>
          </w:tcPr>
          <w:p>
            <w:pPr>
              <w:spacing w:line="240" w:lineRule="auto"/>
              <w:jc w:val="center"/>
              <w:rPr>
                <w:rFonts w:ascii="仿宋" w:hAnsi="仿宋" w:eastAsia="仿宋" w:cs="仿宋"/>
              </w:rPr>
            </w:pPr>
          </w:p>
        </w:tc>
        <w:tc>
          <w:tcPr>
            <w:tcW w:w="1170" w:type="dxa"/>
            <w:gridSpan w:val="3"/>
            <w:vAlign w:val="center"/>
          </w:tcPr>
          <w:p>
            <w:pPr>
              <w:spacing w:line="240" w:lineRule="auto"/>
              <w:jc w:val="center"/>
              <w:rPr>
                <w:rFonts w:ascii="仿宋" w:hAnsi="仿宋" w:eastAsia="仿宋" w:cs="仿宋"/>
              </w:rPr>
            </w:pPr>
            <w:r>
              <w:rPr>
                <w:rFonts w:hint="eastAsia" w:ascii="仿宋" w:hAnsi="仿宋" w:eastAsia="仿宋" w:cs="仿宋"/>
              </w:rPr>
              <w:t>注册发证机关</w:t>
            </w:r>
          </w:p>
        </w:tc>
        <w:tc>
          <w:tcPr>
            <w:tcW w:w="2280" w:type="dxa"/>
            <w:gridSpan w:val="4"/>
            <w:vAlign w:val="center"/>
          </w:tcPr>
          <w:p>
            <w:pPr>
              <w:spacing w:line="240" w:lineRule="auto"/>
              <w:jc w:val="center"/>
              <w:rPr>
                <w:rFonts w:ascii="仿宋" w:hAnsi="仿宋" w:eastAsia="仿宋" w:cs="仿宋"/>
              </w:rPr>
            </w:pPr>
          </w:p>
        </w:tc>
        <w:tc>
          <w:tcPr>
            <w:tcW w:w="945" w:type="dxa"/>
            <w:gridSpan w:val="2"/>
            <w:vAlign w:val="center"/>
          </w:tcPr>
          <w:p>
            <w:pPr>
              <w:spacing w:line="240" w:lineRule="auto"/>
              <w:jc w:val="center"/>
              <w:rPr>
                <w:rFonts w:ascii="仿宋" w:hAnsi="仿宋" w:eastAsia="仿宋" w:cs="仿宋"/>
              </w:rPr>
            </w:pPr>
            <w:r>
              <w:rPr>
                <w:rFonts w:hint="eastAsia" w:ascii="仿宋" w:hAnsi="仿宋" w:eastAsia="仿宋" w:cs="仿宋"/>
              </w:rPr>
              <w:t>公司成立时间</w:t>
            </w:r>
          </w:p>
        </w:tc>
        <w:tc>
          <w:tcPr>
            <w:tcW w:w="1497" w:type="dxa"/>
            <w:gridSpan w:val="2"/>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036" w:type="dxa"/>
            <w:vMerge w:val="continue"/>
            <w:vAlign w:val="center"/>
          </w:tcPr>
          <w:p>
            <w:pPr>
              <w:spacing w:line="240" w:lineRule="auto"/>
              <w:jc w:val="center"/>
              <w:rPr>
                <w:rFonts w:ascii="仿宋" w:hAnsi="仿宋" w:eastAsia="仿宋" w:cs="仿宋"/>
              </w:rPr>
            </w:pPr>
          </w:p>
        </w:tc>
        <w:tc>
          <w:tcPr>
            <w:tcW w:w="780" w:type="dxa"/>
            <w:vAlign w:val="center"/>
          </w:tcPr>
          <w:p>
            <w:pPr>
              <w:spacing w:line="240" w:lineRule="auto"/>
              <w:jc w:val="center"/>
              <w:rPr>
                <w:rFonts w:ascii="仿宋" w:hAnsi="仿宋" w:eastAsia="仿宋" w:cs="仿宋"/>
              </w:rPr>
            </w:pPr>
            <w:r>
              <w:rPr>
                <w:rFonts w:hint="eastAsia" w:ascii="仿宋" w:hAnsi="仿宋" w:eastAsia="仿宋" w:cs="仿宋"/>
              </w:rPr>
              <w:t>核准经营范围</w:t>
            </w:r>
          </w:p>
        </w:tc>
        <w:tc>
          <w:tcPr>
            <w:tcW w:w="7242" w:type="dxa"/>
            <w:gridSpan w:val="13"/>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36" w:type="dxa"/>
            <w:vMerge w:val="continue"/>
            <w:vAlign w:val="center"/>
          </w:tcPr>
          <w:p>
            <w:pPr>
              <w:spacing w:line="240" w:lineRule="auto"/>
              <w:jc w:val="center"/>
              <w:rPr>
                <w:rFonts w:ascii="仿宋" w:hAnsi="仿宋" w:eastAsia="仿宋" w:cs="仿宋"/>
              </w:rPr>
            </w:pPr>
          </w:p>
        </w:tc>
        <w:tc>
          <w:tcPr>
            <w:tcW w:w="8022" w:type="dxa"/>
            <w:gridSpan w:val="14"/>
            <w:vAlign w:val="center"/>
          </w:tcPr>
          <w:p>
            <w:pPr>
              <w:spacing w:line="240" w:lineRule="auto"/>
              <w:rPr>
                <w:rFonts w:ascii="仿宋" w:hAnsi="仿宋" w:eastAsia="仿宋" w:cs="仿宋"/>
              </w:rPr>
            </w:pPr>
            <w:r>
              <w:rPr>
                <w:rFonts w:hint="eastAsia" w:ascii="仿宋" w:hAnsi="仿宋" w:eastAsia="仿宋" w:cs="仿宋"/>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36" w:type="dxa"/>
            <w:vMerge w:val="restart"/>
            <w:vAlign w:val="center"/>
          </w:tcPr>
          <w:p>
            <w:pPr>
              <w:spacing w:line="240" w:lineRule="auto"/>
              <w:jc w:val="center"/>
              <w:rPr>
                <w:rFonts w:ascii="仿宋" w:hAnsi="仿宋" w:eastAsia="仿宋" w:cs="仿宋"/>
              </w:rPr>
            </w:pPr>
            <w:r>
              <w:rPr>
                <w:rFonts w:hint="eastAsia" w:ascii="仿宋" w:hAnsi="仿宋" w:eastAsia="仿宋" w:cs="仿宋"/>
              </w:rPr>
              <w:t>2.企业有关资质获证情况</w:t>
            </w:r>
          </w:p>
        </w:tc>
        <w:tc>
          <w:tcPr>
            <w:tcW w:w="2268" w:type="dxa"/>
            <w:gridSpan w:val="4"/>
            <w:vMerge w:val="restart"/>
            <w:vAlign w:val="center"/>
          </w:tcPr>
          <w:p>
            <w:pPr>
              <w:spacing w:line="240" w:lineRule="auto"/>
              <w:jc w:val="center"/>
              <w:rPr>
                <w:rFonts w:ascii="仿宋" w:hAnsi="仿宋" w:eastAsia="仿宋" w:cs="仿宋"/>
              </w:rPr>
            </w:pPr>
            <w:r>
              <w:rPr>
                <w:rFonts w:hint="eastAsia" w:ascii="仿宋" w:hAnsi="仿宋" w:eastAsia="仿宋" w:cs="仿宋"/>
              </w:rPr>
              <w:t>产品生产许可证情况（对需获得生产许可证的产品要填写此栏）</w:t>
            </w:r>
          </w:p>
        </w:tc>
        <w:tc>
          <w:tcPr>
            <w:tcW w:w="1476" w:type="dxa"/>
            <w:gridSpan w:val="3"/>
            <w:vAlign w:val="center"/>
          </w:tcPr>
          <w:p>
            <w:pPr>
              <w:spacing w:line="240" w:lineRule="auto"/>
              <w:jc w:val="center"/>
              <w:rPr>
                <w:rFonts w:ascii="仿宋" w:hAnsi="仿宋" w:eastAsia="仿宋" w:cs="仿宋"/>
              </w:rPr>
            </w:pPr>
            <w:r>
              <w:rPr>
                <w:rFonts w:hint="eastAsia" w:ascii="仿宋" w:hAnsi="仿宋" w:eastAsia="仿宋" w:cs="仿宋"/>
              </w:rPr>
              <w:t>产品名称</w:t>
            </w:r>
          </w:p>
        </w:tc>
        <w:tc>
          <w:tcPr>
            <w:tcW w:w="1257" w:type="dxa"/>
            <w:gridSpan w:val="2"/>
            <w:vAlign w:val="center"/>
          </w:tcPr>
          <w:p>
            <w:pPr>
              <w:spacing w:line="240" w:lineRule="auto"/>
              <w:jc w:val="center"/>
              <w:rPr>
                <w:rFonts w:ascii="仿宋" w:hAnsi="仿宋" w:eastAsia="仿宋" w:cs="仿宋"/>
              </w:rPr>
            </w:pPr>
            <w:r>
              <w:rPr>
                <w:rFonts w:hint="eastAsia" w:ascii="仿宋" w:hAnsi="仿宋" w:eastAsia="仿宋" w:cs="仿宋"/>
              </w:rPr>
              <w:t>发证机关</w:t>
            </w:r>
          </w:p>
        </w:tc>
        <w:tc>
          <w:tcPr>
            <w:tcW w:w="1047" w:type="dxa"/>
            <w:gridSpan w:val="2"/>
            <w:vAlign w:val="center"/>
          </w:tcPr>
          <w:p>
            <w:pPr>
              <w:spacing w:line="240" w:lineRule="auto"/>
              <w:jc w:val="center"/>
              <w:rPr>
                <w:rFonts w:ascii="仿宋" w:hAnsi="仿宋" w:eastAsia="仿宋" w:cs="仿宋"/>
              </w:rPr>
            </w:pPr>
            <w:r>
              <w:rPr>
                <w:rFonts w:hint="eastAsia" w:ascii="仿宋" w:hAnsi="仿宋" w:eastAsia="仿宋" w:cs="仿宋"/>
              </w:rPr>
              <w:t>编号</w:t>
            </w:r>
          </w:p>
        </w:tc>
        <w:tc>
          <w:tcPr>
            <w:tcW w:w="713" w:type="dxa"/>
            <w:gridSpan w:val="2"/>
            <w:vAlign w:val="center"/>
          </w:tcPr>
          <w:p>
            <w:pPr>
              <w:spacing w:line="240" w:lineRule="auto"/>
              <w:jc w:val="center"/>
              <w:rPr>
                <w:rFonts w:ascii="仿宋" w:hAnsi="仿宋" w:eastAsia="仿宋" w:cs="仿宋"/>
              </w:rPr>
            </w:pPr>
            <w:r>
              <w:rPr>
                <w:rFonts w:hint="eastAsia" w:ascii="仿宋" w:hAnsi="仿宋" w:eastAsia="仿宋" w:cs="仿宋"/>
              </w:rPr>
              <w:t>发证时间</w:t>
            </w:r>
          </w:p>
        </w:tc>
        <w:tc>
          <w:tcPr>
            <w:tcW w:w="1261" w:type="dxa"/>
            <w:vAlign w:val="center"/>
          </w:tcPr>
          <w:p>
            <w:pPr>
              <w:spacing w:line="240" w:lineRule="auto"/>
              <w:jc w:val="center"/>
              <w:rPr>
                <w:rFonts w:ascii="仿宋" w:hAnsi="仿宋" w:eastAsia="仿宋" w:cs="仿宋"/>
              </w:rPr>
            </w:pPr>
            <w:r>
              <w:rPr>
                <w:rFonts w:hint="eastAsia" w:ascii="仿宋" w:hAnsi="仿宋" w:eastAsia="仿宋" w:cs="仿宋"/>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36" w:type="dxa"/>
            <w:vMerge w:val="continue"/>
            <w:vAlign w:val="center"/>
          </w:tcPr>
          <w:p>
            <w:pPr>
              <w:spacing w:line="240" w:lineRule="auto"/>
              <w:jc w:val="center"/>
              <w:rPr>
                <w:rFonts w:ascii="仿宋" w:hAnsi="仿宋" w:eastAsia="仿宋" w:cs="仿宋"/>
              </w:rPr>
            </w:pPr>
          </w:p>
        </w:tc>
        <w:tc>
          <w:tcPr>
            <w:tcW w:w="2268" w:type="dxa"/>
            <w:gridSpan w:val="4"/>
            <w:vMerge w:val="continue"/>
            <w:vAlign w:val="center"/>
          </w:tcPr>
          <w:p>
            <w:pPr>
              <w:spacing w:line="240" w:lineRule="auto"/>
              <w:jc w:val="center"/>
              <w:rPr>
                <w:rFonts w:ascii="仿宋" w:hAnsi="仿宋" w:eastAsia="仿宋" w:cs="仿宋"/>
              </w:rPr>
            </w:pPr>
          </w:p>
        </w:tc>
        <w:tc>
          <w:tcPr>
            <w:tcW w:w="1476" w:type="dxa"/>
            <w:gridSpan w:val="3"/>
            <w:vAlign w:val="center"/>
          </w:tcPr>
          <w:p>
            <w:pPr>
              <w:spacing w:line="240" w:lineRule="auto"/>
              <w:jc w:val="center"/>
              <w:rPr>
                <w:rFonts w:ascii="仿宋" w:hAnsi="仿宋" w:eastAsia="仿宋" w:cs="仿宋"/>
              </w:rPr>
            </w:pPr>
          </w:p>
        </w:tc>
        <w:tc>
          <w:tcPr>
            <w:tcW w:w="1257" w:type="dxa"/>
            <w:gridSpan w:val="2"/>
            <w:vAlign w:val="center"/>
          </w:tcPr>
          <w:p>
            <w:pPr>
              <w:spacing w:line="240" w:lineRule="auto"/>
              <w:jc w:val="center"/>
              <w:rPr>
                <w:rFonts w:ascii="仿宋" w:hAnsi="仿宋" w:eastAsia="仿宋" w:cs="仿宋"/>
              </w:rPr>
            </w:pPr>
          </w:p>
        </w:tc>
        <w:tc>
          <w:tcPr>
            <w:tcW w:w="1047" w:type="dxa"/>
            <w:gridSpan w:val="2"/>
            <w:vAlign w:val="center"/>
          </w:tcPr>
          <w:p>
            <w:pPr>
              <w:spacing w:line="240" w:lineRule="auto"/>
              <w:jc w:val="center"/>
              <w:rPr>
                <w:rFonts w:ascii="仿宋" w:hAnsi="仿宋" w:eastAsia="仿宋" w:cs="仿宋"/>
              </w:rPr>
            </w:pPr>
          </w:p>
        </w:tc>
        <w:tc>
          <w:tcPr>
            <w:tcW w:w="1974" w:type="dxa"/>
            <w:gridSpan w:val="3"/>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36" w:type="dxa"/>
            <w:vMerge w:val="continue"/>
            <w:vAlign w:val="center"/>
          </w:tcPr>
          <w:p>
            <w:pPr>
              <w:spacing w:line="240" w:lineRule="auto"/>
              <w:jc w:val="center"/>
              <w:rPr>
                <w:rFonts w:ascii="仿宋" w:hAnsi="仿宋" w:eastAsia="仿宋" w:cs="仿宋"/>
              </w:rPr>
            </w:pPr>
          </w:p>
        </w:tc>
        <w:tc>
          <w:tcPr>
            <w:tcW w:w="2268" w:type="dxa"/>
            <w:gridSpan w:val="4"/>
            <w:vAlign w:val="center"/>
          </w:tcPr>
          <w:p>
            <w:pPr>
              <w:spacing w:line="240" w:lineRule="auto"/>
              <w:jc w:val="center"/>
              <w:rPr>
                <w:rFonts w:ascii="仿宋" w:hAnsi="仿宋" w:eastAsia="仿宋" w:cs="仿宋"/>
              </w:rPr>
            </w:pPr>
            <w:r>
              <w:rPr>
                <w:rFonts w:hint="eastAsia" w:ascii="仿宋" w:hAnsi="仿宋" w:eastAsia="仿宋" w:cs="仿宋"/>
              </w:rPr>
              <w:t>企业通过质量体系、环保体系、计量等认证情况</w:t>
            </w:r>
          </w:p>
        </w:tc>
        <w:tc>
          <w:tcPr>
            <w:tcW w:w="5754" w:type="dxa"/>
            <w:gridSpan w:val="10"/>
            <w:vAlign w:val="center"/>
          </w:tcPr>
          <w:p>
            <w:pPr>
              <w:spacing w:line="24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36" w:type="dxa"/>
            <w:vMerge w:val="continue"/>
            <w:vAlign w:val="center"/>
          </w:tcPr>
          <w:p>
            <w:pPr>
              <w:spacing w:line="240" w:lineRule="auto"/>
              <w:jc w:val="center"/>
              <w:rPr>
                <w:rFonts w:ascii="仿宋" w:hAnsi="仿宋" w:eastAsia="仿宋" w:cs="仿宋"/>
              </w:rPr>
            </w:pPr>
          </w:p>
        </w:tc>
        <w:tc>
          <w:tcPr>
            <w:tcW w:w="2268" w:type="dxa"/>
            <w:gridSpan w:val="4"/>
            <w:vAlign w:val="center"/>
          </w:tcPr>
          <w:p>
            <w:pPr>
              <w:spacing w:line="240" w:lineRule="auto"/>
              <w:jc w:val="center"/>
              <w:rPr>
                <w:rFonts w:ascii="仿宋" w:hAnsi="仿宋" w:eastAsia="仿宋" w:cs="仿宋"/>
              </w:rPr>
            </w:pPr>
            <w:r>
              <w:rPr>
                <w:rFonts w:hint="eastAsia" w:ascii="仿宋" w:hAnsi="仿宋" w:eastAsia="仿宋" w:cs="仿宋"/>
              </w:rPr>
              <w:t>企业获得专利情况</w:t>
            </w:r>
          </w:p>
        </w:tc>
        <w:tc>
          <w:tcPr>
            <w:tcW w:w="5754" w:type="dxa"/>
            <w:gridSpan w:val="10"/>
            <w:vAlign w:val="center"/>
          </w:tcPr>
          <w:p>
            <w:pPr>
              <w:spacing w:line="240" w:lineRule="auto"/>
              <w:jc w:val="center"/>
              <w:rPr>
                <w:rFonts w:ascii="仿宋" w:hAnsi="仿宋" w:eastAsia="仿宋" w:cs="仿宋"/>
              </w:rPr>
            </w:pPr>
          </w:p>
        </w:tc>
      </w:tr>
    </w:tbl>
    <w:p>
      <w:pPr>
        <w:rPr>
          <w:rFonts w:ascii="仿宋" w:hAnsi="仿宋" w:eastAsia="仿宋" w:cs="仿宋"/>
          <w:b/>
        </w:rPr>
      </w:pPr>
      <w:r>
        <w:rPr>
          <w:rFonts w:hint="eastAsia" w:ascii="仿宋" w:hAnsi="仿宋" w:eastAsia="仿宋" w:cs="仿宋"/>
          <w:b/>
        </w:rPr>
        <w:t>要求：</w:t>
      </w:r>
    </w:p>
    <w:p>
      <w:pPr>
        <w:spacing w:line="400" w:lineRule="exact"/>
        <w:rPr>
          <w:rFonts w:ascii="仿宋" w:hAnsi="仿宋" w:eastAsia="仿宋" w:cs="仿宋"/>
        </w:rPr>
      </w:pPr>
      <w:r>
        <w:rPr>
          <w:rFonts w:hint="eastAsia" w:ascii="仿宋" w:hAnsi="仿宋" w:eastAsia="仿宋" w:cs="仿宋"/>
        </w:rPr>
        <w:t>1.姓名栏必须将所有股东都统计在内，若非股份公司此行（第三行）无需填写；</w:t>
      </w:r>
    </w:p>
    <w:p>
      <w:pPr>
        <w:spacing w:line="360" w:lineRule="auto"/>
        <w:rPr>
          <w:rFonts w:ascii="仿宋" w:hAnsi="仿宋" w:eastAsia="仿宋" w:cs="仿宋"/>
        </w:rPr>
      </w:pPr>
    </w:p>
    <w:p>
      <w:pPr>
        <w:spacing w:line="360" w:lineRule="auto"/>
        <w:rPr>
          <w:rFonts w:ascii="仿宋" w:hAnsi="仿宋" w:eastAsia="仿宋" w:cs="仿宋"/>
        </w:rPr>
      </w:pPr>
      <w:r>
        <w:rPr>
          <w:rFonts w:hint="eastAsia" w:ascii="仿宋" w:hAnsi="仿宋" w:eastAsia="仿宋" w:cs="仿宋"/>
        </w:rPr>
        <w:t>供应商名称（盖章）：</w:t>
      </w:r>
    </w:p>
    <w:p>
      <w:pPr>
        <w:spacing w:line="360" w:lineRule="auto"/>
        <w:rPr>
          <w:rFonts w:ascii="仿宋" w:hAnsi="仿宋" w:eastAsia="仿宋" w:cs="仿宋"/>
        </w:rPr>
      </w:pPr>
      <w:r>
        <w:rPr>
          <w:rFonts w:hint="eastAsia" w:ascii="仿宋" w:hAnsi="仿宋" w:eastAsia="仿宋" w:cs="仿宋"/>
        </w:rPr>
        <w:t>供应商代表（签字或盖章）：</w:t>
      </w:r>
    </w:p>
    <w:p>
      <w:pPr>
        <w:spacing w:line="360" w:lineRule="auto"/>
        <w:rPr>
          <w:rFonts w:ascii="仿宋" w:hAnsi="仿宋" w:eastAsia="仿宋" w:cs="仿宋"/>
        </w:rPr>
      </w:pPr>
      <w:r>
        <w:rPr>
          <w:rFonts w:hint="eastAsia" w:ascii="仿宋" w:hAnsi="仿宋" w:eastAsia="仿宋" w:cs="仿宋"/>
        </w:rPr>
        <w:t>日期：年月日</w:t>
      </w:r>
    </w:p>
    <w:p>
      <w:pPr>
        <w:rPr>
          <w:rFonts w:ascii="仿宋" w:hAnsi="仿宋" w:eastAsia="仿宋" w:cs="仿宋"/>
          <w:sz w:val="28"/>
          <w:szCs w:val="28"/>
        </w:rPr>
        <w:sectPr>
          <w:pgSz w:w="11906" w:h="16838"/>
          <w:pgMar w:top="1440" w:right="1080" w:bottom="1440" w:left="1080" w:header="851" w:footer="992" w:gutter="0"/>
          <w:pgNumType w:fmt="decimal"/>
          <w:cols w:space="720" w:num="1"/>
          <w:docGrid w:type="lines" w:linePitch="312" w:charSpace="0"/>
        </w:sectPr>
      </w:pPr>
    </w:p>
    <w:p>
      <w:pPr>
        <w:spacing w:line="360" w:lineRule="auto"/>
        <w:jc w:val="center"/>
        <w:outlineLvl w:val="2"/>
        <w:rPr>
          <w:rFonts w:ascii="仿宋" w:hAnsi="仿宋" w:eastAsia="仿宋" w:cs="Arial"/>
          <w:b/>
          <w:bCs/>
          <w:sz w:val="32"/>
          <w:szCs w:val="32"/>
        </w:rPr>
      </w:pPr>
      <w:r>
        <w:rPr>
          <w:rFonts w:hint="eastAsia" w:ascii="仿宋" w:hAnsi="仿宋" w:eastAsia="仿宋" w:cs="仿宋"/>
          <w:b/>
          <w:kern w:val="0"/>
          <w:sz w:val="32"/>
          <w:szCs w:val="32"/>
        </w:rPr>
        <w:t>三、</w:t>
      </w:r>
      <w:r>
        <w:rPr>
          <w:rFonts w:hint="eastAsia" w:ascii="仿宋" w:hAnsi="仿宋" w:eastAsia="仿宋" w:cs="Arial"/>
          <w:b/>
          <w:bCs/>
          <w:sz w:val="32"/>
          <w:szCs w:val="32"/>
        </w:rPr>
        <w:t>投标人证书一览表（参考样张）</w:t>
      </w:r>
    </w:p>
    <w:tbl>
      <w:tblPr>
        <w:tblStyle w:val="26"/>
        <w:tblW w:w="86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309"/>
        <w:gridCol w:w="2311"/>
        <w:gridCol w:w="20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sz w:val="24"/>
              </w:rPr>
            </w:pPr>
            <w:r>
              <w:rPr>
                <w:rFonts w:hint="eastAsia" w:ascii="仿宋" w:hAnsi="仿宋" w:eastAsia="仿宋" w:cs="Arial"/>
                <w:b/>
                <w:bCs/>
                <w:sz w:val="24"/>
              </w:rPr>
              <w:t>证书名称</w:t>
            </w: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sz w:val="24"/>
              </w:rPr>
            </w:pPr>
            <w:r>
              <w:rPr>
                <w:rFonts w:hint="eastAsia" w:ascii="仿宋" w:hAnsi="仿宋" w:eastAsia="仿宋" w:cs="Arial"/>
                <w:b/>
                <w:bCs/>
                <w:sz w:val="24"/>
              </w:rPr>
              <w:t>发证单位</w:t>
            </w: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sz w:val="24"/>
              </w:rPr>
            </w:pPr>
            <w:r>
              <w:rPr>
                <w:rFonts w:hint="eastAsia" w:ascii="仿宋" w:hAnsi="仿宋" w:eastAsia="仿宋" w:cs="Arial"/>
                <w:b/>
                <w:bCs/>
                <w:sz w:val="24"/>
              </w:rPr>
              <w:t>证书等级</w:t>
            </w: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sz w:val="24"/>
              </w:rPr>
            </w:pPr>
            <w:r>
              <w:rPr>
                <w:rFonts w:hint="eastAsia" w:ascii="仿宋" w:hAnsi="仿宋" w:eastAsia="仿宋"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szCs w:val="21"/>
              </w:rPr>
            </w:pPr>
          </w:p>
        </w:tc>
      </w:tr>
    </w:tbl>
    <w:p>
      <w:pPr>
        <w:tabs>
          <w:tab w:val="left" w:pos="1050"/>
        </w:tabs>
        <w:spacing w:line="360" w:lineRule="auto"/>
        <w:rPr>
          <w:rFonts w:ascii="仿宋" w:hAnsi="仿宋" w:eastAsia="仿宋"/>
          <w:sz w:val="24"/>
        </w:rPr>
      </w:pPr>
    </w:p>
    <w:p>
      <w:pPr>
        <w:tabs>
          <w:tab w:val="left" w:pos="1050"/>
        </w:tabs>
        <w:spacing w:line="360" w:lineRule="auto"/>
        <w:rPr>
          <w:rFonts w:ascii="仿宋" w:hAnsi="仿宋" w:eastAsia="仿宋"/>
          <w:szCs w:val="21"/>
        </w:rPr>
      </w:pPr>
      <w:r>
        <w:rPr>
          <w:rFonts w:hint="eastAsia" w:ascii="仿宋" w:hAnsi="仿宋" w:eastAsia="仿宋"/>
          <w:b/>
          <w:szCs w:val="21"/>
        </w:rPr>
        <w:t>要求：</w:t>
      </w:r>
    </w:p>
    <w:p>
      <w:pPr>
        <w:tabs>
          <w:tab w:val="left" w:pos="1050"/>
        </w:tabs>
        <w:spacing w:line="360" w:lineRule="auto"/>
        <w:ind w:firstLine="424" w:firstLineChars="202"/>
        <w:rPr>
          <w:rFonts w:ascii="仿宋" w:hAnsi="仿宋" w:eastAsia="仿宋"/>
          <w:szCs w:val="21"/>
        </w:rPr>
      </w:pPr>
      <w:r>
        <w:rPr>
          <w:rFonts w:hint="eastAsia" w:ascii="仿宋" w:hAnsi="仿宋" w:eastAsia="仿宋"/>
          <w:szCs w:val="21"/>
        </w:rPr>
        <w:t>1.填写投标人获得资质、认证或企业信誉证书。</w:t>
      </w:r>
    </w:p>
    <w:p>
      <w:pPr>
        <w:tabs>
          <w:tab w:val="left" w:pos="1050"/>
        </w:tabs>
        <w:spacing w:line="360" w:lineRule="auto"/>
        <w:ind w:firstLine="424" w:firstLineChars="202"/>
        <w:rPr>
          <w:rFonts w:ascii="仿宋" w:hAnsi="仿宋" w:eastAsia="仿宋"/>
          <w:szCs w:val="21"/>
        </w:rPr>
      </w:pPr>
      <w:r>
        <w:rPr>
          <w:rFonts w:hint="eastAsia" w:ascii="仿宋" w:hAnsi="仿宋" w:eastAsia="仿宋"/>
          <w:szCs w:val="21"/>
        </w:rPr>
        <w:t>2.请提供本表所列的证书资料。</w:t>
      </w:r>
    </w:p>
    <w:p>
      <w:pPr>
        <w:tabs>
          <w:tab w:val="left" w:pos="1050"/>
        </w:tabs>
        <w:spacing w:line="360" w:lineRule="auto"/>
        <w:ind w:firstLine="720" w:firstLineChars="300"/>
        <w:rPr>
          <w:rFonts w:ascii="仿宋" w:hAnsi="仿宋" w:eastAsia="仿宋"/>
          <w:sz w:val="24"/>
        </w:rPr>
      </w:pPr>
    </w:p>
    <w:p>
      <w:pPr>
        <w:tabs>
          <w:tab w:val="left" w:pos="1050"/>
        </w:tabs>
        <w:spacing w:line="360" w:lineRule="auto"/>
        <w:ind w:firstLine="720" w:firstLineChars="300"/>
        <w:rPr>
          <w:rFonts w:ascii="仿宋" w:hAnsi="仿宋" w:eastAsia="仿宋"/>
          <w:sz w:val="24"/>
        </w:rPr>
      </w:pPr>
    </w:p>
    <w:p>
      <w:pPr>
        <w:snapToGrid w:val="0"/>
        <w:spacing w:line="360" w:lineRule="auto"/>
        <w:rPr>
          <w:rFonts w:ascii="仿宋" w:hAnsi="仿宋" w:eastAsia="仿宋"/>
          <w:sz w:val="24"/>
        </w:rPr>
      </w:pPr>
      <w:r>
        <w:rPr>
          <w:rFonts w:hint="eastAsia" w:ascii="仿宋" w:hAnsi="仿宋" w:eastAsia="仿宋"/>
          <w:sz w:val="24"/>
        </w:rPr>
        <w:t>法定代表人或授权委托人(签字或盖章)</w:t>
      </w:r>
      <w:r>
        <w:rPr>
          <w:rFonts w:ascii="仿宋" w:hAnsi="仿宋" w:eastAsia="仿宋"/>
          <w:sz w:val="24"/>
        </w:rPr>
        <w:t>：</w:t>
      </w:r>
    </w:p>
    <w:p>
      <w:pPr>
        <w:snapToGrid w:val="0"/>
        <w:spacing w:line="360" w:lineRule="auto"/>
        <w:rPr>
          <w:rFonts w:ascii="仿宋" w:hAnsi="仿宋" w:eastAsia="仿宋"/>
          <w:sz w:val="24"/>
          <w:u w:val="single"/>
        </w:rPr>
      </w:pPr>
      <w:r>
        <w:rPr>
          <w:rFonts w:hint="eastAsia" w:ascii="仿宋" w:hAnsi="仿宋" w:eastAsia="仿宋"/>
          <w:sz w:val="24"/>
        </w:rPr>
        <w:t>投标人（盖章）：</w:t>
      </w:r>
    </w:p>
    <w:p>
      <w:pPr>
        <w:snapToGrid w:val="0"/>
        <w:spacing w:line="360" w:lineRule="auto"/>
        <w:rPr>
          <w:rFonts w:ascii="仿宋" w:hAnsi="仿宋" w:eastAsia="仿宋"/>
          <w:sz w:val="24"/>
          <w:u w:val="single"/>
        </w:rPr>
      </w:pPr>
      <w:r>
        <w:rPr>
          <w:rFonts w:hint="eastAsia" w:ascii="仿宋" w:hAnsi="仿宋" w:eastAsia="仿宋"/>
          <w:sz w:val="24"/>
        </w:rPr>
        <w:t>职        务：</w:t>
      </w:r>
    </w:p>
    <w:p>
      <w:pPr>
        <w:snapToGrid w:val="0"/>
        <w:spacing w:line="360" w:lineRule="auto"/>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outlineLvl w:val="2"/>
        <w:rPr>
          <w:rFonts w:ascii="仿宋" w:hAnsi="仿宋" w:eastAsia="仿宋" w:cs="仿宋"/>
          <w:sz w:val="32"/>
          <w:szCs w:val="32"/>
        </w:rPr>
      </w:pPr>
      <w:r>
        <w:rPr>
          <w:rFonts w:hint="eastAsia" w:ascii="仿宋" w:hAnsi="仿宋" w:eastAsia="仿宋" w:cs="仿宋"/>
          <w:b/>
          <w:kern w:val="0"/>
          <w:sz w:val="32"/>
          <w:szCs w:val="32"/>
        </w:rPr>
        <w:t>四、</w:t>
      </w:r>
      <w:r>
        <w:rPr>
          <w:rFonts w:hint="eastAsia" w:ascii="仿宋" w:hAnsi="仿宋" w:eastAsia="仿宋" w:cs="仿宋"/>
          <w:b/>
          <w:sz w:val="32"/>
          <w:szCs w:val="32"/>
        </w:rPr>
        <w:t>相关项目实施业绩一览表</w:t>
      </w:r>
    </w:p>
    <w:p>
      <w:pPr>
        <w:jc w:val="center"/>
        <w:rPr>
          <w:rFonts w:ascii="仿宋" w:hAnsi="仿宋" w:eastAsia="仿宋" w:cs="仿宋"/>
          <w:b/>
        </w:rPr>
      </w:pPr>
    </w:p>
    <w:tbl>
      <w:tblPr>
        <w:tblStyle w:val="26"/>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573"/>
        <w:gridCol w:w="2679"/>
        <w:gridCol w:w="1124"/>
        <w:gridCol w:w="89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641" w:type="dxa"/>
            <w:vAlign w:val="center"/>
          </w:tcPr>
          <w:p>
            <w:pPr>
              <w:jc w:val="center"/>
              <w:rPr>
                <w:rFonts w:ascii="仿宋" w:hAnsi="仿宋" w:eastAsia="仿宋" w:cs="仿宋"/>
              </w:rPr>
            </w:pPr>
            <w:r>
              <w:rPr>
                <w:rFonts w:hint="eastAsia" w:ascii="仿宋" w:hAnsi="仿宋" w:eastAsia="仿宋" w:cs="仿宋"/>
              </w:rPr>
              <w:t>序号</w:t>
            </w:r>
          </w:p>
        </w:tc>
        <w:tc>
          <w:tcPr>
            <w:tcW w:w="1573" w:type="dxa"/>
            <w:vAlign w:val="center"/>
          </w:tcPr>
          <w:p>
            <w:pPr>
              <w:jc w:val="center"/>
              <w:rPr>
                <w:rFonts w:ascii="仿宋" w:hAnsi="仿宋" w:eastAsia="仿宋" w:cs="仿宋"/>
              </w:rPr>
            </w:pPr>
            <w:r>
              <w:rPr>
                <w:rFonts w:hint="eastAsia" w:ascii="仿宋" w:hAnsi="仿宋" w:eastAsia="仿宋" w:cs="仿宋"/>
              </w:rPr>
              <w:t>项目名称</w:t>
            </w:r>
          </w:p>
        </w:tc>
        <w:tc>
          <w:tcPr>
            <w:tcW w:w="2679" w:type="dxa"/>
            <w:vAlign w:val="center"/>
          </w:tcPr>
          <w:p>
            <w:pPr>
              <w:jc w:val="center"/>
              <w:rPr>
                <w:rFonts w:ascii="仿宋" w:hAnsi="仿宋" w:eastAsia="仿宋" w:cs="仿宋"/>
              </w:rPr>
            </w:pPr>
            <w:r>
              <w:rPr>
                <w:rFonts w:hint="eastAsia" w:ascii="仿宋" w:hAnsi="仿宋" w:eastAsia="仿宋" w:cs="仿宋"/>
              </w:rPr>
              <w:t>项目简要描述</w:t>
            </w:r>
          </w:p>
        </w:tc>
        <w:tc>
          <w:tcPr>
            <w:tcW w:w="1124" w:type="dxa"/>
            <w:vAlign w:val="center"/>
          </w:tcPr>
          <w:p>
            <w:pPr>
              <w:jc w:val="center"/>
              <w:rPr>
                <w:rFonts w:ascii="仿宋" w:hAnsi="仿宋" w:eastAsia="仿宋" w:cs="仿宋"/>
              </w:rPr>
            </w:pPr>
            <w:r>
              <w:rPr>
                <w:rFonts w:hint="eastAsia" w:ascii="仿宋" w:hAnsi="仿宋" w:eastAsia="仿宋" w:cs="仿宋"/>
              </w:rPr>
              <w:t>项目金额</w:t>
            </w:r>
          </w:p>
          <w:p>
            <w:pPr>
              <w:jc w:val="center"/>
              <w:rPr>
                <w:rFonts w:ascii="仿宋" w:hAnsi="仿宋" w:eastAsia="仿宋" w:cs="仿宋"/>
              </w:rPr>
            </w:pPr>
            <w:r>
              <w:rPr>
                <w:rFonts w:hint="eastAsia" w:ascii="仿宋" w:hAnsi="仿宋" w:eastAsia="仿宋" w:cs="仿宋"/>
              </w:rPr>
              <w:t>（元）</w:t>
            </w:r>
          </w:p>
        </w:tc>
        <w:tc>
          <w:tcPr>
            <w:tcW w:w="891" w:type="dxa"/>
            <w:vAlign w:val="center"/>
          </w:tcPr>
          <w:p>
            <w:pPr>
              <w:jc w:val="center"/>
              <w:rPr>
                <w:rFonts w:ascii="仿宋" w:hAnsi="仿宋" w:eastAsia="仿宋" w:cs="仿宋"/>
              </w:rPr>
            </w:pPr>
            <w:r>
              <w:rPr>
                <w:rFonts w:hint="eastAsia" w:ascii="仿宋" w:hAnsi="仿宋" w:eastAsia="仿宋" w:cs="仿宋"/>
              </w:rPr>
              <w:t>实施时间</w:t>
            </w:r>
          </w:p>
        </w:tc>
        <w:tc>
          <w:tcPr>
            <w:tcW w:w="1449" w:type="dxa"/>
            <w:vAlign w:val="center"/>
          </w:tcPr>
          <w:p>
            <w:pPr>
              <w:jc w:val="center"/>
              <w:rPr>
                <w:rFonts w:ascii="仿宋" w:hAnsi="仿宋" w:eastAsia="仿宋" w:cs="仿宋"/>
              </w:rPr>
            </w:pPr>
            <w:r>
              <w:rPr>
                <w:rFonts w:hint="eastAsia" w:ascii="仿宋" w:hAnsi="仿宋" w:eastAsia="仿宋" w:cs="仿宋"/>
              </w:rPr>
              <w:t>采购单位</w:t>
            </w:r>
          </w:p>
          <w:p>
            <w:pPr>
              <w:jc w:val="center"/>
              <w:rPr>
                <w:rFonts w:ascii="仿宋" w:hAnsi="仿宋" w:eastAsia="仿宋" w:cs="仿宋"/>
              </w:rPr>
            </w:pPr>
            <w:r>
              <w:rPr>
                <w:rFonts w:hint="eastAsia" w:ascii="仿宋" w:hAnsi="仿宋" w:eastAsia="仿宋" w:cs="仿宋"/>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41" w:type="dxa"/>
            <w:vAlign w:val="center"/>
          </w:tcPr>
          <w:p>
            <w:pPr>
              <w:jc w:val="center"/>
              <w:rPr>
                <w:rFonts w:ascii="仿宋" w:hAnsi="仿宋" w:eastAsia="仿宋" w:cs="仿宋"/>
              </w:rPr>
            </w:pPr>
            <w:r>
              <w:rPr>
                <w:rFonts w:hint="eastAsia" w:ascii="仿宋" w:hAnsi="仿宋" w:eastAsia="仿宋" w:cs="仿宋"/>
              </w:rPr>
              <w:t>1</w:t>
            </w:r>
          </w:p>
        </w:tc>
        <w:tc>
          <w:tcPr>
            <w:tcW w:w="1573" w:type="dxa"/>
            <w:vAlign w:val="center"/>
          </w:tcPr>
          <w:p>
            <w:pPr>
              <w:jc w:val="center"/>
              <w:rPr>
                <w:rFonts w:ascii="仿宋" w:hAnsi="仿宋" w:eastAsia="仿宋" w:cs="仿宋"/>
              </w:rPr>
            </w:pPr>
          </w:p>
        </w:tc>
        <w:tc>
          <w:tcPr>
            <w:tcW w:w="2679" w:type="dxa"/>
            <w:vAlign w:val="center"/>
          </w:tcPr>
          <w:p>
            <w:pPr>
              <w:jc w:val="center"/>
              <w:rPr>
                <w:rFonts w:ascii="仿宋" w:hAnsi="仿宋" w:eastAsia="仿宋" w:cs="仿宋"/>
              </w:rPr>
            </w:pPr>
          </w:p>
        </w:tc>
        <w:tc>
          <w:tcPr>
            <w:tcW w:w="1124" w:type="dxa"/>
            <w:vAlign w:val="center"/>
          </w:tcPr>
          <w:p>
            <w:pPr>
              <w:jc w:val="center"/>
              <w:rPr>
                <w:rFonts w:ascii="仿宋" w:hAnsi="仿宋" w:eastAsia="仿宋" w:cs="仿宋"/>
              </w:rPr>
            </w:pPr>
          </w:p>
        </w:tc>
        <w:tc>
          <w:tcPr>
            <w:tcW w:w="891" w:type="dxa"/>
            <w:vAlign w:val="center"/>
          </w:tcPr>
          <w:p>
            <w:pPr>
              <w:jc w:val="center"/>
              <w:rPr>
                <w:rFonts w:ascii="仿宋" w:hAnsi="仿宋" w:eastAsia="仿宋" w:cs="仿宋"/>
              </w:rPr>
            </w:pPr>
          </w:p>
        </w:tc>
        <w:tc>
          <w:tcPr>
            <w:tcW w:w="144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41" w:type="dxa"/>
            <w:vAlign w:val="center"/>
          </w:tcPr>
          <w:p>
            <w:pPr>
              <w:jc w:val="center"/>
              <w:rPr>
                <w:rFonts w:ascii="仿宋" w:hAnsi="仿宋" w:eastAsia="仿宋" w:cs="仿宋"/>
              </w:rPr>
            </w:pPr>
            <w:r>
              <w:rPr>
                <w:rFonts w:hint="eastAsia" w:ascii="仿宋" w:hAnsi="仿宋" w:eastAsia="仿宋" w:cs="仿宋"/>
              </w:rPr>
              <w:t>2</w:t>
            </w:r>
          </w:p>
        </w:tc>
        <w:tc>
          <w:tcPr>
            <w:tcW w:w="1573" w:type="dxa"/>
            <w:vAlign w:val="center"/>
          </w:tcPr>
          <w:p>
            <w:pPr>
              <w:jc w:val="center"/>
              <w:rPr>
                <w:rFonts w:ascii="仿宋" w:hAnsi="仿宋" w:eastAsia="仿宋" w:cs="仿宋"/>
              </w:rPr>
            </w:pPr>
          </w:p>
        </w:tc>
        <w:tc>
          <w:tcPr>
            <w:tcW w:w="2679" w:type="dxa"/>
            <w:vAlign w:val="center"/>
          </w:tcPr>
          <w:p>
            <w:pPr>
              <w:jc w:val="center"/>
              <w:rPr>
                <w:rFonts w:ascii="仿宋" w:hAnsi="仿宋" w:eastAsia="仿宋" w:cs="仿宋"/>
              </w:rPr>
            </w:pPr>
          </w:p>
        </w:tc>
        <w:tc>
          <w:tcPr>
            <w:tcW w:w="1124" w:type="dxa"/>
            <w:vAlign w:val="center"/>
          </w:tcPr>
          <w:p>
            <w:pPr>
              <w:jc w:val="center"/>
              <w:rPr>
                <w:rFonts w:ascii="仿宋" w:hAnsi="仿宋" w:eastAsia="仿宋" w:cs="仿宋"/>
              </w:rPr>
            </w:pPr>
          </w:p>
        </w:tc>
        <w:tc>
          <w:tcPr>
            <w:tcW w:w="891" w:type="dxa"/>
            <w:vAlign w:val="center"/>
          </w:tcPr>
          <w:p>
            <w:pPr>
              <w:jc w:val="center"/>
              <w:rPr>
                <w:rFonts w:ascii="仿宋" w:hAnsi="仿宋" w:eastAsia="仿宋" w:cs="仿宋"/>
              </w:rPr>
            </w:pPr>
          </w:p>
        </w:tc>
        <w:tc>
          <w:tcPr>
            <w:tcW w:w="144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41" w:type="dxa"/>
            <w:vAlign w:val="center"/>
          </w:tcPr>
          <w:p>
            <w:pPr>
              <w:jc w:val="center"/>
              <w:rPr>
                <w:rFonts w:ascii="仿宋" w:hAnsi="仿宋" w:eastAsia="仿宋" w:cs="仿宋"/>
              </w:rPr>
            </w:pPr>
            <w:r>
              <w:rPr>
                <w:rFonts w:hint="eastAsia" w:ascii="仿宋" w:hAnsi="仿宋" w:eastAsia="仿宋" w:cs="仿宋"/>
              </w:rPr>
              <w:t>3</w:t>
            </w:r>
          </w:p>
        </w:tc>
        <w:tc>
          <w:tcPr>
            <w:tcW w:w="1573" w:type="dxa"/>
            <w:vAlign w:val="center"/>
          </w:tcPr>
          <w:p>
            <w:pPr>
              <w:jc w:val="center"/>
              <w:rPr>
                <w:rFonts w:ascii="仿宋" w:hAnsi="仿宋" w:eastAsia="仿宋" w:cs="仿宋"/>
              </w:rPr>
            </w:pPr>
          </w:p>
        </w:tc>
        <w:tc>
          <w:tcPr>
            <w:tcW w:w="2679" w:type="dxa"/>
            <w:vAlign w:val="center"/>
          </w:tcPr>
          <w:p>
            <w:pPr>
              <w:jc w:val="center"/>
              <w:rPr>
                <w:rFonts w:ascii="仿宋" w:hAnsi="仿宋" w:eastAsia="仿宋" w:cs="仿宋"/>
              </w:rPr>
            </w:pPr>
          </w:p>
        </w:tc>
        <w:tc>
          <w:tcPr>
            <w:tcW w:w="1124" w:type="dxa"/>
            <w:vAlign w:val="center"/>
          </w:tcPr>
          <w:p>
            <w:pPr>
              <w:jc w:val="center"/>
              <w:rPr>
                <w:rFonts w:ascii="仿宋" w:hAnsi="仿宋" w:eastAsia="仿宋" w:cs="仿宋"/>
              </w:rPr>
            </w:pPr>
          </w:p>
        </w:tc>
        <w:tc>
          <w:tcPr>
            <w:tcW w:w="891" w:type="dxa"/>
            <w:vAlign w:val="center"/>
          </w:tcPr>
          <w:p>
            <w:pPr>
              <w:jc w:val="center"/>
              <w:rPr>
                <w:rFonts w:ascii="仿宋" w:hAnsi="仿宋" w:eastAsia="仿宋" w:cs="仿宋"/>
              </w:rPr>
            </w:pPr>
          </w:p>
        </w:tc>
        <w:tc>
          <w:tcPr>
            <w:tcW w:w="144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41" w:type="dxa"/>
            <w:vAlign w:val="center"/>
          </w:tcPr>
          <w:p>
            <w:pPr>
              <w:jc w:val="center"/>
              <w:rPr>
                <w:rFonts w:ascii="仿宋" w:hAnsi="仿宋" w:eastAsia="仿宋" w:cs="仿宋"/>
              </w:rPr>
            </w:pPr>
            <w:r>
              <w:rPr>
                <w:rFonts w:hint="eastAsia" w:ascii="仿宋" w:hAnsi="仿宋" w:eastAsia="仿宋" w:cs="仿宋"/>
              </w:rPr>
              <w:t>…</w:t>
            </w:r>
          </w:p>
        </w:tc>
        <w:tc>
          <w:tcPr>
            <w:tcW w:w="1573" w:type="dxa"/>
            <w:vAlign w:val="center"/>
          </w:tcPr>
          <w:p>
            <w:pPr>
              <w:jc w:val="center"/>
              <w:rPr>
                <w:rFonts w:ascii="仿宋" w:hAnsi="仿宋" w:eastAsia="仿宋" w:cs="仿宋"/>
              </w:rPr>
            </w:pPr>
          </w:p>
        </w:tc>
        <w:tc>
          <w:tcPr>
            <w:tcW w:w="2679" w:type="dxa"/>
            <w:vAlign w:val="center"/>
          </w:tcPr>
          <w:p>
            <w:pPr>
              <w:jc w:val="center"/>
              <w:rPr>
                <w:rFonts w:ascii="仿宋" w:hAnsi="仿宋" w:eastAsia="仿宋" w:cs="仿宋"/>
              </w:rPr>
            </w:pPr>
          </w:p>
        </w:tc>
        <w:tc>
          <w:tcPr>
            <w:tcW w:w="1124" w:type="dxa"/>
            <w:vAlign w:val="center"/>
          </w:tcPr>
          <w:p>
            <w:pPr>
              <w:jc w:val="center"/>
              <w:rPr>
                <w:rFonts w:ascii="仿宋" w:hAnsi="仿宋" w:eastAsia="仿宋" w:cs="仿宋"/>
              </w:rPr>
            </w:pPr>
          </w:p>
        </w:tc>
        <w:tc>
          <w:tcPr>
            <w:tcW w:w="891" w:type="dxa"/>
            <w:vAlign w:val="center"/>
          </w:tcPr>
          <w:p>
            <w:pPr>
              <w:jc w:val="center"/>
              <w:rPr>
                <w:rFonts w:ascii="仿宋" w:hAnsi="仿宋" w:eastAsia="仿宋" w:cs="仿宋"/>
              </w:rPr>
            </w:pPr>
          </w:p>
        </w:tc>
        <w:tc>
          <w:tcPr>
            <w:tcW w:w="144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41" w:type="dxa"/>
            <w:vAlign w:val="center"/>
          </w:tcPr>
          <w:p>
            <w:pPr>
              <w:jc w:val="center"/>
              <w:rPr>
                <w:rFonts w:ascii="仿宋" w:hAnsi="仿宋" w:eastAsia="仿宋" w:cs="仿宋"/>
              </w:rPr>
            </w:pPr>
          </w:p>
        </w:tc>
        <w:tc>
          <w:tcPr>
            <w:tcW w:w="1573" w:type="dxa"/>
            <w:vAlign w:val="center"/>
          </w:tcPr>
          <w:p>
            <w:pPr>
              <w:jc w:val="center"/>
              <w:rPr>
                <w:rFonts w:ascii="仿宋" w:hAnsi="仿宋" w:eastAsia="仿宋" w:cs="仿宋"/>
              </w:rPr>
            </w:pPr>
          </w:p>
        </w:tc>
        <w:tc>
          <w:tcPr>
            <w:tcW w:w="2679" w:type="dxa"/>
            <w:vAlign w:val="center"/>
          </w:tcPr>
          <w:p>
            <w:pPr>
              <w:jc w:val="center"/>
              <w:rPr>
                <w:rFonts w:ascii="仿宋" w:hAnsi="仿宋" w:eastAsia="仿宋" w:cs="仿宋"/>
              </w:rPr>
            </w:pPr>
          </w:p>
        </w:tc>
        <w:tc>
          <w:tcPr>
            <w:tcW w:w="1124" w:type="dxa"/>
            <w:vAlign w:val="center"/>
          </w:tcPr>
          <w:p>
            <w:pPr>
              <w:jc w:val="center"/>
              <w:rPr>
                <w:rFonts w:ascii="仿宋" w:hAnsi="仿宋" w:eastAsia="仿宋" w:cs="仿宋"/>
              </w:rPr>
            </w:pPr>
          </w:p>
        </w:tc>
        <w:tc>
          <w:tcPr>
            <w:tcW w:w="891" w:type="dxa"/>
            <w:vAlign w:val="center"/>
          </w:tcPr>
          <w:p>
            <w:pPr>
              <w:jc w:val="center"/>
              <w:rPr>
                <w:rFonts w:ascii="仿宋" w:hAnsi="仿宋" w:eastAsia="仿宋" w:cs="仿宋"/>
              </w:rPr>
            </w:pPr>
          </w:p>
        </w:tc>
        <w:tc>
          <w:tcPr>
            <w:tcW w:w="144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41" w:type="dxa"/>
            <w:vAlign w:val="center"/>
          </w:tcPr>
          <w:p>
            <w:pPr>
              <w:jc w:val="center"/>
              <w:rPr>
                <w:rFonts w:ascii="仿宋" w:hAnsi="仿宋" w:eastAsia="仿宋" w:cs="仿宋"/>
              </w:rPr>
            </w:pPr>
          </w:p>
        </w:tc>
        <w:tc>
          <w:tcPr>
            <w:tcW w:w="1573" w:type="dxa"/>
            <w:vAlign w:val="center"/>
          </w:tcPr>
          <w:p>
            <w:pPr>
              <w:jc w:val="center"/>
              <w:rPr>
                <w:rFonts w:ascii="仿宋" w:hAnsi="仿宋" w:eastAsia="仿宋" w:cs="仿宋"/>
              </w:rPr>
            </w:pPr>
          </w:p>
        </w:tc>
        <w:tc>
          <w:tcPr>
            <w:tcW w:w="2679" w:type="dxa"/>
            <w:vAlign w:val="center"/>
          </w:tcPr>
          <w:p>
            <w:pPr>
              <w:jc w:val="center"/>
              <w:rPr>
                <w:rFonts w:ascii="仿宋" w:hAnsi="仿宋" w:eastAsia="仿宋" w:cs="仿宋"/>
              </w:rPr>
            </w:pPr>
          </w:p>
        </w:tc>
        <w:tc>
          <w:tcPr>
            <w:tcW w:w="1124" w:type="dxa"/>
            <w:vAlign w:val="center"/>
          </w:tcPr>
          <w:p>
            <w:pPr>
              <w:jc w:val="center"/>
              <w:rPr>
                <w:rFonts w:ascii="仿宋" w:hAnsi="仿宋" w:eastAsia="仿宋" w:cs="仿宋"/>
              </w:rPr>
            </w:pPr>
          </w:p>
        </w:tc>
        <w:tc>
          <w:tcPr>
            <w:tcW w:w="891" w:type="dxa"/>
            <w:vAlign w:val="center"/>
          </w:tcPr>
          <w:p>
            <w:pPr>
              <w:jc w:val="center"/>
              <w:rPr>
                <w:rFonts w:ascii="仿宋" w:hAnsi="仿宋" w:eastAsia="仿宋" w:cs="仿宋"/>
              </w:rPr>
            </w:pPr>
          </w:p>
        </w:tc>
        <w:tc>
          <w:tcPr>
            <w:tcW w:w="1449" w:type="dxa"/>
            <w:vAlign w:val="center"/>
          </w:tcPr>
          <w:p>
            <w:pPr>
              <w:jc w:val="center"/>
              <w:rPr>
                <w:rFonts w:ascii="仿宋" w:hAnsi="仿宋" w:eastAsia="仿宋" w:cs="仿宋"/>
              </w:rPr>
            </w:pPr>
          </w:p>
        </w:tc>
      </w:tr>
    </w:tbl>
    <w:p>
      <w:pPr>
        <w:spacing w:before="77"/>
        <w:ind w:right="6" w:firstLine="422" w:firstLineChars="200"/>
        <w:rPr>
          <w:rFonts w:ascii="仿宋" w:hAnsi="仿宋" w:eastAsia="仿宋" w:cs="仿宋"/>
          <w:b/>
        </w:rPr>
      </w:pPr>
      <w:r>
        <w:rPr>
          <w:rFonts w:hint="eastAsia" w:ascii="仿宋" w:hAnsi="仿宋" w:eastAsia="仿宋" w:cs="仿宋"/>
          <w:b/>
        </w:rPr>
        <w:t>注：按评分标准提供相关证明材料扫描件。</w:t>
      </w:r>
    </w:p>
    <w:p>
      <w:pPr>
        <w:ind w:firstLine="420" w:firstLineChars="200"/>
        <w:rPr>
          <w:rFonts w:ascii="仿宋" w:hAnsi="仿宋" w:eastAsia="仿宋" w:cs="仿宋"/>
        </w:rPr>
      </w:pP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供应商名称（盖章）：</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供应商代表（签字或盖章）：</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日期：年月日</w:t>
      </w: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outlineLvl w:val="2"/>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ind w:right="924" w:rightChars="440" w:firstLine="422" w:firstLineChars="175"/>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spacing w:after="100" w:afterAutospacing="1"/>
        <w:jc w:val="center"/>
        <w:rPr>
          <w:rFonts w:ascii="仿宋" w:hAnsi="仿宋" w:eastAsia="仿宋" w:cs="仿宋"/>
          <w:b/>
          <w:kern w:val="0"/>
          <w:sz w:val="32"/>
          <w:szCs w:val="32"/>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cols w:space="720" w:num="1"/>
          <w:titlePg/>
          <w:docGrid w:linePitch="312" w:charSpace="0"/>
        </w:sectPr>
      </w:pPr>
    </w:p>
    <w:p>
      <w:pPr>
        <w:spacing w:after="100" w:afterAutospacing="1"/>
        <w:jc w:val="center"/>
        <w:outlineLvl w:val="2"/>
        <w:rPr>
          <w:rFonts w:ascii="仿宋" w:hAnsi="仿宋" w:eastAsia="仿宋" w:cs="仿宋"/>
          <w:b/>
          <w:sz w:val="32"/>
          <w:szCs w:val="32"/>
        </w:rPr>
      </w:pPr>
      <w:r>
        <w:rPr>
          <w:rFonts w:hint="eastAsia" w:ascii="仿宋" w:hAnsi="仿宋" w:eastAsia="仿宋" w:cs="仿宋"/>
          <w:b/>
          <w:kern w:val="0"/>
          <w:sz w:val="32"/>
          <w:szCs w:val="32"/>
        </w:rPr>
        <w:t>六、</w:t>
      </w:r>
      <w:r>
        <w:rPr>
          <w:rFonts w:hint="eastAsia" w:ascii="仿宋" w:hAnsi="仿宋" w:eastAsia="仿宋" w:cs="仿宋"/>
          <w:b/>
          <w:sz w:val="32"/>
          <w:szCs w:val="32"/>
        </w:rPr>
        <w:t>技术规范偏离表</w:t>
      </w:r>
    </w:p>
    <w:tbl>
      <w:tblPr>
        <w:tblStyle w:val="26"/>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005"/>
        <w:gridCol w:w="740"/>
        <w:gridCol w:w="2379"/>
        <w:gridCol w:w="1757"/>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08" w:type="dxa"/>
            <w:vAlign w:val="center"/>
          </w:tcPr>
          <w:p>
            <w:pPr>
              <w:jc w:val="center"/>
              <w:rPr>
                <w:rFonts w:ascii="仿宋" w:hAnsi="仿宋" w:eastAsia="仿宋" w:cs="仿宋"/>
              </w:rPr>
            </w:pPr>
            <w:r>
              <w:rPr>
                <w:rFonts w:hint="eastAsia" w:ascii="仿宋" w:hAnsi="仿宋" w:eastAsia="仿宋" w:cs="仿宋"/>
              </w:rPr>
              <w:t>序号</w:t>
            </w:r>
          </w:p>
        </w:tc>
        <w:tc>
          <w:tcPr>
            <w:tcW w:w="1005" w:type="dxa"/>
            <w:vAlign w:val="center"/>
          </w:tcPr>
          <w:p>
            <w:pPr>
              <w:jc w:val="center"/>
              <w:rPr>
                <w:rFonts w:ascii="仿宋" w:hAnsi="仿宋" w:eastAsia="仿宋" w:cs="仿宋"/>
              </w:rPr>
            </w:pPr>
            <w:r>
              <w:rPr>
                <w:rFonts w:hint="eastAsia" w:ascii="仿宋" w:hAnsi="仿宋" w:eastAsia="仿宋" w:cs="仿宋"/>
              </w:rPr>
              <w:t>内容</w:t>
            </w:r>
          </w:p>
        </w:tc>
        <w:tc>
          <w:tcPr>
            <w:tcW w:w="740" w:type="dxa"/>
            <w:vAlign w:val="center"/>
          </w:tcPr>
          <w:p>
            <w:pPr>
              <w:jc w:val="center"/>
              <w:rPr>
                <w:rFonts w:ascii="仿宋" w:hAnsi="仿宋" w:eastAsia="仿宋" w:cs="仿宋"/>
              </w:rPr>
            </w:pPr>
            <w:r>
              <w:rPr>
                <w:rFonts w:hint="eastAsia" w:ascii="仿宋" w:hAnsi="仿宋" w:eastAsia="仿宋" w:cs="仿宋"/>
              </w:rPr>
              <w:t>数量</w:t>
            </w:r>
          </w:p>
        </w:tc>
        <w:tc>
          <w:tcPr>
            <w:tcW w:w="2379" w:type="dxa"/>
            <w:vAlign w:val="center"/>
          </w:tcPr>
          <w:p>
            <w:pPr>
              <w:jc w:val="center"/>
              <w:rPr>
                <w:rFonts w:ascii="仿宋" w:hAnsi="仿宋" w:eastAsia="仿宋" w:cs="仿宋"/>
              </w:rPr>
            </w:pPr>
            <w:r>
              <w:rPr>
                <w:rFonts w:hint="eastAsia" w:ascii="仿宋" w:hAnsi="仿宋" w:eastAsia="仿宋" w:cs="仿宋"/>
              </w:rPr>
              <w:t>采购文件</w:t>
            </w:r>
          </w:p>
          <w:p>
            <w:pPr>
              <w:jc w:val="center"/>
              <w:rPr>
                <w:rFonts w:ascii="仿宋" w:hAnsi="仿宋" w:eastAsia="仿宋" w:cs="仿宋"/>
              </w:rPr>
            </w:pPr>
            <w:r>
              <w:rPr>
                <w:rFonts w:hint="eastAsia" w:ascii="仿宋" w:hAnsi="仿宋" w:eastAsia="仿宋" w:cs="仿宋"/>
              </w:rPr>
              <w:t>技术规范、要求</w:t>
            </w:r>
          </w:p>
        </w:tc>
        <w:tc>
          <w:tcPr>
            <w:tcW w:w="1757" w:type="dxa"/>
            <w:vAlign w:val="center"/>
          </w:tcPr>
          <w:p>
            <w:pPr>
              <w:jc w:val="center"/>
              <w:rPr>
                <w:rFonts w:ascii="仿宋" w:hAnsi="仿宋" w:eastAsia="仿宋" w:cs="仿宋"/>
              </w:rPr>
            </w:pPr>
            <w:r>
              <w:rPr>
                <w:rFonts w:hint="eastAsia" w:ascii="仿宋" w:hAnsi="仿宋" w:eastAsia="仿宋" w:cs="仿宋"/>
              </w:rPr>
              <w:t>投标文件</w:t>
            </w:r>
          </w:p>
          <w:p>
            <w:pPr>
              <w:jc w:val="center"/>
              <w:rPr>
                <w:rFonts w:ascii="仿宋" w:hAnsi="仿宋" w:eastAsia="仿宋" w:cs="仿宋"/>
              </w:rPr>
            </w:pPr>
            <w:r>
              <w:rPr>
                <w:rFonts w:hint="eastAsia" w:ascii="仿宋" w:hAnsi="仿宋" w:eastAsia="仿宋" w:cs="仿宋"/>
              </w:rPr>
              <w:t>技术规范</w:t>
            </w:r>
          </w:p>
        </w:tc>
        <w:tc>
          <w:tcPr>
            <w:tcW w:w="1808" w:type="dxa"/>
            <w:vAlign w:val="center"/>
          </w:tcPr>
          <w:p>
            <w:pPr>
              <w:jc w:val="center"/>
              <w:rPr>
                <w:rFonts w:ascii="仿宋" w:hAnsi="仿宋" w:eastAsia="仿宋" w:cs="仿宋"/>
              </w:rPr>
            </w:pPr>
            <w:r>
              <w:rPr>
                <w:rFonts w:hint="eastAsia" w:ascii="仿宋" w:hAnsi="仿宋" w:eastAsia="仿宋" w:cs="仿宋"/>
              </w:rPr>
              <w:t>备注（正/负偏离）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08" w:type="dxa"/>
          </w:tcPr>
          <w:p>
            <w:pPr>
              <w:ind w:firstLine="420" w:firstLineChars="200"/>
              <w:jc w:val="center"/>
              <w:rPr>
                <w:rFonts w:ascii="仿宋" w:hAnsi="仿宋" w:eastAsia="仿宋" w:cs="仿宋"/>
              </w:rPr>
            </w:pPr>
          </w:p>
        </w:tc>
        <w:tc>
          <w:tcPr>
            <w:tcW w:w="1005" w:type="dxa"/>
          </w:tcPr>
          <w:p>
            <w:pPr>
              <w:ind w:firstLine="420" w:firstLineChars="200"/>
              <w:jc w:val="center"/>
              <w:rPr>
                <w:rFonts w:ascii="仿宋" w:hAnsi="仿宋" w:eastAsia="仿宋" w:cs="仿宋"/>
              </w:rPr>
            </w:pPr>
          </w:p>
        </w:tc>
        <w:tc>
          <w:tcPr>
            <w:tcW w:w="740" w:type="dxa"/>
          </w:tcPr>
          <w:p>
            <w:pPr>
              <w:ind w:firstLine="420" w:firstLineChars="200"/>
              <w:jc w:val="center"/>
              <w:rPr>
                <w:rFonts w:ascii="仿宋" w:hAnsi="仿宋" w:eastAsia="仿宋" w:cs="仿宋"/>
              </w:rPr>
            </w:pPr>
          </w:p>
        </w:tc>
        <w:tc>
          <w:tcPr>
            <w:tcW w:w="2379" w:type="dxa"/>
          </w:tcPr>
          <w:p>
            <w:pPr>
              <w:ind w:firstLine="420" w:firstLineChars="200"/>
              <w:jc w:val="center"/>
              <w:rPr>
                <w:rFonts w:ascii="仿宋" w:hAnsi="仿宋" w:eastAsia="仿宋" w:cs="仿宋"/>
              </w:rPr>
            </w:pPr>
          </w:p>
        </w:tc>
        <w:tc>
          <w:tcPr>
            <w:tcW w:w="1757" w:type="dxa"/>
          </w:tcPr>
          <w:p>
            <w:pPr>
              <w:ind w:firstLine="420" w:firstLineChars="200"/>
              <w:jc w:val="center"/>
              <w:rPr>
                <w:rFonts w:ascii="仿宋" w:hAnsi="仿宋" w:eastAsia="仿宋" w:cs="仿宋"/>
              </w:rPr>
            </w:pPr>
          </w:p>
        </w:tc>
        <w:tc>
          <w:tcPr>
            <w:tcW w:w="1808" w:type="dxa"/>
          </w:tcPr>
          <w:p>
            <w:pPr>
              <w:ind w:firstLine="420" w:firstLineChars="2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08" w:type="dxa"/>
          </w:tcPr>
          <w:p>
            <w:pPr>
              <w:ind w:firstLine="420" w:firstLineChars="200"/>
              <w:jc w:val="center"/>
              <w:rPr>
                <w:rFonts w:ascii="仿宋" w:hAnsi="仿宋" w:eastAsia="仿宋" w:cs="仿宋"/>
              </w:rPr>
            </w:pPr>
          </w:p>
        </w:tc>
        <w:tc>
          <w:tcPr>
            <w:tcW w:w="1005" w:type="dxa"/>
          </w:tcPr>
          <w:p>
            <w:pPr>
              <w:ind w:firstLine="420" w:firstLineChars="200"/>
              <w:jc w:val="center"/>
              <w:rPr>
                <w:rFonts w:ascii="仿宋" w:hAnsi="仿宋" w:eastAsia="仿宋" w:cs="仿宋"/>
              </w:rPr>
            </w:pPr>
          </w:p>
        </w:tc>
        <w:tc>
          <w:tcPr>
            <w:tcW w:w="740" w:type="dxa"/>
          </w:tcPr>
          <w:p>
            <w:pPr>
              <w:ind w:firstLine="420" w:firstLineChars="200"/>
              <w:jc w:val="center"/>
              <w:rPr>
                <w:rFonts w:ascii="仿宋" w:hAnsi="仿宋" w:eastAsia="仿宋" w:cs="仿宋"/>
              </w:rPr>
            </w:pPr>
          </w:p>
        </w:tc>
        <w:tc>
          <w:tcPr>
            <w:tcW w:w="2379" w:type="dxa"/>
          </w:tcPr>
          <w:p>
            <w:pPr>
              <w:ind w:firstLine="420" w:firstLineChars="200"/>
              <w:jc w:val="center"/>
              <w:rPr>
                <w:rFonts w:ascii="仿宋" w:hAnsi="仿宋" w:eastAsia="仿宋" w:cs="仿宋"/>
              </w:rPr>
            </w:pPr>
          </w:p>
        </w:tc>
        <w:tc>
          <w:tcPr>
            <w:tcW w:w="1757" w:type="dxa"/>
          </w:tcPr>
          <w:p>
            <w:pPr>
              <w:ind w:firstLine="420" w:firstLineChars="200"/>
              <w:jc w:val="center"/>
              <w:rPr>
                <w:rFonts w:ascii="仿宋" w:hAnsi="仿宋" w:eastAsia="仿宋" w:cs="仿宋"/>
              </w:rPr>
            </w:pPr>
          </w:p>
        </w:tc>
        <w:tc>
          <w:tcPr>
            <w:tcW w:w="1808" w:type="dxa"/>
          </w:tcPr>
          <w:p>
            <w:pPr>
              <w:ind w:firstLine="420" w:firstLineChars="2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08" w:type="dxa"/>
          </w:tcPr>
          <w:p>
            <w:pPr>
              <w:ind w:firstLine="420" w:firstLineChars="200"/>
              <w:jc w:val="center"/>
              <w:rPr>
                <w:rFonts w:ascii="仿宋" w:hAnsi="仿宋" w:eastAsia="仿宋" w:cs="仿宋"/>
              </w:rPr>
            </w:pPr>
          </w:p>
        </w:tc>
        <w:tc>
          <w:tcPr>
            <w:tcW w:w="1005" w:type="dxa"/>
          </w:tcPr>
          <w:p>
            <w:pPr>
              <w:ind w:firstLine="420" w:firstLineChars="200"/>
              <w:jc w:val="center"/>
              <w:rPr>
                <w:rFonts w:ascii="仿宋" w:hAnsi="仿宋" w:eastAsia="仿宋" w:cs="仿宋"/>
              </w:rPr>
            </w:pPr>
          </w:p>
        </w:tc>
        <w:tc>
          <w:tcPr>
            <w:tcW w:w="740" w:type="dxa"/>
          </w:tcPr>
          <w:p>
            <w:pPr>
              <w:ind w:firstLine="420" w:firstLineChars="200"/>
              <w:jc w:val="center"/>
              <w:rPr>
                <w:rFonts w:ascii="仿宋" w:hAnsi="仿宋" w:eastAsia="仿宋" w:cs="仿宋"/>
              </w:rPr>
            </w:pPr>
          </w:p>
        </w:tc>
        <w:tc>
          <w:tcPr>
            <w:tcW w:w="2379" w:type="dxa"/>
          </w:tcPr>
          <w:p>
            <w:pPr>
              <w:ind w:firstLine="420" w:firstLineChars="200"/>
              <w:jc w:val="center"/>
              <w:rPr>
                <w:rFonts w:ascii="仿宋" w:hAnsi="仿宋" w:eastAsia="仿宋" w:cs="仿宋"/>
              </w:rPr>
            </w:pPr>
          </w:p>
        </w:tc>
        <w:tc>
          <w:tcPr>
            <w:tcW w:w="1757" w:type="dxa"/>
          </w:tcPr>
          <w:p>
            <w:pPr>
              <w:ind w:firstLine="420" w:firstLineChars="200"/>
              <w:jc w:val="center"/>
              <w:rPr>
                <w:rFonts w:ascii="仿宋" w:hAnsi="仿宋" w:eastAsia="仿宋" w:cs="仿宋"/>
              </w:rPr>
            </w:pPr>
          </w:p>
        </w:tc>
        <w:tc>
          <w:tcPr>
            <w:tcW w:w="1808" w:type="dxa"/>
          </w:tcPr>
          <w:p>
            <w:pPr>
              <w:ind w:firstLine="420" w:firstLineChars="2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08" w:type="dxa"/>
          </w:tcPr>
          <w:p>
            <w:pPr>
              <w:ind w:firstLine="420" w:firstLineChars="200"/>
              <w:jc w:val="center"/>
              <w:rPr>
                <w:rFonts w:ascii="仿宋" w:hAnsi="仿宋" w:eastAsia="仿宋" w:cs="仿宋"/>
              </w:rPr>
            </w:pPr>
          </w:p>
        </w:tc>
        <w:tc>
          <w:tcPr>
            <w:tcW w:w="1005" w:type="dxa"/>
          </w:tcPr>
          <w:p>
            <w:pPr>
              <w:ind w:firstLine="420" w:firstLineChars="200"/>
              <w:jc w:val="center"/>
              <w:rPr>
                <w:rFonts w:ascii="仿宋" w:hAnsi="仿宋" w:eastAsia="仿宋" w:cs="仿宋"/>
              </w:rPr>
            </w:pPr>
          </w:p>
        </w:tc>
        <w:tc>
          <w:tcPr>
            <w:tcW w:w="740" w:type="dxa"/>
          </w:tcPr>
          <w:p>
            <w:pPr>
              <w:ind w:firstLine="420" w:firstLineChars="200"/>
              <w:jc w:val="center"/>
              <w:rPr>
                <w:rFonts w:ascii="仿宋" w:hAnsi="仿宋" w:eastAsia="仿宋" w:cs="仿宋"/>
              </w:rPr>
            </w:pPr>
          </w:p>
        </w:tc>
        <w:tc>
          <w:tcPr>
            <w:tcW w:w="2379" w:type="dxa"/>
          </w:tcPr>
          <w:p>
            <w:pPr>
              <w:ind w:firstLine="420" w:firstLineChars="200"/>
              <w:jc w:val="center"/>
              <w:rPr>
                <w:rFonts w:ascii="仿宋" w:hAnsi="仿宋" w:eastAsia="仿宋" w:cs="仿宋"/>
              </w:rPr>
            </w:pPr>
          </w:p>
        </w:tc>
        <w:tc>
          <w:tcPr>
            <w:tcW w:w="1757" w:type="dxa"/>
          </w:tcPr>
          <w:p>
            <w:pPr>
              <w:ind w:firstLine="420" w:firstLineChars="200"/>
              <w:jc w:val="center"/>
              <w:rPr>
                <w:rFonts w:ascii="仿宋" w:hAnsi="仿宋" w:eastAsia="仿宋" w:cs="仿宋"/>
              </w:rPr>
            </w:pPr>
          </w:p>
        </w:tc>
        <w:tc>
          <w:tcPr>
            <w:tcW w:w="1808" w:type="dxa"/>
          </w:tcPr>
          <w:p>
            <w:pPr>
              <w:ind w:firstLine="420" w:firstLineChars="2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08" w:type="dxa"/>
          </w:tcPr>
          <w:p>
            <w:pPr>
              <w:ind w:firstLine="420" w:firstLineChars="200"/>
              <w:jc w:val="center"/>
              <w:rPr>
                <w:rFonts w:ascii="仿宋" w:hAnsi="仿宋" w:eastAsia="仿宋" w:cs="仿宋"/>
              </w:rPr>
            </w:pPr>
          </w:p>
        </w:tc>
        <w:tc>
          <w:tcPr>
            <w:tcW w:w="1005" w:type="dxa"/>
          </w:tcPr>
          <w:p>
            <w:pPr>
              <w:ind w:firstLine="420" w:firstLineChars="200"/>
              <w:jc w:val="center"/>
              <w:rPr>
                <w:rFonts w:ascii="仿宋" w:hAnsi="仿宋" w:eastAsia="仿宋" w:cs="仿宋"/>
              </w:rPr>
            </w:pPr>
          </w:p>
        </w:tc>
        <w:tc>
          <w:tcPr>
            <w:tcW w:w="740" w:type="dxa"/>
          </w:tcPr>
          <w:p>
            <w:pPr>
              <w:ind w:firstLine="420" w:firstLineChars="200"/>
              <w:jc w:val="center"/>
              <w:rPr>
                <w:rFonts w:ascii="仿宋" w:hAnsi="仿宋" w:eastAsia="仿宋" w:cs="仿宋"/>
              </w:rPr>
            </w:pPr>
          </w:p>
        </w:tc>
        <w:tc>
          <w:tcPr>
            <w:tcW w:w="2379" w:type="dxa"/>
          </w:tcPr>
          <w:p>
            <w:pPr>
              <w:ind w:firstLine="420" w:firstLineChars="200"/>
              <w:jc w:val="center"/>
              <w:rPr>
                <w:rFonts w:ascii="仿宋" w:hAnsi="仿宋" w:eastAsia="仿宋" w:cs="仿宋"/>
              </w:rPr>
            </w:pPr>
          </w:p>
        </w:tc>
        <w:tc>
          <w:tcPr>
            <w:tcW w:w="1757" w:type="dxa"/>
          </w:tcPr>
          <w:p>
            <w:pPr>
              <w:ind w:firstLine="420" w:firstLineChars="200"/>
              <w:jc w:val="center"/>
              <w:rPr>
                <w:rFonts w:ascii="仿宋" w:hAnsi="仿宋" w:eastAsia="仿宋" w:cs="仿宋"/>
              </w:rPr>
            </w:pPr>
          </w:p>
        </w:tc>
        <w:tc>
          <w:tcPr>
            <w:tcW w:w="1808" w:type="dxa"/>
          </w:tcPr>
          <w:p>
            <w:pPr>
              <w:ind w:firstLine="420" w:firstLineChars="2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08" w:type="dxa"/>
          </w:tcPr>
          <w:p>
            <w:pPr>
              <w:ind w:firstLine="420" w:firstLineChars="200"/>
              <w:jc w:val="center"/>
              <w:rPr>
                <w:rFonts w:ascii="仿宋" w:hAnsi="仿宋" w:eastAsia="仿宋" w:cs="仿宋"/>
              </w:rPr>
            </w:pPr>
          </w:p>
        </w:tc>
        <w:tc>
          <w:tcPr>
            <w:tcW w:w="1005" w:type="dxa"/>
          </w:tcPr>
          <w:p>
            <w:pPr>
              <w:ind w:firstLine="420" w:firstLineChars="200"/>
              <w:jc w:val="center"/>
              <w:rPr>
                <w:rFonts w:ascii="仿宋" w:hAnsi="仿宋" w:eastAsia="仿宋" w:cs="仿宋"/>
              </w:rPr>
            </w:pPr>
          </w:p>
        </w:tc>
        <w:tc>
          <w:tcPr>
            <w:tcW w:w="740" w:type="dxa"/>
          </w:tcPr>
          <w:p>
            <w:pPr>
              <w:ind w:firstLine="420" w:firstLineChars="200"/>
              <w:jc w:val="center"/>
              <w:rPr>
                <w:rFonts w:ascii="仿宋" w:hAnsi="仿宋" w:eastAsia="仿宋" w:cs="仿宋"/>
              </w:rPr>
            </w:pPr>
          </w:p>
        </w:tc>
        <w:tc>
          <w:tcPr>
            <w:tcW w:w="2379" w:type="dxa"/>
          </w:tcPr>
          <w:p>
            <w:pPr>
              <w:ind w:firstLine="420" w:firstLineChars="200"/>
              <w:jc w:val="center"/>
              <w:rPr>
                <w:rFonts w:ascii="仿宋" w:hAnsi="仿宋" w:eastAsia="仿宋" w:cs="仿宋"/>
              </w:rPr>
            </w:pPr>
          </w:p>
        </w:tc>
        <w:tc>
          <w:tcPr>
            <w:tcW w:w="1757" w:type="dxa"/>
          </w:tcPr>
          <w:p>
            <w:pPr>
              <w:ind w:firstLine="420" w:firstLineChars="200"/>
              <w:jc w:val="center"/>
              <w:rPr>
                <w:rFonts w:ascii="仿宋" w:hAnsi="仿宋" w:eastAsia="仿宋" w:cs="仿宋"/>
              </w:rPr>
            </w:pPr>
          </w:p>
        </w:tc>
        <w:tc>
          <w:tcPr>
            <w:tcW w:w="1808" w:type="dxa"/>
          </w:tcPr>
          <w:p>
            <w:pPr>
              <w:ind w:firstLine="420" w:firstLineChars="200"/>
              <w:jc w:val="center"/>
              <w:rPr>
                <w:rFonts w:ascii="仿宋" w:hAnsi="仿宋" w:eastAsia="仿宋" w:cs="仿宋"/>
              </w:rPr>
            </w:pPr>
          </w:p>
        </w:tc>
      </w:tr>
    </w:tbl>
    <w:p>
      <w:pPr>
        <w:rPr>
          <w:rFonts w:ascii="仿宋" w:hAnsi="仿宋" w:eastAsia="仿宋" w:cs="仿宋"/>
          <w:sz w:val="28"/>
          <w:szCs w:val="28"/>
        </w:rPr>
      </w:pPr>
    </w:p>
    <w:p>
      <w:pPr>
        <w:rPr>
          <w:rFonts w:ascii="仿宋" w:hAnsi="仿宋" w:eastAsia="仿宋" w:cs="仿宋"/>
          <w:sz w:val="28"/>
          <w:szCs w:val="28"/>
        </w:rPr>
      </w:pPr>
    </w:p>
    <w:p>
      <w:pPr>
        <w:spacing w:line="360" w:lineRule="auto"/>
        <w:rPr>
          <w:rFonts w:ascii="仿宋" w:hAnsi="仿宋" w:eastAsia="仿宋" w:cs="仿宋"/>
        </w:rPr>
      </w:pPr>
      <w:r>
        <w:rPr>
          <w:rFonts w:hint="eastAsia" w:ascii="仿宋" w:hAnsi="仿宋" w:eastAsia="仿宋" w:cs="仿宋"/>
        </w:rPr>
        <w:t>供应商名称（盖章）：</w:t>
      </w:r>
    </w:p>
    <w:p>
      <w:pPr>
        <w:spacing w:line="360" w:lineRule="auto"/>
        <w:rPr>
          <w:rFonts w:ascii="仿宋" w:hAnsi="仿宋" w:eastAsia="仿宋" w:cs="仿宋"/>
        </w:rPr>
      </w:pPr>
      <w:r>
        <w:rPr>
          <w:rFonts w:hint="eastAsia" w:ascii="仿宋" w:hAnsi="仿宋" w:eastAsia="仿宋" w:cs="仿宋"/>
        </w:rPr>
        <w:t>供应商代表（签字或盖章）：</w:t>
      </w:r>
    </w:p>
    <w:p>
      <w:pPr>
        <w:spacing w:line="360" w:lineRule="auto"/>
        <w:rPr>
          <w:rFonts w:ascii="仿宋" w:hAnsi="仿宋" w:eastAsia="仿宋" w:cs="仿宋"/>
        </w:rPr>
      </w:pPr>
      <w:r>
        <w:rPr>
          <w:rFonts w:hint="eastAsia" w:ascii="仿宋" w:hAnsi="仿宋" w:eastAsia="仿宋" w:cs="仿宋"/>
        </w:rPr>
        <w:t>日期：年月日</w:t>
      </w:r>
    </w:p>
    <w:p>
      <w:pPr>
        <w:rPr>
          <w:rFonts w:ascii="仿宋" w:hAnsi="仿宋" w:eastAsia="仿宋" w:cs="仿宋"/>
          <w:sz w:val="28"/>
          <w:szCs w:val="28"/>
        </w:rPr>
      </w:pPr>
    </w:p>
    <w:p>
      <w:pPr>
        <w:rPr>
          <w:rFonts w:ascii="仿宋" w:hAnsi="仿宋" w:eastAsia="仿宋" w:cs="仿宋"/>
          <w:b/>
          <w:sz w:val="32"/>
          <w:szCs w:val="32"/>
        </w:rPr>
      </w:pPr>
      <w:bookmarkStart w:id="88" w:name="_Toc19465"/>
      <w:r>
        <w:rPr>
          <w:rFonts w:hint="eastAsia" w:ascii="仿宋" w:hAnsi="仿宋" w:eastAsia="仿宋" w:cs="仿宋"/>
          <w:b/>
          <w:sz w:val="32"/>
          <w:szCs w:val="32"/>
        </w:rPr>
        <w:br w:type="page"/>
      </w:r>
    </w:p>
    <w:p>
      <w:pPr>
        <w:spacing w:after="100" w:afterAutospacing="1"/>
        <w:jc w:val="center"/>
        <w:outlineLvl w:val="2"/>
        <w:rPr>
          <w:rFonts w:ascii="仿宋" w:hAnsi="仿宋" w:eastAsia="仿宋" w:cs="仿宋"/>
          <w:b/>
          <w:sz w:val="32"/>
          <w:szCs w:val="32"/>
        </w:rPr>
      </w:pPr>
      <w:r>
        <w:rPr>
          <w:rFonts w:hint="eastAsia" w:ascii="仿宋" w:hAnsi="仿宋" w:eastAsia="仿宋" w:cs="仿宋"/>
          <w:b/>
          <w:sz w:val="32"/>
          <w:szCs w:val="32"/>
        </w:rPr>
        <w:t>七、商务偏离表</w:t>
      </w:r>
      <w:bookmarkEnd w:id="88"/>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09"/>
        <w:gridCol w:w="2637"/>
        <w:gridCol w:w="1867"/>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15" w:type="dxa"/>
            <w:vAlign w:val="center"/>
          </w:tcPr>
          <w:p>
            <w:pPr>
              <w:jc w:val="center"/>
              <w:rPr>
                <w:rFonts w:ascii="仿宋" w:hAnsi="仿宋" w:eastAsia="仿宋" w:cs="仿宋"/>
              </w:rPr>
            </w:pPr>
            <w:r>
              <w:rPr>
                <w:rFonts w:hint="eastAsia" w:ascii="仿宋" w:hAnsi="仿宋" w:eastAsia="仿宋" w:cs="仿宋"/>
              </w:rPr>
              <w:t>序号</w:t>
            </w:r>
          </w:p>
        </w:tc>
        <w:tc>
          <w:tcPr>
            <w:tcW w:w="1309" w:type="dxa"/>
            <w:vAlign w:val="center"/>
          </w:tcPr>
          <w:p>
            <w:pPr>
              <w:jc w:val="center"/>
              <w:rPr>
                <w:rFonts w:ascii="仿宋" w:hAnsi="仿宋" w:eastAsia="仿宋" w:cs="仿宋"/>
              </w:rPr>
            </w:pPr>
            <w:r>
              <w:rPr>
                <w:rFonts w:hint="eastAsia" w:ascii="仿宋" w:hAnsi="仿宋" w:eastAsia="仿宋" w:cs="仿宋"/>
              </w:rPr>
              <w:t>内容</w:t>
            </w:r>
          </w:p>
        </w:tc>
        <w:tc>
          <w:tcPr>
            <w:tcW w:w="2637" w:type="dxa"/>
            <w:vAlign w:val="center"/>
          </w:tcPr>
          <w:p>
            <w:pPr>
              <w:jc w:val="center"/>
              <w:rPr>
                <w:rFonts w:ascii="仿宋" w:hAnsi="仿宋" w:eastAsia="仿宋" w:cs="仿宋"/>
              </w:rPr>
            </w:pPr>
            <w:r>
              <w:rPr>
                <w:rFonts w:hint="eastAsia" w:ascii="仿宋" w:hAnsi="仿宋" w:eastAsia="仿宋" w:cs="仿宋"/>
              </w:rPr>
              <w:t>采购文件商务要求</w:t>
            </w:r>
          </w:p>
        </w:tc>
        <w:tc>
          <w:tcPr>
            <w:tcW w:w="1867" w:type="dxa"/>
            <w:vAlign w:val="center"/>
          </w:tcPr>
          <w:p>
            <w:pPr>
              <w:jc w:val="center"/>
              <w:rPr>
                <w:rFonts w:ascii="仿宋" w:hAnsi="仿宋" w:eastAsia="仿宋" w:cs="仿宋"/>
              </w:rPr>
            </w:pPr>
            <w:r>
              <w:rPr>
                <w:rFonts w:hint="eastAsia" w:ascii="仿宋" w:hAnsi="仿宋" w:eastAsia="仿宋" w:cs="仿宋"/>
              </w:rPr>
              <w:t>投标文件</w:t>
            </w:r>
          </w:p>
          <w:p>
            <w:pPr>
              <w:jc w:val="center"/>
              <w:rPr>
                <w:rFonts w:ascii="仿宋" w:hAnsi="仿宋" w:eastAsia="仿宋" w:cs="仿宋"/>
              </w:rPr>
            </w:pPr>
            <w:r>
              <w:rPr>
                <w:rFonts w:hint="eastAsia" w:ascii="仿宋" w:hAnsi="仿宋" w:eastAsia="仿宋" w:cs="仿宋"/>
              </w:rPr>
              <w:t>商务资料</w:t>
            </w:r>
          </w:p>
        </w:tc>
        <w:tc>
          <w:tcPr>
            <w:tcW w:w="1648" w:type="dxa"/>
            <w:vAlign w:val="center"/>
          </w:tcPr>
          <w:p>
            <w:pPr>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5" w:type="dxa"/>
            <w:vAlign w:val="center"/>
          </w:tcPr>
          <w:p>
            <w:pPr>
              <w:jc w:val="center"/>
              <w:rPr>
                <w:rFonts w:ascii="仿宋" w:hAnsi="仿宋" w:eastAsia="仿宋" w:cs="仿宋"/>
              </w:rPr>
            </w:pPr>
            <w:r>
              <w:rPr>
                <w:rFonts w:hint="eastAsia" w:ascii="仿宋" w:hAnsi="仿宋" w:eastAsia="仿宋" w:cs="仿宋"/>
              </w:rPr>
              <w:t>1</w:t>
            </w:r>
          </w:p>
        </w:tc>
        <w:tc>
          <w:tcPr>
            <w:tcW w:w="1309" w:type="dxa"/>
            <w:vAlign w:val="center"/>
          </w:tcPr>
          <w:p>
            <w:pPr>
              <w:ind w:firstLine="420" w:firstLineChars="200"/>
              <w:jc w:val="center"/>
              <w:rPr>
                <w:rFonts w:ascii="仿宋" w:hAnsi="仿宋" w:eastAsia="仿宋" w:cs="仿宋"/>
              </w:rPr>
            </w:pPr>
          </w:p>
        </w:tc>
        <w:tc>
          <w:tcPr>
            <w:tcW w:w="2637" w:type="dxa"/>
            <w:vAlign w:val="center"/>
          </w:tcPr>
          <w:p>
            <w:pPr>
              <w:ind w:firstLine="420" w:firstLineChars="200"/>
              <w:jc w:val="center"/>
              <w:rPr>
                <w:rFonts w:ascii="仿宋" w:hAnsi="仿宋" w:eastAsia="仿宋" w:cs="仿宋"/>
              </w:rPr>
            </w:pPr>
          </w:p>
        </w:tc>
        <w:tc>
          <w:tcPr>
            <w:tcW w:w="1867" w:type="dxa"/>
            <w:vAlign w:val="center"/>
          </w:tcPr>
          <w:p>
            <w:pPr>
              <w:ind w:firstLine="420" w:firstLineChars="200"/>
              <w:jc w:val="center"/>
              <w:rPr>
                <w:rFonts w:ascii="仿宋" w:hAnsi="仿宋" w:eastAsia="仿宋" w:cs="仿宋"/>
              </w:rPr>
            </w:pPr>
          </w:p>
        </w:tc>
        <w:tc>
          <w:tcPr>
            <w:tcW w:w="1648" w:type="dxa"/>
            <w:vAlign w:val="center"/>
          </w:tcPr>
          <w:p>
            <w:pPr>
              <w:ind w:firstLine="420" w:firstLineChars="2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5" w:type="dxa"/>
            <w:vAlign w:val="center"/>
          </w:tcPr>
          <w:p>
            <w:pPr>
              <w:jc w:val="center"/>
              <w:rPr>
                <w:rFonts w:ascii="仿宋" w:hAnsi="仿宋" w:eastAsia="仿宋" w:cs="仿宋"/>
              </w:rPr>
            </w:pPr>
            <w:r>
              <w:rPr>
                <w:rFonts w:hint="eastAsia" w:ascii="仿宋" w:hAnsi="仿宋" w:eastAsia="仿宋" w:cs="仿宋"/>
              </w:rPr>
              <w:t>2</w:t>
            </w:r>
          </w:p>
        </w:tc>
        <w:tc>
          <w:tcPr>
            <w:tcW w:w="1309" w:type="dxa"/>
            <w:vAlign w:val="center"/>
          </w:tcPr>
          <w:p>
            <w:pPr>
              <w:ind w:firstLine="420" w:firstLineChars="200"/>
              <w:jc w:val="center"/>
              <w:rPr>
                <w:rFonts w:ascii="仿宋" w:hAnsi="仿宋" w:eastAsia="仿宋" w:cs="仿宋"/>
              </w:rPr>
            </w:pPr>
          </w:p>
        </w:tc>
        <w:tc>
          <w:tcPr>
            <w:tcW w:w="2637" w:type="dxa"/>
            <w:vAlign w:val="center"/>
          </w:tcPr>
          <w:p>
            <w:pPr>
              <w:ind w:firstLine="420" w:firstLineChars="200"/>
              <w:jc w:val="center"/>
              <w:rPr>
                <w:rFonts w:ascii="仿宋" w:hAnsi="仿宋" w:eastAsia="仿宋" w:cs="仿宋"/>
              </w:rPr>
            </w:pPr>
          </w:p>
        </w:tc>
        <w:tc>
          <w:tcPr>
            <w:tcW w:w="1867" w:type="dxa"/>
            <w:vAlign w:val="center"/>
          </w:tcPr>
          <w:p>
            <w:pPr>
              <w:ind w:firstLine="420" w:firstLineChars="200"/>
              <w:jc w:val="center"/>
              <w:rPr>
                <w:rFonts w:ascii="仿宋" w:hAnsi="仿宋" w:eastAsia="仿宋" w:cs="仿宋"/>
              </w:rPr>
            </w:pPr>
          </w:p>
        </w:tc>
        <w:tc>
          <w:tcPr>
            <w:tcW w:w="1648" w:type="dxa"/>
            <w:vAlign w:val="center"/>
          </w:tcPr>
          <w:p>
            <w:pPr>
              <w:ind w:firstLine="420" w:firstLineChars="2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5" w:type="dxa"/>
            <w:vAlign w:val="center"/>
          </w:tcPr>
          <w:p>
            <w:pPr>
              <w:jc w:val="center"/>
              <w:rPr>
                <w:rFonts w:ascii="仿宋" w:hAnsi="仿宋" w:eastAsia="仿宋" w:cs="仿宋"/>
              </w:rPr>
            </w:pPr>
            <w:r>
              <w:rPr>
                <w:rFonts w:hint="eastAsia" w:ascii="仿宋" w:hAnsi="仿宋" w:eastAsia="仿宋" w:cs="仿宋"/>
              </w:rPr>
              <w:t>…</w:t>
            </w:r>
          </w:p>
        </w:tc>
        <w:tc>
          <w:tcPr>
            <w:tcW w:w="1309" w:type="dxa"/>
            <w:vAlign w:val="center"/>
          </w:tcPr>
          <w:p>
            <w:pPr>
              <w:ind w:firstLine="420" w:firstLineChars="200"/>
              <w:jc w:val="center"/>
              <w:rPr>
                <w:rFonts w:ascii="仿宋" w:hAnsi="仿宋" w:eastAsia="仿宋" w:cs="仿宋"/>
              </w:rPr>
            </w:pPr>
          </w:p>
        </w:tc>
        <w:tc>
          <w:tcPr>
            <w:tcW w:w="2637" w:type="dxa"/>
            <w:vAlign w:val="center"/>
          </w:tcPr>
          <w:p>
            <w:pPr>
              <w:ind w:firstLine="420" w:firstLineChars="200"/>
              <w:jc w:val="center"/>
              <w:rPr>
                <w:rFonts w:ascii="仿宋" w:hAnsi="仿宋" w:eastAsia="仿宋" w:cs="仿宋"/>
              </w:rPr>
            </w:pPr>
          </w:p>
        </w:tc>
        <w:tc>
          <w:tcPr>
            <w:tcW w:w="1867" w:type="dxa"/>
            <w:vAlign w:val="center"/>
          </w:tcPr>
          <w:p>
            <w:pPr>
              <w:ind w:firstLine="420" w:firstLineChars="200"/>
              <w:jc w:val="center"/>
              <w:rPr>
                <w:rFonts w:ascii="仿宋" w:hAnsi="仿宋" w:eastAsia="仿宋" w:cs="仿宋"/>
              </w:rPr>
            </w:pPr>
          </w:p>
        </w:tc>
        <w:tc>
          <w:tcPr>
            <w:tcW w:w="1648" w:type="dxa"/>
            <w:vAlign w:val="center"/>
          </w:tcPr>
          <w:p>
            <w:pPr>
              <w:ind w:firstLine="420" w:firstLineChars="2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5" w:type="dxa"/>
            <w:vAlign w:val="center"/>
          </w:tcPr>
          <w:p>
            <w:pPr>
              <w:jc w:val="center"/>
              <w:rPr>
                <w:rFonts w:ascii="仿宋" w:hAnsi="仿宋" w:eastAsia="仿宋" w:cs="仿宋"/>
              </w:rPr>
            </w:pPr>
          </w:p>
        </w:tc>
        <w:tc>
          <w:tcPr>
            <w:tcW w:w="1309" w:type="dxa"/>
            <w:vAlign w:val="center"/>
          </w:tcPr>
          <w:p>
            <w:pPr>
              <w:ind w:firstLine="420" w:firstLineChars="200"/>
              <w:jc w:val="center"/>
              <w:rPr>
                <w:rFonts w:ascii="仿宋" w:hAnsi="仿宋" w:eastAsia="仿宋" w:cs="仿宋"/>
              </w:rPr>
            </w:pPr>
          </w:p>
        </w:tc>
        <w:tc>
          <w:tcPr>
            <w:tcW w:w="2637" w:type="dxa"/>
            <w:vAlign w:val="center"/>
          </w:tcPr>
          <w:p>
            <w:pPr>
              <w:ind w:firstLine="420" w:firstLineChars="200"/>
              <w:jc w:val="center"/>
              <w:rPr>
                <w:rFonts w:ascii="仿宋" w:hAnsi="仿宋" w:eastAsia="仿宋" w:cs="仿宋"/>
              </w:rPr>
            </w:pPr>
          </w:p>
        </w:tc>
        <w:tc>
          <w:tcPr>
            <w:tcW w:w="1867" w:type="dxa"/>
            <w:vAlign w:val="center"/>
          </w:tcPr>
          <w:p>
            <w:pPr>
              <w:ind w:firstLine="420" w:firstLineChars="200"/>
              <w:jc w:val="center"/>
              <w:rPr>
                <w:rFonts w:ascii="仿宋" w:hAnsi="仿宋" w:eastAsia="仿宋" w:cs="仿宋"/>
              </w:rPr>
            </w:pPr>
          </w:p>
        </w:tc>
        <w:tc>
          <w:tcPr>
            <w:tcW w:w="1648" w:type="dxa"/>
            <w:vAlign w:val="center"/>
          </w:tcPr>
          <w:p>
            <w:pPr>
              <w:ind w:firstLine="420" w:firstLineChars="2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5" w:type="dxa"/>
            <w:vAlign w:val="center"/>
          </w:tcPr>
          <w:p>
            <w:pPr>
              <w:jc w:val="center"/>
              <w:rPr>
                <w:rFonts w:ascii="仿宋" w:hAnsi="仿宋" w:eastAsia="仿宋" w:cs="仿宋"/>
              </w:rPr>
            </w:pPr>
          </w:p>
        </w:tc>
        <w:tc>
          <w:tcPr>
            <w:tcW w:w="1309" w:type="dxa"/>
            <w:vAlign w:val="center"/>
          </w:tcPr>
          <w:p>
            <w:pPr>
              <w:ind w:firstLine="420" w:firstLineChars="200"/>
              <w:jc w:val="center"/>
              <w:rPr>
                <w:rFonts w:ascii="仿宋" w:hAnsi="仿宋" w:eastAsia="仿宋" w:cs="仿宋"/>
              </w:rPr>
            </w:pPr>
          </w:p>
        </w:tc>
        <w:tc>
          <w:tcPr>
            <w:tcW w:w="2637" w:type="dxa"/>
            <w:vAlign w:val="center"/>
          </w:tcPr>
          <w:p>
            <w:pPr>
              <w:ind w:firstLine="420" w:firstLineChars="200"/>
              <w:jc w:val="center"/>
              <w:rPr>
                <w:rFonts w:ascii="仿宋" w:hAnsi="仿宋" w:eastAsia="仿宋" w:cs="仿宋"/>
              </w:rPr>
            </w:pPr>
          </w:p>
        </w:tc>
        <w:tc>
          <w:tcPr>
            <w:tcW w:w="1867" w:type="dxa"/>
            <w:vAlign w:val="center"/>
          </w:tcPr>
          <w:p>
            <w:pPr>
              <w:ind w:firstLine="420" w:firstLineChars="200"/>
              <w:jc w:val="center"/>
              <w:rPr>
                <w:rFonts w:ascii="仿宋" w:hAnsi="仿宋" w:eastAsia="仿宋" w:cs="仿宋"/>
              </w:rPr>
            </w:pPr>
          </w:p>
        </w:tc>
        <w:tc>
          <w:tcPr>
            <w:tcW w:w="1648" w:type="dxa"/>
            <w:vAlign w:val="center"/>
          </w:tcPr>
          <w:p>
            <w:pPr>
              <w:ind w:firstLine="420" w:firstLineChars="200"/>
              <w:jc w:val="center"/>
              <w:rPr>
                <w:rFonts w:ascii="仿宋" w:hAnsi="仿宋" w:eastAsia="仿宋" w:cs="仿宋"/>
              </w:rPr>
            </w:pP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spacing w:line="360" w:lineRule="auto"/>
        <w:rPr>
          <w:rFonts w:ascii="仿宋" w:hAnsi="仿宋" w:eastAsia="仿宋" w:cs="仿宋"/>
        </w:rPr>
      </w:pPr>
      <w:r>
        <w:rPr>
          <w:rFonts w:hint="eastAsia" w:ascii="仿宋" w:hAnsi="仿宋" w:eastAsia="仿宋" w:cs="仿宋"/>
        </w:rPr>
        <w:t>供应商名称（盖章）：</w:t>
      </w:r>
    </w:p>
    <w:p>
      <w:pPr>
        <w:spacing w:line="360" w:lineRule="auto"/>
        <w:rPr>
          <w:rFonts w:ascii="仿宋" w:hAnsi="仿宋" w:eastAsia="仿宋" w:cs="仿宋"/>
        </w:rPr>
      </w:pPr>
      <w:r>
        <w:rPr>
          <w:rFonts w:hint="eastAsia" w:ascii="仿宋" w:hAnsi="仿宋" w:eastAsia="仿宋" w:cs="仿宋"/>
        </w:rPr>
        <w:t>供应商代表（签字或盖章）：</w:t>
      </w:r>
    </w:p>
    <w:p>
      <w:pPr>
        <w:spacing w:line="360" w:lineRule="auto"/>
        <w:rPr>
          <w:rFonts w:ascii="仿宋" w:hAnsi="仿宋" w:eastAsia="仿宋" w:cs="仿宋"/>
        </w:rPr>
      </w:pPr>
      <w:r>
        <w:rPr>
          <w:rFonts w:hint="eastAsia" w:ascii="仿宋" w:hAnsi="仿宋" w:eastAsia="仿宋" w:cs="仿宋"/>
        </w:rPr>
        <w:t>日期：年月日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sz w:val="32"/>
          <w:szCs w:val="32"/>
        </w:rPr>
      </w:pPr>
      <w:r>
        <w:rPr>
          <w:rFonts w:hint="eastAsia" w:ascii="仿宋" w:hAnsi="仿宋" w:eastAsia="仿宋" w:cs="仿宋"/>
          <w:b/>
          <w:sz w:val="32"/>
          <w:szCs w:val="32"/>
        </w:rPr>
        <w:br w:type="page"/>
      </w:r>
    </w:p>
    <w:p>
      <w:pPr>
        <w:jc w:val="center"/>
        <w:outlineLvl w:val="2"/>
        <w:rPr>
          <w:rFonts w:ascii="仿宋" w:hAnsi="仿宋" w:eastAsia="仿宋" w:cs="仿宋"/>
          <w:b/>
          <w:sz w:val="32"/>
          <w:szCs w:val="32"/>
        </w:rPr>
      </w:pPr>
      <w:r>
        <w:rPr>
          <w:rFonts w:hint="eastAsia" w:ascii="仿宋" w:hAnsi="仿宋" w:eastAsia="仿宋" w:cs="仿宋"/>
          <w:b/>
          <w:sz w:val="32"/>
          <w:szCs w:val="32"/>
        </w:rPr>
        <w:t>八、人员配备一览表</w:t>
      </w:r>
    </w:p>
    <w:p>
      <w:pPr>
        <w:jc w:val="center"/>
        <w:rPr>
          <w:rFonts w:ascii="仿宋" w:hAnsi="仿宋" w:eastAsia="仿宋" w:cs="仿宋"/>
          <w:sz w:val="28"/>
          <w:szCs w:val="28"/>
        </w:rPr>
      </w:pPr>
      <w:r>
        <w:rPr>
          <w:rFonts w:hint="eastAsia" w:ascii="仿宋" w:hAnsi="仿宋" w:eastAsia="仿宋" w:cs="仿宋"/>
          <w:sz w:val="28"/>
          <w:szCs w:val="28"/>
        </w:rPr>
        <w:t>（主要从业人员及其技术资格）</w:t>
      </w:r>
    </w:p>
    <w:tbl>
      <w:tblPr>
        <w:tblStyle w:val="26"/>
        <w:tblW w:w="0" w:type="auto"/>
        <w:tblInd w:w="8" w:type="dxa"/>
        <w:tblLayout w:type="fixed"/>
        <w:tblCellMar>
          <w:top w:w="57" w:type="dxa"/>
          <w:left w:w="57" w:type="dxa"/>
          <w:bottom w:w="57" w:type="dxa"/>
          <w:right w:w="57" w:type="dxa"/>
        </w:tblCellMar>
      </w:tblPr>
      <w:tblGrid>
        <w:gridCol w:w="519"/>
        <w:gridCol w:w="1149"/>
        <w:gridCol w:w="625"/>
        <w:gridCol w:w="749"/>
        <w:gridCol w:w="751"/>
        <w:gridCol w:w="874"/>
        <w:gridCol w:w="1000"/>
        <w:gridCol w:w="751"/>
        <w:gridCol w:w="1125"/>
        <w:gridCol w:w="713"/>
      </w:tblGrid>
      <w:tr>
        <w:tblPrEx>
          <w:tblCellMar>
            <w:top w:w="57" w:type="dxa"/>
            <w:left w:w="57" w:type="dxa"/>
            <w:bottom w:w="57" w:type="dxa"/>
            <w:right w:w="57" w:type="dxa"/>
          </w:tblCellMar>
        </w:tblPrEx>
        <w:trPr>
          <w:cantSplit/>
          <w:trHeight w:val="759" w:hRule="atLeast"/>
        </w:trPr>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序号</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姓名</w:t>
            </w:r>
          </w:p>
        </w:tc>
        <w:tc>
          <w:tcPr>
            <w:tcW w:w="6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性别</w:t>
            </w:r>
          </w:p>
        </w:tc>
        <w:tc>
          <w:tcPr>
            <w:tcW w:w="74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年龄</w:t>
            </w:r>
          </w:p>
        </w:tc>
        <w:tc>
          <w:tcPr>
            <w:tcW w:w="7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学历</w:t>
            </w:r>
          </w:p>
        </w:tc>
        <w:tc>
          <w:tcPr>
            <w:tcW w:w="87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专业技术资格</w:t>
            </w:r>
          </w:p>
        </w:tc>
        <w:tc>
          <w:tcPr>
            <w:tcW w:w="100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rPr>
            </w:pPr>
            <w:r>
              <w:rPr>
                <w:rFonts w:hint="eastAsia" w:ascii="仿宋" w:hAnsi="仿宋" w:eastAsia="仿宋" w:cs="仿宋"/>
              </w:rPr>
              <w:t>证书编号</w:t>
            </w:r>
          </w:p>
        </w:tc>
        <w:tc>
          <w:tcPr>
            <w:tcW w:w="751"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职称</w:t>
            </w:r>
          </w:p>
        </w:tc>
        <w:tc>
          <w:tcPr>
            <w:tcW w:w="11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拟任本项目职务</w:t>
            </w:r>
          </w:p>
        </w:tc>
        <w:tc>
          <w:tcPr>
            <w:tcW w:w="71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备注</w:t>
            </w:r>
          </w:p>
        </w:tc>
      </w:tr>
      <w:tr>
        <w:tblPrEx>
          <w:tblCellMar>
            <w:top w:w="57" w:type="dxa"/>
            <w:left w:w="57" w:type="dxa"/>
            <w:bottom w:w="57" w:type="dxa"/>
            <w:right w:w="57" w:type="dxa"/>
          </w:tblCellMar>
        </w:tblPrEx>
        <w:trPr>
          <w:cantSplit/>
          <w:trHeight w:val="602" w:hRule="atLeast"/>
        </w:trPr>
        <w:tc>
          <w:tcPr>
            <w:tcW w:w="51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4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62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4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74"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0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7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12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1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602" w:hRule="atLeast"/>
        </w:trPr>
        <w:tc>
          <w:tcPr>
            <w:tcW w:w="51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4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62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4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74"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0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7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12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1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602" w:hRule="atLeast"/>
        </w:trPr>
        <w:tc>
          <w:tcPr>
            <w:tcW w:w="51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4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62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4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74"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0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7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12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1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602" w:hRule="atLeast"/>
        </w:trPr>
        <w:tc>
          <w:tcPr>
            <w:tcW w:w="51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4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62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4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74"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0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7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12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1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597" w:hRule="atLeast"/>
        </w:trPr>
        <w:tc>
          <w:tcPr>
            <w:tcW w:w="51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4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62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4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7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0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7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12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1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597" w:hRule="atLeast"/>
        </w:trPr>
        <w:tc>
          <w:tcPr>
            <w:tcW w:w="51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4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62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4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7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0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7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12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1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612" w:hRule="atLeast"/>
        </w:trPr>
        <w:tc>
          <w:tcPr>
            <w:tcW w:w="51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14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62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74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751"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7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0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rPr>
            </w:pPr>
          </w:p>
        </w:tc>
        <w:tc>
          <w:tcPr>
            <w:tcW w:w="751"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rPr>
            </w:pPr>
          </w:p>
        </w:tc>
        <w:tc>
          <w:tcPr>
            <w:tcW w:w="112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71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r>
    </w:tbl>
    <w:p>
      <w:pPr>
        <w:spacing w:before="100" w:beforeAutospacing="1"/>
        <w:rPr>
          <w:rFonts w:ascii="仿宋" w:hAnsi="仿宋" w:eastAsia="仿宋" w:cs="仿宋"/>
          <w:b/>
        </w:rPr>
      </w:pPr>
      <w:r>
        <w:rPr>
          <w:rFonts w:hint="eastAsia" w:ascii="仿宋" w:hAnsi="仿宋" w:eastAsia="仿宋" w:cs="仿宋"/>
          <w:b/>
        </w:rPr>
        <w:t>要求：</w:t>
      </w:r>
    </w:p>
    <w:p>
      <w:pPr>
        <w:ind w:firstLine="420" w:firstLineChars="200"/>
        <w:rPr>
          <w:rFonts w:ascii="仿宋" w:hAnsi="仿宋" w:eastAsia="仿宋" w:cs="仿宋"/>
        </w:rPr>
      </w:pPr>
      <w:r>
        <w:rPr>
          <w:rFonts w:hint="eastAsia" w:ascii="仿宋" w:hAnsi="仿宋" w:eastAsia="仿宋" w:cs="仿宋"/>
        </w:rPr>
        <w:t>1.在填写时，如本表格不适合投标单位的实际情况，可根据本表格式自行划表填写。</w:t>
      </w:r>
    </w:p>
    <w:p>
      <w:pPr>
        <w:ind w:firstLine="420" w:firstLineChars="200"/>
        <w:rPr>
          <w:rFonts w:ascii="仿宋" w:hAnsi="仿宋" w:eastAsia="仿宋" w:cs="仿宋"/>
        </w:rPr>
      </w:pPr>
      <w:r>
        <w:rPr>
          <w:rFonts w:hint="eastAsia" w:ascii="仿宋" w:hAnsi="仿宋" w:eastAsia="仿宋" w:cs="仿宋"/>
        </w:rPr>
        <w:t>2.</w:t>
      </w:r>
      <w:r>
        <w:rPr>
          <w:rFonts w:hint="eastAsia" w:ascii="仿宋" w:hAnsi="仿宋" w:eastAsia="仿宋" w:cs="仿宋"/>
          <w:b/>
        </w:rPr>
        <w:t>需附人员学历证书、专业证书、职称证书、投标人为其缴纳的近3个月社保证明等相关证明材料扫描件。</w:t>
      </w:r>
    </w:p>
    <w:p>
      <w:pPr>
        <w:rPr>
          <w:rFonts w:ascii="仿宋" w:hAnsi="仿宋" w:eastAsia="仿宋" w:cs="仿宋"/>
        </w:rPr>
      </w:pPr>
    </w:p>
    <w:p>
      <w:pPr>
        <w:rPr>
          <w:rFonts w:ascii="仿宋" w:hAnsi="仿宋" w:eastAsia="仿宋" w:cs="仿宋"/>
        </w:rPr>
      </w:pPr>
      <w:r>
        <w:rPr>
          <w:rFonts w:hint="eastAsia" w:ascii="仿宋" w:hAnsi="仿宋" w:eastAsia="仿宋" w:cs="仿宋"/>
        </w:rPr>
        <w:t>供应商名称（盖章）：</w:t>
      </w:r>
    </w:p>
    <w:p>
      <w:pPr>
        <w:rPr>
          <w:rFonts w:ascii="仿宋" w:hAnsi="仿宋" w:eastAsia="仿宋" w:cs="仿宋"/>
        </w:rPr>
      </w:pPr>
      <w:r>
        <w:rPr>
          <w:rFonts w:hint="eastAsia" w:ascii="仿宋" w:hAnsi="仿宋" w:eastAsia="仿宋" w:cs="仿宋"/>
        </w:rPr>
        <w:t>供应商代表（签字或盖章）：</w:t>
      </w:r>
    </w:p>
    <w:p>
      <w:pPr>
        <w:rPr>
          <w:rFonts w:ascii="仿宋" w:hAnsi="仿宋" w:eastAsia="仿宋" w:cs="仿宋"/>
        </w:rPr>
      </w:pPr>
      <w:r>
        <w:rPr>
          <w:rFonts w:hint="eastAsia" w:ascii="仿宋" w:hAnsi="仿宋" w:eastAsia="仿宋" w:cs="仿宋"/>
        </w:rPr>
        <w:t>日期：年月日</w:t>
      </w:r>
    </w:p>
    <w:p>
      <w:pPr>
        <w:ind w:right="-590" w:rightChars="-281" w:firstLine="1249" w:firstLineChars="595"/>
        <w:outlineLvl w:val="2"/>
        <w:rPr>
          <w:rFonts w:ascii="仿宋" w:hAnsi="仿宋" w:eastAsia="仿宋" w:cs="仿宋"/>
          <w:b/>
          <w:kern w:val="0"/>
          <w:sz w:val="32"/>
          <w:szCs w:val="32"/>
        </w:rPr>
      </w:pPr>
      <w:r>
        <w:rPr>
          <w:rFonts w:hint="eastAsia" w:ascii="仿宋" w:hAnsi="仿宋" w:eastAsia="仿宋" w:cs="仿宋"/>
        </w:rPr>
        <w:br w:type="page"/>
      </w:r>
      <w:r>
        <w:rPr>
          <w:rFonts w:hint="eastAsia" w:ascii="仿宋" w:hAnsi="仿宋" w:eastAsia="仿宋" w:cs="仿宋"/>
          <w:b/>
          <w:sz w:val="32"/>
          <w:szCs w:val="32"/>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ind w:left="-420" w:leftChars="-200" w:firstLine="420" w:firstLineChars="175"/>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420" w:leftChars="-20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420" w:leftChars="-20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420" w:leftChars="-20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420" w:leftChars="-20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420" w:leftChars="-20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20" w:leftChars="-20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ind w:left="-420" w:leftChars="-20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20" w:leftChars="-20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ind w:left="-420" w:leftChars="-20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left="-420" w:leftChars="-20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420" w:leftChars="-200" w:firstLine="420" w:firstLineChars="175"/>
        <w:jc w:val="left"/>
        <w:rPr>
          <w:rFonts w:ascii="仿宋" w:hAnsi="仿宋" w:eastAsia="仿宋" w:cs="仿宋"/>
          <w:kern w:val="0"/>
          <w:sz w:val="24"/>
          <w:lang w:val="zh-CN"/>
        </w:rPr>
      </w:pPr>
    </w:p>
    <w:p>
      <w:pPr>
        <w:autoSpaceDE w:val="0"/>
        <w:autoSpaceDN w:val="0"/>
        <w:spacing w:line="360" w:lineRule="auto"/>
        <w:ind w:left="-420" w:leftChars="-200" w:firstLine="420" w:firstLineChars="175"/>
        <w:jc w:val="left"/>
        <w:rPr>
          <w:rFonts w:ascii="仿宋" w:hAnsi="仿宋" w:eastAsia="仿宋" w:cs="仿宋"/>
          <w:kern w:val="0"/>
          <w:sz w:val="24"/>
          <w:lang w:val="zh-CN"/>
        </w:rPr>
      </w:pPr>
    </w:p>
    <w:p>
      <w:pPr>
        <w:autoSpaceDE w:val="0"/>
        <w:autoSpaceDN w:val="0"/>
        <w:spacing w:line="360" w:lineRule="auto"/>
        <w:ind w:left="-420" w:leftChars="-200" w:firstLine="420" w:firstLineChars="175"/>
        <w:jc w:val="left"/>
        <w:rPr>
          <w:rFonts w:ascii="仿宋" w:hAnsi="仿宋" w:eastAsia="仿宋" w:cs="仿宋"/>
          <w:kern w:val="0"/>
          <w:sz w:val="24"/>
          <w:lang w:val="zh-CN"/>
        </w:rPr>
      </w:pPr>
    </w:p>
    <w:p>
      <w:pPr>
        <w:autoSpaceDE w:val="0"/>
        <w:autoSpaceDN w:val="0"/>
        <w:spacing w:line="360" w:lineRule="auto"/>
        <w:ind w:left="-420" w:leftChars="-200" w:right="112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盖章</w:t>
      </w:r>
      <w:r>
        <w:rPr>
          <w:rFonts w:hint="eastAsia" w:ascii="仿宋" w:hAnsi="仿宋" w:eastAsia="仿宋" w:cs="仿宋"/>
          <w:kern w:val="0"/>
          <w:sz w:val="24"/>
          <w:lang w:val="zh-CN"/>
        </w:rPr>
        <w:t xml:space="preserve">）：                                                                                                                                                                                                               </w:t>
      </w:r>
    </w:p>
    <w:p>
      <w:pPr>
        <w:spacing w:line="360" w:lineRule="auto"/>
        <w:ind w:left="-420" w:leftChars="-200" w:firstLine="420" w:firstLineChars="175"/>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rPr>
          <w:rFonts w:ascii="仿宋" w:hAnsi="仿宋" w:eastAsia="仿宋" w:cs="仿宋"/>
        </w:rPr>
      </w:pPr>
      <w:bookmarkStart w:id="89" w:name="_Toc465665161"/>
    </w:p>
    <w:bookmarkEnd w:id="84"/>
    <w:bookmarkEnd w:id="85"/>
    <w:bookmarkEnd w:id="86"/>
    <w:bookmarkEnd w:id="89"/>
    <w:p>
      <w:pPr>
        <w:pStyle w:val="53"/>
        <w:widowControl w:val="0"/>
        <w:snapToGrid w:val="0"/>
        <w:spacing w:line="440" w:lineRule="exact"/>
        <w:ind w:right="480" w:firstLine="4830" w:firstLineChars="2300"/>
        <w:rPr>
          <w:rFonts w:hAnsi="宋体"/>
        </w:rPr>
      </w:pPr>
    </w:p>
    <w:sectPr>
      <w:headerReference r:id="rId14" w:type="default"/>
      <w:footerReference r:id="rId15" w:type="default"/>
      <w:pgSz w:w="11906" w:h="16838"/>
      <w:pgMar w:top="1440" w:right="12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iragino Sans GB W3">
    <w:altName w:val="Noto Sans SC"/>
    <w:panose1 w:val="00000000000000000000"/>
    <w:charset w:val="80"/>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jc w:val="center"/>
                          </w:pPr>
                          <w:r>
                            <w:fldChar w:fldCharType="begin"/>
                          </w:r>
                          <w:r>
                            <w:instrText xml:space="preserve"> PAGE  \* MERGEFORMAT </w:instrText>
                          </w:r>
                          <w:r>
                            <w:fldChar w:fldCharType="separate"/>
                          </w:r>
                          <w:r>
                            <w:t>- 56 -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t>- 56 -</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jc w:val="center"/>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t>- 52 -</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fldChar w:fldCharType="begin"/>
                          </w:r>
                          <w:r>
                            <w:instrText xml:space="preserve">PAGE   \* MERGEFORMAT</w:instrText>
                          </w:r>
                          <w:r>
                            <w:fldChar w:fldCharType="separate"/>
                          </w:r>
                          <w:r>
                            <w:rPr>
                              <w:lang w:val="zh-CN"/>
                            </w:rPr>
                            <w:t>53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53</w:t>
                    </w:r>
                    <w:r>
                      <w:rPr>
                        <w:lang w:val="zh-CN"/>
                      </w:rPr>
                      <w:fldChar w:fldCharType="end"/>
                    </w:r>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right="-313" w:rightChars="-149"/>
      <w:jc w:val="left"/>
      <w:rPr>
        <w:rFonts w:hint="eastAsia" w:ascii="仿宋" w:hAnsi="仿宋" w:eastAsia="仿宋" w:cs="仿宋"/>
      </w:rPr>
    </w:pPr>
    <w:r>
      <w:drawing>
        <wp:inline distT="0" distB="0" distL="114300" distR="114300">
          <wp:extent cx="545465" cy="432435"/>
          <wp:effectExtent l="0" t="0" r="6985" b="571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ascii="黑体" w:hAnsi="黑体" w:eastAsia="黑体" w:cs="黑体"/>
        <w:b/>
        <w:bCs/>
      </w:rPr>
      <w:t xml:space="preserve"> </w:t>
    </w:r>
    <w:r>
      <w:rPr>
        <w:rFonts w:hint="eastAsia" w:ascii="黑体" w:hAnsi="黑体" w:eastAsia="黑体" w:cs="黑体"/>
        <w:b/>
        <w:bCs/>
      </w:rPr>
      <w:t xml:space="preserve"> </w:t>
    </w:r>
    <w:r>
      <w:rPr>
        <w:rFonts w:ascii="黑体" w:hAnsi="黑体" w:eastAsia="黑体" w:cs="黑体"/>
        <w:b/>
        <w:bCs/>
      </w:rPr>
      <w:t xml:space="preserve">           </w:t>
    </w:r>
    <w:r>
      <w:rPr>
        <w:rFonts w:hint="eastAsia" w:ascii="黑体" w:hAnsi="黑体" w:eastAsia="黑体" w:cs="黑体"/>
        <w:b/>
        <w:bCs/>
      </w:rPr>
      <w:t xml:space="preserve">             </w:t>
    </w:r>
    <w:r>
      <w:rPr>
        <w:rFonts w:hint="eastAsia" w:ascii="仿宋" w:hAnsi="仿宋" w:eastAsia="仿宋" w:cs="仿宋"/>
        <w:lang w:eastAsia="zh-CN"/>
      </w:rPr>
      <w:t>2025-2026学年市直属学校校方责任保险项目</w:t>
    </w:r>
    <w:r>
      <w:rPr>
        <w:rFonts w:hint="eastAsia" w:ascii="仿宋" w:hAnsi="仿宋" w:eastAsia="仿宋" w:cs="仿宋"/>
      </w:rPr>
      <w:t>招标文件</w:t>
    </w:r>
    <w:r>
      <w:rPr>
        <w:rFonts w:hint="eastAsia" w:ascii="仿宋" w:hAnsi="仿宋" w:eastAsia="仿宋" w:cs="仿宋"/>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right="-313" w:rightChars="-149"/>
      <w:jc w:val="left"/>
      <w:rPr>
        <w:rFonts w:hint="eastAsia" w:ascii="仿宋" w:hAnsi="仿宋" w:eastAsia="仿宋" w:cs="仿宋"/>
      </w:rPr>
    </w:pPr>
    <w:r>
      <w:drawing>
        <wp:inline distT="0" distB="0" distL="114300" distR="114300">
          <wp:extent cx="545465" cy="432435"/>
          <wp:effectExtent l="0" t="0" r="698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ascii="黑体" w:hAnsi="黑体" w:eastAsia="黑体" w:cs="黑体"/>
        <w:b/>
        <w:bCs/>
      </w:rPr>
      <w:t xml:space="preserve"> </w:t>
    </w:r>
    <w:r>
      <w:rPr>
        <w:rFonts w:hint="eastAsia" w:ascii="黑体" w:hAnsi="黑体" w:eastAsia="黑体" w:cs="黑体"/>
        <w:b/>
        <w:bCs/>
      </w:rPr>
      <w:t xml:space="preserve"> </w:t>
    </w:r>
    <w:r>
      <w:rPr>
        <w:rFonts w:ascii="黑体" w:hAnsi="黑体" w:eastAsia="黑体" w:cs="黑体"/>
        <w:b/>
        <w:bCs/>
      </w:rPr>
      <w:t xml:space="preserve">           </w:t>
    </w:r>
    <w:r>
      <w:rPr>
        <w:rFonts w:hint="eastAsia" w:ascii="黑体" w:hAnsi="黑体" w:eastAsia="黑体" w:cs="黑体"/>
        <w:b/>
        <w:bCs/>
      </w:rPr>
      <w:t xml:space="preserve">             </w:t>
    </w:r>
    <w:r>
      <w:rPr>
        <w:rFonts w:hint="eastAsia" w:ascii="仿宋" w:hAnsi="仿宋" w:eastAsia="仿宋" w:cs="仿宋"/>
        <w:lang w:eastAsia="zh-CN"/>
      </w:rPr>
      <w:t>2025-2026学年市直属学校校方责任保险项目</w:t>
    </w:r>
    <w:r>
      <w:rPr>
        <w:rFonts w:hint="eastAsia" w:ascii="仿宋" w:hAnsi="仿宋" w:eastAsia="仿宋" w:cs="仿宋"/>
      </w:rPr>
      <w:t>招标文件</w:t>
    </w:r>
    <w:r>
      <w:rPr>
        <w:rFonts w:hint="eastAsia" w:ascii="仿宋" w:hAnsi="仿宋" w:eastAsia="仿宋" w:cs="仿宋"/>
        <w:b/>
        <w:bC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5BE35"/>
    <w:multiLevelType w:val="multilevel"/>
    <w:tmpl w:val="9735BE3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EAA2535C"/>
    <w:multiLevelType w:val="singleLevel"/>
    <w:tmpl w:val="EAA2535C"/>
    <w:lvl w:ilvl="0" w:tentative="0">
      <w:start w:val="1"/>
      <w:numFmt w:val="decimal"/>
      <w:lvlText w:val="%1."/>
      <w:lvlJc w:val="left"/>
      <w:pPr>
        <w:ind w:left="425" w:hanging="425"/>
      </w:pPr>
      <w:rPr>
        <w:rFonts w:hint="default"/>
      </w:rPr>
    </w:lvl>
  </w:abstractNum>
  <w:abstractNum w:abstractNumId="2">
    <w:nsid w:val="00000013"/>
    <w:multiLevelType w:val="multilevel"/>
    <w:tmpl w:val="00000013"/>
    <w:lvl w:ilvl="0" w:tentative="0">
      <w:start w:val="1"/>
      <w:numFmt w:val="decimal"/>
      <w:pStyle w:val="43"/>
      <w:lvlText w:val="%1、"/>
      <w:lvlJc w:val="left"/>
      <w:pPr>
        <w:ind w:left="720" w:hanging="720"/>
      </w:pPr>
      <w:rPr>
        <w:rFonts w:hint="default"/>
      </w:rPr>
    </w:lvl>
    <w:lvl w:ilvl="1" w:tentative="0">
      <w:start w:val="1"/>
      <w:numFmt w:val="decimal"/>
      <w:pStyle w:val="45"/>
      <w:lvlText w:val="（%2）"/>
      <w:lvlJc w:val="left"/>
      <w:pPr>
        <w:ind w:left="0" w:firstLine="0"/>
      </w:pPr>
      <w:rPr>
        <w:rFonts w:hint="default"/>
      </w:rPr>
    </w:lvl>
    <w:lvl w:ilvl="2" w:tentative="0">
      <w:start w:val="1"/>
      <w:numFmt w:val="decimal"/>
      <w:pStyle w:val="46"/>
      <w:suff w:val="space"/>
      <w:lvlText w:val="%1.%2.%3"/>
      <w:lvlJc w:val="left"/>
      <w:pPr>
        <w:ind w:left="0" w:firstLine="0"/>
      </w:pPr>
      <w:rPr>
        <w:rFonts w:hint="eastAsia"/>
      </w:rPr>
    </w:lvl>
    <w:lvl w:ilvl="3" w:tentative="0">
      <w:start w:val="1"/>
      <w:numFmt w:val="decimal"/>
      <w:pStyle w:val="47"/>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3">
    <w:nsid w:val="0AED374C"/>
    <w:multiLevelType w:val="singleLevel"/>
    <w:tmpl w:val="0AED374C"/>
    <w:lvl w:ilvl="0" w:tentative="0">
      <w:start w:val="1"/>
      <w:numFmt w:val="decimal"/>
      <w:lvlText w:val="%1."/>
      <w:lvlJc w:val="left"/>
      <w:pPr>
        <w:ind w:left="425" w:hanging="425"/>
      </w:pPr>
      <w:rPr>
        <w:rFonts w:hint="default"/>
      </w:rPr>
    </w:lvl>
  </w:abstractNum>
  <w:abstractNum w:abstractNumId="4">
    <w:nsid w:val="124A4504"/>
    <w:multiLevelType w:val="multilevel"/>
    <w:tmpl w:val="124A45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8CAEE7"/>
    <w:multiLevelType w:val="multilevel"/>
    <w:tmpl w:val="218CAEE7"/>
    <w:lvl w:ilvl="0" w:tentative="0">
      <w:start w:val="2"/>
      <w:numFmt w:val="decimal"/>
      <w:lvlText w:val="%1."/>
      <w:lvlJc w:val="left"/>
      <w:pPr>
        <w:ind w:left="425" w:hanging="425"/>
      </w:pPr>
      <w:rPr>
        <w:rFonts w:hint="default"/>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2E1E5FF2"/>
    <w:multiLevelType w:val="singleLevel"/>
    <w:tmpl w:val="2E1E5FF2"/>
    <w:lvl w:ilvl="0" w:tentative="0">
      <w:start w:val="6"/>
      <w:numFmt w:val="chineseCounting"/>
      <w:suff w:val="nothing"/>
      <w:lvlText w:val="%1、"/>
      <w:lvlJc w:val="left"/>
      <w:rPr>
        <w:rFonts w:hint="eastAsia"/>
      </w:rPr>
    </w:lvl>
  </w:abstractNum>
  <w:abstractNum w:abstractNumId="7">
    <w:nsid w:val="4FC1CE00"/>
    <w:multiLevelType w:val="singleLevel"/>
    <w:tmpl w:val="4FC1CE00"/>
    <w:lvl w:ilvl="0" w:tentative="0">
      <w:start w:val="1"/>
      <w:numFmt w:val="decimalEnclosedCircleChinese"/>
      <w:suff w:val="nothing"/>
      <w:lvlText w:val="%1　"/>
      <w:lvlJc w:val="left"/>
      <w:pPr>
        <w:ind w:left="0" w:firstLine="400"/>
      </w:pPr>
      <w:rPr>
        <w:rFonts w:hint="eastAsia"/>
      </w:rPr>
    </w:lvl>
  </w:abstractNum>
  <w:abstractNum w:abstractNumId="8">
    <w:nsid w:val="599289EC"/>
    <w:multiLevelType w:val="singleLevel"/>
    <w:tmpl w:val="599289EC"/>
    <w:lvl w:ilvl="0" w:tentative="0">
      <w:start w:val="1"/>
      <w:numFmt w:val="decimal"/>
      <w:lvlText w:val="%1."/>
      <w:lvlJc w:val="left"/>
      <w:pPr>
        <w:ind w:left="425" w:hanging="425"/>
      </w:pPr>
      <w:rPr>
        <w:rFonts w:hint="default"/>
      </w:rPr>
    </w:lvl>
  </w:abstractNum>
  <w:abstractNum w:abstractNumId="9">
    <w:nsid w:val="59B0A89C"/>
    <w:multiLevelType w:val="singleLevel"/>
    <w:tmpl w:val="59B0A89C"/>
    <w:lvl w:ilvl="0" w:tentative="0">
      <w:start w:val="5"/>
      <w:numFmt w:val="chineseCounting"/>
      <w:suff w:val="nothing"/>
      <w:lvlText w:val="（%1）"/>
      <w:lvlJc w:val="left"/>
    </w:lvl>
  </w:abstractNum>
  <w:abstractNum w:abstractNumId="10">
    <w:nsid w:val="7000007C"/>
    <w:multiLevelType w:val="singleLevel"/>
    <w:tmpl w:val="7000007C"/>
    <w:lvl w:ilvl="0" w:tentative="0">
      <w:start w:val="1"/>
      <w:numFmt w:val="decimal"/>
      <w:lvlText w:val="%1."/>
      <w:lvlJc w:val="left"/>
      <w:pPr>
        <w:ind w:left="425" w:hanging="425"/>
      </w:pPr>
      <w:rPr>
        <w:rFonts w:hint="default"/>
      </w:rPr>
    </w:lvl>
  </w:abstractNum>
  <w:abstractNum w:abstractNumId="11">
    <w:nsid w:val="79F4ABD9"/>
    <w:multiLevelType w:val="singleLevel"/>
    <w:tmpl w:val="79F4ABD9"/>
    <w:lvl w:ilvl="0" w:tentative="0">
      <w:start w:val="1"/>
      <w:numFmt w:val="chineseCounting"/>
      <w:suff w:val="space"/>
      <w:lvlText w:val="第%1章"/>
      <w:lvlJc w:val="left"/>
      <w:rPr>
        <w:rFonts w:hint="eastAsia"/>
      </w:rPr>
    </w:lvl>
  </w:abstractNum>
  <w:num w:numId="1">
    <w:abstractNumId w:val="2"/>
  </w:num>
  <w:num w:numId="2">
    <w:abstractNumId w:val="11"/>
  </w:num>
  <w:num w:numId="3">
    <w:abstractNumId w:val="7"/>
  </w:num>
  <w:num w:numId="4">
    <w:abstractNumId w:val="6"/>
  </w:num>
  <w:num w:numId="5">
    <w:abstractNumId w:val="3"/>
  </w:num>
  <w:num w:numId="6">
    <w:abstractNumId w:val="4"/>
  </w:num>
  <w:num w:numId="7">
    <w:abstractNumId w:val="8"/>
  </w:num>
  <w:num w:numId="8">
    <w:abstractNumId w:val="9"/>
  </w:num>
  <w:num w:numId="9">
    <w:abstractNumId w:val="1"/>
  </w:num>
  <w:num w:numId="10">
    <w:abstractNumId w:val="10"/>
  </w:num>
  <w:num w:numId="11">
    <w:abstractNumId w:val="0"/>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睡不醒">
    <w15:presenceInfo w15:providerId="WPS Office" w15:userId="2351537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3ZjBiNTRhNDBkZDEzYjI4MmJiNjIwNDUxM2NlMTIifQ=="/>
  </w:docVars>
  <w:rsids>
    <w:rsidRoot w:val="00A52A2B"/>
    <w:rsid w:val="00026440"/>
    <w:rsid w:val="00031B99"/>
    <w:rsid w:val="0009277C"/>
    <w:rsid w:val="000957B7"/>
    <w:rsid w:val="000B17E0"/>
    <w:rsid w:val="000D0B4F"/>
    <w:rsid w:val="000D6E0F"/>
    <w:rsid w:val="000D70A5"/>
    <w:rsid w:val="000E191A"/>
    <w:rsid w:val="001101A0"/>
    <w:rsid w:val="00111C27"/>
    <w:rsid w:val="001324C4"/>
    <w:rsid w:val="00155664"/>
    <w:rsid w:val="00171B04"/>
    <w:rsid w:val="00194701"/>
    <w:rsid w:val="001D7035"/>
    <w:rsid w:val="00211AA6"/>
    <w:rsid w:val="002250D1"/>
    <w:rsid w:val="00226365"/>
    <w:rsid w:val="002331EA"/>
    <w:rsid w:val="00234BBC"/>
    <w:rsid w:val="00241BD6"/>
    <w:rsid w:val="002574CC"/>
    <w:rsid w:val="002659FE"/>
    <w:rsid w:val="00282E18"/>
    <w:rsid w:val="002A1164"/>
    <w:rsid w:val="002A71F3"/>
    <w:rsid w:val="002F26ED"/>
    <w:rsid w:val="002F3317"/>
    <w:rsid w:val="00306249"/>
    <w:rsid w:val="00393B1B"/>
    <w:rsid w:val="003A30D8"/>
    <w:rsid w:val="003C09F2"/>
    <w:rsid w:val="003C5B82"/>
    <w:rsid w:val="00454BAE"/>
    <w:rsid w:val="00482A3C"/>
    <w:rsid w:val="00494726"/>
    <w:rsid w:val="004A5397"/>
    <w:rsid w:val="004F2E36"/>
    <w:rsid w:val="004F36C7"/>
    <w:rsid w:val="00517503"/>
    <w:rsid w:val="005222D7"/>
    <w:rsid w:val="0052501C"/>
    <w:rsid w:val="005334FB"/>
    <w:rsid w:val="00534D89"/>
    <w:rsid w:val="0054634C"/>
    <w:rsid w:val="0058036B"/>
    <w:rsid w:val="005A31C7"/>
    <w:rsid w:val="005C55BD"/>
    <w:rsid w:val="00606C0D"/>
    <w:rsid w:val="006078EC"/>
    <w:rsid w:val="00626FB4"/>
    <w:rsid w:val="0063087F"/>
    <w:rsid w:val="00651C29"/>
    <w:rsid w:val="00681A7B"/>
    <w:rsid w:val="006A4A88"/>
    <w:rsid w:val="006B2C0E"/>
    <w:rsid w:val="006B7FAF"/>
    <w:rsid w:val="00707D70"/>
    <w:rsid w:val="00750ABA"/>
    <w:rsid w:val="007546BC"/>
    <w:rsid w:val="007D36B0"/>
    <w:rsid w:val="007E5A8C"/>
    <w:rsid w:val="007E66D2"/>
    <w:rsid w:val="007F72E2"/>
    <w:rsid w:val="008130DB"/>
    <w:rsid w:val="00813867"/>
    <w:rsid w:val="00817B39"/>
    <w:rsid w:val="00840DC3"/>
    <w:rsid w:val="00846041"/>
    <w:rsid w:val="00867A37"/>
    <w:rsid w:val="00872ABF"/>
    <w:rsid w:val="00872DC9"/>
    <w:rsid w:val="008877A8"/>
    <w:rsid w:val="00891487"/>
    <w:rsid w:val="008914B5"/>
    <w:rsid w:val="008A0F30"/>
    <w:rsid w:val="008A139C"/>
    <w:rsid w:val="008A494F"/>
    <w:rsid w:val="008D6BF8"/>
    <w:rsid w:val="008E0C00"/>
    <w:rsid w:val="009066DF"/>
    <w:rsid w:val="00956FDE"/>
    <w:rsid w:val="009674FB"/>
    <w:rsid w:val="00977076"/>
    <w:rsid w:val="00994C1F"/>
    <w:rsid w:val="009C1268"/>
    <w:rsid w:val="009C483A"/>
    <w:rsid w:val="009C65C8"/>
    <w:rsid w:val="00A00374"/>
    <w:rsid w:val="00A10E6F"/>
    <w:rsid w:val="00A52A2B"/>
    <w:rsid w:val="00A64CDD"/>
    <w:rsid w:val="00A72037"/>
    <w:rsid w:val="00A76001"/>
    <w:rsid w:val="00A92447"/>
    <w:rsid w:val="00A973D3"/>
    <w:rsid w:val="00AB13B6"/>
    <w:rsid w:val="00AB5836"/>
    <w:rsid w:val="00AC657E"/>
    <w:rsid w:val="00AE0ED5"/>
    <w:rsid w:val="00AE2EA7"/>
    <w:rsid w:val="00B17D3A"/>
    <w:rsid w:val="00B41D4E"/>
    <w:rsid w:val="00B5358D"/>
    <w:rsid w:val="00B72D47"/>
    <w:rsid w:val="00BA1B56"/>
    <w:rsid w:val="00BB16CB"/>
    <w:rsid w:val="00BB5858"/>
    <w:rsid w:val="00C53DC2"/>
    <w:rsid w:val="00C66DEF"/>
    <w:rsid w:val="00CD1222"/>
    <w:rsid w:val="00CD50A7"/>
    <w:rsid w:val="00D4537A"/>
    <w:rsid w:val="00D4685A"/>
    <w:rsid w:val="00D6044B"/>
    <w:rsid w:val="00D728FE"/>
    <w:rsid w:val="00D91FDD"/>
    <w:rsid w:val="00DB635A"/>
    <w:rsid w:val="00DD6637"/>
    <w:rsid w:val="00E102B4"/>
    <w:rsid w:val="00EA7281"/>
    <w:rsid w:val="00EE37CB"/>
    <w:rsid w:val="00EF4ED0"/>
    <w:rsid w:val="00F01368"/>
    <w:rsid w:val="00F6225D"/>
    <w:rsid w:val="00F6614A"/>
    <w:rsid w:val="00F87097"/>
    <w:rsid w:val="00FB4B7B"/>
    <w:rsid w:val="019F3600"/>
    <w:rsid w:val="03D97633"/>
    <w:rsid w:val="040774C5"/>
    <w:rsid w:val="04CD61FB"/>
    <w:rsid w:val="073C7E19"/>
    <w:rsid w:val="09FE29B2"/>
    <w:rsid w:val="0A0009B5"/>
    <w:rsid w:val="0A073F5D"/>
    <w:rsid w:val="0A6B7B83"/>
    <w:rsid w:val="0A9F06D7"/>
    <w:rsid w:val="0AC55102"/>
    <w:rsid w:val="0BD065D0"/>
    <w:rsid w:val="0C3101D7"/>
    <w:rsid w:val="0FD146C5"/>
    <w:rsid w:val="120C22E9"/>
    <w:rsid w:val="12AA17D1"/>
    <w:rsid w:val="132124FF"/>
    <w:rsid w:val="13242C67"/>
    <w:rsid w:val="13761EC4"/>
    <w:rsid w:val="15853F88"/>
    <w:rsid w:val="15FE5C6E"/>
    <w:rsid w:val="18C20755"/>
    <w:rsid w:val="1929663B"/>
    <w:rsid w:val="1A84553A"/>
    <w:rsid w:val="1AA42B3E"/>
    <w:rsid w:val="1B5E59A7"/>
    <w:rsid w:val="1DA44F6D"/>
    <w:rsid w:val="1DB23924"/>
    <w:rsid w:val="1E4548A2"/>
    <w:rsid w:val="1EC33DEB"/>
    <w:rsid w:val="203473AD"/>
    <w:rsid w:val="20A239F9"/>
    <w:rsid w:val="213729DC"/>
    <w:rsid w:val="21EA74EC"/>
    <w:rsid w:val="223E340B"/>
    <w:rsid w:val="239A0EB0"/>
    <w:rsid w:val="24253DA5"/>
    <w:rsid w:val="24B77FC9"/>
    <w:rsid w:val="26665B24"/>
    <w:rsid w:val="272A0E33"/>
    <w:rsid w:val="288602EB"/>
    <w:rsid w:val="28A013AD"/>
    <w:rsid w:val="2A7E4E79"/>
    <w:rsid w:val="2D322AC7"/>
    <w:rsid w:val="2DB11323"/>
    <w:rsid w:val="2E610E9F"/>
    <w:rsid w:val="2F0106CB"/>
    <w:rsid w:val="2F5243F4"/>
    <w:rsid w:val="30125627"/>
    <w:rsid w:val="30645ED2"/>
    <w:rsid w:val="33353039"/>
    <w:rsid w:val="354D466A"/>
    <w:rsid w:val="375F417A"/>
    <w:rsid w:val="37C66D2B"/>
    <w:rsid w:val="386940A0"/>
    <w:rsid w:val="3A16647B"/>
    <w:rsid w:val="3A59760D"/>
    <w:rsid w:val="3A5E1F81"/>
    <w:rsid w:val="3A9219FF"/>
    <w:rsid w:val="3AAD4F1A"/>
    <w:rsid w:val="3AAE384A"/>
    <w:rsid w:val="3BDE567D"/>
    <w:rsid w:val="3C5C33E5"/>
    <w:rsid w:val="3CC9127B"/>
    <w:rsid w:val="3CEF2A0C"/>
    <w:rsid w:val="3F1E2BD3"/>
    <w:rsid w:val="3F7E2669"/>
    <w:rsid w:val="409E3FCC"/>
    <w:rsid w:val="40BD408B"/>
    <w:rsid w:val="41425723"/>
    <w:rsid w:val="419A0651"/>
    <w:rsid w:val="41E53E7C"/>
    <w:rsid w:val="4256790B"/>
    <w:rsid w:val="43601A0D"/>
    <w:rsid w:val="43981983"/>
    <w:rsid w:val="46C468D6"/>
    <w:rsid w:val="470603E8"/>
    <w:rsid w:val="48380F1E"/>
    <w:rsid w:val="4A0218F2"/>
    <w:rsid w:val="4BBE0DEB"/>
    <w:rsid w:val="4C8C3872"/>
    <w:rsid w:val="4D255E8C"/>
    <w:rsid w:val="4DCD0E43"/>
    <w:rsid w:val="4ECE219A"/>
    <w:rsid w:val="5048760B"/>
    <w:rsid w:val="50974594"/>
    <w:rsid w:val="52354064"/>
    <w:rsid w:val="529945F3"/>
    <w:rsid w:val="538519B3"/>
    <w:rsid w:val="54FE2A13"/>
    <w:rsid w:val="56440D1A"/>
    <w:rsid w:val="564F19CD"/>
    <w:rsid w:val="57C33EC0"/>
    <w:rsid w:val="5C4C6B7A"/>
    <w:rsid w:val="5E7D284A"/>
    <w:rsid w:val="5EF01A3F"/>
    <w:rsid w:val="600F4147"/>
    <w:rsid w:val="60367925"/>
    <w:rsid w:val="60E257D2"/>
    <w:rsid w:val="61CF67D4"/>
    <w:rsid w:val="62A4325A"/>
    <w:rsid w:val="637C52FF"/>
    <w:rsid w:val="640E5ED0"/>
    <w:rsid w:val="64322AF9"/>
    <w:rsid w:val="64DE471F"/>
    <w:rsid w:val="677B7E4F"/>
    <w:rsid w:val="67827E04"/>
    <w:rsid w:val="678E4FC0"/>
    <w:rsid w:val="682D2446"/>
    <w:rsid w:val="68D0643D"/>
    <w:rsid w:val="69756720"/>
    <w:rsid w:val="6C0905E4"/>
    <w:rsid w:val="6F267215"/>
    <w:rsid w:val="6F7A512A"/>
    <w:rsid w:val="701910D4"/>
    <w:rsid w:val="7057477D"/>
    <w:rsid w:val="70B86EE7"/>
    <w:rsid w:val="70C816AF"/>
    <w:rsid w:val="70DF2014"/>
    <w:rsid w:val="71357785"/>
    <w:rsid w:val="731815D1"/>
    <w:rsid w:val="737361D5"/>
    <w:rsid w:val="744B3225"/>
    <w:rsid w:val="74AA2238"/>
    <w:rsid w:val="754C32EF"/>
    <w:rsid w:val="75FC43D5"/>
    <w:rsid w:val="768D0F4C"/>
    <w:rsid w:val="76AB5501"/>
    <w:rsid w:val="76DB492B"/>
    <w:rsid w:val="76F34C21"/>
    <w:rsid w:val="78434E7D"/>
    <w:rsid w:val="78C40462"/>
    <w:rsid w:val="792B7102"/>
    <w:rsid w:val="7BF95704"/>
    <w:rsid w:val="7C4E233E"/>
    <w:rsid w:val="7C8C4D0F"/>
    <w:rsid w:val="7C915CC3"/>
    <w:rsid w:val="7FCE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5"/>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link w:val="41"/>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qFormat/>
    <w:uiPriority w:val="0"/>
    <w:pPr>
      <w:keepNext/>
      <w:keepLines/>
      <w:jc w:val="left"/>
      <w:outlineLvl w:val="4"/>
    </w:pPr>
    <w:rPr>
      <w:b/>
      <w:bCs/>
      <w:sz w:val="28"/>
      <w:szCs w:val="28"/>
    </w:rPr>
  </w:style>
  <w:style w:type="paragraph" w:styleId="9">
    <w:name w:val="heading 6"/>
    <w:basedOn w:val="1"/>
    <w:next w:val="1"/>
    <w:qFormat/>
    <w:uiPriority w:val="0"/>
    <w:pPr>
      <w:keepNext/>
      <w:keepLines/>
      <w:spacing w:beforeLines="50" w:afterLines="50"/>
      <w:jc w:val="left"/>
      <w:outlineLvl w:val="5"/>
    </w:pPr>
    <w:rPr>
      <w:rFonts w:ascii="Calibri Light" w:hAnsi="Calibri Light"/>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5">
    <w:name w:val="Normal Indent"/>
    <w:basedOn w:val="1"/>
    <w:next w:val="1"/>
    <w:qFormat/>
    <w:uiPriority w:val="0"/>
    <w:pPr>
      <w:adjustRightInd w:val="0"/>
      <w:ind w:firstLine="420"/>
      <w:jc w:val="left"/>
      <w:textAlignment w:val="baseline"/>
    </w:pPr>
    <w:rPr>
      <w:rFonts w:eastAsia="楷体_GB2312"/>
      <w:sz w:val="24"/>
      <w:szCs w:val="20"/>
    </w:rPr>
  </w:style>
  <w:style w:type="paragraph" w:styleId="10">
    <w:name w:val="annotation text"/>
    <w:basedOn w:val="1"/>
    <w:link w:val="57"/>
    <w:semiHidden/>
    <w:unhideWhenUsed/>
    <w:qFormat/>
    <w:uiPriority w:val="0"/>
    <w:pPr>
      <w:jc w:val="left"/>
    </w:pPr>
  </w:style>
  <w:style w:type="paragraph" w:styleId="11">
    <w:name w:val="Body Text"/>
    <w:basedOn w:val="1"/>
    <w:next w:val="12"/>
    <w:link w:val="56"/>
    <w:qFormat/>
    <w:uiPriority w:val="99"/>
    <w:pPr>
      <w:spacing w:line="360" w:lineRule="exact"/>
    </w:pPr>
    <w:rPr>
      <w:sz w:val="24"/>
    </w:rPr>
  </w:style>
  <w:style w:type="paragraph" w:styleId="12">
    <w:name w:val="Body Text First Indent"/>
    <w:basedOn w:val="11"/>
    <w:next w:val="1"/>
    <w:qFormat/>
    <w:uiPriority w:val="99"/>
    <w:pPr>
      <w:widowControl/>
      <w:spacing w:after="120" w:line="240" w:lineRule="auto"/>
      <w:ind w:firstLine="420" w:firstLineChars="100"/>
      <w:jc w:val="left"/>
    </w:pPr>
    <w:rPr>
      <w:color w:val="000000"/>
      <w:spacing w:val="12"/>
      <w:kern w:val="0"/>
      <w:sz w:val="28"/>
      <w:szCs w:val="20"/>
    </w:rPr>
  </w:style>
  <w:style w:type="paragraph" w:styleId="13">
    <w:name w:val="Body Text Indent"/>
    <w:basedOn w:val="1"/>
    <w:next w:val="1"/>
    <w:qFormat/>
    <w:uiPriority w:val="0"/>
    <w:pPr>
      <w:spacing w:after="120"/>
      <w:ind w:left="420" w:leftChars="200"/>
    </w:pPr>
    <w:rPr>
      <w:szCs w:val="21"/>
    </w:rPr>
  </w:style>
  <w:style w:type="paragraph" w:styleId="14">
    <w:name w:val="Plain Text"/>
    <w:basedOn w:val="1"/>
    <w:next w:val="15"/>
    <w:qFormat/>
    <w:uiPriority w:val="0"/>
    <w:rPr>
      <w:rFonts w:ascii="Copperplate Gothic Bold" w:eastAsia="Copperplate Gothic Bold" w:cs="Calibri"/>
      <w:szCs w:val="21"/>
    </w:rPr>
  </w:style>
  <w:style w:type="paragraph" w:styleId="15">
    <w:name w:val="Date"/>
    <w:basedOn w:val="1"/>
    <w:next w:val="1"/>
    <w:qFormat/>
    <w:uiPriority w:val="0"/>
  </w:style>
  <w:style w:type="paragraph" w:styleId="16">
    <w:name w:val="Body Text Indent 2"/>
    <w:basedOn w:val="1"/>
    <w:qFormat/>
    <w:uiPriority w:val="0"/>
    <w:pPr>
      <w:spacing w:after="120" w:line="480" w:lineRule="auto"/>
      <w:ind w:left="200" w:leftChars="200"/>
    </w:p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rPr>
      <w:szCs w:val="21"/>
    </w:rPr>
  </w:style>
  <w:style w:type="paragraph" w:styleId="20">
    <w:name w:val="toc 6"/>
    <w:basedOn w:val="1"/>
    <w:next w:val="1"/>
    <w:qFormat/>
    <w:uiPriority w:val="39"/>
    <w:pPr>
      <w:widowControl/>
      <w:ind w:left="2100" w:leftChars="1000"/>
      <w:jc w:val="left"/>
    </w:pPr>
    <w:rPr>
      <w:rFonts w:ascii="宋体" w:hAnsi="宋体"/>
      <w:kern w:val="0"/>
      <w:sz w:val="24"/>
    </w:rPr>
  </w:style>
  <w:style w:type="paragraph" w:styleId="21">
    <w:name w:val="Body Text Indent 3"/>
    <w:basedOn w:val="1"/>
    <w:qFormat/>
    <w:uiPriority w:val="0"/>
    <w:pPr>
      <w:spacing w:line="500" w:lineRule="exact"/>
      <w:ind w:firstLine="480"/>
    </w:pPr>
    <w:rPr>
      <w:b/>
    </w:rPr>
  </w:style>
  <w:style w:type="paragraph" w:styleId="22">
    <w:name w:val="table of figures"/>
    <w:basedOn w:val="1"/>
    <w:next w:val="1"/>
    <w:qFormat/>
    <w:uiPriority w:val="0"/>
    <w:pPr>
      <w:ind w:left="200" w:leftChars="200" w:hanging="200" w:hangingChars="200"/>
    </w:pPr>
  </w:style>
  <w:style w:type="paragraph" w:styleId="23">
    <w:name w:val="Normal (Web)"/>
    <w:basedOn w:val="1"/>
    <w:qFormat/>
    <w:uiPriority w:val="99"/>
    <w:pPr>
      <w:spacing w:before="100" w:beforeAutospacing="1" w:after="100" w:afterAutospacing="1"/>
    </w:pPr>
  </w:style>
  <w:style w:type="paragraph" w:styleId="24">
    <w:name w:val="annotation subject"/>
    <w:basedOn w:val="10"/>
    <w:next w:val="10"/>
    <w:link w:val="58"/>
    <w:semiHidden/>
    <w:unhideWhenUsed/>
    <w:qFormat/>
    <w:uiPriority w:val="0"/>
    <w:rPr>
      <w:b/>
      <w:bCs/>
    </w:rPr>
  </w:style>
  <w:style w:type="paragraph" w:styleId="25">
    <w:name w:val="Body Text First Indent 2"/>
    <w:basedOn w:val="13"/>
    <w:next w:val="1"/>
    <w:qFormat/>
    <w:uiPriority w:val="0"/>
    <w:pPr>
      <w:ind w:firstLine="420" w:firstLineChars="200"/>
    </w:p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annotation reference"/>
    <w:basedOn w:val="28"/>
    <w:semiHidden/>
    <w:unhideWhenUsed/>
    <w:qFormat/>
    <w:uiPriority w:val="0"/>
    <w:rPr>
      <w:sz w:val="21"/>
      <w:szCs w:val="21"/>
    </w:rPr>
  </w:style>
  <w:style w:type="paragraph" w:customStyle="1" w:styleId="3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2">
    <w:name w:val="Default"/>
    <w:next w:val="22"/>
    <w:qFormat/>
    <w:uiPriority w:val="0"/>
    <w:pPr>
      <w:widowControl w:val="0"/>
      <w:autoSpaceDE w:val="0"/>
      <w:autoSpaceDN w:val="0"/>
      <w:adjustRightInd w:val="0"/>
    </w:pPr>
    <w:rPr>
      <w:rFonts w:ascii="华文行楷" w:hAnsi="Times New Roman" w:eastAsia="华文行楷" w:cs="华文行楷"/>
      <w:color w:val="000000"/>
      <w:sz w:val="24"/>
      <w:szCs w:val="24"/>
      <w:lang w:val="en-US" w:eastAsia="zh-CN" w:bidi="ar-SA"/>
    </w:rPr>
  </w:style>
  <w:style w:type="character" w:customStyle="1" w:styleId="33">
    <w:name w:val="font11"/>
    <w:basedOn w:val="28"/>
    <w:qFormat/>
    <w:uiPriority w:val="0"/>
    <w:rPr>
      <w:rFonts w:ascii="微软雅黑" w:hAnsi="微软雅黑" w:eastAsia="微软雅黑" w:cs="微软雅黑"/>
      <w:color w:val="000000"/>
      <w:sz w:val="22"/>
      <w:szCs w:val="22"/>
      <w:u w:val="none"/>
    </w:rPr>
  </w:style>
  <w:style w:type="character" w:customStyle="1" w:styleId="34">
    <w:name w:val="font01"/>
    <w:basedOn w:val="28"/>
    <w:qFormat/>
    <w:uiPriority w:val="0"/>
    <w:rPr>
      <w:rFonts w:hint="eastAsia" w:ascii="宋体" w:hAnsi="宋体" w:eastAsia="宋体" w:cs="宋体"/>
      <w:color w:val="000000"/>
      <w:sz w:val="22"/>
      <w:szCs w:val="22"/>
      <w:u w:val="none"/>
    </w:rPr>
  </w:style>
  <w:style w:type="paragraph" w:customStyle="1" w:styleId="35">
    <w:name w:val="*正文"/>
    <w:basedOn w:val="1"/>
    <w:qFormat/>
    <w:uiPriority w:val="0"/>
    <w:pPr>
      <w:widowControl/>
      <w:spacing w:line="300" w:lineRule="auto"/>
      <w:ind w:firstLine="480"/>
      <w:jc w:val="left"/>
    </w:pPr>
    <w:rPr>
      <w:rFonts w:ascii="宋体" w:hAnsi="宋体" w:cs="仿宋_GB2312"/>
      <w:kern w:val="0"/>
      <w:sz w:val="24"/>
    </w:rPr>
  </w:style>
  <w:style w:type="paragraph" w:styleId="36">
    <w:name w:val="List Paragraph"/>
    <w:basedOn w:val="1"/>
    <w:qFormat/>
    <w:uiPriority w:val="34"/>
    <w:pPr>
      <w:ind w:left="220" w:firstLine="483"/>
    </w:pPr>
    <w:rPr>
      <w:rFonts w:ascii="宋体" w:hAnsi="宋体"/>
      <w:lang w:val="zh-CN" w:bidi="zh-CN"/>
    </w:rPr>
  </w:style>
  <w:style w:type="paragraph" w:customStyle="1" w:styleId="37">
    <w:name w:val="彩色列表 - 强调文字颜色 12"/>
    <w:basedOn w:val="1"/>
    <w:qFormat/>
    <w:uiPriority w:val="34"/>
    <w:pPr>
      <w:ind w:left="720"/>
      <w:contextualSpacing/>
    </w:pPr>
  </w:style>
  <w:style w:type="paragraph" w:customStyle="1" w:styleId="38">
    <w:name w:val="列出段落1"/>
    <w:basedOn w:val="1"/>
    <w:qFormat/>
    <w:uiPriority w:val="99"/>
    <w:pPr>
      <w:ind w:firstLine="420" w:firstLineChars="200"/>
    </w:pPr>
  </w:style>
  <w:style w:type="paragraph" w:customStyle="1" w:styleId="39">
    <w:name w:val="样式 首行缩进:  0.74 厘米"/>
    <w:basedOn w:val="1"/>
    <w:qFormat/>
    <w:uiPriority w:val="0"/>
    <w:pPr>
      <w:ind w:firstLine="420"/>
    </w:pPr>
    <w:rPr>
      <w:rFonts w:ascii="Arial" w:hAnsi="Arial" w:eastAsia="仿宋_GB2312" w:cs="Arial"/>
      <w:bCs/>
      <w:sz w:val="28"/>
      <w:szCs w:val="28"/>
    </w:rPr>
  </w:style>
  <w:style w:type="character" w:customStyle="1" w:styleId="40">
    <w:name w:val="x11"/>
    <w:basedOn w:val="28"/>
    <w:qFormat/>
    <w:uiPriority w:val="0"/>
  </w:style>
  <w:style w:type="character" w:customStyle="1" w:styleId="41">
    <w:name w:val="标题 4 字符"/>
    <w:basedOn w:val="28"/>
    <w:link w:val="7"/>
    <w:qFormat/>
    <w:uiPriority w:val="0"/>
    <w:rPr>
      <w:rFonts w:ascii="Arial" w:hAnsi="Arial" w:eastAsia="黑体"/>
      <w:b/>
      <w:sz w:val="28"/>
    </w:rPr>
  </w:style>
  <w:style w:type="paragraph" w:customStyle="1" w:styleId="42">
    <w:name w:val="正文（培训）"/>
    <w:basedOn w:val="1"/>
    <w:qFormat/>
    <w:uiPriority w:val="0"/>
    <w:pPr>
      <w:adjustRightInd w:val="0"/>
      <w:snapToGrid w:val="0"/>
      <w:spacing w:line="360" w:lineRule="auto"/>
      <w:ind w:firstLine="440"/>
    </w:pPr>
    <w:rPr>
      <w:rFonts w:ascii="Hiragino Sans GB W3" w:hAnsi="Hiragino Sans GB W3" w:eastAsia="Hiragino Sans GB W3"/>
      <w:szCs w:val="28"/>
    </w:rPr>
  </w:style>
  <w:style w:type="paragraph" w:customStyle="1" w:styleId="43">
    <w:name w:val="@标题 1"/>
    <w:next w:val="44"/>
    <w:qFormat/>
    <w:uiPriority w:val="0"/>
    <w:pPr>
      <w:keepNext/>
      <w:numPr>
        <w:ilvl w:val="0"/>
        <w:numId w:val="1"/>
      </w:numPr>
      <w:outlineLvl w:val="0"/>
    </w:pPr>
    <w:rPr>
      <w:rFonts w:ascii="Calibri" w:hAnsi="Calibri" w:eastAsia="宋体" w:cs="Times New Roman"/>
      <w:b/>
      <w:kern w:val="2"/>
      <w:sz w:val="32"/>
      <w:szCs w:val="22"/>
      <w:lang w:val="en-US" w:eastAsia="zh-CN" w:bidi="ar-SA"/>
    </w:rPr>
  </w:style>
  <w:style w:type="paragraph" w:customStyle="1" w:styleId="44">
    <w:name w:val="@@正文"/>
    <w:qFormat/>
    <w:uiPriority w:val="0"/>
    <w:pPr>
      <w:ind w:firstLine="200" w:firstLineChars="200"/>
    </w:pPr>
    <w:rPr>
      <w:rFonts w:ascii="Calibri" w:hAnsi="Calibri" w:eastAsia="宋体" w:cs="Times New Roman"/>
      <w:kern w:val="2"/>
      <w:sz w:val="28"/>
      <w:szCs w:val="22"/>
      <w:lang w:val="en-US" w:eastAsia="zh-CN" w:bidi="ar-SA"/>
    </w:rPr>
  </w:style>
  <w:style w:type="paragraph" w:customStyle="1" w:styleId="45">
    <w:name w:val="@标题 2"/>
    <w:next w:val="44"/>
    <w:qFormat/>
    <w:uiPriority w:val="0"/>
    <w:pPr>
      <w:keepNext/>
      <w:numPr>
        <w:ilvl w:val="1"/>
        <w:numId w:val="1"/>
      </w:numPr>
      <w:outlineLvl w:val="1"/>
    </w:pPr>
    <w:rPr>
      <w:rFonts w:ascii="Calibri" w:hAnsi="Calibri" w:eastAsia="宋体" w:cs="Times New Roman"/>
      <w:b/>
      <w:kern w:val="2"/>
      <w:sz w:val="30"/>
      <w:szCs w:val="22"/>
      <w:lang w:val="en-US" w:eastAsia="zh-CN" w:bidi="ar-SA"/>
    </w:rPr>
  </w:style>
  <w:style w:type="paragraph" w:customStyle="1" w:styleId="46">
    <w:name w:val="@标题 3"/>
    <w:next w:val="44"/>
    <w:qFormat/>
    <w:uiPriority w:val="0"/>
    <w:pPr>
      <w:keepNext/>
      <w:numPr>
        <w:ilvl w:val="2"/>
        <w:numId w:val="1"/>
      </w:numPr>
      <w:outlineLvl w:val="2"/>
    </w:pPr>
    <w:rPr>
      <w:rFonts w:ascii="Calibri" w:hAnsi="Calibri" w:eastAsia="宋体" w:cs="Times New Roman"/>
      <w:b/>
      <w:kern w:val="2"/>
      <w:sz w:val="28"/>
      <w:szCs w:val="22"/>
      <w:lang w:val="en-US" w:eastAsia="zh-CN" w:bidi="ar-SA"/>
    </w:rPr>
  </w:style>
  <w:style w:type="paragraph" w:customStyle="1" w:styleId="47">
    <w:name w:val="@标题 4"/>
    <w:next w:val="44"/>
    <w:qFormat/>
    <w:uiPriority w:val="0"/>
    <w:pPr>
      <w:keepNext/>
      <w:numPr>
        <w:ilvl w:val="3"/>
        <w:numId w:val="1"/>
      </w:numPr>
      <w:outlineLvl w:val="3"/>
    </w:pPr>
    <w:rPr>
      <w:rFonts w:ascii="Calibri" w:hAnsi="Calibri" w:eastAsia="宋体" w:cs="Times New Roman"/>
      <w:b/>
      <w:kern w:val="2"/>
      <w:sz w:val="28"/>
      <w:szCs w:val="22"/>
      <w:lang w:val="en-US" w:eastAsia="zh-CN" w:bidi="ar-SA"/>
    </w:rPr>
  </w:style>
  <w:style w:type="character" w:customStyle="1" w:styleId="48">
    <w:name w:val="font31"/>
    <w:basedOn w:val="28"/>
    <w:qFormat/>
    <w:uiPriority w:val="0"/>
    <w:rPr>
      <w:rFonts w:hint="eastAsia" w:ascii="宋体" w:hAnsi="宋体" w:eastAsia="宋体" w:cs="宋体"/>
      <w:color w:val="000000"/>
      <w:sz w:val="24"/>
      <w:szCs w:val="24"/>
      <w:u w:val="none"/>
    </w:rPr>
  </w:style>
  <w:style w:type="character" w:customStyle="1" w:styleId="49">
    <w:name w:val="font41"/>
    <w:basedOn w:val="28"/>
    <w:qFormat/>
    <w:uiPriority w:val="0"/>
    <w:rPr>
      <w:rFonts w:hint="eastAsia" w:ascii="宋体" w:hAnsi="宋体" w:eastAsia="宋体" w:cs="宋体"/>
      <w:color w:val="000000"/>
      <w:sz w:val="24"/>
      <w:szCs w:val="24"/>
      <w:u w:val="none"/>
    </w:rPr>
  </w:style>
  <w:style w:type="paragraph" w:customStyle="1" w:styleId="50">
    <w:name w:val="修订1"/>
    <w:qFormat/>
    <w:uiPriority w:val="99"/>
    <w:rPr>
      <w:rFonts w:ascii="Calibri" w:hAnsi="Calibri" w:eastAsia="宋体" w:cs="宋体"/>
      <w:kern w:val="2"/>
      <w:sz w:val="21"/>
      <w:szCs w:val="22"/>
      <w:lang w:val="en-US" w:eastAsia="zh-CN" w:bidi="ar-SA"/>
    </w:rPr>
  </w:style>
  <w:style w:type="paragraph" w:customStyle="1" w:styleId="51">
    <w:name w:val="Revision_3ffbd680-ef6d-47fd-a37c-0d2dc3b78711"/>
    <w:qFormat/>
    <w:uiPriority w:val="99"/>
    <w:rPr>
      <w:rFonts w:ascii="Calibri" w:hAnsi="Calibri" w:eastAsia="宋体" w:cs="宋体"/>
      <w:kern w:val="2"/>
      <w:sz w:val="21"/>
      <w:szCs w:val="22"/>
      <w:lang w:val="en-US" w:eastAsia="zh-CN" w:bidi="ar-SA"/>
    </w:rPr>
  </w:style>
  <w:style w:type="character" w:customStyle="1" w:styleId="52">
    <w:name w:val="页眉 字符"/>
    <w:basedOn w:val="28"/>
    <w:link w:val="18"/>
    <w:qFormat/>
    <w:uiPriority w:val="0"/>
    <w:rPr>
      <w:rFonts w:ascii="Calibri" w:hAnsi="Calibri" w:cs="宋体"/>
      <w:kern w:val="2"/>
      <w:sz w:val="18"/>
      <w:szCs w:val="18"/>
    </w:rPr>
  </w:style>
  <w:style w:type="paragraph" w:customStyle="1" w:styleId="53">
    <w:name w:val="纯文本1"/>
    <w:basedOn w:val="54"/>
    <w:qFormat/>
    <w:uiPriority w:val="99"/>
    <w:pPr>
      <w:jc w:val="left"/>
    </w:pPr>
    <w:rPr>
      <w:rFonts w:ascii="宋体" w:hAnsi="Courier New" w:cs="宋体"/>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修订2"/>
    <w:hidden/>
    <w:semiHidden/>
    <w:qFormat/>
    <w:uiPriority w:val="99"/>
    <w:rPr>
      <w:rFonts w:ascii="Calibri" w:hAnsi="Calibri" w:eastAsia="宋体" w:cs="宋体"/>
      <w:kern w:val="2"/>
      <w:sz w:val="21"/>
      <w:szCs w:val="22"/>
      <w:lang w:val="en-US" w:eastAsia="zh-CN" w:bidi="ar-SA"/>
    </w:rPr>
  </w:style>
  <w:style w:type="character" w:customStyle="1" w:styleId="56">
    <w:name w:val="正文文本 字符"/>
    <w:basedOn w:val="28"/>
    <w:link w:val="11"/>
    <w:qFormat/>
    <w:uiPriority w:val="99"/>
    <w:rPr>
      <w:rFonts w:ascii="Calibri" w:hAnsi="Calibri" w:cs="宋体"/>
      <w:kern w:val="2"/>
      <w:sz w:val="24"/>
      <w:szCs w:val="22"/>
    </w:rPr>
  </w:style>
  <w:style w:type="character" w:customStyle="1" w:styleId="57">
    <w:name w:val="批注文字 字符"/>
    <w:basedOn w:val="28"/>
    <w:link w:val="10"/>
    <w:semiHidden/>
    <w:qFormat/>
    <w:uiPriority w:val="0"/>
    <w:rPr>
      <w:rFonts w:ascii="Calibri" w:hAnsi="Calibri" w:cs="宋体"/>
      <w:kern w:val="2"/>
      <w:sz w:val="21"/>
      <w:szCs w:val="22"/>
    </w:rPr>
  </w:style>
  <w:style w:type="character" w:customStyle="1" w:styleId="58">
    <w:name w:val="批注主题 字符"/>
    <w:basedOn w:val="57"/>
    <w:link w:val="24"/>
    <w:semiHidden/>
    <w:qFormat/>
    <w:uiPriority w:val="0"/>
    <w:rPr>
      <w:rFonts w:ascii="Calibri" w:hAnsi="Calibri" w:cs="宋体"/>
      <w:b/>
      <w:bCs/>
      <w:kern w:val="2"/>
      <w:sz w:val="21"/>
      <w:szCs w:val="22"/>
    </w:rPr>
  </w:style>
  <w:style w:type="character" w:customStyle="1" w:styleId="59">
    <w:name w:val="apple-style-span"/>
    <w:basedOn w:val="28"/>
    <w:qFormat/>
    <w:uiPriority w:val="0"/>
  </w:style>
  <w:style w:type="paragraph" w:customStyle="1" w:styleId="60">
    <w:name w:val="??¡§???¡§????¨¬?¡§¡§??¡§?o??????¨¬?¡§¡§?"/>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1">
    <w:name w:val="NormalCharacter"/>
    <w:semiHidden/>
    <w:qFormat/>
    <w:uiPriority w:val="0"/>
  </w:style>
  <w:style w:type="paragraph" w:customStyle="1" w:styleId="62">
    <w:name w:val="纯文本_0_0"/>
    <w:basedOn w:val="63"/>
    <w:qFormat/>
    <w:uiPriority w:val="0"/>
    <w:rPr>
      <w:rFonts w:ascii="宋体" w:hAnsi="Courier New"/>
      <w:szCs w:val="21"/>
    </w:rPr>
  </w:style>
  <w:style w:type="paragraph" w:customStyle="1" w:styleId="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5">
    <w:name w:val="修订3"/>
    <w:hidden/>
    <w:unhideWhenUsed/>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1464</Words>
  <Characters>1688</Characters>
  <Lines>320</Lines>
  <Paragraphs>90</Paragraphs>
  <TotalTime>1</TotalTime>
  <ScaleCrop>false</ScaleCrop>
  <LinksUpToDate>false</LinksUpToDate>
  <CharactersWithSpaces>1747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2022-04-11T07:37:00Z</dcterms:created>
  <dc:creator>fei</dc:creator>
  <cp:lastModifiedBy>睡不醒</cp:lastModifiedBy>
  <dcterms:modified xsi:type="dcterms:W3CDTF">2025-07-17T08:09:19Z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359623483A7C4A058B2D5A48C71460C5_13</vt:lpwstr>
  </property>
  <property fmtid="{D5CDD505-2E9C-101B-9397-08002B2CF9AE}" pid="4" name="KSOTemplateDocerSaveRecord">
    <vt:lpwstr>eyJoZGlkIjoiMDkyNDc5MDNlNTZiMjIzYjZlMGFhOWFiZDQ1Mjc1YjMiLCJ1c2VySWQiOiIyNTI0ODM0NzEifQ==</vt:lpwstr>
  </property>
</Properties>
</file>