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autoSpaceDE w:val="0"/>
        <w:autoSpaceDN w:val="0"/>
        <w:adjustRightIn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一、招标项目一览表</w:t>
      </w:r>
    </w:p>
    <w:p>
      <w:pPr>
        <w:tabs>
          <w:tab w:val="left" w:pos="8280"/>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本次招标共</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1</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个标项，具体内容如下表：</w:t>
      </w:r>
    </w:p>
    <w:tbl>
      <w:tblPr>
        <w:tblStyle w:val="11"/>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71"/>
        <w:gridCol w:w="3993"/>
        <w:gridCol w:w="832"/>
        <w:gridCol w:w="79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689"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序号</w:t>
            </w:r>
          </w:p>
        </w:tc>
        <w:tc>
          <w:tcPr>
            <w:tcW w:w="4964" w:type="dxa"/>
            <w:gridSpan w:val="2"/>
            <w:vAlign w:val="center"/>
          </w:tcPr>
          <w:p>
            <w:pPr>
              <w:tabs>
                <w:tab w:val="left" w:pos="8280"/>
              </w:tabs>
              <w:autoSpaceDE w:val="0"/>
              <w:autoSpaceDN w:val="0"/>
              <w:adjustRightInd w:val="0"/>
              <w:ind w:right="25" w:firstLine="120" w:firstLineChar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832"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w:t>
            </w:r>
          </w:p>
        </w:tc>
        <w:tc>
          <w:tcPr>
            <w:tcW w:w="791" w:type="dxa"/>
            <w:vAlign w:val="center"/>
          </w:tcPr>
          <w:p>
            <w:pPr>
              <w:tabs>
                <w:tab w:val="left" w:pos="8280"/>
              </w:tabs>
              <w:autoSpaceDE w:val="0"/>
              <w:autoSpaceDN w:val="0"/>
              <w:adjustRightInd w:val="0"/>
              <w:ind w:right="2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单</w:t>
            </w:r>
            <w:r>
              <w:rPr>
                <w:rFonts w:hint="eastAsia" w:ascii="宋体" w:hAnsi="宋体" w:eastAsia="宋体" w:cs="宋体"/>
                <w:b/>
                <w:sz w:val="24"/>
                <w:szCs w:val="24"/>
                <w:highlight w:val="none"/>
              </w:rPr>
              <w:t>价预算/</w:t>
            </w:r>
            <w:r>
              <w:rPr>
                <w:rFonts w:hint="eastAsia" w:ascii="宋体" w:hAnsi="宋体" w:eastAsia="宋体" w:cs="宋体"/>
                <w:b/>
                <w:sz w:val="24"/>
                <w:szCs w:val="24"/>
                <w:highlight w:val="none"/>
                <w:lang w:val="en-US" w:eastAsia="zh-CN"/>
              </w:rPr>
              <w:t>单</w:t>
            </w:r>
            <w:r>
              <w:rPr>
                <w:rFonts w:hint="eastAsia" w:ascii="宋体" w:hAnsi="宋体" w:eastAsia="宋体" w:cs="宋体"/>
                <w:b/>
                <w:sz w:val="24"/>
                <w:szCs w:val="24"/>
                <w:highlight w:val="none"/>
              </w:rPr>
              <w:t>价最高限</w:t>
            </w:r>
            <w:r>
              <w:rPr>
                <w:rFonts w:hint="eastAsia" w:ascii="宋体" w:hAnsi="宋体" w:eastAsia="宋体" w:cs="宋体"/>
                <w:b/>
                <w:sz w:val="24"/>
                <w:szCs w:val="24"/>
                <w:highlight w:val="none"/>
                <w:lang w:eastAsia="zh-CN"/>
              </w:rPr>
              <w:t>价</w:t>
            </w:r>
          </w:p>
          <w:p>
            <w:pPr>
              <w:tabs>
                <w:tab w:val="left" w:pos="8280"/>
              </w:tabs>
              <w:autoSpaceDE w:val="0"/>
              <w:autoSpaceDN w:val="0"/>
              <w:adjustRightInd w:val="0"/>
              <w:ind w:right="25"/>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89" w:type="dxa"/>
            <w:vMerge w:val="restart"/>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971" w:type="dxa"/>
            <w:vMerge w:val="restart"/>
            <w:vAlign w:val="center"/>
          </w:tcPr>
          <w:p>
            <w:pPr>
              <w:tabs>
                <w:tab w:val="left" w:pos="180"/>
                <w:tab w:val="left" w:pos="360"/>
                <w:tab w:val="left" w:pos="540"/>
                <w:tab w:val="left" w:pos="8280"/>
              </w:tabs>
              <w:autoSpaceDE w:val="0"/>
              <w:autoSpaceDN w:val="0"/>
              <w:adjustRightInd w:val="0"/>
              <w:spacing w:before="312" w:beforeLines="100" w:line="360" w:lineRule="auto"/>
              <w:ind w:right="23"/>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环境质量监测及监测设备校准运维项目</w:t>
            </w: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新区范围内河道交接断面、月湖常规监测断面、涉水重点企业区域、工业园区、入海排口等监测</w:t>
            </w:r>
          </w:p>
        </w:tc>
        <w:tc>
          <w:tcPr>
            <w:tcW w:w="832"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91"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689"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1"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土壤重点监管单位土壤监测</w:t>
            </w:r>
          </w:p>
        </w:tc>
        <w:tc>
          <w:tcPr>
            <w:tcW w:w="832"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791"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89"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1"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土壤评审会</w:t>
            </w:r>
          </w:p>
        </w:tc>
        <w:tc>
          <w:tcPr>
            <w:tcW w:w="832"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p>
        </w:tc>
        <w:tc>
          <w:tcPr>
            <w:tcW w:w="791"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家</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89"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1"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重点污染源自动监控设备的计量检定或校准</w:t>
            </w:r>
          </w:p>
        </w:tc>
        <w:tc>
          <w:tcPr>
            <w:tcW w:w="832"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791"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89"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1"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道路空气微站、三甲街道空气质量监测站、黑烟抓拍、高空瞭望等共计25套设施设备运维</w:t>
            </w:r>
          </w:p>
        </w:tc>
        <w:tc>
          <w:tcPr>
            <w:tcW w:w="832"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791"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689"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71" w:type="dxa"/>
            <w:vMerge w:val="continue"/>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93"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宁静小区建设</w:t>
            </w:r>
          </w:p>
        </w:tc>
        <w:tc>
          <w:tcPr>
            <w:tcW w:w="832"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p>
        </w:tc>
        <w:tc>
          <w:tcPr>
            <w:tcW w:w="791" w:type="dxa"/>
            <w:shd w:val="clear" w:color="auto" w:fill="auto"/>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家</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276" w:type="dxa"/>
            <w:gridSpan w:val="5"/>
            <w:vAlign w:val="center"/>
          </w:tcPr>
          <w:p>
            <w:pPr>
              <w:tabs>
                <w:tab w:val="left" w:pos="8280"/>
              </w:tabs>
              <w:autoSpaceDE w:val="0"/>
              <w:autoSpaceDN w:val="0"/>
              <w:adjustRightInd w:val="0"/>
              <w:ind w:right="25"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p>
        </w:tc>
        <w:tc>
          <w:tcPr>
            <w:tcW w:w="1625"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tc>
      </w:tr>
    </w:tbl>
    <w:p>
      <w:pPr>
        <w:tabs>
          <w:tab w:val="left" w:pos="8280"/>
        </w:tabs>
        <w:autoSpaceDE w:val="0"/>
        <w:autoSpaceDN w:val="0"/>
        <w:adjustRightInd w:val="0"/>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二、技术需求</w:t>
      </w:r>
    </w:p>
    <w:p>
      <w:pPr>
        <w:snapToGrid w:val="0"/>
        <w:spacing w:line="360" w:lineRule="auto"/>
        <w:ind w:firstLine="480" w:firstLineChars="200"/>
        <w:rPr>
          <w:rFonts w:ascii="宋体" w:hAnsi="宋体"/>
          <w:sz w:val="24"/>
        </w:rPr>
      </w:pPr>
      <w:r>
        <w:rPr>
          <w:rFonts w:hint="eastAsia" w:ascii="宋体" w:hAnsi="宋体"/>
          <w:sz w:val="24"/>
        </w:rPr>
        <w:t>（一）项目背景</w:t>
      </w:r>
    </w:p>
    <w:p>
      <w:pPr>
        <w:snapToGrid w:val="0"/>
        <w:spacing w:line="360" w:lineRule="auto"/>
        <w:ind w:firstLine="480" w:firstLineChars="200"/>
        <w:rPr>
          <w:rFonts w:hint="eastAsia" w:ascii="宋体" w:hAnsi="宋体"/>
          <w:sz w:val="24"/>
        </w:rPr>
      </w:pPr>
      <w:r>
        <w:rPr>
          <w:rFonts w:hint="eastAsia" w:ascii="宋体" w:hAnsi="宋体"/>
          <w:sz w:val="24"/>
        </w:rPr>
        <w:t>根据《浙江省宁静小区建设管理办法（试行）》《2023年全市生态环境监测工作要点》、《土壤污染重点监管单位周边土壤环境监测技术指南（试行）》（总站土字〔2022〕226号）、《浙江省贯彻“十四五”生态环境监测规划实施方案》（浙环函〔2022〕49号）、《浙江省生态环境厅关于印发&lt;浙江省土壤和地下水环境质量监测网络建设方案&gt;的通知》以及《台州市生态环境局关于印发2023年生态环境监测计划的通知》等文件要求。</w:t>
      </w:r>
    </w:p>
    <w:p>
      <w:pPr>
        <w:snapToGrid w:val="0"/>
        <w:spacing w:line="360" w:lineRule="auto"/>
        <w:ind w:firstLine="480" w:firstLineChars="200"/>
        <w:rPr>
          <w:rFonts w:ascii="宋体" w:hAnsi="宋体"/>
          <w:sz w:val="24"/>
        </w:rPr>
      </w:pPr>
      <w:r>
        <w:rPr>
          <w:rFonts w:hint="eastAsia" w:ascii="宋体" w:hAnsi="宋体"/>
          <w:sz w:val="24"/>
        </w:rPr>
        <w:t>对重点污染源自动监控设备的计量检定或校准为新区环境治理提供数据技术支撑。动态掌握大气、水、噪声、土壤和固废等环境质量情况，为新区环境监管治理工作提供有力支撑和保障。</w:t>
      </w:r>
    </w:p>
    <w:p>
      <w:pPr>
        <w:snapToGrid w:val="0"/>
        <w:spacing w:line="360" w:lineRule="auto"/>
        <w:ind w:firstLine="480" w:firstLineChars="200"/>
        <w:rPr>
          <w:rFonts w:hint="eastAsia" w:ascii="宋体" w:hAnsi="宋体" w:eastAsia="宋体"/>
          <w:sz w:val="24"/>
          <w:lang w:eastAsia="zh-CN"/>
        </w:rPr>
      </w:pPr>
      <w:r>
        <w:rPr>
          <w:rFonts w:ascii="宋体" w:hAnsi="宋体"/>
          <w:sz w:val="24"/>
        </w:rPr>
        <w:t>（二）</w:t>
      </w:r>
      <w:r>
        <w:rPr>
          <w:rFonts w:hint="eastAsia" w:ascii="宋体" w:hAnsi="宋体"/>
          <w:sz w:val="24"/>
          <w:lang w:eastAsia="zh-CN"/>
        </w:rPr>
        <w:t>服务内容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开展新区河道交接断面、月湖常规监测断面、入海闸口等监测。对环境质量进行分析研判监测点位包括但不限于区域空气质量、河道、入海排口、管网等水环境质量，指标包括但不限于高锰酸盐指数、氨氮、总磷、pH、溶解氧等，具体数量和内容以招标方实际需求为准；如采购方有临时监测的需要，投标方应在约定时间内赶至现场进行采样监测工作，并配合招标方的工作需求。河道水质监测完成后，每2-3个月/次为周期编制水质分析报告供参考（按需调整），报告内容可包含水质监测结果、水质类别、原因分析等。本项目投标人自有或合作的检验检测机构需获得浙江省质量技术监督行政主管部门颁发《检验检测机构资质认定证书》。</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河道涉及的点位信息及指标如下（点位以招标方实际需求为准，可做调整）：</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1）检测指标：高锰酸盐指数、氨氮、总磷、pH、溶解氧</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检测频次：每月一次</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检测点位：对辖区112条河道按需设置不少于60个点位（按需调整）</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2）检测指标：水温、pH、高锰酸盐指数、化学需氧量、五日生化需氧量、氨氮、溶解氧、总磷、总氮、盐度、叶绿素、粪大肠菌群</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检测频次：每月一次</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检测点位：鲍浦河入月湖、甲南大道东段入月湖</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3）检测指标：pH值、氨氮、总磷、高锰酸盐指数</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检测频次：每月一次</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检测点位：北闸、中礁闸、婆屿闸</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4）检测指标：pH、溶解氧、总磷、氨氮、高锰酸盐指数、透明度</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检测频次：每月一次</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检测点位：各黑臭风险点位约20个点（按需调整）</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指标单价参考如下表（杭州市环境检测专业服务计费指导价）：</w:t>
      </w:r>
    </w:p>
    <w:tbl>
      <w:tblPr>
        <w:tblStyle w:val="12"/>
        <w:tblW w:w="7959"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160"/>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b/>
                <w:bCs/>
                <w:color w:val="000000"/>
                <w:sz w:val="24"/>
                <w:szCs w:val="24"/>
                <w:highlight w:val="none"/>
                <w:vertAlign w:val="baseline"/>
                <w:lang w:val="en-US" w:eastAsia="zh-CN"/>
              </w:rPr>
            </w:pPr>
            <w:r>
              <w:rPr>
                <w:rFonts w:hint="eastAsia" w:asciiTheme="minorEastAsia" w:hAnsiTheme="minorEastAsia" w:eastAsiaTheme="minorEastAsia" w:cstheme="minorEastAsia"/>
                <w:b/>
                <w:bCs/>
                <w:color w:val="000000"/>
                <w:sz w:val="24"/>
                <w:szCs w:val="24"/>
                <w:highlight w:val="none"/>
                <w:vertAlign w:val="baseline"/>
                <w:lang w:val="en-US" w:eastAsia="zh-CN"/>
              </w:rPr>
              <w:t>序号</w:t>
            </w:r>
          </w:p>
        </w:tc>
        <w:tc>
          <w:tcPr>
            <w:tcW w:w="4160" w:type="dxa"/>
          </w:tcPr>
          <w:p>
            <w:pPr>
              <w:pStyle w:val="2"/>
              <w:jc w:val="center"/>
              <w:rPr>
                <w:rFonts w:hint="default" w:asciiTheme="minorEastAsia" w:hAnsiTheme="minorEastAsia" w:eastAsiaTheme="minorEastAsia" w:cstheme="minorEastAsia"/>
                <w:b/>
                <w:bCs/>
                <w:color w:val="000000"/>
                <w:sz w:val="24"/>
                <w:szCs w:val="24"/>
                <w:highlight w:val="none"/>
                <w:vertAlign w:val="baseline"/>
                <w:lang w:val="en-US" w:eastAsia="zh-CN"/>
              </w:rPr>
            </w:pPr>
            <w:r>
              <w:rPr>
                <w:rFonts w:hint="eastAsia" w:asciiTheme="minorEastAsia" w:hAnsiTheme="minorEastAsia" w:eastAsiaTheme="minorEastAsia" w:cstheme="minorEastAsia"/>
                <w:b/>
                <w:bCs/>
                <w:color w:val="000000"/>
                <w:sz w:val="24"/>
                <w:szCs w:val="24"/>
                <w:highlight w:val="none"/>
                <w:vertAlign w:val="baseline"/>
                <w:lang w:val="en-US" w:eastAsia="zh-CN"/>
              </w:rPr>
              <w:t>检测指标</w:t>
            </w:r>
          </w:p>
        </w:tc>
        <w:tc>
          <w:tcPr>
            <w:tcW w:w="2365" w:type="dxa"/>
          </w:tcPr>
          <w:p>
            <w:pPr>
              <w:pStyle w:val="2"/>
              <w:jc w:val="center"/>
              <w:rPr>
                <w:rFonts w:hint="default" w:asciiTheme="minorEastAsia" w:hAnsiTheme="minorEastAsia" w:eastAsiaTheme="minorEastAsia" w:cstheme="minorEastAsia"/>
                <w:b/>
                <w:bCs/>
                <w:color w:val="000000"/>
                <w:sz w:val="24"/>
                <w:szCs w:val="24"/>
                <w:highlight w:val="none"/>
                <w:vertAlign w:val="baseline"/>
                <w:lang w:val="en-US" w:eastAsia="zh-CN"/>
              </w:rPr>
            </w:pPr>
            <w:r>
              <w:rPr>
                <w:rFonts w:hint="eastAsia" w:asciiTheme="minorEastAsia" w:hAnsiTheme="minorEastAsia" w:eastAsiaTheme="minorEastAsia" w:cstheme="minorEastAsia"/>
                <w:b/>
                <w:bCs/>
                <w:color w:val="000000"/>
                <w:sz w:val="24"/>
                <w:szCs w:val="24"/>
                <w:highlight w:val="none"/>
                <w:vertAlign w:val="baseline"/>
                <w:lang w:val="en-US" w:eastAsia="zh-CN"/>
              </w:rPr>
              <w:t>参考费用单价（元）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w:t>
            </w:r>
          </w:p>
        </w:tc>
        <w:tc>
          <w:tcPr>
            <w:tcW w:w="4160"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lang w:val="en-US" w:eastAsia="zh-CN"/>
              </w:rPr>
              <w:t>高锰酸盐指数</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2</w:t>
            </w:r>
          </w:p>
        </w:tc>
        <w:tc>
          <w:tcPr>
            <w:tcW w:w="4160"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lang w:val="en-US" w:eastAsia="zh-CN"/>
              </w:rPr>
              <w:t>氨氮</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3</w:t>
            </w:r>
          </w:p>
        </w:tc>
        <w:tc>
          <w:tcPr>
            <w:tcW w:w="4160"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lang w:val="en-US" w:eastAsia="zh-CN"/>
              </w:rPr>
              <w:t>总磷</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4</w:t>
            </w:r>
          </w:p>
        </w:tc>
        <w:tc>
          <w:tcPr>
            <w:tcW w:w="4160"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lang w:val="en-US" w:eastAsia="zh-CN"/>
              </w:rPr>
              <w:t>pH值</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5</w:t>
            </w:r>
          </w:p>
        </w:tc>
        <w:tc>
          <w:tcPr>
            <w:tcW w:w="4160"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lang w:val="en-US" w:eastAsia="zh-CN"/>
              </w:rPr>
              <w:t>溶解氧</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6</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化学需氧量</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7</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五日生化需氧量</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8</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总氮</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9</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盐度</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10</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叶绿素</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11</w:t>
            </w:r>
          </w:p>
        </w:tc>
        <w:tc>
          <w:tcPr>
            <w:tcW w:w="4160" w:type="dxa"/>
          </w:tcPr>
          <w:p>
            <w:pPr>
              <w:pStyle w:val="2"/>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粪大肠菌群</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12</w:t>
            </w:r>
          </w:p>
        </w:tc>
        <w:tc>
          <w:tcPr>
            <w:tcW w:w="4160" w:type="dxa"/>
          </w:tcPr>
          <w:p>
            <w:pPr>
              <w:pStyle w:val="2"/>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透明度</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13</w:t>
            </w:r>
          </w:p>
        </w:tc>
        <w:tc>
          <w:tcPr>
            <w:tcW w:w="4160" w:type="dxa"/>
          </w:tcPr>
          <w:p>
            <w:pPr>
              <w:pStyle w:val="2"/>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人工费用/人</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14</w:t>
            </w:r>
          </w:p>
        </w:tc>
        <w:tc>
          <w:tcPr>
            <w:tcW w:w="4160" w:type="dxa"/>
          </w:tcPr>
          <w:p>
            <w:pPr>
              <w:pStyle w:val="2"/>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车辆费用/辆</w:t>
            </w:r>
          </w:p>
        </w:tc>
        <w:tc>
          <w:tcPr>
            <w:tcW w:w="2365" w:type="dxa"/>
          </w:tcPr>
          <w:p>
            <w:pPr>
              <w:pStyle w:val="2"/>
              <w:jc w:val="center"/>
              <w:rPr>
                <w:rFonts w:hint="default" w:asciiTheme="minorEastAsia" w:hAnsiTheme="minorEastAsia" w:eastAsiaTheme="minorEastAsia" w:cstheme="minorEastAsia"/>
                <w:color w:val="000000"/>
                <w:sz w:val="24"/>
                <w:szCs w:val="24"/>
                <w:highlight w:val="none"/>
                <w:vertAlign w:val="baseline"/>
                <w:lang w:val="en-US" w:eastAsia="zh-CN"/>
              </w:rPr>
            </w:pPr>
            <w:r>
              <w:rPr>
                <w:rFonts w:hint="eastAsia" w:asciiTheme="minorEastAsia" w:hAnsiTheme="minorEastAsia" w:eastAsiaTheme="minorEastAsia" w:cstheme="minorEastAsia"/>
                <w:color w:val="000000"/>
                <w:sz w:val="24"/>
                <w:szCs w:val="24"/>
                <w:highlight w:val="none"/>
                <w:vertAlign w:val="baseline"/>
                <w:lang w:val="en-US" w:eastAsia="zh-CN"/>
              </w:rPr>
              <w:t>400</w:t>
            </w:r>
          </w:p>
        </w:tc>
      </w:tr>
    </w:tbl>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lang w:eastAsia="zh-CN"/>
        </w:rPr>
        <w:t>、</w:t>
      </w:r>
      <w:r>
        <w:rPr>
          <w:rFonts w:hint="eastAsia" w:ascii="宋体" w:hAnsi="宋体"/>
          <w:sz w:val="24"/>
        </w:rPr>
        <w:t>开展土壤重点监管单位周边风险点土壤监测</w:t>
      </w:r>
    </w:p>
    <w:p>
      <w:pPr>
        <w:snapToGrid w:val="0"/>
        <w:spacing w:line="360" w:lineRule="auto"/>
        <w:ind w:firstLine="480" w:firstLineChars="200"/>
        <w:rPr>
          <w:rFonts w:ascii="宋体" w:hAnsi="宋体"/>
          <w:sz w:val="24"/>
        </w:rPr>
      </w:pPr>
      <w:r>
        <w:rPr>
          <w:rFonts w:hint="eastAsia" w:ascii="宋体" w:hAnsi="宋体"/>
          <w:sz w:val="24"/>
        </w:rPr>
        <w:t>委托开展2025年2家土壤污染重点监管单位周边风险点位监测工作（两轮监测，丰水期和枯水期各一次），以及补充2023年5家、2024年3家土壤污染重点监管单位周边风险点位丰水期监测工作，包括资料收集、现场踏勘、污染识别及监测方案编制、点位现场核实和确定、土壤及地下水采样监测、土壤重点监管单位周边监测报告编制及评审等工作。</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3、实行</w:t>
      </w:r>
      <w:r>
        <w:rPr>
          <w:rFonts w:hint="default" w:ascii="宋体" w:hAnsi="宋体" w:eastAsia="宋体"/>
          <w:sz w:val="24"/>
          <w:lang w:val="en-US" w:eastAsia="zh-CN"/>
        </w:rPr>
        <w:t>建设用地报告技术审查</w:t>
      </w:r>
      <w:r>
        <w:rPr>
          <w:rFonts w:hint="eastAsia" w:ascii="宋体" w:hAnsi="宋体" w:eastAsia="宋体"/>
          <w:sz w:val="24"/>
          <w:lang w:val="en-US" w:eastAsia="zh-CN"/>
        </w:rPr>
        <w:t>4家。</w:t>
      </w:r>
    </w:p>
    <w:p>
      <w:pPr>
        <w:snapToGrid w:val="0"/>
        <w:spacing w:line="360" w:lineRule="auto"/>
        <w:ind w:firstLine="480" w:firstLineChars="200"/>
        <w:rPr>
          <w:rFonts w:hint="default" w:ascii="宋体" w:hAnsi="宋体" w:eastAsia="宋体"/>
          <w:sz w:val="24"/>
          <w:lang w:val="en-US" w:eastAsia="zh-CN"/>
        </w:rPr>
      </w:pPr>
      <w:r>
        <w:rPr>
          <w:rFonts w:hint="default" w:ascii="宋体" w:hAnsi="宋体" w:eastAsia="宋体"/>
          <w:sz w:val="24"/>
          <w:lang w:val="en-US" w:eastAsia="zh-CN"/>
        </w:rPr>
        <w:t>1</w:t>
      </w:r>
      <w:r>
        <w:rPr>
          <w:rFonts w:hint="eastAsia" w:ascii="宋体" w:hAnsi="宋体" w:eastAsia="宋体"/>
          <w:sz w:val="24"/>
          <w:lang w:val="en-US" w:eastAsia="zh-CN"/>
        </w:rPr>
        <w:t>）</w:t>
      </w:r>
      <w:r>
        <w:rPr>
          <w:rFonts w:hint="default" w:ascii="宋体" w:hAnsi="宋体" w:eastAsia="宋体"/>
          <w:sz w:val="24"/>
          <w:lang w:val="en-US" w:eastAsia="zh-CN"/>
        </w:rPr>
        <w:t>初审：接受采购方委托后，对提交的初步调查报告等申请材料是否齐全进行初审，对符合要求的申请材料在5个工作日内受理。申请材料不完整的，一次性告知需要补正的材料。不予受理的，说明不予受理的理由。</w:t>
      </w:r>
    </w:p>
    <w:p>
      <w:pPr>
        <w:snapToGrid w:val="0"/>
        <w:spacing w:line="360" w:lineRule="auto"/>
        <w:ind w:firstLine="480" w:firstLineChars="200"/>
        <w:rPr>
          <w:rFonts w:hint="default" w:ascii="宋体" w:hAnsi="宋体" w:eastAsia="宋体"/>
          <w:sz w:val="24"/>
          <w:lang w:val="en-US" w:eastAsia="zh-CN"/>
        </w:rPr>
      </w:pPr>
      <w:r>
        <w:rPr>
          <w:rFonts w:hint="default" w:ascii="宋体" w:hAnsi="宋体" w:eastAsia="宋体"/>
          <w:sz w:val="24"/>
          <w:lang w:val="en-US" w:eastAsia="zh-CN"/>
        </w:rPr>
        <w:t>2</w:t>
      </w:r>
      <w:r>
        <w:rPr>
          <w:rFonts w:hint="eastAsia" w:ascii="宋体" w:hAnsi="宋体" w:eastAsia="宋体"/>
          <w:sz w:val="24"/>
          <w:lang w:val="en-US" w:eastAsia="zh-CN"/>
        </w:rPr>
        <w:t>）</w:t>
      </w:r>
      <w:r>
        <w:rPr>
          <w:rFonts w:hint="default" w:ascii="宋体" w:hAnsi="宋体" w:eastAsia="宋体"/>
          <w:sz w:val="24"/>
          <w:lang w:val="en-US" w:eastAsia="zh-CN"/>
        </w:rPr>
        <w:t>评审：符合要求的材料在受理申请之日起5个工作日内，按照《浙江省生态环境厅关于启用“浙江省土壤污染防治专家库（试行版）”的通知》（浙环便函〔2019〕26号）的要求，选出专家，组织评审专家团队，并将报告及相关材料送达专家技术审查。</w:t>
      </w:r>
    </w:p>
    <w:p>
      <w:pPr>
        <w:snapToGrid w:val="0"/>
        <w:spacing w:line="360" w:lineRule="auto"/>
        <w:ind w:firstLine="480" w:firstLineChars="200"/>
        <w:rPr>
          <w:rFonts w:hint="default" w:ascii="宋体" w:hAnsi="宋体" w:eastAsia="宋体"/>
          <w:sz w:val="24"/>
          <w:lang w:val="en-US" w:eastAsia="zh-CN"/>
        </w:rPr>
      </w:pPr>
      <w:r>
        <w:rPr>
          <w:rFonts w:hint="default" w:ascii="宋体" w:hAnsi="宋体" w:eastAsia="宋体"/>
          <w:sz w:val="24"/>
          <w:lang w:val="en-US" w:eastAsia="zh-CN"/>
        </w:rPr>
        <w:t>评审会应会同同级自然资源和规划等部门（或专业机构）在受理申请之日起15个工作日内组织召开。</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3）</w:t>
      </w:r>
      <w:r>
        <w:rPr>
          <w:rFonts w:hint="default" w:ascii="宋体" w:hAnsi="宋体" w:eastAsia="宋体"/>
          <w:sz w:val="24"/>
          <w:lang w:val="en-US" w:eastAsia="zh-CN"/>
        </w:rPr>
        <w:t>技术审查意见：相关单位应对照专家评审意见修改完善报告，填写修改说明。技术审查单位负责对修改后的土壤污染状况调查报告进行复核，复核通过的，技术审查单位应于申请单位提交修改完善后报告之日起3个工作日内，向台州市生态环境局</w:t>
      </w:r>
      <w:r>
        <w:rPr>
          <w:rFonts w:hint="eastAsia" w:ascii="宋体" w:hAnsi="宋体" w:eastAsia="宋体"/>
          <w:sz w:val="24"/>
          <w:lang w:val="en-US" w:eastAsia="zh-CN"/>
        </w:rPr>
        <w:t>台州湾新区</w:t>
      </w:r>
      <w:r>
        <w:rPr>
          <w:rFonts w:hint="default" w:ascii="宋体" w:hAnsi="宋体" w:eastAsia="宋体"/>
          <w:sz w:val="24"/>
          <w:lang w:val="en-US" w:eastAsia="zh-CN"/>
        </w:rPr>
        <w:t>分局和同级自然资源规划部门出具书面技术审查意见。技术审查意见应包括地块概况、项目概况、对技术报告的总体评价和工作建议等内容，并提出“通过技术审查”、“移入或移出污染地块/疑似污染地块名录”等结论性建议。复核未通过的，相关单位应按程序重新复核。</w:t>
      </w:r>
    </w:p>
    <w:p>
      <w:pPr>
        <w:snapToGrid w:val="0"/>
        <w:spacing w:line="360" w:lineRule="auto"/>
        <w:ind w:firstLine="480" w:firstLineChars="200"/>
        <w:rPr>
          <w:rFonts w:hint="default" w:ascii="宋体" w:hAnsi="宋体" w:eastAsia="宋体"/>
          <w:sz w:val="24"/>
          <w:lang w:val="en-US" w:eastAsia="zh-CN"/>
        </w:rPr>
      </w:pPr>
      <w:r>
        <w:rPr>
          <w:rFonts w:hint="default" w:ascii="宋体" w:hAnsi="宋体" w:eastAsia="宋体"/>
          <w:sz w:val="24"/>
          <w:lang w:val="en-US" w:eastAsia="zh-CN"/>
        </w:rPr>
        <w:t>4</w:t>
      </w:r>
      <w:r>
        <w:rPr>
          <w:rFonts w:hint="eastAsia" w:ascii="宋体" w:hAnsi="宋体" w:eastAsia="宋体"/>
          <w:sz w:val="24"/>
          <w:lang w:val="en-US" w:eastAsia="zh-CN"/>
        </w:rPr>
        <w:t>）</w:t>
      </w:r>
      <w:r>
        <w:rPr>
          <w:rFonts w:hint="default" w:ascii="宋体" w:hAnsi="宋体" w:eastAsia="宋体"/>
          <w:sz w:val="24"/>
          <w:lang w:val="en-US" w:eastAsia="zh-CN"/>
        </w:rPr>
        <w:t>系统填报审核：委托方应对评审地块在浙里净土及全国建设用地土壤环境管理信息系统的填报情况进行审核，对信息填报错漏问题，应及时通知相关单位进行修改。</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4、开展重点污染源自动监控设备的计量检定或校准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1）服务范围</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①针对辖区内8家废水重点排污单位（8个监测点位）开展校准工作，指标包括化学需氧量、氨氮、总磷、总氮、六价铬和pH。</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②针对辖区内3家废气重点排污单位（3个监测点位）开展校准工作，指标包括二氧化硫、氮氧化物、颗粒物、含氧量及温度压力和流速等参数。</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2）项目要求</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①投标人在响应文件中提供的计量标准考核证书附件复印件加盖公章，要求附件中开展的检定或校准项目内容包含本次需检定或校准的项目。</w:t>
      </w:r>
    </w:p>
    <w:tbl>
      <w:tblPr>
        <w:tblStyle w:val="12"/>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093"/>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序号</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仪器名称</w:t>
            </w:r>
          </w:p>
        </w:tc>
        <w:tc>
          <w:tcPr>
            <w:tcW w:w="4101"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检定/校准所依据的规程名称及代号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w:t>
            </w:r>
          </w:p>
        </w:tc>
        <w:tc>
          <w:tcPr>
            <w:tcW w:w="7194" w:type="dxa"/>
            <w:gridSpan w:val="2"/>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废水排放连续监测系统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废水排放连续监测系统(化学需氧量)</w:t>
            </w:r>
          </w:p>
        </w:tc>
        <w:tc>
          <w:tcPr>
            <w:tcW w:w="4101"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JJG 1012-2019《化学需氧量（COD）在线自动监测仪检定规程》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废水排放连续监测系统(氨氮)</w:t>
            </w:r>
          </w:p>
        </w:tc>
        <w:tc>
          <w:tcPr>
            <w:tcW w:w="4101"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JJG 631-2013《氨氮自动监测仪检定规程》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废水排放连续监测系统(总磷)</w:t>
            </w:r>
          </w:p>
        </w:tc>
        <w:tc>
          <w:tcPr>
            <w:tcW w:w="4101" w:type="dxa"/>
            <w:vMerge w:val="restart"/>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JJG 1094-2013《总磷总氮水质在线分析仪检定规程》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废水排放连续监测系统(总氮)</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废水连续监测系统(pH)</w:t>
            </w:r>
          </w:p>
        </w:tc>
        <w:tc>
          <w:tcPr>
            <w:tcW w:w="4101"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JJF 1547-2015《在线pH计校准规范》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w:t>
            </w:r>
          </w:p>
        </w:tc>
        <w:tc>
          <w:tcPr>
            <w:tcW w:w="7194" w:type="dxa"/>
            <w:gridSpan w:val="2"/>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固定污染源烟气排放连续监测系统(二氧化硫)</w:t>
            </w:r>
          </w:p>
        </w:tc>
        <w:tc>
          <w:tcPr>
            <w:tcW w:w="4101" w:type="dxa"/>
            <w:vMerge w:val="restart"/>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JJF 1585-2016《固定污染源烟气排放连续监测系统校准规范》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固定污染源烟气排放连续监测系统(氮氧化物)</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固定污染源烟气排放连续监测系统(含氧量)</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固定污染源烟气排放连续监测系统(温度)</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固定污染源烟气排放连续监测系统(压力)</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8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309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固定污染源烟气排放连续监测系统(流速)</w:t>
            </w:r>
          </w:p>
        </w:tc>
        <w:tc>
          <w:tcPr>
            <w:tcW w:w="4101"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480" w:firstLineChars="200"/>
              <w:jc w:val="center"/>
              <w:textAlignment w:val="auto"/>
              <w:outlineLvl w:val="9"/>
              <w:rPr>
                <w:rFonts w:hint="eastAsia" w:ascii="宋体" w:hAnsi="宋体" w:eastAsia="宋体" w:cs="宋体"/>
                <w:color w:val="000000"/>
                <w:sz w:val="24"/>
                <w:szCs w:val="24"/>
                <w:highlight w:val="none"/>
                <w:lang w:val="en-US" w:eastAsia="zh-CN"/>
              </w:rPr>
            </w:pPr>
          </w:p>
        </w:tc>
      </w:tr>
    </w:tbl>
    <w:p>
      <w:pPr>
        <w:snapToGrid w:val="0"/>
        <w:spacing w:line="360" w:lineRule="auto"/>
        <w:rPr>
          <w:rFonts w:hint="eastAsia" w:ascii="宋体" w:hAnsi="宋体" w:eastAsia="宋体"/>
          <w:sz w:val="24"/>
          <w:lang w:val="en-US" w:eastAsia="zh-CN"/>
        </w:rPr>
      </w:pPr>
      <w:r>
        <w:rPr>
          <w:rFonts w:hint="eastAsia" w:ascii="宋体" w:hAnsi="宋体" w:eastAsia="宋体"/>
          <w:sz w:val="24"/>
          <w:lang w:val="en-US" w:eastAsia="zh-CN"/>
        </w:rPr>
        <w:t>注：a.具体需检定或校准的项目以实际为准；</w:t>
      </w:r>
    </w:p>
    <w:p>
      <w:pPr>
        <w:snapToGrid w:val="0"/>
        <w:spacing w:line="360" w:lineRule="auto"/>
        <w:rPr>
          <w:rFonts w:hint="eastAsia" w:ascii="宋体" w:hAnsi="宋体" w:eastAsia="宋体"/>
          <w:sz w:val="24"/>
          <w:lang w:val="en-US" w:eastAsia="zh-CN"/>
        </w:rPr>
      </w:pPr>
      <w:r>
        <w:rPr>
          <w:rFonts w:hint="eastAsia" w:ascii="宋体" w:hAnsi="宋体" w:eastAsia="宋体"/>
          <w:sz w:val="24"/>
          <w:lang w:val="en-US" w:eastAsia="zh-CN"/>
        </w:rPr>
        <w:t>b.除以上要求外，投标人须保证完成上级交办的考核任务。</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②投标人需建立现代企业管理体制，具有完善的质量手册和程序文件确保检定/校准工作的科学准确性，具有信息化检测业务管理系统，保障检定/校准任务的准确高效完成。</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③投标人必须严格遵守国家法律、法规，严格按照国家计量检定规程或校准规范开展检定/校准工作，保证和维护检定/校准工作的科学性、公正性、诚实性、保密性，确保高质量地完成检定/校准任务。</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5、宁静小区建设2个</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全过程指导和技术咨询综合服务。提供“宁静小区”创建技术研判服务，根据《浙江省宁静小区建设管理办法（试行）》等文件要求，严格按照相关创建评定办法、评价标准及申报要求等相关标准规范提供技术支撑、审核服务；全过程指导小区开展创建工作；提供规范化噪声管控指导服务；摸排创建小区基本条件信息情况；编制并提供2份“宁静小区”创建报告。</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噪声监测工作。根据《浙江省宁静小区建设管理办法（试行）》等文件要求，参照《环境噪声监测技术规范城市声环境常规监测》（HJ640-2012）、《城市声环境常规监测技术规范》（HJ640-2012）要求，对2个创建小区进行声环境质量监测。</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6、道路空气微站（6套）、三甲街道空气质量监测站（1套）、扬尘在线监测站设备（8套）、黑烟抓拍（2套）、高空瞭望（8套）等共计25套设施设备运维。</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1）道路空气微站（6套）运维内容</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道路空气监测设备运行维护技术服务项目采取全包的方式，运维人员定期前往站点进行运维服务，主要内容包括：</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①每天对设备运行情况进行远程判断和运行管理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每天登录空气监测设备平台，保证维保期内系统能正常登录、各站点联网正常。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判断系统数据传输情况，发现异常情况及时排查原因并修复。</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根据仪器分析数据判断仪器运行情况，发现异常情况及时排查原因并修复。</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②每周现场维护</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检查各仪器的运行状况，保证系统运行顺畅。</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检查外部环境是否正常，是否有对测定结果或运行环境存在明显影响的污染源。</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检查电路系统和通讯系统，检查系统供电是否正常，电压是否稳定。</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检查设备的在线率、是否有报警情况。</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检查设备采样探头及内部灰尘是否沉积过多，及时清理。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检查各站点的通讯系统，现场数据与平台查询数据对照，检验传输是否正常。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③每月现场维护</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每月不少于一次检查网络运行安全等是否满足要求，保证道路空气监测设备具有良好的运行环境，发现故障及时修复或使用备机；</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及时检查、维护、更换设备和系统中的易损易耗部件，以保证系统持久运行；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对数据存储与控制系统工作状态进行一次全面检查，防止出现影响数据传输、存储、报表生成等问题，保证数据获取率；</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根据仪器说明书的要求，定期检查、清洗仪器内部的气室、气路、管路等关键部件。雾霾、台风等恶劣天气后应及时检查和清洗；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检查各个监测仪器SIM卡或有线专线续费是否正常；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确保各个监测仪器与平台时钟和日历的一致性；</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2）三甲街道空气质量监测站（1套）运维内容</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定期运维内容主要包括环境管理、站点巡检管理、系统运行管理、质量控制等，每月至少进行一次现场巡检维护，具体要求如下：</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①PM2.5分析仪</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检查PM2.5分析仪滤芯、气体管路是否污染是否需要更换；</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检查仪器采样管路系统、是否漏气、积尘或堵塞现象，更换O型垫片；   </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每月进行采样流量检查、浊度校准；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检查颗粒物采样头整洁程度，视具体情况进行清洗；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检查仪器运行状态，数据传输情况；</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按运维标准，及时排除故障和异常情况，确保站点正常、稳定运行。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②PM10分析仪</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检查PM2.5分析仪滤芯、气体管路是否污染是否需要更换；</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检查仪器采样管路系统、是否漏气、积尘或堵塞现象，更换O型垫片；                                                                               </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每月进行采样流量检查、浊度校准；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检查颗粒物采样头整洁程度，视具体情况进行清洗；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检查仪器运行状态，数据传输情况；</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按运维标准，及时排除故障和异常情况，确保站点正常、稳定运行。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③气象六参数</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检查设备是否清洁，运行是否正常；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及时排除故障和异常情况，确保仪器正常、稳定运行；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④臭氧系统</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检查臭氧分析仪过滤器、气体管路是否污染是否需要更换；</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检查仪器采样管路系统、是否漏气、积尘或堵塞现象，更换O型垫片；</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每月进行采样流量检查；</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检查臭氧采样头过滤网整洁程度，视具体情况进行清洗；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检查仪器运行状态，数据传输情况；</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按运维标准，及时排除故障和异常情况，确保站点正常、稳定运行。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⑤摄像系统</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检查摄像是否正常运行；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检查视频能否远程观看；</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确保视频监控能回看近60天影像数据。</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⑥数据审核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每天上午10点前完成数据审核处理，排除特殊异常数据，保证监测数据的有效性和准确性。</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⑦系统维护</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上位监控人员每日上午、下午远程检查仪器运行状态，检查数据传输系统是否正常，根据仪器的分析数据判断仪器工作情况，如发现数据持续异常须立即上报，同时前往站点进行检查处理；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月必须对系统进行至少一次现场检查维护，检查各站点接地线路是否可靠，检查采样和排气管路是否有漏气或堵塞，仪器流量是否正常，检查监测仪器的运行状况和工作状态参数是否正常，检查避雷设施是否可靠，配电柜是否会漏水，气象杆是否有刮坏等；</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每季度必须对系统气路进行检漏，需要时更换气路及O型垫片；</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每季度必须对系统进行零点校准和量程校准；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每季度做好工作记录、校准记录、检查记录、技术资料等存档；</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每年一次或者修理之后进行仪器校准、浊度校准、泵维修维护，系统检漏等。</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每年至少做一次标准物质传递；</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⑧其他预防性维护：</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每年对系统做一次预防性检修；</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硬件检修按照仪器使用和维修手册规定的要求，更换监测仪器抽气泵膜等关键零部件；</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电路检修：对仪器电路各测试点进行测试与调整；</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气路检修：对仪器进行气路检漏和流量检查；</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光路检修：对光路和各种接头及插座等进行检查和清洁处理；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检修后标定：在每次全面预防性检修完成后，或更换仪器中的检测模块等关键零部件后，应对仪器重新进行校准和检查，并记录检修及标定和校准情况；</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检修后考核：对完成预防性检修的仪器，应进行连续24小时的仪器运行考核，在确认仪器工作正常后，仪器方可投入使用。</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3）扬尘在线监测站设备（8套）运维内容</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①每月不少于一次检查网络传输、运行安全等是否满足要求，保证微型环境空气质量监测系统具有良好的运行环境，故障及时修复或使用备机。</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②检查电路系统，保证系统供电正常，电压稳定；</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③检查通讯系统，保证各监测点位与远程监控中心的连接正常，数据传输正常；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④检查、维护、及时更换设备和系统中的易损易耗部件，以保证系统持久健康运行，阻止某些轻微问题因疏于维护而严重化，以致引起更大问题；</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⑤对数据存储与控制系统工作状态进行一次全面检查。防止出现数据传输、存储、报表生成等问题，保证客户或环保部门的数据获取率；</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⑥根据仪器说明书的要求，定期检查、清洗仪器内部的气室、气路管路等关键部件。重污染天气后应及时检查和清洗；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⑦检查各个监测仪器与平台连接状态，以及 SIM 卡或有线专线续费是否正常；</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⑧确保各个监测仪器与平台时钟和日历的一致性。</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4）黑烟抓拍（2套）运维内容</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黑烟抓拍系统设备主要运维内容</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6071"/>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维护次数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常规硬件巡查（系统/信号采集/处理系统调整和校准）</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软件维护（含系统所需软件维护及更改）</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摄像机系统清洁维护（登高车作业）</w:t>
            </w:r>
          </w:p>
        </w:tc>
        <w:tc>
          <w:tcPr>
            <w:tcW w:w="14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每季度一次</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outlineLvl w:val="9"/>
        <w:rPr>
          <w:rFonts w:hint="eastAsia" w:ascii="宋体" w:hAnsi="宋体" w:eastAsia="宋体"/>
          <w:b/>
          <w:bCs/>
          <w:sz w:val="24"/>
          <w:lang w:val="en-US" w:eastAsia="zh-CN"/>
        </w:rPr>
      </w:pPr>
      <w:r>
        <w:rPr>
          <w:rFonts w:hint="eastAsia" w:ascii="宋体" w:hAnsi="宋体" w:eastAsia="宋体"/>
          <w:b/>
          <w:bCs/>
          <w:sz w:val="24"/>
          <w:lang w:val="en-US" w:eastAsia="zh-CN"/>
        </w:rPr>
        <w:t>技术保障</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①保持设备、管路、电线标识清楚；且有防潮防火措施，遇到自然灾害等不可预防抗拒外部因素造成资产损害，投标人应第一时间向招标人申报。</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②维护人员按用户要求，对检测数据真实性进行确认核实。</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③用户进行移动式遥测作业时，运维人员应保障移动遥测设备的正常运行。</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④对于维护项目中需要付费更换配件时，需通知招标人，并经招标人现场确认。</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⑤进行维护时，应规范操作，注意安全，防止意外发生。</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⑥维护人员在对系统进行日常维护时，应按照用户要求作好设备的运维工作，并做好巡检记录，维护保养、维修记录。并做好清洁卫生及安全工作后方能离开。</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⑦定期汇报运维情况并书面告知招标人；</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⑧若发现设备故障，检修时需要备停用、拆除或更换的，应事先报经招标人同意。</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⑨检修人员进行维修时，及时做好维修记录。维修记录包含该故障发生的时间、故障现象、维修措施和内容、维修结果、校准检查等记录。</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5）高空瞭望（8套）</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本项目采用视频识别技术实现秸秆焚烧预警告警，采用包年服务模式。</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本项目高空瞭望点位8个，重点覆盖台州全市范围内交通干线（含高铁、高速、国道等主干）、重点码头堆场等区域，高空瞭望点位摄像机挂高需达到30米以上，覆盖周边1-3公里范围，实现覆盖区域内的视频图像采集，并通过智能分析功能实现秸秆焚烧，烟火智能预警。</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①远程监控：在高空瞭望需求点位周边高点位置（偏差范围不大于300米）设置摄像机，实现高位大范围监控（在气象条件满足的情况下，监控范围半径达到2km），既兼顾大场面，又可实现具体目标特写拍摄，发现目标更快速更准确，同时，可见光可自动调整倍率快速联动跟踪；</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②全天候监控：系统需进行24小时全天候监控，不仅能够在白天巡视，夜晚也能够通过黑光摄像机功能进行巡视；</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③高空瞭望平台展示：服务期间提供系统平台展示服务（包括手机端及网页端）；</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④满足高空瞭望监控点位存储15天，对于有露天焚烧情况的点位，该点位即时段数据需长期保留；并提供全市高空瞭望点位月度报告；</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⑤平台需具有烟火智能识别预警功能。</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outlineLvl w:val="9"/>
        <w:rPr>
          <w:rFonts w:hint="eastAsia" w:ascii="宋体" w:hAnsi="宋体" w:eastAsia="宋体"/>
          <w:b/>
          <w:bCs/>
          <w:sz w:val="24"/>
          <w:lang w:val="en-US" w:eastAsia="zh-CN"/>
        </w:rPr>
      </w:pPr>
      <w:r>
        <w:rPr>
          <w:rFonts w:hint="eastAsia" w:ascii="宋体" w:hAnsi="宋体" w:eastAsia="宋体"/>
          <w:b/>
          <w:bCs/>
          <w:sz w:val="24"/>
          <w:lang w:val="en-US" w:eastAsia="zh-CN"/>
        </w:rPr>
        <w:t>监控功能要求</w:t>
      </w:r>
    </w:p>
    <w:tbl>
      <w:tblPr>
        <w:tblStyle w:val="11"/>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20"/>
        <w:gridCol w:w="4809"/>
        <w:gridCol w:w="660"/>
        <w:gridCol w:w="75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服务项目</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功能要求</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AI视频分析算法</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支持GB28181协议接入或支持SDK协议接入，支持英伟达GPU加速卡，支持200W、400W、700W、900W摄像机 ，支持H264、H265编码格式，对高清球机视频进行实时分析，支持对高清球机进行多预置位巡查，并进行实时秸秆焚烧检测分析。</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
              </w:rPr>
              <w:t>8</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视频分析综合管理平台</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于B/S架构的平台，支持用户IE登录，支持GIS地图点位展示，状态查询功能，实现对秸秆焚烧事件信息浏览、查询及推送功能，事件报表统计、事件处置信息反馈及绩效统计、导出功能、报警事件发送移动端接收功能；支持用户权限设置；支持声音告警，平台可以实时查看视频监控图像。</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sz w:val="24"/>
                <w:szCs w:val="24"/>
                <w:highlight w:val="none"/>
              </w:rPr>
            </w:pPr>
          </w:p>
          <w:p>
            <w:pPr>
              <w:pStyle w:val="8"/>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移动端</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提供移动端报警信息的接收、提示、报警 ，报警图片预览、一键导航、动图展示、处理反馈及上报现场处置图片等功能。      </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4</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云服务</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AI视频分析计算资源的租赁、互联网专线等</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套</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20"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黑光红外球型网络摄像机</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kern w:val="0"/>
                <w:sz w:val="24"/>
                <w:szCs w:val="24"/>
                <w:highlight w:val="none"/>
              </w:rPr>
            </w:pPr>
          </w:p>
        </w:tc>
        <w:tc>
          <w:tcPr>
            <w:tcW w:w="4809" w:type="dxa"/>
            <w:vAlign w:val="center"/>
          </w:tcPr>
          <w:p>
            <w:pPr>
              <w:pStyle w:val="4"/>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支持五种智能资源切换：人脸抓拍、人脸布控，车辆布控，Smart事件，混合目标检测</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人脸抓拍：支持同时抓拍30张人脸，支持对运动人脸进行检测、跟踪、抓拍、评分、筛选，输出最优的人脸抓图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人脸支持以下3种模式：1)支持指哪抓哪，在大场景监控下可手动选择人脸抓拍目标，实现灵活抓拍；2)支持远距离卡口模式抓拍；3)支持8个场景下轮巡人脸抓拍，每个场景时间可设</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Smart事件：越界侦测,区域入侵侦测,进入/离开区域侦测等智能侦测功能</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混合目标检测：对检测区域内的人、车进行全结构化分析并抓拍上传</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人员布控：支持前端实时建模比对，对人脸和人体进行布控跟踪，跟踪过程中目标经纬度信息实时上传，构建时空域场景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车辆布控：支持前端实时建模比对，对黑白名单车辆进行布控跟踪，跟踪过程中目标经纬度信息实时上传，构建时空域场景</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前端建模比对：前端存储15万张人脸图片进行建模后，对场景中抓拍的人脸进行比对并输出结果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采用双sensor架构，支持超宽光谱感光成像</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采用无光污染的混合补光技术，可有效提升整体监控效果</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支持GB35114安全加密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传感器类型: 1/1.8＂ progressive scan CMOS，双sensor架构</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最低照度: 低照度：彩色：0.0004Lux @ (F1.6，AGC ON), 黑白：0.0001Lux @ (F1.6，AGC ON), 0Lux with IR,</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光学变倍: 35倍</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焦距: 5.9-206.5mm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宽动态: 支持</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水平范围: 360°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垂直范围: -20°-90°(自动翻转)</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水平速度: 水平键控速度：0.1°-210°/s,速度可设;水平预置点速度：280°/s</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垂直速度: 垂直键控速度：0.1°-150°/s,速度可设;垂直预置点速度：250°/s</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主码流帧率分辨率: 50Hz: 25fps (2560 × 1440)；60Hz: 30fps (2560 × 1440)</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视频压缩标准: H.265,H.264,MJPEG</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网络存储: NAS (NFS, SMB/ CIFS)</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网络接口: RJ45网口，自适应10M/100M网络数据</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SD卡扩展: 支持Micro SD(即TF卡)/Micro SDHC/Micro </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9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20"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摄像机挂高</w:t>
            </w:r>
          </w:p>
        </w:tc>
        <w:tc>
          <w:tcPr>
            <w:tcW w:w="480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摄像机平均挂高要求30米以上，充分提升摄像机监测范围；</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67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ottom"/>
              <w:outlineLvl w:val="9"/>
              <w:rPr>
                <w:rFonts w:hint="eastAsia" w:ascii="宋体" w:hAnsi="宋体" w:eastAsia="宋体"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outlineLvl w:val="9"/>
        <w:rPr>
          <w:rFonts w:hint="eastAsia" w:ascii="宋体" w:hAnsi="宋体" w:eastAsia="宋体"/>
          <w:b/>
          <w:bCs/>
          <w:sz w:val="24"/>
          <w:lang w:val="en-US" w:eastAsia="zh-CN"/>
        </w:rPr>
      </w:pPr>
      <w:r>
        <w:rPr>
          <w:rFonts w:hint="eastAsia" w:ascii="宋体" w:hAnsi="宋体" w:eastAsia="宋体"/>
          <w:b/>
          <w:bCs/>
          <w:sz w:val="24"/>
          <w:lang w:val="en-US" w:eastAsia="zh-CN"/>
        </w:rPr>
        <w:t>监测点位</w:t>
      </w:r>
    </w:p>
    <w:tbl>
      <w:tblPr>
        <w:tblStyle w:val="11"/>
        <w:tblW w:w="9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934"/>
        <w:gridCol w:w="1440"/>
        <w:gridCol w:w="1755"/>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8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3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点位位置</w:t>
            </w:r>
          </w:p>
        </w:tc>
        <w:tc>
          <w:tcPr>
            <w:tcW w:w="14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中心经度</w:t>
            </w:r>
          </w:p>
        </w:tc>
        <w:tc>
          <w:tcPr>
            <w:tcW w:w="17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中心纬度</w:t>
            </w:r>
          </w:p>
        </w:tc>
        <w:tc>
          <w:tcPr>
            <w:tcW w:w="271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椒江集聚区湿地公园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121.530019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28.631922</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集聚区动物园附近农田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椒江三甲十塘坝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121.522573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28.622956</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十塘坝附近农田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台州椒江三甲农场一分场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121.495415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28.636321</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三甲农场附近农田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椒江集聚区甲南大道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121.550021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28.590446</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甲南大道附近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椒江三甲街下村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121.494375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28.593274</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三甲街下村附近农田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椒江三甲农场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121.502141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28.611851</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三甲农场附近农田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8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椒江三甲石柱</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121.479721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28.596391</w:t>
            </w:r>
          </w:p>
        </w:tc>
        <w:tc>
          <w:tcPr>
            <w:tcW w:w="27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三甲石柱附近农田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872"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3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椒江三甲蟹楼里</w:t>
            </w:r>
          </w:p>
        </w:tc>
        <w:tc>
          <w:tcPr>
            <w:tcW w:w="14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121.473931</w:t>
            </w:r>
          </w:p>
        </w:tc>
        <w:tc>
          <w:tcPr>
            <w:tcW w:w="175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28.621155</w:t>
            </w:r>
          </w:p>
        </w:tc>
        <w:tc>
          <w:tcPr>
            <w:tcW w:w="2715"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蟹楼里附近</w:t>
            </w:r>
          </w:p>
        </w:tc>
      </w:tr>
    </w:tbl>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（三）工作成果</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1、水质监测报告、水质分析报告；</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2、土壤重点监管单位周边风险调查报告；</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3、土壤</w:t>
      </w:r>
      <w:r>
        <w:rPr>
          <w:rFonts w:hint="default" w:ascii="宋体" w:hAnsi="宋体" w:eastAsia="宋体"/>
          <w:sz w:val="24"/>
          <w:lang w:val="en-US" w:eastAsia="zh-CN"/>
        </w:rPr>
        <w:t>评审资料汇编</w:t>
      </w:r>
      <w:r>
        <w:rPr>
          <w:rFonts w:hint="eastAsia" w:ascii="宋体" w:hAnsi="宋体" w:eastAsia="宋体"/>
          <w:sz w:val="24"/>
          <w:lang w:val="en-US" w:eastAsia="zh-CN"/>
        </w:rPr>
        <w:t>；</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4、计量检定或校准报告；</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5、宁静小区创建申报材料；</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6、道路空气微站、三甲街道空气质量监测站、扬尘在线监测站设备、黑烟抓拍、高空瞭望运维年度报告。</w:t>
      </w:r>
    </w:p>
    <w:p>
      <w:pPr>
        <w:spacing w:line="360" w:lineRule="auto"/>
        <w:rPr>
          <w:rFonts w:ascii="宋体" w:hAnsi="宋体" w:cs="宋体"/>
          <w:b/>
          <w:kern w:val="0"/>
          <w:sz w:val="28"/>
          <w:szCs w:val="28"/>
        </w:rPr>
      </w:pPr>
      <w:r>
        <w:rPr>
          <w:rFonts w:hint="eastAsia" w:ascii="宋体" w:hAnsi="宋体" w:cs="宋体"/>
          <w:b/>
          <w:kern w:val="0"/>
          <w:sz w:val="28"/>
          <w:szCs w:val="28"/>
        </w:rPr>
        <w:t>三、商务需求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ascii="宋体" w:hAnsi="宋体" w:cs="宋体"/>
          <w:sz w:val="24"/>
        </w:rPr>
      </w:pPr>
      <w:r>
        <w:rPr>
          <w:rFonts w:hint="eastAsia" w:ascii="宋体" w:hAnsi="宋体" w:cs="宋体"/>
          <w:b/>
          <w:kern w:val="0"/>
          <w:sz w:val="24"/>
          <w:szCs w:val="21"/>
        </w:rPr>
        <w:t>1.报价要求：</w:t>
      </w:r>
      <w:r>
        <w:rPr>
          <w:rFonts w:hint="eastAsia" w:ascii="宋体" w:hAnsi="宋体" w:cs="宋体"/>
          <w:kern w:val="0"/>
          <w:sz w:val="24"/>
          <w:szCs w:val="21"/>
          <w:lang w:eastAsia="zh-CN"/>
        </w:rPr>
        <w:t>投标人报价为本次招标完成全部工作所发生的费用</w:t>
      </w:r>
      <w:r>
        <w:rPr>
          <w:rFonts w:hint="eastAsia" w:ascii="宋体" w:hAnsi="宋体" w:cs="宋体"/>
          <w:kern w:val="0"/>
          <w:sz w:val="24"/>
          <w:szCs w:val="21"/>
        </w:rPr>
        <w:t>，包括</w:t>
      </w:r>
      <w:r>
        <w:rPr>
          <w:rFonts w:hint="eastAsia" w:ascii="宋体" w:hAnsi="宋体" w:cs="宋体"/>
          <w:sz w:val="24"/>
        </w:rPr>
        <w:t>但不限于完成项目内容所需的一切人员工资（聘用人员的工资、津贴、奖金、社保缴费等）、场地费用、培训费用、交通费、报告编制费、设备费、管理费用、税费、利润、完成合同所需的一切本身和不可或缺的所有工作开支、政策性文件规定及合同包含的所有风险、责任等各项全部费用并承担一切风险责任</w:t>
      </w:r>
      <w:r>
        <w:rPr>
          <w:rFonts w:hint="eastAsia" w:ascii="宋体" w:hAnsi="宋体" w:cs="宋体"/>
          <w:sz w:val="24"/>
          <w:lang w:eastAsia="zh-CN"/>
        </w:rPr>
        <w:t>。</w:t>
      </w:r>
      <w:r>
        <w:rPr>
          <w:rFonts w:hint="eastAsia" w:ascii="宋体" w:hAnsi="宋体" w:cs="宋体"/>
          <w:sz w:val="24"/>
        </w:rPr>
        <w:t>知识产权等由</w:t>
      </w:r>
      <w:r>
        <w:rPr>
          <w:rFonts w:hint="eastAsia" w:ascii="宋体" w:hAnsi="宋体" w:cs="宋体"/>
          <w:sz w:val="24"/>
          <w:lang w:eastAsia="zh-CN"/>
        </w:rPr>
        <w:t>投标人</w:t>
      </w:r>
      <w:r>
        <w:rPr>
          <w:rFonts w:hint="eastAsia" w:ascii="宋体" w:hAnsi="宋体" w:cs="宋体"/>
          <w:sz w:val="24"/>
        </w:rPr>
        <w:t>在报价时综合考虑，以后不作任何调整。</w:t>
      </w:r>
      <w:r>
        <w:rPr>
          <w:rFonts w:hint="eastAsia" w:ascii="宋体" w:hAnsi="宋体" w:cs="宋体"/>
          <w:sz w:val="24"/>
          <w:lang w:eastAsia="zh-CN"/>
        </w:rPr>
        <w:t>招标文件</w:t>
      </w:r>
      <w:r>
        <w:rPr>
          <w:rFonts w:hint="eastAsia" w:ascii="宋体" w:hAnsi="宋体" w:cs="宋体"/>
          <w:sz w:val="24"/>
        </w:rPr>
        <w:t>未列明，而响应</w:t>
      </w:r>
      <w:r>
        <w:rPr>
          <w:rFonts w:hint="eastAsia" w:ascii="宋体" w:hAnsi="宋体" w:cs="宋体"/>
          <w:sz w:val="24"/>
          <w:lang w:eastAsia="zh-CN"/>
        </w:rPr>
        <w:t>投标人</w:t>
      </w:r>
      <w:r>
        <w:rPr>
          <w:rFonts w:hint="eastAsia" w:ascii="宋体" w:hAnsi="宋体" w:cs="宋体"/>
          <w:sz w:val="24"/>
        </w:rPr>
        <w:t>认为必需的费用也需列入报价。</w:t>
      </w:r>
    </w:p>
    <w:p>
      <w:pPr>
        <w:pStyle w:val="13"/>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eastAsia="宋体" w:cs="宋体"/>
          <w:kern w:val="0"/>
          <w:sz w:val="24"/>
          <w:szCs w:val="21"/>
        </w:rPr>
      </w:pPr>
      <w:r>
        <w:rPr>
          <w:rFonts w:hint="eastAsia" w:ascii="宋体" w:hAnsi="宋体" w:eastAsia="宋体" w:cs="宋体"/>
          <w:b/>
          <w:kern w:val="0"/>
          <w:sz w:val="24"/>
          <w:szCs w:val="21"/>
        </w:rPr>
        <w:t>2.服务时间：</w:t>
      </w:r>
      <w:r>
        <w:rPr>
          <w:rFonts w:hint="eastAsia" w:ascii="宋体" w:hAnsi="宋体" w:eastAsia="宋体" w:cs="宋体"/>
          <w:kern w:val="0"/>
          <w:sz w:val="24"/>
          <w:szCs w:val="21"/>
        </w:rPr>
        <w:t>道路空气微站、三甲街道空气质量监测站、扬尘在线监测站设备、黑烟抓拍、高空瞭望等共计25套设施设备运维项目，从合同签订日起至2026</w:t>
      </w:r>
      <w:r>
        <w:rPr>
          <w:rFonts w:hint="eastAsia" w:ascii="宋体" w:hAnsi="宋体" w:eastAsia="宋体" w:cs="宋体"/>
          <w:kern w:val="2"/>
          <w:sz w:val="24"/>
          <w:szCs w:val="24"/>
          <w:lang w:val="en-US" w:eastAsia="zh-CN" w:bidi="ar-SA"/>
        </w:rPr>
        <w:t>年6</w:t>
      </w:r>
      <w:r>
        <w:rPr>
          <w:rFonts w:hint="eastAsia" w:ascii="宋体" w:hAnsi="宋体" w:eastAsia="宋体" w:cs="宋体"/>
          <w:kern w:val="0"/>
          <w:sz w:val="24"/>
          <w:szCs w:val="21"/>
        </w:rPr>
        <w:t>月。其余项目从合同签订日起至2025年12月。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ascii="宋体" w:hAnsi="宋体" w:cs="宋体"/>
          <w:b/>
          <w:kern w:val="0"/>
          <w:sz w:val="24"/>
          <w:szCs w:val="21"/>
        </w:rPr>
      </w:pPr>
      <w:r>
        <w:rPr>
          <w:rFonts w:hint="eastAsia" w:ascii="宋体" w:hAnsi="宋体" w:cs="宋体"/>
          <w:b/>
          <w:kern w:val="0"/>
          <w:sz w:val="24"/>
          <w:szCs w:val="21"/>
        </w:rPr>
        <w:t>3.付款条件：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宋体" w:hAnsi="宋体" w:cs="宋体"/>
          <w:kern w:val="0"/>
          <w:sz w:val="24"/>
          <w:szCs w:val="21"/>
        </w:rPr>
      </w:pPr>
      <w:r>
        <w:rPr>
          <w:rFonts w:hint="eastAsia" w:ascii="宋体" w:hAnsi="宋体" w:cs="宋体"/>
          <w:kern w:val="0"/>
          <w:sz w:val="24"/>
          <w:szCs w:val="21"/>
        </w:rPr>
        <w:t>签订合同后七个工作日内支付项目合同额的50%作为预付款，完成水质监测工作、土壤重点监管单位周边风险调查工作、土壤调查质控工作、计量检定或校准工作及宁静小区创建工作后支付25%，完成空气站运维服务工作后七个工作日内支付合同额的25%。</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宋体" w:hAnsi="宋体" w:eastAsia="宋体" w:cs="宋体"/>
          <w:sz w:val="24"/>
        </w:rPr>
      </w:pPr>
      <w:r>
        <w:rPr>
          <w:rFonts w:hint="eastAsia" w:ascii="宋体" w:hAnsi="宋体" w:cs="宋体"/>
          <w:b/>
          <w:bCs/>
          <w:sz w:val="24"/>
        </w:rPr>
        <w:t>4.履约保证金：</w:t>
      </w:r>
      <w:r>
        <w:rPr>
          <w:rFonts w:hint="eastAsia" w:ascii="宋体" w:hAnsi="宋体" w:cs="宋体"/>
          <w:kern w:val="0"/>
          <w:sz w:val="24"/>
          <w:szCs w:val="21"/>
        </w:rPr>
        <w:t>本项目</w:t>
      </w:r>
      <w:r>
        <w:rPr>
          <w:rFonts w:hint="eastAsia" w:ascii="宋体" w:hAnsi="宋体" w:cs="宋体"/>
          <w:kern w:val="0"/>
          <w:sz w:val="24"/>
          <w:szCs w:val="21"/>
          <w:lang w:eastAsia="zh-CN"/>
        </w:rPr>
        <w:t>不设履约保证金</w:t>
      </w:r>
      <w:r>
        <w:rPr>
          <w:rFonts w:hint="eastAsia" w:ascii="宋体" w:hAnsi="宋体" w:cs="宋体"/>
          <w:kern w:val="0"/>
          <w:sz w:val="24"/>
          <w:szCs w:val="21"/>
        </w:rPr>
        <w:t>。</w:t>
      </w:r>
    </w:p>
    <w:p/>
    <w:p>
      <w:pPr>
        <w:pStyle w:val="2"/>
      </w:pPr>
    </w:p>
    <w:p>
      <w:pPr>
        <w:pStyle w:val="2"/>
      </w:pPr>
    </w:p>
    <w:p>
      <w:pPr>
        <w:pStyle w:val="2"/>
      </w:pPr>
    </w:p>
    <w:p>
      <w:pPr>
        <w:numPr>
          <w:ilvl w:val="0"/>
          <w:numId w:val="1"/>
        </w:numPr>
        <w:autoSpaceDE w:val="0"/>
        <w:autoSpaceDN w:val="0"/>
        <w:adjustRightIn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评分标准</w:t>
      </w:r>
    </w:p>
    <w:tbl>
      <w:tblPr>
        <w:tblStyle w:val="11"/>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20"/>
        <w:gridCol w:w="5712"/>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047" w:type="dxa"/>
            <w:vAlign w:val="center"/>
          </w:tcPr>
          <w:p>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类别</w:t>
            </w:r>
          </w:p>
        </w:tc>
        <w:tc>
          <w:tcPr>
            <w:tcW w:w="1220" w:type="dxa"/>
            <w:vAlign w:val="center"/>
          </w:tcPr>
          <w:p>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5712" w:type="dxa"/>
            <w:vAlign w:val="center"/>
          </w:tcPr>
          <w:p>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673" w:type="dxa"/>
            <w:vAlign w:val="center"/>
          </w:tcPr>
          <w:p>
            <w:pPr>
              <w:keepNext w:val="0"/>
              <w:keepLines w:val="0"/>
              <w:pageBreakBefore w:val="0"/>
              <w:kinsoku/>
              <w:wordWrap/>
              <w:overflowPunct/>
              <w:topLinePunct w:val="0"/>
              <w:autoSpaceDE/>
              <w:autoSpaceDN/>
              <w:bidi w:val="0"/>
              <w:spacing w:afterLines="0"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047" w:type="dxa"/>
            <w:vMerge w:val="restart"/>
            <w:vAlign w:val="center"/>
          </w:tcPr>
          <w:p>
            <w:pPr>
              <w:keepNext w:val="0"/>
              <w:keepLines w:val="0"/>
              <w:pageBreakBefore w:val="0"/>
              <w:kinsoku/>
              <w:wordWrap/>
              <w:overflowPunct/>
              <w:topLinePunct w:val="0"/>
              <w:bidi w:val="0"/>
              <w:adjustRightInd w:val="0"/>
              <w:snapToGrid/>
              <w:spacing w:beforeAutospacing="0" w:afterLines="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分</w:t>
            </w:r>
          </w:p>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20" w:type="dxa"/>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Style w:val="14"/>
                <w:rFonts w:hint="eastAsia" w:ascii="宋体" w:hAnsi="宋体" w:eastAsia="宋体" w:cs="宋体"/>
                <w:color w:val="auto"/>
                <w:sz w:val="24"/>
                <w:szCs w:val="24"/>
                <w:highlight w:val="none"/>
                <w:lang w:val="en-US" w:eastAsia="zh-CN"/>
              </w:rPr>
              <w:t>承接经验</w:t>
            </w:r>
          </w:p>
        </w:tc>
        <w:tc>
          <w:tcPr>
            <w:tcW w:w="5712" w:type="dxa"/>
            <w:vAlign w:val="center"/>
          </w:tcPr>
          <w:p>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投标人自2022年1月1日以来（以合同签订时间为准），承接过或仍在执行类似监测设备运行维护服务项目，每提供一份合同得0.5分，最高得1分。</w:t>
            </w:r>
          </w:p>
          <w:p>
            <w:pPr>
              <w:keepNext w:val="0"/>
              <w:keepLines w:val="0"/>
              <w:pageBreakBefore w:val="0"/>
              <w:kinsoku/>
              <w:wordWrap/>
              <w:overflowPunct/>
              <w:topLinePunct w:val="0"/>
              <w:bidi w:val="0"/>
              <w:snapToGrid/>
              <w:spacing w:beforeAutospacing="0" w:afterLines="0" w:afterAutospacing="0" w:line="240" w:lineRule="auto"/>
              <w:ind w:left="0" w:lef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kern w:val="2"/>
                <w:sz w:val="24"/>
                <w:szCs w:val="24"/>
                <w:highlight w:val="none"/>
              </w:rPr>
              <w:t>提供有效的合同扫描件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w:t>
            </w:r>
            <w:r>
              <w:rPr>
                <w:rFonts w:hint="eastAsia" w:ascii="宋体" w:hAnsi="宋体" w:eastAsia="宋体" w:cs="宋体"/>
                <w:b/>
                <w:bCs/>
                <w:color w:val="auto"/>
                <w:sz w:val="24"/>
                <w:szCs w:val="24"/>
                <w:highlight w:val="none"/>
                <w:lang w:val="en-US" w:eastAsia="zh-CN"/>
              </w:rPr>
              <w:t>未提供的</w:t>
            </w:r>
            <w:r>
              <w:rPr>
                <w:rFonts w:hint="eastAsia" w:ascii="宋体" w:hAnsi="宋体" w:eastAsia="宋体" w:cs="宋体"/>
                <w:b/>
                <w:bCs/>
                <w:color w:val="auto"/>
                <w:sz w:val="24"/>
                <w:szCs w:val="24"/>
                <w:highlight w:val="none"/>
              </w:rPr>
              <w:t>不得分）</w:t>
            </w:r>
          </w:p>
        </w:tc>
        <w:tc>
          <w:tcPr>
            <w:tcW w:w="673" w:type="dxa"/>
            <w:vAlign w:val="center"/>
          </w:tcPr>
          <w:p>
            <w:pPr>
              <w:pStyle w:val="6"/>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投标人综合能力</w:t>
            </w:r>
          </w:p>
        </w:tc>
        <w:tc>
          <w:tcPr>
            <w:tcW w:w="5712" w:type="dxa"/>
            <w:vAlign w:val="center"/>
          </w:tcPr>
          <w:p>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（1）投标人具有有效期内的信息技术服务管理体系认证证书、信息技术服务标准符合性（运行维护）证书、信息安全管理体系认证证书，每提供一份得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（2）投标人具有国家版权局颁发的环保类相关服务平台软件著作权证书的得2分。</w:t>
            </w:r>
          </w:p>
          <w:p>
            <w:pPr>
              <w:keepNext w:val="0"/>
              <w:keepLines w:val="0"/>
              <w:pageBreakBefore w:val="0"/>
              <w:numPr>
                <w:ilvl w:val="0"/>
                <w:numId w:val="0"/>
              </w:numPr>
              <w:kinsoku/>
              <w:wordWrap/>
              <w:overflowPunct/>
              <w:topLinePunct w:val="0"/>
              <w:bidi w:val="0"/>
              <w:spacing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（3）投标人具有有效期内的《中国环境服务认证证书—自动监控系统（气）运行服务》环境服务认证证书的，一级的得4分，二级的得3分，三级的得1分，未提供不得分。</w:t>
            </w:r>
          </w:p>
          <w:p>
            <w:pPr>
              <w:keepNext w:val="0"/>
              <w:keepLines w:val="0"/>
              <w:pageBreakBefore w:val="0"/>
              <w:kinsoku/>
              <w:wordWrap/>
              <w:overflowPunct/>
              <w:topLinePunct w:val="0"/>
              <w:autoSpaceDE w:val="0"/>
              <w:autoSpaceDN w:val="0"/>
              <w:bidi w:val="0"/>
              <w:adjustRightInd w:val="0"/>
              <w:spacing w:beforeAutospacing="0" w:afterLines="0" w:afterAutospacing="0" w:line="240" w:lineRule="auto"/>
              <w:ind w:left="0" w:leftChars="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kern w:val="2"/>
                <w:sz w:val="24"/>
                <w:szCs w:val="24"/>
                <w:highlight w:val="none"/>
              </w:rPr>
              <w:t>提供有效的</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w:t>
            </w:r>
            <w:r>
              <w:rPr>
                <w:rFonts w:hint="eastAsia" w:ascii="宋体" w:hAnsi="宋体" w:eastAsia="宋体" w:cs="宋体"/>
                <w:b/>
                <w:bCs/>
                <w:color w:val="auto"/>
                <w:sz w:val="24"/>
                <w:szCs w:val="24"/>
                <w:highlight w:val="none"/>
                <w:lang w:val="en-US" w:eastAsia="zh-CN"/>
              </w:rPr>
              <w:t>未提供或不符合要求的</w:t>
            </w:r>
            <w:r>
              <w:rPr>
                <w:rFonts w:hint="eastAsia" w:ascii="宋体" w:hAnsi="宋体" w:eastAsia="宋体" w:cs="宋体"/>
                <w:b/>
                <w:bCs/>
                <w:color w:val="auto"/>
                <w:sz w:val="24"/>
                <w:szCs w:val="24"/>
                <w:highlight w:val="none"/>
              </w:rPr>
              <w:t>不得分</w:t>
            </w:r>
            <w:r>
              <w:rPr>
                <w:rFonts w:hint="eastAsia" w:ascii="宋体" w:hAnsi="宋体" w:eastAsia="宋体" w:cs="宋体"/>
                <w:b/>
                <w:bCs/>
                <w:color w:val="auto"/>
                <w:sz w:val="24"/>
                <w:szCs w:val="24"/>
                <w:highlight w:val="none"/>
                <w:lang w:eastAsia="zh-CN"/>
              </w:rPr>
              <w:t>）</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47" w:type="dxa"/>
            <w:vMerge w:val="continue"/>
            <w:vAlign w:val="center"/>
          </w:tcPr>
          <w:p>
            <w:pPr>
              <w:pStyle w:val="4"/>
              <w:keepNext w:val="0"/>
              <w:keepLines w:val="0"/>
              <w:pageBreakBefore w:val="0"/>
              <w:kinsoku/>
              <w:wordWrap/>
              <w:overflowPunct/>
              <w:topLinePunct w:val="0"/>
              <w:bidi w:val="0"/>
              <w:snapToGrid/>
              <w:spacing w:beforeAutospacing="0" w:after="0" w:afterLines="0" w:afterAutospacing="0" w:line="240" w:lineRule="auto"/>
              <w:ind w:left="0"/>
              <w:jc w:val="center"/>
              <w:textAlignment w:val="auto"/>
              <w:rPr>
                <w:rFonts w:hint="eastAsia" w:ascii="宋体" w:hAnsi="宋体" w:eastAsia="宋体" w:cs="宋体"/>
                <w:color w:val="auto"/>
                <w:sz w:val="24"/>
                <w:szCs w:val="24"/>
                <w:highlight w:val="none"/>
                <w:lang w:val="en-US" w:eastAsia="zh-CN"/>
              </w:rPr>
            </w:pPr>
          </w:p>
        </w:tc>
        <w:tc>
          <w:tcPr>
            <w:tcW w:w="1220" w:type="dxa"/>
            <w:vAlign w:val="center"/>
          </w:tcPr>
          <w:p>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rPr>
              <w:t>项目负责人</w:t>
            </w:r>
          </w:p>
        </w:tc>
        <w:tc>
          <w:tcPr>
            <w:tcW w:w="5712" w:type="dxa"/>
            <w:vAlign w:val="center"/>
          </w:tcPr>
          <w:p>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1、具有环保类高级工程师（含副高）及以上职称的得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分，环保类中级工程师职称的得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分，不满足要求的不得分；</w:t>
            </w:r>
          </w:p>
          <w:p>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、项目负责人具有政府部门颁发的电工作业类证书（低压电工作业）的得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分，没有则不得分。</w:t>
            </w:r>
          </w:p>
          <w:p>
            <w:pPr>
              <w:pStyle w:val="8"/>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napToGrid/>
              <w:spacing w:after="0" w:afterLines="0" w:line="240" w:lineRule="auto"/>
              <w:ind w:left="0" w:leftChars="0" w:right="0" w:righ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（须提供相关证书和项目负责人在投标单位近三个月的社保证明扫描件加盖投标人公章编入投标文件中，未提供或提供不全或</w:t>
            </w:r>
            <w:r>
              <w:rPr>
                <w:rFonts w:hint="eastAsia" w:ascii="宋体" w:hAnsi="宋体" w:eastAsia="宋体" w:cs="宋体"/>
                <w:b/>
                <w:bCs/>
                <w:color w:val="auto"/>
                <w:sz w:val="24"/>
                <w:szCs w:val="24"/>
                <w:highlight w:val="none"/>
                <w:lang w:val="en-US" w:eastAsia="zh-CN"/>
              </w:rPr>
              <w:t>不符合要求</w:t>
            </w:r>
            <w:r>
              <w:rPr>
                <w:rFonts w:hint="eastAsia" w:ascii="宋体" w:hAnsi="宋体" w:eastAsia="宋体" w:cs="宋体"/>
                <w:b/>
                <w:bCs/>
                <w:color w:val="auto"/>
                <w:kern w:val="2"/>
                <w:sz w:val="24"/>
                <w:szCs w:val="24"/>
                <w:highlight w:val="none"/>
                <w:lang w:val="en-US" w:eastAsia="zh-CN" w:bidi="ar-SA"/>
              </w:rPr>
              <w:t>的不得分）</w:t>
            </w:r>
          </w:p>
        </w:tc>
        <w:tc>
          <w:tcPr>
            <w:tcW w:w="673" w:type="dxa"/>
            <w:vAlign w:val="center"/>
          </w:tcPr>
          <w:p>
            <w:pPr>
              <w:keepNext w:val="0"/>
              <w:keepLines w:val="0"/>
              <w:pageBreakBefore w:val="0"/>
              <w:kinsoku/>
              <w:wordWrap/>
              <w:overflowPunct/>
              <w:topLinePunct w:val="0"/>
              <w:bidi w:val="0"/>
              <w:snapToGrid/>
              <w:spacing w:afterLines="0"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restart"/>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拟投入项目组成员</w:t>
            </w:r>
          </w:p>
        </w:tc>
        <w:tc>
          <w:tcPr>
            <w:tcW w:w="5712" w:type="dxa"/>
            <w:shd w:val="clear" w:color="auto" w:fill="auto"/>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项目组成员（项目负责人除外）：</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1、具有环保类中级工程师及以上职称的，每提供1人得1分，最高得2分。</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2、具有政府部门颁发的电工作业类证书（低压电工作业）的，每提供1人得1分，最高得3分。</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3、具有政府部门颁发的高处作业类证书（高处安装、维护、拆除作业）的，每提供1人得1分，最高得3分。</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4、具有各级环境监测站颁发的有效期内的环境空气质量自动监测运维与质控技术培训合格证书的，每提供1人得1分，最高得2分。</w:t>
            </w:r>
          </w:p>
          <w:p>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5、具有各级环境监测站颁发的有效期内的噪声监测培训合格证书的，每提供1人得1分，最高得2分。</w:t>
            </w:r>
            <w:r>
              <w:rPr>
                <w:rFonts w:hint="eastAsia" w:ascii="宋体" w:hAnsi="宋体" w:eastAsia="宋体" w:cs="宋体"/>
                <w:b/>
                <w:bCs/>
                <w:color w:val="auto"/>
                <w:kern w:val="0"/>
                <w:sz w:val="24"/>
                <w:szCs w:val="24"/>
                <w:highlight w:val="none"/>
                <w:lang w:val="en-US" w:eastAsia="zh-CN"/>
              </w:rPr>
              <w:t>（须提供相关证书和职工在投标单位近三个月的社保证明扫描件加盖投标人公章编入投标文件中，未提供</w:t>
            </w:r>
            <w:r>
              <w:rPr>
                <w:rFonts w:hint="eastAsia" w:ascii="宋体" w:hAnsi="宋体" w:eastAsia="宋体" w:cs="宋体"/>
                <w:b/>
                <w:bCs/>
                <w:color w:val="auto"/>
                <w:kern w:val="2"/>
                <w:sz w:val="24"/>
                <w:szCs w:val="24"/>
                <w:highlight w:val="none"/>
                <w:lang w:val="en-US" w:eastAsia="zh-CN" w:bidi="ar-SA"/>
              </w:rPr>
              <w:t>或提供不全</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0"/>
                <w:sz w:val="24"/>
                <w:szCs w:val="24"/>
                <w:highlight w:val="none"/>
                <w:lang w:val="en-US" w:eastAsia="zh-CN"/>
              </w:rPr>
              <w:t>的不得分）</w:t>
            </w:r>
          </w:p>
        </w:tc>
        <w:tc>
          <w:tcPr>
            <w:tcW w:w="673" w:type="dxa"/>
            <w:shd w:val="clear" w:color="auto" w:fill="auto"/>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4"/>
                <w:szCs w:val="24"/>
                <w:highlight w:val="none"/>
                <w:lang w:val="en-US" w:eastAsia="zh-CN" w:bidi="ar-SA"/>
              </w:rPr>
            </w:pPr>
            <w:r>
              <w:rPr>
                <w:rFonts w:hint="eastAsia" w:ascii="宋体" w:hAnsi="宋体" w:eastAsia="宋体" w:cs="宋体"/>
                <w:i w:val="0"/>
                <w:iCs w:val="0"/>
                <w:color w:val="auto"/>
                <w:spacing w:val="-4"/>
                <w:kern w:val="2"/>
                <w:sz w:val="24"/>
                <w:szCs w:val="24"/>
                <w:highlight w:val="none"/>
                <w:lang w:val="en-US" w:eastAsia="zh-CN" w:bidi="ar-SA"/>
              </w:rPr>
              <w:t>1</w:t>
            </w:r>
            <w:r>
              <w:rPr>
                <w:rFonts w:hint="eastAsia" w:ascii="宋体" w:hAnsi="宋体" w:cs="宋体"/>
                <w:i w:val="0"/>
                <w:iCs w:val="0"/>
                <w:color w:val="auto"/>
                <w:spacing w:val="-4"/>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p>
        </w:tc>
        <w:tc>
          <w:tcPr>
            <w:tcW w:w="5712" w:type="dxa"/>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平台数据修约技术人员：</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具有环保类中级及以上工程师职称的，每提供1个得1分，没有则不得分；</w:t>
            </w:r>
          </w:p>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本项最高得2分。</w:t>
            </w:r>
          </w:p>
          <w:p>
            <w:pPr>
              <w:keepNext w:val="0"/>
              <w:keepLines w:val="0"/>
              <w:pageBreakBefore w:val="0"/>
              <w:kinsoku/>
              <w:wordWrap/>
              <w:overflowPunct/>
              <w:topLinePunct w:val="0"/>
              <w:bidi w:val="0"/>
              <w:snapToGrid/>
              <w:spacing w:line="24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（须提供相关证书和职工在投标单位近三个月的社保证明扫描件加盖投标人公章编入投标文件中，未提供</w:t>
            </w:r>
            <w:r>
              <w:rPr>
                <w:rFonts w:hint="eastAsia" w:ascii="宋体" w:hAnsi="宋体" w:eastAsia="宋体" w:cs="宋体"/>
                <w:b/>
                <w:bCs/>
                <w:color w:val="auto"/>
                <w:kern w:val="2"/>
                <w:sz w:val="24"/>
                <w:szCs w:val="24"/>
                <w:highlight w:val="none"/>
                <w:lang w:val="en-US" w:eastAsia="zh-CN" w:bidi="ar-SA"/>
              </w:rPr>
              <w:t>或提供不全</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0"/>
                <w:sz w:val="24"/>
                <w:szCs w:val="24"/>
                <w:highlight w:val="none"/>
                <w:lang w:val="en-US" w:eastAsia="zh-CN" w:bidi="ar"/>
              </w:rPr>
              <w:t>的不得分）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4"/>
                <w:szCs w:val="24"/>
                <w:highlight w:val="none"/>
                <w:lang w:val="en-US" w:eastAsia="zh-CN"/>
              </w:rPr>
            </w:pPr>
            <w:r>
              <w:rPr>
                <w:rFonts w:hint="eastAsia" w:ascii="宋体" w:hAnsi="宋体" w:eastAsia="宋体" w:cs="宋体"/>
                <w:i w:val="0"/>
                <w:iCs w:val="0"/>
                <w:color w:val="auto"/>
                <w:spacing w:val="-4"/>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1047" w:type="dxa"/>
            <w:vMerge w:val="restart"/>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220" w:type="dxa"/>
            <w:vMerge w:val="restart"/>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实施方案</w:t>
            </w:r>
          </w:p>
        </w:tc>
        <w:tc>
          <w:tcPr>
            <w:tcW w:w="5712" w:type="dxa"/>
            <w:vAlign w:val="center"/>
          </w:tcPr>
          <w:p>
            <w:pPr>
              <w:keepNext w:val="0"/>
              <w:keepLines w:val="0"/>
              <w:pageBreakBefore w:val="0"/>
              <w:kinsoku/>
              <w:wordWrap/>
              <w:overflowPunct/>
              <w:topLinePunct w:val="0"/>
              <w:bidi w:val="0"/>
              <w:snapToGrid/>
              <w:spacing w:afterLines="0" w:line="240" w:lineRule="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根据投标人对开展新区河道交接断面、月湖常规监测断面、涉水重点企业区域、工业园区、入海排口等定期监测以及突发事件应急监测工作方案进行打分。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4"/>
                <w:szCs w:val="24"/>
                <w:highlight w:val="none"/>
                <w:lang w:val="en-US" w:eastAsia="zh-CN" w:bidi="ar-SA"/>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pacing w:val="-4"/>
                <w:sz w:val="24"/>
                <w:szCs w:val="24"/>
                <w:highlight w:val="none"/>
                <w:lang w:val="en-US" w:eastAsia="zh-CN"/>
              </w:rPr>
            </w:pPr>
          </w:p>
        </w:tc>
        <w:tc>
          <w:tcPr>
            <w:tcW w:w="5712" w:type="dxa"/>
            <w:vAlign w:val="center"/>
          </w:tcPr>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根据投标人对土壤重点监管单位周边风险点土壤监测及土壤调查质控工作方案进行打分。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4"/>
                <w:szCs w:val="24"/>
                <w:highlight w:val="none"/>
                <w:lang w:val="en-US" w:eastAsia="zh-CN"/>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pacing w:val="-4"/>
                <w:sz w:val="24"/>
                <w:szCs w:val="24"/>
                <w:highlight w:val="none"/>
                <w:lang w:val="en-US" w:eastAsia="zh-CN"/>
              </w:rPr>
            </w:pPr>
          </w:p>
        </w:tc>
        <w:tc>
          <w:tcPr>
            <w:tcW w:w="5712" w:type="dxa"/>
            <w:vAlign w:val="center"/>
          </w:tcPr>
          <w:p>
            <w:pPr>
              <w:pStyle w:val="4"/>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根据投标人对开展重点污染源自动监控设备的计量检定或校准的工作方案进行打分。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pStyle w:val="3"/>
              <w:ind w:left="0" w:leftChars="0"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4"/>
                <w:szCs w:val="24"/>
                <w:highlight w:val="none"/>
                <w:lang w:val="en-US" w:eastAsia="zh-CN"/>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pacing w:val="-4"/>
                <w:sz w:val="24"/>
                <w:szCs w:val="24"/>
                <w:highlight w:val="none"/>
                <w:lang w:val="en-US" w:eastAsia="zh-CN"/>
              </w:rPr>
            </w:pPr>
          </w:p>
        </w:tc>
        <w:tc>
          <w:tcPr>
            <w:tcW w:w="5712" w:type="dxa"/>
            <w:vAlign w:val="center"/>
          </w:tcPr>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根据投标人对本项目宁静小区创建整体工作提供的技术咨询综合服务方案进行打分。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sz w:val="24"/>
                <w:szCs w:val="24"/>
                <w:highlight w:val="none"/>
                <w:lang w:val="en-US" w:eastAsia="zh-CN"/>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4"/>
                <w:szCs w:val="24"/>
                <w:highlight w:val="none"/>
              </w:rPr>
            </w:pPr>
          </w:p>
        </w:tc>
        <w:tc>
          <w:tcPr>
            <w:tcW w:w="5712" w:type="dxa"/>
            <w:vAlign w:val="center"/>
          </w:tcPr>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根据投标人制定的现场运维工作方案进行打分。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4"/>
                <w:szCs w:val="24"/>
                <w:highlight w:val="none"/>
                <w:lang w:val="en-US" w:eastAsia="zh-CN" w:bidi="ar-SA"/>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4"/>
                <w:szCs w:val="24"/>
                <w:highlight w:val="none"/>
              </w:rPr>
            </w:pPr>
          </w:p>
        </w:tc>
        <w:tc>
          <w:tcPr>
            <w:tcW w:w="5712" w:type="dxa"/>
            <w:vAlign w:val="center"/>
          </w:tcPr>
          <w:p>
            <w:pPr>
              <w:keepNext w:val="0"/>
              <w:keepLines w:val="0"/>
              <w:pageBreakBefore w:val="0"/>
              <w:kinsoku/>
              <w:wordWrap/>
              <w:overflowPunct/>
              <w:topLinePunct w:val="0"/>
              <w:bidi w:val="0"/>
              <w:spacing w:afterLines="0" w:line="24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根据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制定</w:t>
            </w:r>
            <w:r>
              <w:rPr>
                <w:rFonts w:hint="eastAsia" w:ascii="宋体" w:hAnsi="宋体" w:eastAsia="宋体" w:cs="宋体"/>
                <w:b w:val="0"/>
                <w:bCs w:val="0"/>
                <w:color w:val="auto"/>
                <w:sz w:val="24"/>
                <w:szCs w:val="24"/>
                <w:highlight w:val="none"/>
                <w:u w:val="none"/>
              </w:rPr>
              <w:t>的</w:t>
            </w:r>
            <w:r>
              <w:rPr>
                <w:rFonts w:hint="eastAsia" w:ascii="宋体" w:hAnsi="宋体" w:eastAsia="宋体" w:cs="宋体"/>
                <w:b w:val="0"/>
                <w:bCs w:val="0"/>
                <w:color w:val="auto"/>
                <w:kern w:val="0"/>
                <w:sz w:val="24"/>
                <w:szCs w:val="24"/>
                <w:highlight w:val="none"/>
                <w:u w:val="none"/>
                <w:lang w:val="en-US" w:eastAsia="zh-CN" w:bidi="ar-SA"/>
              </w:rPr>
              <w:t>质量控制保障方案</w:t>
            </w:r>
            <w:r>
              <w:rPr>
                <w:rFonts w:hint="eastAsia" w:ascii="宋体" w:hAnsi="宋体" w:eastAsia="宋体" w:cs="宋体"/>
                <w:b w:val="0"/>
                <w:bCs w:val="0"/>
                <w:color w:val="auto"/>
                <w:sz w:val="24"/>
                <w:szCs w:val="24"/>
                <w:highlight w:val="none"/>
                <w:lang w:val="en-US" w:eastAsia="zh-CN"/>
              </w:rPr>
              <w:t>进行打分。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方案阐述详细全面、工作方法明确、内容完整、科学合理、针对性强、操作性强、符合项目需求的得4.0-5.0分；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方案基本合理、但内容分析欠到位、操作性不够强的得2.0-4.9分；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方案欠合理、但内容较差、无法保障项目完成质量的得0.1-1.9分；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4"/>
                <w:szCs w:val="24"/>
                <w:highlight w:val="none"/>
                <w:lang w:val="en-US" w:eastAsia="zh-CN" w:bidi="ar-SA"/>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档案管理制度</w:t>
            </w:r>
          </w:p>
        </w:tc>
        <w:tc>
          <w:tcPr>
            <w:tcW w:w="5712" w:type="dxa"/>
            <w:vAlign w:val="center"/>
          </w:tcPr>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根据本项目制定的档案管理制度是否科学、合理等情况进行打分。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档案管理制度</w:t>
            </w:r>
            <w:r>
              <w:rPr>
                <w:rFonts w:hint="eastAsia" w:ascii="宋体" w:hAnsi="宋体" w:eastAsia="宋体" w:cs="宋体"/>
                <w:color w:val="auto"/>
                <w:sz w:val="24"/>
                <w:szCs w:val="24"/>
                <w:highlight w:val="none"/>
              </w:rPr>
              <w:t>条理思路清晰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贴合实际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w:t>
            </w:r>
            <w:r>
              <w:rPr>
                <w:rFonts w:hint="eastAsia" w:ascii="宋体" w:hAnsi="宋体" w:eastAsia="宋体" w:cs="宋体"/>
                <w:color w:val="auto"/>
                <w:sz w:val="24"/>
                <w:szCs w:val="24"/>
                <w:highlight w:val="none"/>
              </w:rPr>
              <w:t>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针对性的得</w:t>
            </w:r>
            <w:r>
              <w:rPr>
                <w:rFonts w:hint="eastAsia" w:ascii="宋体" w:hAnsi="宋体" w:eastAsia="宋体" w:cs="宋体"/>
                <w:color w:val="auto"/>
                <w:sz w:val="24"/>
                <w:szCs w:val="24"/>
                <w:highlight w:val="none"/>
                <w:lang w:val="en-US" w:eastAsia="zh-CN"/>
              </w:rPr>
              <w:t>3.0-5.0</w:t>
            </w:r>
            <w:r>
              <w:rPr>
                <w:rFonts w:hint="eastAsia" w:ascii="宋体" w:hAnsi="宋体" w:eastAsia="宋体" w:cs="宋体"/>
                <w:color w:val="auto"/>
                <w:sz w:val="24"/>
                <w:szCs w:val="24"/>
                <w:highlight w:val="none"/>
              </w:rPr>
              <w:t>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方案基本合理、但内容</w:t>
            </w:r>
            <w:r>
              <w:rPr>
                <w:rFonts w:hint="eastAsia" w:ascii="宋体" w:hAnsi="宋体" w:eastAsia="宋体" w:cs="宋体"/>
                <w:color w:val="auto"/>
                <w:kern w:val="2"/>
                <w:sz w:val="24"/>
                <w:szCs w:val="24"/>
                <w:highlight w:val="none"/>
                <w:lang w:eastAsia="zh-CN"/>
              </w:rPr>
              <w:t>分析欠到位</w:t>
            </w:r>
            <w:r>
              <w:rPr>
                <w:rFonts w:hint="eastAsia" w:ascii="宋体" w:hAnsi="宋体" w:eastAsia="宋体" w:cs="宋体"/>
                <w:b w:val="0"/>
                <w:color w:val="auto"/>
                <w:sz w:val="24"/>
                <w:szCs w:val="24"/>
                <w:highlight w:val="none"/>
                <w:lang w:val="en-US" w:eastAsia="zh-CN"/>
              </w:rPr>
              <w:t>、可行</w:t>
            </w:r>
            <w:r>
              <w:rPr>
                <w:rFonts w:hint="eastAsia" w:ascii="宋体" w:hAnsi="宋体" w:eastAsia="宋体" w:cs="宋体"/>
                <w:color w:val="auto"/>
                <w:sz w:val="24"/>
                <w:szCs w:val="24"/>
                <w:highlight w:val="none"/>
              </w:rPr>
              <w:t>性</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强</w:t>
            </w:r>
            <w:r>
              <w:rPr>
                <w:rFonts w:hint="eastAsia" w:ascii="宋体" w:hAnsi="宋体" w:eastAsia="宋体" w:cs="宋体"/>
                <w:b w:val="0"/>
                <w:color w:val="auto"/>
                <w:sz w:val="24"/>
                <w:szCs w:val="24"/>
                <w:highlight w:val="none"/>
                <w:lang w:val="en-US" w:eastAsia="zh-CN"/>
              </w:rPr>
              <w:t>的得1.0-2.9分；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方案欠合理、但内容较差、</w:t>
            </w:r>
            <w:r>
              <w:rPr>
                <w:rFonts w:hint="eastAsia" w:ascii="宋体" w:hAnsi="宋体" w:eastAsia="宋体" w:cs="宋体"/>
                <w:color w:val="auto"/>
                <w:sz w:val="24"/>
                <w:szCs w:val="24"/>
                <w:highlight w:val="none"/>
                <w:lang w:val="en-US" w:eastAsia="zh-CN"/>
              </w:rPr>
              <w:t>可行性差</w:t>
            </w:r>
            <w:r>
              <w:rPr>
                <w:rFonts w:hint="eastAsia" w:ascii="宋体" w:hAnsi="宋体" w:eastAsia="宋体" w:cs="宋体"/>
                <w:b w:val="0"/>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0.1-0.9</w:t>
            </w:r>
            <w:r>
              <w:rPr>
                <w:rFonts w:hint="eastAsia" w:ascii="宋体" w:hAnsi="宋体" w:eastAsia="宋体" w:cs="宋体"/>
                <w:b w:val="0"/>
                <w:color w:val="auto"/>
                <w:sz w:val="24"/>
                <w:szCs w:val="24"/>
                <w:highlight w:val="none"/>
                <w:lang w:val="en-US" w:eastAsia="zh-CN"/>
              </w:rPr>
              <w:t>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r>
              <w:rPr>
                <w:rFonts w:hint="eastAsia" w:ascii="宋体" w:hAnsi="宋体" w:eastAsia="宋体" w:cs="宋体"/>
                <w:color w:val="auto"/>
                <w:sz w:val="24"/>
                <w:szCs w:val="24"/>
                <w:highlight w:val="none"/>
              </w:rPr>
              <w:t xml:space="preserve"> </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spacing w:val="-4"/>
                <w:kern w:val="2"/>
                <w:sz w:val="24"/>
                <w:szCs w:val="24"/>
                <w:highlight w:val="none"/>
                <w:lang w:val="en-US" w:eastAsia="zh-CN" w:bidi="ar-SA"/>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Align w:val="center"/>
          </w:tcPr>
          <w:p>
            <w:pPr>
              <w:keepNext w:val="0"/>
              <w:keepLines w:val="0"/>
              <w:pageBreakBefore w:val="0"/>
              <w:kinsoku/>
              <w:wordWrap/>
              <w:overflowPunct/>
              <w:topLinePunct w:val="0"/>
              <w:bidi w:val="0"/>
              <w:snapToGrid/>
              <w:spacing w:beforeAutospacing="0" w:afterLines="0" w:afterAutospacing="0" w:line="240" w:lineRule="auto"/>
              <w:ind w:left="0" w:leftChars="0"/>
              <w:jc w:val="center"/>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应急预案</w:t>
            </w:r>
          </w:p>
        </w:tc>
        <w:tc>
          <w:tcPr>
            <w:tcW w:w="5712" w:type="dxa"/>
            <w:vAlign w:val="center"/>
          </w:tcPr>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根据制定的现场突发事件应急预案情况进行打分。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应急预案</w:t>
            </w:r>
            <w:r>
              <w:rPr>
                <w:rFonts w:hint="eastAsia" w:ascii="宋体" w:hAnsi="宋体" w:eastAsia="宋体" w:cs="宋体"/>
                <w:color w:val="auto"/>
                <w:sz w:val="24"/>
                <w:szCs w:val="24"/>
                <w:highlight w:val="none"/>
              </w:rPr>
              <w:t>条理思路清晰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贴合实际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w:t>
            </w:r>
            <w:r>
              <w:rPr>
                <w:rFonts w:hint="eastAsia" w:ascii="宋体" w:hAnsi="宋体" w:eastAsia="宋体" w:cs="宋体"/>
                <w:color w:val="auto"/>
                <w:sz w:val="24"/>
                <w:szCs w:val="24"/>
                <w:highlight w:val="none"/>
              </w:rPr>
              <w:t>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针对性的得</w:t>
            </w:r>
            <w:r>
              <w:rPr>
                <w:rFonts w:hint="eastAsia" w:ascii="宋体" w:hAnsi="宋体" w:eastAsia="宋体" w:cs="宋体"/>
                <w:color w:val="auto"/>
                <w:sz w:val="24"/>
                <w:szCs w:val="24"/>
                <w:highlight w:val="none"/>
                <w:lang w:val="en-US" w:eastAsia="zh-CN"/>
              </w:rPr>
              <w:t>3.0-5.0</w:t>
            </w:r>
            <w:r>
              <w:rPr>
                <w:rFonts w:hint="eastAsia" w:ascii="宋体" w:hAnsi="宋体" w:eastAsia="宋体" w:cs="宋体"/>
                <w:color w:val="auto"/>
                <w:sz w:val="24"/>
                <w:szCs w:val="24"/>
                <w:highlight w:val="none"/>
              </w:rPr>
              <w:t>分；</w:t>
            </w:r>
          </w:p>
          <w:p>
            <w:pPr>
              <w:keepNext w:val="0"/>
              <w:keepLines w:val="0"/>
              <w:pageBreakBefore w:val="0"/>
              <w:tabs>
                <w:tab w:val="left" w:pos="2061"/>
              </w:tabs>
              <w:kinsoku/>
              <w:wordWrap/>
              <w:overflowPunct/>
              <w:topLinePunct w:val="0"/>
              <w:bidi w:val="0"/>
              <w:spacing w:beforeAutospacing="0" w:afterLines="0" w:afterAutospacing="0" w:line="240" w:lineRule="auto"/>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预案基本合理、但内容</w:t>
            </w:r>
            <w:r>
              <w:rPr>
                <w:rFonts w:hint="eastAsia" w:ascii="宋体" w:hAnsi="宋体" w:eastAsia="宋体" w:cs="宋体"/>
                <w:color w:val="auto"/>
                <w:kern w:val="2"/>
                <w:sz w:val="24"/>
                <w:szCs w:val="24"/>
                <w:highlight w:val="none"/>
                <w:lang w:eastAsia="zh-CN"/>
              </w:rPr>
              <w:t>分析欠到位</w:t>
            </w:r>
            <w:r>
              <w:rPr>
                <w:rFonts w:hint="eastAsia" w:ascii="宋体" w:hAnsi="宋体" w:eastAsia="宋体" w:cs="宋体"/>
                <w:b w:val="0"/>
                <w:color w:val="auto"/>
                <w:sz w:val="24"/>
                <w:szCs w:val="24"/>
                <w:highlight w:val="none"/>
                <w:lang w:val="en-US" w:eastAsia="zh-CN"/>
              </w:rPr>
              <w:t>、可行</w:t>
            </w:r>
            <w:r>
              <w:rPr>
                <w:rFonts w:hint="eastAsia" w:ascii="宋体" w:hAnsi="宋体" w:eastAsia="宋体" w:cs="宋体"/>
                <w:color w:val="auto"/>
                <w:sz w:val="24"/>
                <w:szCs w:val="24"/>
                <w:highlight w:val="none"/>
              </w:rPr>
              <w:t>性</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rPr>
              <w:t>强</w:t>
            </w:r>
            <w:r>
              <w:rPr>
                <w:rFonts w:hint="eastAsia" w:ascii="宋体" w:hAnsi="宋体" w:eastAsia="宋体" w:cs="宋体"/>
                <w:b w:val="0"/>
                <w:color w:val="auto"/>
                <w:sz w:val="24"/>
                <w:szCs w:val="24"/>
                <w:highlight w:val="none"/>
                <w:lang w:val="en-US" w:eastAsia="zh-CN"/>
              </w:rPr>
              <w:t>的得1.0-2.9分；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应急预案</w:t>
            </w:r>
            <w:r>
              <w:rPr>
                <w:rFonts w:hint="eastAsia" w:ascii="宋体" w:hAnsi="宋体" w:eastAsia="宋体" w:cs="宋体"/>
                <w:color w:val="auto"/>
                <w:sz w:val="24"/>
                <w:szCs w:val="24"/>
                <w:highlight w:val="none"/>
                <w:lang w:val="en-US" w:eastAsia="zh-CN"/>
              </w:rPr>
              <w:t>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内容不完善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0.1-0.9</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r>
              <w:rPr>
                <w:rFonts w:hint="eastAsia" w:ascii="宋体" w:hAnsi="宋体" w:eastAsia="宋体" w:cs="宋体"/>
                <w:color w:val="auto"/>
                <w:sz w:val="24"/>
                <w:szCs w:val="24"/>
                <w:highlight w:val="none"/>
              </w:rPr>
              <w:t xml:space="preserve"> </w:t>
            </w:r>
          </w:p>
        </w:tc>
        <w:tc>
          <w:tcPr>
            <w:tcW w:w="673" w:type="dxa"/>
            <w:vAlign w:val="center"/>
          </w:tcPr>
          <w:p>
            <w:pPr>
              <w:keepNext w:val="0"/>
              <w:keepLines w:val="0"/>
              <w:pageBreakBefore w:val="0"/>
              <w:kinsoku/>
              <w:wordWrap/>
              <w:overflowPunct/>
              <w:topLinePunct w:val="0"/>
              <w:bidi w:val="0"/>
              <w:spacing w:beforeAutospacing="0" w:afterLines="0" w:afterAutospacing="0" w:line="240" w:lineRule="auto"/>
              <w:ind w:left="0" w:lef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pacing w:val="-4"/>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后续</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方案</w:t>
            </w:r>
          </w:p>
        </w:tc>
        <w:tc>
          <w:tcPr>
            <w:tcW w:w="5712" w:type="dxa"/>
            <w:vAlign w:val="center"/>
          </w:tcPr>
          <w:p>
            <w:pPr>
              <w:keepNext w:val="0"/>
              <w:keepLines w:val="0"/>
              <w:pageBreakBefore w:val="0"/>
              <w:suppressLineNumbers w:val="0"/>
              <w:kinsoku/>
              <w:wordWrap/>
              <w:overflowPunct/>
              <w:topLinePunct w:val="0"/>
              <w:bidi w:val="0"/>
              <w:spacing w:before="0" w:beforeAutospacing="0" w:afterLines="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1.为确保本项目</w:t>
            </w:r>
            <w:r>
              <w:rPr>
                <w:rFonts w:hint="eastAsia" w:ascii="宋体" w:hAnsi="宋体" w:eastAsia="宋体" w:cs="宋体"/>
                <w:color w:val="auto"/>
                <w:kern w:val="0"/>
                <w:sz w:val="24"/>
                <w:szCs w:val="24"/>
                <w:highlight w:val="none"/>
                <w:lang w:val="en-US" w:eastAsia="zh-CN"/>
              </w:rPr>
              <w:t>各项</w:t>
            </w:r>
            <w:r>
              <w:rPr>
                <w:rFonts w:hint="eastAsia" w:ascii="宋体" w:hAnsi="宋体" w:eastAsia="宋体" w:cs="宋体"/>
                <w:color w:val="auto"/>
                <w:kern w:val="0"/>
                <w:sz w:val="24"/>
                <w:szCs w:val="24"/>
                <w:highlight w:val="none"/>
              </w:rPr>
              <w:t>工作及时响应，</w:t>
            </w:r>
            <w:r>
              <w:rPr>
                <w:rFonts w:hint="eastAsia" w:ascii="宋体" w:hAnsi="宋体" w:eastAsia="宋体" w:cs="宋体"/>
                <w:color w:val="auto"/>
                <w:kern w:val="0"/>
                <w:sz w:val="24"/>
                <w:szCs w:val="24"/>
                <w:highlight w:val="none"/>
                <w:lang w:val="en-US" w:eastAsia="zh-CN"/>
              </w:rPr>
              <w:t>投标人在项目实施地市区</w:t>
            </w:r>
            <w:r>
              <w:rPr>
                <w:rFonts w:hint="eastAsia" w:ascii="宋体" w:hAnsi="宋体" w:eastAsia="宋体" w:cs="宋体"/>
                <w:color w:val="auto"/>
                <w:kern w:val="0"/>
                <w:sz w:val="24"/>
                <w:szCs w:val="24"/>
                <w:highlight w:val="none"/>
              </w:rPr>
              <w:t>设</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固定服务网点（或办事机构）</w:t>
            </w:r>
            <w:r>
              <w:rPr>
                <w:rFonts w:hint="eastAsia" w:ascii="宋体" w:hAnsi="宋体" w:eastAsia="宋体" w:cs="宋体"/>
                <w:color w:val="auto"/>
                <w:kern w:val="0"/>
                <w:sz w:val="24"/>
                <w:szCs w:val="24"/>
                <w:highlight w:val="none"/>
                <w:lang w:val="en-US" w:eastAsia="zh-CN"/>
              </w:rPr>
              <w:t>或承诺在中标后1个月内在项目实施地市区设置</w:t>
            </w:r>
            <w:r>
              <w:rPr>
                <w:rFonts w:hint="eastAsia" w:ascii="宋体" w:hAnsi="宋体" w:eastAsia="宋体" w:cs="宋体"/>
                <w:color w:val="auto"/>
                <w:kern w:val="0"/>
                <w:sz w:val="24"/>
                <w:szCs w:val="24"/>
                <w:highlight w:val="none"/>
              </w:rPr>
              <w:t>固定服务网点（或办事机构）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分，不符合的得0分</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承诺</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个月内在</w:t>
            </w:r>
            <w:r>
              <w:rPr>
                <w:rFonts w:hint="eastAsia" w:ascii="宋体" w:hAnsi="宋体" w:eastAsia="宋体" w:cs="宋体"/>
                <w:color w:val="auto"/>
                <w:kern w:val="0"/>
                <w:sz w:val="24"/>
                <w:szCs w:val="24"/>
                <w:highlight w:val="none"/>
                <w:lang w:val="en-US" w:eastAsia="zh-CN"/>
              </w:rPr>
              <w:t>项目实施地</w:t>
            </w:r>
            <w:r>
              <w:rPr>
                <w:rFonts w:hint="eastAsia" w:ascii="宋体" w:hAnsi="宋体" w:eastAsia="宋体" w:cs="宋体"/>
                <w:color w:val="auto"/>
                <w:kern w:val="0"/>
                <w:sz w:val="24"/>
                <w:szCs w:val="24"/>
                <w:highlight w:val="none"/>
              </w:rPr>
              <w:t>范围内设立本项目相关设备的备品备件库或已经在</w:t>
            </w:r>
            <w:r>
              <w:rPr>
                <w:rFonts w:hint="eastAsia" w:ascii="宋体" w:hAnsi="宋体" w:eastAsia="宋体" w:cs="宋体"/>
                <w:color w:val="auto"/>
                <w:kern w:val="0"/>
                <w:sz w:val="24"/>
                <w:szCs w:val="24"/>
                <w:highlight w:val="none"/>
                <w:lang w:val="en-US" w:eastAsia="zh-CN"/>
              </w:rPr>
              <w:t>项目实施地</w:t>
            </w:r>
            <w:r>
              <w:rPr>
                <w:rFonts w:hint="eastAsia" w:ascii="宋体" w:hAnsi="宋体" w:eastAsia="宋体" w:cs="宋体"/>
                <w:color w:val="auto"/>
                <w:kern w:val="0"/>
                <w:sz w:val="24"/>
                <w:szCs w:val="24"/>
                <w:highlight w:val="none"/>
              </w:rPr>
              <w:t>范围内设有本项目相关设备的备品备件库（须提供相关照片证明），符合的得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分，不符合的得0分。</w:t>
            </w:r>
          </w:p>
          <w:p>
            <w:pPr>
              <w:pStyle w:val="4"/>
              <w:keepNext w:val="0"/>
              <w:keepLines w:val="0"/>
              <w:pageBreakBefore w:val="0"/>
              <w:kinsoku/>
              <w:wordWrap/>
              <w:overflowPunct/>
              <w:topLinePunct w:val="0"/>
              <w:bidi w:val="0"/>
              <w:spacing w:after="0" w:afterLines="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提供相关证明材料或承诺函加盖投标人公章编入投标文件中，未提供或不符合要求的不得分</w:t>
            </w:r>
            <w:r>
              <w:rPr>
                <w:rFonts w:hint="eastAsia" w:ascii="宋体" w:hAnsi="宋体" w:eastAsia="宋体" w:cs="宋体"/>
                <w:b/>
                <w:bCs/>
                <w:color w:val="auto"/>
                <w:kern w:val="0"/>
                <w:sz w:val="24"/>
                <w:szCs w:val="24"/>
                <w:highlight w:val="none"/>
                <w:lang w:eastAsia="zh-CN"/>
              </w:rPr>
              <w:t>）</w:t>
            </w:r>
          </w:p>
        </w:tc>
        <w:tc>
          <w:tcPr>
            <w:tcW w:w="673" w:type="dxa"/>
            <w:vAlign w:val="center"/>
          </w:tcPr>
          <w:p>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kern w:val="2"/>
                <w:sz w:val="24"/>
                <w:szCs w:val="24"/>
                <w:highlight w:val="none"/>
                <w:lang w:val="en-US" w:eastAsia="zh-CN" w:bidi="ar-SA"/>
              </w:rPr>
            </w:pPr>
            <w:r>
              <w:rPr>
                <w:rFonts w:hint="eastAsia" w:ascii="宋体" w:hAnsi="宋体" w:eastAsia="宋体" w:cs="宋体"/>
                <w:b w:val="0"/>
                <w:i w:val="0"/>
                <w:caps w:val="0"/>
                <w:color w:val="auto"/>
                <w:spacing w:val="0"/>
                <w:w w:val="10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1047" w:type="dxa"/>
            <w:vMerge w:val="continue"/>
            <w:vAlign w:val="center"/>
          </w:tcPr>
          <w:p>
            <w:pPr>
              <w:keepNext w:val="0"/>
              <w:keepLines w:val="0"/>
              <w:pageBreakBefore w:val="0"/>
              <w:widowControl/>
              <w:kinsoku/>
              <w:wordWrap/>
              <w:overflowPunct/>
              <w:topLinePunct w:val="0"/>
              <w:autoSpaceDE/>
              <w:autoSpaceDN/>
              <w:bidi w:val="0"/>
              <w:spacing w:afterLines="0" w:line="240" w:lineRule="auto"/>
              <w:jc w:val="center"/>
              <w:textAlignment w:val="auto"/>
              <w:rPr>
                <w:rFonts w:hint="eastAsia" w:ascii="宋体" w:hAnsi="宋体" w:eastAsia="宋体" w:cs="宋体"/>
                <w:color w:val="auto"/>
                <w:sz w:val="24"/>
                <w:szCs w:val="24"/>
                <w:highlight w:val="none"/>
                <w:lang w:val="en-US" w:eastAsia="zh-CN"/>
              </w:rPr>
            </w:pPr>
          </w:p>
        </w:tc>
        <w:tc>
          <w:tcPr>
            <w:tcW w:w="1220" w:type="dxa"/>
            <w:vMerge w:val="continue"/>
            <w:vAlign w:val="center"/>
          </w:tcPr>
          <w:p>
            <w:pPr>
              <w:keepNext w:val="0"/>
              <w:keepLines w:val="0"/>
              <w:pageBreakBefore w:val="0"/>
              <w:kinsoku/>
              <w:wordWrap/>
              <w:overflowPunct/>
              <w:topLinePunct w:val="0"/>
              <w:bidi w:val="0"/>
              <w:spacing w:afterLines="0" w:line="240" w:lineRule="auto"/>
              <w:jc w:val="center"/>
              <w:textAlignment w:val="auto"/>
              <w:rPr>
                <w:rFonts w:hint="eastAsia" w:ascii="宋体" w:hAnsi="宋体" w:eastAsia="宋体" w:cs="宋体"/>
                <w:color w:val="auto"/>
                <w:sz w:val="24"/>
                <w:szCs w:val="24"/>
                <w:highlight w:val="none"/>
              </w:rPr>
            </w:pPr>
          </w:p>
        </w:tc>
        <w:tc>
          <w:tcPr>
            <w:tcW w:w="5712" w:type="dxa"/>
            <w:vAlign w:val="center"/>
          </w:tcPr>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根据投标人承诺提供的后续服务方案（服务能力、服务措施、服务承诺等方面）情况，包括服务承诺的可行性、完整性以及后续实施保障措施等进行打分。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服务方案全面、后续实施保障措施合理有效的得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.0分；</w:t>
            </w:r>
          </w:p>
          <w:p>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服务方案阐述较详尽，后续实施保障措施有欠缺的得0.1-0.9分；</w:t>
            </w:r>
          </w:p>
          <w:p>
            <w:pPr>
              <w:keepNext w:val="0"/>
              <w:keepLines w:val="0"/>
              <w:pageBreakBefore w:val="0"/>
              <w:kinsoku/>
              <w:wordWrap/>
              <w:overflowPunct/>
              <w:topLinePunct w:val="0"/>
              <w:bidi w:val="0"/>
              <w:snapToGrid/>
              <w:spacing w:afterLines="0" w:line="240" w:lineRule="auto"/>
              <w:rPr>
                <w:rFonts w:hint="eastAsia" w:ascii="宋体" w:hAnsi="宋体" w:eastAsia="宋体" w:cs="宋体"/>
                <w:strike/>
                <w:dstrike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未提及此项不得分。</w:t>
            </w:r>
          </w:p>
        </w:tc>
        <w:tc>
          <w:tcPr>
            <w:tcW w:w="673" w:type="dxa"/>
            <w:vAlign w:val="center"/>
          </w:tcPr>
          <w:p>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b w:val="0"/>
                <w:i w:val="0"/>
                <w:caps w:val="0"/>
                <w:color w:val="auto"/>
                <w:spacing w:val="0"/>
                <w:w w:val="10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2267" w:type="dxa"/>
            <w:gridSpan w:val="2"/>
            <w:vAlign w:val="center"/>
          </w:tcPr>
          <w:p>
            <w:pPr>
              <w:keepNext w:val="0"/>
              <w:keepLines w:val="0"/>
              <w:pageBreakBefore w:val="0"/>
              <w:widowControl/>
              <w:kinsoku/>
              <w:wordWrap/>
              <w:overflowPunct/>
              <w:topLinePunct w:val="0"/>
              <w:autoSpaceDE/>
              <w:autoSpaceDN/>
              <w:bidi w:val="0"/>
              <w:adjustRightInd w:val="0"/>
              <w:snapToGrid w:val="0"/>
              <w:spacing w:beforeAutospacing="0" w:afterLines="0" w:line="240"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价格分（20分）</w:t>
            </w:r>
          </w:p>
        </w:tc>
        <w:tc>
          <w:tcPr>
            <w:tcW w:w="5712"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Lines="0"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取投标合格供应商的最终投标报价最低价为评标基准价，基准价为20分。投标报价得分=(评标基准价/最终投标报价)×20%×100。（小数点后保留2位小数）。</w:t>
            </w:r>
          </w:p>
        </w:tc>
        <w:tc>
          <w:tcPr>
            <w:tcW w:w="673" w:type="dxa"/>
            <w:vAlign w:val="center"/>
          </w:tcPr>
          <w:p>
            <w:pPr>
              <w:pStyle w:val="9"/>
              <w:keepNext w:val="0"/>
              <w:keepLines w:val="0"/>
              <w:pageBreakBefore w:val="0"/>
              <w:kinsoku/>
              <w:wordWrap/>
              <w:overflowPunct/>
              <w:topLinePunct w:val="0"/>
              <w:autoSpaceDE/>
              <w:autoSpaceDN/>
              <w:bidi w:val="0"/>
              <w:spacing w:after="0" w:afterLines="0" w:line="24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r>
    </w:tbl>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083C"/>
    <w:multiLevelType w:val="singleLevel"/>
    <w:tmpl w:val="259208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F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Body Text First Indent"/>
    <w:basedOn w:val="4"/>
    <w:qFormat/>
    <w:uiPriority w:val="0"/>
    <w:pPr>
      <w:ind w:firstLine="200" w:firstLineChars="200"/>
    </w:pPr>
  </w:style>
  <w:style w:type="paragraph" w:styleId="4">
    <w:name w:val="Body Text"/>
    <w:basedOn w:val="1"/>
    <w:qFormat/>
    <w:uiPriority w:val="0"/>
    <w:pPr>
      <w:spacing w:line="360" w:lineRule="exact"/>
    </w:pPr>
    <w:rPr>
      <w:sz w:val="24"/>
    </w:rPr>
  </w:style>
  <w:style w:type="paragraph" w:styleId="5">
    <w:name w:val="Body Text Indent"/>
    <w:basedOn w:val="1"/>
    <w:next w:val="1"/>
    <w:qFormat/>
    <w:uiPriority w:val="0"/>
    <w:pPr>
      <w:spacing w:after="120"/>
      <w:ind w:left="420" w:leftChars="200"/>
    </w:pPr>
  </w:style>
  <w:style w:type="paragraph" w:styleId="6">
    <w:name w:val="Plain Text"/>
    <w:basedOn w:val="1"/>
    <w:next w:val="7"/>
    <w:qFormat/>
    <w:uiPriority w:val="0"/>
    <w:rPr>
      <w:rFonts w:ascii="宋体" w:hAnsi="Courier New" w:cs="宋体"/>
    </w:rPr>
  </w:style>
  <w:style w:type="paragraph" w:styleId="7">
    <w:name w:val="Date"/>
    <w:basedOn w:val="1"/>
    <w:next w:val="1"/>
    <w:qFormat/>
    <w:uiPriority w:val="0"/>
    <w:pPr>
      <w:ind w:left="2500" w:leftChars="2500"/>
    </w:pPr>
    <w:rPr>
      <w:rFonts w:ascii="Calibri" w:hAnsi="Calibri" w:eastAsia="楷体_GB2312" w:cs="宋体"/>
      <w:sz w:val="32"/>
      <w:szCs w:val="22"/>
    </w:rPr>
  </w:style>
  <w:style w:type="paragraph" w:styleId="8">
    <w:name w:val="Body Text First Indent 2"/>
    <w:basedOn w:val="5"/>
    <w:next w:val="1"/>
    <w:qFormat/>
    <w:uiPriority w:val="0"/>
    <w:pPr>
      <w:ind w:firstLine="420"/>
    </w:pPr>
  </w:style>
  <w:style w:type="paragraph" w:styleId="9">
    <w:name w:val="Body Text Indent 3"/>
    <w:basedOn w:val="1"/>
    <w:qFormat/>
    <w:uiPriority w:val="0"/>
    <w:pPr>
      <w:spacing w:after="120" w:afterLines="0"/>
      <w:ind w:left="420" w:leftChars="200"/>
    </w:pPr>
    <w:rPr>
      <w:sz w:val="16"/>
      <w:szCs w:val="16"/>
    </w:rPr>
  </w:style>
  <w:style w:type="table" w:styleId="12">
    <w:name w:val="Table Grid"/>
    <w:basedOn w:val="1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13">
    <w:name w:val="签发人"/>
    <w:basedOn w:val="1"/>
    <w:qFormat/>
    <w:uiPriority w:val="0"/>
    <w:rPr>
      <w:rFonts w:eastAsia="楷体"/>
      <w:sz w:val="32"/>
    </w:rPr>
  </w:style>
  <w:style w:type="character" w:customStyle="1" w:styleId="14">
    <w:name w:val="NormalCharacter"/>
    <w:link w:val="15"/>
    <w:qFormat/>
    <w:uiPriority w:val="0"/>
    <w:rPr>
      <w:rFonts w:ascii="黑体" w:eastAsia="黑体"/>
      <w:kern w:val="0"/>
      <w:sz w:val="24"/>
    </w:rPr>
  </w:style>
  <w:style w:type="paragraph" w:customStyle="1" w:styleId="15">
    <w:name w:val="UserStyle_23"/>
    <w:basedOn w:val="1"/>
    <w:link w:val="14"/>
    <w:qFormat/>
    <w:uiPriority w:val="0"/>
    <w:pPr>
      <w:textAlignment w:val="baseline"/>
    </w:pPr>
    <w:rPr>
      <w:rFonts w:ascii="黑体" w:eastAsia="黑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2025-06-06T06:26:27Z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