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CD8F2">
      <w:pPr>
        <w:widowControl w:val="0"/>
        <w:tabs>
          <w:tab w:val="left" w:pos="105"/>
          <w:tab w:val="left" w:pos="735"/>
          <w:tab w:val="left" w:pos="945"/>
          <w:tab w:val="left" w:pos="3360"/>
        </w:tabs>
        <w:spacing w:line="500" w:lineRule="exact"/>
        <w:jc w:val="center"/>
        <w:rPr>
          <w:rFonts w:hint="eastAsia" w:ascii="宋体" w:hAnsi="宋体" w:eastAsia="宋体" w:cs="宋体"/>
          <w:b/>
          <w:sz w:val="36"/>
        </w:rPr>
      </w:pPr>
    </w:p>
    <w:p w14:paraId="078F16BA">
      <w:pPr>
        <w:spacing w:line="500" w:lineRule="exact"/>
        <w:rPr>
          <w:rFonts w:hint="eastAsia" w:ascii="宋体" w:hAnsi="宋体" w:eastAsia="宋体" w:cs="宋体"/>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1877060</wp:posOffset>
            </wp:positionH>
            <wp:positionV relativeFrom="paragraph">
              <wp:posOffset>288290</wp:posOffset>
            </wp:positionV>
            <wp:extent cx="1469390" cy="1346200"/>
            <wp:effectExtent l="0" t="0" r="1651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469390" cy="1346200"/>
                    </a:xfrm>
                    <a:prstGeom prst="rect">
                      <a:avLst/>
                    </a:prstGeom>
                    <a:noFill/>
                    <a:ln>
                      <a:noFill/>
                    </a:ln>
                  </pic:spPr>
                </pic:pic>
              </a:graphicData>
            </a:graphic>
          </wp:anchor>
        </w:drawing>
      </w:r>
    </w:p>
    <w:p w14:paraId="5CC720AA">
      <w:pPr>
        <w:spacing w:line="1000" w:lineRule="exact"/>
        <w:jc w:val="center"/>
        <w:rPr>
          <w:rFonts w:hint="eastAsia" w:ascii="宋体" w:hAnsi="宋体" w:eastAsia="宋体" w:cs="宋体"/>
          <w:sz w:val="72"/>
        </w:rPr>
      </w:pPr>
    </w:p>
    <w:p w14:paraId="4317BAEB">
      <w:pPr>
        <w:spacing w:line="360" w:lineRule="auto"/>
        <w:jc w:val="center"/>
        <w:rPr>
          <w:rFonts w:hint="eastAsia" w:ascii="宋体" w:hAnsi="宋体" w:eastAsia="宋体" w:cs="宋体"/>
          <w:sz w:val="72"/>
          <w:szCs w:val="72"/>
        </w:rPr>
      </w:pPr>
    </w:p>
    <w:p w14:paraId="2FECE801">
      <w:pPr>
        <w:pStyle w:val="19"/>
        <w:rPr>
          <w:rFonts w:hint="eastAsia" w:ascii="宋体" w:hAnsi="宋体" w:eastAsia="宋体" w:cs="宋体"/>
        </w:rPr>
      </w:pPr>
    </w:p>
    <w:p w14:paraId="751E52FD">
      <w:pPr>
        <w:pStyle w:val="19"/>
        <w:rPr>
          <w:rFonts w:hint="eastAsia" w:ascii="宋体" w:hAnsi="宋体" w:eastAsia="宋体" w:cs="宋体"/>
        </w:rPr>
      </w:pPr>
    </w:p>
    <w:p w14:paraId="0BAE37D8">
      <w:pPr>
        <w:spacing w:line="360" w:lineRule="auto"/>
        <w:jc w:val="center"/>
        <w:rPr>
          <w:rFonts w:hint="eastAsia" w:ascii="宋体" w:hAnsi="宋体" w:eastAsia="宋体" w:cs="宋体"/>
          <w:b/>
          <w:bCs/>
          <w:sz w:val="72"/>
        </w:rPr>
      </w:pPr>
    </w:p>
    <w:p w14:paraId="30267F33">
      <w:pPr>
        <w:spacing w:line="360" w:lineRule="auto"/>
        <w:jc w:val="center"/>
        <w:rPr>
          <w:rFonts w:hint="eastAsia" w:ascii="宋体" w:hAnsi="宋体" w:eastAsia="宋体" w:cs="宋体"/>
          <w:b/>
          <w:bCs/>
          <w:sz w:val="72"/>
        </w:rPr>
      </w:pPr>
      <w:r>
        <w:rPr>
          <w:rFonts w:hint="eastAsia" w:ascii="宋体" w:hAnsi="宋体" w:eastAsia="宋体" w:cs="宋体"/>
          <w:b/>
          <w:bCs/>
          <w:sz w:val="72"/>
        </w:rPr>
        <w:t>竞争性磋商文件</w:t>
      </w:r>
    </w:p>
    <w:p w14:paraId="5BCBAED1">
      <w:pPr>
        <w:spacing w:line="360" w:lineRule="auto"/>
        <w:jc w:val="both"/>
        <w:rPr>
          <w:rFonts w:hint="eastAsia" w:ascii="宋体" w:hAnsi="宋体" w:eastAsia="宋体" w:cs="宋体"/>
          <w:sz w:val="32"/>
        </w:rPr>
      </w:pPr>
    </w:p>
    <w:p w14:paraId="4D84D0A4">
      <w:pPr>
        <w:pStyle w:val="19"/>
        <w:rPr>
          <w:rFonts w:hint="eastAsia" w:ascii="宋体" w:hAnsi="宋体" w:eastAsia="宋体" w:cs="宋体"/>
        </w:rPr>
      </w:pPr>
    </w:p>
    <w:p w14:paraId="6238E479">
      <w:pPr>
        <w:spacing w:line="360" w:lineRule="auto"/>
        <w:ind w:firstLine="1400" w:firstLineChars="500"/>
        <w:jc w:val="both"/>
        <w:rPr>
          <w:rFonts w:hint="eastAsia" w:ascii="宋体" w:hAnsi="宋体" w:eastAsia="宋体" w:cs="宋体"/>
          <w:bCs/>
          <w:sz w:val="28"/>
          <w:szCs w:val="28"/>
          <w:lang w:eastAsia="zh-CN"/>
        </w:rPr>
      </w:pPr>
      <w:r>
        <w:rPr>
          <w:rFonts w:hint="eastAsia" w:ascii="宋体" w:hAnsi="宋体" w:eastAsia="宋体" w:cs="宋体"/>
          <w:bCs/>
          <w:sz w:val="28"/>
          <w:szCs w:val="28"/>
        </w:rPr>
        <w:t xml:space="preserve">项目编号： </w:t>
      </w:r>
      <w:r>
        <w:rPr>
          <w:rFonts w:hint="eastAsia" w:ascii="宋体" w:hAnsi="宋体" w:cs="宋体"/>
          <w:bCs/>
          <w:sz w:val="28"/>
          <w:szCs w:val="28"/>
          <w:lang w:eastAsia="zh-CN"/>
        </w:rPr>
        <w:t>TZFD(2025)-1023号</w:t>
      </w:r>
    </w:p>
    <w:p w14:paraId="4152E9CA">
      <w:pPr>
        <w:tabs>
          <w:tab w:val="left" w:pos="7770"/>
          <w:tab w:val="left" w:pos="7980"/>
        </w:tabs>
        <w:spacing w:line="360" w:lineRule="auto"/>
        <w:ind w:left="2800" w:hanging="2800" w:hangingChars="1000"/>
        <w:jc w:val="left"/>
        <w:rPr>
          <w:rFonts w:hint="eastAsia" w:ascii="宋体" w:hAnsi="宋体" w:eastAsia="宋体" w:cs="宋体"/>
          <w:sz w:val="28"/>
          <w:szCs w:val="28"/>
        </w:rPr>
      </w:pP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项目名称：</w:t>
      </w:r>
      <w:r>
        <w:rPr>
          <w:rFonts w:hint="eastAsia" w:ascii="宋体" w:hAnsi="宋体" w:cs="宋体"/>
          <w:bCs/>
          <w:sz w:val="28"/>
          <w:szCs w:val="28"/>
          <w:lang w:val="en-US" w:eastAsia="zh-CN"/>
        </w:rPr>
        <w:t>2025年台州市环境噪声自动监测设备运维项目</w:t>
      </w:r>
    </w:p>
    <w:p w14:paraId="666B4524">
      <w:pPr>
        <w:spacing w:line="360" w:lineRule="auto"/>
        <w:jc w:val="both"/>
        <w:rPr>
          <w:rFonts w:hint="eastAsia" w:ascii="宋体" w:hAnsi="宋体" w:eastAsia="宋体" w:cs="宋体"/>
          <w:spacing w:val="12"/>
          <w:sz w:val="28"/>
          <w:szCs w:val="28"/>
        </w:rPr>
      </w:pPr>
    </w:p>
    <w:p w14:paraId="0DB9967F">
      <w:pPr>
        <w:pStyle w:val="47"/>
        <w:rPr>
          <w:rFonts w:hint="eastAsia" w:ascii="宋体" w:hAnsi="宋体" w:eastAsia="宋体" w:cs="宋体"/>
        </w:rPr>
      </w:pPr>
    </w:p>
    <w:p w14:paraId="1BC87D38">
      <w:pPr>
        <w:spacing w:line="360" w:lineRule="auto"/>
        <w:ind w:left="0" w:leftChars="0" w:firstLine="1400" w:firstLineChars="500"/>
        <w:jc w:val="both"/>
        <w:rPr>
          <w:rFonts w:hint="eastAsia" w:ascii="宋体" w:hAnsi="宋体" w:eastAsia="宋体" w:cs="宋体"/>
          <w:sz w:val="28"/>
          <w:szCs w:val="28"/>
          <w:lang w:eastAsia="zh-CN"/>
        </w:rPr>
      </w:pPr>
      <w:r>
        <w:rPr>
          <w:rFonts w:hint="eastAsia" w:ascii="宋体" w:hAnsi="宋体" w:eastAsia="宋体" w:cs="宋体"/>
          <w:sz w:val="28"/>
          <w:szCs w:val="28"/>
        </w:rPr>
        <w:t>采购人：</w:t>
      </w:r>
      <w:r>
        <w:rPr>
          <w:rFonts w:hint="eastAsia" w:ascii="宋体" w:hAnsi="宋体" w:cs="宋体"/>
          <w:sz w:val="28"/>
          <w:szCs w:val="28"/>
          <w:lang w:eastAsia="zh-CN"/>
        </w:rPr>
        <w:t>浙江省台州生态环境监测中心</w:t>
      </w:r>
    </w:p>
    <w:p w14:paraId="3C5FDEFD">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采购代理机构：台州锋鼎工程项目管理有限公司</w:t>
      </w:r>
    </w:p>
    <w:p w14:paraId="4B8F4A8B">
      <w:pPr>
        <w:spacing w:line="360" w:lineRule="auto"/>
        <w:jc w:val="center"/>
        <w:rPr>
          <w:rFonts w:hint="eastAsia" w:ascii="宋体" w:hAnsi="宋体" w:eastAsia="宋体" w:cs="宋体"/>
          <w:sz w:val="28"/>
          <w:szCs w:val="28"/>
        </w:rPr>
      </w:pPr>
    </w:p>
    <w:p w14:paraId="45384DDD">
      <w:pPr>
        <w:pStyle w:val="47"/>
        <w:rPr>
          <w:rFonts w:hint="eastAsia" w:ascii="宋体" w:hAnsi="宋体" w:eastAsia="宋体" w:cs="宋体"/>
        </w:rPr>
      </w:pPr>
    </w:p>
    <w:p w14:paraId="7D8E7A7E">
      <w:pPr>
        <w:spacing w:line="360" w:lineRule="auto"/>
        <w:jc w:val="center"/>
        <w:rPr>
          <w:rFonts w:hint="eastAsia" w:ascii="宋体" w:hAnsi="宋体" w:eastAsia="宋体" w:cs="宋体"/>
          <w:sz w:val="28"/>
          <w:szCs w:val="28"/>
        </w:rPr>
        <w:sectPr>
          <w:headerReference r:id="rId4" w:type="first"/>
          <w:headerReference r:id="rId3" w:type="default"/>
          <w:footerReference r:id="rId5" w:type="default"/>
          <w:type w:val="continuous"/>
          <w:pgSz w:w="11906" w:h="16838"/>
          <w:pgMar w:top="0" w:right="1509" w:bottom="1440" w:left="1797" w:header="0" w:footer="992" w:gutter="0"/>
          <w:pgNumType w:start="1"/>
          <w:cols w:space="720" w:num="1"/>
          <w:docGrid w:linePitch="312" w:charSpace="0"/>
        </w:sectPr>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p>
    <w:p w14:paraId="2B5A9FC0">
      <w:pPr>
        <w:tabs>
          <w:tab w:val="left" w:pos="105"/>
          <w:tab w:val="left" w:pos="735"/>
          <w:tab w:val="left" w:pos="945"/>
          <w:tab w:val="left" w:pos="3360"/>
        </w:tabs>
        <w:spacing w:line="500" w:lineRule="exact"/>
        <w:jc w:val="center"/>
        <w:rPr>
          <w:rFonts w:hint="eastAsia" w:ascii="宋体" w:hAnsi="宋体" w:eastAsia="宋体" w:cs="宋体"/>
          <w:b/>
          <w:sz w:val="52"/>
        </w:rPr>
      </w:pPr>
      <w:r>
        <w:rPr>
          <w:rFonts w:hint="eastAsia" w:ascii="宋体" w:hAnsi="宋体" w:eastAsia="宋体" w:cs="宋体"/>
          <w:b/>
          <w:sz w:val="52"/>
        </w:rPr>
        <w:t>目    录</w:t>
      </w:r>
    </w:p>
    <w:sdt>
      <w:sdtPr>
        <w:rPr>
          <w:rFonts w:ascii="宋体" w:hAnsi="宋体" w:eastAsia="宋体" w:cs="Times New Roman"/>
          <w:sz w:val="21"/>
          <w:lang w:val="en-US" w:eastAsia="zh-CN" w:bidi="ar-SA"/>
        </w:rPr>
        <w:id w:val="147467232"/>
        <w15:color w:val="DBDBDB"/>
        <w:docPartObj>
          <w:docPartGallery w:val="Table of Contents"/>
          <w:docPartUnique/>
        </w:docPartObj>
      </w:sdtPr>
      <w:sdtEndPr>
        <w:rPr>
          <w:rFonts w:hint="eastAsia" w:ascii="宋体" w:hAnsi="宋体" w:eastAsia="宋体" w:cs="宋体"/>
          <w:kern w:val="2"/>
          <w:sz w:val="28"/>
          <w:lang w:val="en-US" w:eastAsia="zh-CN" w:bidi="ar-SA"/>
        </w:rPr>
      </w:sdtEndPr>
      <w:sdtContent>
        <w:p w14:paraId="174183E4">
          <w:pPr>
            <w:spacing w:before="0" w:beforeLines="0" w:after="0" w:afterLines="0" w:line="240" w:lineRule="auto"/>
            <w:ind w:left="0" w:leftChars="0" w:right="0" w:rightChars="0" w:firstLine="0" w:firstLineChars="0"/>
            <w:jc w:val="center"/>
          </w:pPr>
        </w:p>
        <w:p w14:paraId="77CE7C71">
          <w:pPr>
            <w:pStyle w:val="28"/>
            <w:tabs>
              <w:tab w:val="right" w:leader="dot" w:pos="83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_Toc11069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第一部分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_Toc11069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14:paraId="3F09DC47">
          <w:pPr>
            <w:pStyle w:val="28"/>
            <w:tabs>
              <w:tab w:val="right" w:leader="dot" w:pos="8312"/>
            </w:tabs>
            <w:rPr>
              <w:rFonts w:hint="eastAsia" w:ascii="宋体" w:hAnsi="宋体" w:eastAsia="宋体" w:cs="宋体"/>
              <w:sz w:val="28"/>
              <w:szCs w:val="28"/>
            </w:rPr>
          </w:pPr>
        </w:p>
        <w:p w14:paraId="5C5D4083">
          <w:pPr>
            <w:pStyle w:val="28"/>
            <w:tabs>
              <w:tab w:val="right" w:leader="dot" w:pos="83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_Toc31577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第二部分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_Toc31577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14:paraId="5009AB9D">
          <w:pPr>
            <w:pStyle w:val="28"/>
            <w:tabs>
              <w:tab w:val="right" w:leader="dot" w:pos="8312"/>
            </w:tabs>
            <w:rPr>
              <w:rFonts w:hint="eastAsia" w:ascii="宋体" w:hAnsi="宋体" w:eastAsia="宋体" w:cs="宋体"/>
              <w:sz w:val="28"/>
              <w:szCs w:val="28"/>
            </w:rPr>
          </w:pPr>
        </w:p>
        <w:p w14:paraId="15D2F919">
          <w:pPr>
            <w:pStyle w:val="28"/>
            <w:tabs>
              <w:tab w:val="right" w:leader="dot" w:pos="83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_Toc1465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 xml:space="preserve">第三部分 </w:t>
          </w:r>
          <w:r>
            <w:rPr>
              <w:rFonts w:hint="eastAsia" w:ascii="宋体" w:hAnsi="宋体" w:eastAsia="宋体" w:cs="宋体"/>
              <w:sz w:val="28"/>
              <w:szCs w:val="28"/>
              <w:highlight w:val="none"/>
            </w:rPr>
            <w:t>评标办法及评审标准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_Toc1465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14:paraId="26EB43B1">
          <w:pPr>
            <w:pStyle w:val="28"/>
            <w:tabs>
              <w:tab w:val="right" w:leader="dot" w:pos="8312"/>
            </w:tabs>
            <w:rPr>
              <w:rFonts w:hint="eastAsia" w:ascii="宋体" w:hAnsi="宋体" w:eastAsia="宋体" w:cs="宋体"/>
              <w:sz w:val="28"/>
              <w:szCs w:val="28"/>
            </w:rPr>
          </w:pPr>
        </w:p>
        <w:p w14:paraId="3F6CFEAA">
          <w:pPr>
            <w:pStyle w:val="28"/>
            <w:tabs>
              <w:tab w:val="right" w:leader="dot" w:pos="83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_Toc8901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第四部分  项目需求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_Toc8901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14:paraId="73B8D9D7">
          <w:pPr>
            <w:pStyle w:val="28"/>
            <w:tabs>
              <w:tab w:val="right" w:leader="dot" w:pos="8312"/>
            </w:tabs>
            <w:rPr>
              <w:rFonts w:hint="eastAsia" w:ascii="宋体" w:hAnsi="宋体" w:eastAsia="宋体" w:cs="宋体"/>
              <w:sz w:val="28"/>
              <w:szCs w:val="28"/>
            </w:rPr>
          </w:pPr>
        </w:p>
        <w:p w14:paraId="2A89EFD5">
          <w:pPr>
            <w:pStyle w:val="28"/>
            <w:tabs>
              <w:tab w:val="right" w:leader="dot" w:pos="83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_Toc27254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第五部分  政府采购合同主要条款指引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_Toc27254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14:paraId="7AA4485A">
          <w:pPr>
            <w:pStyle w:val="28"/>
            <w:tabs>
              <w:tab w:val="right" w:leader="dot" w:pos="8312"/>
            </w:tabs>
            <w:rPr>
              <w:rFonts w:hint="eastAsia" w:ascii="宋体" w:hAnsi="宋体" w:eastAsia="宋体" w:cs="宋体"/>
              <w:sz w:val="28"/>
              <w:szCs w:val="28"/>
            </w:rPr>
          </w:pPr>
        </w:p>
        <w:p w14:paraId="5EC11DF0">
          <w:pPr>
            <w:pStyle w:val="28"/>
            <w:tabs>
              <w:tab w:val="right" w:leader="dot" w:pos="8312"/>
            </w:tabs>
            <w:rPr>
              <w:rFonts w:hint="eastAsia" w:ascii="宋体" w:hAnsi="宋体" w:eastAsia="宋体" w:cs="宋体"/>
              <w:sz w:val="28"/>
              <w:szCs w:val="28"/>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HYPERLINK \l _Toc23531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sz w:val="28"/>
              <w:szCs w:val="28"/>
            </w:rPr>
            <w:t>第六部分：响应文件格式附件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_Toc23531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kern w:val="2"/>
              <w:sz w:val="28"/>
              <w:szCs w:val="28"/>
              <w:lang w:val="en-US" w:eastAsia="zh-CN" w:bidi="ar-SA"/>
            </w:rPr>
            <w:fldChar w:fldCharType="end"/>
          </w:r>
        </w:p>
        <w:p w14:paraId="3D96B754">
          <w:pPr>
            <w:pStyle w:val="21"/>
            <w:rPr>
              <w:rFonts w:hint="eastAsia" w:ascii="宋体" w:hAnsi="宋体" w:eastAsia="宋体" w:cs="宋体"/>
              <w:kern w:val="2"/>
              <w:sz w:val="28"/>
              <w:lang w:val="en-US" w:eastAsia="zh-CN" w:bidi="ar-SA"/>
            </w:rPr>
          </w:pPr>
          <w:r>
            <w:rPr>
              <w:rFonts w:hint="eastAsia" w:ascii="宋体" w:hAnsi="宋体" w:eastAsia="宋体" w:cs="宋体"/>
              <w:kern w:val="2"/>
              <w:sz w:val="28"/>
              <w:szCs w:val="28"/>
              <w:lang w:val="en-US" w:eastAsia="zh-CN" w:bidi="ar-SA"/>
            </w:rPr>
            <w:fldChar w:fldCharType="end"/>
          </w:r>
        </w:p>
      </w:sdtContent>
    </w:sdt>
    <w:p w14:paraId="15C776D2">
      <w:pPr>
        <w:pStyle w:val="21"/>
        <w:rPr>
          <w:rFonts w:hint="eastAsia" w:ascii="宋体" w:hAnsi="宋体" w:eastAsia="宋体" w:cs="宋体"/>
          <w:kern w:val="2"/>
          <w:sz w:val="28"/>
          <w:lang w:val="en-US" w:eastAsia="zh-CN" w:bidi="ar-SA"/>
        </w:rPr>
        <w:sectPr>
          <w:pgSz w:w="11906" w:h="16838"/>
          <w:pgMar w:top="1440" w:right="1797" w:bottom="1440" w:left="1797" w:header="851" w:footer="992" w:gutter="0"/>
          <w:pgNumType w:start="1"/>
          <w:cols w:space="720" w:num="1"/>
          <w:docGrid w:linePitch="312" w:charSpace="0"/>
        </w:sectPr>
      </w:pPr>
    </w:p>
    <w:p w14:paraId="5C865346">
      <w:pPr>
        <w:rPr>
          <w:rFonts w:hint="eastAsia" w:ascii="宋体" w:hAnsi="宋体" w:eastAsia="宋体" w:cs="宋体"/>
        </w:rPr>
      </w:pPr>
      <w:bookmarkStart w:id="0" w:name="_Toc417381410"/>
    </w:p>
    <w:p w14:paraId="1A9C4133">
      <w:pPr>
        <w:pStyle w:val="2"/>
        <w:tabs>
          <w:tab w:val="center" w:pos="4589"/>
        </w:tabs>
        <w:spacing w:line="360" w:lineRule="auto"/>
        <w:jc w:val="center"/>
        <w:rPr>
          <w:rFonts w:hint="eastAsia" w:ascii="宋体" w:hAnsi="宋体" w:eastAsia="宋体" w:cs="宋体"/>
          <w:sz w:val="24"/>
          <w:szCs w:val="24"/>
        </w:rPr>
      </w:pPr>
      <w:bookmarkStart w:id="1" w:name="_Toc11069"/>
      <w:r>
        <w:rPr>
          <w:rFonts w:hint="eastAsia" w:ascii="宋体" w:hAnsi="宋体" w:eastAsia="宋体" w:cs="宋体"/>
        </w:rPr>
        <w:t>第一部分  竞争性磋商公告</w:t>
      </w:r>
      <w:bookmarkEnd w:id="0"/>
      <w:bookmarkEnd w:id="1"/>
    </w:p>
    <w:p w14:paraId="3A6DD2E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07E5877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cs="宋体"/>
          <w:sz w:val="24"/>
          <w:szCs w:val="24"/>
          <w:u w:val="single"/>
          <w:lang w:eastAsia="zh-CN"/>
        </w:rPr>
        <w:t>2025年台州市环境噪声自动监测设备运维项目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（台州锋鼎工程项目管理有限公司）</w:t>
      </w:r>
      <w:r>
        <w:rPr>
          <w:rFonts w:hint="eastAsia" w:ascii="宋体" w:hAnsi="宋体" w:eastAsia="宋体" w:cs="宋体"/>
          <w:sz w:val="24"/>
          <w:szCs w:val="24"/>
        </w:rPr>
        <w:t>获取采购文件，并于</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09</w:t>
      </w:r>
      <w:r>
        <w:rPr>
          <w:rFonts w:hint="eastAsia" w:ascii="宋体" w:hAnsi="宋体" w:eastAsia="宋体" w:cs="宋体"/>
          <w:bCs/>
          <w:sz w:val="24"/>
          <w:szCs w:val="24"/>
          <w:u w:val="single"/>
          <w:lang w:eastAsia="zh-CN"/>
        </w:rPr>
        <w:t>时</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0FE13502">
      <w:pPr>
        <w:rPr>
          <w:rFonts w:hint="eastAsia" w:ascii="宋体" w:hAnsi="宋体" w:eastAsia="宋体" w:cs="宋体"/>
          <w:sz w:val="24"/>
          <w:szCs w:val="24"/>
        </w:rPr>
      </w:pPr>
    </w:p>
    <w:p w14:paraId="2558CBC0">
      <w:pPr>
        <w:pStyle w:val="3"/>
        <w:outlineLvl w:val="0"/>
        <w:rPr>
          <w:rFonts w:hint="eastAsia" w:ascii="宋体" w:hAnsi="宋体" w:eastAsia="宋体" w:cs="宋体"/>
          <w:b/>
          <w:kern w:val="0"/>
          <w:sz w:val="24"/>
          <w:szCs w:val="24"/>
        </w:rPr>
      </w:pPr>
      <w:bookmarkStart w:id="2" w:name="_Toc28359012"/>
      <w:bookmarkStart w:id="3" w:name="_Toc27853"/>
      <w:bookmarkStart w:id="4" w:name="_Toc28359089"/>
      <w:bookmarkStart w:id="5" w:name="_Toc35393798"/>
      <w:bookmarkStart w:id="6" w:name="_Toc35393629"/>
      <w:r>
        <w:rPr>
          <w:rFonts w:hint="eastAsia" w:ascii="宋体" w:hAnsi="宋体" w:eastAsia="宋体" w:cs="宋体"/>
          <w:b/>
          <w:kern w:val="0"/>
          <w:sz w:val="24"/>
          <w:szCs w:val="24"/>
        </w:rPr>
        <w:t>一、项目基本情况</w:t>
      </w:r>
      <w:bookmarkEnd w:id="2"/>
      <w:bookmarkEnd w:id="3"/>
      <w:bookmarkEnd w:id="4"/>
      <w:bookmarkEnd w:id="5"/>
      <w:bookmarkEnd w:id="6"/>
    </w:p>
    <w:p w14:paraId="4143BBE0">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TZFD(2025)-1023号</w:t>
      </w:r>
    </w:p>
    <w:p w14:paraId="0C703835">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2025年台州市环境噪声自动监测设备运维项目</w:t>
      </w:r>
    </w:p>
    <w:p w14:paraId="5D9BA2AE">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采购方式：竞争性磋商 </w:t>
      </w:r>
    </w:p>
    <w:p w14:paraId="60D17EF8">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r>
        <w:rPr>
          <w:rFonts w:hint="eastAsia" w:ascii="宋体" w:hAnsi="宋体" w:eastAsia="宋体" w:cs="宋体"/>
          <w:sz w:val="24"/>
          <w:szCs w:val="24"/>
        </w:rPr>
        <w:t>万元</w:t>
      </w:r>
    </w:p>
    <w:p w14:paraId="21739188">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p>
    <w:p w14:paraId="59D0E8B2">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tbl>
      <w:tblPr>
        <w:tblStyle w:val="38"/>
        <w:tblpPr w:leftFromText="180" w:rightFromText="180" w:vertAnchor="text" w:horzAnchor="page" w:tblpX="1742" w:tblpY="33"/>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851"/>
        <w:gridCol w:w="850"/>
        <w:gridCol w:w="1276"/>
        <w:gridCol w:w="1506"/>
        <w:gridCol w:w="1299"/>
      </w:tblGrid>
      <w:tr w14:paraId="7BBA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71A02C97">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68" w:type="dxa"/>
            <w:vAlign w:val="center"/>
          </w:tcPr>
          <w:p w14:paraId="1C2F5B1B">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项目内容</w:t>
            </w:r>
          </w:p>
        </w:tc>
        <w:tc>
          <w:tcPr>
            <w:tcW w:w="851" w:type="dxa"/>
            <w:vAlign w:val="center"/>
          </w:tcPr>
          <w:p w14:paraId="5F89AADF">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850" w:type="dxa"/>
            <w:vAlign w:val="center"/>
          </w:tcPr>
          <w:p w14:paraId="6B23D7C4">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1276" w:type="dxa"/>
            <w:vAlign w:val="center"/>
          </w:tcPr>
          <w:p w14:paraId="468B1A3E">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预算 </w:t>
            </w:r>
          </w:p>
          <w:p w14:paraId="742B312C">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（万元）</w:t>
            </w:r>
          </w:p>
        </w:tc>
        <w:tc>
          <w:tcPr>
            <w:tcW w:w="1506" w:type="dxa"/>
            <w:vAlign w:val="center"/>
          </w:tcPr>
          <w:p w14:paraId="584CD2C9">
            <w:pPr>
              <w:tabs>
                <w:tab w:val="left" w:pos="8280"/>
              </w:tabs>
              <w:autoSpaceDE w:val="0"/>
              <w:autoSpaceDN w:val="0"/>
              <w:adjustRightInd w:val="0"/>
              <w:ind w:right="25" w:firstLine="120" w:firstLineChars="5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简要技术要求、用途</w:t>
            </w:r>
          </w:p>
        </w:tc>
        <w:tc>
          <w:tcPr>
            <w:tcW w:w="1299" w:type="dxa"/>
            <w:vAlign w:val="center"/>
          </w:tcPr>
          <w:p w14:paraId="04D7A27A">
            <w:pPr>
              <w:tabs>
                <w:tab w:val="left" w:pos="8280"/>
              </w:tabs>
              <w:autoSpaceDE w:val="0"/>
              <w:autoSpaceDN w:val="0"/>
              <w:adjustRightInd w:val="0"/>
              <w:ind w:right="2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065D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75" w:type="dxa"/>
            <w:vAlign w:val="center"/>
          </w:tcPr>
          <w:p w14:paraId="6804EA59">
            <w:pPr>
              <w:tabs>
                <w:tab w:val="left" w:pos="8280"/>
              </w:tabs>
              <w:autoSpaceDE w:val="0"/>
              <w:autoSpaceDN w:val="0"/>
              <w:adjustRightInd w:val="0"/>
              <w:ind w:right="25"/>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2268" w:type="dxa"/>
            <w:vAlign w:val="center"/>
          </w:tcPr>
          <w:p w14:paraId="151F78E3">
            <w:pPr>
              <w:tabs>
                <w:tab w:val="left" w:pos="8280"/>
              </w:tabs>
              <w:autoSpaceDE w:val="0"/>
              <w:autoSpaceDN w:val="0"/>
              <w:adjustRightInd w:val="0"/>
              <w:ind w:right="25"/>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2025年台州市环境噪声自动监测设备运维项目</w:t>
            </w:r>
          </w:p>
        </w:tc>
        <w:tc>
          <w:tcPr>
            <w:tcW w:w="851" w:type="dxa"/>
            <w:vAlign w:val="center"/>
          </w:tcPr>
          <w:p w14:paraId="7E5511FB">
            <w:pPr>
              <w:tabs>
                <w:tab w:val="left" w:pos="8280"/>
              </w:tabs>
              <w:autoSpaceDE w:val="0"/>
              <w:autoSpaceDN w:val="0"/>
              <w:adjustRightInd w:val="0"/>
              <w:ind w:right="25"/>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p>
        </w:tc>
        <w:tc>
          <w:tcPr>
            <w:tcW w:w="850" w:type="dxa"/>
            <w:vAlign w:val="center"/>
          </w:tcPr>
          <w:p w14:paraId="389F94EE">
            <w:pPr>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批</w:t>
            </w:r>
          </w:p>
        </w:tc>
        <w:tc>
          <w:tcPr>
            <w:tcW w:w="1276" w:type="dxa"/>
            <w:vAlign w:val="center"/>
          </w:tcPr>
          <w:p w14:paraId="56ECB171">
            <w:pPr>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r>
              <w:rPr>
                <w:rFonts w:hint="eastAsia" w:ascii="宋体" w:hAnsi="宋体" w:cs="宋体"/>
                <w:bCs/>
                <w:sz w:val="24"/>
                <w:szCs w:val="24"/>
                <w:highlight w:val="none"/>
                <w:lang w:val="en-US" w:eastAsia="zh-CN"/>
              </w:rPr>
              <w:t>0</w:t>
            </w:r>
          </w:p>
        </w:tc>
        <w:tc>
          <w:tcPr>
            <w:tcW w:w="1506" w:type="dxa"/>
            <w:vAlign w:val="center"/>
          </w:tcPr>
          <w:p w14:paraId="40182CFE">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详见招标文件-项目需求</w:t>
            </w:r>
          </w:p>
        </w:tc>
        <w:tc>
          <w:tcPr>
            <w:tcW w:w="1299" w:type="dxa"/>
            <w:vAlign w:val="center"/>
          </w:tcPr>
          <w:p w14:paraId="0C95C800">
            <w:pPr>
              <w:jc w:val="center"/>
              <w:rPr>
                <w:rFonts w:hint="eastAsia" w:ascii="宋体" w:hAnsi="宋体" w:eastAsia="宋体" w:cs="宋体"/>
                <w:bCs/>
                <w:sz w:val="24"/>
                <w:szCs w:val="24"/>
                <w:highlight w:val="none"/>
              </w:rPr>
            </w:pPr>
          </w:p>
        </w:tc>
      </w:tr>
    </w:tbl>
    <w:p w14:paraId="725813A8">
      <w:pPr>
        <w:keepNext w:val="0"/>
        <w:keepLines w:val="0"/>
        <w:pageBreakBefore w:val="0"/>
        <w:widowControl/>
        <w:kinsoku/>
        <w:wordWrap/>
        <w:overflowPunct/>
        <w:topLinePunct w:val="0"/>
        <w:autoSpaceDE/>
        <w:autoSpaceDN/>
        <w:bidi w:val="0"/>
        <w:adjustRightInd/>
        <w:spacing w:line="26" w:lineRule="atLeast"/>
        <w:ind w:firstLine="480" w:firstLineChars="200"/>
        <w:textAlignment w:val="auto"/>
        <w:rPr>
          <w:rFonts w:hint="eastAsia" w:ascii="宋体" w:hAnsi="宋体" w:eastAsia="宋体" w:cs="宋体"/>
          <w:sz w:val="24"/>
          <w:szCs w:val="24"/>
        </w:rPr>
      </w:pPr>
    </w:p>
    <w:p w14:paraId="5C3E7211">
      <w:pPr>
        <w:keepNext w:val="0"/>
        <w:keepLines w:val="0"/>
        <w:pageBreakBefore w:val="0"/>
        <w:widowControl/>
        <w:kinsoku/>
        <w:wordWrap/>
        <w:overflowPunct/>
        <w:topLinePunct w:val="0"/>
        <w:autoSpaceDE/>
        <w:autoSpaceDN/>
        <w:bidi w:val="0"/>
        <w:adjustRightInd/>
        <w:spacing w:line="26"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本项目（是/否）接受联合体：否。</w:t>
      </w:r>
      <w:bookmarkStart w:id="7" w:name="_Toc28359013"/>
      <w:bookmarkStart w:id="8" w:name="_Toc28359090"/>
      <w:bookmarkStart w:id="9" w:name="_Toc35393630"/>
      <w:bookmarkStart w:id="10" w:name="_Toc35393799"/>
    </w:p>
    <w:p w14:paraId="1BE45F14">
      <w:pPr>
        <w:keepNext w:val="0"/>
        <w:keepLines w:val="0"/>
        <w:pageBreakBefore w:val="0"/>
        <w:widowControl/>
        <w:kinsoku/>
        <w:wordWrap/>
        <w:overflowPunct/>
        <w:topLinePunct w:val="0"/>
        <w:autoSpaceDE/>
        <w:autoSpaceDN/>
        <w:bidi w:val="0"/>
        <w:adjustRightInd/>
        <w:spacing w:line="26" w:lineRule="atLeast"/>
        <w:ind w:firstLine="482" w:firstLineChars="200"/>
        <w:textAlignment w:val="auto"/>
        <w:rPr>
          <w:rFonts w:hint="eastAsia" w:ascii="宋体" w:hAnsi="宋体" w:eastAsia="宋体" w:cs="宋体"/>
          <w:b/>
          <w:kern w:val="0"/>
          <w:sz w:val="24"/>
          <w:szCs w:val="24"/>
        </w:rPr>
      </w:pPr>
    </w:p>
    <w:p w14:paraId="27131E1B">
      <w:pPr>
        <w:keepNext w:val="0"/>
        <w:keepLines w:val="0"/>
        <w:pageBreakBefore w:val="0"/>
        <w:widowControl/>
        <w:kinsoku/>
        <w:wordWrap/>
        <w:overflowPunct/>
        <w:topLinePunct w:val="0"/>
        <w:autoSpaceDE/>
        <w:autoSpaceDN/>
        <w:bidi w:val="0"/>
        <w:adjustRightInd/>
        <w:snapToGrid/>
        <w:spacing w:line="312" w:lineRule="auto"/>
        <w:ind w:firstLine="482" w:firstLineChars="200"/>
        <w:textAlignment w:val="auto"/>
        <w:outlineLvl w:val="0"/>
        <w:rPr>
          <w:rFonts w:hint="eastAsia" w:ascii="宋体" w:hAnsi="宋体" w:eastAsia="宋体" w:cs="宋体"/>
          <w:b/>
          <w:bCs/>
          <w:sz w:val="24"/>
          <w:szCs w:val="24"/>
        </w:rPr>
      </w:pPr>
      <w:bookmarkStart w:id="11" w:name="_Toc4661"/>
      <w:r>
        <w:rPr>
          <w:rFonts w:hint="eastAsia" w:ascii="宋体" w:hAnsi="宋体" w:eastAsia="宋体" w:cs="宋体"/>
          <w:b/>
          <w:bCs/>
          <w:sz w:val="24"/>
          <w:szCs w:val="24"/>
        </w:rPr>
        <w:t>二、申请人的资格要求</w:t>
      </w:r>
      <w:bookmarkEnd w:id="7"/>
      <w:bookmarkEnd w:id="8"/>
      <w:bookmarkEnd w:id="9"/>
      <w:bookmarkEnd w:id="10"/>
      <w:bookmarkEnd w:id="11"/>
    </w:p>
    <w:p w14:paraId="74B981A8">
      <w:pPr>
        <w:keepNext w:val="0"/>
        <w:keepLines w:val="0"/>
        <w:pageBreakBefore w:val="0"/>
        <w:widowControl/>
        <w:kinsoku/>
        <w:wordWrap/>
        <w:overflowPunct/>
        <w:topLinePunct w:val="0"/>
        <w:autoSpaceDE/>
        <w:autoSpaceDN/>
        <w:bidi w:val="0"/>
        <w:adjustRightInd/>
        <w:snapToGrid/>
        <w:spacing w:line="312" w:lineRule="auto"/>
        <w:ind w:left="0" w:leftChars="0" w:firstLine="398" w:firstLineChars="166"/>
        <w:textAlignment w:val="auto"/>
        <w:rPr>
          <w:rFonts w:hint="eastAsia" w:ascii="宋体" w:hAnsi="宋体" w:eastAsia="宋体" w:cs="宋体"/>
          <w:sz w:val="24"/>
          <w:szCs w:val="24"/>
          <w:highlight w:val="none"/>
        </w:rPr>
      </w:pPr>
      <w:bookmarkStart w:id="12" w:name="_Toc28359091"/>
      <w:bookmarkStart w:id="13" w:name="_Toc35393631"/>
      <w:bookmarkStart w:id="14" w:name="_Toc35393800"/>
      <w:bookmarkStart w:id="15" w:name="_Toc28359014"/>
      <w:r>
        <w:rPr>
          <w:rFonts w:hint="eastAsia" w:ascii="宋体" w:hAnsi="宋体" w:eastAsia="宋体" w:cs="宋体"/>
          <w:sz w:val="24"/>
          <w:szCs w:val="24"/>
          <w:highlight w:val="none"/>
        </w:rPr>
        <w:t>1. 满足《中华人民共和国政府采购法》第二十二条规定；未被“信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中国”（www.creditchina.gov.cn)、中国政府采购网（www.ccgp.gov.cn）列入失信被执行人、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w:t>
      </w:r>
    </w:p>
    <w:p w14:paraId="3E8ECC2D">
      <w:pPr>
        <w:keepNext w:val="0"/>
        <w:keepLines w:val="0"/>
        <w:pageBreakBefore w:val="0"/>
        <w:widowControl/>
        <w:kinsoku/>
        <w:wordWrap/>
        <w:overflowPunct/>
        <w:topLinePunct w:val="0"/>
        <w:autoSpaceDE/>
        <w:autoSpaceDN/>
        <w:bidi w:val="0"/>
        <w:adjustRightInd/>
        <w:snapToGrid/>
        <w:spacing w:line="312" w:lineRule="auto"/>
        <w:ind w:left="0" w:leftChars="0" w:firstLine="400" w:firstLineChars="166"/>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rPr>
        <w:t>2.落实政府采购政策需满足的资格要求：</w:t>
      </w:r>
      <w:r>
        <w:rPr>
          <w:rFonts w:hint="eastAsia" w:ascii="宋体" w:hAnsi="宋体" w:cs="宋体"/>
          <w:b/>
          <w:bCs/>
          <w:color w:val="FF0000"/>
          <w:sz w:val="24"/>
          <w:szCs w:val="24"/>
          <w:highlight w:val="none"/>
          <w:lang w:val="en-US" w:eastAsia="zh-CN"/>
        </w:rPr>
        <w:t>无</w:t>
      </w:r>
      <w:r>
        <w:rPr>
          <w:rFonts w:hint="eastAsia" w:ascii="宋体" w:hAnsi="宋体" w:eastAsia="宋体" w:cs="宋体"/>
          <w:b/>
          <w:bCs/>
          <w:color w:val="FF0000"/>
          <w:sz w:val="24"/>
          <w:szCs w:val="24"/>
          <w:highlight w:val="none"/>
          <w:lang w:val="en-US" w:eastAsia="zh-CN"/>
        </w:rPr>
        <w:t>；</w:t>
      </w:r>
    </w:p>
    <w:p w14:paraId="7E2272C2">
      <w:pPr>
        <w:keepNext w:val="0"/>
        <w:keepLines w:val="0"/>
        <w:pageBreakBefore w:val="0"/>
        <w:widowControl/>
        <w:kinsoku/>
        <w:wordWrap/>
        <w:overflowPunct/>
        <w:topLinePunct w:val="0"/>
        <w:autoSpaceDE/>
        <w:autoSpaceDN/>
        <w:bidi w:val="0"/>
        <w:adjustRightInd/>
        <w:snapToGrid/>
        <w:spacing w:line="312" w:lineRule="auto"/>
        <w:ind w:left="0" w:leftChars="0" w:firstLine="398" w:firstLineChars="1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3.本项目的特定资格要求：无；</w:t>
      </w:r>
    </w:p>
    <w:p w14:paraId="46D13CE7">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E18859">
      <w:pPr>
        <w:pStyle w:val="3"/>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b/>
          <w:kern w:val="0"/>
          <w:sz w:val="24"/>
          <w:szCs w:val="24"/>
        </w:rPr>
      </w:pPr>
      <w:bookmarkStart w:id="16" w:name="_Toc14688"/>
      <w:r>
        <w:rPr>
          <w:rFonts w:hint="eastAsia" w:ascii="宋体" w:hAnsi="宋体" w:eastAsia="宋体" w:cs="宋体"/>
          <w:b/>
          <w:kern w:val="0"/>
          <w:sz w:val="24"/>
          <w:szCs w:val="24"/>
        </w:rPr>
        <w:t>三、获取采购文件</w:t>
      </w:r>
      <w:bookmarkEnd w:id="12"/>
      <w:bookmarkEnd w:id="13"/>
      <w:bookmarkEnd w:id="14"/>
      <w:bookmarkEnd w:id="15"/>
      <w:bookmarkEnd w:id="16"/>
    </w:p>
    <w:p w14:paraId="6F8C7081">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磋商文件发售时间：</w:t>
      </w:r>
      <w:r>
        <w:rPr>
          <w:rFonts w:hint="eastAsia" w:ascii="宋体" w:hAnsi="宋体" w:eastAsia="宋体" w:cs="宋体"/>
          <w:sz w:val="24"/>
          <w:szCs w:val="24"/>
        </w:rPr>
        <w:t>/至</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日（双休日及法定节假日除外）</w:t>
      </w:r>
    </w:p>
    <w:p w14:paraId="75D09F61">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上午：8:30-11:30  下午：14:</w:t>
      </w:r>
      <w:r>
        <w:rPr>
          <w:rFonts w:hint="eastAsia" w:ascii="宋体" w:hAnsi="宋体" w:eastAsia="宋体" w:cs="宋体"/>
          <w:sz w:val="24"/>
          <w:szCs w:val="24"/>
          <w:lang w:val="en-US" w:eastAsia="zh-CN"/>
        </w:rPr>
        <w:t>0</w:t>
      </w:r>
      <w:r>
        <w:rPr>
          <w:rFonts w:hint="eastAsia" w:ascii="宋体" w:hAnsi="宋体" w:eastAsia="宋体" w:cs="宋体"/>
          <w:sz w:val="24"/>
          <w:szCs w:val="24"/>
        </w:rPr>
        <w:t>0-1</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p>
    <w:p w14:paraId="29BC9E7A">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b/>
          <w:bCs/>
          <w:sz w:val="24"/>
          <w:szCs w:val="24"/>
        </w:rPr>
        <w:t>磋商文件发售地点</w:t>
      </w:r>
      <w:r>
        <w:rPr>
          <w:rFonts w:hint="eastAsia" w:ascii="宋体" w:hAnsi="宋体" w:eastAsia="宋体" w:cs="宋体"/>
          <w:sz w:val="24"/>
          <w:szCs w:val="24"/>
        </w:rPr>
        <w:t>：</w:t>
      </w:r>
      <w:bookmarkStart w:id="17" w:name="OLE_LINK18"/>
      <w:r>
        <w:rPr>
          <w:rFonts w:hint="eastAsia" w:ascii="宋体" w:hAnsi="宋体" w:eastAsia="宋体" w:cs="宋体"/>
          <w:sz w:val="24"/>
          <w:szCs w:val="24"/>
        </w:rPr>
        <w:t>浙江省台州市</w:t>
      </w:r>
      <w:bookmarkEnd w:id="17"/>
      <w:r>
        <w:rPr>
          <w:rFonts w:hint="eastAsia" w:ascii="宋体" w:hAnsi="宋体" w:eastAsia="宋体" w:cs="宋体"/>
          <w:sz w:val="24"/>
          <w:szCs w:val="24"/>
        </w:rPr>
        <w:t>椒江区</w:t>
      </w:r>
      <w:r>
        <w:rPr>
          <w:rFonts w:hint="eastAsia" w:ascii="宋体" w:hAnsi="宋体" w:eastAsia="宋体" w:cs="宋体"/>
          <w:sz w:val="24"/>
          <w:szCs w:val="24"/>
          <w:lang w:eastAsia="zh-CN"/>
        </w:rPr>
        <w:t>万达大厦</w:t>
      </w:r>
      <w:r>
        <w:rPr>
          <w:rFonts w:hint="eastAsia" w:ascii="宋体" w:hAnsi="宋体" w:eastAsia="宋体" w:cs="宋体"/>
          <w:sz w:val="24"/>
          <w:szCs w:val="24"/>
          <w:lang w:val="en-US" w:eastAsia="zh-CN"/>
        </w:rPr>
        <w:t>3号楼2512</w:t>
      </w:r>
      <w:r>
        <w:rPr>
          <w:rFonts w:hint="eastAsia" w:ascii="宋体" w:hAnsi="宋体" w:eastAsia="宋体" w:cs="宋体"/>
          <w:sz w:val="24"/>
          <w:szCs w:val="24"/>
        </w:rPr>
        <w:t>室。</w:t>
      </w:r>
    </w:p>
    <w:p w14:paraId="2AD51AA7">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bCs/>
          <w:sz w:val="24"/>
          <w:szCs w:val="24"/>
        </w:rPr>
        <w:t>磋商文件</w:t>
      </w:r>
      <w:r>
        <w:rPr>
          <w:rFonts w:hint="eastAsia" w:ascii="宋体" w:hAnsi="宋体" w:eastAsia="宋体" w:cs="宋体"/>
          <w:b/>
          <w:bCs/>
          <w:sz w:val="24"/>
          <w:szCs w:val="24"/>
          <w:lang w:eastAsia="zh-CN"/>
        </w:rPr>
        <w:t>获取</w:t>
      </w:r>
      <w:r>
        <w:rPr>
          <w:rFonts w:hint="eastAsia" w:ascii="宋体" w:hAnsi="宋体" w:eastAsia="宋体" w:cs="宋体"/>
          <w:b/>
          <w:bCs/>
          <w:sz w:val="24"/>
          <w:szCs w:val="24"/>
        </w:rPr>
        <w:t>方式</w:t>
      </w:r>
      <w:r>
        <w:rPr>
          <w:rFonts w:hint="eastAsia" w:ascii="宋体" w:hAnsi="宋体" w:eastAsia="宋体" w:cs="宋体"/>
          <w:sz w:val="24"/>
          <w:szCs w:val="24"/>
        </w:rPr>
        <w:t>：邮箱</w:t>
      </w:r>
      <w:r>
        <w:rPr>
          <w:rFonts w:hint="eastAsia" w:ascii="宋体" w:hAnsi="宋体" w:eastAsia="宋体" w:cs="宋体"/>
          <w:sz w:val="24"/>
          <w:szCs w:val="24"/>
          <w:lang w:val="en-US" w:eastAsia="zh-CN"/>
        </w:rPr>
        <w:t>获取（122076912@qq.com）</w:t>
      </w:r>
      <w:r>
        <w:rPr>
          <w:rFonts w:hint="eastAsia" w:ascii="宋体" w:hAnsi="宋体" w:eastAsia="宋体" w:cs="宋体"/>
          <w:sz w:val="24"/>
          <w:szCs w:val="24"/>
        </w:rPr>
        <w:t>或现场</w:t>
      </w:r>
      <w:r>
        <w:rPr>
          <w:rFonts w:hint="eastAsia" w:ascii="宋体" w:hAnsi="宋体" w:eastAsia="宋体" w:cs="宋体"/>
          <w:sz w:val="24"/>
          <w:szCs w:val="24"/>
          <w:lang w:eastAsia="zh-CN"/>
        </w:rPr>
        <w:t>获取</w:t>
      </w:r>
      <w:r>
        <w:rPr>
          <w:rFonts w:hint="eastAsia" w:ascii="宋体" w:hAnsi="宋体" w:eastAsia="宋体" w:cs="宋体"/>
          <w:sz w:val="24"/>
          <w:szCs w:val="24"/>
        </w:rPr>
        <w:t>。</w:t>
      </w:r>
    </w:p>
    <w:p w14:paraId="307BA55C">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bCs/>
          <w:sz w:val="24"/>
          <w:szCs w:val="24"/>
        </w:rPr>
        <w:t>供应商报名时应提供以下资料：</w:t>
      </w:r>
    </w:p>
    <w:p w14:paraId="06692260">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①供应商报名表（需加盖单位公章）；</w:t>
      </w:r>
    </w:p>
    <w:p w14:paraId="5B657A81">
      <w:pPr>
        <w:pageBreakBefore w:val="0"/>
        <w:kinsoku/>
        <w:wordWrap/>
        <w:overflowPunct/>
        <w:topLinePunct w:val="0"/>
        <w:autoSpaceDE/>
        <w:autoSpaceDN/>
        <w:bidi w:val="0"/>
        <w:adjustRightInd/>
        <w:snapToGrid/>
        <w:spacing w:line="312" w:lineRule="auto"/>
        <w:ind w:firstLine="539"/>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②企业法人营业执照副本复印件（需加盖单位公章）</w:t>
      </w:r>
      <w:r>
        <w:rPr>
          <w:rFonts w:hint="eastAsia" w:ascii="宋体" w:hAnsi="宋体" w:eastAsia="宋体" w:cs="宋体"/>
          <w:sz w:val="24"/>
          <w:szCs w:val="24"/>
          <w:lang w:eastAsia="zh-CN"/>
        </w:rPr>
        <w:t>。</w:t>
      </w:r>
    </w:p>
    <w:p w14:paraId="08E0C150">
      <w:pPr>
        <w:pStyle w:val="3"/>
        <w:spacing w:line="360" w:lineRule="auto"/>
        <w:outlineLvl w:val="0"/>
        <w:rPr>
          <w:rFonts w:hint="eastAsia" w:ascii="宋体" w:hAnsi="宋体" w:eastAsia="宋体" w:cs="宋体"/>
          <w:b/>
          <w:kern w:val="0"/>
          <w:sz w:val="24"/>
          <w:szCs w:val="24"/>
          <w:lang w:eastAsia="zh-CN"/>
        </w:rPr>
      </w:pPr>
      <w:bookmarkStart w:id="18" w:name="_Toc35393632"/>
      <w:bookmarkStart w:id="19" w:name="_Toc28359092"/>
      <w:bookmarkStart w:id="20" w:name="_Toc35393801"/>
      <w:bookmarkStart w:id="21" w:name="_Toc28359015"/>
      <w:bookmarkStart w:id="22" w:name="_Toc15527"/>
      <w:r>
        <w:rPr>
          <w:rFonts w:hint="eastAsia" w:ascii="宋体" w:hAnsi="宋体" w:eastAsia="宋体" w:cs="宋体"/>
          <w:b/>
          <w:kern w:val="0"/>
          <w:sz w:val="24"/>
          <w:szCs w:val="24"/>
        </w:rPr>
        <w:t>四、响应文件提交</w:t>
      </w:r>
      <w:bookmarkEnd w:id="18"/>
      <w:bookmarkEnd w:id="19"/>
      <w:bookmarkEnd w:id="20"/>
      <w:bookmarkEnd w:id="21"/>
      <w:bookmarkEnd w:id="22"/>
      <w:r>
        <w:rPr>
          <w:rFonts w:hint="eastAsia" w:ascii="宋体" w:hAnsi="宋体" w:eastAsia="宋体" w:cs="宋体"/>
          <w:b/>
          <w:kern w:val="0"/>
          <w:sz w:val="24"/>
          <w:szCs w:val="24"/>
          <w:lang w:eastAsia="zh-CN"/>
        </w:rPr>
        <w:t>截止时间及地点</w:t>
      </w:r>
    </w:p>
    <w:p w14:paraId="5E994567">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日 09</w:t>
      </w:r>
      <w:r>
        <w:rPr>
          <w:rFonts w:hint="eastAsia" w:ascii="宋体" w:hAnsi="宋体" w:eastAsia="宋体" w:cs="宋体"/>
          <w:bCs/>
          <w:sz w:val="24"/>
          <w:szCs w:val="24"/>
          <w:u w:val="single"/>
          <w:lang w:eastAsia="zh-CN"/>
        </w:rPr>
        <w:t>时</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0分</w:t>
      </w:r>
      <w:r>
        <w:rPr>
          <w:rFonts w:hint="eastAsia" w:ascii="宋体" w:hAnsi="宋体" w:eastAsia="宋体" w:cs="宋体"/>
          <w:bCs/>
          <w:sz w:val="24"/>
          <w:szCs w:val="24"/>
        </w:rPr>
        <w:t>（北京时间）</w:t>
      </w:r>
    </w:p>
    <w:p w14:paraId="218C759B">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浙江省台州生态环境监测中心会议室（台州市椒江区白云山南路108号）</w:t>
      </w:r>
      <w:r>
        <w:rPr>
          <w:rFonts w:hint="eastAsia" w:ascii="宋体" w:hAnsi="宋体" w:eastAsia="宋体" w:cs="宋体"/>
          <w:sz w:val="24"/>
          <w:szCs w:val="24"/>
          <w:u w:val="single"/>
        </w:rPr>
        <w:t xml:space="preserve"> </w:t>
      </w:r>
    </w:p>
    <w:p w14:paraId="673813C6">
      <w:pPr>
        <w:pStyle w:val="3"/>
        <w:spacing w:line="360" w:lineRule="auto"/>
        <w:outlineLvl w:val="0"/>
        <w:rPr>
          <w:rFonts w:hint="eastAsia" w:ascii="宋体" w:hAnsi="宋体" w:eastAsia="宋体" w:cs="宋体"/>
          <w:sz w:val="24"/>
          <w:szCs w:val="24"/>
        </w:rPr>
      </w:pPr>
      <w:bookmarkStart w:id="23" w:name="_Toc35393633"/>
      <w:bookmarkStart w:id="24" w:name="_Toc28359016"/>
      <w:bookmarkStart w:id="25" w:name="_Toc19372"/>
      <w:bookmarkStart w:id="26" w:name="_Toc28359093"/>
      <w:bookmarkStart w:id="27" w:name="_Toc35393802"/>
      <w:r>
        <w:rPr>
          <w:rFonts w:hint="eastAsia" w:ascii="宋体" w:hAnsi="宋体" w:eastAsia="宋体" w:cs="宋体"/>
          <w:b/>
          <w:kern w:val="0"/>
          <w:sz w:val="24"/>
          <w:szCs w:val="24"/>
        </w:rPr>
        <w:t>五、</w:t>
      </w:r>
      <w:r>
        <w:rPr>
          <w:rFonts w:hint="eastAsia" w:ascii="宋体" w:hAnsi="宋体" w:eastAsia="宋体" w:cs="宋体"/>
          <w:b/>
          <w:kern w:val="0"/>
          <w:sz w:val="24"/>
          <w:szCs w:val="24"/>
          <w:lang w:eastAsia="zh-CN"/>
        </w:rPr>
        <w:t>响应文件</w:t>
      </w:r>
      <w:r>
        <w:rPr>
          <w:rFonts w:hint="eastAsia" w:ascii="宋体" w:hAnsi="宋体" w:eastAsia="宋体" w:cs="宋体"/>
          <w:b/>
          <w:kern w:val="0"/>
          <w:sz w:val="24"/>
          <w:szCs w:val="24"/>
        </w:rPr>
        <w:t>开启</w:t>
      </w:r>
      <w:r>
        <w:rPr>
          <w:rFonts w:hint="eastAsia" w:ascii="宋体" w:hAnsi="宋体" w:eastAsia="宋体" w:cs="宋体"/>
          <w:b/>
          <w:kern w:val="0"/>
          <w:sz w:val="24"/>
          <w:szCs w:val="24"/>
          <w:lang w:eastAsia="zh-CN"/>
        </w:rPr>
        <w:t>时间及地点</w:t>
      </w:r>
      <w:r>
        <w:rPr>
          <w:rFonts w:hint="eastAsia" w:ascii="宋体" w:hAnsi="宋体" w:eastAsia="宋体" w:cs="宋体"/>
          <w:b/>
          <w:kern w:val="0"/>
          <w:sz w:val="24"/>
          <w:szCs w:val="24"/>
        </w:rPr>
        <w:t>（竞争性磋商方式必须填写）</w:t>
      </w:r>
      <w:bookmarkEnd w:id="23"/>
      <w:bookmarkEnd w:id="24"/>
      <w:bookmarkEnd w:id="25"/>
      <w:bookmarkEnd w:id="26"/>
      <w:bookmarkEnd w:id="27"/>
    </w:p>
    <w:p w14:paraId="3706C701">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日 09</w:t>
      </w:r>
      <w:r>
        <w:rPr>
          <w:rFonts w:hint="eastAsia" w:ascii="宋体" w:hAnsi="宋体" w:eastAsia="宋体" w:cs="宋体"/>
          <w:bCs/>
          <w:sz w:val="24"/>
          <w:szCs w:val="24"/>
          <w:u w:val="single"/>
          <w:lang w:eastAsia="zh-CN"/>
        </w:rPr>
        <w:t>时</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0分</w:t>
      </w:r>
      <w:r>
        <w:rPr>
          <w:rFonts w:hint="eastAsia" w:ascii="宋体" w:hAnsi="宋体" w:eastAsia="宋体" w:cs="宋体"/>
          <w:bCs/>
          <w:sz w:val="24"/>
          <w:szCs w:val="24"/>
        </w:rPr>
        <w:t>（北京时间）</w:t>
      </w:r>
    </w:p>
    <w:p w14:paraId="145618F6">
      <w:pPr>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lang w:eastAsia="zh-CN"/>
        </w:rPr>
        <w:t>浙江省台州生态环境监测中心会议室（台州市椒江区白云山南路108号）</w:t>
      </w:r>
      <w:r>
        <w:rPr>
          <w:rFonts w:hint="eastAsia" w:ascii="宋体" w:hAnsi="宋体" w:eastAsia="宋体" w:cs="宋体"/>
          <w:sz w:val="24"/>
          <w:szCs w:val="24"/>
          <w:u w:val="single"/>
        </w:rPr>
        <w:t xml:space="preserve">      </w:t>
      </w:r>
    </w:p>
    <w:p w14:paraId="3B585965">
      <w:pPr>
        <w:pStyle w:val="3"/>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b/>
          <w:kern w:val="0"/>
          <w:sz w:val="24"/>
          <w:szCs w:val="24"/>
        </w:rPr>
      </w:pPr>
      <w:bookmarkStart w:id="28" w:name="_Toc2685"/>
      <w:bookmarkStart w:id="29" w:name="_Toc35393634"/>
      <w:bookmarkStart w:id="30" w:name="_Toc35393803"/>
      <w:bookmarkStart w:id="31" w:name="_Toc28359094"/>
      <w:bookmarkStart w:id="32" w:name="_Toc28359017"/>
      <w:r>
        <w:rPr>
          <w:rFonts w:hint="eastAsia" w:ascii="宋体" w:hAnsi="宋体" w:eastAsia="宋体" w:cs="宋体"/>
          <w:b/>
          <w:kern w:val="0"/>
          <w:sz w:val="24"/>
          <w:szCs w:val="24"/>
        </w:rPr>
        <w:t>六、公告期限</w:t>
      </w:r>
      <w:bookmarkEnd w:id="28"/>
      <w:bookmarkEnd w:id="29"/>
      <w:bookmarkEnd w:id="30"/>
      <w:bookmarkEnd w:id="31"/>
      <w:bookmarkEnd w:id="32"/>
    </w:p>
    <w:p w14:paraId="30EEDE83">
      <w:pPr>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bookmarkStart w:id="33" w:name="_Toc35393804"/>
      <w:bookmarkStart w:id="34" w:name="_Toc35393635"/>
    </w:p>
    <w:p w14:paraId="33E34697">
      <w:pPr>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b/>
          <w:kern w:val="0"/>
          <w:sz w:val="24"/>
          <w:szCs w:val="24"/>
        </w:rPr>
      </w:pPr>
      <w:bookmarkStart w:id="35" w:name="_Toc10011"/>
      <w:r>
        <w:rPr>
          <w:rFonts w:hint="eastAsia" w:ascii="宋体" w:hAnsi="宋体" w:eastAsia="宋体" w:cs="宋体"/>
          <w:b/>
          <w:kern w:val="0"/>
          <w:sz w:val="24"/>
          <w:szCs w:val="24"/>
        </w:rPr>
        <w:t>七、其他补充事宜</w:t>
      </w:r>
      <w:bookmarkEnd w:id="33"/>
      <w:bookmarkEnd w:id="34"/>
      <w:bookmarkEnd w:id="35"/>
    </w:p>
    <w:p w14:paraId="34B898D8">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bookmarkStart w:id="36" w:name="_Toc28359095"/>
      <w:bookmarkStart w:id="37" w:name="_Toc35393805"/>
      <w:bookmarkStart w:id="38" w:name="_Toc28359018"/>
      <w:bookmarkStart w:id="39" w:name="_Toc35393636"/>
      <w:r>
        <w:rPr>
          <w:rFonts w:hint="eastAsia" w:ascii="宋体" w:hAnsi="宋体" w:eastAsia="宋体" w:cs="宋体"/>
          <w:sz w:val="24"/>
          <w:szCs w:val="24"/>
        </w:rPr>
        <w:t>1.采购文件公告期限截止之日之后有潜在供应商提出获取采购文件的，在获取期限内采购代理机构将允许其获取，但该供应商如对采购文件有质疑的，应于收到采购文件之日或者采购文件公告期限届满之日起以书面形式一次性针对同一环节向采购代理机构提出。质疑供应商对采购人、采购代理机构的答复不满意或者采购人、采购代理机构未在规定的时间内作出答复的，可以在答复期满后十五个工作日内向同级政府采购监督管理部门投诉。</w:t>
      </w:r>
    </w:p>
    <w:p w14:paraId="2E334610">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2. 对采购过程提出质疑的，为各采购程序环节结束之日起7个工作日内一次性提出；</w:t>
      </w:r>
    </w:p>
    <w:p w14:paraId="731254C3">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3. 中标结果质疑期限：对中标结果提出质疑的，应当在中标结果公告期限届满之日起7个工作日内一次性提出。</w:t>
      </w:r>
    </w:p>
    <w:p w14:paraId="33CB08F7">
      <w:pPr>
        <w:pStyle w:val="3"/>
        <w:outlineLvl w:val="0"/>
        <w:rPr>
          <w:rFonts w:hint="eastAsia" w:ascii="宋体" w:hAnsi="宋体" w:eastAsia="宋体" w:cs="宋体"/>
          <w:bCs w:val="0"/>
          <w:kern w:val="0"/>
          <w:sz w:val="24"/>
          <w:szCs w:val="24"/>
        </w:rPr>
      </w:pPr>
      <w:bookmarkStart w:id="40" w:name="_Toc12284"/>
      <w:r>
        <w:rPr>
          <w:rFonts w:hint="eastAsia" w:ascii="宋体" w:hAnsi="宋体" w:eastAsia="宋体" w:cs="宋体"/>
          <w:b/>
          <w:kern w:val="0"/>
          <w:sz w:val="24"/>
          <w:szCs w:val="24"/>
        </w:rPr>
        <w:t>八、凡对本次采购提出询问，请按以下方式联系。</w:t>
      </w:r>
      <w:bookmarkEnd w:id="36"/>
      <w:bookmarkEnd w:id="37"/>
      <w:bookmarkEnd w:id="38"/>
      <w:bookmarkEnd w:id="39"/>
      <w:bookmarkEnd w:id="40"/>
    </w:p>
    <w:p w14:paraId="146EFA7E">
      <w:pPr>
        <w:tabs>
          <w:tab w:val="left" w:pos="180"/>
          <w:tab w:val="left" w:pos="360"/>
          <w:tab w:val="left" w:pos="540"/>
          <w:tab w:val="left" w:pos="8280"/>
        </w:tabs>
        <w:autoSpaceDE w:val="0"/>
        <w:autoSpaceDN w:val="0"/>
        <w:adjustRightInd w:val="0"/>
        <w:spacing w:line="500" w:lineRule="exact"/>
        <w:ind w:right="23" w:rightChars="0" w:firstLine="480" w:firstLineChars="200"/>
        <w:outlineLvl w:val="1"/>
        <w:rPr>
          <w:rFonts w:hint="eastAsia" w:ascii="宋体" w:hAnsi="宋体" w:eastAsia="宋体" w:cs="宋体"/>
          <w:sz w:val="24"/>
          <w:szCs w:val="24"/>
        </w:rPr>
      </w:pPr>
      <w:bookmarkStart w:id="41" w:name="_Toc35393637"/>
      <w:bookmarkStart w:id="42" w:name="_Toc35393806"/>
      <w:bookmarkStart w:id="43" w:name="_Toc28359019"/>
      <w:bookmarkStart w:id="44" w:name="_Toc28359096"/>
      <w:r>
        <w:rPr>
          <w:rFonts w:hint="eastAsia" w:ascii="宋体" w:hAnsi="宋体" w:eastAsia="宋体" w:cs="宋体"/>
          <w:sz w:val="24"/>
          <w:szCs w:val="24"/>
        </w:rPr>
        <w:t>1.采购人信息</w:t>
      </w:r>
    </w:p>
    <w:p w14:paraId="5BF65235">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浙江省台州生态环境监测中心</w:t>
      </w:r>
      <w:r>
        <w:rPr>
          <w:rFonts w:hint="eastAsia" w:ascii="宋体" w:hAnsi="宋体" w:eastAsia="宋体" w:cs="宋体"/>
          <w:sz w:val="24"/>
          <w:szCs w:val="24"/>
        </w:rPr>
        <w:t>　</w:t>
      </w:r>
    </w:p>
    <w:p w14:paraId="521AB304">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台州市椒江区白云山南路108号</w:t>
      </w:r>
    </w:p>
    <w:p w14:paraId="5031B51A">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联系人：秦先生</w:t>
      </w:r>
    </w:p>
    <w:p w14:paraId="677F6752">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联系电话：0576-88581177</w:t>
      </w:r>
    </w:p>
    <w:p w14:paraId="5F4D7458">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质疑联系人：</w:t>
      </w:r>
      <w:r>
        <w:rPr>
          <w:rFonts w:hint="eastAsia" w:ascii="宋体" w:hAnsi="宋体" w:eastAsia="宋体" w:cs="宋体"/>
          <w:sz w:val="24"/>
          <w:szCs w:val="24"/>
          <w:lang w:val="en-US" w:eastAsia="zh-CN"/>
        </w:rPr>
        <w:t>秦</w:t>
      </w:r>
      <w:r>
        <w:rPr>
          <w:rFonts w:hint="eastAsia" w:ascii="宋体" w:hAnsi="宋体" w:eastAsia="宋体" w:cs="宋体"/>
          <w:sz w:val="24"/>
          <w:szCs w:val="24"/>
          <w:lang w:eastAsia="zh-CN"/>
        </w:rPr>
        <w:t>先生</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3B9C6B47">
      <w:pPr>
        <w:tabs>
          <w:tab w:val="left" w:pos="180"/>
          <w:tab w:val="left" w:pos="360"/>
          <w:tab w:val="left" w:pos="540"/>
          <w:tab w:val="left" w:pos="8280"/>
        </w:tabs>
        <w:autoSpaceDE w:val="0"/>
        <w:autoSpaceDN w:val="0"/>
        <w:adjustRightInd w:val="0"/>
        <w:spacing w:line="500" w:lineRule="exact"/>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13736597972</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rPr>
        <w:t xml:space="preserve">  </w:t>
      </w:r>
    </w:p>
    <w:p w14:paraId="1E92B1AF">
      <w:pPr>
        <w:snapToGrid w:val="0"/>
        <w:spacing w:line="500" w:lineRule="exact"/>
        <w:ind w:firstLine="513" w:firstLineChars="214"/>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4C77B974">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名    称：台州锋鼎工程项目管理有限公司</w:t>
      </w:r>
    </w:p>
    <w:p w14:paraId="561B9A5A">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地    址：浙江省台州市椒江区</w:t>
      </w:r>
      <w:r>
        <w:rPr>
          <w:rFonts w:hint="eastAsia" w:ascii="宋体" w:hAnsi="宋体" w:eastAsia="宋体" w:cs="宋体"/>
          <w:sz w:val="24"/>
          <w:szCs w:val="24"/>
          <w:lang w:eastAsia="zh-CN"/>
        </w:rPr>
        <w:t>万达</w:t>
      </w:r>
      <w:r>
        <w:rPr>
          <w:rFonts w:hint="eastAsia" w:ascii="宋体" w:hAnsi="宋体" w:eastAsia="宋体" w:cs="宋体"/>
          <w:sz w:val="24"/>
          <w:szCs w:val="24"/>
        </w:rPr>
        <w:t>大厦</w:t>
      </w:r>
      <w:r>
        <w:rPr>
          <w:rFonts w:hint="eastAsia" w:ascii="宋体" w:hAnsi="宋体" w:eastAsia="宋体" w:cs="宋体"/>
          <w:sz w:val="24"/>
          <w:szCs w:val="24"/>
          <w:lang w:val="en-US" w:eastAsia="zh-CN"/>
        </w:rPr>
        <w:t>3号楼2512</w:t>
      </w:r>
      <w:r>
        <w:rPr>
          <w:rFonts w:hint="eastAsia" w:ascii="宋体" w:hAnsi="宋体" w:eastAsia="宋体" w:cs="宋体"/>
          <w:sz w:val="24"/>
          <w:szCs w:val="24"/>
        </w:rPr>
        <w:t>室　</w:t>
      </w:r>
    </w:p>
    <w:p w14:paraId="4003C4C7">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传    真：0576-88786369</w:t>
      </w:r>
    </w:p>
    <w:p w14:paraId="6D3E393B">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项目联系人（询问）：陶女士</w:t>
      </w:r>
    </w:p>
    <w:p w14:paraId="27E0BD73">
      <w:pPr>
        <w:snapToGrid w:val="0"/>
        <w:spacing w:line="500" w:lineRule="exact"/>
        <w:ind w:firstLine="513" w:firstLineChars="214"/>
        <w:rPr>
          <w:rFonts w:hint="eastAsia" w:ascii="宋体" w:hAnsi="宋体" w:eastAsia="宋体" w:cs="宋体"/>
          <w:sz w:val="24"/>
          <w:szCs w:val="24"/>
          <w:lang w:val="en-US" w:eastAsia="zh-CN"/>
        </w:rPr>
      </w:pPr>
      <w:r>
        <w:rPr>
          <w:rFonts w:hint="eastAsia" w:ascii="宋体" w:hAnsi="宋体" w:eastAsia="宋体" w:cs="宋体"/>
          <w:sz w:val="24"/>
          <w:szCs w:val="24"/>
        </w:rPr>
        <w:t>项目联系方式（询问）：</w:t>
      </w:r>
      <w:r>
        <w:rPr>
          <w:rFonts w:hint="eastAsia" w:ascii="宋体" w:hAnsi="宋体" w:eastAsia="宋体" w:cs="宋体"/>
          <w:sz w:val="24"/>
          <w:szCs w:val="24"/>
          <w:lang w:val="en-US" w:eastAsia="zh-CN"/>
        </w:rPr>
        <w:t>13615862226</w:t>
      </w:r>
    </w:p>
    <w:p w14:paraId="587E062D">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邮箱号码：</w:t>
      </w:r>
      <w:r>
        <w:rPr>
          <w:rFonts w:hint="eastAsia" w:ascii="宋体" w:hAnsi="宋体" w:eastAsia="宋体" w:cs="宋体"/>
          <w:sz w:val="24"/>
          <w:szCs w:val="24"/>
          <w:lang w:val="en-US" w:eastAsia="zh-CN"/>
        </w:rPr>
        <w:t>122076912</w:t>
      </w:r>
      <w:r>
        <w:rPr>
          <w:rFonts w:hint="eastAsia" w:ascii="宋体" w:hAnsi="宋体" w:eastAsia="宋体" w:cs="宋体"/>
          <w:sz w:val="24"/>
          <w:szCs w:val="24"/>
        </w:rPr>
        <w:t>@qq.com</w:t>
      </w:r>
    </w:p>
    <w:p w14:paraId="76BB6008">
      <w:pPr>
        <w:snapToGrid w:val="0"/>
        <w:spacing w:line="500" w:lineRule="exact"/>
        <w:ind w:firstLine="513" w:firstLineChars="214"/>
        <w:rPr>
          <w:rFonts w:hint="eastAsia" w:ascii="宋体" w:hAnsi="宋体" w:eastAsia="宋体" w:cs="宋体"/>
          <w:sz w:val="24"/>
          <w:szCs w:val="24"/>
        </w:rPr>
      </w:pPr>
      <w:r>
        <w:rPr>
          <w:rFonts w:hint="eastAsia" w:ascii="宋体" w:hAnsi="宋体" w:eastAsia="宋体" w:cs="宋体"/>
          <w:sz w:val="24"/>
          <w:szCs w:val="24"/>
        </w:rPr>
        <w:t>质疑联系人：</w:t>
      </w:r>
      <w:r>
        <w:rPr>
          <w:rFonts w:hint="eastAsia" w:ascii="宋体" w:hAnsi="宋体" w:eastAsia="宋体" w:cs="宋体"/>
          <w:sz w:val="24"/>
          <w:szCs w:val="24"/>
          <w:lang w:eastAsia="zh-CN"/>
        </w:rPr>
        <w:t>蔡</w:t>
      </w:r>
      <w:r>
        <w:rPr>
          <w:rFonts w:hint="eastAsia" w:ascii="宋体" w:hAnsi="宋体" w:eastAsia="宋体" w:cs="宋体"/>
          <w:sz w:val="24"/>
          <w:szCs w:val="24"/>
        </w:rPr>
        <w:t>女士</w:t>
      </w:r>
    </w:p>
    <w:p w14:paraId="2B9DF99E">
      <w:pPr>
        <w:snapToGrid w:val="0"/>
        <w:spacing w:line="500" w:lineRule="exact"/>
        <w:ind w:firstLine="513" w:firstLineChars="214"/>
        <w:rPr>
          <w:rFonts w:hint="eastAsia" w:ascii="宋体" w:hAnsi="宋体" w:eastAsia="宋体" w:cs="宋体"/>
          <w:sz w:val="24"/>
          <w:szCs w:val="24"/>
          <w:lang w:val="en-US" w:eastAsia="zh-CN"/>
        </w:rPr>
      </w:pPr>
      <w:r>
        <w:rPr>
          <w:rFonts w:hint="eastAsia" w:ascii="宋体" w:hAnsi="宋体" w:eastAsia="宋体" w:cs="宋体"/>
          <w:sz w:val="24"/>
          <w:szCs w:val="24"/>
        </w:rPr>
        <w:t>质疑联系方式：0576-</w:t>
      </w:r>
      <w:r>
        <w:rPr>
          <w:rFonts w:hint="eastAsia" w:ascii="宋体" w:hAnsi="宋体" w:eastAsia="宋体" w:cs="宋体"/>
          <w:sz w:val="24"/>
          <w:szCs w:val="24"/>
          <w:lang w:val="en-US" w:eastAsia="zh-CN"/>
        </w:rPr>
        <w:t>88217987</w:t>
      </w:r>
    </w:p>
    <w:p w14:paraId="6977EDE5">
      <w:pPr>
        <w:snapToGrid w:val="0"/>
        <w:spacing w:line="500" w:lineRule="exact"/>
        <w:ind w:firstLine="599" w:firstLineChars="214"/>
        <w:rPr>
          <w:rFonts w:hint="eastAsia" w:ascii="宋体" w:hAnsi="宋体" w:eastAsia="宋体" w:cs="宋体"/>
          <w:sz w:val="28"/>
          <w:szCs w:val="28"/>
        </w:rPr>
      </w:pPr>
    </w:p>
    <w:p w14:paraId="101FE702">
      <w:pPr>
        <w:rPr>
          <w:rFonts w:hint="eastAsia" w:ascii="宋体" w:hAnsi="宋体" w:eastAsia="宋体" w:cs="宋体"/>
          <w:sz w:val="28"/>
          <w:szCs w:val="28"/>
        </w:rPr>
      </w:pPr>
      <w:r>
        <w:rPr>
          <w:rFonts w:hint="eastAsia" w:ascii="宋体" w:hAnsi="宋体" w:eastAsia="宋体" w:cs="宋体"/>
          <w:sz w:val="28"/>
          <w:szCs w:val="28"/>
        </w:rPr>
        <w:br w:type="page"/>
      </w:r>
    </w:p>
    <w:bookmarkEnd w:id="41"/>
    <w:bookmarkEnd w:id="42"/>
    <w:bookmarkEnd w:id="43"/>
    <w:bookmarkEnd w:id="44"/>
    <w:p w14:paraId="36F11C01">
      <w:pPr>
        <w:pStyle w:val="2"/>
        <w:numPr>
          <w:ilvl w:val="0"/>
          <w:numId w:val="3"/>
        </w:numPr>
        <w:spacing w:line="240" w:lineRule="auto"/>
        <w:ind w:left="-960" w:leftChars="0" w:firstLine="1767" w:firstLineChars="0"/>
        <w:jc w:val="both"/>
        <w:rPr>
          <w:rFonts w:hint="eastAsia" w:ascii="宋体" w:hAnsi="宋体" w:eastAsia="宋体" w:cs="宋体"/>
        </w:rPr>
      </w:pPr>
      <w:bookmarkStart w:id="45" w:name="_Toc417381411"/>
      <w:bookmarkEnd w:id="45"/>
      <w:bookmarkStart w:id="46" w:name="_Toc31577"/>
      <w:r>
        <w:rPr>
          <w:rFonts w:hint="eastAsia" w:ascii="宋体" w:hAnsi="宋体" w:eastAsia="宋体" w:cs="宋体"/>
        </w:rPr>
        <w:t>供应商须知</w:t>
      </w:r>
      <w:bookmarkEnd w:id="46"/>
    </w:p>
    <w:p w14:paraId="06D7C74B">
      <w:pPr>
        <w:snapToGrid w:val="0"/>
        <w:spacing w:line="360" w:lineRule="auto"/>
        <w:ind w:firstLine="562" w:firstLineChars="200"/>
        <w:jc w:val="center"/>
        <w:outlineLvl w:val="9"/>
        <w:rPr>
          <w:rFonts w:hint="eastAsia" w:ascii="宋体" w:hAnsi="宋体" w:eastAsia="宋体" w:cs="宋体"/>
          <w:sz w:val="28"/>
          <w:szCs w:val="28"/>
        </w:rPr>
      </w:pPr>
      <w:r>
        <w:rPr>
          <w:rFonts w:hint="eastAsia" w:ascii="宋体" w:hAnsi="宋体" w:eastAsia="宋体" w:cs="宋体"/>
          <w:b/>
          <w:sz w:val="28"/>
          <w:szCs w:val="28"/>
        </w:rPr>
        <w:t>前附表</w:t>
      </w:r>
    </w:p>
    <w:tbl>
      <w:tblPr>
        <w:tblStyle w:val="3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96"/>
        <w:gridCol w:w="6591"/>
      </w:tblGrid>
      <w:tr w14:paraId="7DE1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C06B07">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96" w:type="dxa"/>
            <w:tcBorders>
              <w:top w:val="single" w:color="auto" w:sz="4" w:space="0"/>
              <w:left w:val="single" w:color="auto" w:sz="4" w:space="0"/>
              <w:bottom w:val="single" w:color="auto" w:sz="4" w:space="0"/>
              <w:right w:val="single" w:color="auto" w:sz="4" w:space="0"/>
            </w:tcBorders>
            <w:vAlign w:val="center"/>
          </w:tcPr>
          <w:p w14:paraId="728CB611">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6591" w:type="dxa"/>
            <w:tcBorders>
              <w:top w:val="single" w:color="auto" w:sz="4" w:space="0"/>
              <w:left w:val="single" w:color="auto" w:sz="4" w:space="0"/>
              <w:bottom w:val="single" w:color="auto" w:sz="4" w:space="0"/>
              <w:right w:val="single" w:color="auto" w:sz="4" w:space="0"/>
            </w:tcBorders>
            <w:vAlign w:val="center"/>
          </w:tcPr>
          <w:p w14:paraId="5FFAE704">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内                 容</w:t>
            </w:r>
          </w:p>
        </w:tc>
      </w:tr>
      <w:tr w14:paraId="5631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2EA6DAE">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084A5733">
            <w:pPr>
              <w:snapToGrid w:val="0"/>
              <w:jc w:val="center"/>
              <w:rPr>
                <w:rFonts w:hint="eastAsia" w:ascii="宋体" w:hAnsi="宋体" w:eastAsia="宋体" w:cs="宋体"/>
                <w:b w:val="0"/>
                <w:bCs/>
                <w:sz w:val="24"/>
                <w:szCs w:val="24"/>
              </w:rPr>
            </w:pPr>
            <w:r>
              <w:rPr>
                <w:rFonts w:hint="eastAsia" w:ascii="宋体" w:hAnsi="宋体" w:eastAsia="宋体" w:cs="宋体"/>
                <w:b w:val="0"/>
                <w:bCs/>
                <w:sz w:val="24"/>
              </w:rPr>
              <w:t>项目属性与核心产品</w:t>
            </w:r>
          </w:p>
        </w:tc>
        <w:tc>
          <w:tcPr>
            <w:tcW w:w="6591" w:type="dxa"/>
            <w:tcBorders>
              <w:top w:val="single" w:color="auto" w:sz="4" w:space="0"/>
              <w:left w:val="single" w:color="auto" w:sz="4" w:space="0"/>
              <w:bottom w:val="single" w:color="auto" w:sz="4" w:space="0"/>
              <w:right w:val="single" w:color="auto" w:sz="4" w:space="0"/>
            </w:tcBorders>
            <w:vAlign w:val="center"/>
          </w:tcPr>
          <w:p w14:paraId="4CD8DF12">
            <w:pPr>
              <w:rPr>
                <w:rFonts w:hint="eastAsia" w:ascii="宋体" w:hAnsi="宋体" w:eastAsia="宋体" w:cs="宋体"/>
                <w:sz w:val="24"/>
                <w:szCs w:val="24"/>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类，</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tc>
      </w:tr>
      <w:tr w14:paraId="7902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F890BD">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0863BC18">
            <w:pPr>
              <w:snapToGrid w:val="0"/>
              <w:jc w:val="center"/>
              <w:rPr>
                <w:rFonts w:hint="eastAsia" w:ascii="宋体" w:hAnsi="宋体" w:eastAsia="宋体" w:cs="宋体"/>
                <w:b w:val="0"/>
                <w:bCs/>
                <w:sz w:val="24"/>
                <w:szCs w:val="24"/>
              </w:rPr>
            </w:pPr>
            <w:r>
              <w:rPr>
                <w:rFonts w:hint="eastAsia" w:ascii="宋体" w:hAnsi="宋体" w:eastAsia="宋体" w:cs="宋体"/>
                <w:b w:val="0"/>
                <w:bCs/>
                <w:sz w:val="24"/>
              </w:rPr>
              <w:t>采购标的及其对应的中小企业划分标准所属行业</w:t>
            </w:r>
          </w:p>
        </w:tc>
        <w:tc>
          <w:tcPr>
            <w:tcW w:w="6591" w:type="dxa"/>
            <w:tcBorders>
              <w:top w:val="single" w:color="auto" w:sz="4" w:space="0"/>
              <w:left w:val="single" w:color="auto" w:sz="4" w:space="0"/>
              <w:bottom w:val="single" w:color="auto" w:sz="4" w:space="0"/>
              <w:right w:val="single" w:color="auto" w:sz="4" w:space="0"/>
            </w:tcBorders>
            <w:vAlign w:val="center"/>
          </w:tcPr>
          <w:p w14:paraId="13B0D6C8">
            <w:pPr>
              <w:snapToGrid w:val="0"/>
              <w:rPr>
                <w:rFonts w:hint="eastAsia" w:ascii="宋体" w:hAnsi="宋体" w:eastAsia="宋体" w:cs="宋体"/>
                <w:sz w:val="24"/>
                <w:szCs w:val="24"/>
              </w:rPr>
            </w:pPr>
            <w:r>
              <w:rPr>
                <w:rFonts w:hint="eastAsia" w:ascii="宋体" w:hAnsi="宋体" w:eastAsia="宋体" w:cs="宋体"/>
                <w:color w:val="auto"/>
                <w:kern w:val="0"/>
                <w:sz w:val="24"/>
                <w:highlight w:val="none"/>
              </w:rPr>
              <w:t>（1）</w:t>
            </w:r>
            <w:r>
              <w:rPr>
                <w:rFonts w:hint="eastAsia" w:ascii="宋体" w:hAnsi="宋体" w:eastAsia="宋体" w:cs="宋体"/>
                <w:b/>
                <w:bCs/>
                <w:color w:val="auto"/>
                <w:kern w:val="0"/>
                <w:sz w:val="24"/>
                <w:highlight w:val="none"/>
              </w:rPr>
              <w:t>标项</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2025年台州市环境噪声自动监测设备运维项目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rPr>
              <w:t>（行业划分按《工信部关于印发中小企业划型标准规定的通知（工信部联企业〔2011〕300号）》执行）</w:t>
            </w:r>
            <w:r>
              <w:rPr>
                <w:rFonts w:hint="eastAsia" w:ascii="宋体" w:hAnsi="宋体" w:eastAsia="宋体" w:cs="宋体"/>
                <w:color w:val="auto"/>
                <w:sz w:val="24"/>
                <w:highlight w:val="none"/>
                <w:u w:val="single"/>
                <w:lang w:val="en-US" w:eastAsia="zh-CN"/>
              </w:rPr>
              <w:t>其他未列明</w:t>
            </w:r>
            <w:r>
              <w:rPr>
                <w:rFonts w:hint="eastAsia" w:ascii="宋体" w:hAnsi="宋体" w:eastAsia="宋体" w:cs="宋体"/>
                <w:color w:val="auto"/>
                <w:kern w:val="0"/>
                <w:sz w:val="24"/>
                <w:u w:val="single"/>
              </w:rPr>
              <w:t>行业</w:t>
            </w:r>
            <w:r>
              <w:rPr>
                <w:rFonts w:hint="eastAsia" w:ascii="宋体" w:hAnsi="宋体" w:eastAsia="宋体" w:cs="宋体"/>
                <w:color w:val="auto"/>
                <w:kern w:val="0"/>
                <w:sz w:val="24"/>
                <w:highlight w:val="none"/>
              </w:rPr>
              <w:t>；</w:t>
            </w:r>
          </w:p>
        </w:tc>
      </w:tr>
      <w:tr w14:paraId="61ED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38FA448">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72E3E2B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供应商特定资格要求</w:t>
            </w:r>
          </w:p>
        </w:tc>
        <w:tc>
          <w:tcPr>
            <w:tcW w:w="6591" w:type="dxa"/>
            <w:tcBorders>
              <w:top w:val="single" w:color="auto" w:sz="4" w:space="0"/>
              <w:left w:val="single" w:color="auto" w:sz="4" w:space="0"/>
              <w:bottom w:val="single" w:color="auto" w:sz="4" w:space="0"/>
              <w:right w:val="single" w:color="auto" w:sz="4" w:space="0"/>
            </w:tcBorders>
            <w:vAlign w:val="center"/>
          </w:tcPr>
          <w:p w14:paraId="746873B5">
            <w:pPr>
              <w:spacing w:line="400" w:lineRule="exact"/>
              <w:rPr>
                <w:rFonts w:hint="eastAsia" w:ascii="宋体" w:hAnsi="宋体" w:eastAsia="宋体" w:cs="宋体"/>
                <w:sz w:val="24"/>
                <w:szCs w:val="24"/>
              </w:rPr>
            </w:pPr>
            <w:r>
              <w:rPr>
                <w:rFonts w:hint="eastAsia" w:ascii="宋体" w:hAnsi="宋体" w:eastAsia="宋体" w:cs="宋体"/>
                <w:sz w:val="24"/>
                <w:szCs w:val="24"/>
              </w:rPr>
              <w:t>符合竞争性磋商公告资格要求的供应商</w:t>
            </w:r>
          </w:p>
        </w:tc>
      </w:tr>
      <w:tr w14:paraId="57AC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E26D04">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4E68493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现场勘察</w:t>
            </w:r>
          </w:p>
        </w:tc>
        <w:tc>
          <w:tcPr>
            <w:tcW w:w="6591" w:type="dxa"/>
            <w:tcBorders>
              <w:top w:val="single" w:color="auto" w:sz="4" w:space="0"/>
              <w:left w:val="single" w:color="auto" w:sz="4" w:space="0"/>
              <w:bottom w:val="single" w:color="auto" w:sz="4" w:space="0"/>
              <w:right w:val="single" w:color="auto" w:sz="4" w:space="0"/>
            </w:tcBorders>
            <w:vAlign w:val="center"/>
          </w:tcPr>
          <w:p w14:paraId="1D748F52">
            <w:pPr>
              <w:spacing w:line="400" w:lineRule="exact"/>
              <w:rPr>
                <w:rFonts w:hint="eastAsia" w:ascii="宋体" w:hAnsi="宋体" w:eastAsia="宋体" w:cs="宋体"/>
                <w:sz w:val="24"/>
                <w:szCs w:val="24"/>
              </w:rPr>
            </w:pPr>
            <w:r>
              <w:rPr>
                <w:rFonts w:hint="eastAsia" w:ascii="宋体" w:hAnsi="宋体" w:eastAsia="宋体" w:cs="宋体"/>
                <w:sz w:val="24"/>
                <w:szCs w:val="24"/>
              </w:rPr>
              <w:t>不组织，由潜在投标人自行前往现场踏勘。</w:t>
            </w:r>
          </w:p>
        </w:tc>
      </w:tr>
      <w:tr w14:paraId="2963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4760A0">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F24C2B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磋商响应文件有效期</w:t>
            </w:r>
          </w:p>
        </w:tc>
        <w:tc>
          <w:tcPr>
            <w:tcW w:w="6591" w:type="dxa"/>
            <w:tcBorders>
              <w:top w:val="single" w:color="auto" w:sz="4" w:space="0"/>
              <w:left w:val="single" w:color="auto" w:sz="4" w:space="0"/>
              <w:bottom w:val="single" w:color="auto" w:sz="4" w:space="0"/>
              <w:right w:val="single" w:color="auto" w:sz="4" w:space="0"/>
            </w:tcBorders>
            <w:vAlign w:val="center"/>
          </w:tcPr>
          <w:p w14:paraId="126A5951">
            <w:pPr>
              <w:spacing w:line="400" w:lineRule="exact"/>
              <w:rPr>
                <w:rFonts w:hint="eastAsia" w:ascii="宋体" w:hAnsi="宋体" w:eastAsia="宋体" w:cs="宋体"/>
                <w:sz w:val="24"/>
                <w:szCs w:val="24"/>
              </w:rPr>
            </w:pPr>
            <w:r>
              <w:rPr>
                <w:rFonts w:hint="eastAsia" w:ascii="宋体" w:hAnsi="宋体" w:eastAsia="宋体" w:cs="宋体"/>
                <w:sz w:val="24"/>
                <w:szCs w:val="24"/>
              </w:rPr>
              <w:t>磋商响应有效期为磋商后90天，磋商响应有效期从提交磋商响应文件的截止之日起算。</w:t>
            </w:r>
          </w:p>
        </w:tc>
      </w:tr>
      <w:tr w14:paraId="2C3F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FD52D0">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27B274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591" w:type="dxa"/>
            <w:tcBorders>
              <w:top w:val="single" w:color="auto" w:sz="4" w:space="0"/>
              <w:left w:val="single" w:color="auto" w:sz="4" w:space="0"/>
              <w:bottom w:val="single" w:color="auto" w:sz="4" w:space="0"/>
              <w:right w:val="single" w:color="auto" w:sz="4" w:space="0"/>
            </w:tcBorders>
            <w:vAlign w:val="center"/>
          </w:tcPr>
          <w:p w14:paraId="052B4280">
            <w:pPr>
              <w:numPr>
                <w:ilvl w:val="255"/>
                <w:numId w:val="0"/>
              </w:numPr>
              <w:spacing w:line="400" w:lineRule="exact"/>
              <w:rPr>
                <w:rFonts w:hint="eastAsia" w:ascii="宋体" w:hAnsi="宋体" w:eastAsia="宋体" w:cs="宋体"/>
                <w:sz w:val="24"/>
                <w:szCs w:val="24"/>
              </w:rPr>
            </w:pPr>
            <w:r>
              <w:rPr>
                <w:rFonts w:hint="eastAsia" w:ascii="宋体" w:hAnsi="宋体" w:eastAsia="宋体" w:cs="宋体"/>
                <w:sz w:val="24"/>
                <w:szCs w:val="24"/>
              </w:rPr>
              <w:t>正本一份、副本三份。</w:t>
            </w:r>
          </w:p>
        </w:tc>
      </w:tr>
      <w:tr w14:paraId="392F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4552AFD">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363A3C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投标文件密封及装订</w:t>
            </w:r>
          </w:p>
        </w:tc>
        <w:tc>
          <w:tcPr>
            <w:tcW w:w="6591" w:type="dxa"/>
            <w:tcBorders>
              <w:top w:val="single" w:color="auto" w:sz="4" w:space="0"/>
              <w:left w:val="single" w:color="auto" w:sz="4" w:space="0"/>
              <w:bottom w:val="single" w:color="auto" w:sz="4" w:space="0"/>
              <w:right w:val="single" w:color="auto" w:sz="4" w:space="0"/>
            </w:tcBorders>
            <w:vAlign w:val="center"/>
          </w:tcPr>
          <w:p w14:paraId="09917013">
            <w:pPr>
              <w:spacing w:line="400" w:lineRule="exact"/>
              <w:rPr>
                <w:rFonts w:hint="eastAsia" w:ascii="宋体" w:hAnsi="宋体" w:eastAsia="宋体" w:cs="宋体"/>
                <w:sz w:val="24"/>
                <w:szCs w:val="24"/>
              </w:rPr>
            </w:pPr>
            <w:r>
              <w:rPr>
                <w:rFonts w:hint="eastAsia" w:ascii="宋体" w:hAnsi="宋体" w:eastAsia="宋体" w:cs="宋体"/>
                <w:sz w:val="24"/>
                <w:szCs w:val="24"/>
              </w:rPr>
              <w:t>投标文件的资信技术文件和报价文件须采取单独密封。</w:t>
            </w:r>
          </w:p>
        </w:tc>
      </w:tr>
      <w:tr w14:paraId="4609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ECD02BC">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6CC63C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递交磋商文件时应提交的材料</w:t>
            </w:r>
          </w:p>
        </w:tc>
        <w:tc>
          <w:tcPr>
            <w:tcW w:w="6591" w:type="dxa"/>
            <w:tcBorders>
              <w:top w:val="single" w:color="auto" w:sz="4" w:space="0"/>
              <w:left w:val="single" w:color="auto" w:sz="4" w:space="0"/>
              <w:bottom w:val="single" w:color="auto" w:sz="4" w:space="0"/>
              <w:right w:val="single" w:color="auto" w:sz="4" w:space="0"/>
            </w:tcBorders>
            <w:vAlign w:val="center"/>
          </w:tcPr>
          <w:p w14:paraId="19CBAD98">
            <w:pPr>
              <w:spacing w:line="400" w:lineRule="exact"/>
              <w:rPr>
                <w:rFonts w:hint="eastAsia" w:ascii="宋体" w:hAnsi="宋体" w:eastAsia="宋体" w:cs="宋体"/>
              </w:rPr>
            </w:pPr>
            <w:r>
              <w:rPr>
                <w:rFonts w:hint="eastAsia" w:ascii="宋体" w:hAnsi="宋体" w:eastAsia="宋体" w:cs="宋体"/>
                <w:sz w:val="24"/>
                <w:szCs w:val="24"/>
              </w:rPr>
              <w:t>法定代表人授权书；</w:t>
            </w:r>
          </w:p>
          <w:p w14:paraId="50EA2B95">
            <w:pPr>
              <w:numPr>
                <w:ilvl w:val="255"/>
                <w:numId w:val="0"/>
              </w:numPr>
              <w:spacing w:line="400" w:lineRule="exact"/>
              <w:rPr>
                <w:rFonts w:hint="eastAsia" w:ascii="宋体" w:hAnsi="宋体" w:eastAsia="宋体" w:cs="宋体"/>
                <w:sz w:val="24"/>
                <w:szCs w:val="24"/>
              </w:rPr>
            </w:pPr>
            <w:r>
              <w:rPr>
                <w:rFonts w:hint="eastAsia" w:ascii="宋体" w:hAnsi="宋体" w:eastAsia="宋体" w:cs="宋体"/>
                <w:sz w:val="24"/>
                <w:szCs w:val="24"/>
              </w:rPr>
              <w:t>磋商文件；</w:t>
            </w:r>
          </w:p>
          <w:p w14:paraId="5159BF3E">
            <w:pPr>
              <w:numPr>
                <w:ilvl w:val="255"/>
                <w:numId w:val="0"/>
              </w:numPr>
              <w:spacing w:line="400" w:lineRule="exact"/>
              <w:rPr>
                <w:rFonts w:hint="eastAsia" w:ascii="宋体" w:hAnsi="宋体" w:eastAsia="宋体" w:cs="宋体"/>
                <w:szCs w:val="24"/>
              </w:rPr>
            </w:pPr>
            <w:r>
              <w:rPr>
                <w:rFonts w:hint="eastAsia" w:ascii="宋体" w:hAnsi="宋体" w:eastAsia="宋体" w:cs="宋体"/>
                <w:sz w:val="24"/>
                <w:szCs w:val="24"/>
              </w:rPr>
              <w:t>电子版磋商文件（</w:t>
            </w:r>
            <w:r>
              <w:rPr>
                <w:rFonts w:hint="eastAsia" w:ascii="宋体" w:hAnsi="宋体" w:cs="宋体"/>
                <w:sz w:val="24"/>
                <w:szCs w:val="24"/>
                <w:lang w:eastAsia="zh-CN"/>
              </w:rPr>
              <w:t>如提供，</w:t>
            </w:r>
            <w:r>
              <w:rPr>
                <w:rFonts w:hint="eastAsia" w:ascii="宋体" w:hAnsi="宋体" w:eastAsia="宋体" w:cs="宋体"/>
                <w:sz w:val="24"/>
                <w:szCs w:val="24"/>
              </w:rPr>
              <w:t>盖章后扫描件以U盘或光盘方式）</w:t>
            </w:r>
          </w:p>
        </w:tc>
      </w:tr>
      <w:tr w14:paraId="50FB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38E36B0">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293D362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磋商时间及地点</w:t>
            </w:r>
          </w:p>
        </w:tc>
        <w:tc>
          <w:tcPr>
            <w:tcW w:w="6591" w:type="dxa"/>
            <w:tcBorders>
              <w:top w:val="single" w:color="auto" w:sz="4" w:space="0"/>
              <w:left w:val="single" w:color="auto" w:sz="4" w:space="0"/>
              <w:bottom w:val="single" w:color="auto" w:sz="4" w:space="0"/>
              <w:right w:val="single" w:color="auto" w:sz="4" w:space="0"/>
            </w:tcBorders>
            <w:vAlign w:val="center"/>
          </w:tcPr>
          <w:p w14:paraId="4944170C">
            <w:pPr>
              <w:spacing w:line="400" w:lineRule="exact"/>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 xml:space="preserve">   日 （北京时间）</w:t>
            </w:r>
          </w:p>
          <w:p w14:paraId="477D6793">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地点： </w:t>
            </w:r>
            <w:r>
              <w:rPr>
                <w:rFonts w:hint="eastAsia" w:ascii="宋体" w:hAnsi="宋体" w:eastAsia="宋体" w:cs="宋体"/>
                <w:sz w:val="24"/>
                <w:szCs w:val="24"/>
                <w:lang w:eastAsia="zh-CN"/>
              </w:rPr>
              <w:t>浙江省台州生态环境监测中心会议室（台州市椒江区白云山南路108号）</w:t>
            </w:r>
            <w:r>
              <w:rPr>
                <w:rFonts w:hint="eastAsia" w:ascii="宋体" w:hAnsi="宋体" w:eastAsia="宋体" w:cs="宋体"/>
                <w:sz w:val="24"/>
                <w:szCs w:val="24"/>
              </w:rPr>
              <w:t xml:space="preserve">         </w:t>
            </w:r>
          </w:p>
        </w:tc>
      </w:tr>
      <w:tr w14:paraId="34E4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DF31370">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5A748F7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6591" w:type="dxa"/>
            <w:tcBorders>
              <w:top w:val="single" w:color="auto" w:sz="4" w:space="0"/>
              <w:left w:val="single" w:color="auto" w:sz="4" w:space="0"/>
              <w:bottom w:val="single" w:color="auto" w:sz="4" w:space="0"/>
              <w:right w:val="single" w:color="auto" w:sz="4" w:space="0"/>
            </w:tcBorders>
            <w:vAlign w:val="center"/>
          </w:tcPr>
          <w:p w14:paraId="3C43BE0F">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无</w:t>
            </w:r>
          </w:p>
        </w:tc>
      </w:tr>
      <w:tr w14:paraId="02B5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A053B5">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769C28E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6591" w:type="dxa"/>
            <w:tcBorders>
              <w:top w:val="single" w:color="auto" w:sz="4" w:space="0"/>
              <w:left w:val="single" w:color="auto" w:sz="4" w:space="0"/>
              <w:bottom w:val="single" w:color="auto" w:sz="4" w:space="0"/>
              <w:right w:val="single" w:color="auto" w:sz="4" w:space="0"/>
            </w:tcBorders>
            <w:vAlign w:val="center"/>
          </w:tcPr>
          <w:p w14:paraId="4DA399A2">
            <w:pPr>
              <w:spacing w:line="400" w:lineRule="exact"/>
              <w:rPr>
                <w:rFonts w:hint="eastAsia" w:ascii="宋体" w:hAnsi="宋体" w:eastAsia="宋体" w:cs="宋体"/>
                <w:sz w:val="24"/>
                <w:szCs w:val="24"/>
              </w:rPr>
            </w:pPr>
            <w:r>
              <w:rPr>
                <w:rFonts w:hint="eastAsia" w:ascii="宋体" w:hAnsi="宋体" w:eastAsia="宋体" w:cs="宋体"/>
                <w:sz w:val="24"/>
                <w:szCs w:val="24"/>
              </w:rPr>
              <w:t>无</w:t>
            </w:r>
          </w:p>
        </w:tc>
      </w:tr>
      <w:tr w14:paraId="5458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A83C9D6">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59B099C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磋商保证金退还</w:t>
            </w:r>
          </w:p>
        </w:tc>
        <w:tc>
          <w:tcPr>
            <w:tcW w:w="6591" w:type="dxa"/>
            <w:tcBorders>
              <w:top w:val="single" w:color="auto" w:sz="4" w:space="0"/>
              <w:left w:val="single" w:color="auto" w:sz="4" w:space="0"/>
              <w:bottom w:val="single" w:color="auto" w:sz="4" w:space="0"/>
              <w:right w:val="single" w:color="auto" w:sz="4" w:space="0"/>
            </w:tcBorders>
            <w:vAlign w:val="center"/>
          </w:tcPr>
          <w:p w14:paraId="1F093B2C">
            <w:pPr>
              <w:spacing w:line="400" w:lineRule="exact"/>
              <w:rPr>
                <w:rFonts w:hint="eastAsia" w:ascii="宋体" w:hAnsi="宋体" w:eastAsia="宋体" w:cs="宋体"/>
                <w:sz w:val="24"/>
                <w:szCs w:val="24"/>
              </w:rPr>
            </w:pPr>
            <w:r>
              <w:rPr>
                <w:rFonts w:hint="eastAsia" w:ascii="宋体" w:hAnsi="宋体" w:eastAsia="宋体" w:cs="宋体"/>
                <w:sz w:val="24"/>
                <w:szCs w:val="24"/>
              </w:rPr>
              <w:t>无</w:t>
            </w:r>
          </w:p>
        </w:tc>
      </w:tr>
      <w:tr w14:paraId="66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BDA7976">
            <w:pPr>
              <w:numPr>
                <w:ilvl w:val="0"/>
                <w:numId w:val="4"/>
              </w:numPr>
              <w:spacing w:line="400" w:lineRule="exact"/>
              <w:ind w:left="425" w:leftChars="0" w:hanging="425" w:firstLineChars="0"/>
              <w:jc w:val="center"/>
              <w:rPr>
                <w:rFonts w:hint="eastAsia" w:ascii="宋体" w:hAnsi="宋体" w:eastAsia="宋体" w:cs="宋体"/>
                <w:sz w:val="24"/>
                <w:szCs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16942FF5">
            <w:pPr>
              <w:widowControl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zh-CN"/>
              </w:rPr>
              <w:t>实质性条款</w:t>
            </w:r>
          </w:p>
        </w:tc>
        <w:tc>
          <w:tcPr>
            <w:tcW w:w="6591" w:type="dxa"/>
            <w:tcBorders>
              <w:top w:val="single" w:color="auto" w:sz="4" w:space="0"/>
              <w:left w:val="single" w:color="auto" w:sz="4" w:space="0"/>
              <w:bottom w:val="single" w:color="auto" w:sz="4" w:space="0"/>
              <w:right w:val="single" w:color="auto" w:sz="4" w:space="0"/>
            </w:tcBorders>
            <w:vAlign w:val="center"/>
          </w:tcPr>
          <w:p w14:paraId="02FA74C3">
            <w:pPr>
              <w:widowControl w:val="0"/>
              <w:spacing w:line="400" w:lineRule="exact"/>
              <w:rPr>
                <w:rFonts w:hint="eastAsia" w:ascii="宋体" w:hAnsi="宋体" w:eastAsia="宋体" w:cs="宋体"/>
                <w:sz w:val="24"/>
                <w:szCs w:val="24"/>
              </w:rPr>
            </w:pPr>
            <w:r>
              <w:rPr>
                <w:rFonts w:hint="eastAsia" w:ascii="宋体" w:hAnsi="宋体" w:eastAsia="宋体" w:cs="宋体"/>
                <w:sz w:val="24"/>
                <w:szCs w:val="24"/>
                <w:lang w:val="zh-CN"/>
              </w:rPr>
              <w:t>带“</w:t>
            </w:r>
            <w:r>
              <w:rPr>
                <w:rFonts w:hint="eastAsia" w:ascii="宋体" w:hAnsi="宋体" w:eastAsia="宋体" w:cs="宋体"/>
                <w:sz w:val="24"/>
                <w:szCs w:val="24"/>
              </w:rPr>
              <w:t>▲”的条款是实质性条款，磋商响应文件须做出实质性响应，否则终止磋商。</w:t>
            </w:r>
          </w:p>
        </w:tc>
      </w:tr>
      <w:tr w14:paraId="4E4B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BD3AC27">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41A5781C">
            <w:pPr>
              <w:jc w:val="center"/>
              <w:rPr>
                <w:rFonts w:hint="eastAsia" w:ascii="宋体" w:hAnsi="宋体" w:eastAsia="宋体" w:cs="宋体"/>
                <w:sz w:val="24"/>
                <w:szCs w:val="24"/>
                <w:lang w:val="en-US" w:eastAsia="zh-CN"/>
              </w:rPr>
            </w:pPr>
            <w:r>
              <w:rPr>
                <w:rFonts w:hint="eastAsia" w:ascii="宋体" w:hAnsi="宋体" w:eastAsia="宋体" w:cs="宋体"/>
                <w:b w:val="0"/>
                <w:bCs w:val="0"/>
                <w:sz w:val="24"/>
                <w:lang w:val="en-US" w:eastAsia="zh-CN"/>
              </w:rPr>
              <w:t>不见面开标</w:t>
            </w:r>
          </w:p>
        </w:tc>
        <w:tc>
          <w:tcPr>
            <w:tcW w:w="6591" w:type="dxa"/>
            <w:tcBorders>
              <w:top w:val="single" w:color="auto" w:sz="4" w:space="0"/>
              <w:left w:val="single" w:color="auto" w:sz="4" w:space="0"/>
              <w:bottom w:val="single" w:color="auto" w:sz="4" w:space="0"/>
              <w:right w:val="single" w:color="auto" w:sz="4" w:space="0"/>
            </w:tcBorders>
            <w:vAlign w:val="center"/>
          </w:tcPr>
          <w:p w14:paraId="251064C0">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本项目采取不见面开标方式进行，投标单位将投标文件提前一天邮寄送达或送至招标代理处或者开标截止时间之前送至开标室，【邮寄地址：浙江省台州市椒江区万达大厦</w:t>
            </w:r>
            <w:r>
              <w:rPr>
                <w:rFonts w:hint="eastAsia" w:ascii="宋体" w:hAnsi="宋体" w:eastAsia="宋体" w:cs="宋体"/>
                <w:sz w:val="24"/>
                <w:szCs w:val="24"/>
                <w:lang w:val="en-US" w:eastAsia="zh-CN"/>
              </w:rPr>
              <w:t>3号楼2512</w:t>
            </w:r>
            <w:r>
              <w:rPr>
                <w:rFonts w:hint="eastAsia" w:ascii="宋体" w:hAnsi="宋体" w:eastAsia="宋体" w:cs="宋体"/>
                <w:sz w:val="24"/>
                <w:szCs w:val="24"/>
                <w:lang w:val="zh-CN"/>
              </w:rPr>
              <w:t>室，联系人：蔡小素，联系电话：</w:t>
            </w:r>
            <w:r>
              <w:rPr>
                <w:rFonts w:hint="eastAsia" w:ascii="宋体" w:hAnsi="宋体" w:eastAsia="宋体" w:cs="宋体"/>
                <w:sz w:val="24"/>
                <w:szCs w:val="24"/>
                <w:lang w:val="en-US" w:eastAsia="zh-CN"/>
              </w:rPr>
              <w:t>13615862226</w:t>
            </w:r>
            <w:r>
              <w:rPr>
                <w:rFonts w:hint="eastAsia" w:ascii="宋体" w:hAnsi="宋体" w:eastAsia="宋体" w:cs="宋体"/>
                <w:sz w:val="24"/>
                <w:szCs w:val="24"/>
                <w:lang w:val="zh-CN"/>
              </w:rPr>
              <w:t>（钉钉号码）】，同时投标单位的授权委托人添加招标代理微信/钉钉以便磋商期间能及时沟通。注意事项：投标单位邮寄的投标文件的资信技术文件</w:t>
            </w:r>
            <w:r>
              <w:rPr>
                <w:rFonts w:hint="eastAsia" w:ascii="宋体" w:hAnsi="宋体" w:eastAsia="宋体" w:cs="宋体"/>
                <w:sz w:val="24"/>
                <w:szCs w:val="24"/>
              </w:rPr>
              <w:t>和报价文件</w:t>
            </w:r>
            <w:r>
              <w:rPr>
                <w:rFonts w:hint="eastAsia" w:ascii="宋体" w:hAnsi="宋体" w:eastAsia="宋体" w:cs="宋体"/>
                <w:sz w:val="24"/>
                <w:szCs w:val="24"/>
                <w:lang w:val="zh-CN"/>
              </w:rPr>
              <w:t>仍需分开密封，如未分开密封的，招标代理有权拒绝该单位的投标文件。</w:t>
            </w:r>
          </w:p>
          <w:p w14:paraId="13626420">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磋商过程将采取钉钉磋商方式进行，所有投标人需委派授权委托人（同时随身携带身份证原件）进入钉钉磋商群（钉钉磋商群的钉钉号将于磋商时间截止前半小时由招标代理通过钉钉发布给投标单位，请各投标单位提前添加招标代理钉钉好友），磋商文件密封情况由投标单位的授权委托人在钉钉磋商群中确认。钉钉磋商群磋商结束后，投标单位将附表中的《招投标活动确认声明书》签字、盖章后以PDF扫描件的形式发送至</w:t>
            </w:r>
            <w:r>
              <w:rPr>
                <w:rFonts w:hint="eastAsia" w:ascii="宋体" w:hAnsi="宋体" w:eastAsia="宋体" w:cs="宋体"/>
                <w:sz w:val="24"/>
                <w:szCs w:val="24"/>
                <w:lang w:val="en-US" w:eastAsia="zh-CN"/>
              </w:rPr>
              <w:t>122076912</w:t>
            </w:r>
            <w:r>
              <w:rPr>
                <w:rFonts w:hint="eastAsia" w:ascii="宋体" w:hAnsi="宋体" w:eastAsia="宋体" w:cs="宋体"/>
                <w:sz w:val="24"/>
                <w:szCs w:val="24"/>
                <w:lang w:val="zh-CN"/>
              </w:rPr>
              <w:t>@qq.com邮箱，如未发送的，视为对磋商文件密封情况、开标情况无异议。</w:t>
            </w:r>
          </w:p>
          <w:p w14:paraId="04355FD7">
            <w:pPr>
              <w:spacing w:line="400" w:lineRule="exact"/>
              <w:ind w:firstLine="398" w:firstLineChars="166"/>
              <w:rPr>
                <w:rFonts w:hint="eastAsia" w:ascii="宋体" w:hAnsi="宋体" w:eastAsia="宋体" w:cs="宋体"/>
                <w:sz w:val="24"/>
                <w:szCs w:val="24"/>
                <w:lang w:val="zh-CN" w:eastAsia="zh-CN"/>
              </w:rPr>
            </w:pPr>
            <w:r>
              <w:rPr>
                <w:rFonts w:hint="eastAsia" w:ascii="宋体" w:hAnsi="宋体" w:eastAsia="宋体" w:cs="宋体"/>
                <w:sz w:val="24"/>
                <w:szCs w:val="24"/>
                <w:lang w:val="zh-CN"/>
              </w:rPr>
              <w:t>磋商过程中的各评审环节的结果宣布将同步在钉钉磋商群中，投标人也可向招标代理机构提出质疑，但质疑材料需签章后转换成PDF形式发送给招标代理。投标人如对磋商过程有异议的，请电话联系：</w:t>
            </w:r>
            <w:r>
              <w:rPr>
                <w:rFonts w:hint="eastAsia" w:ascii="宋体" w:hAnsi="宋体" w:eastAsia="宋体" w:cs="宋体"/>
                <w:sz w:val="24"/>
                <w:szCs w:val="24"/>
                <w:lang w:val="en-US" w:eastAsia="zh-CN"/>
              </w:rPr>
              <w:t>13615862226</w:t>
            </w:r>
            <w:r>
              <w:rPr>
                <w:rFonts w:hint="eastAsia" w:ascii="宋体" w:hAnsi="宋体" w:eastAsia="宋体" w:cs="宋体"/>
                <w:sz w:val="24"/>
                <w:szCs w:val="24"/>
                <w:lang w:val="zh-CN"/>
              </w:rPr>
              <w:t xml:space="preserve"> ，由工作人员记录后，再反馈告知。</w:t>
            </w:r>
          </w:p>
        </w:tc>
      </w:tr>
      <w:tr w14:paraId="09B1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8094B76">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7A17B1DF">
            <w:pPr>
              <w:spacing w:line="400" w:lineRule="exact"/>
              <w:jc w:val="center"/>
              <w:rPr>
                <w:rFonts w:hint="eastAsia" w:ascii="宋体" w:hAnsi="宋体" w:eastAsia="宋体" w:cs="宋体"/>
                <w:sz w:val="24"/>
                <w:szCs w:val="24"/>
                <w:lang w:val="zh-CN" w:eastAsia="zh-CN" w:bidi="ar-SA"/>
              </w:rPr>
            </w:pPr>
            <w:r>
              <w:rPr>
                <w:rFonts w:hint="eastAsia" w:ascii="宋体" w:hAnsi="宋体" w:eastAsia="宋体" w:cs="宋体"/>
                <w:sz w:val="24"/>
                <w:szCs w:val="24"/>
                <w:highlight w:val="none"/>
              </w:rPr>
              <w:t>招标代理费</w:t>
            </w:r>
          </w:p>
        </w:tc>
        <w:tc>
          <w:tcPr>
            <w:tcW w:w="6591" w:type="dxa"/>
            <w:tcBorders>
              <w:top w:val="single" w:color="auto" w:sz="4" w:space="0"/>
              <w:left w:val="single" w:color="auto" w:sz="4" w:space="0"/>
              <w:bottom w:val="single" w:color="auto" w:sz="4" w:space="0"/>
              <w:right w:val="single" w:color="auto" w:sz="4" w:space="0"/>
            </w:tcBorders>
            <w:vAlign w:val="center"/>
          </w:tcPr>
          <w:p w14:paraId="29912371">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中标人在领取到中标通知书后5个工作日内支付给招标代理机构，各投标人应在投标报价中予以考虑。</w:t>
            </w:r>
          </w:p>
          <w:p w14:paraId="0EC98D52">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1.本采购代理机构参照国家计委计价格[2002]1980号文件规定的招标费率标准计取，以中标通知书确定的中标总金额为取费基数，向中标人收取招标服务费，</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陆仟元</w:t>
            </w:r>
            <w:r>
              <w:rPr>
                <w:rFonts w:hint="eastAsia" w:ascii="宋体" w:hAnsi="宋体" w:eastAsia="宋体" w:cs="宋体"/>
                <w:color w:val="auto"/>
                <w:sz w:val="24"/>
                <w:szCs w:val="24"/>
                <w:highlight w:val="none"/>
              </w:rPr>
              <w:t>按定额</w:t>
            </w:r>
            <w:r>
              <w:rPr>
                <w:rFonts w:hint="eastAsia" w:ascii="宋体" w:hAnsi="宋体" w:eastAsia="宋体" w:cs="宋体"/>
                <w:color w:val="auto"/>
                <w:sz w:val="24"/>
                <w:szCs w:val="24"/>
                <w:highlight w:val="none"/>
                <w:lang w:val="en-US" w:eastAsia="zh-CN"/>
              </w:rPr>
              <w:t>陆仟</w:t>
            </w:r>
            <w:r>
              <w:rPr>
                <w:rFonts w:hint="eastAsia" w:ascii="宋体" w:hAnsi="宋体" w:eastAsia="宋体" w:cs="宋体"/>
                <w:color w:val="auto"/>
                <w:sz w:val="24"/>
                <w:szCs w:val="24"/>
                <w:highlight w:val="none"/>
              </w:rPr>
              <w:t>元收取</w:t>
            </w:r>
            <w:r>
              <w:rPr>
                <w:rFonts w:hint="eastAsia" w:ascii="宋体" w:hAnsi="宋体" w:eastAsia="宋体" w:cs="宋体"/>
                <w:sz w:val="24"/>
                <w:szCs w:val="24"/>
                <w:lang w:val="zh-CN"/>
              </w:rPr>
              <w:t>。如中标人不及时缴纳招标服务费的，则采购人需要协助采购代理机构收取</w:t>
            </w:r>
          </w:p>
          <w:p w14:paraId="6504C2B3">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2.收费账号：</w:t>
            </w:r>
          </w:p>
          <w:p w14:paraId="7E391D46">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账户名称：台州锋鼎工程项目管理有限公司</w:t>
            </w:r>
          </w:p>
          <w:p w14:paraId="32D09C7E">
            <w:pPr>
              <w:spacing w:line="400" w:lineRule="exact"/>
              <w:ind w:firstLine="398" w:firstLineChars="166"/>
              <w:rPr>
                <w:rFonts w:hint="eastAsia" w:ascii="宋体" w:hAnsi="宋体" w:eastAsia="宋体" w:cs="宋体"/>
                <w:sz w:val="24"/>
                <w:szCs w:val="24"/>
                <w:lang w:val="zh-CN"/>
              </w:rPr>
            </w:pPr>
            <w:r>
              <w:rPr>
                <w:rFonts w:hint="eastAsia" w:ascii="宋体" w:hAnsi="宋体" w:eastAsia="宋体" w:cs="宋体"/>
                <w:sz w:val="24"/>
                <w:szCs w:val="24"/>
                <w:lang w:val="zh-CN"/>
              </w:rPr>
              <w:t>开户银行：中国工商银行股份有限公司台州分行</w:t>
            </w:r>
          </w:p>
          <w:p w14:paraId="29FD2C19">
            <w:pPr>
              <w:spacing w:line="400" w:lineRule="exact"/>
              <w:ind w:firstLine="398" w:firstLineChars="166"/>
              <w:rPr>
                <w:rFonts w:hint="eastAsia" w:ascii="宋体" w:hAnsi="宋体" w:eastAsia="宋体" w:cs="宋体"/>
                <w:lang w:val="zh-CN" w:eastAsia="zh-CN"/>
              </w:rPr>
            </w:pPr>
            <w:r>
              <w:rPr>
                <w:rFonts w:hint="eastAsia" w:ascii="宋体" w:hAnsi="宋体" w:eastAsia="宋体" w:cs="宋体"/>
                <w:sz w:val="24"/>
                <w:szCs w:val="24"/>
                <w:lang w:val="zh-CN"/>
              </w:rPr>
              <w:t>银行账号：1207 0212 0920 0306 679；</w:t>
            </w:r>
          </w:p>
        </w:tc>
      </w:tr>
      <w:tr w14:paraId="5A05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A4702E4">
            <w:pPr>
              <w:numPr>
                <w:ilvl w:val="0"/>
                <w:numId w:val="4"/>
              </w:numPr>
              <w:spacing w:line="400" w:lineRule="exact"/>
              <w:ind w:left="425" w:leftChars="0" w:hanging="425" w:firstLineChars="0"/>
              <w:jc w:val="center"/>
              <w:rPr>
                <w:rFonts w:hint="eastAsia" w:ascii="宋体" w:hAnsi="宋体" w:eastAsia="宋体" w:cs="宋体"/>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vAlign w:val="center"/>
          </w:tcPr>
          <w:p w14:paraId="17065CB8">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解释权</w:t>
            </w:r>
          </w:p>
        </w:tc>
        <w:tc>
          <w:tcPr>
            <w:tcW w:w="6591" w:type="dxa"/>
            <w:tcBorders>
              <w:top w:val="single" w:color="auto" w:sz="4" w:space="0"/>
              <w:left w:val="single" w:color="auto" w:sz="4" w:space="0"/>
              <w:bottom w:val="single" w:color="auto" w:sz="4" w:space="0"/>
              <w:right w:val="single" w:color="auto" w:sz="4" w:space="0"/>
            </w:tcBorders>
            <w:vAlign w:val="center"/>
          </w:tcPr>
          <w:p w14:paraId="6B3D0A2E">
            <w:pPr>
              <w:autoSpaceDE w:val="0"/>
              <w:autoSpaceDN w:val="0"/>
              <w:adjustRightInd w:val="0"/>
              <w:spacing w:line="400" w:lineRule="exact"/>
              <w:rPr>
                <w:rFonts w:hint="eastAsia" w:ascii="宋体" w:hAnsi="宋体" w:eastAsia="宋体" w:cs="宋体"/>
                <w:sz w:val="24"/>
                <w:szCs w:val="24"/>
              </w:rPr>
            </w:pPr>
            <w:r>
              <w:rPr>
                <w:rFonts w:hint="eastAsia" w:ascii="宋体" w:hAnsi="宋体" w:eastAsia="宋体" w:cs="宋体"/>
                <w:sz w:val="24"/>
                <w:szCs w:val="24"/>
              </w:rPr>
              <w:t>本磋商文件解释权属于采购人和台州锋鼎工程项目管理有限公司</w:t>
            </w:r>
          </w:p>
        </w:tc>
      </w:tr>
    </w:tbl>
    <w:p w14:paraId="5EE19DF5">
      <w:pPr>
        <w:spacing w:before="480" w:beforeLines="200" w:line="360" w:lineRule="auto"/>
        <w:ind w:firstLine="562" w:firstLineChars="200"/>
        <w:outlineLvl w:val="0"/>
        <w:rPr>
          <w:rFonts w:hint="eastAsia" w:ascii="宋体" w:hAnsi="宋体" w:eastAsia="宋体" w:cs="宋体"/>
          <w:b/>
          <w:sz w:val="28"/>
          <w:szCs w:val="28"/>
          <w:highlight w:val="none"/>
        </w:rPr>
      </w:pPr>
      <w:bookmarkStart w:id="47" w:name="_Toc8371"/>
      <w:r>
        <w:rPr>
          <w:rFonts w:hint="eastAsia" w:ascii="宋体" w:hAnsi="宋体" w:eastAsia="宋体" w:cs="宋体"/>
          <w:b/>
          <w:sz w:val="28"/>
          <w:szCs w:val="28"/>
          <w:highlight w:val="none"/>
        </w:rPr>
        <w:t>一、总则</w:t>
      </w:r>
      <w:bookmarkEnd w:id="47"/>
    </w:p>
    <w:p w14:paraId="2E444EA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依据《中华人民共和国政府采购法》《中华人民共和国政府采购法实施条例》（国务院令第658号）和《政府采购竞争性磋商采购方式管理暂行办法》（财库〔2014〕214号）及国家和浙江省有关法律、法规、规章编制。</w:t>
      </w:r>
    </w:p>
    <w:p w14:paraId="4F5548D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供应商应仔细阅读本项目采购公告及磋商文件的所有内容（包括变更、补充、澄清以及修改等，均为磋商文件的组成部分），按照磋商文件要求以及格式编制磋商响应文件，并保证其真实性，否则由此引起的一切后果应由磋商供应商承担。</w:t>
      </w:r>
    </w:p>
    <w:p w14:paraId="055AAB98">
      <w:pPr>
        <w:snapToGrid w:val="0"/>
        <w:spacing w:line="360" w:lineRule="auto"/>
        <w:ind w:firstLine="482" w:firstLineChars="200"/>
        <w:outlineLvl w:val="1"/>
        <w:rPr>
          <w:rFonts w:hint="eastAsia" w:ascii="宋体" w:hAnsi="宋体" w:eastAsia="宋体" w:cs="宋体"/>
          <w:b/>
          <w:sz w:val="24"/>
          <w:highlight w:val="none"/>
        </w:rPr>
      </w:pPr>
      <w:r>
        <w:rPr>
          <w:rFonts w:hint="eastAsia" w:ascii="宋体" w:hAnsi="宋体" w:eastAsia="宋体" w:cs="宋体"/>
          <w:b/>
          <w:sz w:val="24"/>
          <w:highlight w:val="none"/>
        </w:rPr>
        <w:t>1.适用范围</w:t>
      </w:r>
    </w:p>
    <w:p w14:paraId="5D8AD05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本磋商文件适用于</w:t>
      </w:r>
      <w:r>
        <w:rPr>
          <w:rFonts w:hint="eastAsia" w:ascii="宋体" w:hAnsi="宋体" w:eastAsia="宋体" w:cs="宋体"/>
          <w:bCs/>
          <w:sz w:val="24"/>
          <w:highlight w:val="none"/>
        </w:rPr>
        <w:t>本次</w:t>
      </w:r>
      <w:r>
        <w:rPr>
          <w:rFonts w:hint="eastAsia" w:ascii="宋体" w:hAnsi="宋体" w:eastAsia="宋体" w:cs="宋体"/>
          <w:sz w:val="24"/>
          <w:highlight w:val="none"/>
        </w:rPr>
        <w:t>项目的磋商、</w:t>
      </w:r>
      <w:r>
        <w:rPr>
          <w:rFonts w:hint="eastAsia" w:ascii="宋体" w:hAnsi="宋体" w:eastAsia="宋体" w:cs="宋体"/>
          <w:bCs/>
          <w:sz w:val="24"/>
          <w:highlight w:val="none"/>
        </w:rPr>
        <w:t>评审、确定成交供应商</w:t>
      </w:r>
      <w:r>
        <w:rPr>
          <w:rFonts w:hint="eastAsia" w:ascii="宋体" w:hAnsi="宋体" w:eastAsia="宋体" w:cs="宋体"/>
          <w:sz w:val="24"/>
          <w:highlight w:val="none"/>
        </w:rPr>
        <w:t>、验收、合同履约、付款等行为（法律、法规另有规定的，从其规定）。</w:t>
      </w:r>
    </w:p>
    <w:p w14:paraId="0CD3DAD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本磋商文件仅适用于本次采购公告中所涉及的项目和内容。</w:t>
      </w:r>
    </w:p>
    <w:p w14:paraId="3328763F">
      <w:pPr>
        <w:snapToGrid w:val="0"/>
        <w:spacing w:line="360" w:lineRule="auto"/>
        <w:ind w:firstLine="482" w:firstLineChars="200"/>
        <w:outlineLvl w:val="1"/>
        <w:rPr>
          <w:rFonts w:hint="eastAsia" w:ascii="宋体" w:hAnsi="宋体" w:eastAsia="宋体" w:cs="宋体"/>
          <w:b/>
          <w:sz w:val="24"/>
          <w:highlight w:val="none"/>
        </w:rPr>
      </w:pPr>
      <w:r>
        <w:rPr>
          <w:rFonts w:hint="eastAsia" w:ascii="宋体" w:hAnsi="宋体" w:eastAsia="宋体" w:cs="宋体"/>
          <w:b/>
          <w:sz w:val="24"/>
          <w:highlight w:val="none"/>
        </w:rPr>
        <w:t>2.定义</w:t>
      </w:r>
    </w:p>
    <w:p w14:paraId="05A7212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“采购人”系指竞争性磋商公告中载明的本项目的采购人。</w:t>
      </w:r>
    </w:p>
    <w:p w14:paraId="791CB38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“采购代理机构”系指竞争性磋商公告中载明的本项目的采购代理机构。</w:t>
      </w:r>
    </w:p>
    <w:p w14:paraId="22B6A26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“供应商”系指是指提交响应文件和报价、参与竞争性磋商采购活动的法人、其他组织或者自然人。</w:t>
      </w:r>
    </w:p>
    <w:p w14:paraId="4B63873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03589BD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2.5 </w:t>
      </w:r>
      <w:r>
        <w:rPr>
          <w:rFonts w:hint="eastAsia" w:ascii="宋体" w:hAnsi="宋体" w:eastAsia="宋体" w:cs="宋体"/>
          <w:sz w:val="24"/>
          <w:szCs w:val="24"/>
        </w:rPr>
        <w:t>“书面形式”包括信函、传真等。</w:t>
      </w:r>
    </w:p>
    <w:p w14:paraId="3374649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 系指实质性要求条款，“</w:t>
      </w:r>
      <w:sdt>
        <w:sdtPr>
          <w:rPr>
            <w:rFonts w:hint="eastAsia" w:ascii="宋体" w:hAnsi="宋体" w:eastAsia="宋体" w:cs="宋体"/>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sz w:val="24"/>
            <w:highlight w:val="none"/>
          </w:rPr>
        </w:sdtEndPr>
        <w:sdtContent>
          <w:r>
            <w:rPr>
              <w:rFonts w:hint="eastAsia" w:ascii="Wingdings" w:hAnsi="Wingdings" w:eastAsia="宋体" w:cs="宋体"/>
              <w:sz w:val="24"/>
              <w:highlight w:val="none"/>
              <w:lang w:val="en-US" w:eastAsia="zh-CN" w:bidi="ar-SA"/>
            </w:rPr>
            <w:t>þ</w:t>
          </w:r>
        </w:sdtContent>
      </w:sdt>
      <w:r>
        <w:rPr>
          <w:rFonts w:hint="eastAsia" w:ascii="宋体" w:hAnsi="宋体" w:eastAsia="宋体" w:cs="宋体"/>
          <w:sz w:val="24"/>
          <w:highlight w:val="none"/>
        </w:rPr>
        <w:t>” 系指适用本项目的要求，“</w:t>
      </w:r>
      <w:sdt>
        <w:sdtPr>
          <w:rPr>
            <w:rFonts w:hint="eastAsia" w:ascii="宋体" w:hAnsi="宋体" w:eastAsia="宋体" w:cs="宋体"/>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sz w:val="24"/>
            <w:highlight w:val="none"/>
          </w:rPr>
        </w:sdtEndPr>
        <w:sdtContent>
          <w:r>
            <w:rPr>
              <w:rFonts w:hint="eastAsia" w:ascii="宋体" w:hAnsi="宋体" w:eastAsia="宋体" w:cs="宋体"/>
              <w:sz w:val="24"/>
              <w:highlight w:val="none"/>
            </w:rPr>
            <w:t>☐</w:t>
          </w:r>
        </w:sdtContent>
      </w:sdt>
      <w:r>
        <w:rPr>
          <w:rFonts w:hint="eastAsia" w:ascii="宋体" w:hAnsi="宋体" w:eastAsia="宋体" w:cs="宋体"/>
          <w:sz w:val="24"/>
          <w:highlight w:val="none"/>
        </w:rPr>
        <w:t>” 系指不适用本项目的要求。</w:t>
      </w:r>
    </w:p>
    <w:p w14:paraId="522E02F4">
      <w:pPr>
        <w:snapToGrid w:val="0"/>
        <w:spacing w:line="360" w:lineRule="auto"/>
        <w:outlineLvl w:val="1"/>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采购项目需要落实的政府采购政策及其他要求</w:t>
      </w:r>
    </w:p>
    <w:p w14:paraId="1D2E30F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228D86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47FFE4F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09800E1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0D512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45C0189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3.3.2</w:t>
      </w:r>
      <w:r>
        <w:rPr>
          <w:rFonts w:hint="eastAsia" w:ascii="宋体" w:hAnsi="宋体" w:eastAsia="宋体" w:cs="宋体"/>
          <w:sz w:val="24"/>
          <w:highlight w:val="none"/>
        </w:rPr>
        <w:t>在政府采购活动中，供应商提供的工程符合下列情形的，享受中小企业扶持政策：在工程采购项目中，工程由中小企业承建，即工程施工单位为中小企业。</w:t>
      </w:r>
    </w:p>
    <w:p w14:paraId="77A195D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p>
    <w:p w14:paraId="5BD4DEF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3.3.3对于未预留份额专门面向中小企业的政府采购工程项目，以及预留份额政府采购工程项目中的非预留部分标项</w:t>
      </w:r>
      <w:r>
        <w:rPr>
          <w:rFonts w:hint="eastAsia" w:ascii="宋体" w:hAnsi="宋体" w:eastAsia="宋体" w:cs="宋体"/>
          <w:b/>
          <w:bCs/>
          <w:sz w:val="24"/>
          <w:highlight w:val="none"/>
        </w:rPr>
        <w:t>，对小型和微型企业的最后报价给予</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%的扣除，用扣除后的价格参与评审</w:t>
      </w:r>
      <w:r>
        <w:rPr>
          <w:rFonts w:hint="eastAsia" w:ascii="宋体" w:hAnsi="宋体" w:eastAsia="宋体" w:cs="宋体"/>
          <w:sz w:val="24"/>
          <w:highlight w:val="none"/>
        </w:rPr>
        <w:t>。接受大中型企业与小微企业组成联合体或者允许大中型企业向一家或者多家小微企业分包的政府采购工程项目，对于</w:t>
      </w:r>
      <w:bookmarkStart w:id="48" w:name="_Hlk101132181"/>
      <w:r>
        <w:rPr>
          <w:rFonts w:hint="eastAsia" w:ascii="宋体" w:hAnsi="宋体" w:eastAsia="宋体" w:cs="宋体"/>
          <w:sz w:val="24"/>
          <w:highlight w:val="none"/>
        </w:rPr>
        <w:t>联合协议或者分包意向协议约定小微企业的合同份额占到合同总金额30%以上的</w:t>
      </w:r>
      <w:bookmarkEnd w:id="48"/>
      <w:r>
        <w:rPr>
          <w:rFonts w:hint="eastAsia" w:ascii="宋体" w:hAnsi="宋体" w:eastAsia="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ACAE10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61C1245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92D91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91FD62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66DAE9D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3C872E2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4A743F5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w:t>
      </w:r>
      <w:r>
        <w:rPr>
          <w:rFonts w:hint="eastAsia" w:ascii="宋体" w:hAnsi="宋体" w:eastAsia="宋体" w:cs="宋体"/>
          <w:color w:val="auto"/>
          <w:sz w:val="24"/>
          <w:highlight w:val="none"/>
        </w:rPr>
        <w:t>3年</w:t>
      </w:r>
      <w:r>
        <w:rPr>
          <w:rFonts w:hint="eastAsia" w:ascii="宋体" w:hAnsi="宋体" w:eastAsia="宋体" w:cs="宋体"/>
          <w:sz w:val="24"/>
          <w:highlight w:val="none"/>
        </w:rPr>
        <w:t>内，以及产品核心技术高于国内领先水平，并具有明晰自主知识产权的“制造精品”产品，自认定之日起2年内视同已具备相应销售业绩，参加政府采购活动时业绩分值为满分。</w:t>
      </w:r>
    </w:p>
    <w:p w14:paraId="3B136134">
      <w:pPr>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1035ABFB">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14:paraId="0BD8BA03">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4.1在线询问、质疑、投诉</w:t>
      </w:r>
    </w:p>
    <w:p w14:paraId="22ADF9B6">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D1A866">
      <w:pPr>
        <w:autoSpaceDE w:val="0"/>
        <w:autoSpaceDN w:val="0"/>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4.2供应商询问</w:t>
      </w:r>
    </w:p>
    <w:p w14:paraId="62196169">
      <w:pPr>
        <w:autoSpaceDE w:val="0"/>
        <w:autoSpaceDN w:val="0"/>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6CCD68">
      <w:pPr>
        <w:autoSpaceDE w:val="0"/>
        <w:autoSpaceDN w:val="0"/>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4.3供应商质疑</w:t>
      </w:r>
    </w:p>
    <w:p w14:paraId="30010F76">
      <w:pPr>
        <w:pStyle w:val="24"/>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.1提出质疑的供应商应当是参与所质疑项目采购活动的供应商。潜在供应商已依法获取其可质疑的采购文件的，可以对该文件提出质疑。</w:t>
      </w:r>
    </w:p>
    <w:p w14:paraId="26263200">
      <w:pPr>
        <w:pStyle w:val="24"/>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26FADCD">
      <w:pPr>
        <w:pStyle w:val="13"/>
        <w:spacing w:line="360" w:lineRule="auto"/>
        <w:ind w:firstLine="480"/>
        <w:rPr>
          <w:rFonts w:hint="eastAsia" w:ascii="宋体" w:hAnsi="宋体" w:eastAsia="宋体" w:cs="宋体"/>
          <w:highlight w:val="none"/>
        </w:rPr>
      </w:pPr>
      <w:r>
        <w:rPr>
          <w:rFonts w:hint="eastAsia" w:ascii="宋体" w:hAnsi="宋体" w:eastAsia="宋体" w:cs="宋体"/>
          <w:highlight w:val="none"/>
        </w:rPr>
        <w:t>4.3.2.1对采购文件提出质疑的，质疑期限为供应商获得采购文件之日或者采购文件公告期限届满之日起计算。</w:t>
      </w:r>
    </w:p>
    <w:p w14:paraId="6FA88B88">
      <w:pPr>
        <w:pStyle w:val="24"/>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w:t>
      </w:r>
    </w:p>
    <w:p w14:paraId="1267ED9D">
      <w:pPr>
        <w:pStyle w:val="24"/>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4.3.2.3对采购结果提出质疑的，质疑期限自采购结果公告期限届满之日起计算。</w:t>
      </w:r>
    </w:p>
    <w:p w14:paraId="0061A770">
      <w:pPr>
        <w:pStyle w:val="24"/>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1CB7DA73">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4.3.3.1供应商的姓名或者名称、地址、邮编、联系人及联系电话；</w:t>
      </w:r>
    </w:p>
    <w:p w14:paraId="4067DB66">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4.3.3.2质疑项目的名称、编号；</w:t>
      </w:r>
    </w:p>
    <w:p w14:paraId="35BFB7F4">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4.3.3.3具体、明确的质疑事项和与质疑事项相关的请求；</w:t>
      </w:r>
    </w:p>
    <w:p w14:paraId="63423F3C">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4.3.3.4事实依据；</w:t>
      </w:r>
    </w:p>
    <w:p w14:paraId="49481612">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4.3.3.5必要的法律依据；</w:t>
      </w:r>
    </w:p>
    <w:p w14:paraId="5313B033">
      <w:pPr>
        <w:pStyle w:val="24"/>
        <w:snapToGrid w:val="0"/>
        <w:spacing w:line="360" w:lineRule="auto"/>
        <w:ind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05032B94">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67479CDB">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5AFE948C">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555D6C5E">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24506C17">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22B4580C">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BDFCCB8">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73AF239A">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22DDEAE6">
      <w:pPr>
        <w:pStyle w:val="139"/>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highlight w:val="none"/>
        </w:rPr>
      </w:pPr>
      <w:r>
        <w:rPr>
          <w:rFonts w:hint="eastAsia" w:ascii="宋体" w:hAnsi="宋体" w:eastAsia="宋体" w:cs="宋体"/>
          <w:highlight w:val="none"/>
        </w:rPr>
        <w:t>4.4.4以联合体形式参加政府采购活动的，其投诉应当由组成联合体的所有供应商共同提出。</w:t>
      </w:r>
    </w:p>
    <w:p w14:paraId="51F6D716">
      <w:pPr>
        <w:pStyle w:val="3"/>
        <w:outlineLvl w:val="0"/>
        <w:rPr>
          <w:rFonts w:hint="eastAsia" w:ascii="宋体" w:hAnsi="宋体" w:eastAsia="宋体" w:cs="宋体"/>
          <w:sz w:val="28"/>
          <w:szCs w:val="28"/>
        </w:rPr>
      </w:pPr>
      <w:bookmarkStart w:id="49" w:name="_Toc11777"/>
      <w:r>
        <w:rPr>
          <w:rFonts w:hint="eastAsia" w:ascii="宋体" w:hAnsi="宋体" w:eastAsia="宋体" w:cs="宋体"/>
          <w:sz w:val="28"/>
          <w:szCs w:val="28"/>
        </w:rPr>
        <w:t>二、采购文件的构成、澄清、修改</w:t>
      </w:r>
      <w:bookmarkEnd w:id="49"/>
    </w:p>
    <w:p w14:paraId="1347ED3C">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5．采购文件的构成</w:t>
      </w:r>
    </w:p>
    <w:p w14:paraId="1CDFBFD7">
      <w:pPr>
        <w:pStyle w:val="24"/>
        <w:spacing w:line="360" w:lineRule="auto"/>
        <w:ind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5.1 采购文件包括下列文件及附件：</w:t>
      </w:r>
    </w:p>
    <w:p w14:paraId="50040D3C">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5.1.1竞争性磋商公告；</w:t>
      </w:r>
    </w:p>
    <w:p w14:paraId="1E127B1C">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5.1.2供应商须知；</w:t>
      </w:r>
    </w:p>
    <w:p w14:paraId="55B1556E">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5.1.3评审办法；</w:t>
      </w:r>
    </w:p>
    <w:p w14:paraId="2E460527">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5.1.4采购需求；</w:t>
      </w:r>
    </w:p>
    <w:p w14:paraId="1E75A8FD">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150523FB">
      <w:pPr>
        <w:pStyle w:val="2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4C05E8AF">
      <w:pPr>
        <w:spacing w:line="360" w:lineRule="auto"/>
        <w:ind w:firstLine="480" w:firstLineChars="200"/>
        <w:outlineLvl w:val="2"/>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澄清或者修改的内容为采购文件的组成部分</w:t>
      </w:r>
      <w:r>
        <w:rPr>
          <w:rFonts w:hint="eastAsia" w:ascii="宋体" w:hAnsi="宋体" w:eastAsia="宋体" w:cs="宋体"/>
          <w:sz w:val="24"/>
          <w:highlight w:val="none"/>
        </w:rPr>
        <w:t>。</w:t>
      </w:r>
    </w:p>
    <w:p w14:paraId="3289119D">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6. 采购文件的澄清、修改</w:t>
      </w:r>
    </w:p>
    <w:p w14:paraId="04EE1DCB">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6.1已获取采购文件的潜在供应商，若有问题需要澄清，应于响应文件提交（上传）截止时间前，以书面形式向采购代理机构提出。</w:t>
      </w:r>
    </w:p>
    <w:p w14:paraId="66C800CD">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代理机构对采购文件进行澄清或修改的，将同时通知已获取采购文件的潜在供应商。依法应当公告的，将按规定公告，同时视情况延长响应文件提交（上传）截止时间和响应文件开启时间。该澄清或者修改的内容为采购文件的组成部分。</w:t>
      </w:r>
    </w:p>
    <w:p w14:paraId="63C2F4A0">
      <w:pPr>
        <w:snapToGrid w:val="0"/>
        <w:spacing w:line="360" w:lineRule="auto"/>
        <w:jc w:val="center"/>
        <w:outlineLvl w:val="0"/>
        <w:rPr>
          <w:rFonts w:hint="eastAsia" w:ascii="宋体" w:hAnsi="宋体" w:eastAsia="宋体" w:cs="宋体"/>
          <w:b/>
          <w:sz w:val="32"/>
          <w:highlight w:val="none"/>
        </w:rPr>
      </w:pPr>
      <w:bookmarkStart w:id="50" w:name="_Toc4851"/>
      <w:bookmarkStart w:id="51" w:name="_Toc32448"/>
      <w:bookmarkStart w:id="52" w:name="_Toc17106"/>
      <w:r>
        <w:rPr>
          <w:rFonts w:hint="eastAsia" w:ascii="宋体" w:hAnsi="宋体" w:eastAsia="宋体" w:cs="宋体"/>
          <w:b/>
          <w:sz w:val="32"/>
          <w:highlight w:val="none"/>
        </w:rPr>
        <w:t>三、提交响应文件</w:t>
      </w:r>
      <w:bookmarkEnd w:id="50"/>
      <w:bookmarkEnd w:id="51"/>
      <w:bookmarkEnd w:id="52"/>
    </w:p>
    <w:p w14:paraId="275A6A02">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7. 采购文件的获取</w:t>
      </w:r>
    </w:p>
    <w:p w14:paraId="52B1520C">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详见竞争性磋商公告中获取采购文件的时间期限、地点、方式及采购文件售价。</w:t>
      </w:r>
    </w:p>
    <w:p w14:paraId="1F57DECA">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8.磋商前答疑会或现场考察</w:t>
      </w:r>
    </w:p>
    <w:p w14:paraId="12778D7C">
      <w:pPr>
        <w:pStyle w:val="24"/>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不组织</w:t>
      </w:r>
    </w:p>
    <w:p w14:paraId="0D7A6F85">
      <w:pPr>
        <w:pStyle w:val="24"/>
        <w:spacing w:line="360" w:lineRule="auto"/>
        <w:outlineLvl w:val="1"/>
        <w:rPr>
          <w:rFonts w:hint="eastAsia" w:ascii="宋体" w:hAnsi="宋体" w:eastAsia="宋体" w:cs="宋体"/>
          <w:b/>
          <w:szCs w:val="24"/>
          <w:highlight w:val="none"/>
        </w:rPr>
      </w:pPr>
      <w:r>
        <w:rPr>
          <w:rFonts w:hint="eastAsia" w:ascii="宋体" w:hAnsi="宋体" w:eastAsia="宋体" w:cs="宋体"/>
          <w:b/>
          <w:kern w:val="28"/>
          <w:sz w:val="24"/>
          <w:szCs w:val="24"/>
          <w:highlight w:val="none"/>
        </w:rPr>
        <w:t>9.磋商保证金</w:t>
      </w:r>
    </w:p>
    <w:p w14:paraId="0E420758">
      <w:pPr>
        <w:pStyle w:val="13"/>
        <w:spacing w:line="360" w:lineRule="auto"/>
        <w:ind w:firstLine="470" w:firstLineChars="196"/>
        <w:rPr>
          <w:rFonts w:hint="eastAsia" w:ascii="宋体" w:hAnsi="宋体" w:eastAsia="宋体" w:cs="宋体"/>
          <w:highlight w:val="none"/>
        </w:rPr>
      </w:pPr>
      <w:r>
        <w:rPr>
          <w:rFonts w:hint="eastAsia" w:ascii="宋体" w:hAnsi="宋体" w:eastAsia="宋体" w:cs="宋体"/>
          <w:highlight w:val="none"/>
        </w:rPr>
        <w:t>本项目不需缴纳磋商保证金。</w:t>
      </w:r>
    </w:p>
    <w:p w14:paraId="5201F00A">
      <w:pPr>
        <w:pStyle w:val="24"/>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10. 响应文件的语言</w:t>
      </w:r>
    </w:p>
    <w:p w14:paraId="5AB16879">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响应文件及供应商与采购有关的来往通知、函件和文件均应使用中文。</w:t>
      </w:r>
    </w:p>
    <w:p w14:paraId="7CA3BBD1">
      <w:pPr>
        <w:pStyle w:val="24"/>
        <w:spacing w:line="360" w:lineRule="auto"/>
        <w:outlineLvl w:val="1"/>
        <w:rPr>
          <w:rFonts w:hint="eastAsia" w:ascii="宋体" w:hAnsi="宋体" w:eastAsia="宋体" w:cs="宋体"/>
          <w:sz w:val="24"/>
          <w:szCs w:val="24"/>
        </w:rPr>
      </w:pPr>
      <w:r>
        <w:rPr>
          <w:rFonts w:hint="eastAsia" w:ascii="宋体" w:hAnsi="宋体" w:eastAsia="宋体" w:cs="宋体"/>
          <w:b/>
          <w:sz w:val="24"/>
          <w:szCs w:val="24"/>
          <w:highlight w:val="none"/>
        </w:rPr>
        <w:t>11. 响应文件的组成</w:t>
      </w:r>
      <w:r>
        <w:rPr>
          <w:rFonts w:hint="eastAsia" w:ascii="宋体" w:hAnsi="宋体" w:eastAsia="宋体" w:cs="宋体"/>
          <w:sz w:val="24"/>
          <w:szCs w:val="24"/>
        </w:rPr>
        <w:t>（一正三副）</w:t>
      </w:r>
    </w:p>
    <w:p w14:paraId="1BF1DED3">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供应商应仔细阅读磋商采购文件的所有内容，按磋商采购文件的要求，详细编制磋商响应文件。</w:t>
      </w:r>
      <w:r>
        <w:rPr>
          <w:rFonts w:hint="eastAsia" w:ascii="宋体" w:hAnsi="宋体" w:eastAsia="宋体" w:cs="宋体"/>
          <w:sz w:val="24"/>
          <w:szCs w:val="24"/>
          <w:lang w:val="zh-CN"/>
        </w:rPr>
        <w:t>【特别提示：如有要求提供资料原件的，原件另行包装，并与磋商响应文件一起提交，磋商响应截止时间后所有原件不予接收。资料原件也可以用与原件相符的公证原件替代】</w:t>
      </w:r>
    </w:p>
    <w:p w14:paraId="2C98CCD2">
      <w:pPr>
        <w:autoSpaceDE w:val="0"/>
        <w:autoSpaceDN w:val="0"/>
        <w:adjustRightIn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highlight w:val="none"/>
        </w:rPr>
        <w:t>11.</w:t>
      </w:r>
      <w:r>
        <w:rPr>
          <w:rFonts w:hint="eastAsia" w:ascii="宋体" w:hAnsi="宋体" w:eastAsia="宋体" w:cs="宋体"/>
          <w:b/>
          <w:sz w:val="24"/>
          <w:szCs w:val="24"/>
        </w:rPr>
        <w:t>1、技术资信部分组成：</w:t>
      </w:r>
    </w:p>
    <w:tbl>
      <w:tblPr>
        <w:tblStyle w:val="38"/>
        <w:tblW w:w="89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195"/>
      </w:tblGrid>
      <w:tr w14:paraId="7523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402A0864">
            <w:pPr>
              <w:autoSpaceDE w:val="0"/>
              <w:autoSpaceDN w:val="0"/>
              <w:adjustRightInd w:val="0"/>
              <w:snapToGrid w:val="0"/>
              <w:spacing w:line="430" w:lineRule="atLeast"/>
              <w:rPr>
                <w:rFonts w:hint="eastAsia" w:ascii="宋体" w:hAnsi="宋体" w:eastAsia="宋体" w:cs="宋体"/>
                <w:sz w:val="22"/>
                <w:lang w:val="zh-CN"/>
              </w:rPr>
            </w:pPr>
            <w:r>
              <w:rPr>
                <w:rFonts w:hint="eastAsia" w:ascii="宋体" w:hAnsi="宋体" w:eastAsia="宋体" w:cs="宋体"/>
                <w:sz w:val="22"/>
                <w:lang w:val="zh-CN"/>
              </w:rPr>
              <w:t>序号</w:t>
            </w:r>
          </w:p>
        </w:tc>
        <w:tc>
          <w:tcPr>
            <w:tcW w:w="8195" w:type="dxa"/>
          </w:tcPr>
          <w:p w14:paraId="013ED218">
            <w:pPr>
              <w:autoSpaceDE w:val="0"/>
              <w:autoSpaceDN w:val="0"/>
              <w:adjustRightInd w:val="0"/>
              <w:snapToGrid w:val="0"/>
              <w:spacing w:line="430" w:lineRule="atLeast"/>
              <w:rPr>
                <w:rFonts w:hint="eastAsia" w:ascii="宋体" w:hAnsi="宋体" w:eastAsia="宋体" w:cs="宋体"/>
                <w:sz w:val="22"/>
                <w:lang w:val="zh-CN"/>
              </w:rPr>
            </w:pPr>
            <w:r>
              <w:rPr>
                <w:rFonts w:hint="eastAsia" w:ascii="宋体" w:hAnsi="宋体" w:eastAsia="宋体" w:cs="宋体"/>
                <w:sz w:val="22"/>
                <w:lang w:val="zh-CN"/>
              </w:rPr>
              <w:t>内容</w:t>
            </w:r>
          </w:p>
        </w:tc>
      </w:tr>
      <w:tr w14:paraId="4934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9" w:type="dxa"/>
            <w:gridSpan w:val="2"/>
          </w:tcPr>
          <w:p w14:paraId="37F13920">
            <w:pPr>
              <w:autoSpaceDE w:val="0"/>
              <w:autoSpaceDN w:val="0"/>
              <w:adjustRightInd w:val="0"/>
              <w:snapToGrid w:val="0"/>
              <w:spacing w:line="430" w:lineRule="atLeast"/>
              <w:rPr>
                <w:rFonts w:hint="eastAsia" w:ascii="宋体" w:hAnsi="宋体" w:eastAsia="宋体" w:cs="宋体"/>
                <w:sz w:val="22"/>
                <w:lang w:val="zh-CN"/>
              </w:rPr>
            </w:pPr>
            <w:r>
              <w:rPr>
                <w:rFonts w:hint="eastAsia" w:ascii="宋体" w:hAnsi="宋体" w:eastAsia="宋体" w:cs="宋体"/>
                <w:sz w:val="22"/>
                <w:lang w:val="zh-CN"/>
              </w:rPr>
              <w:t>资信部分（</w:t>
            </w:r>
            <w:r>
              <w:rPr>
                <w:rFonts w:hint="eastAsia" w:ascii="宋体" w:hAnsi="宋体" w:eastAsia="宋体" w:cs="宋体"/>
                <w:b/>
                <w:sz w:val="22"/>
                <w:u w:val="single"/>
                <w:lang w:val="zh-CN"/>
              </w:rPr>
              <w:t>▲序号1</w:t>
            </w:r>
            <w:r>
              <w:rPr>
                <w:rFonts w:hint="eastAsia" w:ascii="宋体" w:hAnsi="宋体" w:cs="宋体"/>
                <w:b/>
                <w:sz w:val="22"/>
                <w:u w:val="single"/>
                <w:lang w:val="zh-CN"/>
              </w:rPr>
              <w:t>、</w:t>
            </w:r>
            <w:r>
              <w:rPr>
                <w:rFonts w:hint="eastAsia" w:ascii="宋体" w:hAnsi="宋体" w:cs="宋体"/>
                <w:b/>
                <w:sz w:val="22"/>
                <w:u w:val="single"/>
                <w:lang w:val="en-US" w:eastAsia="zh-CN"/>
              </w:rPr>
              <w:t>2、4、5</w:t>
            </w:r>
            <w:r>
              <w:rPr>
                <w:rFonts w:hint="eastAsia" w:ascii="宋体" w:hAnsi="宋体" w:eastAsia="宋体" w:cs="宋体"/>
                <w:b/>
                <w:sz w:val="22"/>
                <w:u w:val="single"/>
                <w:lang w:val="zh-CN"/>
              </w:rPr>
              <w:t>项供应商必须提供，否则不能通过资格性审查的，责任自负）</w:t>
            </w:r>
          </w:p>
        </w:tc>
      </w:tr>
      <w:tr w14:paraId="68C1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49B09F7A">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4D617AFD">
            <w:pPr>
              <w:autoSpaceDE w:val="0"/>
              <w:autoSpaceDN w:val="0"/>
              <w:adjustRightInd w:val="0"/>
              <w:snapToGrid w:val="0"/>
              <w:spacing w:line="430" w:lineRule="atLeast"/>
              <w:rPr>
                <w:rFonts w:hint="eastAsia" w:ascii="宋体" w:hAnsi="宋体" w:eastAsia="宋体" w:cs="宋体"/>
                <w:sz w:val="22"/>
                <w:lang w:val="zh-CN"/>
              </w:rPr>
            </w:pPr>
            <w:r>
              <w:rPr>
                <w:rFonts w:hint="eastAsia" w:ascii="宋体" w:hAnsi="宋体" w:eastAsia="宋体" w:cs="宋体"/>
                <w:sz w:val="22"/>
              </w:rPr>
              <w:t>磋商声明书（附件2）</w:t>
            </w:r>
          </w:p>
        </w:tc>
      </w:tr>
      <w:tr w14:paraId="36B0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FCC5D82">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200C2A77">
            <w:pPr>
              <w:autoSpaceDE w:val="0"/>
              <w:autoSpaceDN w:val="0"/>
              <w:adjustRightInd w:val="0"/>
              <w:snapToGrid w:val="0"/>
              <w:spacing w:line="430" w:lineRule="atLeast"/>
              <w:rPr>
                <w:rFonts w:hint="eastAsia" w:ascii="宋体" w:hAnsi="宋体" w:eastAsia="宋体" w:cs="宋体"/>
                <w:sz w:val="22"/>
              </w:rPr>
            </w:pPr>
            <w:r>
              <w:rPr>
                <w:rFonts w:hint="eastAsia" w:ascii="宋体" w:hAnsi="宋体" w:eastAsia="宋体" w:cs="宋体"/>
                <w:sz w:val="22"/>
              </w:rPr>
              <w:t>供应商法定代表人授权书（见附件3）</w:t>
            </w:r>
          </w:p>
        </w:tc>
      </w:tr>
      <w:tr w14:paraId="471B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75C75AF">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3EFBD3C8">
            <w:pPr>
              <w:autoSpaceDE w:val="0"/>
              <w:autoSpaceDN w:val="0"/>
              <w:adjustRightInd w:val="0"/>
              <w:snapToGrid w:val="0"/>
              <w:spacing w:line="430" w:lineRule="atLeast"/>
              <w:rPr>
                <w:rFonts w:hint="eastAsia" w:ascii="宋体" w:hAnsi="宋体" w:eastAsia="宋体" w:cs="宋体"/>
                <w:sz w:val="22"/>
                <w:lang w:val="en-US" w:eastAsia="zh-CN"/>
              </w:rPr>
            </w:pPr>
            <w:r>
              <w:rPr>
                <w:rFonts w:hint="eastAsia" w:ascii="宋体" w:hAnsi="宋体" w:eastAsia="宋体" w:cs="宋体"/>
                <w:sz w:val="22"/>
              </w:rPr>
              <w:t>落实政府采购政策需满足的资格要求</w:t>
            </w:r>
            <w:r>
              <w:rPr>
                <w:rFonts w:hint="eastAsia" w:ascii="宋体" w:hAnsi="宋体" w:eastAsia="宋体" w:cs="宋体"/>
                <w:sz w:val="22"/>
                <w:lang w:eastAsia="zh-CN"/>
              </w:rPr>
              <w:t>：</w:t>
            </w:r>
            <w:r>
              <w:rPr>
                <w:rFonts w:hint="eastAsia" w:ascii="宋体" w:hAnsi="宋体" w:cs="宋体"/>
                <w:sz w:val="22"/>
                <w:lang w:eastAsia="zh-CN"/>
              </w:rPr>
              <w:t>如为专门面向中小企业的项目则须</w:t>
            </w:r>
            <w:r>
              <w:rPr>
                <w:rFonts w:hint="eastAsia" w:ascii="宋体" w:hAnsi="宋体" w:eastAsia="宋体" w:cs="宋体"/>
                <w:sz w:val="22"/>
                <w:lang w:val="en-US" w:eastAsia="zh-CN"/>
              </w:rPr>
              <w:t>提供中小企业声明函</w:t>
            </w:r>
            <w:r>
              <w:rPr>
                <w:rFonts w:hint="eastAsia" w:ascii="宋体" w:hAnsi="宋体" w:cs="宋体"/>
                <w:sz w:val="22"/>
                <w:lang w:val="en-US" w:eastAsia="zh-CN"/>
              </w:rPr>
              <w:t>。</w:t>
            </w:r>
          </w:p>
        </w:tc>
      </w:tr>
      <w:tr w14:paraId="1765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662FDF55">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29C5C269">
            <w:pPr>
              <w:autoSpaceDE w:val="0"/>
              <w:autoSpaceDN w:val="0"/>
              <w:adjustRightInd w:val="0"/>
              <w:snapToGrid w:val="0"/>
              <w:spacing w:line="430" w:lineRule="atLeast"/>
              <w:rPr>
                <w:rFonts w:hint="eastAsia" w:ascii="宋体" w:hAnsi="宋体" w:eastAsia="宋体" w:cs="宋体"/>
                <w:sz w:val="22"/>
                <w:lang w:eastAsia="zh-CN"/>
              </w:rPr>
            </w:pPr>
            <w:r>
              <w:rPr>
                <w:rFonts w:hint="eastAsia" w:ascii="宋体" w:hAnsi="宋体" w:eastAsia="宋体" w:cs="宋体"/>
                <w:sz w:val="22"/>
              </w:rPr>
              <w:t>供应商的营业执照</w:t>
            </w:r>
            <w:r>
              <w:rPr>
                <w:rFonts w:hint="eastAsia" w:ascii="宋体" w:hAnsi="宋体" w:eastAsia="宋体" w:cs="宋体"/>
                <w:sz w:val="22"/>
                <w:lang w:eastAsia="zh-CN"/>
              </w:rPr>
              <w:t>复印件</w:t>
            </w:r>
          </w:p>
        </w:tc>
      </w:tr>
      <w:tr w14:paraId="5C48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433448BC">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67BB472D">
            <w:pPr>
              <w:autoSpaceDE w:val="0"/>
              <w:autoSpaceDN w:val="0"/>
              <w:adjustRightInd w:val="0"/>
              <w:snapToGrid w:val="0"/>
              <w:spacing w:line="430" w:lineRule="atLeast"/>
              <w:rPr>
                <w:rFonts w:hint="eastAsia" w:ascii="宋体" w:hAnsi="宋体" w:eastAsia="宋体" w:cs="宋体"/>
                <w:sz w:val="22"/>
              </w:rPr>
            </w:pPr>
            <w:r>
              <w:rPr>
                <w:rFonts w:hint="eastAsia" w:ascii="宋体" w:hAnsi="宋体" w:eastAsia="宋体" w:cs="宋体"/>
                <w:sz w:val="22"/>
              </w:rPr>
              <w:t>法定代表人诚信投标承诺书（附件4）</w:t>
            </w:r>
          </w:p>
        </w:tc>
      </w:tr>
      <w:tr w14:paraId="0ED3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045014DD">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tcPr>
          <w:p w14:paraId="449176D1">
            <w:pPr>
              <w:autoSpaceDE w:val="0"/>
              <w:autoSpaceDN w:val="0"/>
              <w:adjustRightInd w:val="0"/>
              <w:snapToGrid w:val="0"/>
              <w:spacing w:line="430" w:lineRule="atLeast"/>
              <w:rPr>
                <w:rFonts w:hint="eastAsia" w:ascii="宋体" w:hAnsi="宋体" w:eastAsia="宋体" w:cs="宋体"/>
                <w:sz w:val="22"/>
              </w:rPr>
            </w:pPr>
            <w:r>
              <w:rPr>
                <w:rFonts w:hint="eastAsia" w:ascii="宋体" w:hAnsi="宋体" w:eastAsia="宋体" w:cs="宋体"/>
                <w:sz w:val="22"/>
              </w:rPr>
              <w:t>其他供应商须说明的资料（如有则提供）</w:t>
            </w:r>
          </w:p>
        </w:tc>
      </w:tr>
      <w:tr w14:paraId="743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19" w:type="dxa"/>
            <w:gridSpan w:val="2"/>
          </w:tcPr>
          <w:p w14:paraId="5C1B4281">
            <w:pPr>
              <w:numPr>
                <w:ilvl w:val="-1"/>
                <w:numId w:val="0"/>
              </w:numPr>
              <w:autoSpaceDE w:val="0"/>
              <w:autoSpaceDN w:val="0"/>
              <w:adjustRightInd w:val="0"/>
              <w:snapToGrid w:val="0"/>
              <w:spacing w:line="430" w:lineRule="atLeast"/>
              <w:ind w:left="0" w:firstLine="0"/>
              <w:rPr>
                <w:rFonts w:hint="eastAsia" w:ascii="宋体" w:hAnsi="宋体" w:eastAsia="宋体" w:cs="宋体"/>
                <w:sz w:val="22"/>
              </w:rPr>
            </w:pPr>
            <w:r>
              <w:rPr>
                <w:rFonts w:hint="eastAsia" w:ascii="宋体" w:hAnsi="宋体" w:eastAsia="宋体" w:cs="宋体"/>
                <w:sz w:val="22"/>
                <w:lang w:val="zh-CN"/>
              </w:rPr>
              <w:t>技术部分</w:t>
            </w:r>
          </w:p>
        </w:tc>
      </w:tr>
      <w:tr w14:paraId="7D60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11B6335E">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31A23FFB">
            <w:pPr>
              <w:pStyle w:val="13"/>
              <w:widowControl/>
              <w:adjustRightInd w:val="0"/>
              <w:snapToGrid w:val="0"/>
              <w:spacing w:line="360" w:lineRule="auto"/>
              <w:ind w:firstLine="0" w:firstLineChars="0"/>
              <w:jc w:val="both"/>
              <w:rPr>
                <w:rFonts w:hint="eastAsia" w:ascii="宋体" w:hAnsi="宋体" w:eastAsia="宋体" w:cs="宋体"/>
                <w:kern w:val="0"/>
                <w:sz w:val="22"/>
                <w:szCs w:val="20"/>
                <w:lang w:val="en-US" w:eastAsia="zh-CN" w:bidi="ar-SA"/>
              </w:rPr>
            </w:pPr>
            <w:r>
              <w:rPr>
                <w:rFonts w:hint="eastAsia" w:ascii="宋体" w:hAnsi="宋体" w:eastAsia="宋体" w:cs="宋体"/>
                <w:kern w:val="0"/>
                <w:sz w:val="22"/>
                <w:szCs w:val="20"/>
                <w:lang w:val="en-US" w:eastAsia="zh-CN" w:bidi="ar-SA"/>
              </w:rPr>
              <w:t>承接经验（根据评分标准提供）；</w:t>
            </w:r>
          </w:p>
        </w:tc>
      </w:tr>
      <w:tr w14:paraId="20FF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DB9A406">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52BE27F0">
            <w:pPr>
              <w:pStyle w:val="13"/>
              <w:widowControl/>
              <w:adjustRightInd w:val="0"/>
              <w:snapToGrid w:val="0"/>
              <w:spacing w:line="360" w:lineRule="auto"/>
              <w:ind w:firstLine="0" w:firstLineChars="0"/>
              <w:jc w:val="both"/>
              <w:rPr>
                <w:rFonts w:hint="eastAsia" w:ascii="宋体" w:hAnsi="宋体" w:eastAsia="宋体" w:cs="宋体"/>
                <w:kern w:val="0"/>
                <w:sz w:val="22"/>
                <w:szCs w:val="20"/>
                <w:lang w:val="en-US" w:eastAsia="zh-CN" w:bidi="ar-SA"/>
              </w:rPr>
            </w:pPr>
            <w:r>
              <w:rPr>
                <w:rFonts w:hint="eastAsia" w:ascii="宋体" w:hAnsi="宋体" w:eastAsia="宋体" w:cs="宋体"/>
                <w:kern w:val="0"/>
                <w:sz w:val="22"/>
                <w:szCs w:val="20"/>
                <w:lang w:val="en-US" w:eastAsia="zh-CN" w:bidi="ar-SA"/>
              </w:rPr>
              <w:t>投标人综合能力（根据评分标准提供）；</w:t>
            </w:r>
          </w:p>
        </w:tc>
      </w:tr>
      <w:tr w14:paraId="39CE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Pr>
          <w:p w14:paraId="50BEEC66">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7C3590B2">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项目负责人</w:t>
            </w:r>
            <w:r>
              <w:rPr>
                <w:rFonts w:hint="eastAsia" w:ascii="宋体" w:hAnsi="宋体" w:cs="宋体"/>
                <w:sz w:val="22"/>
                <w:lang w:val="en-US" w:eastAsia="zh-CN"/>
              </w:rPr>
              <w:t>情况</w:t>
            </w:r>
            <w:r>
              <w:rPr>
                <w:rFonts w:hint="eastAsia" w:ascii="宋体" w:hAnsi="宋体" w:eastAsia="宋体" w:cs="宋体"/>
                <w:sz w:val="22"/>
                <w:lang w:val="en-US" w:eastAsia="zh-CN"/>
              </w:rPr>
              <w:t>（根据评分标准提供）；</w:t>
            </w:r>
          </w:p>
        </w:tc>
      </w:tr>
      <w:tr w14:paraId="4ED2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0F139E80">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2BF85351">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拟投入项目成员</w:t>
            </w:r>
            <w:r>
              <w:rPr>
                <w:rFonts w:hint="eastAsia" w:ascii="宋体" w:hAnsi="宋体" w:cs="宋体"/>
                <w:sz w:val="22"/>
                <w:lang w:val="en-US" w:eastAsia="zh-CN"/>
              </w:rPr>
              <w:t>情况</w:t>
            </w:r>
            <w:r>
              <w:rPr>
                <w:rFonts w:hint="eastAsia" w:ascii="宋体" w:hAnsi="宋体" w:eastAsia="宋体" w:cs="宋体"/>
                <w:sz w:val="22"/>
                <w:lang w:val="en-US" w:eastAsia="zh-CN"/>
              </w:rPr>
              <w:t>（根据评分标准提供）；</w:t>
            </w:r>
          </w:p>
        </w:tc>
      </w:tr>
      <w:tr w14:paraId="633F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5C08FB6C">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53248A8C">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对本项熟悉程度、理解和关键点分析（根据评分标准提供）；</w:t>
            </w:r>
          </w:p>
        </w:tc>
      </w:tr>
      <w:tr w14:paraId="3E39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1A34CA8F">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1C65AB45">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比对校准设备（根据评分标准提供）；</w:t>
            </w:r>
          </w:p>
        </w:tc>
      </w:tr>
      <w:tr w14:paraId="7310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5DD03C8B">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2174A5C2">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技术参数响应</w:t>
            </w:r>
            <w:r>
              <w:rPr>
                <w:rFonts w:hint="eastAsia" w:ascii="宋体" w:hAnsi="宋体" w:cs="宋体"/>
                <w:sz w:val="22"/>
                <w:lang w:val="en-US" w:eastAsia="zh-CN"/>
              </w:rPr>
              <w:t>：</w:t>
            </w:r>
            <w:r>
              <w:rPr>
                <w:rFonts w:hint="eastAsia" w:ascii="宋体" w:hAnsi="宋体" w:eastAsia="宋体" w:cs="宋体"/>
                <w:sz w:val="22"/>
              </w:rPr>
              <w:t>商务技术</w:t>
            </w:r>
            <w:r>
              <w:rPr>
                <w:rFonts w:hint="eastAsia" w:ascii="宋体" w:hAnsi="宋体" w:eastAsia="宋体" w:cs="宋体"/>
                <w:sz w:val="22"/>
                <w:lang w:val="en-US" w:eastAsia="zh-CN"/>
              </w:rPr>
              <w:t>偏离</w:t>
            </w:r>
            <w:r>
              <w:rPr>
                <w:rFonts w:hint="eastAsia" w:ascii="宋体" w:hAnsi="宋体" w:eastAsia="宋体" w:cs="宋体"/>
                <w:sz w:val="22"/>
              </w:rPr>
              <w:t>表（附件8）</w:t>
            </w:r>
          </w:p>
        </w:tc>
      </w:tr>
      <w:tr w14:paraId="6928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6BC8308F">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3A3EB862">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工作实施方案（根据评分标准提供）；</w:t>
            </w:r>
          </w:p>
        </w:tc>
      </w:tr>
      <w:tr w14:paraId="0D2D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4" w:type="dxa"/>
          </w:tcPr>
          <w:p w14:paraId="7C3D9E56">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7631E880">
            <w:pPr>
              <w:autoSpaceDE w:val="0"/>
              <w:autoSpaceDN w:val="0"/>
              <w:adjustRightInd w:val="0"/>
              <w:snapToGrid w:val="0"/>
              <w:spacing w:line="430" w:lineRule="atLeast"/>
              <w:jc w:val="both"/>
              <w:rPr>
                <w:rFonts w:hint="eastAsia" w:ascii="宋体" w:hAnsi="宋体" w:eastAsia="宋体" w:cs="宋体"/>
                <w:sz w:val="22"/>
                <w:lang w:val="en-US" w:eastAsia="zh-CN"/>
              </w:rPr>
            </w:pPr>
            <w:r>
              <w:rPr>
                <w:rFonts w:hint="eastAsia" w:ascii="宋体" w:hAnsi="宋体" w:eastAsia="宋体" w:cs="宋体"/>
                <w:sz w:val="22"/>
                <w:lang w:val="en-US" w:eastAsia="zh-CN"/>
              </w:rPr>
              <w:t>售后服务方案（根据评分标准提供）；</w:t>
            </w:r>
          </w:p>
        </w:tc>
      </w:tr>
      <w:tr w14:paraId="267E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4" w:type="dxa"/>
          </w:tcPr>
          <w:p w14:paraId="75F282B5">
            <w:pPr>
              <w:numPr>
                <w:ilvl w:val="0"/>
                <w:numId w:val="5"/>
              </w:numPr>
              <w:autoSpaceDE w:val="0"/>
              <w:autoSpaceDN w:val="0"/>
              <w:adjustRightInd w:val="0"/>
              <w:snapToGrid w:val="0"/>
              <w:spacing w:line="430" w:lineRule="atLeast"/>
              <w:ind w:left="425" w:hanging="425"/>
              <w:rPr>
                <w:rFonts w:hint="eastAsia" w:ascii="宋体" w:hAnsi="宋体" w:eastAsia="宋体" w:cs="宋体"/>
                <w:sz w:val="22"/>
                <w:lang w:val="zh-CN"/>
              </w:rPr>
            </w:pPr>
          </w:p>
        </w:tc>
        <w:tc>
          <w:tcPr>
            <w:tcW w:w="8195" w:type="dxa"/>
            <w:vAlign w:val="center"/>
          </w:tcPr>
          <w:p w14:paraId="737EB2C3">
            <w:pPr>
              <w:autoSpaceDE w:val="0"/>
              <w:autoSpaceDN w:val="0"/>
              <w:adjustRightInd w:val="0"/>
              <w:snapToGrid w:val="0"/>
              <w:spacing w:line="430" w:lineRule="atLeast"/>
              <w:jc w:val="both"/>
              <w:rPr>
                <w:rFonts w:hint="eastAsia" w:ascii="宋体" w:hAnsi="宋体" w:eastAsia="宋体" w:cs="宋体"/>
                <w:sz w:val="22"/>
              </w:rPr>
            </w:pPr>
            <w:r>
              <w:rPr>
                <w:rFonts w:hint="eastAsia" w:ascii="宋体" w:hAnsi="宋体" w:eastAsia="宋体" w:cs="宋体"/>
                <w:sz w:val="22"/>
              </w:rPr>
              <w:t>供应商针对评分细则，编制目录索引，注明评标细则项目所在响应文件页码。</w:t>
            </w:r>
          </w:p>
        </w:tc>
      </w:tr>
    </w:tbl>
    <w:p w14:paraId="371B8C0D">
      <w:pPr>
        <w:autoSpaceDE w:val="0"/>
        <w:autoSpaceDN w:val="0"/>
        <w:adjustRightIn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highlight w:val="none"/>
        </w:rPr>
        <w:t>11.</w:t>
      </w:r>
      <w:r>
        <w:rPr>
          <w:rFonts w:hint="eastAsia" w:ascii="宋体" w:hAnsi="宋体" w:eastAsia="宋体" w:cs="宋体"/>
          <w:b/>
          <w:sz w:val="24"/>
          <w:szCs w:val="24"/>
        </w:rPr>
        <w:t>2、报价文件的组成：</w:t>
      </w:r>
    </w:p>
    <w:tbl>
      <w:tblPr>
        <w:tblStyle w:val="38"/>
        <w:tblpPr w:leftFromText="180" w:rightFromText="180" w:vertAnchor="text" w:horzAnchor="page" w:tblpX="1875" w:tblpY="493"/>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464"/>
      </w:tblGrid>
      <w:tr w14:paraId="310A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ign w:val="center"/>
          </w:tcPr>
          <w:p w14:paraId="1C85F20E">
            <w:pPr>
              <w:snapToGrid w:val="0"/>
              <w:spacing w:line="430" w:lineRule="atLeast"/>
              <w:jc w:val="center"/>
              <w:rPr>
                <w:rFonts w:hint="eastAsia" w:ascii="宋体" w:hAnsi="宋体" w:eastAsia="宋体" w:cs="宋体"/>
                <w:sz w:val="22"/>
                <w:lang w:val="zh-CN"/>
              </w:rPr>
            </w:pPr>
            <w:r>
              <w:rPr>
                <w:rFonts w:hint="eastAsia" w:ascii="宋体" w:hAnsi="宋体" w:eastAsia="宋体" w:cs="宋体"/>
                <w:sz w:val="22"/>
                <w:lang w:val="zh-CN"/>
              </w:rPr>
              <w:t>序号</w:t>
            </w:r>
          </w:p>
        </w:tc>
        <w:tc>
          <w:tcPr>
            <w:tcW w:w="8464" w:type="dxa"/>
            <w:tcBorders>
              <w:top w:val="single" w:color="auto" w:sz="4" w:space="0"/>
              <w:left w:val="single" w:color="auto" w:sz="4" w:space="0"/>
              <w:bottom w:val="single" w:color="auto" w:sz="4" w:space="0"/>
              <w:right w:val="single" w:color="auto" w:sz="4" w:space="0"/>
            </w:tcBorders>
            <w:noWrap/>
          </w:tcPr>
          <w:p w14:paraId="6BA0E820">
            <w:pPr>
              <w:snapToGrid w:val="0"/>
              <w:spacing w:line="430" w:lineRule="atLeast"/>
              <w:jc w:val="center"/>
              <w:rPr>
                <w:rFonts w:hint="eastAsia" w:ascii="宋体" w:hAnsi="宋体" w:eastAsia="宋体" w:cs="宋体"/>
                <w:sz w:val="22"/>
                <w:lang w:val="zh-CN"/>
              </w:rPr>
            </w:pPr>
            <w:r>
              <w:rPr>
                <w:rFonts w:hint="eastAsia" w:ascii="宋体" w:hAnsi="宋体" w:eastAsia="宋体" w:cs="宋体"/>
                <w:sz w:val="22"/>
                <w:lang w:val="zh-CN"/>
              </w:rPr>
              <w:t>内容</w:t>
            </w:r>
          </w:p>
          <w:p w14:paraId="6F267CFC">
            <w:pPr>
              <w:snapToGrid w:val="0"/>
              <w:spacing w:line="430" w:lineRule="atLeast"/>
              <w:rPr>
                <w:rFonts w:hint="eastAsia" w:ascii="宋体" w:hAnsi="宋体" w:eastAsia="宋体" w:cs="宋体"/>
                <w:sz w:val="22"/>
                <w:lang w:val="zh-CN"/>
              </w:rPr>
            </w:pPr>
            <w:r>
              <w:rPr>
                <w:rFonts w:hint="eastAsia" w:ascii="宋体" w:hAnsi="宋体" w:eastAsia="宋体" w:cs="宋体"/>
                <w:sz w:val="22"/>
                <w:lang w:val="zh-CN"/>
              </w:rPr>
              <w:t>（</w:t>
            </w:r>
            <w:r>
              <w:rPr>
                <w:rFonts w:hint="eastAsia" w:ascii="宋体" w:hAnsi="宋体" w:eastAsia="宋体" w:cs="宋体"/>
                <w:b/>
                <w:sz w:val="22"/>
                <w:lang w:val="zh-CN"/>
              </w:rPr>
              <w:t>序号2项磋商供应商必须提供，否则响应无效，责任自负。</w:t>
            </w:r>
            <w:r>
              <w:rPr>
                <w:rFonts w:hint="eastAsia" w:ascii="宋体" w:hAnsi="宋体" w:eastAsia="宋体" w:cs="宋体"/>
                <w:sz w:val="22"/>
                <w:lang w:val="zh-CN"/>
              </w:rPr>
              <w:t>）</w:t>
            </w:r>
          </w:p>
        </w:tc>
      </w:tr>
      <w:tr w14:paraId="152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0" w:type="dxa"/>
            <w:tcBorders>
              <w:top w:val="single" w:color="auto" w:sz="4" w:space="0"/>
              <w:left w:val="single" w:color="auto" w:sz="4" w:space="0"/>
              <w:bottom w:val="single" w:color="auto" w:sz="4" w:space="0"/>
              <w:right w:val="single" w:color="auto" w:sz="4" w:space="0"/>
            </w:tcBorders>
            <w:noWrap/>
            <w:vAlign w:val="center"/>
          </w:tcPr>
          <w:p w14:paraId="68834B60">
            <w:pPr>
              <w:snapToGrid w:val="0"/>
              <w:spacing w:line="430" w:lineRule="atLeast"/>
              <w:jc w:val="center"/>
              <w:rPr>
                <w:rFonts w:hint="eastAsia" w:ascii="宋体" w:hAnsi="宋体" w:eastAsia="宋体" w:cs="宋体"/>
                <w:sz w:val="22"/>
                <w:lang w:val="en-US" w:eastAsia="zh-CN"/>
              </w:rPr>
            </w:pPr>
            <w:r>
              <w:rPr>
                <w:rFonts w:hint="eastAsia" w:ascii="宋体" w:hAnsi="宋体" w:eastAsia="宋体" w:cs="宋体"/>
                <w:sz w:val="22"/>
                <w:lang w:val="zh-CN"/>
              </w:rPr>
              <w:t>1</w:t>
            </w:r>
            <w:r>
              <w:rPr>
                <w:rFonts w:hint="eastAsia" w:ascii="宋体" w:hAnsi="宋体" w:eastAsia="宋体" w:cs="宋体"/>
                <w:sz w:val="22"/>
                <w:lang w:val="en-US" w:eastAsia="zh-CN"/>
              </w:rPr>
              <w:t>.</w:t>
            </w:r>
          </w:p>
        </w:tc>
        <w:tc>
          <w:tcPr>
            <w:tcW w:w="8464" w:type="dxa"/>
            <w:tcBorders>
              <w:top w:val="single" w:color="auto" w:sz="4" w:space="0"/>
              <w:left w:val="single" w:color="auto" w:sz="4" w:space="0"/>
              <w:bottom w:val="single" w:color="auto" w:sz="4" w:space="0"/>
              <w:right w:val="single" w:color="auto" w:sz="4" w:space="0"/>
            </w:tcBorders>
            <w:noWrap/>
          </w:tcPr>
          <w:p w14:paraId="30F40621">
            <w:pPr>
              <w:snapToGrid w:val="0"/>
              <w:spacing w:line="430" w:lineRule="atLeast"/>
              <w:rPr>
                <w:rFonts w:hint="eastAsia" w:ascii="宋体" w:hAnsi="宋体" w:eastAsia="宋体" w:cs="宋体"/>
                <w:sz w:val="22"/>
                <w:lang w:val="zh-CN"/>
              </w:rPr>
            </w:pPr>
            <w:r>
              <w:rPr>
                <w:rFonts w:hint="eastAsia" w:ascii="宋体" w:hAnsi="宋体" w:eastAsia="宋体" w:cs="宋体"/>
                <w:sz w:val="22"/>
              </w:rPr>
              <w:t>报价文件封面</w:t>
            </w:r>
          </w:p>
        </w:tc>
      </w:tr>
      <w:tr w14:paraId="16F8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0" w:type="dxa"/>
            <w:tcBorders>
              <w:top w:val="single" w:color="auto" w:sz="4" w:space="0"/>
              <w:left w:val="single" w:color="auto" w:sz="4" w:space="0"/>
              <w:bottom w:val="single" w:color="auto" w:sz="4" w:space="0"/>
              <w:right w:val="single" w:color="auto" w:sz="4" w:space="0"/>
            </w:tcBorders>
            <w:noWrap/>
            <w:vAlign w:val="center"/>
          </w:tcPr>
          <w:p w14:paraId="51D71C42">
            <w:pPr>
              <w:snapToGrid w:val="0"/>
              <w:spacing w:line="430" w:lineRule="atLeast"/>
              <w:jc w:val="center"/>
              <w:rPr>
                <w:rFonts w:hint="eastAsia" w:ascii="宋体" w:hAnsi="宋体" w:eastAsia="宋体" w:cs="宋体"/>
                <w:sz w:val="22"/>
                <w:lang w:val="en-US" w:eastAsia="zh-CN"/>
              </w:rPr>
            </w:pPr>
            <w:r>
              <w:rPr>
                <w:rFonts w:hint="eastAsia" w:ascii="宋体" w:hAnsi="宋体" w:eastAsia="宋体" w:cs="宋体"/>
                <w:sz w:val="22"/>
                <w:lang w:val="zh-CN"/>
              </w:rPr>
              <w:t>2</w:t>
            </w:r>
            <w:r>
              <w:rPr>
                <w:rFonts w:hint="eastAsia" w:ascii="宋体" w:hAnsi="宋体" w:eastAsia="宋体" w:cs="宋体"/>
                <w:sz w:val="22"/>
                <w:lang w:val="en-US" w:eastAsia="zh-CN"/>
              </w:rPr>
              <w:t>.</w:t>
            </w:r>
          </w:p>
        </w:tc>
        <w:tc>
          <w:tcPr>
            <w:tcW w:w="8464" w:type="dxa"/>
            <w:tcBorders>
              <w:top w:val="single" w:color="auto" w:sz="4" w:space="0"/>
              <w:left w:val="single" w:color="auto" w:sz="4" w:space="0"/>
              <w:bottom w:val="single" w:color="auto" w:sz="4" w:space="0"/>
              <w:right w:val="single" w:color="auto" w:sz="4" w:space="0"/>
            </w:tcBorders>
            <w:noWrap/>
          </w:tcPr>
          <w:p w14:paraId="0F1BD874">
            <w:pPr>
              <w:spacing w:line="430" w:lineRule="atLeast"/>
              <w:textAlignment w:val="bottom"/>
              <w:rPr>
                <w:rFonts w:hint="eastAsia" w:ascii="宋体" w:hAnsi="宋体" w:eastAsia="宋体" w:cs="宋体"/>
                <w:sz w:val="22"/>
              </w:rPr>
            </w:pPr>
            <w:r>
              <w:rPr>
                <w:rFonts w:hint="eastAsia" w:ascii="宋体" w:hAnsi="宋体" w:eastAsia="宋体" w:cs="宋体"/>
                <w:sz w:val="22"/>
              </w:rPr>
              <w:t>磋商报价一览表</w:t>
            </w:r>
          </w:p>
        </w:tc>
      </w:tr>
      <w:tr w14:paraId="30CE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0" w:type="dxa"/>
            <w:tcBorders>
              <w:top w:val="single" w:color="auto" w:sz="4" w:space="0"/>
              <w:left w:val="single" w:color="auto" w:sz="4" w:space="0"/>
              <w:bottom w:val="single" w:color="auto" w:sz="4" w:space="0"/>
              <w:right w:val="single" w:color="auto" w:sz="4" w:space="0"/>
            </w:tcBorders>
            <w:noWrap/>
            <w:vAlign w:val="center"/>
          </w:tcPr>
          <w:p w14:paraId="1042BB4A">
            <w:pPr>
              <w:snapToGrid w:val="0"/>
              <w:spacing w:line="430" w:lineRule="atLeast"/>
              <w:jc w:val="center"/>
              <w:rPr>
                <w:rFonts w:hint="eastAsia" w:ascii="宋体" w:hAnsi="宋体" w:eastAsia="宋体" w:cs="宋体"/>
                <w:sz w:val="22"/>
                <w:lang w:val="en-US" w:eastAsia="zh-CN"/>
              </w:rPr>
            </w:pPr>
            <w:r>
              <w:rPr>
                <w:rFonts w:hint="eastAsia" w:ascii="宋体" w:hAnsi="宋体" w:eastAsia="宋体" w:cs="宋体"/>
                <w:sz w:val="22"/>
                <w:lang w:val="en-US" w:eastAsia="zh-CN"/>
              </w:rPr>
              <w:t>3.</w:t>
            </w:r>
          </w:p>
        </w:tc>
        <w:tc>
          <w:tcPr>
            <w:tcW w:w="8464" w:type="dxa"/>
            <w:tcBorders>
              <w:top w:val="single" w:color="auto" w:sz="4" w:space="0"/>
              <w:left w:val="single" w:color="auto" w:sz="4" w:space="0"/>
              <w:bottom w:val="single" w:color="auto" w:sz="4" w:space="0"/>
              <w:right w:val="single" w:color="auto" w:sz="4" w:space="0"/>
            </w:tcBorders>
            <w:noWrap/>
          </w:tcPr>
          <w:p w14:paraId="6534BB2F">
            <w:pPr>
              <w:spacing w:line="430" w:lineRule="atLeast"/>
              <w:textAlignment w:val="bottom"/>
              <w:rPr>
                <w:rFonts w:hint="eastAsia" w:ascii="宋体" w:hAnsi="宋体" w:eastAsia="宋体" w:cs="宋体"/>
                <w:sz w:val="22"/>
                <w:lang w:eastAsia="zh-CN"/>
              </w:rPr>
            </w:pPr>
            <w:r>
              <w:rPr>
                <w:rFonts w:hint="eastAsia" w:ascii="宋体" w:hAnsi="宋体" w:eastAsia="宋体" w:cs="宋体"/>
                <w:sz w:val="22"/>
                <w:lang w:eastAsia="zh-CN"/>
              </w:rPr>
              <w:t>其</w:t>
            </w:r>
            <w:r>
              <w:rPr>
                <w:rFonts w:hint="eastAsia" w:ascii="宋体" w:hAnsi="宋体" w:eastAsia="宋体" w:cs="宋体"/>
                <w:sz w:val="22"/>
              </w:rPr>
              <w:t>他须说明的资料（如有则提供</w:t>
            </w:r>
            <w:r>
              <w:rPr>
                <w:rFonts w:hint="eastAsia" w:ascii="宋体" w:hAnsi="宋体" w:eastAsia="宋体" w:cs="宋体"/>
                <w:sz w:val="22"/>
                <w:lang w:eastAsia="zh-CN"/>
              </w:rPr>
              <w:t>）</w:t>
            </w:r>
          </w:p>
        </w:tc>
      </w:tr>
    </w:tbl>
    <w:p w14:paraId="0314FF96">
      <w:pPr>
        <w:outlineLvl w:val="3"/>
        <w:rPr>
          <w:rFonts w:hint="eastAsia" w:ascii="宋体" w:hAnsi="宋体" w:eastAsia="宋体" w:cs="宋体"/>
          <w:sz w:val="24"/>
          <w:szCs w:val="24"/>
          <w:lang w:val="zh-CN"/>
        </w:rPr>
      </w:pPr>
      <w:r>
        <w:rPr>
          <w:rFonts w:hint="eastAsia" w:ascii="宋体" w:hAnsi="宋体" w:eastAsia="宋体" w:cs="宋体"/>
          <w:sz w:val="24"/>
          <w:szCs w:val="24"/>
        </w:rPr>
        <w:t>（二）磋商响应文件的制作、封装及递交要求</w:t>
      </w:r>
    </w:p>
    <w:p w14:paraId="6B59824F">
      <w:pPr>
        <w:spacing w:line="360" w:lineRule="auto"/>
        <w:rPr>
          <w:rFonts w:hint="eastAsia" w:ascii="宋体" w:hAnsi="宋体" w:eastAsia="宋体" w:cs="宋体"/>
          <w:b/>
          <w:sz w:val="24"/>
          <w:szCs w:val="21"/>
          <w:highlight w:val="none"/>
        </w:rPr>
      </w:pPr>
      <w:r>
        <w:rPr>
          <w:rFonts w:hint="eastAsia" w:ascii="宋体" w:hAnsi="宋体" w:eastAsia="宋体" w:cs="宋体"/>
          <w:b/>
          <w:sz w:val="24"/>
          <w:highlight w:val="none"/>
        </w:rPr>
        <w:t>注意事项：响应文件含有采购人不能接受的附加条件的，响应文件无效；供应商提供虚假材料的，响应文件无效。</w:t>
      </w:r>
    </w:p>
    <w:p w14:paraId="27E8444C">
      <w:pPr>
        <w:pStyle w:val="111"/>
        <w:snapToGrid w:val="0"/>
        <w:spacing w:before="0"/>
        <w:ind w:firstLine="0" w:firstLineChars="0"/>
        <w:outlineLvl w:val="1"/>
        <w:rPr>
          <w:rFonts w:hint="eastAsia" w:ascii="宋体" w:hAnsi="宋体" w:eastAsia="宋体" w:cs="宋体"/>
          <w:b/>
          <w:szCs w:val="24"/>
          <w:highlight w:val="none"/>
        </w:rPr>
      </w:pPr>
      <w:bookmarkStart w:id="53" w:name="_Toc32629"/>
      <w:bookmarkStart w:id="54" w:name="_Toc25793"/>
      <w:r>
        <w:rPr>
          <w:rFonts w:hint="eastAsia" w:ascii="宋体" w:hAnsi="宋体" w:eastAsia="宋体" w:cs="宋体"/>
          <w:b/>
          <w:szCs w:val="24"/>
          <w:highlight w:val="none"/>
        </w:rPr>
        <w:t>12</w:t>
      </w:r>
      <w:r>
        <w:rPr>
          <w:rFonts w:hint="eastAsia" w:ascii="宋体" w:hAnsi="宋体" w:eastAsia="宋体" w:cs="宋体"/>
          <w:b/>
          <w:szCs w:val="24"/>
          <w:highlight w:val="none"/>
          <w:lang w:val="zh-CN"/>
        </w:rPr>
        <w:t xml:space="preserve">. </w:t>
      </w:r>
      <w:r>
        <w:rPr>
          <w:rFonts w:hint="eastAsia" w:ascii="宋体" w:hAnsi="宋体" w:eastAsia="宋体" w:cs="宋体"/>
          <w:b/>
          <w:szCs w:val="24"/>
          <w:highlight w:val="none"/>
        </w:rPr>
        <w:t>响应文件的编制</w:t>
      </w:r>
      <w:bookmarkEnd w:id="53"/>
      <w:bookmarkEnd w:id="54"/>
    </w:p>
    <w:p w14:paraId="4870BD4C">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1.投标人应按本</w:t>
      </w:r>
      <w:r>
        <w:rPr>
          <w:rFonts w:hint="eastAsia" w:ascii="宋体" w:hAnsi="宋体" w:eastAsia="宋体" w:cs="宋体"/>
          <w:sz w:val="24"/>
          <w:szCs w:val="24"/>
          <w:lang w:eastAsia="zh-CN"/>
        </w:rPr>
        <w:t>招标</w:t>
      </w:r>
      <w:r>
        <w:rPr>
          <w:rFonts w:hint="eastAsia" w:ascii="宋体" w:hAnsi="宋体" w:eastAsia="宋体" w:cs="宋体"/>
          <w:sz w:val="24"/>
          <w:szCs w:val="24"/>
        </w:rPr>
        <w:t>文件规定的格式和顺序编制、装订</w:t>
      </w:r>
      <w:r>
        <w:rPr>
          <w:rFonts w:hint="eastAsia" w:ascii="宋体" w:hAnsi="宋体" w:eastAsia="宋体" w:cs="宋体"/>
          <w:sz w:val="24"/>
          <w:szCs w:val="24"/>
          <w:lang w:eastAsia="zh-CN"/>
        </w:rPr>
        <w:t>投标</w:t>
      </w:r>
      <w:r>
        <w:rPr>
          <w:rFonts w:hint="eastAsia" w:ascii="宋体" w:hAnsi="宋体" w:eastAsia="宋体" w:cs="宋体"/>
          <w:sz w:val="24"/>
          <w:szCs w:val="24"/>
        </w:rPr>
        <w:t>响应文件并标注页码，</w:t>
      </w:r>
      <w:r>
        <w:rPr>
          <w:rFonts w:hint="eastAsia" w:ascii="宋体" w:hAnsi="宋体" w:eastAsia="宋体" w:cs="宋体"/>
          <w:sz w:val="24"/>
          <w:szCs w:val="24"/>
          <w:lang w:eastAsia="zh-CN"/>
        </w:rPr>
        <w:t>投标</w:t>
      </w:r>
      <w:r>
        <w:rPr>
          <w:rFonts w:hint="eastAsia" w:ascii="宋体" w:hAnsi="宋体" w:eastAsia="宋体" w:cs="宋体"/>
          <w:sz w:val="24"/>
          <w:szCs w:val="24"/>
        </w:rPr>
        <w:t>响应文件内容不完整、编排混乱导致</w:t>
      </w:r>
      <w:r>
        <w:rPr>
          <w:rFonts w:hint="eastAsia" w:ascii="宋体" w:hAnsi="宋体" w:eastAsia="宋体" w:cs="宋体"/>
          <w:sz w:val="24"/>
          <w:szCs w:val="24"/>
          <w:lang w:eastAsia="zh-CN"/>
        </w:rPr>
        <w:t>投标</w:t>
      </w:r>
      <w:r>
        <w:rPr>
          <w:rFonts w:hint="eastAsia" w:ascii="宋体" w:hAnsi="宋体" w:eastAsia="宋体" w:cs="宋体"/>
          <w:sz w:val="24"/>
          <w:szCs w:val="24"/>
        </w:rPr>
        <w:t>响应文件被误读、漏读或者查找不到相关内容的责任，由投标人自负。</w:t>
      </w:r>
    </w:p>
    <w:p w14:paraId="6B1B1D3F">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2.投标人应按响应文件正本、副本规定的份数分别编制并按A4纸规格分别单独装订成册。响应文件的封面应注明“正本”、“副本”字样。</w:t>
      </w:r>
      <w:r>
        <w:rPr>
          <w:rFonts w:hint="eastAsia" w:ascii="宋体" w:hAnsi="宋体" w:eastAsia="宋体" w:cs="宋体"/>
          <w:b/>
          <w:sz w:val="24"/>
          <w:szCs w:val="24"/>
        </w:rPr>
        <w:t>活页装订（是指用卡条、抽杆夹等方式装订，使标书可以拆卸或者在翻动过程中易脱落的一种装订方式）的</w:t>
      </w:r>
      <w:r>
        <w:rPr>
          <w:rFonts w:hint="eastAsia" w:ascii="宋体" w:hAnsi="宋体" w:eastAsia="宋体" w:cs="宋体"/>
          <w:b/>
          <w:sz w:val="24"/>
          <w:szCs w:val="24"/>
          <w:lang w:eastAsia="zh-CN"/>
        </w:rPr>
        <w:t>投标</w:t>
      </w:r>
      <w:r>
        <w:rPr>
          <w:rFonts w:hint="eastAsia" w:ascii="宋体" w:hAnsi="宋体" w:eastAsia="宋体" w:cs="宋体"/>
          <w:b/>
          <w:sz w:val="24"/>
          <w:szCs w:val="24"/>
        </w:rPr>
        <w:t>响应文件</w:t>
      </w:r>
      <w:r>
        <w:rPr>
          <w:rFonts w:hint="eastAsia" w:ascii="宋体" w:hAnsi="宋体" w:eastAsia="宋体" w:cs="宋体"/>
          <w:b/>
          <w:bCs/>
          <w:sz w:val="24"/>
          <w:szCs w:val="24"/>
        </w:rPr>
        <w:t>将作无效标处理</w:t>
      </w:r>
      <w:r>
        <w:rPr>
          <w:rFonts w:hint="eastAsia" w:ascii="宋体" w:hAnsi="宋体" w:eastAsia="宋体" w:cs="宋体"/>
          <w:b/>
          <w:sz w:val="24"/>
          <w:szCs w:val="24"/>
        </w:rPr>
        <w:t>。</w:t>
      </w:r>
    </w:p>
    <w:p w14:paraId="5C5D5BF8">
      <w:pPr>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3.响应文件的正本需打印或用不褪色的墨水填写，响应文件正本除《投标人须知》中规定的可提供复印件外均须提供原件。副本为正本的复印件</w:t>
      </w:r>
      <w:r>
        <w:rPr>
          <w:rFonts w:hint="eastAsia" w:ascii="宋体" w:hAnsi="宋体" w:eastAsia="宋体" w:cs="宋体"/>
          <w:sz w:val="24"/>
          <w:szCs w:val="24"/>
          <w:lang w:eastAsia="zh-CN"/>
        </w:rPr>
        <w:t>，</w:t>
      </w:r>
      <w:r>
        <w:rPr>
          <w:rFonts w:hint="eastAsia" w:ascii="宋体" w:hAnsi="宋体" w:eastAsia="宋体" w:cs="宋体"/>
          <w:sz w:val="24"/>
          <w:szCs w:val="24"/>
        </w:rPr>
        <w:t>正副本内容不一致的,以正本为准。</w:t>
      </w:r>
      <w:r>
        <w:rPr>
          <w:rFonts w:hint="eastAsia" w:ascii="宋体" w:hAnsi="宋体" w:eastAsia="宋体" w:cs="宋体"/>
          <w:sz w:val="24"/>
          <w:szCs w:val="24"/>
          <w:lang w:eastAsia="zh-CN"/>
        </w:rPr>
        <w:t>采购</w:t>
      </w:r>
      <w:r>
        <w:rPr>
          <w:rFonts w:hint="eastAsia" w:ascii="宋体" w:hAnsi="宋体" w:eastAsia="宋体" w:cs="宋体"/>
          <w:sz w:val="24"/>
          <w:szCs w:val="24"/>
        </w:rPr>
        <w:t>人提倡双面打印或书写。</w:t>
      </w:r>
    </w:p>
    <w:p w14:paraId="0A42F2BC">
      <w:pPr>
        <w:snapToGrid w:val="0"/>
        <w:spacing w:line="460" w:lineRule="exact"/>
        <w:ind w:firstLine="456" w:firstLineChars="190"/>
        <w:rPr>
          <w:rFonts w:hint="eastAsia" w:ascii="宋体" w:hAnsi="宋体" w:eastAsia="宋体" w:cs="宋体"/>
          <w:sz w:val="24"/>
          <w:szCs w:val="24"/>
        </w:rPr>
      </w:pPr>
      <w:r>
        <w:rPr>
          <w:rFonts w:hint="eastAsia" w:ascii="宋体" w:hAnsi="宋体" w:eastAsia="宋体" w:cs="宋体"/>
          <w:sz w:val="24"/>
          <w:szCs w:val="24"/>
          <w:lang w:val="en-US" w:eastAsia="zh-CN"/>
        </w:rPr>
        <w:t>12.4</w:t>
      </w:r>
      <w:r>
        <w:rPr>
          <w:rFonts w:hint="eastAsia" w:ascii="宋体" w:hAnsi="宋体" w:eastAsia="宋体" w:cs="宋体"/>
          <w:sz w:val="24"/>
          <w:szCs w:val="24"/>
        </w:rPr>
        <w:t>.投标人的响应文件应密封封装，外包装封面上应注明投标人名称、投标人地址、响应文件名称、报价项目名称、项目编号及“开标时启封”字样，并加盖投标人公章。</w:t>
      </w:r>
    </w:p>
    <w:p w14:paraId="2193E945">
      <w:pPr>
        <w:snapToGrid w:val="0"/>
        <w:spacing w:line="360" w:lineRule="auto"/>
        <w:outlineLvl w:val="1"/>
        <w:rPr>
          <w:rFonts w:hint="eastAsia" w:ascii="宋体" w:hAnsi="宋体" w:eastAsia="宋体" w:cs="宋体"/>
          <w:b/>
          <w:sz w:val="24"/>
          <w:highlight w:val="none"/>
        </w:rPr>
      </w:pPr>
      <w:r>
        <w:rPr>
          <w:rFonts w:hint="eastAsia" w:ascii="宋体" w:hAnsi="宋体" w:eastAsia="宋体" w:cs="宋体"/>
          <w:b/>
          <w:sz w:val="24"/>
          <w:highlight w:val="none"/>
        </w:rPr>
        <w:t>13.响应文件的签署、盖章</w:t>
      </w:r>
    </w:p>
    <w:p w14:paraId="64BAE63F">
      <w:pPr>
        <w:pStyle w:val="111"/>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w:t>
      </w:r>
      <w:r>
        <w:rPr>
          <w:rFonts w:hint="eastAsia" w:ascii="宋体" w:hAnsi="宋体" w:eastAsia="宋体" w:cs="宋体"/>
          <w:b w:val="0"/>
          <w:bCs/>
          <w:szCs w:val="24"/>
        </w:rPr>
        <w:t>投标文件须由投标人在规定位置盖章并由法定代表人或法定代表人的授权委托人签署，投标人应写全称。</w:t>
      </w:r>
      <w:r>
        <w:rPr>
          <w:rFonts w:hint="eastAsia" w:ascii="宋体" w:hAnsi="宋体" w:eastAsia="宋体" w:cs="宋体"/>
          <w:b/>
          <w:highlight w:val="none"/>
        </w:rPr>
        <w:t>▲供应商的响应文件未按照采购文件要求签署、盖章的，其响应文件无效</w:t>
      </w:r>
      <w:r>
        <w:rPr>
          <w:rFonts w:hint="eastAsia" w:ascii="宋体" w:hAnsi="宋体" w:eastAsia="宋体" w:cs="宋体"/>
          <w:szCs w:val="24"/>
          <w:highlight w:val="none"/>
        </w:rPr>
        <w:t>。</w:t>
      </w:r>
    </w:p>
    <w:p w14:paraId="37939BE1">
      <w:pPr>
        <w:pStyle w:val="12"/>
        <w:widowControl w:val="0"/>
        <w:numPr>
          <w:ilvl w:val="0"/>
          <w:numId w:val="0"/>
        </w:numPr>
        <w:tabs>
          <w:tab w:val="left" w:pos="0"/>
          <w:tab w:val="left" w:pos="1200"/>
          <w:tab w:val="clear" w:pos="454"/>
          <w:tab w:val="clear" w:pos="720"/>
        </w:tabs>
        <w:snapToGrid w:val="0"/>
        <w:spacing w:afterLines="0" w:line="360" w:lineRule="auto"/>
        <w:ind w:left="0" w:leftChars="0" w:firstLine="397" w:firstLineChars="0"/>
        <w:rPr>
          <w:rFonts w:hint="eastAsia" w:ascii="宋体" w:hAnsi="宋体" w:eastAsia="宋体" w:cs="宋体"/>
          <w:szCs w:val="24"/>
        </w:rPr>
      </w:pPr>
      <w:r>
        <w:rPr>
          <w:rFonts w:hint="eastAsia" w:ascii="宋体" w:hAnsi="宋体" w:eastAsia="宋体" w:cs="宋体"/>
          <w:highlight w:val="none"/>
        </w:rPr>
        <w:t>13.2</w:t>
      </w:r>
      <w:r>
        <w:rPr>
          <w:rFonts w:hint="eastAsia" w:ascii="宋体" w:hAnsi="宋体" w:eastAsia="宋体" w:cs="宋体"/>
          <w:b w:val="0"/>
          <w:bCs/>
          <w:szCs w:val="24"/>
        </w:rPr>
        <w:t>投标文件不得涂</w:t>
      </w:r>
      <w:r>
        <w:rPr>
          <w:rFonts w:hint="eastAsia" w:ascii="宋体" w:hAnsi="宋体" w:eastAsia="宋体" w:cs="宋体"/>
          <w:szCs w:val="24"/>
        </w:rPr>
        <w:t>改，若有修改错漏处，须加盖单位公章或者法定代表人或授权委托人签字或盖章。投标文件因字迹潦草或表达不清所引起的后果由投标人负责。</w:t>
      </w:r>
    </w:p>
    <w:p w14:paraId="5C8F424E">
      <w:pPr>
        <w:pStyle w:val="111"/>
        <w:snapToGrid w:val="0"/>
        <w:spacing w:before="0"/>
        <w:ind w:firstLine="0" w:firstLineChars="0"/>
        <w:outlineLvl w:val="1"/>
        <w:rPr>
          <w:rFonts w:hint="eastAsia" w:ascii="宋体" w:hAnsi="宋体" w:eastAsia="宋体" w:cs="宋体"/>
          <w:b/>
          <w:szCs w:val="24"/>
          <w:highlight w:val="none"/>
        </w:rPr>
      </w:pPr>
      <w:r>
        <w:rPr>
          <w:rFonts w:hint="eastAsia" w:ascii="宋体" w:hAnsi="宋体" w:eastAsia="宋体" w:cs="宋体"/>
          <w:b/>
          <w:szCs w:val="24"/>
          <w:highlight w:val="none"/>
        </w:rPr>
        <w:t>14. 响应文件的提交、补充、修改、撤回</w:t>
      </w:r>
    </w:p>
    <w:p w14:paraId="1781C5D2">
      <w:pPr>
        <w:pStyle w:val="12"/>
        <w:widowControl w:val="0"/>
        <w:numPr>
          <w:ilvl w:val="0"/>
          <w:numId w:val="0"/>
        </w:numPr>
        <w:tabs>
          <w:tab w:val="left" w:pos="0"/>
          <w:tab w:val="left" w:pos="1200"/>
          <w:tab w:val="clear" w:pos="454"/>
          <w:tab w:val="clear" w:pos="720"/>
        </w:tabs>
        <w:snapToGrid w:val="0"/>
        <w:spacing w:afterLines="0" w:line="360" w:lineRule="auto"/>
        <w:ind w:firstLine="480" w:firstLineChars="200"/>
        <w:rPr>
          <w:rFonts w:hint="eastAsia" w:ascii="宋体" w:hAnsi="宋体" w:eastAsia="宋体" w:cs="宋体"/>
          <w:b w:val="0"/>
          <w:bCs/>
          <w:szCs w:val="24"/>
        </w:rPr>
      </w:pPr>
      <w:r>
        <w:rPr>
          <w:rFonts w:hint="eastAsia" w:ascii="宋体" w:hAnsi="宋体" w:eastAsia="宋体" w:cs="宋体"/>
          <w:b w:val="0"/>
          <w:bCs/>
          <w:szCs w:val="24"/>
          <w:highlight w:val="none"/>
        </w:rPr>
        <w:t>14.</w:t>
      </w:r>
      <w:r>
        <w:rPr>
          <w:rFonts w:hint="eastAsia" w:ascii="宋体" w:hAnsi="宋体" w:eastAsia="宋体" w:cs="宋体"/>
          <w:b w:val="0"/>
          <w:bCs/>
          <w:szCs w:val="24"/>
          <w:highlight w:val="none"/>
          <w:lang w:val="en-US" w:eastAsia="zh-CN"/>
        </w:rPr>
        <w:t>1</w:t>
      </w:r>
      <w:r>
        <w:rPr>
          <w:rFonts w:hint="eastAsia" w:ascii="宋体" w:hAnsi="宋体" w:eastAsia="宋体" w:cs="宋体"/>
          <w:b w:val="0"/>
          <w:bCs/>
          <w:szCs w:val="24"/>
        </w:rPr>
        <w:t>投标人应按资信技术文件和报价文件两部分分别密封封装投标文件，正、副本可共同密封。投标文件的包装封面上应注明投标人名称、投标人地址、投标文件名称（资信技术文件和报价文件）、投标项目名称、项目编号及“开标时启封”字样，并加盖投标人公章。</w:t>
      </w:r>
    </w:p>
    <w:p w14:paraId="67EE730A">
      <w:pPr>
        <w:pStyle w:val="12"/>
        <w:widowControl w:val="0"/>
        <w:numPr>
          <w:ilvl w:val="0"/>
          <w:numId w:val="0"/>
        </w:numPr>
        <w:tabs>
          <w:tab w:val="left" w:pos="0"/>
          <w:tab w:val="left" w:pos="1200"/>
          <w:tab w:val="clear" w:pos="454"/>
          <w:tab w:val="clear" w:pos="720"/>
        </w:tabs>
        <w:snapToGrid w:val="0"/>
        <w:spacing w:afterLines="0" w:line="360" w:lineRule="auto"/>
        <w:ind w:firstLine="480" w:firstLineChars="200"/>
        <w:rPr>
          <w:rFonts w:hint="eastAsia" w:ascii="宋体" w:hAnsi="宋体" w:eastAsia="宋体" w:cs="宋体"/>
          <w:b w:val="0"/>
          <w:bCs/>
          <w:szCs w:val="24"/>
        </w:rPr>
      </w:pPr>
      <w:r>
        <w:rPr>
          <w:rFonts w:hint="eastAsia" w:ascii="宋体" w:hAnsi="宋体" w:eastAsia="宋体" w:cs="宋体"/>
          <w:b w:val="0"/>
          <w:bCs/>
          <w:szCs w:val="24"/>
          <w:highlight w:val="none"/>
        </w:rPr>
        <w:t xml:space="preserve">14. </w:t>
      </w:r>
      <w:r>
        <w:rPr>
          <w:rFonts w:hint="eastAsia" w:ascii="宋体" w:hAnsi="宋体" w:eastAsia="宋体" w:cs="宋体"/>
          <w:b w:val="0"/>
          <w:bCs/>
          <w:szCs w:val="24"/>
          <w:highlight w:val="none"/>
          <w:lang w:val="en-US" w:eastAsia="zh-CN"/>
        </w:rPr>
        <w:t>2</w:t>
      </w:r>
      <w:r>
        <w:rPr>
          <w:rFonts w:hint="eastAsia" w:ascii="宋体" w:hAnsi="宋体" w:eastAsia="宋体" w:cs="宋体"/>
          <w:b w:val="0"/>
          <w:bCs/>
          <w:szCs w:val="24"/>
        </w:rPr>
        <w:t>未按规定密封或标记的投标文件将被拒绝，由此造成投标文件被误投或提前拆封的风险由投标人自己承担。相关原件在投标文件递交截止时间前递交，逾期将不予接收。</w:t>
      </w:r>
    </w:p>
    <w:p w14:paraId="67BBFAA0">
      <w:pPr>
        <w:pStyle w:val="12"/>
        <w:widowControl w:val="0"/>
        <w:numPr>
          <w:ilvl w:val="0"/>
          <w:numId w:val="0"/>
        </w:numPr>
        <w:tabs>
          <w:tab w:val="left" w:pos="0"/>
          <w:tab w:val="left" w:pos="1200"/>
          <w:tab w:val="clear" w:pos="454"/>
          <w:tab w:val="clear" w:pos="720"/>
        </w:tabs>
        <w:snapToGrid w:val="0"/>
        <w:spacing w:afterLines="0" w:line="360" w:lineRule="auto"/>
        <w:ind w:firstLine="480" w:firstLineChars="200"/>
        <w:rPr>
          <w:rFonts w:hint="eastAsia" w:ascii="宋体" w:hAnsi="宋体" w:eastAsia="宋体" w:cs="宋体"/>
          <w:b w:val="0"/>
          <w:bCs/>
          <w:szCs w:val="24"/>
        </w:rPr>
      </w:pPr>
      <w:r>
        <w:rPr>
          <w:rFonts w:hint="eastAsia" w:ascii="宋体" w:hAnsi="宋体" w:eastAsia="宋体" w:cs="宋体"/>
          <w:b w:val="0"/>
          <w:bCs/>
          <w:szCs w:val="24"/>
          <w:lang w:val="en-US" w:eastAsia="zh-CN"/>
        </w:rPr>
        <w:t>14.3</w:t>
      </w:r>
      <w:r>
        <w:rPr>
          <w:rFonts w:hint="eastAsia" w:ascii="宋体" w:hAnsi="宋体" w:eastAsia="宋体" w:cs="宋体"/>
          <w:b w:val="0"/>
          <w:bCs/>
          <w:szCs w:val="24"/>
        </w:rPr>
        <w:t>投标人在投标截止时间之前，可以对已提交的投标文件进行修改或撤回，并书面通知招标人；投标截止时间后，投标人不得撤回、修改投标文件。修改后重新递交的投标文件应当按本招标文件的要求签署、盖章和密封。</w:t>
      </w:r>
    </w:p>
    <w:p w14:paraId="3E71FE1A">
      <w:pPr>
        <w:pStyle w:val="12"/>
        <w:widowControl w:val="0"/>
        <w:numPr>
          <w:ilvl w:val="0"/>
          <w:numId w:val="0"/>
        </w:numPr>
        <w:tabs>
          <w:tab w:val="left" w:pos="0"/>
          <w:tab w:val="left" w:pos="1200"/>
          <w:tab w:val="clear" w:pos="454"/>
          <w:tab w:val="clear" w:pos="720"/>
        </w:tabs>
        <w:snapToGrid w:val="0"/>
        <w:spacing w:afterLines="0" w:line="360" w:lineRule="auto"/>
        <w:ind w:left="397" w:leftChars="0" w:firstLine="0" w:firstLineChars="0"/>
        <w:outlineLvl w:val="2"/>
        <w:rPr>
          <w:rFonts w:hint="eastAsia" w:ascii="宋体" w:hAnsi="宋体" w:eastAsia="宋体" w:cs="宋体"/>
          <w:szCs w:val="24"/>
        </w:rPr>
      </w:pPr>
      <w:r>
        <w:rPr>
          <w:rFonts w:hint="eastAsia" w:ascii="宋体" w:hAnsi="宋体" w:eastAsia="宋体" w:cs="宋体"/>
          <w:b w:val="0"/>
          <w:bCs/>
          <w:szCs w:val="24"/>
          <w:highlight w:val="none"/>
        </w:rPr>
        <w:t xml:space="preserve">14. </w:t>
      </w:r>
      <w:r>
        <w:rPr>
          <w:rFonts w:hint="eastAsia" w:ascii="宋体" w:hAnsi="宋体" w:eastAsia="宋体" w:cs="宋体"/>
          <w:b w:val="0"/>
          <w:bCs/>
          <w:szCs w:val="24"/>
          <w:highlight w:val="none"/>
          <w:lang w:val="en-US" w:eastAsia="zh-CN"/>
        </w:rPr>
        <w:t>4</w:t>
      </w:r>
      <w:r>
        <w:rPr>
          <w:rFonts w:hint="eastAsia" w:ascii="宋体" w:hAnsi="宋体" w:eastAsia="宋体" w:cs="宋体"/>
          <w:b w:val="0"/>
          <w:bCs/>
          <w:szCs w:val="24"/>
        </w:rPr>
        <w:t>发生下列情况之一的投标文件</w:t>
      </w:r>
      <w:r>
        <w:rPr>
          <w:rFonts w:hint="eastAsia" w:ascii="宋体" w:hAnsi="宋体" w:eastAsia="宋体" w:cs="宋体"/>
          <w:szCs w:val="24"/>
        </w:rPr>
        <w:t>将不予受理：</w:t>
      </w:r>
    </w:p>
    <w:p w14:paraId="2BDC45C5">
      <w:pPr>
        <w:pStyle w:val="12"/>
        <w:widowControl w:val="0"/>
        <w:tabs>
          <w:tab w:val="left" w:pos="0"/>
          <w:tab w:val="left" w:pos="1200"/>
          <w:tab w:val="clear" w:pos="454"/>
          <w:tab w:val="clear" w:pos="720"/>
        </w:tabs>
        <w:snapToGrid w:val="0"/>
        <w:spacing w:afterLines="0" w:line="360" w:lineRule="auto"/>
        <w:ind w:left="572" w:leftChars="286" w:firstLine="141" w:firstLineChars="59"/>
        <w:rPr>
          <w:rFonts w:hint="eastAsia" w:ascii="宋体" w:hAnsi="宋体" w:eastAsia="宋体" w:cs="宋体"/>
          <w:szCs w:val="24"/>
        </w:rPr>
      </w:pPr>
      <w:r>
        <w:rPr>
          <w:rFonts w:hint="eastAsia" w:ascii="宋体" w:hAnsi="宋体" w:eastAsia="宋体" w:cs="宋体"/>
          <w:szCs w:val="24"/>
        </w:rPr>
        <w:t>1）应交未交投标保证金的；</w:t>
      </w:r>
    </w:p>
    <w:p w14:paraId="192D21F5">
      <w:pPr>
        <w:pStyle w:val="12"/>
        <w:widowControl w:val="0"/>
        <w:tabs>
          <w:tab w:val="left" w:pos="0"/>
          <w:tab w:val="left" w:pos="1200"/>
          <w:tab w:val="clear" w:pos="454"/>
          <w:tab w:val="clear" w:pos="720"/>
        </w:tabs>
        <w:snapToGrid w:val="0"/>
        <w:spacing w:afterLines="0" w:line="360" w:lineRule="auto"/>
        <w:ind w:left="572" w:leftChars="286" w:firstLine="141" w:firstLineChars="59"/>
        <w:rPr>
          <w:rFonts w:hint="eastAsia" w:ascii="宋体" w:hAnsi="宋体" w:eastAsia="宋体" w:cs="宋体"/>
          <w:szCs w:val="24"/>
        </w:rPr>
      </w:pPr>
      <w:r>
        <w:rPr>
          <w:rFonts w:hint="eastAsia" w:ascii="宋体" w:hAnsi="宋体" w:eastAsia="宋体" w:cs="宋体"/>
          <w:szCs w:val="24"/>
        </w:rPr>
        <w:t>2）以电讯形式提交的；</w:t>
      </w:r>
    </w:p>
    <w:p w14:paraId="41DAA72F">
      <w:pPr>
        <w:pStyle w:val="12"/>
        <w:widowControl w:val="0"/>
        <w:tabs>
          <w:tab w:val="left" w:pos="0"/>
          <w:tab w:val="left" w:pos="1200"/>
          <w:tab w:val="clear" w:pos="454"/>
          <w:tab w:val="clear" w:pos="720"/>
        </w:tabs>
        <w:snapToGrid w:val="0"/>
        <w:spacing w:afterLines="0" w:line="360" w:lineRule="auto"/>
        <w:ind w:left="572" w:leftChars="286" w:firstLine="141" w:firstLineChars="59"/>
        <w:rPr>
          <w:rFonts w:hint="eastAsia" w:ascii="宋体" w:hAnsi="宋体" w:eastAsia="宋体" w:cs="宋体"/>
          <w:szCs w:val="24"/>
        </w:rPr>
      </w:pPr>
      <w:r>
        <w:rPr>
          <w:rFonts w:hint="eastAsia" w:ascii="宋体" w:hAnsi="宋体" w:eastAsia="宋体" w:cs="宋体"/>
          <w:szCs w:val="24"/>
        </w:rPr>
        <w:t>3）逾期送达的或者未送达指定地点的。</w:t>
      </w:r>
    </w:p>
    <w:p w14:paraId="74917B32">
      <w:pPr>
        <w:pStyle w:val="24"/>
        <w:snapToGrid w:val="0"/>
        <w:spacing w:line="360" w:lineRule="auto"/>
        <w:outlineLvl w:val="1"/>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15.响应文件的无效处理</w:t>
      </w:r>
    </w:p>
    <w:p w14:paraId="2A5387D1">
      <w:pPr>
        <w:pStyle w:val="21"/>
        <w:spacing w:line="360" w:lineRule="auto"/>
        <w:ind w:firstLine="360" w:firstLineChars="15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有采购文件第</w:t>
      </w:r>
      <w:r>
        <w:rPr>
          <w:rFonts w:hint="eastAsia" w:ascii="宋体" w:hAnsi="宋体" w:eastAsia="宋体" w:cs="宋体"/>
          <w:kern w:val="0"/>
          <w:sz w:val="24"/>
          <w:highlight w:val="none"/>
          <w:lang w:eastAsia="zh-CN"/>
        </w:rPr>
        <w:t>三</w:t>
      </w:r>
      <w:r>
        <w:rPr>
          <w:rFonts w:hint="eastAsia" w:ascii="宋体" w:hAnsi="宋体" w:eastAsia="宋体" w:cs="宋体"/>
          <w:kern w:val="0"/>
          <w:sz w:val="24"/>
          <w:highlight w:val="none"/>
        </w:rPr>
        <w:t>部</w:t>
      </w:r>
      <w:r>
        <w:rPr>
          <w:rFonts w:hint="eastAsia" w:ascii="宋体" w:hAnsi="宋体" w:eastAsia="宋体" w:cs="宋体"/>
          <w:kern w:val="0"/>
          <w:sz w:val="24"/>
          <w:highlight w:val="none"/>
          <w:lang w:eastAsia="zh-CN"/>
        </w:rPr>
        <w:t>分</w:t>
      </w:r>
      <w:r>
        <w:rPr>
          <w:rFonts w:hint="eastAsia" w:ascii="宋体" w:hAnsi="宋体" w:eastAsia="宋体" w:cs="宋体"/>
          <w:kern w:val="0"/>
          <w:sz w:val="24"/>
          <w:highlight w:val="none"/>
        </w:rPr>
        <w:t>规定的情形之一的，响应文件无效</w:t>
      </w:r>
      <w:r>
        <w:rPr>
          <w:rFonts w:hint="eastAsia" w:ascii="宋体" w:hAnsi="宋体" w:eastAsia="宋体" w:cs="宋体"/>
          <w:kern w:val="0"/>
          <w:sz w:val="24"/>
          <w:highlight w:val="none"/>
          <w:lang w:eastAsia="zh-CN"/>
        </w:rPr>
        <w:t>；</w:t>
      </w:r>
    </w:p>
    <w:p w14:paraId="3514DA43">
      <w:pPr>
        <w:pStyle w:val="111"/>
        <w:spacing w:before="0"/>
        <w:ind w:firstLine="0" w:firstLineChars="0"/>
        <w:outlineLvl w:val="1"/>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eastAsia="宋体" w:cs="宋体"/>
          <w:b/>
          <w:szCs w:val="24"/>
          <w:highlight w:val="none"/>
          <w:lang w:val="en-US" w:eastAsia="zh-CN"/>
        </w:rPr>
        <w:t>6.</w:t>
      </w:r>
      <w:r>
        <w:rPr>
          <w:rFonts w:hint="eastAsia" w:ascii="宋体" w:hAnsi="宋体" w:eastAsia="宋体" w:cs="宋体"/>
          <w:b/>
          <w:szCs w:val="24"/>
          <w:highlight w:val="none"/>
        </w:rPr>
        <w:t>响应文件有效期</w:t>
      </w:r>
    </w:p>
    <w:p w14:paraId="65708067">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kern w:val="0"/>
          <w:sz w:val="24"/>
          <w:highlight w:val="none"/>
          <w:lang w:val="en-US" w:eastAsia="zh-CN" w:bidi="ar-SA"/>
        </w:rPr>
        <w:t>16.1响应</w:t>
      </w:r>
      <w:r>
        <w:rPr>
          <w:rFonts w:hint="eastAsia" w:ascii="宋体" w:hAnsi="宋体" w:eastAsia="宋体" w:cs="宋体"/>
          <w:sz w:val="24"/>
          <w:highlight w:val="none"/>
        </w:rPr>
        <w:t>文件有效期为从提交响应文件的截止之日起90天。▲</w:t>
      </w:r>
      <w:r>
        <w:rPr>
          <w:rFonts w:hint="eastAsia" w:ascii="宋体" w:hAnsi="宋体" w:eastAsia="宋体" w:cs="宋体"/>
          <w:b/>
          <w:sz w:val="24"/>
          <w:highlight w:val="none"/>
        </w:rPr>
        <w:t>供应商的响应文件中承</w:t>
      </w:r>
      <w:r>
        <w:rPr>
          <w:rFonts w:hint="eastAsia" w:ascii="宋体" w:hAnsi="宋体" w:eastAsia="宋体" w:cs="宋体"/>
          <w:b/>
          <w:sz w:val="24"/>
          <w:szCs w:val="21"/>
          <w:highlight w:val="none"/>
        </w:rPr>
        <w:t>诺的响应文件有效期少于采购文件中载明的响应文件有效期的，响应文件无效。</w:t>
      </w:r>
    </w:p>
    <w:p w14:paraId="7CC70F7F">
      <w:pPr>
        <w:pStyle w:val="111"/>
        <w:spacing w:before="0"/>
        <w:ind w:firstLine="480"/>
        <w:rPr>
          <w:rFonts w:hint="eastAsia" w:ascii="宋体" w:hAnsi="宋体" w:eastAsia="宋体" w:cs="宋体"/>
          <w:b w:val="0"/>
          <w:bCs/>
          <w:highlight w:val="none"/>
        </w:rPr>
      </w:pPr>
      <w:r>
        <w:rPr>
          <w:rFonts w:hint="eastAsia" w:ascii="宋体" w:hAnsi="宋体" w:eastAsia="宋体" w:cs="宋体"/>
          <w:b w:val="0"/>
          <w:bCs/>
          <w:szCs w:val="24"/>
          <w:highlight w:val="none"/>
        </w:rPr>
        <w:t>1</w:t>
      </w:r>
      <w:r>
        <w:rPr>
          <w:rFonts w:hint="eastAsia" w:ascii="宋体" w:hAnsi="宋体" w:eastAsia="宋体" w:cs="宋体"/>
          <w:b w:val="0"/>
          <w:bCs/>
          <w:szCs w:val="24"/>
          <w:highlight w:val="none"/>
          <w:lang w:val="en-US" w:eastAsia="zh-CN"/>
        </w:rPr>
        <w:t>6.</w:t>
      </w:r>
      <w:r>
        <w:rPr>
          <w:rFonts w:hint="eastAsia" w:ascii="宋体" w:hAnsi="宋体" w:eastAsia="宋体" w:cs="宋体"/>
          <w:b w:val="0"/>
          <w:bCs/>
          <w:highlight w:val="none"/>
        </w:rPr>
        <w:t>2响应文件合格投递后，自响应文件提交截止时间起，在响应文件有效期内有效。</w:t>
      </w:r>
    </w:p>
    <w:p w14:paraId="22B5FD1C">
      <w:pPr>
        <w:pStyle w:val="111"/>
        <w:spacing w:before="0"/>
        <w:ind w:firstLine="480"/>
        <w:rPr>
          <w:rFonts w:hint="eastAsia" w:ascii="宋体" w:hAnsi="宋体" w:eastAsia="宋体" w:cs="宋体"/>
          <w:highlight w:val="none"/>
        </w:rPr>
      </w:pPr>
      <w:r>
        <w:rPr>
          <w:rFonts w:hint="eastAsia" w:ascii="宋体" w:hAnsi="宋体" w:eastAsia="宋体" w:cs="宋体"/>
          <w:b w:val="0"/>
          <w:bCs/>
          <w:szCs w:val="24"/>
          <w:highlight w:val="none"/>
        </w:rPr>
        <w:t>1</w:t>
      </w:r>
      <w:r>
        <w:rPr>
          <w:rFonts w:hint="eastAsia" w:ascii="宋体" w:hAnsi="宋体" w:eastAsia="宋体" w:cs="宋体"/>
          <w:b w:val="0"/>
          <w:bCs/>
          <w:szCs w:val="24"/>
          <w:highlight w:val="none"/>
          <w:lang w:val="en-US" w:eastAsia="zh-CN"/>
        </w:rPr>
        <w:t>6.</w:t>
      </w:r>
      <w:r>
        <w:rPr>
          <w:rFonts w:hint="eastAsia" w:ascii="宋体" w:hAnsi="宋体" w:eastAsia="宋体" w:cs="宋体"/>
          <w:b w:val="0"/>
          <w:bCs/>
          <w:highlight w:val="none"/>
        </w:rPr>
        <w:t>3在原</w:t>
      </w:r>
      <w:r>
        <w:rPr>
          <w:rFonts w:hint="eastAsia" w:ascii="宋体" w:hAnsi="宋体" w:eastAsia="宋体" w:cs="宋体"/>
          <w:highlight w:val="none"/>
        </w:rPr>
        <w:t>定响应文件有效期满之前，如果出现特殊情况，采购代理机构可以以书面形式通知供应商延长响应文件有效期。供应商同意延长的，不得要求或被允许修改其响应文件，供应商拒绝延长的，其响应文件无效。</w:t>
      </w:r>
    </w:p>
    <w:p w14:paraId="7EF37F9D">
      <w:pPr>
        <w:snapToGrid w:val="0"/>
        <w:spacing w:line="360" w:lineRule="auto"/>
        <w:jc w:val="center"/>
        <w:outlineLvl w:val="0"/>
        <w:rPr>
          <w:rFonts w:hint="eastAsia" w:ascii="宋体" w:hAnsi="宋体" w:eastAsia="宋体" w:cs="宋体"/>
          <w:b/>
          <w:sz w:val="32"/>
          <w:highlight w:val="none"/>
        </w:rPr>
      </w:pPr>
      <w:bookmarkStart w:id="55" w:name="_Toc446"/>
      <w:bookmarkStart w:id="56" w:name="_Toc4773"/>
      <w:bookmarkStart w:id="57" w:name="_Toc28349"/>
      <w:r>
        <w:rPr>
          <w:rFonts w:hint="eastAsia" w:ascii="宋体" w:hAnsi="宋体" w:eastAsia="宋体" w:cs="宋体"/>
          <w:b/>
          <w:sz w:val="32"/>
          <w:highlight w:val="none"/>
        </w:rPr>
        <w:t>四、响应文件开启、资格审查与信用信息查询</w:t>
      </w:r>
      <w:bookmarkEnd w:id="55"/>
      <w:bookmarkEnd w:id="56"/>
      <w:bookmarkEnd w:id="57"/>
    </w:p>
    <w:p w14:paraId="2C7B59C0">
      <w:pPr>
        <w:pStyle w:val="140"/>
        <w:spacing w:before="0" w:line="360" w:lineRule="auto"/>
        <w:ind w:left="0" w:leftChars="0" w:firstLine="0" w:firstLineChars="0"/>
        <w:contextualSpacing/>
        <w:outlineLvl w:val="1"/>
        <w:rPr>
          <w:rFonts w:hint="eastAsia" w:ascii="宋体" w:hAnsi="宋体" w:eastAsia="宋体" w:cs="宋体"/>
          <w:sz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.响应文件开启</w:t>
      </w:r>
      <w:r>
        <w:rPr>
          <w:rFonts w:hint="eastAsia" w:ascii="宋体" w:hAnsi="宋体" w:eastAsia="宋体" w:cs="宋体"/>
          <w:sz w:val="24"/>
          <w:highlight w:val="none"/>
        </w:rPr>
        <w:t xml:space="preserve"> </w:t>
      </w:r>
    </w:p>
    <w:p w14:paraId="4037159F">
      <w:pPr>
        <w:pStyle w:val="140"/>
        <w:snapToGrid w:val="0"/>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采购代理机构按照采购文件规定的时间组织响应文件开启，所有供应商均应当准时在线参加。供应商不足3家的，不得开启。</w:t>
      </w:r>
    </w:p>
    <w:p w14:paraId="18ADA950">
      <w:pPr>
        <w:pStyle w:val="140"/>
        <w:spacing w:before="0" w:line="360" w:lineRule="auto"/>
        <w:ind w:left="0" w:leftChars="0" w:firstLine="0" w:firstLineChars="0"/>
        <w:contextualSpacing/>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、资格审查</w:t>
      </w:r>
    </w:p>
    <w:p w14:paraId="0D4AA45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.1采购人、采购代理机构或磋商小组依据法律法规和采购文件的规定，对供应商的资格进行审查。</w:t>
      </w:r>
    </w:p>
    <w:p w14:paraId="208A57D8">
      <w:pPr>
        <w:pStyle w:val="111"/>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.2供应商未按照采购文件要求提供与资格条件相应的有效资格证明材料的，视为供应商不具备采购文件中规定的资格要求，其响应文件无效。</w:t>
      </w:r>
    </w:p>
    <w:p w14:paraId="4F4F5067">
      <w:pPr>
        <w:pStyle w:val="111"/>
        <w:spacing w:before="0"/>
        <w:ind w:firstLine="480"/>
        <w:rPr>
          <w:rFonts w:hint="eastAsia" w:ascii="宋体" w:hAnsi="宋体" w:eastAsia="宋体" w:cs="宋体"/>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.3对未通过资格审查的供应商，</w:t>
      </w:r>
      <w:r>
        <w:rPr>
          <w:rFonts w:hint="eastAsia" w:ascii="宋体" w:hAnsi="宋体" w:eastAsia="宋体" w:cs="宋体"/>
          <w:highlight w:val="none"/>
        </w:rPr>
        <w:t>采购人或采购代理机构告知其未通过的原因。</w:t>
      </w:r>
    </w:p>
    <w:p w14:paraId="658BA0B3">
      <w:pPr>
        <w:pStyle w:val="111"/>
        <w:spacing w:before="0"/>
        <w:ind w:firstLine="480"/>
        <w:rPr>
          <w:rFonts w:hint="eastAsia" w:ascii="宋体" w:hAnsi="宋体" w:eastAsia="宋体" w:cs="宋体"/>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t>.</w:t>
      </w:r>
      <w:r>
        <w:rPr>
          <w:rFonts w:hint="eastAsia" w:ascii="宋体" w:hAnsi="宋体" w:eastAsia="宋体" w:cs="宋体"/>
          <w:highlight w:val="none"/>
        </w:rPr>
        <w:t>4合格供应商不足3家的，不再评审。</w:t>
      </w:r>
    </w:p>
    <w:p w14:paraId="7DE3A826">
      <w:pPr>
        <w:pStyle w:val="111"/>
        <w:spacing w:before="0"/>
        <w:ind w:firstLine="0" w:firstLineChars="0"/>
        <w:outlineLvl w:val="1"/>
        <w:rPr>
          <w:rFonts w:hint="eastAsia" w:ascii="宋体" w:hAnsi="宋体" w:eastAsia="宋体" w:cs="宋体"/>
          <w:b/>
          <w:szCs w:val="24"/>
          <w:highlight w:val="none"/>
        </w:rPr>
      </w:pPr>
      <w:r>
        <w:rPr>
          <w:rFonts w:hint="eastAsia" w:ascii="宋体" w:hAnsi="宋体" w:eastAsia="宋体" w:cs="宋体"/>
          <w:b/>
          <w:szCs w:val="24"/>
          <w:highlight w:val="none"/>
          <w:lang w:val="en-US" w:eastAsia="zh-CN"/>
        </w:rPr>
        <w:t>19</w:t>
      </w:r>
      <w:r>
        <w:rPr>
          <w:rFonts w:hint="eastAsia" w:ascii="宋体" w:hAnsi="宋体" w:eastAsia="宋体" w:cs="宋体"/>
          <w:b/>
          <w:szCs w:val="24"/>
          <w:highlight w:val="none"/>
        </w:rPr>
        <w:t>、信用信息查询</w:t>
      </w:r>
    </w:p>
    <w:p w14:paraId="17B3DD91">
      <w:pPr>
        <w:pStyle w:val="111"/>
        <w:spacing w:before="0"/>
        <w:ind w:firstLine="495" w:firstLineChars="0"/>
        <w:rPr>
          <w:rFonts w:hint="eastAsia" w:ascii="宋体" w:hAnsi="宋体" w:eastAsia="宋体" w:cs="宋体"/>
          <w:szCs w:val="24"/>
          <w:highlight w:val="none"/>
        </w:rPr>
      </w:pPr>
      <w:r>
        <w:rPr>
          <w:rFonts w:hint="eastAsia" w:ascii="宋体" w:hAnsi="宋体" w:eastAsia="宋体" w:cs="宋体"/>
          <w:szCs w:val="24"/>
          <w:highlight w:val="none"/>
          <w:lang w:val="en-US" w:eastAsia="zh-CN"/>
        </w:rPr>
        <w:t>19</w:t>
      </w:r>
      <w:r>
        <w:rPr>
          <w:rFonts w:hint="eastAsia" w:ascii="宋体" w:hAnsi="宋体" w:eastAsia="宋体" w:cs="宋体"/>
          <w:szCs w:val="24"/>
          <w:highlight w:val="none"/>
        </w:rPr>
        <w:t>.1信用信息查询渠道及截止时间：采购代理机构将在资格审查时通过“信用中国”网站(www.creditchina.gov.cn)、中国政府采购网(www.ccgp.gov.cn)渠道查询供应商接受资格审查时的信用记录。</w:t>
      </w:r>
    </w:p>
    <w:p w14:paraId="29BAF7D3">
      <w:pPr>
        <w:pStyle w:val="111"/>
        <w:spacing w:before="0"/>
        <w:ind w:firstLine="495" w:firstLineChars="0"/>
        <w:rPr>
          <w:rFonts w:hint="eastAsia" w:ascii="宋体" w:hAnsi="宋体" w:eastAsia="宋体" w:cs="宋体"/>
          <w:szCs w:val="24"/>
          <w:highlight w:val="none"/>
        </w:rPr>
      </w:pPr>
      <w:r>
        <w:rPr>
          <w:rFonts w:hint="eastAsia" w:ascii="宋体" w:hAnsi="宋体" w:eastAsia="宋体" w:cs="宋体"/>
          <w:szCs w:val="24"/>
          <w:highlight w:val="none"/>
          <w:lang w:val="en-US" w:eastAsia="zh-CN"/>
        </w:rPr>
        <w:t>19</w:t>
      </w:r>
      <w:r>
        <w:rPr>
          <w:rFonts w:hint="eastAsia" w:ascii="宋体" w:hAnsi="宋体" w:eastAsia="宋体" w:cs="宋体"/>
          <w:szCs w:val="24"/>
          <w:highlight w:val="none"/>
        </w:rPr>
        <w:t>.2信用信息的使用规则：经查询列入失信被执行人名单、重大税收违法案件当事人名单、政府采购严重违法失信行为记录名单的供应商将被拒绝参与政府采购活动。</w:t>
      </w:r>
    </w:p>
    <w:p w14:paraId="74D567FE">
      <w:pPr>
        <w:pStyle w:val="111"/>
        <w:spacing w:before="0"/>
        <w:ind w:firstLine="480"/>
        <w:rPr>
          <w:rFonts w:hint="eastAsia" w:ascii="宋体" w:hAnsi="宋体" w:eastAsia="宋体" w:cs="宋体"/>
          <w:highlight w:val="none"/>
        </w:rPr>
      </w:pPr>
      <w:r>
        <w:rPr>
          <w:rFonts w:hint="eastAsia" w:ascii="宋体" w:hAnsi="宋体" w:eastAsia="宋体" w:cs="宋体"/>
          <w:szCs w:val="24"/>
          <w:highlight w:val="none"/>
          <w:lang w:val="en-US" w:eastAsia="zh-CN"/>
        </w:rPr>
        <w:t>19</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35C3962F">
      <w:pPr>
        <w:snapToGrid w:val="0"/>
        <w:spacing w:line="360" w:lineRule="auto"/>
        <w:jc w:val="center"/>
        <w:outlineLvl w:val="0"/>
        <w:rPr>
          <w:rFonts w:hint="eastAsia" w:ascii="宋体" w:hAnsi="宋体" w:eastAsia="宋体" w:cs="宋体"/>
          <w:b/>
          <w:sz w:val="32"/>
          <w:highlight w:val="none"/>
        </w:rPr>
      </w:pPr>
      <w:bookmarkStart w:id="58" w:name="_Toc16640"/>
      <w:bookmarkStart w:id="59" w:name="_Toc22517"/>
      <w:bookmarkStart w:id="60" w:name="_Toc26606"/>
      <w:r>
        <w:rPr>
          <w:rFonts w:hint="eastAsia" w:ascii="宋体" w:hAnsi="宋体" w:eastAsia="宋体" w:cs="宋体"/>
          <w:b/>
          <w:sz w:val="32"/>
          <w:highlight w:val="none"/>
        </w:rPr>
        <w:t>五、评审</w:t>
      </w:r>
      <w:bookmarkEnd w:id="58"/>
      <w:bookmarkEnd w:id="59"/>
      <w:bookmarkEnd w:id="60"/>
    </w:p>
    <w:p w14:paraId="3BCD7C1A">
      <w:pPr>
        <w:spacing w:line="360" w:lineRule="auto"/>
        <w:ind w:firstLine="482" w:firstLineChars="200"/>
        <w:rPr>
          <w:rFonts w:hint="eastAsia" w:ascii="宋体" w:hAnsi="宋体" w:eastAsia="宋体" w:cs="宋体"/>
          <w:b/>
          <w:sz w:val="24"/>
          <w:highlight w:val="none"/>
        </w:rPr>
      </w:pPr>
      <w:bookmarkStart w:id="61" w:name="_Toc91899903"/>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0</w:t>
      </w:r>
      <w:r>
        <w:rPr>
          <w:rFonts w:hint="eastAsia" w:ascii="宋体" w:hAnsi="宋体" w:eastAsia="宋体" w:cs="宋体"/>
          <w:b/>
          <w:sz w:val="24"/>
          <w:highlight w:val="none"/>
        </w:rPr>
        <w:t>.</w:t>
      </w:r>
      <w:r>
        <w:rPr>
          <w:rFonts w:hint="eastAsia" w:ascii="宋体" w:hAnsi="宋体" w:eastAsia="宋体" w:cs="宋体"/>
          <w:highlight w:val="none"/>
        </w:rPr>
        <w:t xml:space="preserve"> </w:t>
      </w:r>
      <w:r>
        <w:rPr>
          <w:rFonts w:hint="eastAsia" w:ascii="宋体" w:hAnsi="宋体" w:eastAsia="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4"/>
          <w:highlight w:val="none"/>
        </w:rPr>
        <w:t>详见采购文件第四部分评审办法。</w:t>
      </w:r>
    </w:p>
    <w:p w14:paraId="1BE9F2B8">
      <w:pPr>
        <w:snapToGrid w:val="0"/>
        <w:spacing w:line="360" w:lineRule="auto"/>
        <w:jc w:val="center"/>
        <w:outlineLvl w:val="0"/>
        <w:rPr>
          <w:rFonts w:hint="eastAsia" w:ascii="宋体" w:hAnsi="宋体" w:eastAsia="宋体" w:cs="宋体"/>
          <w:b/>
          <w:sz w:val="32"/>
          <w:highlight w:val="none"/>
        </w:rPr>
      </w:pPr>
      <w:bookmarkStart w:id="62" w:name="_Toc4447"/>
      <w:bookmarkStart w:id="63" w:name="_Toc16183"/>
      <w:bookmarkStart w:id="64" w:name="_Toc29854"/>
      <w:r>
        <w:rPr>
          <w:rFonts w:hint="eastAsia" w:ascii="宋体" w:hAnsi="宋体" w:eastAsia="宋体" w:cs="宋体"/>
          <w:b/>
          <w:sz w:val="32"/>
          <w:highlight w:val="none"/>
        </w:rPr>
        <w:t>六、成交供应商确定</w:t>
      </w:r>
      <w:bookmarkEnd w:id="62"/>
      <w:bookmarkEnd w:id="63"/>
      <w:bookmarkEnd w:id="64"/>
    </w:p>
    <w:p w14:paraId="4BFCB54B">
      <w:pPr>
        <w:pStyle w:val="21"/>
        <w:spacing w:line="360" w:lineRule="auto"/>
        <w:ind w:left="559" w:leftChars="0" w:hanging="559" w:hangingChars="199"/>
        <w:outlineLvl w:val="1"/>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highlight w:val="none"/>
          <w:lang w:val="en-US" w:eastAsia="zh-CN"/>
        </w:rPr>
        <w:t>1</w:t>
      </w:r>
      <w:r>
        <w:rPr>
          <w:rFonts w:hint="eastAsia" w:ascii="宋体" w:hAnsi="宋体" w:eastAsia="宋体" w:cs="宋体"/>
          <w:b/>
          <w:highlight w:val="none"/>
        </w:rPr>
        <w:t>. 确定成交供应商</w:t>
      </w:r>
    </w:p>
    <w:p w14:paraId="7DED8593">
      <w:pPr>
        <w:pStyle w:val="111"/>
        <w:snapToGrid w:val="0"/>
        <w:spacing w:before="0"/>
        <w:ind w:firstLine="480" w:firstLineChars="200"/>
        <w:rPr>
          <w:rFonts w:hint="eastAsia" w:ascii="宋体" w:hAnsi="宋体" w:eastAsia="宋体" w:cs="宋体"/>
        </w:rPr>
      </w:pPr>
      <w:r>
        <w:rPr>
          <w:rFonts w:hint="eastAsia" w:ascii="宋体" w:hAnsi="宋体" w:eastAsia="宋体" w:cs="宋体"/>
        </w:rPr>
        <w:t>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FE4256D">
      <w:pPr>
        <w:pStyle w:val="111"/>
        <w:snapToGrid w:val="0"/>
        <w:spacing w:before="0"/>
        <w:ind w:firstLine="0" w:firstLineChars="0"/>
        <w:outlineLvl w:val="1"/>
        <w:rPr>
          <w:rFonts w:hint="eastAsia" w:ascii="宋体" w:hAnsi="宋体" w:eastAsia="宋体" w:cs="宋体"/>
          <w:b/>
          <w:szCs w:val="24"/>
          <w:highlight w:val="none"/>
        </w:rPr>
      </w:pPr>
      <w:r>
        <w:rPr>
          <w:rFonts w:hint="eastAsia" w:ascii="宋体" w:hAnsi="宋体" w:eastAsia="宋体" w:cs="宋体"/>
          <w:b/>
          <w:szCs w:val="24"/>
          <w:highlight w:val="none"/>
        </w:rPr>
        <w:t>2</w:t>
      </w:r>
      <w:r>
        <w:rPr>
          <w:rFonts w:hint="eastAsia" w:ascii="宋体" w:hAnsi="宋体" w:eastAsia="宋体" w:cs="宋体"/>
          <w:b/>
          <w:szCs w:val="24"/>
          <w:highlight w:val="none"/>
          <w:lang w:val="en-US" w:eastAsia="zh-CN"/>
        </w:rPr>
        <w:t>2</w:t>
      </w:r>
      <w:r>
        <w:rPr>
          <w:rFonts w:hint="eastAsia" w:ascii="宋体" w:hAnsi="宋体" w:eastAsia="宋体" w:cs="宋体"/>
          <w:b/>
          <w:szCs w:val="24"/>
          <w:highlight w:val="none"/>
        </w:rPr>
        <w:t>. 成交通知与成交结果公告</w:t>
      </w:r>
    </w:p>
    <w:p w14:paraId="21CD6AB8">
      <w:pPr>
        <w:shd w:val="clear" w:color="auto" w:fill="FFFFFF"/>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.1自成交供应商确定之日起1个工作日内，采购代理机构向成交供应商发出成交通知书，同时编制发布采购结果公告。</w:t>
      </w:r>
    </w:p>
    <w:p w14:paraId="1630CB8B">
      <w:pPr>
        <w:shd w:val="clear" w:color="auto" w:fill="FFFFFF"/>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.2公告期限为1个工作日。</w:t>
      </w:r>
    </w:p>
    <w:p w14:paraId="399A7494">
      <w:pPr>
        <w:snapToGrid w:val="0"/>
        <w:spacing w:line="360" w:lineRule="auto"/>
        <w:jc w:val="center"/>
        <w:outlineLvl w:val="0"/>
        <w:rPr>
          <w:rFonts w:hint="eastAsia" w:ascii="宋体" w:hAnsi="宋体" w:eastAsia="宋体" w:cs="宋体"/>
          <w:b/>
          <w:sz w:val="32"/>
          <w:highlight w:val="none"/>
        </w:rPr>
      </w:pPr>
      <w:bookmarkStart w:id="65" w:name="_Toc14188"/>
      <w:bookmarkStart w:id="66" w:name="_Toc26097"/>
      <w:bookmarkStart w:id="67" w:name="_Toc31334"/>
      <w:r>
        <w:rPr>
          <w:rFonts w:hint="eastAsia" w:ascii="宋体" w:hAnsi="宋体" w:eastAsia="宋体" w:cs="宋体"/>
          <w:b/>
          <w:sz w:val="32"/>
          <w:highlight w:val="none"/>
        </w:rPr>
        <w:t>七、合同授予</w:t>
      </w:r>
      <w:bookmarkEnd w:id="65"/>
      <w:bookmarkEnd w:id="66"/>
      <w:bookmarkEnd w:id="67"/>
    </w:p>
    <w:p w14:paraId="11FAC4AF">
      <w:pPr>
        <w:pStyle w:val="21"/>
        <w:snapToGrid w:val="0"/>
        <w:spacing w:line="360" w:lineRule="auto"/>
        <w:ind w:left="479" w:hanging="479" w:hangingChars="199"/>
        <w:rPr>
          <w:rFonts w:hint="eastAsia" w:ascii="宋体" w:hAnsi="宋体" w:eastAsia="宋体" w:cs="宋体"/>
          <w:b/>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 xml:space="preserve">. </w:t>
      </w:r>
      <w:r>
        <w:rPr>
          <w:rFonts w:hint="eastAsia" w:ascii="宋体" w:hAnsi="宋体" w:eastAsia="宋体" w:cs="宋体"/>
          <w:kern w:val="0"/>
          <w:sz w:val="24"/>
          <w:highlight w:val="none"/>
        </w:rPr>
        <w:t>合同主要条款详见第五部分拟签订的合同文本</w:t>
      </w:r>
      <w:r>
        <w:rPr>
          <w:rFonts w:hint="eastAsia" w:ascii="宋体" w:hAnsi="宋体" w:eastAsia="宋体" w:cs="宋体"/>
          <w:highlight w:val="none"/>
        </w:rPr>
        <w:t>。</w:t>
      </w:r>
    </w:p>
    <w:p w14:paraId="339549C2">
      <w:pPr>
        <w:pStyle w:val="21"/>
        <w:snapToGrid w:val="0"/>
        <w:spacing w:line="360" w:lineRule="auto"/>
        <w:ind w:left="559" w:hanging="559" w:hangingChars="199"/>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highlight w:val="none"/>
          <w:lang w:val="en-US" w:eastAsia="zh-CN"/>
        </w:rPr>
        <w:t>4</w:t>
      </w:r>
      <w:r>
        <w:rPr>
          <w:rFonts w:hint="eastAsia" w:ascii="宋体" w:hAnsi="宋体" w:eastAsia="宋体" w:cs="宋体"/>
          <w:b/>
          <w:highlight w:val="none"/>
        </w:rPr>
        <w:t>. 合同的签订</w:t>
      </w:r>
    </w:p>
    <w:p w14:paraId="11B7B1D8">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25.1 采购人与成交供应商应当在成交通知书发出之日起三十日内，按照采购文件确定的事项签订政府采购合同。</w:t>
      </w:r>
    </w:p>
    <w:p w14:paraId="74ECCB2C">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DF396FF">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5E1FA8BF">
      <w:pPr>
        <w:pStyle w:val="111"/>
        <w:snapToGrid w:val="0"/>
        <w:spacing w:before="0"/>
        <w:ind w:firstLine="480"/>
        <w:rPr>
          <w:rFonts w:hint="eastAsia" w:ascii="宋体" w:hAnsi="宋体" w:eastAsia="宋体" w:cs="宋体"/>
          <w:highlight w:val="none"/>
        </w:rPr>
      </w:pPr>
      <w:r>
        <w:rPr>
          <w:rFonts w:hint="eastAsia" w:ascii="宋体" w:hAnsi="宋体" w:eastAsia="宋体" w:cs="宋体"/>
          <w:highlight w:val="none"/>
        </w:rPr>
        <w:t>25.4采购合同由采购人与成交供应商根据采购文件、响应文件等内容签订。</w:t>
      </w:r>
    </w:p>
    <w:bookmarkEnd w:id="61"/>
    <w:p w14:paraId="1EF422A2">
      <w:pPr>
        <w:pStyle w:val="2"/>
        <w:numPr>
          <w:ilvl w:val="0"/>
          <w:numId w:val="3"/>
        </w:numPr>
        <w:spacing w:line="360" w:lineRule="auto"/>
        <w:ind w:left="-960" w:leftChars="0" w:firstLine="960" w:firstLineChars="0"/>
        <w:jc w:val="center"/>
        <w:rPr>
          <w:rFonts w:hint="eastAsia" w:ascii="宋体" w:hAnsi="宋体" w:eastAsia="宋体" w:cs="宋体"/>
        </w:rPr>
      </w:pPr>
      <w:r>
        <w:rPr>
          <w:rFonts w:hint="eastAsia" w:ascii="宋体" w:hAnsi="宋体" w:eastAsia="宋体" w:cs="宋体"/>
          <w:b w:val="0"/>
          <w:bCs w:val="0"/>
          <w:kern w:val="2"/>
          <w:sz w:val="24"/>
          <w:szCs w:val="24"/>
        </w:rPr>
        <w:br w:type="page"/>
      </w:r>
      <w:r>
        <w:rPr>
          <w:rFonts w:hint="eastAsia" w:ascii="宋体" w:hAnsi="宋体" w:eastAsia="宋体" w:cs="宋体"/>
        </w:rPr>
        <w:t xml:space="preserve"> </w:t>
      </w:r>
      <w:bookmarkStart w:id="68" w:name="_Toc1465"/>
      <w:r>
        <w:rPr>
          <w:rFonts w:hint="eastAsia" w:ascii="宋体" w:hAnsi="宋体" w:eastAsia="宋体" w:cs="宋体"/>
          <w:color w:val="auto"/>
          <w:highlight w:val="none"/>
        </w:rPr>
        <w:t>评标办法及评审标准</w:t>
      </w:r>
      <w:bookmarkEnd w:id="68"/>
    </w:p>
    <w:p w14:paraId="185BC7D1">
      <w:pPr>
        <w:spacing w:line="360" w:lineRule="auto"/>
        <w:ind w:firstLine="482" w:firstLineChars="200"/>
        <w:outlineLvl w:val="0"/>
        <w:rPr>
          <w:rFonts w:hint="eastAsia" w:ascii="宋体" w:hAnsi="宋体" w:eastAsia="宋体" w:cs="宋体"/>
          <w:b/>
          <w:bCs/>
          <w:sz w:val="24"/>
          <w:szCs w:val="24"/>
          <w:lang w:eastAsia="zh-CN"/>
        </w:rPr>
      </w:pPr>
      <w:bookmarkStart w:id="69" w:name="_Toc23897"/>
      <w:bookmarkStart w:id="70" w:name="_Toc417381414"/>
      <w:r>
        <w:rPr>
          <w:rFonts w:hint="eastAsia" w:ascii="宋体" w:hAnsi="宋体" w:eastAsia="宋体" w:cs="宋体"/>
          <w:b/>
          <w:bCs/>
          <w:sz w:val="24"/>
          <w:szCs w:val="24"/>
          <w:lang w:eastAsia="zh-CN"/>
        </w:rPr>
        <w:t>总则</w:t>
      </w:r>
      <w:bookmarkEnd w:id="69"/>
    </w:p>
    <w:p w14:paraId="18828958">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一、磋商原则</w:t>
      </w:r>
    </w:p>
    <w:p w14:paraId="38CBA0B1">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4ACB258">
      <w:pPr>
        <w:spacing w:line="360" w:lineRule="auto"/>
        <w:ind w:firstLine="482" w:firstLineChars="200"/>
        <w:outlineLvl w:val="0"/>
        <w:rPr>
          <w:rFonts w:hint="eastAsia" w:ascii="宋体" w:hAnsi="宋体" w:eastAsia="宋体" w:cs="宋体"/>
          <w:b/>
          <w:bCs/>
          <w:sz w:val="24"/>
          <w:szCs w:val="24"/>
        </w:rPr>
      </w:pPr>
      <w:bookmarkStart w:id="71" w:name="_Toc17215"/>
      <w:r>
        <w:rPr>
          <w:rFonts w:hint="eastAsia" w:ascii="宋体" w:hAnsi="宋体" w:eastAsia="宋体" w:cs="宋体"/>
          <w:b/>
          <w:bCs/>
          <w:sz w:val="24"/>
          <w:szCs w:val="24"/>
        </w:rPr>
        <w:t>二、评审方法</w:t>
      </w:r>
      <w:bookmarkEnd w:id="71"/>
    </w:p>
    <w:p w14:paraId="7AF8957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综合评分法，是指响应文件</w:t>
      </w:r>
      <w:r>
        <w:rPr>
          <w:rFonts w:hint="eastAsia" w:ascii="宋体" w:hAnsi="宋体" w:eastAsia="宋体" w:cs="宋体"/>
          <w:color w:val="000000" w:themeColor="text1"/>
          <w:sz w:val="24"/>
          <w:szCs w:val="24"/>
          <w14:textFill>
            <w14:solidFill>
              <w14:schemeClr w14:val="tx1"/>
            </w14:solidFill>
          </w14:textFill>
        </w:rPr>
        <w:t>满足磋商文件全部实质性要求且按评审因素的量化指标评审得分最高的供应商为成交候选供应商的评审方法。</w:t>
      </w:r>
    </w:p>
    <w:p w14:paraId="3D399578">
      <w:pPr>
        <w:pStyle w:val="24"/>
        <w:snapToGrid w:val="0"/>
        <w:spacing w:line="360" w:lineRule="auto"/>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72" w:name="_Toc22060"/>
      <w:r>
        <w:rPr>
          <w:rFonts w:hint="eastAsia" w:ascii="宋体" w:hAnsi="宋体" w:eastAsia="宋体" w:cs="宋体"/>
          <w:b/>
          <w:bCs/>
          <w:color w:val="000000" w:themeColor="text1"/>
          <w:sz w:val="24"/>
          <w:szCs w:val="24"/>
          <w14:textFill>
            <w14:solidFill>
              <w14:schemeClr w14:val="tx1"/>
            </w14:solidFill>
          </w14:textFill>
        </w:rPr>
        <w:t>三、磋商小组</w:t>
      </w:r>
      <w:bookmarkEnd w:id="72"/>
    </w:p>
    <w:p w14:paraId="082257C0">
      <w:pPr>
        <w:pStyle w:val="13"/>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（一）磋商小组由采购人代表和评审专家共3人</w:t>
      </w:r>
      <w:r>
        <w:rPr>
          <w:rFonts w:hint="eastAsia" w:ascii="宋体" w:hAnsi="宋体" w:eastAsia="宋体" w:cs="宋体"/>
          <w:color w:val="000000" w:themeColor="text1"/>
          <w:lang w:eastAsia="zh-CN"/>
          <w14:textFill>
            <w14:solidFill>
              <w14:schemeClr w14:val="tx1"/>
            </w14:solidFill>
          </w14:textFill>
        </w:rPr>
        <w:t>及</w:t>
      </w:r>
      <w:r>
        <w:rPr>
          <w:rFonts w:hint="eastAsia" w:ascii="宋体" w:hAnsi="宋体" w:eastAsia="宋体" w:cs="宋体"/>
          <w:color w:val="000000" w:themeColor="text1"/>
          <w14:textFill>
            <w14:solidFill>
              <w14:schemeClr w14:val="tx1"/>
            </w14:solidFill>
          </w14:textFill>
        </w:rPr>
        <w:t>以上单数组成。</w:t>
      </w:r>
    </w:p>
    <w:p w14:paraId="6451375A">
      <w:pPr>
        <w:pStyle w:val="13"/>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（二）磋商小组成员与参与磋商的供应商有下列情形之一的，应当回避：</w:t>
      </w:r>
    </w:p>
    <w:p w14:paraId="44E1BEED">
      <w:pPr>
        <w:pStyle w:val="13"/>
        <w:spacing w:line="360" w:lineRule="auto"/>
        <w:ind w:firstLine="480"/>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1.参加采购活动前3年内与供应商存在劳动关系</w:t>
      </w:r>
      <w:r>
        <w:rPr>
          <w:rFonts w:hint="eastAsia" w:ascii="宋体" w:hAnsi="宋体" w:eastAsia="宋体" w:cs="宋体"/>
        </w:rPr>
        <w:t>；</w:t>
      </w:r>
    </w:p>
    <w:p w14:paraId="474ADEA2">
      <w:pPr>
        <w:pStyle w:val="13"/>
        <w:spacing w:line="360" w:lineRule="auto"/>
        <w:ind w:firstLine="480"/>
        <w:rPr>
          <w:rFonts w:hint="eastAsia" w:ascii="宋体" w:hAnsi="宋体" w:eastAsia="宋体" w:cs="宋体"/>
        </w:rPr>
      </w:pPr>
      <w:r>
        <w:rPr>
          <w:rFonts w:hint="eastAsia" w:ascii="宋体" w:hAnsi="宋体" w:eastAsia="宋体" w:cs="宋体"/>
        </w:rPr>
        <w:t>2.参加采购活动前3年内担任供应商的董事、监事；</w:t>
      </w:r>
    </w:p>
    <w:p w14:paraId="071A4C65">
      <w:pPr>
        <w:pStyle w:val="13"/>
        <w:spacing w:line="360" w:lineRule="auto"/>
        <w:ind w:firstLine="480"/>
        <w:rPr>
          <w:rFonts w:hint="eastAsia" w:ascii="宋体" w:hAnsi="宋体" w:eastAsia="宋体" w:cs="宋体"/>
        </w:rPr>
      </w:pPr>
      <w:r>
        <w:rPr>
          <w:rFonts w:hint="eastAsia" w:ascii="宋体" w:hAnsi="宋体" w:eastAsia="宋体" w:cs="宋体"/>
        </w:rPr>
        <w:t>3.参加采购活动前3年内是供应商的控股股东或者实际控制人；</w:t>
      </w:r>
    </w:p>
    <w:p w14:paraId="15E334D9">
      <w:pPr>
        <w:pStyle w:val="13"/>
        <w:spacing w:line="360" w:lineRule="auto"/>
        <w:ind w:firstLine="480"/>
        <w:rPr>
          <w:rFonts w:hint="eastAsia" w:ascii="宋体" w:hAnsi="宋体" w:eastAsia="宋体" w:cs="宋体"/>
        </w:rPr>
      </w:pPr>
      <w:r>
        <w:rPr>
          <w:rFonts w:hint="eastAsia" w:ascii="宋体" w:hAnsi="宋体" w:eastAsia="宋体" w:cs="宋体"/>
        </w:rPr>
        <w:t>4.与供应商的法定代表人或者负责人有夫妻、直系血亲、三代以内旁系血亲或者近姻亲关系；</w:t>
      </w:r>
    </w:p>
    <w:p w14:paraId="2985275D">
      <w:pPr>
        <w:pStyle w:val="13"/>
        <w:spacing w:line="360" w:lineRule="auto"/>
        <w:ind w:firstLine="480"/>
        <w:rPr>
          <w:rFonts w:hint="eastAsia" w:ascii="宋体" w:hAnsi="宋体" w:eastAsia="宋体" w:cs="宋体"/>
        </w:rPr>
      </w:pPr>
      <w:r>
        <w:rPr>
          <w:rFonts w:hint="eastAsia" w:ascii="宋体" w:hAnsi="宋体" w:eastAsia="宋体" w:cs="宋体"/>
        </w:rPr>
        <w:t>5.与供应商有其他可能影响政府采购活动公平、公正进行的关系；</w:t>
      </w:r>
    </w:p>
    <w:p w14:paraId="38AAD36A">
      <w:pPr>
        <w:pStyle w:val="13"/>
        <w:spacing w:line="360" w:lineRule="auto"/>
        <w:ind w:firstLine="480"/>
        <w:rPr>
          <w:rFonts w:hint="eastAsia" w:ascii="宋体" w:hAnsi="宋体" w:eastAsia="宋体" w:cs="宋体"/>
        </w:rPr>
      </w:pPr>
      <w:r>
        <w:rPr>
          <w:rFonts w:hint="eastAsia" w:ascii="宋体" w:hAnsi="宋体" w:eastAsia="宋体" w:cs="宋体"/>
        </w:rPr>
        <w:t>6.法律法规规定的其他情形。</w:t>
      </w:r>
    </w:p>
    <w:p w14:paraId="1C65B4D5">
      <w:pPr>
        <w:pStyle w:val="13"/>
        <w:spacing w:line="360" w:lineRule="auto"/>
        <w:ind w:firstLine="480"/>
        <w:rPr>
          <w:rFonts w:hint="eastAsia" w:ascii="宋体" w:hAnsi="宋体" w:eastAsia="宋体" w:cs="宋体"/>
        </w:rPr>
      </w:pPr>
      <w:r>
        <w:rPr>
          <w:rFonts w:hint="eastAsia" w:ascii="宋体" w:hAnsi="宋体" w:eastAsia="宋体" w:cs="宋体"/>
        </w:rPr>
        <w:t>（三）磋商小组负责具体评审事务，并独立履行下列职责：</w:t>
      </w:r>
    </w:p>
    <w:p w14:paraId="5B6A8A27">
      <w:pPr>
        <w:pStyle w:val="13"/>
        <w:spacing w:line="360" w:lineRule="auto"/>
        <w:ind w:firstLine="480"/>
        <w:rPr>
          <w:rFonts w:hint="eastAsia" w:ascii="宋体" w:hAnsi="宋体" w:eastAsia="宋体" w:cs="宋体"/>
        </w:rPr>
      </w:pPr>
      <w:r>
        <w:rPr>
          <w:rFonts w:hint="eastAsia" w:ascii="宋体" w:hAnsi="宋体" w:eastAsia="宋体" w:cs="宋体"/>
        </w:rPr>
        <w:t>1.审查、评价响应文件是否符合磋商文件的商务、技术等实质性要求；</w:t>
      </w:r>
    </w:p>
    <w:p w14:paraId="12D9CB59">
      <w:pPr>
        <w:pStyle w:val="13"/>
        <w:spacing w:line="360" w:lineRule="auto"/>
        <w:ind w:firstLine="480"/>
        <w:rPr>
          <w:rFonts w:hint="eastAsia" w:ascii="宋体" w:hAnsi="宋体" w:eastAsia="宋体" w:cs="宋体"/>
        </w:rPr>
      </w:pPr>
      <w:r>
        <w:rPr>
          <w:rFonts w:hint="eastAsia" w:ascii="宋体" w:hAnsi="宋体" w:eastAsia="宋体" w:cs="宋体"/>
        </w:rPr>
        <w:t>2.要求供应商对响应文件有关事项作出澄清或者说明；</w:t>
      </w:r>
    </w:p>
    <w:p w14:paraId="76B72C05">
      <w:pPr>
        <w:pStyle w:val="13"/>
        <w:spacing w:line="360" w:lineRule="auto"/>
        <w:ind w:firstLine="480"/>
        <w:rPr>
          <w:rFonts w:hint="eastAsia" w:ascii="宋体" w:hAnsi="宋体" w:eastAsia="宋体" w:cs="宋体"/>
        </w:rPr>
      </w:pPr>
      <w:r>
        <w:rPr>
          <w:rFonts w:hint="eastAsia" w:ascii="宋体" w:hAnsi="宋体" w:eastAsia="宋体" w:cs="宋体"/>
        </w:rPr>
        <w:t>3.对响应文件进行比较和评价；</w:t>
      </w:r>
    </w:p>
    <w:p w14:paraId="72B70CF7">
      <w:pPr>
        <w:pStyle w:val="13"/>
        <w:spacing w:line="360" w:lineRule="auto"/>
        <w:ind w:firstLine="480"/>
        <w:rPr>
          <w:rFonts w:hint="eastAsia" w:ascii="宋体" w:hAnsi="宋体" w:eastAsia="宋体" w:cs="宋体"/>
        </w:rPr>
      </w:pPr>
      <w:r>
        <w:rPr>
          <w:rFonts w:hint="eastAsia" w:ascii="宋体" w:hAnsi="宋体" w:eastAsia="宋体" w:cs="宋体"/>
        </w:rPr>
        <w:t>4.确定成交候选人名单，以及根据采购人委托直接确定成交供应商；</w:t>
      </w:r>
    </w:p>
    <w:p w14:paraId="61A4FC1F">
      <w:pPr>
        <w:pStyle w:val="13"/>
        <w:spacing w:line="360" w:lineRule="auto"/>
        <w:ind w:firstLine="480"/>
        <w:rPr>
          <w:rFonts w:hint="eastAsia" w:ascii="宋体" w:hAnsi="宋体" w:eastAsia="宋体" w:cs="宋体"/>
        </w:rPr>
      </w:pPr>
      <w:r>
        <w:rPr>
          <w:rFonts w:hint="eastAsia" w:ascii="宋体" w:hAnsi="宋体" w:eastAsia="宋体" w:cs="宋体"/>
        </w:rPr>
        <w:t>5.向采购人、采购组织机构或者有关部门报告评审中发现的违法行为；</w:t>
      </w:r>
    </w:p>
    <w:p w14:paraId="0DDB5E0F">
      <w:pPr>
        <w:pStyle w:val="13"/>
        <w:spacing w:line="360" w:lineRule="auto"/>
        <w:ind w:firstLine="480"/>
        <w:rPr>
          <w:rFonts w:hint="eastAsia" w:ascii="宋体" w:hAnsi="宋体" w:eastAsia="宋体" w:cs="宋体"/>
        </w:rPr>
      </w:pPr>
      <w:r>
        <w:rPr>
          <w:rFonts w:hint="eastAsia" w:ascii="宋体" w:hAnsi="宋体" w:eastAsia="宋体" w:cs="宋体"/>
        </w:rPr>
        <w:t>6.法律法规规定的其他职责。</w:t>
      </w:r>
    </w:p>
    <w:p w14:paraId="333E8633">
      <w:pPr>
        <w:spacing w:line="360" w:lineRule="auto"/>
        <w:ind w:firstLine="482" w:firstLineChars="200"/>
        <w:outlineLvl w:val="0"/>
        <w:rPr>
          <w:rFonts w:hint="eastAsia" w:ascii="宋体" w:hAnsi="宋体" w:eastAsia="宋体" w:cs="宋体"/>
          <w:b/>
          <w:sz w:val="24"/>
          <w:szCs w:val="24"/>
        </w:rPr>
      </w:pPr>
      <w:bookmarkStart w:id="73" w:name="_Toc28346"/>
      <w:r>
        <w:rPr>
          <w:rFonts w:hint="eastAsia" w:ascii="宋体" w:hAnsi="宋体" w:eastAsia="宋体" w:cs="宋体"/>
          <w:b/>
          <w:sz w:val="24"/>
          <w:szCs w:val="24"/>
        </w:rPr>
        <w:t>四、磋商要求</w:t>
      </w:r>
      <w:bookmarkEnd w:id="73"/>
    </w:p>
    <w:p w14:paraId="1865229F">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（一）采购人、采购代理机构不得对磋商小组中的评审专家作倾向性、误导性的解释或者说明。</w:t>
      </w:r>
    </w:p>
    <w:p w14:paraId="035F7D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（二）磋商小组所有成员应当集中与单一供应商分别进行磋商，并给予所有参加磋商的供应商平等的磋商机会。</w:t>
      </w:r>
    </w:p>
    <w:p w14:paraId="1EEEE2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（三）在磋商过程中，磋商小组可以根据磋商文件和磋商情况实质性变动采购需求中的技术、服务要求以及合同草案条款，但不得变动磋商文件中的其他内容。实质性变动的内容，须经采购人代表确认。</w:t>
      </w:r>
    </w:p>
    <w:p w14:paraId="5650A6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（四）对磋商文件作出的实质性变动是磋商文件的有效组成部分，磋商小组应当及时以书面形式同时通知所有参加磋商的供应商。</w:t>
      </w:r>
    </w:p>
    <w:p w14:paraId="7A37BB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（五）供应商应当按照磋商文件的变动情况和磋商小组的要求重新提交响应文件，并由其法定代表人或授权代表签字或者加盖公章。</w:t>
      </w:r>
    </w:p>
    <w:p w14:paraId="585508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（六）已提交响应文件的供应商，在提交最后报价之前，可以根据磋商情况退出磋商。</w:t>
      </w:r>
    </w:p>
    <w:p w14:paraId="17BBC06A">
      <w:pPr>
        <w:pStyle w:val="33"/>
        <w:spacing w:before="0" w:beforeAutospacing="0" w:after="0" w:afterAutospacing="0" w:line="360" w:lineRule="auto"/>
        <w:ind w:firstLine="482" w:firstLineChars="200"/>
        <w:jc w:val="both"/>
        <w:outlineLvl w:val="0"/>
        <w:rPr>
          <w:rFonts w:hint="eastAsia" w:ascii="宋体" w:hAnsi="宋体" w:eastAsia="宋体" w:cs="宋体"/>
          <w:b/>
        </w:rPr>
      </w:pPr>
      <w:bookmarkStart w:id="74" w:name="_Toc4990"/>
      <w:r>
        <w:rPr>
          <w:rFonts w:hint="eastAsia" w:ascii="宋体" w:hAnsi="宋体" w:eastAsia="宋体" w:cs="宋体"/>
          <w:b/>
        </w:rPr>
        <w:t>五、无效响应情形</w:t>
      </w:r>
      <w:bookmarkEnd w:id="74"/>
    </w:p>
    <w:p w14:paraId="6F5CFB00">
      <w:pPr>
        <w:pStyle w:val="33"/>
        <w:numPr>
          <w:ilvl w:val="0"/>
          <w:numId w:val="6"/>
        </w:numPr>
        <w:tabs>
          <w:tab w:val="left" w:pos="7380"/>
        </w:tabs>
        <w:adjustRightInd w:val="0"/>
        <w:snapToGrid w:val="0"/>
        <w:spacing w:before="0" w:beforeAutospacing="0" w:after="0" w:afterAutospacing="0" w:line="360" w:lineRule="auto"/>
        <w:ind w:left="-20" w:leftChars="0" w:firstLineChars="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不具备磋商文件中规定的资格要求的；</w:t>
      </w:r>
      <w:r>
        <w:rPr>
          <w:rFonts w:hint="eastAsia" w:ascii="宋体" w:hAnsi="宋体" w:eastAsia="宋体" w:cs="宋体"/>
          <w:color w:val="000000" w:themeColor="text1"/>
          <w14:textFill>
            <w14:solidFill>
              <w14:schemeClr w14:val="tx1"/>
            </w14:solidFill>
          </w14:textFill>
        </w:rPr>
        <w:tab/>
      </w:r>
    </w:p>
    <w:p w14:paraId="60A58BF8">
      <w:pPr>
        <w:pStyle w:val="33"/>
        <w:numPr>
          <w:ilvl w:val="0"/>
          <w:numId w:val="6"/>
        </w:numPr>
        <w:adjustRightInd w:val="0"/>
        <w:snapToGrid w:val="0"/>
        <w:spacing w:before="0" w:beforeAutospacing="0" w:after="0" w:afterAutospacing="0" w:line="360" w:lineRule="auto"/>
        <w:ind w:left="-20" w:leftChars="0" w:firstLineChars="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响应文件含有采购人不能接受的附加条件的；</w:t>
      </w:r>
    </w:p>
    <w:p w14:paraId="46B0B54A">
      <w:pPr>
        <w:pStyle w:val="17"/>
        <w:numPr>
          <w:ilvl w:val="0"/>
          <w:numId w:val="6"/>
        </w:numPr>
        <w:spacing w:line="360" w:lineRule="auto"/>
        <w:ind w:left="-20" w:leftChars="0" w:firstLineChars="0"/>
        <w:jc w:val="both"/>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磋商小组认为供应商的报价明显低于其他通过符合性审查供应商的报价，有可能影响服务质量或者不能诚信履约的，供应商在限定的时间内不能证明其报价合理性的，磋商小组应当将其作为无效响应处理；</w:t>
      </w:r>
    </w:p>
    <w:p w14:paraId="44B72142">
      <w:pPr>
        <w:pStyle w:val="33"/>
        <w:numPr>
          <w:ilvl w:val="0"/>
          <w:numId w:val="6"/>
        </w:numPr>
        <w:adjustRightInd w:val="0"/>
        <w:snapToGrid w:val="0"/>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 xml:space="preserve">报价超过磋商文件中规定的预算金额/最高限价； </w:t>
      </w:r>
    </w:p>
    <w:p w14:paraId="07DAE298">
      <w:pPr>
        <w:pStyle w:val="17"/>
        <w:numPr>
          <w:ilvl w:val="0"/>
          <w:numId w:val="6"/>
        </w:numPr>
        <w:spacing w:line="360" w:lineRule="auto"/>
        <w:ind w:left="-20" w:leftChars="0" w:firstLineChars="0"/>
        <w:rPr>
          <w:rFonts w:hint="eastAsia" w:ascii="宋体" w:hAnsi="宋体" w:eastAsia="宋体" w:cs="宋体"/>
          <w:sz w:val="24"/>
        </w:rPr>
      </w:pPr>
      <w:r>
        <w:rPr>
          <w:rFonts w:hint="eastAsia" w:ascii="宋体" w:hAnsi="宋体" w:eastAsia="宋体" w:cs="宋体"/>
          <w:sz w:val="24"/>
          <w:szCs w:val="24"/>
        </w:rPr>
        <w:t>响应文件</w:t>
      </w:r>
      <w:r>
        <w:rPr>
          <w:rFonts w:hint="eastAsia" w:ascii="宋体" w:hAnsi="宋体" w:eastAsia="宋体" w:cs="宋体"/>
          <w:sz w:val="24"/>
          <w:szCs w:val="24"/>
          <w:lang w:eastAsia="zh-CN"/>
        </w:rPr>
        <w:t>未按磋商文件中规定要求签字盖章的</w:t>
      </w:r>
      <w:r>
        <w:rPr>
          <w:rFonts w:hint="eastAsia" w:ascii="宋体" w:hAnsi="宋体" w:eastAsia="宋体" w:cs="宋体"/>
          <w:kern w:val="0"/>
          <w:sz w:val="24"/>
        </w:rPr>
        <w:t>；</w:t>
      </w:r>
    </w:p>
    <w:p w14:paraId="591F4366">
      <w:pPr>
        <w:numPr>
          <w:ilvl w:val="0"/>
          <w:numId w:val="6"/>
        </w:numPr>
        <w:tabs>
          <w:tab w:val="left" w:pos="1898"/>
        </w:tabs>
        <w:autoSpaceDE w:val="0"/>
        <w:autoSpaceDN w:val="0"/>
        <w:adjustRightInd w:val="0"/>
        <w:snapToGrid w:val="0"/>
        <w:spacing w:line="360" w:lineRule="auto"/>
        <w:ind w:left="-20" w:leftChars="0" w:firstLineChars="0"/>
        <w:rPr>
          <w:rFonts w:hint="eastAsia" w:ascii="宋体" w:hAnsi="宋体" w:eastAsia="宋体" w:cs="宋体"/>
          <w:sz w:val="24"/>
          <w:szCs w:val="24"/>
        </w:rPr>
      </w:pPr>
      <w:r>
        <w:rPr>
          <w:rFonts w:hint="eastAsia" w:ascii="宋体" w:hAnsi="宋体" w:eastAsia="宋体" w:cs="宋体"/>
          <w:sz w:val="24"/>
          <w:szCs w:val="24"/>
        </w:rPr>
        <w:t>响应参数未如实填写，完全复制粘贴磋商需求参数的；</w:t>
      </w:r>
    </w:p>
    <w:p w14:paraId="2BABA3AC">
      <w:pPr>
        <w:numPr>
          <w:ilvl w:val="0"/>
          <w:numId w:val="6"/>
        </w:numPr>
        <w:tabs>
          <w:tab w:val="left" w:pos="1898"/>
        </w:tabs>
        <w:autoSpaceDE w:val="0"/>
        <w:autoSpaceDN w:val="0"/>
        <w:adjustRightInd w:val="0"/>
        <w:snapToGrid w:val="0"/>
        <w:spacing w:line="360" w:lineRule="auto"/>
        <w:ind w:left="-20" w:leftChars="0" w:firstLineChars="0"/>
        <w:rPr>
          <w:rFonts w:hint="eastAsia" w:ascii="宋体" w:hAnsi="宋体" w:eastAsia="宋体" w:cs="宋体"/>
          <w:sz w:val="24"/>
          <w:szCs w:val="24"/>
        </w:rPr>
      </w:pPr>
      <w:r>
        <w:rPr>
          <w:rFonts w:hint="eastAsia" w:ascii="宋体" w:hAnsi="宋体" w:eastAsia="宋体" w:cs="宋体"/>
          <w:sz w:val="24"/>
          <w:szCs w:val="24"/>
        </w:rPr>
        <w:t xml:space="preserve">响应文件存在虚假材料的； </w:t>
      </w:r>
    </w:p>
    <w:p w14:paraId="2914BE38">
      <w:pPr>
        <w:numPr>
          <w:ilvl w:val="0"/>
          <w:numId w:val="6"/>
        </w:numPr>
        <w:tabs>
          <w:tab w:val="left" w:pos="1898"/>
        </w:tabs>
        <w:autoSpaceDE w:val="0"/>
        <w:autoSpaceDN w:val="0"/>
        <w:adjustRightInd w:val="0"/>
        <w:snapToGrid w:val="0"/>
        <w:spacing w:line="360" w:lineRule="auto"/>
        <w:ind w:left="-20" w:leftChars="0" w:firstLineChars="0"/>
        <w:rPr>
          <w:rFonts w:hint="eastAsia" w:ascii="宋体" w:hAnsi="宋体" w:eastAsia="宋体" w:cs="宋体"/>
          <w:sz w:val="24"/>
          <w:szCs w:val="24"/>
        </w:rPr>
      </w:pPr>
      <w:r>
        <w:rPr>
          <w:rFonts w:hint="eastAsia" w:ascii="宋体" w:hAnsi="宋体" w:eastAsia="宋体" w:cs="宋体"/>
          <w:sz w:val="24"/>
          <w:szCs w:val="24"/>
        </w:rPr>
        <w:t>不同供应商的响应文件由同一单位或者个人编制；</w:t>
      </w:r>
    </w:p>
    <w:p w14:paraId="29323863">
      <w:pPr>
        <w:numPr>
          <w:ilvl w:val="0"/>
          <w:numId w:val="6"/>
        </w:numPr>
        <w:tabs>
          <w:tab w:val="left" w:pos="1898"/>
        </w:tabs>
        <w:autoSpaceDE w:val="0"/>
        <w:autoSpaceDN w:val="0"/>
        <w:adjustRightInd w:val="0"/>
        <w:snapToGrid w:val="0"/>
        <w:spacing w:line="360" w:lineRule="auto"/>
        <w:ind w:left="-20" w:leftChars="0" w:firstLineChars="0"/>
        <w:rPr>
          <w:rFonts w:hint="eastAsia" w:ascii="宋体" w:hAnsi="宋体" w:eastAsia="宋体" w:cs="宋体"/>
          <w:sz w:val="24"/>
          <w:szCs w:val="24"/>
        </w:rPr>
      </w:pPr>
      <w:r>
        <w:rPr>
          <w:rFonts w:hint="eastAsia" w:ascii="宋体" w:hAnsi="宋体" w:eastAsia="宋体" w:cs="宋体"/>
          <w:sz w:val="24"/>
          <w:szCs w:val="24"/>
        </w:rPr>
        <w:t>不同供应商委托同一单位或者个人办理磋商事宜；</w:t>
      </w:r>
    </w:p>
    <w:p w14:paraId="4F85361C">
      <w:pPr>
        <w:pStyle w:val="33"/>
        <w:numPr>
          <w:ilvl w:val="0"/>
          <w:numId w:val="6"/>
        </w:numPr>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不同供应商的响应文件载明的项目管理成员或者联系人员为同一人；</w:t>
      </w:r>
    </w:p>
    <w:p w14:paraId="76936ED4">
      <w:pPr>
        <w:pStyle w:val="33"/>
        <w:numPr>
          <w:ilvl w:val="0"/>
          <w:numId w:val="6"/>
        </w:numPr>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不同供应商的响应文件异常一致或者磋商报价呈规律性差异；</w:t>
      </w:r>
    </w:p>
    <w:p w14:paraId="68E152B8">
      <w:pPr>
        <w:pStyle w:val="33"/>
        <w:numPr>
          <w:ilvl w:val="0"/>
          <w:numId w:val="6"/>
        </w:numPr>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不同供应商的响应文件相互混装；</w:t>
      </w:r>
    </w:p>
    <w:p w14:paraId="0EA23FA6">
      <w:pPr>
        <w:pStyle w:val="33"/>
        <w:numPr>
          <w:ilvl w:val="0"/>
          <w:numId w:val="6"/>
        </w:numPr>
        <w:spacing w:before="0" w:beforeAutospacing="0" w:after="0" w:afterAutospacing="0" w:line="360" w:lineRule="auto"/>
        <w:ind w:left="-20" w:leftChars="0" w:firstLineChars="0"/>
        <w:jc w:val="both"/>
        <w:rPr>
          <w:rFonts w:hint="eastAsia" w:ascii="宋体" w:hAnsi="宋体" w:eastAsia="宋体" w:cs="宋体"/>
        </w:rPr>
      </w:pPr>
      <w:r>
        <w:rPr>
          <w:rFonts w:hint="eastAsia" w:ascii="宋体" w:hAnsi="宋体" w:eastAsia="宋体" w:cs="宋体"/>
        </w:rPr>
        <w:t>实质性要求（磋商文件中打“▲”内容）不响应的；</w:t>
      </w:r>
    </w:p>
    <w:p w14:paraId="0F2CCA89">
      <w:pPr>
        <w:pStyle w:val="13"/>
        <w:numPr>
          <w:ilvl w:val="0"/>
          <w:numId w:val="6"/>
        </w:numPr>
        <w:spacing w:line="360" w:lineRule="auto"/>
        <w:ind w:left="-20" w:leftChars="0" w:firstLine="480" w:firstLineChars="0"/>
        <w:rPr>
          <w:rFonts w:hint="eastAsia" w:ascii="宋体" w:hAnsi="宋体" w:eastAsia="宋体" w:cs="宋体"/>
          <w:kern w:val="0"/>
        </w:rPr>
      </w:pPr>
      <w:r>
        <w:rPr>
          <w:rFonts w:hint="eastAsia" w:ascii="宋体" w:hAnsi="宋体" w:eastAsia="宋体" w:cs="宋体"/>
          <w:kern w:val="0"/>
        </w:rPr>
        <w:t>商务条款不响应；</w:t>
      </w:r>
    </w:p>
    <w:p w14:paraId="14BA03D9">
      <w:pPr>
        <w:pStyle w:val="13"/>
        <w:numPr>
          <w:ilvl w:val="0"/>
          <w:numId w:val="6"/>
        </w:numPr>
        <w:spacing w:line="360" w:lineRule="auto"/>
        <w:ind w:left="-20" w:leftChars="0" w:firstLine="480" w:firstLineChars="0"/>
        <w:rPr>
          <w:rFonts w:hint="eastAsia" w:ascii="宋体" w:hAnsi="宋体" w:eastAsia="宋体" w:cs="宋体"/>
          <w:kern w:val="0"/>
        </w:rPr>
      </w:pPr>
      <w:r>
        <w:rPr>
          <w:rFonts w:hint="eastAsia" w:ascii="宋体" w:hAnsi="宋体" w:eastAsia="宋体" w:cs="宋体"/>
        </w:rPr>
        <w:t>响应</w:t>
      </w:r>
      <w:r>
        <w:rPr>
          <w:rFonts w:hint="eastAsia" w:ascii="宋体" w:hAnsi="宋体" w:eastAsia="宋体" w:cs="宋体"/>
          <w:kern w:val="0"/>
        </w:rPr>
        <w:t>文件有效期不足的；</w:t>
      </w:r>
    </w:p>
    <w:p w14:paraId="49BBD93F">
      <w:pPr>
        <w:pStyle w:val="13"/>
        <w:numPr>
          <w:ilvl w:val="0"/>
          <w:numId w:val="6"/>
        </w:numPr>
        <w:spacing w:line="360" w:lineRule="auto"/>
        <w:ind w:left="-20" w:leftChars="0" w:firstLine="480" w:firstLineChars="0"/>
        <w:rPr>
          <w:rFonts w:hint="eastAsia" w:ascii="宋体" w:hAnsi="宋体" w:eastAsia="宋体" w:cs="宋体"/>
          <w:kern w:val="0"/>
        </w:rPr>
      </w:pPr>
      <w:r>
        <w:rPr>
          <w:rFonts w:hint="eastAsia" w:ascii="宋体" w:hAnsi="宋体" w:eastAsia="宋体" w:cs="宋体"/>
          <w:kern w:val="0"/>
        </w:rPr>
        <w:t>逾期或未按要求提交</w:t>
      </w:r>
      <w:r>
        <w:rPr>
          <w:rFonts w:hint="eastAsia" w:ascii="宋体" w:hAnsi="宋体" w:eastAsia="宋体" w:cs="宋体"/>
        </w:rPr>
        <w:t>响应</w:t>
      </w:r>
      <w:r>
        <w:rPr>
          <w:rFonts w:hint="eastAsia" w:ascii="宋体" w:hAnsi="宋体" w:eastAsia="宋体" w:cs="宋体"/>
          <w:kern w:val="0"/>
        </w:rPr>
        <w:t>文件的；</w:t>
      </w:r>
    </w:p>
    <w:p w14:paraId="61366D61">
      <w:pPr>
        <w:pStyle w:val="13"/>
        <w:numPr>
          <w:ilvl w:val="0"/>
          <w:numId w:val="6"/>
        </w:numPr>
        <w:spacing w:line="360" w:lineRule="auto"/>
        <w:ind w:left="-20" w:leftChars="0" w:firstLine="480" w:firstLineChars="0"/>
        <w:rPr>
          <w:rFonts w:hint="eastAsia" w:ascii="宋体" w:hAnsi="宋体" w:eastAsia="宋体" w:cs="宋体"/>
          <w:kern w:val="0"/>
        </w:rPr>
      </w:pPr>
      <w:r>
        <w:rPr>
          <w:rFonts w:hint="eastAsia" w:ascii="宋体" w:hAnsi="宋体" w:eastAsia="宋体" w:cs="宋体"/>
          <w:kern w:val="0"/>
        </w:rPr>
        <w:t>其他</w:t>
      </w:r>
      <w:r>
        <w:rPr>
          <w:rFonts w:hint="eastAsia" w:ascii="宋体" w:hAnsi="宋体" w:eastAsia="宋体" w:cs="宋体"/>
        </w:rPr>
        <w:t>不符合法律法规相关规定的。</w:t>
      </w:r>
    </w:p>
    <w:p w14:paraId="1537F073">
      <w:pPr>
        <w:autoSpaceDE w:val="0"/>
        <w:autoSpaceDN w:val="0"/>
        <w:adjustRightInd w:val="0"/>
        <w:spacing w:line="360" w:lineRule="auto"/>
        <w:ind w:firstLine="482" w:firstLineChars="200"/>
        <w:outlineLvl w:val="0"/>
        <w:rPr>
          <w:rFonts w:hint="eastAsia" w:ascii="宋体" w:hAnsi="宋体" w:eastAsia="宋体" w:cs="宋体"/>
          <w:sz w:val="24"/>
          <w:szCs w:val="24"/>
        </w:rPr>
      </w:pPr>
      <w:bookmarkStart w:id="75" w:name="_Toc29334"/>
      <w:r>
        <w:rPr>
          <w:rFonts w:hint="eastAsia" w:ascii="宋体" w:hAnsi="宋体" w:eastAsia="宋体" w:cs="宋体"/>
          <w:b/>
          <w:sz w:val="24"/>
          <w:szCs w:val="24"/>
        </w:rPr>
        <w:t>六、终止磋商情形</w:t>
      </w:r>
      <w:bookmarkEnd w:id="75"/>
    </w:p>
    <w:p w14:paraId="5BE41B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（一）出现影响采购公正的违法、违规行为的；</w:t>
      </w:r>
    </w:p>
    <w:p w14:paraId="5ED8A5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（二）磋商小组发现磋商文件存在歧义、重大缺陷导致评审工作无法进行，或者磋商文件内容违反国家有关强制性规定的；</w:t>
      </w:r>
    </w:p>
    <w:p w14:paraId="6C49FD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（三）因重大变故，采购任务取消的；</w:t>
      </w:r>
    </w:p>
    <w:p w14:paraId="48B8FEFA">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（四）在采购过程中符合磋商要求的供应商或者提交最后报价的供应商不足3家的（政府购买服务项目，市场竞争不充分的科研项目，以及需要扶持的科技成果转化项目，提交最后报价的供应商可以为2家）；</w:t>
      </w:r>
    </w:p>
    <w:p w14:paraId="693DAA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（五）法律法规和磋商文件规定的其他导致评审结果无效的。</w:t>
      </w:r>
    </w:p>
    <w:p w14:paraId="66DDC59C">
      <w:pPr>
        <w:pStyle w:val="24"/>
        <w:snapToGrid w:val="0"/>
        <w:spacing w:line="360" w:lineRule="auto"/>
        <w:ind w:firstLine="482" w:firstLineChars="200"/>
        <w:outlineLvl w:val="0"/>
        <w:rPr>
          <w:rFonts w:hint="eastAsia" w:ascii="宋体" w:hAnsi="宋体" w:eastAsia="宋体" w:cs="宋体"/>
          <w:b/>
          <w:sz w:val="24"/>
          <w:szCs w:val="24"/>
        </w:rPr>
      </w:pPr>
      <w:bookmarkStart w:id="76" w:name="_Toc25360"/>
      <w:r>
        <w:rPr>
          <w:rFonts w:hint="eastAsia" w:ascii="宋体" w:hAnsi="宋体" w:eastAsia="宋体" w:cs="宋体"/>
          <w:b/>
          <w:sz w:val="24"/>
          <w:szCs w:val="24"/>
        </w:rPr>
        <w:t>七、磋商过程的监控</w:t>
      </w:r>
      <w:bookmarkEnd w:id="76"/>
    </w:p>
    <w:p w14:paraId="3DBBD84C">
      <w:pPr>
        <w:pStyle w:val="33"/>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本项目磋商过程实行全程录音、录像监控，政府采购监管部门视情进行现场监督，供应商在磋商过程中所进行的试图影响磋商结果的不公正活动，可能导致其磋商响应被拒绝。</w:t>
      </w:r>
    </w:p>
    <w:p w14:paraId="64D94126">
      <w:pPr>
        <w:pStyle w:val="24"/>
        <w:snapToGrid w:val="0"/>
        <w:spacing w:line="360" w:lineRule="auto"/>
        <w:ind w:firstLine="482" w:firstLineChars="200"/>
        <w:outlineLvl w:val="0"/>
        <w:rPr>
          <w:rFonts w:hint="eastAsia" w:ascii="宋体" w:hAnsi="宋体" w:eastAsia="宋体" w:cs="宋体"/>
          <w:b/>
          <w:sz w:val="24"/>
          <w:szCs w:val="24"/>
        </w:rPr>
      </w:pPr>
      <w:bookmarkStart w:id="77" w:name="_Toc18062"/>
      <w:r>
        <w:rPr>
          <w:rFonts w:hint="eastAsia" w:ascii="宋体" w:hAnsi="宋体" w:eastAsia="宋体" w:cs="宋体"/>
          <w:b/>
          <w:bCs/>
          <w:sz w:val="24"/>
          <w:szCs w:val="24"/>
          <w:lang w:eastAsia="zh-CN"/>
        </w:rPr>
        <w:t>八</w:t>
      </w:r>
      <w:r>
        <w:rPr>
          <w:rFonts w:hint="eastAsia" w:ascii="宋体" w:hAnsi="宋体" w:eastAsia="宋体" w:cs="宋体"/>
          <w:b/>
          <w:bCs/>
          <w:sz w:val="24"/>
          <w:szCs w:val="24"/>
        </w:rPr>
        <w:t>、评审程序</w:t>
      </w:r>
      <w:bookmarkEnd w:id="77"/>
    </w:p>
    <w:p w14:paraId="4F1D1049">
      <w:pPr>
        <w:snapToGrid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（一）资格审查</w:t>
      </w:r>
    </w:p>
    <w:p w14:paraId="748DDA37">
      <w:pPr>
        <w:pStyle w:val="17"/>
        <w:spacing w:line="360" w:lineRule="auto"/>
        <w:ind w:firstLine="480"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响应文件解密后，采购人或采购组织机构依法对供应商的资格进行审查，对审查发现无效的进行必要的</w:t>
      </w:r>
      <w:r>
        <w:rPr>
          <w:rFonts w:hint="eastAsia" w:ascii="宋体" w:hAnsi="宋体" w:eastAsia="宋体" w:cs="宋体"/>
          <w:color w:val="000000" w:themeColor="text1"/>
          <w:sz w:val="24"/>
          <w14:textFill>
            <w14:solidFill>
              <w14:schemeClr w14:val="tx1"/>
            </w14:solidFill>
          </w14:textFill>
        </w:rPr>
        <w:t>询问，在政采云平台公布无效响应的供应商名单、响应无效的原因。</w:t>
      </w:r>
    </w:p>
    <w:p w14:paraId="79C46A09">
      <w:pPr>
        <w:pStyle w:val="17"/>
        <w:spacing w:line="360" w:lineRule="auto"/>
        <w:ind w:firstLine="482" w:firstLineChars="200"/>
        <w:outlineLvl w:val="1"/>
        <w:rPr>
          <w:rFonts w:hint="eastAsia" w:ascii="宋体" w:hAnsi="宋体" w:eastAsia="宋体" w:cs="宋体"/>
          <w:b/>
          <w:bCs/>
          <w:sz w:val="24"/>
        </w:rPr>
      </w:pPr>
      <w:r>
        <w:rPr>
          <w:rFonts w:hint="eastAsia" w:ascii="宋体" w:hAnsi="宋体" w:eastAsia="宋体" w:cs="宋体"/>
          <w:b/>
          <w:bCs/>
          <w:sz w:val="24"/>
        </w:rPr>
        <w:t>（二）符合性审查</w:t>
      </w:r>
    </w:p>
    <w:p w14:paraId="0D98121E">
      <w:pPr>
        <w:pStyle w:val="17"/>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磋商小组应当对符合资格的供应商的磋商响应文件进行符合性审查，以确定其是否满足磋商文件的实质性要求，对审查发现无效的进行必要</w:t>
      </w:r>
      <w:r>
        <w:rPr>
          <w:rFonts w:hint="eastAsia" w:ascii="宋体" w:hAnsi="宋体" w:eastAsia="宋体" w:cs="宋体"/>
          <w:color w:val="000000" w:themeColor="text1"/>
          <w:sz w:val="24"/>
          <w14:textFill>
            <w14:solidFill>
              <w14:schemeClr w14:val="tx1"/>
            </w14:solidFill>
          </w14:textFill>
        </w:rPr>
        <w:t>的询问</w:t>
      </w:r>
      <w:r>
        <w:rPr>
          <w:rFonts w:hint="eastAsia" w:ascii="宋体" w:hAnsi="宋体" w:eastAsia="宋体" w:cs="宋体"/>
          <w:sz w:val="24"/>
        </w:rPr>
        <w:t>，对无效响应的供应商名单及响应无效原因的公布方式同上。</w:t>
      </w:r>
    </w:p>
    <w:tbl>
      <w:tblPr>
        <w:tblStyle w:val="3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9"/>
        <w:gridCol w:w="7079"/>
      </w:tblGrid>
      <w:tr w14:paraId="5FB7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099" w:type="dxa"/>
            <w:noWrap w:val="0"/>
            <w:vAlign w:val="center"/>
          </w:tcPr>
          <w:p w14:paraId="4DEB783A">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w:t>
            </w:r>
          </w:p>
        </w:tc>
        <w:tc>
          <w:tcPr>
            <w:tcW w:w="7079" w:type="dxa"/>
            <w:noWrap w:val="0"/>
            <w:vAlign w:val="center"/>
          </w:tcPr>
          <w:p w14:paraId="34AD4920">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磋商响应文件完整且编排有序，磋商内容基本完整，无重大错漏，并按要求签署、盖章。</w:t>
            </w:r>
          </w:p>
        </w:tc>
      </w:tr>
      <w:tr w14:paraId="0987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noWrap w:val="0"/>
            <w:vAlign w:val="center"/>
          </w:tcPr>
          <w:p w14:paraId="7376198D">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“▲”实质性条款</w:t>
            </w:r>
          </w:p>
        </w:tc>
        <w:tc>
          <w:tcPr>
            <w:tcW w:w="7079" w:type="dxa"/>
            <w:noWrap w:val="0"/>
            <w:vAlign w:val="center"/>
          </w:tcPr>
          <w:p w14:paraId="57662515">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“▲”实质性条款满足磋商文件要求。</w:t>
            </w:r>
          </w:p>
        </w:tc>
      </w:tr>
      <w:tr w14:paraId="2230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shd w:val="clear" w:color="auto" w:fill="F6F6F6"/>
            <w:noWrap w:val="0"/>
            <w:vAlign w:val="center"/>
          </w:tcPr>
          <w:p w14:paraId="690C8941">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磋商响应有效期</w:t>
            </w:r>
          </w:p>
        </w:tc>
        <w:tc>
          <w:tcPr>
            <w:tcW w:w="7079" w:type="dxa"/>
            <w:shd w:val="clear" w:color="auto" w:fill="F6F6F6"/>
            <w:noWrap w:val="0"/>
            <w:vAlign w:val="center"/>
          </w:tcPr>
          <w:p w14:paraId="555A2379">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磋商有效期为磋商截止日起至少90天。</w:t>
            </w:r>
          </w:p>
        </w:tc>
      </w:tr>
      <w:tr w14:paraId="6E69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noWrap w:val="0"/>
            <w:vAlign w:val="center"/>
          </w:tcPr>
          <w:p w14:paraId="3FCEA94D">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附加条件</w:t>
            </w:r>
          </w:p>
        </w:tc>
        <w:tc>
          <w:tcPr>
            <w:tcW w:w="7079" w:type="dxa"/>
            <w:noWrap w:val="0"/>
            <w:vAlign w:val="center"/>
          </w:tcPr>
          <w:p w14:paraId="3F817079">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磋商响应文件未含有采购人不可接受的附加条件。</w:t>
            </w:r>
          </w:p>
        </w:tc>
      </w:tr>
      <w:tr w14:paraId="3830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099" w:type="dxa"/>
            <w:noWrap w:val="0"/>
            <w:vAlign w:val="center"/>
          </w:tcPr>
          <w:p w14:paraId="75281754">
            <w:pPr>
              <w:pStyle w:val="126"/>
              <w:keepNext w:val="0"/>
              <w:keepLines w:val="0"/>
              <w:pageBreakBefore w:val="0"/>
              <w:widowControl w:val="0"/>
              <w:kinsoku/>
              <w:wordWrap/>
              <w:overflowPunct/>
              <w:topLinePunct w:val="0"/>
              <w:autoSpaceDE/>
              <w:autoSpaceDN/>
              <w:bidi w:val="0"/>
              <w:adjustRightInd/>
              <w:snapToGrid/>
              <w:spacing w:line="240" w:lineRule="atLeast"/>
              <w:ind w:right="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报价</w:t>
            </w:r>
          </w:p>
        </w:tc>
        <w:tc>
          <w:tcPr>
            <w:tcW w:w="7079" w:type="dxa"/>
            <w:noWrap w:val="0"/>
            <w:vAlign w:val="center"/>
          </w:tcPr>
          <w:p w14:paraId="6983BA59">
            <w:pPr>
              <w:pStyle w:val="126"/>
              <w:keepNext w:val="0"/>
              <w:keepLines w:val="0"/>
              <w:pageBreakBefore w:val="0"/>
              <w:widowControl w:val="0"/>
              <w:kinsoku/>
              <w:wordWrap/>
              <w:overflowPunct/>
              <w:topLinePunct w:val="0"/>
              <w:autoSpaceDE/>
              <w:autoSpaceDN/>
              <w:bidi w:val="0"/>
              <w:adjustRightInd/>
              <w:snapToGrid/>
              <w:spacing w:before="48" w:line="240" w:lineRule="atLeast"/>
              <w:ind w:right="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报价不超过磋商文件中规定的预算金额</w:t>
            </w:r>
            <w:r>
              <w:rPr>
                <w:rFonts w:hint="eastAsia" w:ascii="宋体" w:hAnsi="宋体" w:eastAsia="宋体" w:cs="宋体"/>
                <w:color w:val="000000"/>
                <w:sz w:val="24"/>
                <w:szCs w:val="24"/>
                <w:lang w:val="en-US" w:eastAsia="zh-CN"/>
              </w:rPr>
              <w:t>/最高限价。</w:t>
            </w:r>
          </w:p>
        </w:tc>
      </w:tr>
    </w:tbl>
    <w:p w14:paraId="09AA3F1F">
      <w:pPr>
        <w:pStyle w:val="17"/>
        <w:spacing w:line="360" w:lineRule="auto"/>
        <w:ind w:firstLine="480" w:firstLineChars="200"/>
        <w:jc w:val="both"/>
        <w:rPr>
          <w:rFonts w:hint="eastAsia" w:ascii="宋体" w:hAnsi="宋体" w:eastAsia="宋体" w:cs="宋体"/>
          <w:sz w:val="24"/>
        </w:rPr>
      </w:pPr>
    </w:p>
    <w:p w14:paraId="7EC34C9C">
      <w:pPr>
        <w:autoSpaceDE w:val="0"/>
        <w:autoSpaceDN w:val="0"/>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（三）商务技术及价格评审</w:t>
      </w:r>
    </w:p>
    <w:p w14:paraId="524E6B94">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本次磋商项目的评审方法为综合评分法，总计100分。磋商报价分</w:t>
      </w:r>
      <w:r>
        <w:rPr>
          <w:rFonts w:hint="eastAsia" w:ascii="宋体" w:hAnsi="宋体" w:cs="宋体"/>
          <w:color w:val="auto"/>
          <w:sz w:val="24"/>
          <w:szCs w:val="24"/>
          <w:highlight w:val="none"/>
          <w:lang w:eastAsia="zh-CN"/>
        </w:rPr>
        <w:t>为</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分、磋商技术分</w:t>
      </w:r>
      <w:r>
        <w:rPr>
          <w:rFonts w:hint="eastAsia" w:ascii="宋体" w:hAnsi="宋体" w:cs="宋体"/>
          <w:color w:val="auto"/>
          <w:sz w:val="24"/>
          <w:szCs w:val="24"/>
          <w:highlight w:val="none"/>
          <w:lang w:eastAsia="zh-CN"/>
        </w:rPr>
        <w:t>为</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D26E59B">
      <w:pPr>
        <w:keepNext w:val="0"/>
        <w:keepLines w:val="0"/>
        <w:pageBreakBefore w:val="0"/>
        <w:widowControl/>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（一）商务与技术文件中的客观分由</w:t>
      </w:r>
      <w:r>
        <w:rPr>
          <w:rFonts w:hint="eastAsia" w:ascii="宋体" w:hAnsi="宋体" w:eastAsia="宋体" w:cs="宋体"/>
          <w:color w:val="auto"/>
          <w:sz w:val="24"/>
          <w:szCs w:val="24"/>
          <w:highlight w:val="none"/>
        </w:rPr>
        <w:t>磋商小组</w:t>
      </w:r>
      <w:r>
        <w:rPr>
          <w:rFonts w:hint="eastAsia" w:ascii="宋体" w:hAnsi="宋体" w:eastAsia="宋体" w:cs="宋体"/>
          <w:bCs/>
          <w:color w:val="auto"/>
          <w:sz w:val="24"/>
          <w:szCs w:val="24"/>
          <w:highlight w:val="none"/>
          <w:lang w:val="zh-CN"/>
        </w:rPr>
        <w:t>讨论后统一打分；其余在规定的分值内单独评定打分。</w:t>
      </w:r>
    </w:p>
    <w:p w14:paraId="0AEFE1CF">
      <w:pPr>
        <w:keepNext w:val="0"/>
        <w:keepLines w:val="0"/>
        <w:pageBreakBefore w:val="0"/>
        <w:widowControl/>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（二）各磋商供应商商务与技术文件</w:t>
      </w:r>
      <w:r>
        <w:rPr>
          <w:rFonts w:hint="eastAsia" w:ascii="宋体" w:hAnsi="宋体" w:eastAsia="宋体" w:cs="宋体"/>
          <w:color w:val="auto"/>
          <w:sz w:val="24"/>
          <w:szCs w:val="24"/>
          <w:highlight w:val="none"/>
          <w:lang w:val="zh-CN"/>
        </w:rPr>
        <w:t>得分按照</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成</w:t>
      </w:r>
      <w:r>
        <w:rPr>
          <w:rFonts w:hint="eastAsia" w:ascii="宋体" w:hAnsi="宋体" w:eastAsia="宋体" w:cs="宋体"/>
          <w:bCs/>
          <w:color w:val="auto"/>
          <w:sz w:val="24"/>
          <w:szCs w:val="24"/>
          <w:highlight w:val="none"/>
          <w:lang w:val="zh-CN"/>
        </w:rPr>
        <w:t>员的独立评分结果汇总后的算术平均分计算，计算公式为：</w:t>
      </w:r>
    </w:p>
    <w:p w14:paraId="045F0103">
      <w:pPr>
        <w:keepNext w:val="0"/>
        <w:keepLines w:val="0"/>
        <w:pageBreakBefore w:val="0"/>
        <w:widowControl/>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商务与技术文件得分</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rPr>
        <w:t>磋商小组</w:t>
      </w:r>
      <w:r>
        <w:rPr>
          <w:rFonts w:hint="eastAsia" w:ascii="宋体" w:hAnsi="宋体" w:eastAsia="宋体" w:cs="宋体"/>
          <w:bCs/>
          <w:color w:val="auto"/>
          <w:sz w:val="24"/>
          <w:szCs w:val="24"/>
          <w:highlight w:val="none"/>
          <w:lang w:val="zh-CN"/>
        </w:rPr>
        <w:t>所有成员评分合计数/</w:t>
      </w:r>
      <w:r>
        <w:rPr>
          <w:rFonts w:hint="eastAsia" w:ascii="宋体" w:hAnsi="宋体" w:eastAsia="宋体" w:cs="宋体"/>
          <w:color w:val="auto"/>
          <w:sz w:val="24"/>
          <w:szCs w:val="24"/>
          <w:highlight w:val="none"/>
        </w:rPr>
        <w:t>磋商小组</w:t>
      </w:r>
      <w:r>
        <w:rPr>
          <w:rFonts w:hint="eastAsia" w:ascii="宋体" w:hAnsi="宋体" w:eastAsia="宋体" w:cs="宋体"/>
          <w:bCs/>
          <w:color w:val="auto"/>
          <w:sz w:val="24"/>
          <w:szCs w:val="24"/>
          <w:highlight w:val="none"/>
          <w:lang w:val="zh-CN"/>
        </w:rPr>
        <w:t>组成人员数。</w:t>
      </w:r>
    </w:p>
    <w:p w14:paraId="2BFB28E6">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（三）</w:t>
      </w:r>
      <w:r>
        <w:rPr>
          <w:rFonts w:hint="eastAsia" w:ascii="宋体" w:hAnsi="宋体" w:eastAsia="宋体" w:cs="宋体"/>
          <w:color w:val="auto"/>
          <w:sz w:val="24"/>
          <w:szCs w:val="24"/>
          <w:highlight w:val="none"/>
        </w:rPr>
        <w:t>综合评分法中的价格分统一</w:t>
      </w:r>
      <w:r>
        <w:rPr>
          <w:rFonts w:hint="eastAsia" w:ascii="宋体" w:hAnsi="宋体" w:eastAsia="宋体" w:cs="宋体"/>
          <w:color w:val="auto"/>
          <w:sz w:val="24"/>
          <w:szCs w:val="24"/>
          <w:highlight w:val="none"/>
          <w:lang w:val="zh-CN"/>
        </w:rPr>
        <w:t>采用低价优先法计算，即满足磋商文件要求且最后报价最低的供应商的价格作为磋商基准价，其报价得满分。其他供应商的价格分统一按照下列公式计算：</w:t>
      </w:r>
    </w:p>
    <w:p w14:paraId="3EB01568">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磋商报价得分=(</w:t>
      </w:r>
      <w:r>
        <w:rPr>
          <w:rFonts w:hint="eastAsia" w:ascii="宋体" w:hAnsi="宋体" w:eastAsia="宋体" w:cs="宋体"/>
          <w:color w:val="auto"/>
          <w:sz w:val="24"/>
          <w:szCs w:val="24"/>
          <w:highlight w:val="none"/>
          <w:u w:val="single"/>
          <w:lang w:val="zh-CN"/>
        </w:rPr>
        <w:t>磋商基准价</w:t>
      </w:r>
      <w:r>
        <w:rPr>
          <w:rFonts w:hint="eastAsia" w:ascii="宋体" w:hAnsi="宋体" w:eastAsia="宋体" w:cs="宋体"/>
          <w:color w:val="auto"/>
          <w:sz w:val="24"/>
          <w:szCs w:val="24"/>
          <w:highlight w:val="none"/>
          <w:u w:val="single"/>
        </w:rPr>
        <w:t>／最后磋商报价)×</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%×100 。</w:t>
      </w:r>
    </w:p>
    <w:p w14:paraId="6D71B217">
      <w:pPr>
        <w:keepNext w:val="0"/>
        <w:keepLines w:val="0"/>
        <w:pageBreakBefore w:val="0"/>
        <w:widowControl/>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val="zh-CN"/>
        </w:rPr>
        <w:t>对于投标报价明显低于成本价，且</w:t>
      </w:r>
      <w:r>
        <w:rPr>
          <w:rFonts w:hint="eastAsia" w:ascii="宋体" w:hAnsi="宋体" w:eastAsia="宋体" w:cs="宋体"/>
          <w:b/>
          <w:bCs/>
          <w:color w:val="auto"/>
          <w:sz w:val="24"/>
          <w:szCs w:val="24"/>
          <w:highlight w:val="none"/>
          <w:u w:val="single"/>
          <w:lang w:eastAsia="zh-CN"/>
        </w:rPr>
        <w:t>磋商供应商</w:t>
      </w:r>
      <w:r>
        <w:rPr>
          <w:rFonts w:hint="eastAsia" w:ascii="宋体" w:hAnsi="宋体" w:eastAsia="宋体" w:cs="宋体"/>
          <w:b/>
          <w:bCs/>
          <w:color w:val="auto"/>
          <w:sz w:val="24"/>
          <w:szCs w:val="24"/>
          <w:highlight w:val="none"/>
          <w:u w:val="single"/>
        </w:rPr>
        <w:t>不能合理说明原因并提供证明材料的</w:t>
      </w:r>
      <w:r>
        <w:rPr>
          <w:rFonts w:hint="eastAsia" w:ascii="宋体" w:hAnsi="宋体" w:eastAsia="宋体" w:cs="宋体"/>
          <w:b/>
          <w:bCs/>
          <w:color w:val="auto"/>
          <w:sz w:val="24"/>
          <w:szCs w:val="24"/>
          <w:highlight w:val="none"/>
          <w:u w:val="single"/>
          <w:lang w:val="zh-CN"/>
        </w:rPr>
        <w:t>，</w:t>
      </w:r>
      <w:r>
        <w:rPr>
          <w:rFonts w:hint="eastAsia" w:ascii="宋体" w:hAnsi="宋体" w:eastAsia="宋体" w:cs="宋体"/>
          <w:b/>
          <w:bCs/>
          <w:color w:val="auto"/>
          <w:sz w:val="24"/>
          <w:szCs w:val="24"/>
          <w:highlight w:val="none"/>
          <w:u w:val="single"/>
        </w:rPr>
        <w:t>评标</w:t>
      </w:r>
      <w:r>
        <w:rPr>
          <w:rFonts w:hint="eastAsia" w:ascii="宋体" w:hAnsi="宋体" w:eastAsia="宋体" w:cs="宋体"/>
          <w:b/>
          <w:bCs/>
          <w:color w:val="auto"/>
          <w:sz w:val="24"/>
          <w:szCs w:val="24"/>
          <w:highlight w:val="none"/>
          <w:u w:val="single"/>
          <w:lang w:val="zh-CN"/>
        </w:rPr>
        <w:t>小组认为其有可能影响商品质量和不能诚信履约的</w:t>
      </w:r>
      <w:r>
        <w:rPr>
          <w:rFonts w:hint="eastAsia" w:ascii="宋体" w:hAnsi="宋体" w:eastAsia="宋体" w:cs="宋体"/>
          <w:b/>
          <w:bCs/>
          <w:color w:val="auto"/>
          <w:sz w:val="24"/>
          <w:szCs w:val="24"/>
          <w:highlight w:val="none"/>
          <w:u w:val="single"/>
        </w:rPr>
        <w:t>作</w:t>
      </w:r>
      <w:r>
        <w:rPr>
          <w:rFonts w:hint="eastAsia" w:ascii="宋体" w:hAnsi="宋体" w:eastAsia="宋体" w:cs="宋体"/>
          <w:b/>
          <w:bCs/>
          <w:color w:val="auto"/>
          <w:sz w:val="24"/>
          <w:szCs w:val="24"/>
          <w:highlight w:val="none"/>
          <w:u w:val="single"/>
          <w:lang w:val="zh-CN"/>
        </w:rPr>
        <w:t>无效标处理。</w:t>
      </w:r>
      <w:r>
        <w:rPr>
          <w:rFonts w:hint="eastAsia" w:ascii="宋体" w:hAnsi="宋体" w:eastAsia="宋体" w:cs="宋体"/>
          <w:b/>
          <w:bCs/>
          <w:color w:val="auto"/>
          <w:sz w:val="24"/>
          <w:szCs w:val="24"/>
          <w:highlight w:val="none"/>
          <w:u w:val="single"/>
        </w:rPr>
        <w:t>同时采购人或采购代理机构将该情况报同级财政部门，并视情将其列入不良供应商名单。</w:t>
      </w:r>
    </w:p>
    <w:p w14:paraId="64DC1185">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480" w:leftChars="0" w:right="85"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（四）政府采购政策及优惠：</w:t>
      </w:r>
    </w:p>
    <w:p w14:paraId="1ACC0873">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根据【关于印发《政府采购促进中小企业发展管理办法》的通知</w:t>
      </w:r>
      <w:r>
        <w:rPr>
          <w:rFonts w:hint="eastAsia" w:ascii="宋体" w:hAnsi="宋体" w:eastAsia="宋体" w:cs="宋体"/>
          <w:b w:val="0"/>
          <w:bCs/>
          <w:color w:val="auto"/>
          <w:sz w:val="24"/>
          <w:szCs w:val="24"/>
          <w:highlight w:val="none"/>
        </w:rPr>
        <w:t>【财库（2020）46号】</w:t>
      </w:r>
      <w:r>
        <w:rPr>
          <w:rFonts w:hint="eastAsia" w:ascii="宋体" w:hAnsi="宋体" w:eastAsia="宋体" w:cs="宋体"/>
          <w:color w:val="auto"/>
          <w:sz w:val="24"/>
          <w:szCs w:val="24"/>
          <w:highlight w:val="none"/>
          <w:lang w:val="zh-CN"/>
        </w:rPr>
        <w:t>】的相关规定：</w:t>
      </w:r>
    </w:p>
    <w:p w14:paraId="04094A5A">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b/>
          <w:bCs/>
          <w:color w:val="FF0000"/>
          <w:sz w:val="24"/>
          <w:szCs w:val="24"/>
          <w:highlight w:val="none"/>
          <w:lang w:val="zh-CN"/>
        </w:rPr>
        <w:t>对于非专门面向中小企业采购的项目，在评审时对小型和微型企业报价给予</w:t>
      </w:r>
      <w:r>
        <w:rPr>
          <w:rFonts w:hint="eastAsia" w:ascii="宋体" w:hAnsi="宋体" w:eastAsia="宋体" w:cs="宋体"/>
          <w:b/>
          <w:bCs/>
          <w:color w:val="FF0000"/>
          <w:sz w:val="24"/>
          <w:szCs w:val="24"/>
          <w:highlight w:val="none"/>
          <w:lang w:val="en-US" w:eastAsia="zh-CN"/>
        </w:rPr>
        <w:t>10</w:t>
      </w:r>
      <w:r>
        <w:rPr>
          <w:rFonts w:hint="eastAsia" w:ascii="宋体" w:hAnsi="宋体" w:eastAsia="宋体" w:cs="宋体"/>
          <w:b/>
          <w:bCs/>
          <w:color w:val="FF0000"/>
          <w:sz w:val="24"/>
          <w:szCs w:val="24"/>
          <w:highlight w:val="none"/>
          <w:lang w:val="zh-CN"/>
        </w:rPr>
        <w:t>%（工程项目为5%）的扣除，用扣除后的价格参加评审。</w:t>
      </w:r>
      <w:r>
        <w:rPr>
          <w:rFonts w:hint="eastAsia" w:ascii="宋体" w:hAnsi="宋体" w:eastAsia="宋体" w:cs="宋体"/>
          <w:color w:val="auto"/>
          <w:sz w:val="24"/>
          <w:szCs w:val="24"/>
          <w:highlight w:val="none"/>
          <w:lang w:val="zh-CN"/>
        </w:rPr>
        <w:t>适用招标投标法的政府采购工程建设项目，采用综合评估法但未采用低价优先法计算价格分的，评标时应当在采用原报价进行评分的基础上增加其价格得分的5%作为其价格分。</w:t>
      </w:r>
    </w:p>
    <w:p w14:paraId="57634EC6">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工程项目为2%）的扣除，用扣除后的价格参加评审。</w:t>
      </w:r>
    </w:p>
    <w:p w14:paraId="629B5749">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3.中小企业参加政府采购活动，应当出具本办法规定的《中小企业声明函》，否则不得享受相关中小企业扶持政策。任何单位和个人不得要求供应商提供《中小企业声明函》之外的中小企业身份证明文件。</w:t>
      </w:r>
    </w:p>
    <w:p w14:paraId="4D35E8B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）根据</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zh-CN"/>
        </w:rPr>
        <w:t>财库[2017]141号</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的相关规定：在政府采购活动中，残疾人福利性单位视同小型、微型企业，享受评审中价格扣除政策。属于享受政府采购支持政策的残疾人福利性单位，应满足</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财库[2017]141号</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文件第一条的规定，并在投标文件中提供残疾人福利性单位声明函（见附件相关规定）。</w:t>
      </w:r>
    </w:p>
    <w:p w14:paraId="5C77ED99">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）根据</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财库[2014]68号</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zh-CN"/>
        </w:rPr>
        <w:t>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BDCC1E9">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上述内容详见附件相关规定。</w:t>
      </w:r>
    </w:p>
    <w:p w14:paraId="680B33D8">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b/>
          <w:bCs/>
          <w:color w:val="FF0000"/>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eastAsia="宋体" w:cs="宋体"/>
          <w:b/>
          <w:bCs/>
          <w:color w:val="FF0000"/>
          <w:sz w:val="24"/>
          <w:szCs w:val="24"/>
          <w:highlight w:val="none"/>
          <w:lang w:val="zh-CN"/>
        </w:rPr>
        <w:t>本项目相关情况及执行的政策：</w:t>
      </w:r>
    </w:p>
    <w:p w14:paraId="681B583F">
      <w:pPr>
        <w:keepNext w:val="0"/>
        <w:keepLines w:val="0"/>
        <w:pageBreakBefore w:val="0"/>
        <w:widowControl/>
        <w:kinsoku/>
        <w:wordWrap/>
        <w:overflowPunct/>
        <w:topLinePunct w:val="0"/>
        <w:autoSpaceDE w:val="0"/>
        <w:autoSpaceDN w:val="0"/>
        <w:bidi w:val="0"/>
        <w:adjustRightInd w:val="0"/>
        <w:snapToGrid/>
        <w:spacing w:line="360" w:lineRule="auto"/>
        <w:ind w:right="85" w:firstLine="482" w:firstLineChars="200"/>
        <w:textAlignment w:val="auto"/>
        <w:rPr>
          <w:rFonts w:hint="eastAsia" w:ascii="宋体" w:hAnsi="宋体" w:eastAsia="宋体" w:cs="宋体"/>
          <w:b/>
          <w:bCs/>
          <w:color w:val="FF0000"/>
          <w:sz w:val="24"/>
          <w:szCs w:val="24"/>
          <w:highlight w:val="none"/>
          <w:lang w:val="zh-CN" w:eastAsia="zh-CN"/>
        </w:rPr>
      </w:pPr>
      <w:r>
        <w:rPr>
          <w:rFonts w:hint="eastAsia" w:ascii="宋体" w:hAnsi="宋体" w:eastAsia="宋体" w:cs="宋体"/>
          <w:b/>
          <w:bCs/>
          <w:color w:val="FF0000"/>
          <w:sz w:val="24"/>
          <w:szCs w:val="24"/>
          <w:highlight w:val="none"/>
          <w:lang w:val="zh-CN" w:eastAsia="zh-CN"/>
        </w:rPr>
        <w:t>本项目</w:t>
      </w:r>
      <w:r>
        <w:rPr>
          <w:rFonts w:hint="eastAsia" w:ascii="宋体" w:hAnsi="宋体" w:cs="宋体"/>
          <w:b/>
          <w:bCs/>
          <w:color w:val="FF0000"/>
          <w:sz w:val="24"/>
          <w:szCs w:val="24"/>
          <w:highlight w:val="none"/>
          <w:lang w:val="zh-CN" w:eastAsia="zh-CN"/>
        </w:rPr>
        <w:t>为非</w:t>
      </w:r>
      <w:r>
        <w:rPr>
          <w:rFonts w:hint="eastAsia" w:ascii="宋体" w:hAnsi="宋体" w:eastAsia="宋体" w:cs="宋体"/>
          <w:b/>
          <w:bCs/>
          <w:color w:val="FF0000"/>
          <w:sz w:val="24"/>
          <w:szCs w:val="24"/>
          <w:highlight w:val="none"/>
          <w:lang w:val="zh-CN" w:eastAsia="zh-CN"/>
        </w:rPr>
        <w:t>专门面向中小企业采购项目，执行价格评审优惠的扶持政策。</w:t>
      </w:r>
    </w:p>
    <w:p w14:paraId="5F827817">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）节能产品、环境标志产品的强制采购政策</w:t>
      </w:r>
    </w:p>
    <w:p w14:paraId="4F732170">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71F141C1">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Chars="0" w:right="85"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）节能产品、环境标志产品的优先采购政策</w:t>
      </w:r>
    </w:p>
    <w:p w14:paraId="4F42A6E9">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0331EE8B">
      <w:pPr>
        <w:keepNext w:val="0"/>
        <w:keepLines w:val="0"/>
        <w:pageBreakBefore w:val="0"/>
        <w:widowControl/>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注：得分</w:t>
      </w:r>
      <w:r>
        <w:rPr>
          <w:rFonts w:hint="eastAsia" w:ascii="宋体" w:hAnsi="宋体" w:cs="宋体"/>
          <w:color w:val="auto"/>
          <w:sz w:val="24"/>
          <w:szCs w:val="24"/>
          <w:highlight w:val="none"/>
          <w:lang w:val="zh-CN"/>
        </w:rPr>
        <w:t>小数点后</w:t>
      </w:r>
      <w:r>
        <w:rPr>
          <w:rFonts w:hint="eastAsia" w:ascii="宋体" w:hAnsi="宋体" w:eastAsia="宋体" w:cs="宋体"/>
          <w:color w:val="auto"/>
          <w:sz w:val="24"/>
          <w:szCs w:val="24"/>
          <w:highlight w:val="none"/>
          <w:lang w:val="zh-CN"/>
        </w:rPr>
        <w:t>保留2位。</w:t>
      </w:r>
    </w:p>
    <w:p w14:paraId="61D0AF0D">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三）在最大限度地满足磋商文件实质性要求前提下，</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zh-CN"/>
        </w:rPr>
        <w:t>按照磋商文件中规定的各项因素进行综合评审后，以评审总得分最高的供应商为第一成交候选供应商，总得分次高的为第二成交候选供应商，总得分第三高的为第三成交候选供应商。</w:t>
      </w:r>
    </w:p>
    <w:p w14:paraId="232A291C">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四）如</w:t>
      </w:r>
      <w:r>
        <w:rPr>
          <w:rFonts w:hint="eastAsia" w:ascii="宋体" w:hAnsi="宋体" w:cs="宋体"/>
          <w:color w:val="auto"/>
          <w:sz w:val="24"/>
          <w:szCs w:val="24"/>
          <w:highlight w:val="none"/>
          <w:lang w:val="zh-CN"/>
        </w:rPr>
        <w:t>评审总</w:t>
      </w:r>
      <w:r>
        <w:rPr>
          <w:rFonts w:hint="eastAsia" w:ascii="宋体" w:hAnsi="宋体" w:eastAsia="宋体" w:cs="宋体"/>
          <w:color w:val="auto"/>
          <w:sz w:val="24"/>
          <w:szCs w:val="24"/>
          <w:highlight w:val="none"/>
          <w:lang w:val="zh-CN"/>
        </w:rPr>
        <w:t>得分相同，最后报价低者为先；如</w:t>
      </w:r>
      <w:r>
        <w:rPr>
          <w:rFonts w:hint="eastAsia" w:ascii="宋体" w:hAnsi="宋体" w:cs="宋体"/>
          <w:color w:val="auto"/>
          <w:sz w:val="24"/>
          <w:szCs w:val="24"/>
          <w:highlight w:val="none"/>
          <w:lang w:val="zh-CN"/>
        </w:rPr>
        <w:t>评审总</w:t>
      </w:r>
      <w:r>
        <w:rPr>
          <w:rFonts w:hint="eastAsia" w:ascii="宋体" w:hAnsi="宋体" w:eastAsia="宋体" w:cs="宋体"/>
          <w:color w:val="auto"/>
          <w:sz w:val="24"/>
          <w:szCs w:val="24"/>
          <w:highlight w:val="none"/>
          <w:lang w:val="zh-CN"/>
        </w:rPr>
        <w:t>得分且最后报价相同的，服务类采购项目以</w:t>
      </w:r>
      <w:r>
        <w:rPr>
          <w:rFonts w:hint="eastAsia" w:ascii="宋体" w:hAnsi="宋体" w:cs="宋体"/>
          <w:color w:val="auto"/>
          <w:sz w:val="24"/>
          <w:szCs w:val="24"/>
          <w:highlight w:val="none"/>
          <w:lang w:val="zh-CN"/>
        </w:rPr>
        <w:t>技术分</w:t>
      </w:r>
      <w:r>
        <w:rPr>
          <w:rFonts w:hint="eastAsia" w:ascii="宋体" w:hAnsi="宋体" w:eastAsia="宋体" w:cs="宋体"/>
          <w:color w:val="auto"/>
          <w:sz w:val="24"/>
          <w:szCs w:val="24"/>
          <w:highlight w:val="none"/>
          <w:lang w:val="zh-CN"/>
        </w:rPr>
        <w:t>较高者为先。</w:t>
      </w:r>
    </w:p>
    <w:p w14:paraId="653158FB">
      <w:pPr>
        <w:snapToGrid w:val="0"/>
        <w:spacing w:line="360" w:lineRule="auto"/>
        <w:jc w:val="both"/>
        <w:rPr>
          <w:rFonts w:hint="eastAsia" w:ascii="宋体" w:hAnsi="宋体" w:eastAsia="宋体" w:cs="宋体"/>
          <w:b/>
          <w:sz w:val="28"/>
          <w:szCs w:val="28"/>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本次磋商技术分评分具体分值细化条款如下表：</w:t>
      </w:r>
    </w:p>
    <w:tbl>
      <w:tblPr>
        <w:tblStyle w:val="38"/>
        <w:tblpPr w:leftFromText="180" w:rightFromText="180" w:vertAnchor="text" w:tblpXSpec="right" w:tblpY="1"/>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708"/>
        <w:gridCol w:w="6841"/>
        <w:gridCol w:w="624"/>
      </w:tblGrid>
      <w:tr w14:paraId="3282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8" w:type="pct"/>
            <w:gridSpan w:val="2"/>
            <w:vAlign w:val="center"/>
          </w:tcPr>
          <w:p w14:paraId="0830C52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bookmarkStart w:id="78" w:name="_Toc10691"/>
            <w:bookmarkEnd w:id="78"/>
            <w:bookmarkStart w:id="79" w:name="_Toc25321"/>
            <w:bookmarkEnd w:id="79"/>
            <w:bookmarkStart w:id="80" w:name="_Toc15212"/>
            <w:bookmarkEnd w:id="80"/>
            <w:bookmarkStart w:id="81" w:name="_Toc5649"/>
            <w:bookmarkEnd w:id="81"/>
            <w:r>
              <w:rPr>
                <w:rFonts w:hint="eastAsia" w:ascii="宋体" w:hAnsi="宋体" w:eastAsia="宋体" w:cs="宋体"/>
                <w:sz w:val="24"/>
                <w:szCs w:val="24"/>
              </w:rPr>
              <w:t>评标因素</w:t>
            </w:r>
          </w:p>
        </w:tc>
        <w:tc>
          <w:tcPr>
            <w:tcW w:w="3740" w:type="pct"/>
            <w:vAlign w:val="center"/>
          </w:tcPr>
          <w:p w14:paraId="5A2C3A4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评分标准</w:t>
            </w:r>
          </w:p>
        </w:tc>
        <w:tc>
          <w:tcPr>
            <w:tcW w:w="341" w:type="pct"/>
            <w:vAlign w:val="center"/>
          </w:tcPr>
          <w:p w14:paraId="177D02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分值</w:t>
            </w:r>
          </w:p>
        </w:tc>
      </w:tr>
      <w:tr w14:paraId="2823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31" w:type="pct"/>
            <w:vMerge w:val="restart"/>
            <w:vAlign w:val="center"/>
          </w:tcPr>
          <w:p w14:paraId="22FFF07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商务</w:t>
            </w:r>
            <w:r>
              <w:rPr>
                <w:rFonts w:hint="eastAsia" w:ascii="宋体" w:hAnsi="宋体" w:eastAsia="宋体" w:cs="宋体"/>
                <w:sz w:val="24"/>
                <w:szCs w:val="24"/>
                <w:lang w:val="en-US" w:eastAsia="zh-CN"/>
              </w:rPr>
              <w:t>分</w:t>
            </w:r>
          </w:p>
          <w:p w14:paraId="2CFCDD5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22分</w:t>
            </w:r>
            <w:r>
              <w:rPr>
                <w:rFonts w:hint="eastAsia" w:ascii="宋体" w:hAnsi="宋体" w:eastAsia="宋体" w:cs="宋体"/>
                <w:sz w:val="24"/>
                <w:szCs w:val="24"/>
                <w:lang w:eastAsia="zh-CN"/>
              </w:rPr>
              <w:t>）</w:t>
            </w:r>
          </w:p>
        </w:tc>
        <w:tc>
          <w:tcPr>
            <w:tcW w:w="387" w:type="pct"/>
            <w:vAlign w:val="center"/>
          </w:tcPr>
          <w:p w14:paraId="25F1BEF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承接经验</w:t>
            </w:r>
          </w:p>
        </w:tc>
        <w:tc>
          <w:tcPr>
            <w:tcW w:w="3740" w:type="pct"/>
            <w:vAlign w:val="center"/>
          </w:tcPr>
          <w:p w14:paraId="3AAA024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投标人自2023年1月1日以来（以合同签订时间为准），承接过或仍在执行类似监测运行维护服务项目，每提供一份合同得0.5分，最高得2分。</w:t>
            </w:r>
          </w:p>
          <w:p w14:paraId="2ABC78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须</w:t>
            </w:r>
            <w:r>
              <w:rPr>
                <w:rFonts w:hint="eastAsia" w:ascii="宋体" w:hAnsi="宋体" w:eastAsia="宋体" w:cs="宋体"/>
                <w:b/>
                <w:bCs/>
                <w:sz w:val="24"/>
                <w:szCs w:val="24"/>
              </w:rPr>
              <w:t>提供有效的合同扫描件加盖</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公章编入投标文件中，</w:t>
            </w:r>
            <w:r>
              <w:rPr>
                <w:rFonts w:hint="eastAsia" w:ascii="宋体" w:hAnsi="宋体" w:eastAsia="宋体" w:cs="宋体"/>
                <w:b/>
                <w:bCs/>
                <w:sz w:val="24"/>
                <w:szCs w:val="24"/>
                <w:lang w:val="en-US" w:eastAsia="zh-CN"/>
              </w:rPr>
              <w:t>未提供的</w:t>
            </w:r>
            <w:r>
              <w:rPr>
                <w:rFonts w:hint="eastAsia" w:ascii="宋体" w:hAnsi="宋体" w:eastAsia="宋体" w:cs="宋体"/>
                <w:b/>
                <w:bCs/>
                <w:sz w:val="24"/>
                <w:szCs w:val="24"/>
              </w:rPr>
              <w:t>不得分）</w:t>
            </w:r>
          </w:p>
        </w:tc>
        <w:tc>
          <w:tcPr>
            <w:tcW w:w="341" w:type="pct"/>
            <w:vAlign w:val="center"/>
          </w:tcPr>
          <w:p w14:paraId="2B4D0A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0783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531" w:type="pct"/>
            <w:vMerge w:val="continue"/>
            <w:vAlign w:val="center"/>
          </w:tcPr>
          <w:p w14:paraId="7552863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lang w:eastAsia="zh-CN"/>
              </w:rPr>
            </w:pPr>
          </w:p>
        </w:tc>
        <w:tc>
          <w:tcPr>
            <w:tcW w:w="387" w:type="pct"/>
            <w:vAlign w:val="center"/>
          </w:tcPr>
          <w:p w14:paraId="5186A9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投标人综合能力</w:t>
            </w:r>
          </w:p>
        </w:tc>
        <w:tc>
          <w:tcPr>
            <w:tcW w:w="3740" w:type="pct"/>
            <w:vAlign w:val="center"/>
          </w:tcPr>
          <w:p w14:paraId="477DF3A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具有</w:t>
            </w:r>
            <w:r>
              <w:rPr>
                <w:rFonts w:hint="eastAsia" w:ascii="宋体" w:hAnsi="宋体" w:eastAsia="宋体" w:cs="宋体"/>
                <w:sz w:val="24"/>
                <w:szCs w:val="24"/>
                <w:lang w:val="en-US" w:eastAsia="zh-CN"/>
              </w:rPr>
              <w:t>有效期内的信息技术服务管理体系、信息技术服务标准符合性（运行维护）证书、信息安全管理体系认证证书</w:t>
            </w:r>
            <w:r>
              <w:rPr>
                <w:rFonts w:hint="eastAsia" w:ascii="宋体" w:hAnsi="宋体" w:eastAsia="宋体" w:cs="宋体"/>
                <w:sz w:val="24"/>
                <w:szCs w:val="24"/>
              </w:rPr>
              <w:t>，每提供一份得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val="en-US" w:eastAsia="zh-CN"/>
              </w:rPr>
              <w:t>。最高得6分。</w:t>
            </w:r>
          </w:p>
          <w:p w14:paraId="5792D066">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须</w:t>
            </w:r>
            <w:r>
              <w:rPr>
                <w:rFonts w:hint="eastAsia" w:ascii="宋体" w:hAnsi="宋体" w:eastAsia="宋体" w:cs="宋体"/>
                <w:b/>
                <w:bCs/>
                <w:sz w:val="24"/>
                <w:szCs w:val="24"/>
              </w:rPr>
              <w:t>提供有效的</w:t>
            </w:r>
            <w:r>
              <w:rPr>
                <w:rFonts w:hint="eastAsia" w:ascii="宋体" w:hAnsi="宋体" w:eastAsia="宋体" w:cs="宋体"/>
                <w:b/>
                <w:bCs/>
                <w:sz w:val="24"/>
                <w:szCs w:val="24"/>
                <w:lang w:val="en-US" w:eastAsia="zh-CN"/>
              </w:rPr>
              <w:t>认证</w:t>
            </w:r>
            <w:r>
              <w:rPr>
                <w:rFonts w:hint="eastAsia" w:ascii="宋体" w:hAnsi="宋体" w:eastAsia="宋体" w:cs="宋体"/>
                <w:b/>
                <w:bCs/>
                <w:sz w:val="24"/>
                <w:szCs w:val="24"/>
              </w:rPr>
              <w:t>证书</w:t>
            </w:r>
            <w:r>
              <w:rPr>
                <w:rFonts w:hint="eastAsia" w:ascii="宋体" w:hAnsi="宋体" w:eastAsia="宋体" w:cs="宋体"/>
                <w:b/>
                <w:bCs/>
                <w:sz w:val="24"/>
                <w:szCs w:val="24"/>
                <w:lang w:val="en-US" w:eastAsia="zh-CN"/>
              </w:rPr>
              <w:t>扫描件</w:t>
            </w:r>
            <w:r>
              <w:rPr>
                <w:rFonts w:hint="eastAsia" w:ascii="宋体" w:hAnsi="宋体" w:eastAsia="宋体" w:cs="宋体"/>
                <w:b/>
                <w:bCs/>
                <w:sz w:val="24"/>
                <w:szCs w:val="24"/>
              </w:rPr>
              <w:t>加盖</w:t>
            </w: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公章编入投标文件中，</w:t>
            </w:r>
            <w:r>
              <w:rPr>
                <w:rFonts w:hint="eastAsia" w:ascii="宋体" w:hAnsi="宋体" w:eastAsia="宋体" w:cs="宋体"/>
                <w:b/>
                <w:bCs/>
                <w:sz w:val="24"/>
                <w:szCs w:val="24"/>
                <w:lang w:val="en-US" w:eastAsia="zh-CN"/>
              </w:rPr>
              <w:t>未提供或提供不全的</w:t>
            </w:r>
            <w:r>
              <w:rPr>
                <w:rFonts w:hint="eastAsia" w:ascii="宋体" w:hAnsi="宋体" w:eastAsia="宋体" w:cs="宋体"/>
                <w:b/>
                <w:bCs/>
                <w:sz w:val="24"/>
                <w:szCs w:val="24"/>
              </w:rPr>
              <w:t>不得分</w:t>
            </w:r>
            <w:r>
              <w:rPr>
                <w:rFonts w:hint="eastAsia" w:ascii="宋体" w:hAnsi="宋体" w:eastAsia="宋体" w:cs="宋体"/>
                <w:b/>
                <w:bCs/>
                <w:sz w:val="24"/>
                <w:szCs w:val="24"/>
                <w:lang w:eastAsia="zh-CN"/>
              </w:rPr>
              <w:t>）</w:t>
            </w:r>
          </w:p>
        </w:tc>
        <w:tc>
          <w:tcPr>
            <w:tcW w:w="341" w:type="pct"/>
            <w:vAlign w:val="center"/>
          </w:tcPr>
          <w:p w14:paraId="124177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14:paraId="0BC9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31" w:type="pct"/>
            <w:vMerge w:val="restart"/>
            <w:vAlign w:val="center"/>
          </w:tcPr>
          <w:p w14:paraId="4D17673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05FF746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0E025C4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05EBF74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4BBD2D2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537C586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524FBFB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7C256D0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301A68A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4925290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148CDA8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p w14:paraId="29F817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技术分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58分</w:t>
            </w:r>
            <w:r>
              <w:rPr>
                <w:rFonts w:hint="eastAsia" w:ascii="宋体" w:hAnsi="宋体" w:eastAsia="宋体" w:cs="宋体"/>
                <w:sz w:val="24"/>
                <w:szCs w:val="24"/>
                <w:lang w:eastAsia="zh-CN"/>
              </w:rPr>
              <w:t>）</w:t>
            </w:r>
          </w:p>
          <w:p w14:paraId="06ED7D4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Align w:val="center"/>
          </w:tcPr>
          <w:p w14:paraId="6898D98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w:t>
            </w:r>
          </w:p>
        </w:tc>
        <w:tc>
          <w:tcPr>
            <w:tcW w:w="3740" w:type="pct"/>
            <w:vAlign w:val="center"/>
          </w:tcPr>
          <w:p w14:paraId="0861282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1、具有环保类高级工程师（含副高）及以上职称的得4分，环保类中级工程师职称的得2分，没有则不得分；</w:t>
            </w:r>
          </w:p>
          <w:p w14:paraId="325BFF6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2、具有中国环境监测总站颁发噪声培训合格证书的得2分，没有则不得分；</w:t>
            </w:r>
          </w:p>
          <w:p w14:paraId="4E16506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3、具有应急管理部门颁发的电工作业类证书的得2分，没有则不得分；</w:t>
            </w:r>
          </w:p>
          <w:p w14:paraId="7FB3CCF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本项最高得8分。</w:t>
            </w:r>
          </w:p>
          <w:p w14:paraId="5888EC77">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（须提供相关证书和项目及技术负责人在投标单位近6个月的社保证明扫描件加盖投标人公章编入投标文件中，未提供或提供不全的不得分）</w:t>
            </w:r>
          </w:p>
        </w:tc>
        <w:tc>
          <w:tcPr>
            <w:tcW w:w="341" w:type="pct"/>
            <w:vAlign w:val="center"/>
          </w:tcPr>
          <w:p w14:paraId="6789CD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4414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531" w:type="pct"/>
            <w:vMerge w:val="continue"/>
            <w:vAlign w:val="center"/>
          </w:tcPr>
          <w:p w14:paraId="700D758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Align w:val="center"/>
          </w:tcPr>
          <w:p w14:paraId="7D4ADC0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拟投入项目成员</w:t>
            </w:r>
          </w:p>
        </w:tc>
        <w:tc>
          <w:tcPr>
            <w:tcW w:w="3740" w:type="pct"/>
            <w:vAlign w:val="center"/>
          </w:tcPr>
          <w:p w14:paraId="1B02EB0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拟派</w:t>
            </w:r>
            <w:r>
              <w:rPr>
                <w:rFonts w:hint="eastAsia" w:ascii="宋体" w:hAnsi="宋体" w:eastAsia="宋体" w:cs="宋体"/>
                <w:sz w:val="24"/>
                <w:szCs w:val="24"/>
                <w:lang w:val="en-US" w:eastAsia="zh-CN"/>
              </w:rPr>
              <w:t>本</w:t>
            </w:r>
            <w:r>
              <w:rPr>
                <w:rFonts w:hint="eastAsia" w:ascii="宋体" w:hAnsi="宋体" w:eastAsia="宋体" w:cs="宋体"/>
                <w:sz w:val="24"/>
                <w:szCs w:val="24"/>
              </w:rPr>
              <w:t>项目</w:t>
            </w:r>
            <w:r>
              <w:rPr>
                <w:rFonts w:hint="eastAsia" w:ascii="宋体" w:hAnsi="宋体" w:eastAsia="宋体" w:cs="宋体"/>
                <w:sz w:val="24"/>
                <w:szCs w:val="24"/>
                <w:lang w:val="en-US" w:eastAsia="zh-CN"/>
              </w:rPr>
              <w:t>的</w:t>
            </w:r>
            <w:r>
              <w:rPr>
                <w:rFonts w:hint="eastAsia" w:ascii="宋体" w:hAnsi="宋体" w:eastAsia="宋体" w:cs="宋体"/>
                <w:sz w:val="24"/>
                <w:szCs w:val="24"/>
              </w:rPr>
              <w:t>项目组成员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项目负责人除外</w:t>
            </w:r>
            <w:r>
              <w:rPr>
                <w:rFonts w:hint="eastAsia" w:ascii="宋体" w:hAnsi="宋体" w:eastAsia="宋体" w:cs="宋体"/>
                <w:sz w:val="24"/>
                <w:szCs w:val="24"/>
                <w:lang w:eastAsia="zh-CN"/>
              </w:rPr>
              <w:t>）：</w:t>
            </w:r>
          </w:p>
          <w:p w14:paraId="351DE3A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1、具有环保类中级及以上工程师职称且具有中国环境监测总站颁发噪声培训合格证书的，每个得2分，最高得4分；</w:t>
            </w:r>
          </w:p>
          <w:p w14:paraId="3EE81C8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2、具有电子信息、电器或环保类中级及以上工程师职称且具有应急管理部门颁发的电工作业类证书的，每个得2分，最高得4分；</w:t>
            </w:r>
          </w:p>
          <w:p w14:paraId="6E043C2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3.拥有环保类中级及以上工程师职称且同时具有《自动监测数据有效性审核》上岗证的得2分，没有则不得分；</w:t>
            </w:r>
          </w:p>
          <w:p w14:paraId="21395C4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本项最高得10分。</w:t>
            </w:r>
          </w:p>
          <w:p w14:paraId="12B1736A">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（须提供相关证书的扫描件以及相关人员在投标单位近6个月的社保缴纳证明复印件加盖投标人公章编入投标文件中，未提供或提供不全的不得分）</w:t>
            </w:r>
          </w:p>
        </w:tc>
        <w:tc>
          <w:tcPr>
            <w:tcW w:w="341" w:type="pct"/>
            <w:vAlign w:val="center"/>
          </w:tcPr>
          <w:p w14:paraId="089A32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50CF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pct"/>
            <w:vMerge w:val="continue"/>
            <w:vAlign w:val="center"/>
          </w:tcPr>
          <w:p w14:paraId="4BC22C7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Align w:val="center"/>
          </w:tcPr>
          <w:p w14:paraId="357687A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对本项熟悉程度、理解和关键点分析</w:t>
            </w:r>
          </w:p>
        </w:tc>
        <w:tc>
          <w:tcPr>
            <w:tcW w:w="3740" w:type="pct"/>
            <w:vAlign w:val="center"/>
          </w:tcPr>
          <w:p w14:paraId="040A428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投标单位针对用户需求理解是否准确、全面、重难点把握等情况进行综合评价，技术方案成熟度总体评判，能够熟悉现场情况、了解现场</w:t>
            </w:r>
            <w:r>
              <w:rPr>
                <w:rFonts w:hint="eastAsia" w:ascii="宋体" w:hAnsi="宋体" w:eastAsia="宋体" w:cs="宋体"/>
                <w:sz w:val="24"/>
                <w:szCs w:val="24"/>
                <w:lang w:val="en-US" w:eastAsia="zh-CN"/>
              </w:rPr>
              <w:t>安装建设及</w:t>
            </w:r>
            <w:r>
              <w:rPr>
                <w:rFonts w:hint="eastAsia" w:ascii="宋体" w:hAnsi="宋体" w:eastAsia="宋体" w:cs="宋体"/>
                <w:sz w:val="24"/>
                <w:szCs w:val="24"/>
              </w:rPr>
              <w:t>运维工作重难点，能够提供相关解决性设计方案、照片或图纸，进行酌情评分。</w:t>
            </w:r>
          </w:p>
          <w:p w14:paraId="280218D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对本项熟悉程度、目的理解和关键点</w:t>
            </w:r>
            <w:r>
              <w:rPr>
                <w:rFonts w:hint="eastAsia" w:ascii="宋体" w:hAnsi="宋体" w:eastAsia="宋体" w:cs="宋体"/>
                <w:sz w:val="24"/>
                <w:szCs w:val="24"/>
                <w:lang w:eastAsia="zh-CN"/>
              </w:rPr>
              <w:t>分析全面到位，理解透彻的</w:t>
            </w:r>
            <w:r>
              <w:rPr>
                <w:rFonts w:hint="eastAsia" w:ascii="宋体" w:hAnsi="宋体" w:eastAsia="宋体" w:cs="宋体"/>
                <w:sz w:val="24"/>
                <w:szCs w:val="24"/>
              </w:rPr>
              <w:t>得</w:t>
            </w:r>
            <w:r>
              <w:rPr>
                <w:rFonts w:hint="eastAsia" w:ascii="宋体" w:hAnsi="宋体" w:eastAsia="宋体" w:cs="宋体"/>
                <w:sz w:val="24"/>
                <w:szCs w:val="24"/>
                <w:lang w:val="en-US" w:eastAsia="zh-CN"/>
              </w:rPr>
              <w:t>4-6.0</w:t>
            </w:r>
            <w:r>
              <w:rPr>
                <w:rFonts w:hint="eastAsia" w:ascii="宋体" w:hAnsi="宋体" w:eastAsia="宋体" w:cs="宋体"/>
                <w:sz w:val="24"/>
                <w:szCs w:val="24"/>
              </w:rPr>
              <w:t>分；</w:t>
            </w:r>
          </w:p>
          <w:p w14:paraId="435622C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对本项熟悉程度、目的理解和关键点</w:t>
            </w:r>
            <w:r>
              <w:rPr>
                <w:rFonts w:hint="eastAsia" w:ascii="宋体" w:hAnsi="宋体" w:eastAsia="宋体" w:cs="宋体"/>
                <w:sz w:val="24"/>
                <w:szCs w:val="24"/>
                <w:lang w:eastAsia="zh-CN"/>
              </w:rPr>
              <w:t>分析欠到位，理解不够透彻的</w:t>
            </w:r>
            <w:r>
              <w:rPr>
                <w:rFonts w:hint="eastAsia" w:ascii="宋体" w:hAnsi="宋体" w:eastAsia="宋体" w:cs="宋体"/>
                <w:sz w:val="24"/>
                <w:szCs w:val="24"/>
              </w:rPr>
              <w:t>得</w:t>
            </w:r>
            <w:r>
              <w:rPr>
                <w:rFonts w:hint="eastAsia" w:ascii="宋体" w:hAnsi="宋体" w:eastAsia="宋体" w:cs="宋体"/>
                <w:sz w:val="24"/>
                <w:szCs w:val="24"/>
                <w:lang w:val="en-US" w:eastAsia="zh-CN"/>
              </w:rPr>
              <w:t>2.0-3.9</w:t>
            </w:r>
            <w:r>
              <w:rPr>
                <w:rFonts w:hint="eastAsia" w:ascii="宋体" w:hAnsi="宋体" w:eastAsia="宋体" w:cs="宋体"/>
                <w:sz w:val="24"/>
                <w:szCs w:val="24"/>
              </w:rPr>
              <w:t xml:space="preserve">分; </w:t>
            </w:r>
          </w:p>
          <w:p w14:paraId="79691F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对本项熟悉程度、目的理解和关键点</w:t>
            </w:r>
            <w:r>
              <w:rPr>
                <w:rFonts w:hint="eastAsia" w:ascii="宋体" w:hAnsi="宋体" w:eastAsia="宋体" w:cs="宋体"/>
                <w:sz w:val="24"/>
                <w:szCs w:val="24"/>
                <w:lang w:eastAsia="zh-CN"/>
              </w:rPr>
              <w:t>分析与理解差的</w:t>
            </w:r>
            <w:r>
              <w:rPr>
                <w:rFonts w:hint="eastAsia" w:ascii="宋体" w:hAnsi="宋体" w:eastAsia="宋体" w:cs="宋体"/>
                <w:sz w:val="24"/>
                <w:szCs w:val="24"/>
              </w:rPr>
              <w:t>得</w:t>
            </w:r>
            <w:r>
              <w:rPr>
                <w:rFonts w:hint="eastAsia" w:ascii="宋体" w:hAnsi="宋体" w:eastAsia="宋体" w:cs="宋体"/>
                <w:sz w:val="24"/>
                <w:szCs w:val="24"/>
                <w:lang w:val="en-US" w:eastAsia="zh-CN"/>
              </w:rPr>
              <w:t>0.1-1.9</w:t>
            </w:r>
            <w:r>
              <w:rPr>
                <w:rFonts w:hint="eastAsia" w:ascii="宋体" w:hAnsi="宋体" w:eastAsia="宋体" w:cs="宋体"/>
                <w:sz w:val="24"/>
                <w:szCs w:val="24"/>
              </w:rPr>
              <w:t>分</w:t>
            </w:r>
            <w:r>
              <w:rPr>
                <w:rFonts w:hint="eastAsia" w:ascii="宋体" w:hAnsi="宋体" w:eastAsia="宋体" w:cs="宋体"/>
                <w:sz w:val="24"/>
                <w:szCs w:val="24"/>
                <w:lang w:val="en-US" w:eastAsia="zh-CN"/>
              </w:rPr>
              <w:t>。</w:t>
            </w:r>
          </w:p>
          <w:p w14:paraId="7708E76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未提及此项不得分。</w:t>
            </w:r>
          </w:p>
        </w:tc>
        <w:tc>
          <w:tcPr>
            <w:tcW w:w="341" w:type="pct"/>
            <w:vAlign w:val="center"/>
          </w:tcPr>
          <w:p w14:paraId="5E7706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14:paraId="5F57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pct"/>
            <w:vMerge w:val="continue"/>
            <w:vAlign w:val="center"/>
          </w:tcPr>
          <w:p w14:paraId="233EDA0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shd w:val="clear" w:color="auto" w:fill="auto"/>
            <w:vAlign w:val="center"/>
          </w:tcPr>
          <w:p w14:paraId="04394F70">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比对校准设备</w:t>
            </w:r>
          </w:p>
        </w:tc>
        <w:tc>
          <w:tcPr>
            <w:tcW w:w="3740" w:type="pct"/>
            <w:shd w:val="clear" w:color="auto" w:fill="auto"/>
            <w:vAlign w:val="top"/>
          </w:tcPr>
          <w:p w14:paraId="29920C7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
              </w:rPr>
            </w:pPr>
            <w:r>
              <w:rPr>
                <w:rFonts w:hint="eastAsia" w:ascii="宋体" w:hAnsi="宋体" w:eastAsia="宋体" w:cs="宋体"/>
                <w:sz w:val="24"/>
                <w:szCs w:val="24"/>
                <w:lang w:val="en"/>
              </w:rPr>
              <w:t>投标人具有维护所必须的在检定期限范围内的声校准器或比对声级计的每一套得2分，最多得</w:t>
            </w:r>
            <w:r>
              <w:rPr>
                <w:rFonts w:hint="eastAsia" w:ascii="宋体" w:hAnsi="宋体" w:eastAsia="宋体" w:cs="宋体"/>
                <w:sz w:val="24"/>
                <w:szCs w:val="24"/>
                <w:lang w:val="en-US" w:eastAsia="zh-CN"/>
              </w:rPr>
              <w:t>4</w:t>
            </w:r>
            <w:r>
              <w:rPr>
                <w:rFonts w:hint="eastAsia" w:ascii="宋体" w:hAnsi="宋体" w:eastAsia="宋体" w:cs="宋体"/>
                <w:sz w:val="24"/>
                <w:szCs w:val="24"/>
                <w:lang w:val="en"/>
              </w:rPr>
              <w:t>分。</w:t>
            </w:r>
          </w:p>
          <w:p w14:paraId="6FB29E8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
              </w:rPr>
              <w:t>注：提供</w:t>
            </w:r>
            <w:r>
              <w:rPr>
                <w:rFonts w:hint="eastAsia" w:ascii="宋体" w:hAnsi="宋体" w:eastAsia="宋体" w:cs="宋体"/>
                <w:sz w:val="24"/>
                <w:szCs w:val="24"/>
                <w:lang w:val="en" w:eastAsia="zh-CN"/>
              </w:rPr>
              <w:t>检定</w:t>
            </w:r>
            <w:r>
              <w:rPr>
                <w:rFonts w:hint="eastAsia" w:ascii="宋体" w:hAnsi="宋体" w:eastAsia="宋体" w:cs="宋体"/>
                <w:sz w:val="24"/>
                <w:szCs w:val="24"/>
                <w:lang w:val="en-US" w:eastAsia="zh-CN"/>
              </w:rPr>
              <w:t>/校准</w:t>
            </w:r>
            <w:r>
              <w:rPr>
                <w:rFonts w:hint="eastAsia" w:ascii="宋体" w:hAnsi="宋体" w:eastAsia="宋体" w:cs="宋体"/>
                <w:sz w:val="24"/>
                <w:szCs w:val="24"/>
                <w:lang w:val="en"/>
              </w:rPr>
              <w:t>证书。</w:t>
            </w:r>
          </w:p>
        </w:tc>
        <w:tc>
          <w:tcPr>
            <w:tcW w:w="341" w:type="pct"/>
            <w:shd w:val="clear" w:color="auto" w:fill="auto"/>
            <w:vAlign w:val="center"/>
          </w:tcPr>
          <w:p w14:paraId="52894770">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p>
        </w:tc>
      </w:tr>
      <w:tr w14:paraId="70C7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531" w:type="pct"/>
            <w:vMerge w:val="continue"/>
            <w:vAlign w:val="center"/>
          </w:tcPr>
          <w:p w14:paraId="73AB230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Align w:val="center"/>
          </w:tcPr>
          <w:p w14:paraId="47B57EF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技术参数响应</w:t>
            </w:r>
          </w:p>
        </w:tc>
        <w:tc>
          <w:tcPr>
            <w:tcW w:w="3740" w:type="pct"/>
            <w:vAlign w:val="center"/>
          </w:tcPr>
          <w:p w14:paraId="11F06A9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主要技术指标满足招标文件要求的得10分，一般性技术指标每有一项负偏离的扣0.5分，带“</w:t>
            </w:r>
            <w:r>
              <w:rPr>
                <w:rFonts w:hint="eastAsia" w:ascii="宋体" w:hAnsi="宋体" w:eastAsia="宋体" w:cs="宋体"/>
                <w:color w:val="FF0000"/>
                <w:kern w:val="2"/>
                <w:sz w:val="24"/>
                <w:szCs w:val="21"/>
                <w:lang w:val="en-US" w:eastAsia="zh-CN" w:bidi="ar-SA"/>
              </w:rPr>
              <w:t>★</w:t>
            </w:r>
            <w:r>
              <w:rPr>
                <w:rFonts w:hint="eastAsia" w:ascii="宋体" w:hAnsi="宋体" w:eastAsia="宋体" w:cs="宋体"/>
                <w:sz w:val="24"/>
                <w:szCs w:val="24"/>
                <w:lang w:val="en-US" w:eastAsia="zh-CN"/>
              </w:rPr>
              <w:t>”的每有一项负偏离的扣1分，扣完为止。</w:t>
            </w:r>
          </w:p>
          <w:p w14:paraId="319EC55F">
            <w:pPr>
              <w:pStyle w:val="13"/>
              <w:ind w:left="0" w:leftChars="0" w:firstLine="0" w:firstLineChars="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（有要求提供计量检定部门出具的报告或相关证明材料的，投标人按要求提供，不提供或未按要求提供的视为负偏离）</w:t>
            </w:r>
          </w:p>
        </w:tc>
        <w:tc>
          <w:tcPr>
            <w:tcW w:w="341" w:type="pct"/>
            <w:vAlign w:val="center"/>
          </w:tcPr>
          <w:p w14:paraId="492B80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2689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531" w:type="pct"/>
            <w:vMerge w:val="continue"/>
            <w:vAlign w:val="center"/>
          </w:tcPr>
          <w:p w14:paraId="2BD80AB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Merge w:val="restart"/>
            <w:vAlign w:val="center"/>
          </w:tcPr>
          <w:p w14:paraId="1FF7452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工作实施方案</w:t>
            </w:r>
          </w:p>
        </w:tc>
        <w:tc>
          <w:tcPr>
            <w:tcW w:w="3740" w:type="pct"/>
            <w:vAlign w:val="center"/>
          </w:tcPr>
          <w:p w14:paraId="663AAE1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网络巡检工作方案：根据投标人提供的方案情况进行打分。</w:t>
            </w:r>
          </w:p>
          <w:p w14:paraId="082BE23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方案及实施计划科学合理、有效的得4.0-5.0分；</w:t>
            </w:r>
          </w:p>
          <w:p w14:paraId="67A0B13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方案较科学、可行性一般的得2.0-3.9分；</w:t>
            </w:r>
          </w:p>
          <w:p w14:paraId="57D3F7B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方案及计划片面不完整的得0.1-1.9分；</w:t>
            </w:r>
          </w:p>
          <w:p w14:paraId="006D218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未提及此项不得分。</w:t>
            </w:r>
          </w:p>
        </w:tc>
        <w:tc>
          <w:tcPr>
            <w:tcW w:w="341" w:type="pct"/>
            <w:vAlign w:val="center"/>
          </w:tcPr>
          <w:p w14:paraId="1ADBC14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172E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531" w:type="pct"/>
            <w:vMerge w:val="continue"/>
            <w:vAlign w:val="center"/>
          </w:tcPr>
          <w:p w14:paraId="0CC75C4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Merge w:val="continue"/>
            <w:vAlign w:val="center"/>
          </w:tcPr>
          <w:p w14:paraId="24B4E3D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740" w:type="pct"/>
            <w:vAlign w:val="center"/>
          </w:tcPr>
          <w:p w14:paraId="69C8609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噪声自动设备现场运维工作方案：根据投标人提供的方案情况进行打分。</w:t>
            </w:r>
          </w:p>
          <w:p w14:paraId="1E48673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方案及实施计划科学合理、有效的得4.0-5.0分；</w:t>
            </w:r>
          </w:p>
          <w:p w14:paraId="6E19585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方案较科学、可行性一般的得2.0-3.9分；</w:t>
            </w:r>
          </w:p>
          <w:p w14:paraId="3BE2AA0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方案及计划片面不完整的得0.1-1.9分；</w:t>
            </w:r>
          </w:p>
          <w:p w14:paraId="0BB715A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未提及此项不得分。</w:t>
            </w:r>
          </w:p>
        </w:tc>
        <w:tc>
          <w:tcPr>
            <w:tcW w:w="341" w:type="pct"/>
            <w:vAlign w:val="center"/>
          </w:tcPr>
          <w:p w14:paraId="28C200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7CD6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531" w:type="pct"/>
            <w:vMerge w:val="continue"/>
            <w:vAlign w:val="center"/>
          </w:tcPr>
          <w:p w14:paraId="04216C0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Merge w:val="continue"/>
            <w:vAlign w:val="center"/>
          </w:tcPr>
          <w:p w14:paraId="124C234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740" w:type="pct"/>
            <w:vAlign w:val="center"/>
          </w:tcPr>
          <w:p w14:paraId="6175539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质量控制保障方案：根据投标人提供的方案情况进行打分。</w:t>
            </w:r>
          </w:p>
          <w:p w14:paraId="75E77FB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方案及实施计划科学合理、有效的得4.0-5.0分；</w:t>
            </w:r>
          </w:p>
          <w:p w14:paraId="06EEB63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方案较科学、可行性一般的得2.0-3.9分；</w:t>
            </w:r>
          </w:p>
          <w:p w14:paraId="5876621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方案及计划片面不完整的得0.1-1.9分；</w:t>
            </w:r>
          </w:p>
          <w:p w14:paraId="32557F9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未提及此项不得分。</w:t>
            </w:r>
          </w:p>
        </w:tc>
        <w:tc>
          <w:tcPr>
            <w:tcW w:w="341" w:type="pct"/>
            <w:vAlign w:val="center"/>
          </w:tcPr>
          <w:p w14:paraId="3B2941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2FE0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31" w:type="pct"/>
            <w:vMerge w:val="continue"/>
            <w:vAlign w:val="center"/>
          </w:tcPr>
          <w:p w14:paraId="36D4248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Merge w:val="continue"/>
            <w:vAlign w:val="center"/>
          </w:tcPr>
          <w:p w14:paraId="080C19D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740" w:type="pct"/>
            <w:vAlign w:val="center"/>
          </w:tcPr>
          <w:p w14:paraId="723B9C5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有效数据判定工作方案：根据投标人提供的方案情况进行打分。</w:t>
            </w:r>
          </w:p>
          <w:p w14:paraId="510F9C3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方案及实施计划科学合理、有效的得4.0-5.0分；</w:t>
            </w:r>
          </w:p>
          <w:p w14:paraId="0F2A836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方案较科学、可行性一般的得2.0-3.9分；</w:t>
            </w:r>
          </w:p>
          <w:p w14:paraId="14D9372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方案及计划片面不完整的得0.1-1.9分；</w:t>
            </w:r>
          </w:p>
          <w:p w14:paraId="545AF23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未提及此项不得分。</w:t>
            </w:r>
          </w:p>
        </w:tc>
        <w:tc>
          <w:tcPr>
            <w:tcW w:w="341" w:type="pct"/>
            <w:vAlign w:val="center"/>
          </w:tcPr>
          <w:p w14:paraId="72280B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02B9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531" w:type="pct"/>
            <w:vMerge w:val="continue"/>
            <w:vAlign w:val="center"/>
          </w:tcPr>
          <w:p w14:paraId="32DB687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Merge w:val="continue"/>
            <w:vAlign w:val="center"/>
          </w:tcPr>
          <w:p w14:paraId="25DE245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740" w:type="pct"/>
            <w:vAlign w:val="center"/>
          </w:tcPr>
          <w:p w14:paraId="45ADEF4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相关管理制度：根据投标人提供的相关管理制度情况进行打分。</w:t>
            </w:r>
          </w:p>
          <w:p w14:paraId="51DB772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相关管理制度科学合理、有效的得3.0-4.0分；</w:t>
            </w:r>
          </w:p>
          <w:p w14:paraId="2BB7588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制度可行性一般的得1.0-2.9分；</w:t>
            </w:r>
          </w:p>
          <w:p w14:paraId="2801583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制度可行性不高的得0.1-0.9分；</w:t>
            </w:r>
          </w:p>
          <w:p w14:paraId="21AADB0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未提及此项不得分。</w:t>
            </w:r>
          </w:p>
        </w:tc>
        <w:tc>
          <w:tcPr>
            <w:tcW w:w="341" w:type="pct"/>
            <w:vAlign w:val="center"/>
          </w:tcPr>
          <w:p w14:paraId="549218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516C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531" w:type="pct"/>
            <w:vMerge w:val="continue"/>
            <w:vAlign w:val="center"/>
          </w:tcPr>
          <w:p w14:paraId="6FF892F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Merge w:val="continue"/>
            <w:vAlign w:val="center"/>
          </w:tcPr>
          <w:p w14:paraId="75A4553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740" w:type="pct"/>
            <w:vAlign w:val="center"/>
          </w:tcPr>
          <w:p w14:paraId="6A9642B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档案管理制度：根据本项目制定的档案管理制度是否科学、合理等情况进行打分。</w:t>
            </w:r>
          </w:p>
          <w:p w14:paraId="0DEA2B3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制度内容明确、且方案内容详尽具有针对性得1-2分；方案内容缺漏或方案内容未详细展开阐述得0.1-0.9分；未提及此项不得分。</w:t>
            </w:r>
          </w:p>
        </w:tc>
        <w:tc>
          <w:tcPr>
            <w:tcW w:w="341" w:type="pct"/>
            <w:vAlign w:val="center"/>
          </w:tcPr>
          <w:p w14:paraId="4178D9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578C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31" w:type="pct"/>
            <w:vMerge w:val="continue"/>
            <w:vAlign w:val="center"/>
          </w:tcPr>
          <w:p w14:paraId="3BA534F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Merge w:val="continue"/>
            <w:vAlign w:val="center"/>
          </w:tcPr>
          <w:p w14:paraId="309D9F7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740" w:type="pct"/>
            <w:vAlign w:val="center"/>
          </w:tcPr>
          <w:p w14:paraId="568ED53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保密制度：根据本项目制定的保密制度是否科学、合理等情况进行打分。</w:t>
            </w:r>
          </w:p>
          <w:p w14:paraId="053A212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方案内容明确、且方案内容详尽具有针对性得1-2分；方案内容缺漏或方案内容未详细展开阐述得0.1-0.9分；未提及此项不得分。</w:t>
            </w:r>
          </w:p>
        </w:tc>
        <w:tc>
          <w:tcPr>
            <w:tcW w:w="341" w:type="pct"/>
            <w:vAlign w:val="center"/>
          </w:tcPr>
          <w:p w14:paraId="64CF5E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3058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31" w:type="pct"/>
            <w:vMerge w:val="continue"/>
            <w:vAlign w:val="center"/>
          </w:tcPr>
          <w:p w14:paraId="5FC2237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Merge w:val="restart"/>
            <w:vAlign w:val="center"/>
          </w:tcPr>
          <w:p w14:paraId="53F7F4F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方案</w:t>
            </w:r>
          </w:p>
        </w:tc>
        <w:tc>
          <w:tcPr>
            <w:tcW w:w="3740" w:type="pct"/>
            <w:vAlign w:val="center"/>
          </w:tcPr>
          <w:p w14:paraId="6F39349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根据投标人承诺提供的售后服务方案（服务机构设置情况、备品备件能力、服务能力、服务措施、服务承诺等方面）情况，包括服务承诺的可行性、完整性以及后续实施保障措施等进行打分。</w:t>
            </w:r>
          </w:p>
          <w:p w14:paraId="55D2C67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服务方案全面、后续实施保障措施合理有效的得2.0-4.0分；</w:t>
            </w:r>
          </w:p>
          <w:p w14:paraId="743753A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服务方案阐述较详尽，后续实施保障措施有欠缺的得0.1-1.9分；</w:t>
            </w:r>
          </w:p>
          <w:p w14:paraId="2A53960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未提及此项不得分。</w:t>
            </w:r>
          </w:p>
        </w:tc>
        <w:tc>
          <w:tcPr>
            <w:tcW w:w="341" w:type="pct"/>
            <w:vAlign w:val="center"/>
          </w:tcPr>
          <w:p w14:paraId="3DDF11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color w:val="0000FF"/>
                <w:sz w:val="24"/>
                <w:szCs w:val="24"/>
                <w:lang w:val="en-US" w:eastAsia="zh-CN"/>
              </w:rPr>
              <w:t>4</w:t>
            </w:r>
          </w:p>
        </w:tc>
      </w:tr>
      <w:tr w14:paraId="333C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31" w:type="pct"/>
            <w:vMerge w:val="continue"/>
            <w:vAlign w:val="center"/>
          </w:tcPr>
          <w:p w14:paraId="4C62324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rPr>
            </w:pPr>
          </w:p>
        </w:tc>
        <w:tc>
          <w:tcPr>
            <w:tcW w:w="387" w:type="pct"/>
            <w:vMerge w:val="continue"/>
            <w:vAlign w:val="center"/>
          </w:tcPr>
          <w:p w14:paraId="5E3604B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lang w:val="en-US" w:eastAsia="zh-CN"/>
              </w:rPr>
            </w:pPr>
          </w:p>
        </w:tc>
        <w:tc>
          <w:tcPr>
            <w:tcW w:w="3740" w:type="pct"/>
            <w:vAlign w:val="center"/>
          </w:tcPr>
          <w:p w14:paraId="3F2CAB5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根据投标人的服务承诺：针对本项目配有额外的应急响应人员和充足的运维专用车辆，承诺提供7×24小时响应，质保期内，产品出现质量问题，将在接到采购方通知后，</w:t>
            </w:r>
          </w:p>
          <w:p w14:paraId="5E6B1E8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2小时之内到达现场服务的得2分；</w:t>
            </w:r>
          </w:p>
          <w:p w14:paraId="618D9D5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6小时之内到达现场服务的得1分；</w:t>
            </w:r>
          </w:p>
          <w:p w14:paraId="3257CC9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超过6小时之内到达现场服务的或未提及此项不得分。</w:t>
            </w:r>
          </w:p>
        </w:tc>
        <w:tc>
          <w:tcPr>
            <w:tcW w:w="341" w:type="pct"/>
            <w:vAlign w:val="center"/>
          </w:tcPr>
          <w:p w14:paraId="7B7B5A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r>
    </w:tbl>
    <w:p w14:paraId="5919FC4C">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最后报价</w:t>
      </w:r>
    </w:p>
    <w:p w14:paraId="5A28354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（1）磋商文件能够详细列明采购标的的技术、服务要求的，磋商结束后，磋商小组将要求所有实质性响应的</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在规定时间内提交最后报价，最后报价是供应商响应文件的有效组成部分。</w:t>
      </w:r>
    </w:p>
    <w:p w14:paraId="3F15F257">
      <w:pPr>
        <w:pStyle w:val="113"/>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15CC33B3">
      <w:pPr>
        <w:pStyle w:val="24"/>
        <w:snapToGri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3.评审要求</w:t>
      </w:r>
    </w:p>
    <w:p w14:paraId="70A47DF8">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(1)磋商小组应当按照磋商文件中规定的评审方法和标准，对符合性审查合格的响应文件的商务部分和技术部分进行综合比较与评价，其中</w:t>
      </w:r>
      <w:r>
        <w:rPr>
          <w:rFonts w:hint="eastAsia" w:ascii="宋体" w:hAnsi="宋体" w:eastAsia="宋体" w:cs="宋体"/>
          <w:bCs/>
          <w:color w:val="000000" w:themeColor="text1"/>
          <w:sz w:val="24"/>
          <w:szCs w:val="24"/>
          <w:lang w:val="zh-CN"/>
          <w14:textFill>
            <w14:solidFill>
              <w14:schemeClr w14:val="tx1"/>
            </w14:solidFill>
          </w14:textFill>
        </w:rPr>
        <w:t>客观</w:t>
      </w:r>
      <w:r>
        <w:rPr>
          <w:rFonts w:hint="eastAsia" w:ascii="宋体" w:hAnsi="宋体" w:eastAsia="宋体" w:cs="宋体"/>
          <w:bCs/>
          <w:color w:val="000000" w:themeColor="text1"/>
          <w:sz w:val="24"/>
          <w:szCs w:val="24"/>
          <w14:textFill>
            <w14:solidFill>
              <w14:schemeClr w14:val="tx1"/>
            </w14:solidFill>
          </w14:textFill>
        </w:rPr>
        <w:t>评分</w:t>
      </w:r>
      <w:r>
        <w:rPr>
          <w:rFonts w:hint="eastAsia" w:ascii="宋体" w:hAnsi="宋体" w:eastAsia="宋体" w:cs="宋体"/>
          <w:bCs/>
          <w:sz w:val="24"/>
          <w:szCs w:val="24"/>
        </w:rPr>
        <w:t>项的分值</w:t>
      </w:r>
      <w:r>
        <w:rPr>
          <w:rFonts w:hint="eastAsia" w:ascii="宋体" w:hAnsi="宋体" w:eastAsia="宋体" w:cs="宋体"/>
          <w:bCs/>
          <w:sz w:val="24"/>
          <w:szCs w:val="24"/>
          <w:lang w:val="zh-CN"/>
        </w:rPr>
        <w:t>应当一致。</w:t>
      </w:r>
    </w:p>
    <w:p w14:paraId="791C7D7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（2）对于磋商响应文件中</w:t>
      </w:r>
      <w:r>
        <w:rPr>
          <w:rFonts w:hint="eastAsia" w:ascii="宋体" w:hAnsi="宋体" w:eastAsia="宋体" w:cs="宋体"/>
          <w:color w:val="000000" w:themeColor="text1"/>
          <w:sz w:val="24"/>
          <w:szCs w:val="24"/>
          <w14:textFill>
            <w14:solidFill>
              <w14:schemeClr w14:val="tx1"/>
            </w14:solidFill>
          </w14:textFill>
        </w:rPr>
        <w:t>含义不明确、同类问题表述不一致或者有明显文字和计算错误的内容，磋商小组应当要求供应商作出必要的澄清、说明或者补正。</w:t>
      </w:r>
    </w:p>
    <w:p w14:paraId="753B329C">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（3）供应商的澄清（说明或者补正）采用书</w:t>
      </w:r>
      <w:r>
        <w:rPr>
          <w:rFonts w:hint="eastAsia" w:ascii="宋体" w:hAnsi="宋体" w:eastAsia="宋体" w:cs="宋体"/>
          <w:sz w:val="24"/>
          <w:szCs w:val="24"/>
        </w:rPr>
        <w:t>面形式，并加盖公章或者由法定代表人或授权代表签字，且不得超出磋商响应文件的范围或者改变磋商响应文件的实质性内容。</w:t>
      </w:r>
    </w:p>
    <w:p w14:paraId="3312956A">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（四）结果汇总及排序</w:t>
      </w:r>
    </w:p>
    <w:p w14:paraId="1CDD21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经磋商确定最终采购需求和提交最后报价的供应商后，由磋商小组采用综合评分法对提交最后报价的供应商的响应文件和最后报价进行综合比较与评价。根据综合评分情况，按评审</w:t>
      </w:r>
      <w:r>
        <w:rPr>
          <w:rFonts w:hint="eastAsia" w:ascii="宋体" w:hAnsi="宋体" w:cs="宋体"/>
          <w:sz w:val="24"/>
          <w:szCs w:val="24"/>
          <w:lang w:eastAsia="zh-CN"/>
        </w:rPr>
        <w:t>总</w:t>
      </w:r>
      <w:r>
        <w:rPr>
          <w:rFonts w:hint="eastAsia" w:ascii="宋体" w:hAnsi="宋体" w:eastAsia="宋体" w:cs="宋体"/>
          <w:sz w:val="24"/>
          <w:szCs w:val="24"/>
        </w:rPr>
        <w:t>得分由高到低顺序推荐</w:t>
      </w:r>
      <w:r>
        <w:rPr>
          <w:rFonts w:hint="eastAsia" w:ascii="宋体" w:hAnsi="宋体" w:eastAsia="宋体" w:cs="宋体"/>
          <w:sz w:val="24"/>
          <w:szCs w:val="24"/>
          <w:lang w:val="en-US" w:eastAsia="zh-CN"/>
        </w:rPr>
        <w:t>3</w:t>
      </w:r>
      <w:r>
        <w:rPr>
          <w:rFonts w:hint="eastAsia" w:ascii="宋体" w:hAnsi="宋体" w:eastAsia="宋体" w:cs="宋体"/>
          <w:sz w:val="24"/>
          <w:szCs w:val="24"/>
        </w:rPr>
        <w:t>名成交候选供应商</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lang w:val="zh-CN"/>
        </w:rPr>
        <w:t>以评审总得分最高的供应商为第一成交候选供应商，总得分次高的为第二成交候选供应商，总得分第三高的为第三成交候选供应商</w:t>
      </w:r>
      <w:r>
        <w:rPr>
          <w:rFonts w:hint="eastAsia" w:ascii="宋体" w:hAnsi="宋体" w:eastAsia="宋体" w:cs="宋体"/>
          <w:sz w:val="24"/>
          <w:szCs w:val="24"/>
        </w:rPr>
        <w:t>。</w:t>
      </w:r>
      <w:r>
        <w:rPr>
          <w:rFonts w:hint="eastAsia" w:ascii="宋体" w:hAnsi="宋体" w:eastAsia="宋体" w:cs="宋体"/>
          <w:color w:val="auto"/>
          <w:sz w:val="24"/>
          <w:szCs w:val="24"/>
          <w:highlight w:val="none"/>
          <w:lang w:val="zh-CN"/>
        </w:rPr>
        <w:t>如</w:t>
      </w:r>
      <w:r>
        <w:rPr>
          <w:rFonts w:hint="eastAsia" w:ascii="宋体" w:hAnsi="宋体" w:cs="宋体"/>
          <w:color w:val="auto"/>
          <w:sz w:val="24"/>
          <w:szCs w:val="24"/>
          <w:highlight w:val="none"/>
          <w:lang w:val="zh-CN"/>
        </w:rPr>
        <w:t>评审总</w:t>
      </w:r>
      <w:r>
        <w:rPr>
          <w:rFonts w:hint="eastAsia" w:ascii="宋体" w:hAnsi="宋体" w:eastAsia="宋体" w:cs="宋体"/>
          <w:color w:val="auto"/>
          <w:sz w:val="24"/>
          <w:szCs w:val="24"/>
          <w:highlight w:val="none"/>
          <w:lang w:val="zh-CN"/>
        </w:rPr>
        <w:t>得分相同，最后报价低者为先；如</w:t>
      </w:r>
      <w:r>
        <w:rPr>
          <w:rFonts w:hint="eastAsia" w:ascii="宋体" w:hAnsi="宋体" w:cs="宋体"/>
          <w:color w:val="auto"/>
          <w:sz w:val="24"/>
          <w:szCs w:val="24"/>
          <w:highlight w:val="none"/>
          <w:lang w:val="zh-CN"/>
        </w:rPr>
        <w:t>评审总</w:t>
      </w:r>
      <w:r>
        <w:rPr>
          <w:rFonts w:hint="eastAsia" w:ascii="宋体" w:hAnsi="宋体" w:eastAsia="宋体" w:cs="宋体"/>
          <w:color w:val="auto"/>
          <w:sz w:val="24"/>
          <w:szCs w:val="24"/>
          <w:highlight w:val="none"/>
          <w:lang w:val="zh-CN"/>
        </w:rPr>
        <w:t>得分且最后报价相同的，服务类采购项目以</w:t>
      </w:r>
      <w:r>
        <w:rPr>
          <w:rFonts w:hint="eastAsia" w:ascii="宋体" w:hAnsi="宋体" w:cs="宋体"/>
          <w:color w:val="auto"/>
          <w:sz w:val="24"/>
          <w:szCs w:val="24"/>
          <w:highlight w:val="none"/>
          <w:lang w:val="zh-CN"/>
        </w:rPr>
        <w:t>技术分</w:t>
      </w:r>
      <w:r>
        <w:rPr>
          <w:rFonts w:hint="eastAsia" w:ascii="宋体" w:hAnsi="宋体" w:eastAsia="宋体" w:cs="宋体"/>
          <w:color w:val="auto"/>
          <w:sz w:val="24"/>
          <w:szCs w:val="24"/>
          <w:highlight w:val="none"/>
          <w:lang w:val="zh-CN"/>
        </w:rPr>
        <w:t>较高者为先。</w:t>
      </w:r>
    </w:p>
    <w:p w14:paraId="4C00A5F5">
      <w:pPr>
        <w:spacing w:line="360" w:lineRule="auto"/>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（五）编写评审报告</w:t>
      </w:r>
    </w:p>
    <w:p w14:paraId="226E3F16">
      <w:pPr>
        <w:pStyle w:val="19"/>
        <w:keepNext w:val="0"/>
        <w:keepLines w:val="0"/>
        <w:pageBreakBefore w:val="0"/>
        <w:kinsoku/>
        <w:wordWrap/>
        <w:overflowPunct/>
        <w:topLinePunct w:val="0"/>
        <w:autoSpaceDE/>
        <w:autoSpaceDN/>
        <w:bidi w:val="0"/>
        <w:adjustRightInd/>
        <w:snapToGrid/>
        <w:spacing w:after="0" w:line="288" w:lineRule="auto"/>
        <w:textAlignment w:val="auto"/>
        <w:rPr>
          <w:rFonts w:hint="eastAsia" w:ascii="宋体" w:hAnsi="宋体" w:eastAsia="宋体" w:cs="宋体"/>
          <w:color w:val="auto"/>
          <w:highlight w:val="none"/>
        </w:rPr>
      </w:pPr>
      <w:r>
        <w:rPr>
          <w:rFonts w:hint="eastAsia" w:ascii="宋体" w:hAnsi="宋体" w:eastAsia="宋体" w:cs="宋体"/>
          <w:sz w:val="24"/>
          <w:szCs w:val="24"/>
        </w:rPr>
        <w:t>磋商小组根据全体评审人员签字的原始记录和得分情况编写评审报告。</w:t>
      </w:r>
    </w:p>
    <w:p w14:paraId="37F07DEC">
      <w:pPr>
        <w:widowControl/>
        <w:adjustRightInd/>
        <w:jc w:val="left"/>
        <w:rPr>
          <w:rFonts w:hint="eastAsia" w:ascii="宋体" w:hAnsi="宋体" w:eastAsia="宋体" w:cs="宋体"/>
          <w:b/>
          <w:sz w:val="24"/>
          <w:szCs w:val="24"/>
        </w:rPr>
      </w:pPr>
      <w:r>
        <w:rPr>
          <w:rFonts w:hint="eastAsia" w:ascii="宋体" w:hAnsi="宋体" w:eastAsia="宋体" w:cs="宋体"/>
          <w:b/>
          <w:sz w:val="24"/>
          <w:szCs w:val="24"/>
        </w:rPr>
        <w:br w:type="page"/>
      </w:r>
    </w:p>
    <w:p w14:paraId="613FCF36">
      <w:pPr>
        <w:pStyle w:val="2"/>
        <w:spacing w:line="360" w:lineRule="auto"/>
        <w:jc w:val="center"/>
        <w:rPr>
          <w:rFonts w:hint="eastAsia" w:ascii="宋体" w:hAnsi="宋体" w:eastAsia="宋体" w:cs="宋体"/>
        </w:rPr>
      </w:pPr>
      <w:bookmarkStart w:id="82" w:name="_Toc8901"/>
      <w:r>
        <w:rPr>
          <w:rFonts w:hint="eastAsia" w:ascii="宋体" w:hAnsi="宋体" w:eastAsia="宋体" w:cs="宋体"/>
        </w:rPr>
        <w:t>第四部分  项目需求</w:t>
      </w:r>
      <w:bookmarkEnd w:id="70"/>
      <w:bookmarkEnd w:id="82"/>
      <w:bookmarkStart w:id="83" w:name="_Toc137966665"/>
      <w:bookmarkStart w:id="84" w:name="_Toc137966678"/>
      <w:bookmarkStart w:id="85" w:name="_Toc209413107"/>
      <w:bookmarkStart w:id="86" w:name="_Toc279610155"/>
      <w:bookmarkStart w:id="87" w:name="_Toc201595614"/>
      <w:bookmarkStart w:id="88" w:name="_Toc25095865"/>
      <w:bookmarkStart w:id="89" w:name="_Toc417381415"/>
    </w:p>
    <w:bookmarkEnd w:id="83"/>
    <w:bookmarkEnd w:id="84"/>
    <w:bookmarkEnd w:id="85"/>
    <w:bookmarkEnd w:id="86"/>
    <w:bookmarkEnd w:id="87"/>
    <w:bookmarkEnd w:id="88"/>
    <w:p w14:paraId="0F6576D6">
      <w:pPr>
        <w:pStyle w:val="125"/>
        <w:spacing w:line="360" w:lineRule="auto"/>
        <w:ind w:firstLine="241" w:firstLineChars="100"/>
        <w:outlineLvl w:val="0"/>
        <w:rPr>
          <w:rFonts w:hint="eastAsia" w:ascii="宋体" w:hAnsi="宋体" w:eastAsia="宋体" w:cs="宋体"/>
          <w:b/>
          <w:bCs/>
          <w:color w:val="auto"/>
          <w:sz w:val="24"/>
          <w:szCs w:val="24"/>
        </w:rPr>
      </w:pPr>
      <w:bookmarkStart w:id="90" w:name="_Toc18879"/>
      <w:bookmarkStart w:id="91" w:name="_Toc448258815"/>
      <w:bookmarkStart w:id="92" w:name="_Toc448255117"/>
      <w:r>
        <w:rPr>
          <w:rFonts w:hint="eastAsia" w:ascii="宋体" w:hAnsi="宋体" w:eastAsia="宋体" w:cs="宋体"/>
          <w:b/>
          <w:bCs/>
          <w:sz w:val="24"/>
          <w:szCs w:val="24"/>
          <w:lang w:val="en-US" w:eastAsia="zh-CN"/>
        </w:rPr>
        <w:t>一、</w:t>
      </w:r>
      <w:r>
        <w:rPr>
          <w:rFonts w:hint="eastAsia" w:ascii="宋体" w:hAnsi="宋体" w:eastAsia="宋体" w:cs="宋体"/>
          <w:b/>
          <w:bCs/>
          <w:color w:val="auto"/>
          <w:sz w:val="24"/>
          <w:szCs w:val="24"/>
        </w:rPr>
        <w:t>招标一览表</w:t>
      </w:r>
      <w:bookmarkEnd w:id="90"/>
    </w:p>
    <w:tbl>
      <w:tblPr>
        <w:tblStyle w:val="38"/>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899"/>
        <w:gridCol w:w="1132"/>
        <w:gridCol w:w="912"/>
        <w:gridCol w:w="1076"/>
        <w:gridCol w:w="1488"/>
      </w:tblGrid>
      <w:tr w14:paraId="1B35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2" w:type="dxa"/>
            <w:vAlign w:val="center"/>
          </w:tcPr>
          <w:p w14:paraId="32D352A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899" w:type="dxa"/>
            <w:vAlign w:val="center"/>
          </w:tcPr>
          <w:p w14:paraId="3493E578">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采购内容</w:t>
            </w:r>
          </w:p>
        </w:tc>
        <w:tc>
          <w:tcPr>
            <w:tcW w:w="1132" w:type="dxa"/>
            <w:vAlign w:val="center"/>
          </w:tcPr>
          <w:p w14:paraId="12CC780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912" w:type="dxa"/>
            <w:vAlign w:val="center"/>
          </w:tcPr>
          <w:p w14:paraId="20871D76">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076" w:type="dxa"/>
            <w:vAlign w:val="center"/>
          </w:tcPr>
          <w:p w14:paraId="12AFA0DC">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预算金额</w:t>
            </w:r>
          </w:p>
        </w:tc>
        <w:tc>
          <w:tcPr>
            <w:tcW w:w="1488" w:type="dxa"/>
            <w:vAlign w:val="center"/>
          </w:tcPr>
          <w:p w14:paraId="0F59875E">
            <w:pPr>
              <w:jc w:val="center"/>
              <w:rPr>
                <w:rFonts w:hint="eastAsia" w:ascii="宋体" w:hAnsi="宋体" w:eastAsia="宋体" w:cs="宋体"/>
                <w:b/>
                <w:color w:val="auto"/>
                <w:sz w:val="24"/>
                <w:lang w:bidi="ar"/>
              </w:rPr>
            </w:pPr>
            <w:r>
              <w:rPr>
                <w:rFonts w:hint="eastAsia" w:ascii="宋体" w:hAnsi="宋体" w:eastAsia="宋体" w:cs="宋体"/>
                <w:b/>
                <w:color w:val="auto"/>
                <w:sz w:val="24"/>
                <w:lang w:val="en-US" w:eastAsia="zh-CN" w:bidi="ar"/>
              </w:rPr>
              <w:t>服务地点</w:t>
            </w:r>
            <w:r>
              <w:rPr>
                <w:rFonts w:hint="eastAsia" w:ascii="宋体" w:hAnsi="宋体" w:eastAsia="宋体" w:cs="宋体"/>
                <w:b/>
                <w:bCs/>
                <w:color w:val="auto"/>
                <w:sz w:val="24"/>
                <w:szCs w:val="24"/>
              </w:rPr>
              <w:t xml:space="preserve"> </w:t>
            </w:r>
          </w:p>
        </w:tc>
      </w:tr>
      <w:tr w14:paraId="4936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72" w:type="dxa"/>
            <w:vAlign w:val="center"/>
          </w:tcPr>
          <w:p w14:paraId="101E71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99" w:type="dxa"/>
            <w:vAlign w:val="center"/>
          </w:tcPr>
          <w:p w14:paraId="0EB95655">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2025年台州市环境噪声自动监测设备运维项目</w:t>
            </w:r>
          </w:p>
        </w:tc>
        <w:tc>
          <w:tcPr>
            <w:tcW w:w="1132" w:type="dxa"/>
            <w:vAlign w:val="center"/>
          </w:tcPr>
          <w:p w14:paraId="15BA76A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912" w:type="dxa"/>
            <w:vAlign w:val="center"/>
          </w:tcPr>
          <w:p w14:paraId="42B479A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076" w:type="dxa"/>
            <w:vAlign w:val="center"/>
          </w:tcPr>
          <w:p w14:paraId="6CB309E8">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万</w:t>
            </w:r>
            <w:r>
              <w:rPr>
                <w:rFonts w:hint="eastAsia" w:ascii="宋体" w:hAnsi="宋体" w:cs="宋体"/>
                <w:color w:val="auto"/>
                <w:sz w:val="24"/>
                <w:szCs w:val="24"/>
                <w:highlight w:val="none"/>
                <w:lang w:val="en-US" w:eastAsia="zh-CN"/>
              </w:rPr>
              <w:t>元</w:t>
            </w:r>
          </w:p>
        </w:tc>
        <w:tc>
          <w:tcPr>
            <w:tcW w:w="1488" w:type="dxa"/>
            <w:vAlign w:val="center"/>
          </w:tcPr>
          <w:p w14:paraId="4A0B75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采购人指定地点</w:t>
            </w:r>
          </w:p>
        </w:tc>
      </w:tr>
    </w:tbl>
    <w:p w14:paraId="1287F997">
      <w:pPr>
        <w:pStyle w:val="125"/>
        <w:spacing w:line="360" w:lineRule="auto"/>
        <w:ind w:firstLine="241" w:firstLineChars="100"/>
        <w:outlineLvl w:val="0"/>
        <w:rPr>
          <w:rFonts w:hint="eastAsia" w:ascii="宋体" w:hAnsi="宋体" w:eastAsia="宋体" w:cs="宋体"/>
          <w:b/>
          <w:bCs/>
          <w:color w:val="auto"/>
          <w:sz w:val="24"/>
          <w:szCs w:val="24"/>
          <w:lang w:val="en-US" w:eastAsia="zh-CN"/>
        </w:rPr>
      </w:pPr>
      <w:bookmarkStart w:id="93" w:name="_Toc29410"/>
    </w:p>
    <w:p w14:paraId="47277B90">
      <w:pPr>
        <w:pStyle w:val="125"/>
        <w:spacing w:line="360" w:lineRule="auto"/>
        <w:ind w:firstLine="241" w:firstLineChars="100"/>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二、技术需求</w:t>
      </w:r>
      <w:bookmarkEnd w:id="93"/>
    </w:p>
    <w:bookmarkEnd w:id="91"/>
    <w:bookmarkEnd w:id="92"/>
    <w:p w14:paraId="597C8B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1.项目内容</w:t>
      </w:r>
    </w:p>
    <w:p w14:paraId="5B460A5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
        </w:rPr>
        <w:t>为保障</w:t>
      </w:r>
      <w:r>
        <w:rPr>
          <w:rFonts w:hint="eastAsia" w:ascii="宋体" w:hAnsi="宋体" w:eastAsia="宋体" w:cs="宋体"/>
          <w:sz w:val="24"/>
          <w:szCs w:val="24"/>
          <w:lang w:val="en-US" w:eastAsia="zh-CN"/>
        </w:rPr>
        <w:t>台州市生态环境局在主城区已建设环境噪声自动监测</w:t>
      </w:r>
      <w:r>
        <w:rPr>
          <w:rFonts w:hint="eastAsia" w:ascii="宋体" w:hAnsi="宋体" w:eastAsia="宋体" w:cs="宋体"/>
          <w:sz w:val="24"/>
          <w:szCs w:val="24"/>
          <w:lang w:val="en"/>
        </w:rPr>
        <w:t>设备正常运行，更好地为环境管理服务，将委托第三方对功能区噪声自动监测</w:t>
      </w:r>
      <w:r>
        <w:rPr>
          <w:rFonts w:hint="eastAsia" w:ascii="宋体" w:hAnsi="宋体" w:eastAsia="宋体" w:cs="宋体"/>
          <w:sz w:val="24"/>
          <w:szCs w:val="24"/>
        </w:rPr>
        <w:t>站</w:t>
      </w:r>
      <w:r>
        <w:rPr>
          <w:rFonts w:hint="eastAsia" w:ascii="宋体" w:hAnsi="宋体" w:eastAsia="宋体" w:cs="宋体"/>
          <w:sz w:val="24"/>
          <w:szCs w:val="24"/>
          <w:lang w:val="en"/>
        </w:rPr>
        <w:t>进行日常维护。维护标准:按照《环境噪声自动监测技术要求》（</w:t>
      </w:r>
      <w:r>
        <w:rPr>
          <w:rFonts w:hint="eastAsia" w:ascii="宋体" w:hAnsi="宋体" w:eastAsia="宋体" w:cs="宋体"/>
          <w:sz w:val="24"/>
          <w:szCs w:val="24"/>
        </w:rPr>
        <w:t>HJ 907</w:t>
      </w:r>
      <w:r>
        <w:rPr>
          <w:rFonts w:hint="eastAsia" w:ascii="宋体" w:hAnsi="宋体" w:eastAsia="宋体" w:cs="宋体"/>
          <w:sz w:val="24"/>
          <w:szCs w:val="24"/>
          <w:lang w:val="en"/>
        </w:rPr>
        <w:t>-20</w:t>
      </w:r>
      <w:r>
        <w:rPr>
          <w:rFonts w:hint="eastAsia" w:ascii="宋体" w:hAnsi="宋体" w:eastAsia="宋体" w:cs="宋体"/>
          <w:sz w:val="24"/>
          <w:szCs w:val="24"/>
        </w:rPr>
        <w:t>17</w:t>
      </w:r>
      <w:r>
        <w:rPr>
          <w:rFonts w:hint="eastAsia" w:ascii="宋体" w:hAnsi="宋体" w:eastAsia="宋体" w:cs="宋体"/>
          <w:sz w:val="24"/>
          <w:szCs w:val="24"/>
          <w:lang w:val="en"/>
        </w:rPr>
        <w:t>）、《</w:t>
      </w:r>
      <w:bookmarkStart w:id="94" w:name="OLE_LINK1"/>
      <w:r>
        <w:rPr>
          <w:rFonts w:hint="eastAsia" w:ascii="宋体" w:hAnsi="宋体" w:eastAsia="宋体" w:cs="宋体"/>
          <w:sz w:val="24"/>
          <w:szCs w:val="24"/>
          <w:lang w:val="en"/>
        </w:rPr>
        <w:t>功能区声环境质量自动监测运行维护和质量控制技术要求（试行）</w:t>
      </w:r>
      <w:bookmarkEnd w:id="94"/>
      <w:r>
        <w:rPr>
          <w:rFonts w:hint="eastAsia" w:ascii="宋体" w:hAnsi="宋体" w:eastAsia="宋体" w:cs="宋体"/>
          <w:sz w:val="24"/>
          <w:szCs w:val="24"/>
          <w:lang w:val="en"/>
        </w:rPr>
        <w:t>》、仪器说明书等文件要求，本项目采用全包的形式，对辖区内开展</w:t>
      </w:r>
      <w:r>
        <w:rPr>
          <w:rFonts w:hint="eastAsia" w:ascii="宋体" w:hAnsi="宋体" w:eastAsia="宋体" w:cs="宋体"/>
          <w:sz w:val="24"/>
          <w:szCs w:val="24"/>
          <w:lang w:val="en-US" w:eastAsia="zh-CN"/>
        </w:rPr>
        <w:t>8</w:t>
      </w:r>
      <w:r>
        <w:rPr>
          <w:rFonts w:hint="eastAsia" w:ascii="宋体" w:hAnsi="宋体" w:eastAsia="宋体" w:cs="宋体"/>
          <w:sz w:val="24"/>
          <w:szCs w:val="24"/>
        </w:rPr>
        <w:t>个噪声自动监测站运维，确保</w:t>
      </w:r>
      <w:r>
        <w:rPr>
          <w:rFonts w:hint="eastAsia" w:ascii="宋体" w:hAnsi="宋体" w:eastAsia="宋体" w:cs="宋体"/>
          <w:sz w:val="24"/>
          <w:szCs w:val="24"/>
          <w:lang w:val="en-US" w:eastAsia="zh-CN"/>
        </w:rPr>
        <w:t>8</w:t>
      </w:r>
      <w:r>
        <w:rPr>
          <w:rFonts w:hint="eastAsia" w:ascii="宋体" w:hAnsi="宋体" w:eastAsia="宋体" w:cs="宋体"/>
          <w:sz w:val="24"/>
          <w:szCs w:val="24"/>
        </w:rPr>
        <w:t>个站点正常运行，运维过程中需要的耗材</w:t>
      </w:r>
      <w:r>
        <w:rPr>
          <w:rFonts w:hint="eastAsia" w:ascii="宋体" w:hAnsi="宋体" w:eastAsia="宋体" w:cs="宋体"/>
          <w:sz w:val="24"/>
          <w:szCs w:val="24"/>
          <w:lang w:eastAsia="zh-CN"/>
        </w:rPr>
        <w:t>、</w:t>
      </w:r>
      <w:r>
        <w:rPr>
          <w:rFonts w:hint="eastAsia" w:ascii="宋体" w:hAnsi="宋体" w:eastAsia="宋体" w:cs="宋体"/>
          <w:sz w:val="24"/>
          <w:szCs w:val="24"/>
        </w:rPr>
        <w:t>维修</w:t>
      </w:r>
      <w:r>
        <w:rPr>
          <w:rFonts w:hint="eastAsia" w:ascii="宋体" w:hAnsi="宋体" w:eastAsia="宋体" w:cs="宋体"/>
          <w:sz w:val="24"/>
          <w:szCs w:val="24"/>
          <w:lang w:eastAsia="zh-CN"/>
        </w:rPr>
        <w:t>、</w:t>
      </w:r>
      <w:r>
        <w:rPr>
          <w:rFonts w:hint="eastAsia" w:ascii="宋体" w:hAnsi="宋体" w:eastAsia="宋体" w:cs="宋体"/>
          <w:sz w:val="24"/>
          <w:szCs w:val="24"/>
        </w:rPr>
        <w:t>配件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检定</w:t>
      </w:r>
      <w:r>
        <w:rPr>
          <w:rFonts w:hint="eastAsia" w:ascii="宋体" w:hAnsi="宋体" w:eastAsia="宋体" w:cs="宋体"/>
          <w:sz w:val="24"/>
          <w:szCs w:val="24"/>
        </w:rPr>
        <w:t>，均由运维方承担</w:t>
      </w:r>
      <w:r>
        <w:rPr>
          <w:rFonts w:hint="eastAsia" w:ascii="宋体" w:hAnsi="宋体" w:eastAsia="宋体" w:cs="宋体"/>
          <w:sz w:val="24"/>
          <w:szCs w:val="24"/>
          <w:lang w:val="en"/>
        </w:rPr>
        <w:t>。</w:t>
      </w:r>
      <w:r>
        <w:rPr>
          <w:rFonts w:hint="eastAsia" w:ascii="宋体" w:hAnsi="宋体" w:eastAsia="宋体" w:cs="宋体"/>
          <w:sz w:val="24"/>
          <w:szCs w:val="24"/>
          <w:highlight w:val="none"/>
          <w:lang w:val="en-US" w:eastAsia="zh-CN"/>
        </w:rPr>
        <w:t>同时，由于设备建设年限较早，其中5个站点作为国控功能区噪声自动监测站点已经难以满足当前需求，亟需对设备核心部件进行全面的升级改造，确保设备监测数据稳定采集、传输，有效率达到国、省、市相关要求。</w:t>
      </w:r>
    </w:p>
    <w:p w14:paraId="117720CE">
      <w:pPr>
        <w:keepNext w:val="0"/>
        <w:keepLines w:val="0"/>
        <w:pageBreakBefore w:val="0"/>
        <w:widowControl/>
        <w:shd w:val="clear" w:color="auto" w:fill="FFFFFF"/>
        <w:kinsoku/>
        <w:wordWrap/>
        <w:overflowPunct/>
        <w:topLinePunct w:val="0"/>
        <w:autoSpaceDE/>
        <w:autoSpaceDN/>
        <w:bidi w:val="0"/>
        <w:snapToGrid/>
        <w:spacing w:line="360" w:lineRule="auto"/>
        <w:ind w:left="720" w:hanging="720"/>
        <w:textAlignment w:val="auto"/>
        <w:outlineLvl w:val="0"/>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2.服务内容</w:t>
      </w:r>
    </w:p>
    <w:p w14:paraId="5F76EAC0">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kern w:val="0"/>
          <w:sz w:val="24"/>
          <w:szCs w:val="24"/>
          <w:shd w:val="clear" w:color="auto" w:fill="FFFFFF"/>
          <w:lang w:val="en-US" w:eastAsia="zh-CN"/>
        </w:rPr>
      </w:pPr>
      <w:bookmarkStart w:id="95" w:name="_Toc486330528"/>
      <w:r>
        <w:rPr>
          <w:rFonts w:hint="eastAsia" w:ascii="宋体" w:hAnsi="宋体" w:eastAsia="宋体" w:cs="宋体"/>
          <w:b/>
          <w:kern w:val="0"/>
          <w:sz w:val="24"/>
          <w:szCs w:val="24"/>
          <w:shd w:val="clear" w:color="auto" w:fill="FFFFFF"/>
          <w:lang w:val="en-US" w:eastAsia="zh-CN"/>
        </w:rPr>
        <w:t xml:space="preserve">2.1基本要求 </w:t>
      </w:r>
    </w:p>
    <w:p w14:paraId="7FAB791B">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1.噪声自动监测系统应全年连续运行，因仪器故障检修、量值溯源等停运超过 24 小时，须报告负责该站点管理的主管部门，48 小时内应采取有效措施恢复正常运行。需要主动停运的，须提前报负责该站点管理的主管部门批准。 </w:t>
      </w:r>
    </w:p>
    <w:p w14:paraId="654FC195">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2.应保证噪声自动监测系统小时数据采集率大于 95%，否则应及时维护或检修。数据采集率以秒级数据作为计算单元。 </w:t>
      </w:r>
    </w:p>
    <w:p w14:paraId="3C269F04">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3.在日常运行中因仪器故障检修、量值溯源等临时使用备用仪器开展监测的情况，须于备机使用后 1 周内报告该站点管理的主管部门。 </w:t>
      </w:r>
    </w:p>
    <w:p w14:paraId="01EF2484">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 xml:space="preserve">2.2日常维护 </w:t>
      </w:r>
    </w:p>
    <w:p w14:paraId="00EEB7FE">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1.每日噪声监测子站自检时声学测量仪器灵敏度是否异常，出现异常值时应及时记录并查找原因。 </w:t>
      </w:r>
    </w:p>
    <w:p w14:paraId="3F072A0B">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2.每日查看各噪声监测子站的数据、录音等信息传输及运行状况是否正常。若发现某站点信息传输异常，应立即查明原因并排除故障，短时间无法解决数据传输问题时，应及时从站点终端处人工备份数据。 </w:t>
      </w:r>
    </w:p>
    <w:p w14:paraId="3D68C95B">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3.每日需由专人负责，对浙江省声环境监测管理应用数据平台开展日常巡检工作，并对前一日的功能区噪声监测数据开展有效性审核。节假日需安排专人值班，按照相同要求及时完成数据审核，确保数据有效率。</w:t>
      </w:r>
    </w:p>
    <w:p w14:paraId="38BC73D7">
      <w:pPr>
        <w:keepNext w:val="0"/>
        <w:keepLines w:val="0"/>
        <w:pageBreakBefore w:val="0"/>
        <w:numPr>
          <w:ilvl w:val="0"/>
          <w:numId w:val="0"/>
        </w:numPr>
        <w:kinsoku/>
        <w:wordWrap/>
        <w:overflowPunct/>
        <w:topLinePunct w:val="0"/>
        <w:autoSpaceDE/>
        <w:autoSpaceDN/>
        <w:bidi w:val="0"/>
        <w:snapToGrid/>
        <w:spacing w:line="360" w:lineRule="auto"/>
        <w:ind w:left="84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4.每日进行一次的网络授时。</w:t>
      </w:r>
    </w:p>
    <w:p w14:paraId="0819B05A">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5.每日检查数据是否异常，出现异常值时应查找原因并判断数据是否有效。审核监测数据是否存在恒值不变的情况，如接收的监测数据 Leq 监测结果持续多条不变；审核监测数据是否存在浮动异常情况，如同一时段内 Leq 监测结果起伏较大；审核监测数据是否超过测量范围，如最大值超过仪器测量上限，最小值低于仪器测量下限；审核监测数据是否存在逻辑异常的情况，如小时数据不满足 Lmax&gt;L10&gt;L50&gt;L90&gt;Lmin，出现 Leq&gt;Lmax、Leq&lt;Lmin、Leq=L10 （或 L90、Lmax、Lmin）等情形。</w:t>
      </w:r>
    </w:p>
    <w:p w14:paraId="495F71E7">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每日对异常状况警告信息及时处理，记录和报告可能影响监测结果的特殊情况，如：台风、暴雪、冰雹、沙尘等恶劣天气影响、噪声自动监测系统电力中断、通信中断、设备故障等异常报警、其他噪声干扰等。必要时应到现场检查和处理，排除故障。 </w:t>
      </w:r>
    </w:p>
    <w:p w14:paraId="1929291C">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 xml:space="preserve">2.3定期巡检 </w:t>
      </w:r>
    </w:p>
    <w:p w14:paraId="45AEA7AB">
      <w:pPr>
        <w:keepNext w:val="0"/>
        <w:keepLines w:val="0"/>
        <w:pageBreakBefore w:val="0"/>
        <w:numPr>
          <w:ilvl w:val="0"/>
          <w:numId w:val="0"/>
        </w:numPr>
        <w:kinsoku/>
        <w:wordWrap/>
        <w:overflowPunct/>
        <w:topLinePunct w:val="0"/>
        <w:autoSpaceDE/>
        <w:autoSpaceDN/>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1.应对噪声监测子站定期现场巡检及维护，每月至少 1 次，如遇自检不合格要求提高频次。 </w:t>
      </w:r>
    </w:p>
    <w:p w14:paraId="6065AD7F">
      <w:pPr>
        <w:keepNext w:val="0"/>
        <w:keepLines w:val="0"/>
        <w:pageBreakBefore w:val="0"/>
        <w:numPr>
          <w:ilvl w:val="0"/>
          <w:numId w:val="0"/>
        </w:numPr>
        <w:kinsoku/>
        <w:wordWrap/>
        <w:overflowPunct/>
        <w:topLinePunct w:val="0"/>
        <w:autoSpaceDE/>
        <w:autoSpaceDN/>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2.检查噪声监测子站周边 200 米范围环境变化情况，若发现新增影响监测结果的固定声源或其他可能影响监测结果的情况，应记录并报告负责该站点管理的主管部门。 </w:t>
      </w:r>
    </w:p>
    <w:p w14:paraId="18E5CC7B">
      <w:pPr>
        <w:keepNext w:val="0"/>
        <w:keepLines w:val="0"/>
        <w:pageBreakBefore w:val="0"/>
        <w:numPr>
          <w:ilvl w:val="0"/>
          <w:numId w:val="0"/>
        </w:numPr>
        <w:kinsoku/>
        <w:wordWrap/>
        <w:overflowPunct/>
        <w:topLinePunct w:val="0"/>
        <w:autoSpaceDE/>
        <w:autoSpaceDN/>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3.定期检查噪声监测子站及质量控制使用的声级计、声校准器、备用仪器的检定证书、校准证书是否在有效期内。 </w:t>
      </w:r>
    </w:p>
    <w:p w14:paraId="07876B19">
      <w:pPr>
        <w:keepNext w:val="0"/>
        <w:keepLines w:val="0"/>
        <w:pageBreakBefore w:val="0"/>
        <w:numPr>
          <w:ilvl w:val="0"/>
          <w:numId w:val="0"/>
        </w:numPr>
        <w:kinsoku/>
        <w:wordWrap/>
        <w:overflowPunct/>
        <w:topLinePunct w:val="0"/>
        <w:autoSpaceDE/>
        <w:autoSpaceDN/>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每次巡检时应取下防风罩对其进行全面检查，如有异物及时清理，出现变形、老化、破损等影响监测的情况应及时更换，至少半年更换一次。更换的防风罩型号应与原防风罩保持一致。沙尘天气结束后应及时对防风罩进行检查清理。 </w:t>
      </w:r>
    </w:p>
    <w:p w14:paraId="51D8B63D">
      <w:pPr>
        <w:keepNext w:val="0"/>
        <w:keepLines w:val="0"/>
        <w:pageBreakBefore w:val="0"/>
        <w:numPr>
          <w:ilvl w:val="0"/>
          <w:numId w:val="0"/>
        </w:numPr>
        <w:kinsoku/>
        <w:wordWrap/>
        <w:overflowPunct/>
        <w:topLinePunct w:val="0"/>
        <w:autoSpaceDE/>
        <w:autoSpaceDN/>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检查噪声监测子站支架、机箱、避雷设施是否完好；检查电源、通讯设备和辅助设施等是否正常；检查仪器线路连接是否可靠，包括电源连接、通信设备连接、传声器连接等；检查仪器及系统的工作状态参数是否正常。 </w:t>
      </w:r>
    </w:p>
    <w:p w14:paraId="2265F6F7">
      <w:pPr>
        <w:keepNext w:val="0"/>
        <w:keepLines w:val="0"/>
        <w:pageBreakBefore w:val="0"/>
        <w:numPr>
          <w:ilvl w:val="0"/>
          <w:numId w:val="0"/>
        </w:numPr>
        <w:kinsoku/>
        <w:wordWrap/>
        <w:overflowPunct/>
        <w:topLinePunct w:val="0"/>
        <w:autoSpaceDE/>
        <w:autoSpaceDN/>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6.根据仪器说明书要求，适时对气象采集单元进行清洁、维护。 </w:t>
      </w:r>
    </w:p>
    <w:p w14:paraId="1FB01A9B">
      <w:pPr>
        <w:keepNext w:val="0"/>
        <w:keepLines w:val="0"/>
        <w:pageBreakBefore w:val="0"/>
        <w:numPr>
          <w:ilvl w:val="0"/>
          <w:numId w:val="0"/>
        </w:numPr>
        <w:kinsoku/>
        <w:wordWrap/>
        <w:overflowPunct/>
        <w:topLinePunct w:val="0"/>
        <w:autoSpaceDE/>
        <w:autoSpaceDN/>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7.每月备份上月噪声自动监测系统原始数据、统计数据和运维质控记录。每年初对上年噪声监测数据和运维质控记录进行存档。 </w:t>
      </w:r>
    </w:p>
    <w:p w14:paraId="70E660C8">
      <w:pPr>
        <w:keepNext w:val="0"/>
        <w:keepLines w:val="0"/>
        <w:pageBreakBefore w:val="0"/>
        <w:numPr>
          <w:ilvl w:val="0"/>
          <w:numId w:val="0"/>
        </w:numPr>
        <w:kinsoku/>
        <w:wordWrap/>
        <w:overflowPunct/>
        <w:topLinePunct w:val="0"/>
        <w:autoSpaceDE/>
        <w:autoSpaceDN/>
        <w:bidi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8.特殊情况巡检。在台风、暴雪、冰雹、沙尘等恶劣天气后应对各噪声监测子站进行巡检和现场声校验、声校准。</w:t>
      </w:r>
    </w:p>
    <w:p w14:paraId="733498C5">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 xml:space="preserve">2.4故障检修 </w:t>
      </w:r>
    </w:p>
    <w:p w14:paraId="6D663B00">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1.当噪声自动监测系统发生故障时，根据仪器说明书要求，开展故障判断和检修，应在24 小时内响应并完成故障排查。对于在现场能够诊断明确且可通过更换备件解决的仪器故障，应及时检修并尽快恢复正常运行。对于其他不易诊断和检修的故障，应返厂维修并采用备用仪器开展监测。 </w:t>
      </w:r>
    </w:p>
    <w:p w14:paraId="2997D5EF">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2.如涉及更换仪器关键部件传声器，须提前报告负责该站点管理的主管部门。关键部件更换后，应开展 24 小时比对测试，各小时等效声级偏应不超过±1.5dB。 </w:t>
      </w:r>
    </w:p>
    <w:p w14:paraId="5B3D901D">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 xml:space="preserve">3.服务的质量保证和质量控制 </w:t>
      </w:r>
    </w:p>
    <w:p w14:paraId="5FCF89DC">
      <w:pPr>
        <w:keepNext w:val="0"/>
        <w:keepLines w:val="0"/>
        <w:pageBreakBefore w:val="0"/>
        <w:kinsoku/>
        <w:wordWrap/>
        <w:overflowPunct/>
        <w:topLinePunct w:val="0"/>
        <w:autoSpaceDE/>
        <w:autoSpaceDN/>
        <w:bidi w:val="0"/>
        <w:snapToGrid/>
        <w:spacing w:line="360" w:lineRule="auto"/>
        <w:ind w:firstLine="420" w:firstLineChars="0"/>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 xml:space="preserve">3.1 自检 </w:t>
      </w:r>
    </w:p>
    <w:p w14:paraId="289E84CE">
      <w:pPr>
        <w:keepNext w:val="0"/>
        <w:keepLines w:val="0"/>
        <w:pageBreakBefore w:val="0"/>
        <w:widowControl/>
        <w:suppressLineNumbers w:val="0"/>
        <w:kinsoku/>
        <w:wordWrap/>
        <w:overflowPunct/>
        <w:topLinePunct w:val="0"/>
        <w:autoSpaceDE/>
        <w:autoSpaceDN/>
        <w:bidi w:val="0"/>
        <w:snapToGrid/>
        <w:spacing w:line="36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每日对噪声监测子站开展 1 次自检，如偏差超过±0.5dB，则应通过 现场声校验和声校准查明原因，做好数据标记，必要时应对仪器进行检修。</w:t>
      </w:r>
      <w:r>
        <w:rPr>
          <w:rFonts w:hint="eastAsia" w:ascii="宋体" w:hAnsi="宋体" w:eastAsia="宋体" w:cs="宋体"/>
          <w:color w:val="000000"/>
          <w:kern w:val="0"/>
          <w:sz w:val="24"/>
          <w:szCs w:val="24"/>
          <w:lang w:val="en-US" w:eastAsia="zh-CN" w:bidi="ar"/>
        </w:rPr>
        <w:t xml:space="preserve"> </w:t>
      </w:r>
    </w:p>
    <w:p w14:paraId="3B79E425">
      <w:pPr>
        <w:keepNext w:val="0"/>
        <w:keepLines w:val="0"/>
        <w:pageBreakBefore w:val="0"/>
        <w:kinsoku/>
        <w:wordWrap/>
        <w:overflowPunct/>
        <w:topLinePunct w:val="0"/>
        <w:autoSpaceDE/>
        <w:autoSpaceDN/>
        <w:bidi w:val="0"/>
        <w:snapToGrid/>
        <w:spacing w:line="360" w:lineRule="auto"/>
        <w:ind w:firstLine="420" w:firstLineChars="0"/>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 xml:space="preserve">3.2现场声校准和声校验 </w:t>
      </w:r>
    </w:p>
    <w:p w14:paraId="0BC4092A">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1.最小每月一次使用声校准器对所有监测点位的噪声监测子站开展现场声校准、声校验、静电激励器校准。 </w:t>
      </w:r>
    </w:p>
    <w:p w14:paraId="773C02AE">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2.声校准、声校验、静电激励器校准时如偏差超过±0.5dB应查明原因，必要时应对仪器进行检修。</w:t>
      </w:r>
    </w:p>
    <w:p w14:paraId="4F013BEE">
      <w:pPr>
        <w:keepNext w:val="0"/>
        <w:keepLines w:val="0"/>
        <w:pageBreakBefore w:val="0"/>
        <w:kinsoku/>
        <w:wordWrap/>
        <w:overflowPunct/>
        <w:topLinePunct w:val="0"/>
        <w:autoSpaceDE/>
        <w:autoSpaceDN/>
        <w:bidi w:val="0"/>
        <w:snapToGrid/>
        <w:spacing w:line="360" w:lineRule="auto"/>
        <w:ind w:firstLine="420" w:firstLineChars="0"/>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 xml:space="preserve">3.3 比对测试 </w:t>
      </w:r>
    </w:p>
    <w:p w14:paraId="3BC773BC">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1.使用手持式声级计为参比设备对所有监测点位的噪声监测子站开展 24 小时连续比对测试，每年至少 2 次，分别在噪声监测子站量值溯源之前和之后 4 个月左右时进行。 </w:t>
      </w:r>
    </w:p>
    <w:p w14:paraId="18052B59">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2.比对测试不合格的情况应及时查明原因，做好记录，必要时应对仪器进行检修、更换。 </w:t>
      </w:r>
    </w:p>
    <w:p w14:paraId="10A07569">
      <w:pPr>
        <w:keepNext w:val="0"/>
        <w:keepLines w:val="0"/>
        <w:pageBreakBefore w:val="0"/>
        <w:kinsoku/>
        <w:wordWrap/>
        <w:overflowPunct/>
        <w:topLinePunct w:val="0"/>
        <w:autoSpaceDE/>
        <w:autoSpaceDN/>
        <w:bidi w:val="0"/>
        <w:snapToGrid/>
        <w:spacing w:line="360" w:lineRule="auto"/>
        <w:ind w:firstLine="420" w:firstLineChars="0"/>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 xml:space="preserve">3.4 量值溯源 </w:t>
      </w:r>
    </w:p>
    <w:p w14:paraId="5172DD53">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1.每台噪声监测子站整机（含户外传声器）应按照 JJG 1095的要求检定合格，并在有效使用期限内使用，检定/校准周期不应超过 1 年。 检定期应采用备用机或上门检定的方式，保证数据采集率大于95%。</w:t>
      </w:r>
    </w:p>
    <w:p w14:paraId="0D0C0978">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2.运行维护和质量控制使用的声校准器应符合 GB/T 15173 对 1 级声校准器的要求，声级计应符合 GB/T 3785.1 对 1 级声级计的要求，应检定/校准合格并在有效使用期限内，检定/校准周期不应超过 1 年。</w:t>
      </w:r>
    </w:p>
    <w:p w14:paraId="7E8A558B">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4.其它要求</w:t>
      </w:r>
    </w:p>
    <w:bookmarkEnd w:id="95"/>
    <w:p w14:paraId="24D17C24">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bookmarkStart w:id="96" w:name="_Toc486330530"/>
      <w:r>
        <w:rPr>
          <w:rFonts w:hint="eastAsia" w:ascii="宋体" w:hAnsi="宋体" w:eastAsia="宋体" w:cs="宋体"/>
          <w:sz w:val="24"/>
          <w:szCs w:val="24"/>
          <w:lang w:val="en-US" w:eastAsia="zh-CN"/>
        </w:rPr>
        <w:t>1.包括所有服务费、备品备件、专用工具、技术资料、耗材、维修配件、人员工资、车辆、站点电费、保险、税费等（包含合同中明示或暗示的所有一般风险、责任和义务等所产生的费用）一切费用。</w:t>
      </w:r>
    </w:p>
    <w:p w14:paraId="25C15490">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2.在运维过程中应严格做好安全防范措施，如运维方项目维护人员在运维工作中造成人员伤亡事故，一切责任均由运维方自行负责。导致业主站房、设备等资产受损的，应予以赔偿。</w:t>
      </w:r>
    </w:p>
    <w:p w14:paraId="37F33501">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kern w:val="0"/>
          <w:sz w:val="24"/>
          <w:szCs w:val="24"/>
          <w:shd w:val="clear" w:color="auto" w:fill="FFFFFF"/>
          <w:lang w:val="en-US" w:eastAsia="zh-CN"/>
        </w:rPr>
      </w:pPr>
      <w:r>
        <w:rPr>
          <w:rFonts w:hint="eastAsia" w:ascii="宋体" w:hAnsi="宋体" w:eastAsia="宋体" w:cs="宋体"/>
          <w:b/>
          <w:kern w:val="0"/>
          <w:sz w:val="24"/>
          <w:szCs w:val="24"/>
          <w:shd w:val="clear" w:color="auto" w:fill="FFFFFF"/>
          <w:lang w:val="en-US" w:eastAsia="zh-CN"/>
        </w:rPr>
        <w:t>5.5套功能区噪声自动监测站点设备升级要求</w:t>
      </w:r>
    </w:p>
    <w:p w14:paraId="2E07883E">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color w:val="FF0000"/>
          <w:kern w:val="2"/>
          <w:sz w:val="24"/>
          <w:szCs w:val="21"/>
          <w:lang w:val="en-US" w:eastAsia="zh-CN" w:bidi="ar-SA"/>
        </w:rPr>
        <w:t>★</w:t>
      </w:r>
      <w:r>
        <w:rPr>
          <w:rFonts w:hint="eastAsia" w:ascii="宋体" w:hAnsi="宋体" w:eastAsia="宋体" w:cs="宋体"/>
          <w:kern w:val="2"/>
          <w:sz w:val="24"/>
          <w:szCs w:val="24"/>
          <w:lang w:val="en-US" w:eastAsia="zh-CN" w:bidi="ar-SA"/>
        </w:rPr>
        <w:t>仪器技术指标须满足HJ 907-2017 《环境噪声自动监测系统技术要求》,提供生态环境部（原环保部）认可的检测单位出具的检测结论为合格的适用性检测报告。</w:t>
      </w:r>
    </w:p>
    <w:p w14:paraId="0263D485">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color w:val="FF0000"/>
          <w:kern w:val="2"/>
          <w:sz w:val="24"/>
          <w:szCs w:val="21"/>
          <w:lang w:val="en-US" w:eastAsia="zh-CN" w:bidi="ar-SA"/>
        </w:rPr>
        <w:t>★</w:t>
      </w:r>
      <w:r>
        <w:rPr>
          <w:rFonts w:hint="eastAsia" w:ascii="宋体" w:hAnsi="宋体" w:eastAsia="宋体" w:cs="宋体"/>
          <w:kern w:val="2"/>
          <w:sz w:val="24"/>
          <w:szCs w:val="24"/>
          <w:lang w:val="en-US" w:eastAsia="zh-CN" w:bidi="ar-SA"/>
        </w:rPr>
        <w:t>满足JJG 1095-2014 《环境噪声自动监测仪检定规程》和JJG 778-2019 《噪声统计分析仪检定规程》，出具省级及以上法定计量机构的检定证书（检定证书中检定样品名称与所投产品的型式批准证书中的型号完全相同）。</w:t>
      </w:r>
    </w:p>
    <w:p w14:paraId="4FE139AB">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3.传声器频率范围：10Hz ～ 20kHz。</w:t>
      </w:r>
    </w:p>
    <w:p w14:paraId="2EB86A80">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eastAsia="宋体" w:cs="宋体"/>
          <w:color w:val="FF0000"/>
          <w:kern w:val="2"/>
          <w:sz w:val="24"/>
          <w:szCs w:val="21"/>
          <w:lang w:val="en-US" w:eastAsia="zh-CN" w:bidi="ar-SA"/>
        </w:rPr>
        <w:t>★</w:t>
      </w:r>
      <w:r>
        <w:rPr>
          <w:rFonts w:hint="eastAsia" w:ascii="宋体" w:hAnsi="宋体" w:eastAsia="宋体" w:cs="宋体"/>
          <w:kern w:val="2"/>
          <w:sz w:val="24"/>
          <w:szCs w:val="24"/>
          <w:lang w:val="en-US" w:eastAsia="zh-CN" w:bidi="ar-SA"/>
        </w:rPr>
        <w:t>测量上限：≥140 dB(A)；以生态环境部（原环保部）认可的检测单位出具的适用性检测报告上的测量上限为准。</w:t>
      </w:r>
    </w:p>
    <w:p w14:paraId="36CA05BA">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5.测量下限：≤30 dB (A)。</w:t>
      </w:r>
    </w:p>
    <w:p w14:paraId="6322990C">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6.户外传声器指向性：0， 90度。</w:t>
      </w:r>
    </w:p>
    <w:p w14:paraId="7325362F">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eastAsia="宋体" w:cs="宋体"/>
          <w:color w:val="FF0000"/>
          <w:kern w:val="2"/>
          <w:sz w:val="24"/>
          <w:szCs w:val="21"/>
          <w:lang w:val="en-US" w:eastAsia="zh-CN" w:bidi="ar-SA"/>
        </w:rPr>
        <w:t>★</w:t>
      </w:r>
      <w:r>
        <w:rPr>
          <w:rFonts w:hint="eastAsia" w:ascii="宋体" w:hAnsi="宋体" w:eastAsia="宋体" w:cs="宋体"/>
          <w:kern w:val="2"/>
          <w:sz w:val="24"/>
          <w:szCs w:val="24"/>
          <w:lang w:val="en-US" w:eastAsia="zh-CN" w:bidi="ar-SA"/>
        </w:rPr>
        <w:t>户外风罩的声衰减在风速10米/秒时应大于30dB。提供生态环境部（原环保部）认可的检测单位的测试报告。</w:t>
      </w:r>
    </w:p>
    <w:p w14:paraId="44AC7D66">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r>
        <w:rPr>
          <w:rFonts w:hint="eastAsia" w:ascii="宋体" w:hAnsi="宋体" w:eastAsia="宋体" w:cs="宋体"/>
          <w:color w:val="FF0000"/>
          <w:kern w:val="2"/>
          <w:sz w:val="24"/>
          <w:szCs w:val="21"/>
          <w:lang w:val="en-US" w:eastAsia="zh-CN" w:bidi="ar-SA"/>
        </w:rPr>
        <w:t>★</w:t>
      </w:r>
      <w:r>
        <w:rPr>
          <w:rFonts w:hint="eastAsia" w:ascii="宋体" w:hAnsi="宋体" w:eastAsia="宋体" w:cs="宋体"/>
          <w:kern w:val="2"/>
          <w:sz w:val="24"/>
          <w:szCs w:val="24"/>
          <w:lang w:val="en-US" w:eastAsia="zh-CN" w:bidi="ar-SA"/>
        </w:rPr>
        <w:t>在风速大于30米/秒时风罩不应明显变形和损坏。提供生态环境部（原环保部）认可的第三方检测单位的测试报告。</w:t>
      </w:r>
    </w:p>
    <w:p w14:paraId="064C0130">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9.频率计权：A、C、Z 计权，可软件切换设置。</w:t>
      </w:r>
    </w:p>
    <w:p w14:paraId="34BBF78D">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10.数据保存：现场可存不少于90天的数据。</w:t>
      </w:r>
    </w:p>
    <w:p w14:paraId="23C035E4">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r>
        <w:rPr>
          <w:rFonts w:hint="eastAsia" w:ascii="宋体" w:hAnsi="宋体" w:eastAsia="宋体" w:cs="宋体"/>
          <w:color w:val="FF0000"/>
          <w:kern w:val="2"/>
          <w:sz w:val="24"/>
          <w:szCs w:val="21"/>
          <w:lang w:val="en-US" w:eastAsia="zh-CN" w:bidi="ar-SA"/>
        </w:rPr>
        <w:t>★</w:t>
      </w:r>
      <w:r>
        <w:rPr>
          <w:rFonts w:hint="eastAsia" w:ascii="宋体" w:hAnsi="宋体" w:eastAsia="宋体" w:cs="宋体"/>
          <w:kern w:val="2"/>
          <w:sz w:val="24"/>
          <w:szCs w:val="24"/>
          <w:lang w:val="en-US" w:eastAsia="zh-CN" w:bidi="ar-SA"/>
        </w:rPr>
        <w:t>扩展性：不带工控机的情况下可直接具有气象监测、车流量监测与视频监控、北斗定位等扩展功能。</w:t>
      </w:r>
    </w:p>
    <w:p w14:paraId="382759A6">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12.噪声监测子站每天的数据采集率应大于95%。</w:t>
      </w:r>
    </w:p>
    <w:p w14:paraId="3F4533FF">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13.当电力出现故障时可保证仪器通过电源模块供电，供电时长不小于24小时。</w:t>
      </w:r>
    </w:p>
    <w:p w14:paraId="776081EC">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r>
        <w:rPr>
          <w:rFonts w:hint="eastAsia" w:ascii="宋体" w:hAnsi="宋体" w:eastAsia="宋体" w:cs="宋体"/>
          <w:color w:val="FF0000"/>
          <w:kern w:val="2"/>
          <w:sz w:val="24"/>
          <w:szCs w:val="21"/>
          <w:lang w:val="en-US" w:eastAsia="zh-CN" w:bidi="ar-SA"/>
        </w:rPr>
        <w:t>★</w:t>
      </w:r>
      <w:r>
        <w:rPr>
          <w:rFonts w:hint="eastAsia" w:ascii="宋体" w:hAnsi="宋体" w:eastAsia="宋体" w:cs="宋体"/>
          <w:kern w:val="2"/>
          <w:sz w:val="24"/>
          <w:szCs w:val="24"/>
          <w:lang w:val="en-US" w:eastAsia="zh-CN" w:bidi="ar-SA"/>
        </w:rPr>
        <w:t>系统校准：系统应具有远程自检功能，自检时应包括传声器、前置级、噪声监测子站主机自检结果应与声校准器校准偏差不超过0.5dB。提供省级及以上法定计量机构出具的检定证书或校准证书（其中技术评价分析报告中型号规格要求与所投产品的型式评价报告中的型号完全相同）。</w:t>
      </w:r>
    </w:p>
    <w:p w14:paraId="1A1B0B54">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15.自动校准周期最小应支持每天校准。</w:t>
      </w:r>
    </w:p>
    <w:p w14:paraId="3790C97D">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16.总值分析功能</w:t>
      </w:r>
    </w:p>
    <w:p w14:paraId="0A7D9891">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分析功能：Leq, LN（5，10，50，90，95…可任选百分比），Lmax,Lmin,Ln,Ld,Ldn,SD；可进行A、C、Z计权的切换。</w:t>
      </w:r>
    </w:p>
    <w:p w14:paraId="0B294420">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  1/1频谱分析功能</w:t>
      </w:r>
    </w:p>
    <w:p w14:paraId="7AE5A236">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倍频程滤波器：16Hz、31.5Hz、63Hz、125Hz、250Hz、500Hz、1kHz、2kHz、4kHz、8kHz、16kHz。</w:t>
      </w:r>
    </w:p>
    <w:p w14:paraId="2CA28016">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  1/3频谱分析功能</w:t>
      </w:r>
    </w:p>
    <w:p w14:paraId="1A2F0B16">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FF0000"/>
          <w:kern w:val="2"/>
          <w:sz w:val="24"/>
          <w:szCs w:val="21"/>
          <w:lang w:val="en-US" w:eastAsia="zh-CN" w:bidi="ar-SA"/>
        </w:rPr>
        <w:t>★</w:t>
      </w:r>
      <w:bookmarkStart w:id="131" w:name="_GoBack"/>
      <w:bookmarkEnd w:id="131"/>
      <w:r>
        <w:rPr>
          <w:rFonts w:hint="eastAsia" w:ascii="宋体" w:hAnsi="宋体" w:eastAsia="宋体" w:cs="宋体"/>
          <w:kern w:val="2"/>
          <w:sz w:val="24"/>
          <w:szCs w:val="24"/>
          <w:lang w:val="en-US" w:eastAsia="zh-CN" w:bidi="ar-SA"/>
        </w:rPr>
        <w:t>1/3倍频程滤波器：16Hz、20Hz、25Hz、31.5Hz、40Hz、50Hz、63Hz、80Hz、100Hz、125Hz、160Hz、200Hz、250Hz、315Hz、400Hz、500Hz、630Hz、800Hz、1kHz、1.25kHz、1.6kHz、2kHz、2.5kHz、3.15kHz、4kHz、5kHz、6.3kHz、8kHz、10kHz、12.5kHz、16kHz、20kHz。滤波器输出信号的和符合接受限-1.8~+0.8dB(国家标准中的规定)的要求的。（提供省级以上法定计量机构的检定证书或校准证书（其中技术评价分析报告中型号规格要求与所投产品的型式评价报告中的型号完全相同）。</w:t>
      </w:r>
    </w:p>
    <w:p w14:paraId="7B599683">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19.录音功能：声音记录：系统应具有超标自动录音功能，采用无压缩的WAV格式，录音保存的总时长不应低于10个小时。</w:t>
      </w:r>
    </w:p>
    <w:p w14:paraId="25EB3761">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20.无线通信功能：通信协议符合HJ212-2017《污染物在线监控(监测)系统数据传输标准》。</w:t>
      </w:r>
    </w:p>
    <w:bookmarkEnd w:id="96"/>
    <w:p w14:paraId="3DEFA84B">
      <w:pPr>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商务条件</w:t>
      </w:r>
    </w:p>
    <w:p w14:paraId="5854CD3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1、付款方式：           </w:t>
      </w:r>
    </w:p>
    <w:p w14:paraId="261162A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生效后自收到发票后1个月内支付合同金额的50%作为预付款（凭供应商开具的相应金额发票进行支付）；服务期满，采购人支付剩余的运维费，甲方自收到发票后1个月内支付余款（凭供应商开具的相应金额发票进行支付）。</w:t>
      </w:r>
    </w:p>
    <w:p w14:paraId="1D880684">
      <w:pPr>
        <w:pStyle w:val="19"/>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0" w:beforeAutospacing="0" w:after="0"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2、合同履行期限：</w:t>
      </w:r>
      <w:r>
        <w:rPr>
          <w:rFonts w:hint="eastAsia" w:ascii="宋体" w:hAnsi="宋体" w:eastAsia="宋体" w:cs="宋体"/>
          <w:b w:val="0"/>
          <w:bCs w:val="0"/>
          <w:color w:val="auto"/>
          <w:sz w:val="24"/>
          <w:szCs w:val="24"/>
          <w:lang w:val="en-US" w:eastAsia="zh-CN"/>
        </w:rPr>
        <w:t>2025年11月16日-2026年11月15日。</w:t>
      </w:r>
    </w:p>
    <w:p w14:paraId="5BCDC338">
      <w:pPr>
        <w:spacing w:line="360" w:lineRule="auto"/>
        <w:ind w:firstLine="394" w:firstLineChars="197"/>
        <w:rPr>
          <w:rFonts w:hint="eastAsia" w:ascii="宋体" w:hAnsi="宋体" w:eastAsia="宋体" w:cs="宋体"/>
          <w:highlight w:val="none"/>
        </w:rPr>
      </w:pPr>
      <w:r>
        <w:rPr>
          <w:rFonts w:hint="eastAsia" w:ascii="宋体" w:hAnsi="宋体" w:eastAsia="宋体" w:cs="宋体"/>
          <w:highlight w:val="none"/>
        </w:rPr>
        <w:br w:type="page"/>
      </w:r>
    </w:p>
    <w:p w14:paraId="7ED55236">
      <w:pPr>
        <w:pStyle w:val="2"/>
        <w:snapToGrid w:val="0"/>
        <w:spacing w:before="0" w:after="0" w:line="360" w:lineRule="auto"/>
        <w:jc w:val="center"/>
        <w:rPr>
          <w:rFonts w:hint="eastAsia" w:ascii="宋体" w:hAnsi="宋体" w:eastAsia="宋体" w:cs="宋体"/>
        </w:rPr>
      </w:pPr>
      <w:bookmarkStart w:id="97" w:name="_Toc27254"/>
      <w:r>
        <w:rPr>
          <w:rFonts w:hint="eastAsia" w:ascii="宋体" w:hAnsi="宋体" w:eastAsia="宋体" w:cs="宋体"/>
        </w:rPr>
        <w:t xml:space="preserve">第五部分  </w:t>
      </w:r>
      <w:bookmarkEnd w:id="89"/>
      <w:r>
        <w:rPr>
          <w:rFonts w:hint="eastAsia" w:ascii="宋体" w:hAnsi="宋体" w:eastAsia="宋体" w:cs="宋体"/>
        </w:rPr>
        <w:t>政府采购合同主要条款指引</w:t>
      </w:r>
      <w:bookmarkEnd w:id="97"/>
    </w:p>
    <w:p w14:paraId="61F9ED9E">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38A43404">
      <w:pPr>
        <w:spacing w:line="480" w:lineRule="auto"/>
        <w:jc w:val="center"/>
        <w:rPr>
          <w:rFonts w:hint="eastAsia" w:ascii="宋体" w:hAnsi="宋体" w:eastAsia="宋体" w:cs="宋体"/>
          <w:b/>
          <w:color w:val="auto"/>
          <w:sz w:val="28"/>
          <w:szCs w:val="28"/>
        </w:rPr>
      </w:pPr>
    </w:p>
    <w:p w14:paraId="64A7E3FF">
      <w:pPr>
        <w:spacing w:line="480" w:lineRule="auto"/>
        <w:jc w:val="center"/>
        <w:rPr>
          <w:rFonts w:hint="eastAsia" w:ascii="宋体" w:hAnsi="宋体" w:eastAsia="宋体" w:cs="宋体"/>
          <w:b/>
          <w:color w:val="auto"/>
          <w:sz w:val="24"/>
        </w:rPr>
      </w:pPr>
    </w:p>
    <w:p w14:paraId="0BD2296D">
      <w:pPr>
        <w:spacing w:line="480" w:lineRule="auto"/>
        <w:jc w:val="center"/>
        <w:rPr>
          <w:rFonts w:hint="eastAsia" w:ascii="宋体" w:hAnsi="宋体" w:eastAsia="宋体" w:cs="宋体"/>
          <w:b/>
          <w:color w:val="auto"/>
          <w:sz w:val="24"/>
        </w:rPr>
      </w:pPr>
    </w:p>
    <w:p w14:paraId="0050B3F0">
      <w:pPr>
        <w:spacing w:line="480" w:lineRule="auto"/>
        <w:jc w:val="center"/>
        <w:outlineLvl w:val="0"/>
        <w:rPr>
          <w:rFonts w:hint="eastAsia" w:ascii="宋体" w:hAnsi="宋体" w:eastAsia="宋体" w:cs="宋体"/>
          <w:b/>
          <w:color w:val="auto"/>
          <w:sz w:val="36"/>
          <w:szCs w:val="36"/>
        </w:rPr>
      </w:pPr>
      <w:bookmarkStart w:id="98" w:name="_Toc823"/>
      <w:r>
        <w:rPr>
          <w:rFonts w:hint="eastAsia" w:ascii="宋体" w:hAnsi="宋体" w:eastAsia="宋体" w:cs="宋体"/>
          <w:b/>
          <w:color w:val="auto"/>
          <w:sz w:val="36"/>
          <w:szCs w:val="36"/>
        </w:rPr>
        <w:t>政府采购合同参考范本</w:t>
      </w:r>
      <w:bookmarkEnd w:id="98"/>
    </w:p>
    <w:p w14:paraId="71BEB33F">
      <w:pPr>
        <w:spacing w:before="120" w:line="22" w:lineRule="atLeast"/>
        <w:rPr>
          <w:rFonts w:hint="eastAsia" w:ascii="宋体" w:hAnsi="宋体" w:eastAsia="宋体" w:cs="宋体"/>
          <w:color w:val="auto"/>
          <w:sz w:val="24"/>
        </w:rPr>
      </w:pPr>
    </w:p>
    <w:p w14:paraId="1DA1A8F9">
      <w:pPr>
        <w:pStyle w:val="3"/>
        <w:tabs>
          <w:tab w:val="left" w:pos="432"/>
        </w:tabs>
        <w:outlineLvl w:val="9"/>
        <w:rPr>
          <w:rFonts w:hint="eastAsia" w:ascii="宋体" w:hAnsi="宋体" w:eastAsia="宋体" w:cs="宋体"/>
          <w:color w:val="auto"/>
        </w:rPr>
      </w:pPr>
    </w:p>
    <w:p w14:paraId="682BBF1B">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492A3467">
      <w:pPr>
        <w:pStyle w:val="145"/>
        <w:spacing w:before="120" w:line="22" w:lineRule="atLeast"/>
        <w:rPr>
          <w:rFonts w:hint="eastAsia" w:ascii="宋体" w:hAnsi="宋体" w:eastAsia="宋体" w:cs="宋体"/>
          <w:color w:val="auto"/>
          <w:szCs w:val="24"/>
        </w:rPr>
      </w:pPr>
    </w:p>
    <w:p w14:paraId="624BA7B2">
      <w:pPr>
        <w:pStyle w:val="145"/>
        <w:spacing w:before="120" w:line="22" w:lineRule="atLeast"/>
        <w:rPr>
          <w:rFonts w:hint="eastAsia" w:ascii="宋体" w:hAnsi="宋体" w:eastAsia="宋体" w:cs="宋体"/>
          <w:color w:val="auto"/>
          <w:szCs w:val="24"/>
        </w:rPr>
      </w:pPr>
    </w:p>
    <w:p w14:paraId="7D199FC5">
      <w:pPr>
        <w:rPr>
          <w:rFonts w:hint="eastAsia" w:ascii="宋体" w:hAnsi="宋体" w:eastAsia="宋体" w:cs="宋体"/>
          <w:color w:val="auto"/>
          <w:sz w:val="24"/>
        </w:rPr>
      </w:pPr>
    </w:p>
    <w:p w14:paraId="707699D3">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6E5341E5">
      <w:pPr>
        <w:spacing w:before="120" w:line="22" w:lineRule="atLeast"/>
        <w:rPr>
          <w:rFonts w:hint="eastAsia" w:ascii="宋体" w:hAnsi="宋体" w:eastAsia="宋体" w:cs="宋体"/>
          <w:color w:val="auto"/>
          <w:sz w:val="24"/>
        </w:rPr>
      </w:pPr>
    </w:p>
    <w:p w14:paraId="05156CCF">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3959DE5A">
      <w:pPr>
        <w:spacing w:before="120" w:line="22" w:lineRule="atLeast"/>
        <w:rPr>
          <w:rFonts w:hint="eastAsia" w:ascii="宋体" w:hAnsi="宋体" w:eastAsia="宋体" w:cs="宋体"/>
          <w:color w:val="auto"/>
          <w:sz w:val="24"/>
        </w:rPr>
      </w:pPr>
    </w:p>
    <w:p w14:paraId="029E90F6">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5368B995">
      <w:pPr>
        <w:spacing w:before="120" w:line="22" w:lineRule="atLeast"/>
        <w:rPr>
          <w:rFonts w:hint="eastAsia" w:ascii="宋体" w:hAnsi="宋体" w:eastAsia="宋体" w:cs="宋体"/>
          <w:color w:val="auto"/>
          <w:sz w:val="24"/>
        </w:rPr>
      </w:pPr>
    </w:p>
    <w:p w14:paraId="3C29C017">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5B77DDC">
      <w:pPr>
        <w:widowControl/>
        <w:jc w:val="left"/>
        <w:rPr>
          <w:rFonts w:hint="eastAsia" w:ascii="宋体" w:hAnsi="宋体" w:eastAsia="宋体" w:cs="宋体"/>
          <w:color w:val="auto"/>
          <w:kern w:val="0"/>
          <w:sz w:val="24"/>
        </w:rPr>
        <w:sectPr>
          <w:headerReference r:id="rId6" w:type="default"/>
          <w:pgSz w:w="11905" w:h="16838"/>
          <w:pgMar w:top="2040" w:right="1083" w:bottom="1440" w:left="1883" w:header="567" w:footer="567" w:gutter="0"/>
          <w:cols w:space="0" w:num="1"/>
          <w:titlePg/>
          <w:rtlGutter w:val="0"/>
          <w:docGrid w:linePitch="0" w:charSpace="0"/>
        </w:sectPr>
      </w:pPr>
    </w:p>
    <w:p w14:paraId="4B74DCFE">
      <w:pPr>
        <w:spacing w:line="480" w:lineRule="auto"/>
        <w:jc w:val="center"/>
        <w:rPr>
          <w:rFonts w:hint="eastAsia" w:ascii="宋体" w:hAnsi="宋体" w:eastAsia="宋体" w:cs="宋体"/>
          <w:b/>
          <w:sz w:val="24"/>
        </w:rPr>
      </w:pPr>
    </w:p>
    <w:p w14:paraId="767C422D">
      <w:pPr>
        <w:snapToGrid w:val="0"/>
        <w:spacing w:line="360" w:lineRule="auto"/>
        <w:rPr>
          <w:rFonts w:hint="eastAsia" w:ascii="宋体" w:hAnsi="宋体" w:eastAsia="宋体" w:cs="宋体"/>
          <w:sz w:val="24"/>
          <w:lang w:val="en-US" w:eastAsia="zh-CN"/>
        </w:rPr>
      </w:pPr>
      <w:r>
        <w:rPr>
          <w:rFonts w:hint="eastAsia" w:ascii="宋体" w:hAnsi="宋体" w:eastAsia="宋体" w:cs="宋体"/>
          <w:sz w:val="24"/>
        </w:rPr>
        <w:t>项目名称：</w:t>
      </w:r>
      <w:r>
        <w:rPr>
          <w:rFonts w:hint="eastAsia" w:ascii="宋体" w:hAnsi="宋体" w:eastAsia="宋体" w:cs="宋体"/>
          <w:sz w:val="24"/>
          <w:u w:val="single"/>
          <w:lang w:val="en-US" w:eastAsia="zh-CN"/>
        </w:rPr>
        <w:t xml:space="preserve">                                          </w:t>
      </w:r>
    </w:p>
    <w:p w14:paraId="3F795CCE">
      <w:pPr>
        <w:snapToGrid w:val="0"/>
        <w:spacing w:line="360" w:lineRule="auto"/>
        <w:rPr>
          <w:rFonts w:hint="eastAsia" w:ascii="宋体" w:hAnsi="宋体" w:eastAsia="宋体" w:cs="宋体"/>
          <w:sz w:val="24"/>
          <w:lang w:val="en-US" w:eastAsia="zh-CN"/>
        </w:rPr>
      </w:pPr>
      <w:r>
        <w:rPr>
          <w:rFonts w:hint="eastAsia" w:ascii="宋体" w:hAnsi="宋体" w:eastAsia="宋体" w:cs="宋体"/>
          <w:sz w:val="24"/>
        </w:rPr>
        <w:t>项目编号：</w:t>
      </w:r>
      <w:r>
        <w:rPr>
          <w:rFonts w:hint="eastAsia" w:ascii="宋体" w:hAnsi="宋体" w:eastAsia="宋体" w:cs="宋体"/>
          <w:b/>
          <w:sz w:val="24"/>
          <w:u w:val="single"/>
          <w:lang w:val="en-US" w:eastAsia="zh-CN"/>
        </w:rPr>
        <w:t xml:space="preserve">                                          </w:t>
      </w:r>
    </w:p>
    <w:p w14:paraId="52F89EBE">
      <w:pPr>
        <w:pStyle w:val="24"/>
        <w:snapToGrid w:val="0"/>
        <w:spacing w:before="120" w:after="120" w:line="360" w:lineRule="auto"/>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（采购人）                                 </w:t>
      </w:r>
    </w:p>
    <w:p w14:paraId="4EBA5972">
      <w:pPr>
        <w:pStyle w:val="24"/>
        <w:snapToGrid w:val="0"/>
        <w:spacing w:before="120" w:after="120" w:line="360" w:lineRule="auto"/>
        <w:rPr>
          <w:rFonts w:hint="eastAsia" w:ascii="宋体" w:hAnsi="宋体" w:eastAsia="宋体" w:cs="宋体"/>
          <w:sz w:val="24"/>
        </w:rPr>
      </w:pPr>
      <w:r>
        <w:rPr>
          <w:rFonts w:hint="eastAsia" w:ascii="宋体" w:hAnsi="宋体" w:eastAsia="宋体" w:cs="宋体"/>
          <w:sz w:val="24"/>
        </w:rPr>
        <w:t>所 在 地：</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48C1CCD">
      <w:pPr>
        <w:pStyle w:val="24"/>
        <w:snapToGrid w:val="0"/>
        <w:spacing w:before="120" w:after="120" w:line="360" w:lineRule="auto"/>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（中标人）                                 </w:t>
      </w:r>
    </w:p>
    <w:p w14:paraId="2D25C896">
      <w:pPr>
        <w:pStyle w:val="24"/>
        <w:snapToGrid w:val="0"/>
        <w:spacing w:before="120" w:after="120" w:line="360" w:lineRule="auto"/>
        <w:rPr>
          <w:rFonts w:hint="eastAsia" w:ascii="宋体" w:hAnsi="宋体" w:eastAsia="宋体" w:cs="宋体"/>
          <w:sz w:val="24"/>
          <w:u w:val="single"/>
        </w:rPr>
      </w:pPr>
      <w:r>
        <w:rPr>
          <w:rFonts w:hint="eastAsia" w:ascii="宋体" w:hAnsi="宋体" w:eastAsia="宋体" w:cs="宋体"/>
          <w:sz w:val="24"/>
        </w:rPr>
        <w:t>所 在 地：</w:t>
      </w:r>
      <w:r>
        <w:rPr>
          <w:rFonts w:hint="eastAsia" w:ascii="宋体" w:hAnsi="宋体" w:eastAsia="宋体" w:cs="宋体"/>
          <w:sz w:val="24"/>
          <w:u w:val="single"/>
        </w:rPr>
        <w:t xml:space="preserve">                                           </w:t>
      </w:r>
    </w:p>
    <w:p w14:paraId="54B25713">
      <w:pPr>
        <w:rPr>
          <w:rFonts w:hint="eastAsia" w:ascii="宋体" w:hAnsi="宋体" w:eastAsia="宋体" w:cs="宋体"/>
          <w:b/>
          <w:color w:val="auto"/>
          <w:sz w:val="24"/>
        </w:rPr>
      </w:pPr>
    </w:p>
    <w:p w14:paraId="6FDD9A15">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rPr>
        <w:t>甲、乙双方根据</w:t>
      </w:r>
      <w:r>
        <w:rPr>
          <w:rFonts w:hint="eastAsia" w:ascii="宋体" w:hAnsi="宋体" w:eastAsia="宋体" w:cs="宋体"/>
          <w:color w:val="auto"/>
          <w:sz w:val="24"/>
          <w:lang w:eastAsia="zh-CN"/>
        </w:rPr>
        <w:t>台州锋鼎工程项目管理有限公司</w:t>
      </w:r>
      <w:r>
        <w:rPr>
          <w:rFonts w:hint="eastAsia" w:ascii="宋体" w:hAnsi="宋体" w:eastAsia="宋体" w:cs="宋体"/>
          <w:color w:val="auto"/>
          <w:sz w:val="24"/>
        </w:rPr>
        <w:t>关于浙江省台州生态环境监测中心</w:t>
      </w:r>
      <w:r>
        <w:rPr>
          <w:rFonts w:hint="eastAsia" w:ascii="宋体" w:hAnsi="宋体" w:eastAsia="宋体" w:cs="宋体"/>
          <w:sz w:val="24"/>
          <w:shd w:val="clear" w:color="auto" w:fill="FFFFFF"/>
          <w:lang w:eastAsia="zh-CN" w:bidi="ar"/>
        </w:rPr>
        <w:t>2025年台州市环境噪声自动监测设备运维项目</w:t>
      </w:r>
      <w:r>
        <w:rPr>
          <w:rFonts w:hint="eastAsia" w:ascii="宋体" w:hAnsi="宋体" w:eastAsia="宋体" w:cs="宋体"/>
          <w:color w:val="auto"/>
          <w:sz w:val="24"/>
          <w:lang w:eastAsia="zh-CN"/>
        </w:rPr>
        <w:t>竞争性磋商采购</w:t>
      </w:r>
      <w:r>
        <w:rPr>
          <w:rFonts w:hint="eastAsia" w:ascii="宋体" w:hAnsi="宋体" w:eastAsia="宋体" w:cs="宋体"/>
          <w:color w:val="auto"/>
          <w:sz w:val="24"/>
        </w:rPr>
        <w:t>的结果，签署本合同。</w:t>
      </w:r>
    </w:p>
    <w:p w14:paraId="4D800E98">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99" w:name="_Toc28968"/>
      <w:r>
        <w:rPr>
          <w:rFonts w:hint="eastAsia" w:ascii="宋体" w:hAnsi="宋体" w:eastAsia="宋体" w:cs="宋体"/>
          <w:b/>
          <w:color w:val="auto"/>
          <w:sz w:val="24"/>
          <w:lang w:val="zh-CN"/>
        </w:rPr>
        <w:t>一、合同文件：</w:t>
      </w:r>
      <w:bookmarkEnd w:id="99"/>
      <w:r>
        <w:rPr>
          <w:rFonts w:hint="eastAsia" w:ascii="宋体" w:hAnsi="宋体" w:eastAsia="宋体" w:cs="宋体"/>
          <w:b/>
          <w:color w:val="auto"/>
          <w:sz w:val="24"/>
          <w:lang w:val="zh-CN"/>
        </w:rPr>
        <w:t xml:space="preserve"> </w:t>
      </w:r>
    </w:p>
    <w:p w14:paraId="323A2AE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1.合同条款。</w:t>
      </w:r>
    </w:p>
    <w:p w14:paraId="3103193A">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2.中标通知书。</w:t>
      </w:r>
    </w:p>
    <w:p w14:paraId="41D33B56">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3.更正补充文件。</w:t>
      </w:r>
    </w:p>
    <w:p w14:paraId="402A745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4.招标文件。</w:t>
      </w:r>
    </w:p>
    <w:p w14:paraId="72718BFD">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5.中标人投标文件。</w:t>
      </w:r>
    </w:p>
    <w:p w14:paraId="164B9687">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6.其他。</w:t>
      </w:r>
    </w:p>
    <w:p w14:paraId="2E83C02B">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上述所指合同文件应认为是互相补充和解释的，但是有模棱两可或互相矛盾之处，以其所列内容顺序为准。</w:t>
      </w:r>
    </w:p>
    <w:p w14:paraId="68AEBD51">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0" w:name="_Toc6819"/>
      <w:r>
        <w:rPr>
          <w:rFonts w:hint="eastAsia" w:ascii="宋体" w:hAnsi="宋体" w:eastAsia="宋体" w:cs="宋体"/>
          <w:b/>
          <w:color w:val="auto"/>
          <w:sz w:val="24"/>
          <w:lang w:val="zh-CN"/>
        </w:rPr>
        <w:t>二、合同内容及服务标准</w:t>
      </w:r>
      <w:bookmarkEnd w:id="100"/>
    </w:p>
    <w:p w14:paraId="2DEA5491">
      <w:pPr>
        <w:spacing w:line="360" w:lineRule="auto"/>
        <w:ind w:firstLine="482" w:firstLineChars="200"/>
        <w:rPr>
          <w:rFonts w:hint="eastAsia" w:ascii="宋体" w:hAnsi="宋体" w:eastAsia="宋体" w:cs="宋体"/>
          <w:color w:val="auto"/>
          <w:kern w:val="2"/>
          <w:sz w:val="24"/>
          <w:szCs w:val="21"/>
          <w:lang w:val="en-US" w:eastAsia="zh-CN" w:bidi="ar-SA"/>
        </w:rPr>
      </w:pPr>
      <w:bookmarkStart w:id="101" w:name="_Toc12412"/>
      <w:r>
        <w:rPr>
          <w:rFonts w:hint="eastAsia" w:ascii="仿宋" w:hAnsi="仿宋" w:eastAsia="仿宋" w:cs="Calibri"/>
          <w:b/>
          <w:kern w:val="0"/>
          <w:sz w:val="24"/>
          <w:szCs w:val="24"/>
          <w:shd w:val="clear" w:color="auto" w:fill="FFFFFF"/>
          <w:lang w:val="en-US" w:eastAsia="zh-CN" w:bidi="ar-SA"/>
        </w:rPr>
        <w:t>1.</w:t>
      </w:r>
      <w:r>
        <w:rPr>
          <w:rFonts w:hint="eastAsia" w:ascii="仿宋" w:hAnsi="仿宋" w:eastAsia="仿宋" w:cs="Calibri"/>
          <w:b/>
          <w:kern w:val="0"/>
          <w:sz w:val="24"/>
          <w:szCs w:val="24"/>
          <w:shd w:val="clear" w:color="auto" w:fill="FFFFFF"/>
          <w:lang w:val="en" w:eastAsia="zh-CN" w:bidi="ar-SA"/>
        </w:rPr>
        <w:t>维护标准：</w:t>
      </w:r>
      <w:r>
        <w:rPr>
          <w:rFonts w:hint="eastAsia" w:ascii="宋体" w:hAnsi="宋体" w:eastAsia="宋体" w:cs="宋体"/>
          <w:color w:val="auto"/>
          <w:kern w:val="2"/>
          <w:sz w:val="24"/>
          <w:szCs w:val="21"/>
          <w:lang w:val="en" w:eastAsia="zh-CN" w:bidi="ar-SA"/>
        </w:rPr>
        <w:t>按照《环境噪声自动监测技术要求》（</w:t>
      </w:r>
      <w:r>
        <w:rPr>
          <w:rFonts w:hint="eastAsia" w:ascii="宋体" w:hAnsi="宋体" w:eastAsia="宋体" w:cs="宋体"/>
          <w:color w:val="auto"/>
          <w:kern w:val="2"/>
          <w:sz w:val="24"/>
          <w:szCs w:val="21"/>
          <w:lang w:val="zh-CN" w:eastAsia="zh-CN" w:bidi="ar-SA"/>
        </w:rPr>
        <w:t>HJ 907</w:t>
      </w:r>
      <w:r>
        <w:rPr>
          <w:rFonts w:hint="eastAsia" w:ascii="宋体" w:hAnsi="宋体" w:eastAsia="宋体" w:cs="宋体"/>
          <w:color w:val="auto"/>
          <w:kern w:val="2"/>
          <w:sz w:val="24"/>
          <w:szCs w:val="21"/>
          <w:lang w:val="en" w:eastAsia="zh-CN" w:bidi="ar-SA"/>
        </w:rPr>
        <w:t>-20</w:t>
      </w:r>
      <w:r>
        <w:rPr>
          <w:rFonts w:hint="eastAsia" w:ascii="宋体" w:hAnsi="宋体" w:eastAsia="宋体" w:cs="宋体"/>
          <w:color w:val="auto"/>
          <w:kern w:val="2"/>
          <w:sz w:val="24"/>
          <w:szCs w:val="21"/>
          <w:lang w:val="zh-CN" w:eastAsia="zh-CN" w:bidi="ar-SA"/>
        </w:rPr>
        <w:t>17</w:t>
      </w:r>
      <w:r>
        <w:rPr>
          <w:rFonts w:hint="eastAsia" w:ascii="宋体" w:hAnsi="宋体" w:eastAsia="宋体" w:cs="宋体"/>
          <w:color w:val="auto"/>
          <w:kern w:val="2"/>
          <w:sz w:val="24"/>
          <w:szCs w:val="21"/>
          <w:lang w:val="en" w:eastAsia="zh-CN" w:bidi="ar-SA"/>
        </w:rPr>
        <w:t>）、《功能区声环境质量自动监测运行维护和质量控制技术要求（试行）》、仪器说明书等文件要求，本项目采用全包的形式，对辖区内开展</w:t>
      </w:r>
      <w:r>
        <w:rPr>
          <w:rFonts w:hint="eastAsia" w:ascii="宋体" w:hAnsi="宋体" w:eastAsia="宋体" w:cs="宋体"/>
          <w:color w:val="auto"/>
          <w:kern w:val="2"/>
          <w:sz w:val="24"/>
          <w:szCs w:val="21"/>
          <w:lang w:val="en-US" w:eastAsia="zh-CN" w:bidi="ar-SA"/>
        </w:rPr>
        <w:t>8</w:t>
      </w:r>
      <w:r>
        <w:rPr>
          <w:rFonts w:hint="eastAsia" w:ascii="宋体" w:hAnsi="宋体" w:eastAsia="宋体" w:cs="宋体"/>
          <w:color w:val="auto"/>
          <w:kern w:val="2"/>
          <w:sz w:val="24"/>
          <w:szCs w:val="21"/>
          <w:lang w:val="zh-CN" w:eastAsia="zh-CN" w:bidi="ar-SA"/>
        </w:rPr>
        <w:t>个噪声自动监测站运维，确保</w:t>
      </w:r>
      <w:r>
        <w:rPr>
          <w:rFonts w:hint="eastAsia" w:ascii="宋体" w:hAnsi="宋体" w:eastAsia="宋体" w:cs="宋体"/>
          <w:color w:val="auto"/>
          <w:kern w:val="2"/>
          <w:sz w:val="24"/>
          <w:szCs w:val="21"/>
          <w:lang w:val="en-US" w:eastAsia="zh-CN" w:bidi="ar-SA"/>
        </w:rPr>
        <w:t>8</w:t>
      </w:r>
      <w:r>
        <w:rPr>
          <w:rFonts w:hint="eastAsia" w:ascii="宋体" w:hAnsi="宋体" w:eastAsia="宋体" w:cs="宋体"/>
          <w:color w:val="auto"/>
          <w:kern w:val="2"/>
          <w:sz w:val="24"/>
          <w:szCs w:val="21"/>
          <w:lang w:val="zh-CN" w:eastAsia="zh-CN" w:bidi="ar-SA"/>
        </w:rPr>
        <w:t>个站点正常运行，运维过程中需要的耗材、维修、配件、</w:t>
      </w:r>
      <w:r>
        <w:rPr>
          <w:rFonts w:hint="eastAsia" w:ascii="宋体" w:hAnsi="宋体" w:eastAsia="宋体" w:cs="宋体"/>
          <w:color w:val="auto"/>
          <w:kern w:val="2"/>
          <w:sz w:val="24"/>
          <w:szCs w:val="21"/>
          <w:lang w:val="en-US" w:eastAsia="zh-CN" w:bidi="ar-SA"/>
        </w:rPr>
        <w:t>检定</w:t>
      </w:r>
      <w:r>
        <w:rPr>
          <w:rFonts w:hint="eastAsia" w:ascii="宋体" w:hAnsi="宋体" w:eastAsia="宋体" w:cs="宋体"/>
          <w:color w:val="auto"/>
          <w:kern w:val="2"/>
          <w:sz w:val="24"/>
          <w:szCs w:val="21"/>
          <w:lang w:val="zh-CN" w:eastAsia="zh-CN" w:bidi="ar-SA"/>
        </w:rPr>
        <w:t>，均由运维方承担</w:t>
      </w:r>
      <w:r>
        <w:rPr>
          <w:rFonts w:hint="eastAsia" w:ascii="宋体" w:hAnsi="宋体" w:eastAsia="宋体" w:cs="宋体"/>
          <w:color w:val="auto"/>
          <w:kern w:val="2"/>
          <w:sz w:val="24"/>
          <w:szCs w:val="21"/>
          <w:lang w:val="en" w:eastAsia="zh-CN" w:bidi="ar-SA"/>
        </w:rPr>
        <w:t>。</w:t>
      </w:r>
      <w:r>
        <w:rPr>
          <w:rFonts w:hint="eastAsia" w:ascii="宋体" w:hAnsi="宋体" w:eastAsia="宋体" w:cs="宋体"/>
          <w:color w:val="auto"/>
          <w:kern w:val="2"/>
          <w:sz w:val="24"/>
          <w:szCs w:val="21"/>
          <w:lang w:val="en-US" w:eastAsia="zh-CN" w:bidi="ar-SA"/>
        </w:rPr>
        <w:t>同时，由于设备建设年限较早，其中5个站点作为国控功能区噪声自动监测站点已经难以满足当前需求，亟需对设备核心部件进行全面的升级改造，确保设备监测数据稳定采集、传输，有效率达到国、省、市相关要求。</w:t>
      </w:r>
    </w:p>
    <w:p w14:paraId="41856EE1">
      <w:pPr>
        <w:pStyle w:val="13"/>
        <w:rPr>
          <w:rFonts w:hint="default"/>
          <w:lang w:val="en-US" w:eastAsia="zh-CN"/>
        </w:rPr>
      </w:pPr>
      <w:r>
        <w:rPr>
          <w:rFonts w:hint="eastAsia" w:ascii="仿宋" w:hAnsi="仿宋" w:eastAsia="仿宋" w:cs="Calibri"/>
          <w:b/>
          <w:kern w:val="0"/>
          <w:sz w:val="24"/>
          <w:shd w:val="clear" w:color="auto" w:fill="FFFFFF"/>
          <w:lang w:val="en-US" w:eastAsia="zh-CN"/>
        </w:rPr>
        <w:t>2.服务内容详见招标需求。</w:t>
      </w:r>
    </w:p>
    <w:p w14:paraId="42EDF23E">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r>
        <w:rPr>
          <w:rFonts w:hint="eastAsia" w:ascii="宋体" w:hAnsi="宋体" w:eastAsia="宋体" w:cs="宋体"/>
          <w:b/>
          <w:color w:val="auto"/>
          <w:sz w:val="24"/>
          <w:lang w:val="zh-CN"/>
        </w:rPr>
        <w:t>三、合同金额</w:t>
      </w:r>
      <w:bookmarkEnd w:id="101"/>
    </w:p>
    <w:p w14:paraId="2EF070EC">
      <w:pPr>
        <w:pStyle w:val="24"/>
        <w:keepNext w:val="0"/>
        <w:keepLines w:val="0"/>
        <w:pageBreakBefore w:val="0"/>
        <w:kinsoku/>
        <w:wordWrap/>
        <w:overflowPunct/>
        <w:topLinePunct w:val="0"/>
        <w:bidi w:val="0"/>
        <w:adjustRightInd w:val="0"/>
        <w:snapToGrid w:val="0"/>
        <w:spacing w:line="360" w:lineRule="auto"/>
        <w:ind w:left="410" w:hanging="410" w:hangingChars="171"/>
        <w:textAlignment w:val="auto"/>
        <w:rPr>
          <w:rFonts w:hint="eastAsia" w:ascii="宋体" w:hAnsi="宋体" w:eastAsia="宋体" w:cs="宋体"/>
          <w:color w:val="auto"/>
          <w:sz w:val="24"/>
        </w:rPr>
      </w:pPr>
      <w:r>
        <w:rPr>
          <w:rFonts w:hint="eastAsia" w:ascii="宋体" w:hAnsi="宋体" w:eastAsia="宋体" w:cs="宋体"/>
          <w:color w:val="auto"/>
          <w:sz w:val="24"/>
        </w:rPr>
        <w:t xml:space="preserve">   本合同金额为（大写）：</w:t>
      </w:r>
      <w:r>
        <w:rPr>
          <w:rFonts w:hint="eastAsia" w:ascii="宋体" w:hAnsi="宋体" w:eastAsia="宋体" w:cs="宋体"/>
          <w:color w:val="auto"/>
          <w:sz w:val="24"/>
          <w:lang w:eastAsia="zh-CN"/>
        </w:rPr>
        <w:t>人民币</w:t>
      </w:r>
      <w:r>
        <w:rPr>
          <w:rFonts w:hint="eastAsia" w:ascii="宋体" w:hAnsi="宋体" w:eastAsia="宋体" w:cs="宋体"/>
          <w:color w:val="auto"/>
          <w:sz w:val="24"/>
        </w:rPr>
        <w:t>____________元（￥_________元）人民币。</w:t>
      </w:r>
    </w:p>
    <w:p w14:paraId="1215007F">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2" w:name="_Toc13192"/>
      <w:r>
        <w:rPr>
          <w:rFonts w:hint="eastAsia" w:ascii="宋体" w:hAnsi="宋体" w:eastAsia="宋体" w:cs="宋体"/>
          <w:b/>
          <w:color w:val="auto"/>
          <w:sz w:val="24"/>
          <w:lang w:val="zh-CN"/>
        </w:rPr>
        <w:t>四、技术资料</w:t>
      </w:r>
      <w:bookmarkEnd w:id="102"/>
    </w:p>
    <w:p w14:paraId="2768B238">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1.乙方应按招标文件规定的时间向甲方提供使用货物的有关技术资料。</w:t>
      </w:r>
    </w:p>
    <w:p w14:paraId="4253CB49">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90A3AD">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3" w:name="_Toc10828"/>
      <w:r>
        <w:rPr>
          <w:rFonts w:hint="eastAsia" w:ascii="宋体" w:hAnsi="宋体" w:eastAsia="宋体" w:cs="宋体"/>
          <w:b/>
          <w:color w:val="auto"/>
          <w:sz w:val="24"/>
          <w:lang w:val="zh-CN"/>
        </w:rPr>
        <w:t>五、知识产权</w:t>
      </w:r>
      <w:bookmarkEnd w:id="103"/>
    </w:p>
    <w:p w14:paraId="22F2A99C">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1.乙方应保证所提供的货物或其任何一部分均不会侵犯任何第三方的知识产权。</w:t>
      </w:r>
    </w:p>
    <w:p w14:paraId="149A52FA">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2.若侵犯,由乙方赔偿甲方因此遭受的损失（包括但不限于应对及追偿过程中所支付的律师费、差旅费、诉讼费、保全费、鉴定费、评估费等）。</w:t>
      </w:r>
    </w:p>
    <w:p w14:paraId="023E0B5A">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4" w:name="_Toc7479"/>
      <w:r>
        <w:rPr>
          <w:rFonts w:hint="eastAsia" w:ascii="宋体" w:hAnsi="宋体" w:eastAsia="宋体" w:cs="宋体"/>
          <w:b/>
          <w:color w:val="auto"/>
          <w:sz w:val="24"/>
          <w:lang w:val="zh-CN"/>
        </w:rPr>
        <w:t>六、产权担保</w:t>
      </w:r>
      <w:bookmarkEnd w:id="104"/>
    </w:p>
    <w:p w14:paraId="2B6D4B3C">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rPr>
        <w:t>乙方保证所交付的货物的所有权完全属于乙方且无任何抵押、查封等产权瑕疵。</w:t>
      </w:r>
    </w:p>
    <w:p w14:paraId="519506D5">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5" w:name="_Toc31238"/>
      <w:r>
        <w:rPr>
          <w:rFonts w:hint="eastAsia" w:ascii="宋体" w:hAnsi="宋体" w:eastAsia="宋体" w:cs="宋体"/>
          <w:b/>
          <w:color w:val="auto"/>
          <w:sz w:val="24"/>
          <w:lang w:val="zh-CN"/>
        </w:rPr>
        <w:t>七、履约保证金</w:t>
      </w:r>
      <w:bookmarkEnd w:id="105"/>
    </w:p>
    <w:p w14:paraId="38CBAC7C">
      <w:pPr>
        <w:pStyle w:val="20"/>
        <w:keepNext w:val="0"/>
        <w:keepLines w:val="0"/>
        <w:pageBreakBefore w:val="0"/>
        <w:kinsoku/>
        <w:wordWrap/>
        <w:overflowPunct/>
        <w:topLinePunct w:val="0"/>
        <w:bidi w:val="0"/>
        <w:adjustRightInd w:val="0"/>
        <w:spacing w:line="360" w:lineRule="auto"/>
        <w:ind w:left="0" w:leftChars="0"/>
        <w:textAlignment w:val="auto"/>
        <w:rPr>
          <w:rFonts w:hint="eastAsia" w:ascii="宋体" w:hAnsi="宋体" w:eastAsia="宋体" w:cs="宋体"/>
          <w:color w:val="auto"/>
          <w:u w:val="single"/>
          <w:lang w:val="en-US"/>
        </w:rPr>
      </w:pPr>
      <w:r>
        <w:rPr>
          <w:rFonts w:hint="eastAsia" w:ascii="宋体" w:hAnsi="宋体" w:eastAsia="宋体" w:cs="宋体"/>
          <w:color w:val="auto"/>
          <w:lang w:val="en-US"/>
        </w:rPr>
        <w:t xml:space="preserve">    </w:t>
      </w:r>
      <w:r>
        <w:rPr>
          <w:rFonts w:hint="eastAsia" w:ascii="宋体" w:hAnsi="宋体" w:eastAsia="宋体" w:cs="宋体"/>
          <w:color w:val="auto"/>
          <w:u w:val="single"/>
          <w:lang w:val="en-US"/>
        </w:rPr>
        <w:t xml:space="preserve">    无 。</w:t>
      </w:r>
    </w:p>
    <w:p w14:paraId="29845736">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6" w:name="_Toc20821"/>
      <w:r>
        <w:rPr>
          <w:rFonts w:hint="eastAsia" w:ascii="宋体" w:hAnsi="宋体" w:eastAsia="宋体" w:cs="宋体"/>
          <w:b/>
          <w:color w:val="auto"/>
          <w:sz w:val="24"/>
          <w:lang w:val="zh-CN"/>
        </w:rPr>
        <w:t>八、转包或分包</w:t>
      </w:r>
      <w:bookmarkEnd w:id="106"/>
    </w:p>
    <w:p w14:paraId="4B0F706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1.本合同范围的货物，应由乙方直接供应，不得转让他人供应；</w:t>
      </w:r>
    </w:p>
    <w:p w14:paraId="2988D89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2.除非得到甲方的书面同意，乙方不得将本合同范围的货物全部或部分分包给他人供应；</w:t>
      </w:r>
    </w:p>
    <w:p w14:paraId="28215BF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3.如有转让和未经甲方同意的分包行为，甲方有权解除合同，没收履约保证金并追究乙方的违约责任。</w:t>
      </w:r>
    </w:p>
    <w:p w14:paraId="56ED1EDF">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7" w:name="_Toc5857"/>
      <w:r>
        <w:rPr>
          <w:rFonts w:hint="eastAsia" w:ascii="宋体" w:hAnsi="宋体" w:eastAsia="宋体" w:cs="宋体"/>
          <w:b/>
          <w:color w:val="auto"/>
          <w:sz w:val="24"/>
          <w:lang w:val="zh-CN"/>
        </w:rPr>
        <w:t>九、</w:t>
      </w:r>
      <w:bookmarkEnd w:id="107"/>
      <w:r>
        <w:rPr>
          <w:rFonts w:hint="eastAsia" w:ascii="宋体" w:hAnsi="宋体" w:eastAsia="宋体" w:cs="宋体"/>
          <w:b/>
          <w:color w:val="auto"/>
          <w:sz w:val="24"/>
          <w:lang w:val="zh-CN"/>
        </w:rPr>
        <w:t>合同履行期限</w:t>
      </w:r>
    </w:p>
    <w:p w14:paraId="45B78DF2">
      <w:pPr>
        <w:pStyle w:val="24"/>
        <w:keepNext w:val="0"/>
        <w:keepLines w:val="0"/>
        <w:pageBreakBefore w:val="0"/>
        <w:kinsoku/>
        <w:wordWrap/>
        <w:overflowPunct/>
        <w:topLinePunct w:val="0"/>
        <w:bidi w:val="0"/>
        <w:adjustRightInd w:val="0"/>
        <w:snapToGrid w:val="0"/>
        <w:spacing w:line="360" w:lineRule="auto"/>
        <w:ind w:firstLine="480" w:firstLineChars="200"/>
        <w:textAlignment w:val="auto"/>
        <w:outlineLvl w:val="0"/>
        <w:rPr>
          <w:rFonts w:hint="eastAsia" w:ascii="宋体" w:hAnsi="宋体" w:eastAsia="宋体" w:cs="宋体"/>
          <w:color w:val="auto"/>
          <w:kern w:val="0"/>
          <w:sz w:val="24"/>
          <w:szCs w:val="20"/>
          <w:lang w:val="en-US" w:eastAsia="zh-CN" w:bidi="ar-SA"/>
        </w:rPr>
      </w:pPr>
      <w:bookmarkStart w:id="108" w:name="_Toc26054"/>
      <w:r>
        <w:rPr>
          <w:rFonts w:hint="eastAsia" w:ascii="宋体" w:hAnsi="宋体" w:eastAsia="宋体" w:cs="宋体"/>
          <w:color w:val="auto"/>
          <w:kern w:val="0"/>
          <w:sz w:val="24"/>
          <w:szCs w:val="20"/>
          <w:lang w:val="en-US" w:eastAsia="zh-CN" w:bidi="ar-SA"/>
        </w:rPr>
        <w:t>合同履行期限：2025年11月16日-2026年11月15日。</w:t>
      </w:r>
    </w:p>
    <w:p w14:paraId="41D5AF7E">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lang w:val="zh-CN"/>
        </w:rPr>
        <w:t>十、合同履行方式及履行地点</w:t>
      </w:r>
      <w:bookmarkEnd w:id="108"/>
    </w:p>
    <w:p w14:paraId="41B591BF">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1.履行方式：乙方在约定的时间内完成项目实施。</w:t>
      </w:r>
    </w:p>
    <w:p w14:paraId="614DF30F">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rPr>
      </w:pPr>
      <w:r>
        <w:rPr>
          <w:rFonts w:hint="eastAsia" w:ascii="宋体" w:hAnsi="宋体" w:eastAsia="宋体" w:cs="宋体"/>
          <w:snapToGrid/>
          <w:color w:val="auto"/>
          <w:sz w:val="24"/>
          <w:szCs w:val="24"/>
          <w:lang w:val="en-US" w:eastAsia="zh-CN"/>
        </w:rPr>
        <w:t>2</w:t>
      </w:r>
      <w:r>
        <w:rPr>
          <w:rFonts w:hint="eastAsia" w:ascii="宋体" w:hAnsi="宋体" w:eastAsia="宋体" w:cs="宋体"/>
          <w:snapToGrid/>
          <w:color w:val="auto"/>
          <w:sz w:val="24"/>
          <w:szCs w:val="24"/>
        </w:rPr>
        <w:t xml:space="preserve">.履行地点： </w:t>
      </w:r>
    </w:p>
    <w:p w14:paraId="239A1DF9">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lang w:val="zh-CN"/>
        </w:rPr>
      </w:pPr>
      <w:bookmarkStart w:id="109" w:name="_Toc21676"/>
      <w:r>
        <w:rPr>
          <w:rFonts w:hint="eastAsia" w:ascii="宋体" w:hAnsi="宋体" w:eastAsia="宋体" w:cs="宋体"/>
          <w:b/>
          <w:color w:val="auto"/>
          <w:sz w:val="24"/>
          <w:lang w:val="zh-CN"/>
        </w:rPr>
        <w:t>十一、货款支付</w:t>
      </w:r>
      <w:bookmarkEnd w:id="109"/>
    </w:p>
    <w:p w14:paraId="70465AC7">
      <w:pPr>
        <w:pStyle w:val="24"/>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1. 付款方式：合同生效后自收到发票后1个月内支付合同金额的50%作为预付款（凭供应商开具的相应金额发票进行支付）；服务期满，采购人支付剩余的运维费，甲方自收到发票后1个月内支付余款（凭供应商开具的相应金额发票进行支付）。</w:t>
      </w:r>
    </w:p>
    <w:p w14:paraId="2B8C77D2">
      <w:pPr>
        <w:pStyle w:val="24"/>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zh-CN"/>
        </w:rPr>
        <w:t>2.当采购数量与实际使用数量不一致时，由采购人向同级财政部门申请并经批准后，可以由乙方根据实际使用量供货，合同的最终结算金额按实际使用量乘以成交单价进行计算。</w:t>
      </w:r>
    </w:p>
    <w:p w14:paraId="42F6F428">
      <w:pPr>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snapToGrid w:val="0"/>
          <w:color w:val="auto"/>
          <w:sz w:val="24"/>
          <w:szCs w:val="21"/>
          <w:lang w:val="zh-CN"/>
        </w:rPr>
      </w:pPr>
      <w:bookmarkStart w:id="110" w:name="_Toc1706"/>
      <w:r>
        <w:rPr>
          <w:rFonts w:hint="eastAsia" w:ascii="宋体" w:hAnsi="宋体" w:eastAsia="宋体" w:cs="宋体"/>
          <w:b/>
          <w:snapToGrid w:val="0"/>
          <w:color w:val="auto"/>
          <w:sz w:val="24"/>
          <w:szCs w:val="21"/>
          <w:lang w:val="zh-CN"/>
        </w:rPr>
        <w:t>十二、税费</w:t>
      </w:r>
      <w:bookmarkEnd w:id="110"/>
    </w:p>
    <w:p w14:paraId="69A93BD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本合同执行中相关的一切税费均由乙方负担。</w:t>
      </w:r>
    </w:p>
    <w:p w14:paraId="4A17C314">
      <w:pPr>
        <w:pStyle w:val="24"/>
        <w:keepNext w:val="0"/>
        <w:keepLines w:val="0"/>
        <w:pageBreakBefore w:val="0"/>
        <w:kinsoku/>
        <w:wordWrap/>
        <w:overflowPunct/>
        <w:topLinePunct w:val="0"/>
        <w:bidi w:val="0"/>
        <w:adjustRightInd w:val="0"/>
        <w:snapToGrid w:val="0"/>
        <w:spacing w:line="360" w:lineRule="auto"/>
        <w:ind w:left="412" w:leftChars="0" w:hanging="412" w:hangingChars="171"/>
        <w:textAlignment w:val="auto"/>
        <w:outlineLvl w:val="0"/>
        <w:rPr>
          <w:rFonts w:hint="eastAsia" w:ascii="宋体" w:hAnsi="宋体" w:eastAsia="宋体" w:cs="宋体"/>
          <w:color w:val="auto"/>
          <w:sz w:val="24"/>
          <w:szCs w:val="24"/>
        </w:rPr>
      </w:pPr>
      <w:bookmarkStart w:id="111" w:name="_Toc82"/>
      <w:r>
        <w:rPr>
          <w:rFonts w:hint="eastAsia" w:ascii="宋体" w:hAnsi="宋体" w:eastAsia="宋体" w:cs="宋体"/>
          <w:b/>
          <w:color w:val="auto"/>
          <w:sz w:val="24"/>
          <w:lang w:val="zh-CN"/>
        </w:rPr>
        <w:t>十三、质量保证及后续服务</w:t>
      </w:r>
      <w:bookmarkEnd w:id="111"/>
    </w:p>
    <w:p w14:paraId="2F801B96">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1．乙方应按招标文件规定向甲方提供服务。</w:t>
      </w:r>
    </w:p>
    <w:p w14:paraId="3141B397">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2．乙方提供的服务成果在服务质量保证期内发生故障，乙方应负责免费提供后续服务。对达不到要求者，根据实际情况，经双方协商，可按以下办法处理：</w:t>
      </w:r>
    </w:p>
    <w:p w14:paraId="68BE7F77">
      <w:pPr>
        <w:pStyle w:val="24"/>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lang w:eastAsia="zh-CN"/>
        </w:rPr>
        <w:t>（</w:t>
      </w:r>
      <w:r>
        <w:rPr>
          <w:rFonts w:hint="eastAsia" w:ascii="宋体" w:hAnsi="宋体" w:eastAsia="宋体" w:cs="宋体"/>
          <w:snapToGrid/>
          <w:color w:val="auto"/>
          <w:sz w:val="24"/>
          <w:szCs w:val="24"/>
          <w:lang w:val="en-US" w:eastAsia="zh-CN"/>
        </w:rPr>
        <w:t>1</w:t>
      </w:r>
      <w:r>
        <w:rPr>
          <w:rFonts w:hint="eastAsia" w:ascii="宋体" w:hAnsi="宋体" w:eastAsia="宋体" w:cs="宋体"/>
          <w:snapToGrid/>
          <w:color w:val="auto"/>
          <w:sz w:val="24"/>
          <w:szCs w:val="24"/>
          <w:lang w:eastAsia="zh-CN"/>
        </w:rPr>
        <w:t>）</w:t>
      </w:r>
      <w:r>
        <w:rPr>
          <w:rFonts w:hint="eastAsia" w:ascii="宋体" w:hAnsi="宋体" w:eastAsia="宋体" w:cs="宋体"/>
          <w:snapToGrid/>
          <w:color w:val="auto"/>
          <w:sz w:val="24"/>
          <w:szCs w:val="24"/>
        </w:rPr>
        <w:t>重做：由乙方承担所发生的全部费用。</w:t>
      </w:r>
    </w:p>
    <w:p w14:paraId="39DFB350">
      <w:pPr>
        <w:pStyle w:val="24"/>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lang w:eastAsia="zh-CN"/>
        </w:rPr>
        <w:t>（</w:t>
      </w:r>
      <w:r>
        <w:rPr>
          <w:rFonts w:hint="eastAsia" w:ascii="宋体" w:hAnsi="宋体" w:eastAsia="宋体" w:cs="宋体"/>
          <w:snapToGrid/>
          <w:color w:val="auto"/>
          <w:sz w:val="24"/>
          <w:szCs w:val="24"/>
          <w:lang w:val="en-US" w:eastAsia="zh-CN"/>
        </w:rPr>
        <w:t>2</w:t>
      </w:r>
      <w:r>
        <w:rPr>
          <w:rFonts w:hint="eastAsia" w:ascii="宋体" w:hAnsi="宋体" w:eastAsia="宋体" w:cs="宋体"/>
          <w:snapToGrid/>
          <w:color w:val="auto"/>
          <w:sz w:val="24"/>
          <w:szCs w:val="24"/>
          <w:lang w:eastAsia="zh-CN"/>
        </w:rPr>
        <w:t>）</w:t>
      </w:r>
      <w:r>
        <w:rPr>
          <w:rFonts w:hint="eastAsia" w:ascii="宋体" w:hAnsi="宋体" w:eastAsia="宋体" w:cs="宋体"/>
          <w:snapToGrid/>
          <w:color w:val="auto"/>
          <w:sz w:val="24"/>
          <w:szCs w:val="24"/>
        </w:rPr>
        <w:t>贬值处理：由甲乙双方合议定价。</w:t>
      </w:r>
    </w:p>
    <w:p w14:paraId="18969403">
      <w:pPr>
        <w:pStyle w:val="24"/>
        <w:keepNext w:val="0"/>
        <w:keepLines w:val="0"/>
        <w:pageBreakBefore w:val="0"/>
        <w:kinsoku/>
        <w:wordWrap/>
        <w:overflowPunct/>
        <w:topLinePunct w:val="0"/>
        <w:bidi w:val="0"/>
        <w:adjustRightInd w:val="0"/>
        <w:snapToGrid w:val="0"/>
        <w:spacing w:line="360" w:lineRule="auto"/>
        <w:ind w:left="400" w:leftChars="20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lang w:eastAsia="zh-CN"/>
        </w:rPr>
        <w:t>（</w:t>
      </w:r>
      <w:r>
        <w:rPr>
          <w:rFonts w:hint="eastAsia" w:ascii="宋体" w:hAnsi="宋体" w:eastAsia="宋体" w:cs="宋体"/>
          <w:snapToGrid/>
          <w:color w:val="auto"/>
          <w:sz w:val="24"/>
          <w:szCs w:val="24"/>
          <w:lang w:val="en-US" w:eastAsia="zh-CN"/>
        </w:rPr>
        <w:t>3</w:t>
      </w:r>
      <w:r>
        <w:rPr>
          <w:rFonts w:hint="eastAsia" w:ascii="宋体" w:hAnsi="宋体" w:eastAsia="宋体" w:cs="宋体"/>
          <w:snapToGrid/>
          <w:color w:val="auto"/>
          <w:sz w:val="24"/>
          <w:szCs w:val="24"/>
          <w:lang w:eastAsia="zh-CN"/>
        </w:rPr>
        <w:t>）</w:t>
      </w:r>
      <w:r>
        <w:rPr>
          <w:rFonts w:hint="eastAsia" w:ascii="宋体" w:hAnsi="宋体" w:eastAsia="宋体" w:cs="宋体"/>
          <w:snapToGrid/>
          <w:color w:val="auto"/>
          <w:sz w:val="24"/>
          <w:szCs w:val="24"/>
        </w:rPr>
        <w:t>解除合同。</w:t>
      </w:r>
    </w:p>
    <w:p w14:paraId="4267B119">
      <w:pPr>
        <w:pStyle w:val="24"/>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lang w:val="en-US" w:eastAsia="zh-CN"/>
        </w:rPr>
        <w:t>3.</w:t>
      </w:r>
      <w:r>
        <w:rPr>
          <w:rFonts w:hint="eastAsia" w:ascii="宋体" w:hAnsi="宋体" w:eastAsia="宋体" w:cs="宋体"/>
          <w:snapToGrid/>
          <w:color w:val="auto"/>
          <w:sz w:val="24"/>
          <w:szCs w:val="24"/>
        </w:rPr>
        <w:t>如在使用过程中发生问题，乙方在接到甲方通知后在</w:t>
      </w:r>
      <w:r>
        <w:rPr>
          <w:rFonts w:hint="eastAsia" w:ascii="宋体" w:hAnsi="宋体" w:eastAsia="宋体" w:cs="宋体"/>
          <w:snapToGrid/>
          <w:color w:val="auto"/>
          <w:sz w:val="24"/>
          <w:szCs w:val="24"/>
          <w:u w:val="single"/>
        </w:rPr>
        <w:t xml:space="preserve">   </w:t>
      </w:r>
      <w:r>
        <w:rPr>
          <w:rFonts w:hint="eastAsia" w:ascii="宋体" w:hAnsi="宋体" w:eastAsia="宋体" w:cs="宋体"/>
          <w:snapToGrid/>
          <w:color w:val="auto"/>
          <w:sz w:val="24"/>
          <w:szCs w:val="24"/>
        </w:rPr>
        <w:t>小时内到达甲方现场。</w:t>
      </w:r>
    </w:p>
    <w:p w14:paraId="61BA3521">
      <w:pPr>
        <w:pStyle w:val="24"/>
        <w:keepNext w:val="0"/>
        <w:keepLines w:val="0"/>
        <w:pageBreakBefore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snapToGrid/>
          <w:color w:val="auto"/>
          <w:sz w:val="24"/>
          <w:szCs w:val="24"/>
          <w:lang w:val="en-US" w:eastAsia="zh-CN"/>
        </w:rPr>
        <w:t>4.</w:t>
      </w:r>
      <w:r>
        <w:rPr>
          <w:rFonts w:hint="eastAsia" w:ascii="宋体" w:hAnsi="宋体" w:eastAsia="宋体" w:cs="宋体"/>
          <w:snapToGrid/>
          <w:color w:val="auto"/>
          <w:sz w:val="24"/>
          <w:szCs w:val="24"/>
        </w:rPr>
        <w:t>在服务质量保证期内，乙方应对出现的质量及安全问题负责处理解决并承担一切费用。</w:t>
      </w:r>
    </w:p>
    <w:p w14:paraId="19FEA96C">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rPr>
      </w:pPr>
      <w:bookmarkStart w:id="112" w:name="_Toc355"/>
      <w:r>
        <w:rPr>
          <w:rFonts w:hint="eastAsia" w:ascii="宋体" w:hAnsi="宋体" w:eastAsia="宋体" w:cs="宋体"/>
          <w:b/>
          <w:color w:val="auto"/>
          <w:sz w:val="24"/>
        </w:rPr>
        <w:t>十四、违约责任</w:t>
      </w:r>
      <w:bookmarkEnd w:id="112"/>
    </w:p>
    <w:p w14:paraId="2F80F359">
      <w:pPr>
        <w:pStyle w:val="24"/>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甲方无正当理由拒收接受服务的，甲方向乙方偿付合同款项百分之五作为违约金。</w:t>
      </w:r>
    </w:p>
    <w:p w14:paraId="14C92D01">
      <w:pPr>
        <w:pStyle w:val="24"/>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甲方无故逾期验收和办理款项支付手续的,甲方应按逾期付款总额每日万分之五向乙方支付违约金。</w:t>
      </w:r>
    </w:p>
    <w:p w14:paraId="7AE3AF46">
      <w:pPr>
        <w:pStyle w:val="24"/>
        <w:keepNext w:val="0"/>
        <w:keepLines w:val="0"/>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 xml:space="preserve">乙方未能如期提供服务的，每日向甲方支付合同款项的千分之六作为违约金。乙方超过约定日期____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6C26933">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rPr>
      </w:pPr>
      <w:bookmarkStart w:id="113" w:name="_Toc7495"/>
      <w:r>
        <w:rPr>
          <w:rFonts w:hint="eastAsia" w:ascii="宋体" w:hAnsi="宋体" w:eastAsia="宋体" w:cs="宋体"/>
          <w:b/>
          <w:color w:val="auto"/>
          <w:sz w:val="24"/>
        </w:rPr>
        <w:t>十五、不可抗力事件处理</w:t>
      </w:r>
      <w:bookmarkEnd w:id="113"/>
    </w:p>
    <w:p w14:paraId="73862463">
      <w:pPr>
        <w:pStyle w:val="24"/>
        <w:keepNext w:val="0"/>
        <w:keepLines w:val="0"/>
        <w:pageBreakBefore w:val="0"/>
        <w:kinsoku/>
        <w:wordWrap/>
        <w:overflowPunct/>
        <w:topLinePunct w:val="0"/>
        <w:bidi w:val="0"/>
        <w:adjustRightInd w:val="0"/>
        <w:snapToGrid w:val="0"/>
        <w:spacing w:line="360" w:lineRule="auto"/>
        <w:ind w:firstLine="420" w:firstLineChars="175"/>
        <w:textAlignment w:val="auto"/>
        <w:outlineLvl w:val="9"/>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在合同有效期内，任何一方因不可抗力事件导致不能履行合同，则合同履行期可延长，其延长期与不可抗力影响期相同。</w:t>
      </w:r>
    </w:p>
    <w:p w14:paraId="573E4BB1">
      <w:pPr>
        <w:pStyle w:val="24"/>
        <w:keepNext w:val="0"/>
        <w:keepLines w:val="0"/>
        <w:pageBreakBefore w:val="0"/>
        <w:kinsoku/>
        <w:wordWrap/>
        <w:overflowPunct/>
        <w:topLinePunct w:val="0"/>
        <w:bidi w:val="0"/>
        <w:adjustRightInd w:val="0"/>
        <w:snapToGrid w:val="0"/>
        <w:spacing w:line="360" w:lineRule="auto"/>
        <w:ind w:firstLine="420" w:firstLineChars="175"/>
        <w:textAlignment w:val="auto"/>
        <w:outlineLvl w:val="9"/>
        <w:rPr>
          <w:rFonts w:hint="eastAsia" w:ascii="宋体" w:hAnsi="宋体" w:eastAsia="宋体" w:cs="宋体"/>
          <w:bCs/>
          <w:color w:val="auto"/>
          <w:sz w:val="24"/>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不可抗力事件发生后，应立即通知对方，并寄送有关权威机构出具的证明。</w:t>
      </w:r>
    </w:p>
    <w:p w14:paraId="088C14D7">
      <w:pPr>
        <w:pStyle w:val="24"/>
        <w:keepNext w:val="0"/>
        <w:keepLines w:val="0"/>
        <w:pageBreakBefore w:val="0"/>
        <w:kinsoku/>
        <w:wordWrap/>
        <w:overflowPunct/>
        <w:topLinePunct w:val="0"/>
        <w:bidi w:val="0"/>
        <w:adjustRightInd w:val="0"/>
        <w:snapToGrid w:val="0"/>
        <w:spacing w:line="360" w:lineRule="auto"/>
        <w:ind w:firstLine="420" w:firstLineChars="175"/>
        <w:textAlignment w:val="auto"/>
        <w:outlineLvl w:val="9"/>
        <w:rPr>
          <w:rFonts w:hint="eastAsia"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不可抗力事件延续120天以上，双方应通过友好协商，确定是否继续履行合同。</w:t>
      </w:r>
    </w:p>
    <w:p w14:paraId="63639D23">
      <w:pPr>
        <w:pStyle w:val="24"/>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rPr>
      </w:pPr>
      <w:bookmarkStart w:id="114" w:name="_Toc28871"/>
      <w:r>
        <w:rPr>
          <w:rFonts w:hint="eastAsia" w:ascii="宋体" w:hAnsi="宋体" w:eastAsia="宋体" w:cs="宋体"/>
          <w:b/>
          <w:color w:val="auto"/>
          <w:sz w:val="24"/>
        </w:rPr>
        <w:t>十六、解决争议的方法</w:t>
      </w:r>
      <w:bookmarkEnd w:id="114"/>
    </w:p>
    <w:p w14:paraId="29E7A17D">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 如双方在履行合同时发生纠纷，应协商解决；协商不成时，可提请政府采购管理部门调解；调解不成的通过以下方式解决：</w:t>
      </w:r>
    </w:p>
    <w:p w14:paraId="43E0FDC2">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kern w:val="0"/>
          <w:sz w:val="24"/>
        </w:rPr>
        <w:t xml:space="preserve">（1） 依法向人民法院提起诉讼。 </w:t>
      </w:r>
    </w:p>
    <w:p w14:paraId="104B5078">
      <w:pPr>
        <w:pStyle w:val="24"/>
        <w:keepNext w:val="0"/>
        <w:keepLines w:val="0"/>
        <w:pageBreakBefore w:val="0"/>
        <w:tabs>
          <w:tab w:val="left" w:pos="5790"/>
        </w:tabs>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rPr>
      </w:pPr>
      <w:bookmarkStart w:id="115" w:name="_Toc13167"/>
      <w:r>
        <w:rPr>
          <w:rFonts w:hint="eastAsia" w:ascii="宋体" w:hAnsi="宋体" w:eastAsia="宋体" w:cs="宋体"/>
          <w:b/>
          <w:color w:val="auto"/>
          <w:sz w:val="24"/>
        </w:rPr>
        <w:t>十七、合同生效及其它</w:t>
      </w:r>
      <w:bookmarkEnd w:id="115"/>
      <w:r>
        <w:rPr>
          <w:rFonts w:hint="eastAsia" w:ascii="宋体" w:hAnsi="宋体" w:eastAsia="宋体" w:cs="宋体"/>
          <w:b/>
          <w:color w:val="auto"/>
          <w:sz w:val="24"/>
        </w:rPr>
        <w:tab/>
      </w:r>
    </w:p>
    <w:p w14:paraId="2245A093">
      <w:pPr>
        <w:pStyle w:val="19"/>
        <w:keepNext w:val="0"/>
        <w:keepLines w:val="0"/>
        <w:pageBreakBefore w:val="0"/>
        <w:widowControl/>
        <w:kinsoku/>
        <w:wordWrap/>
        <w:overflowPunct/>
        <w:topLinePunct w:val="0"/>
        <w:autoSpaceDE/>
        <w:autoSpaceDN/>
        <w:bidi w:val="0"/>
        <w:adjustRightInd w:val="0"/>
        <w:snapToGrid/>
        <w:spacing w:after="0" w:line="360" w:lineRule="auto"/>
        <w:ind w:right="-91" w:firstLine="480" w:firstLineChars="200"/>
        <w:textAlignment w:val="auto"/>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1. 合同经双方法定代表人或授权代表签字并加盖单位公章后生效。</w:t>
      </w:r>
    </w:p>
    <w:p w14:paraId="67D62C4D">
      <w:pPr>
        <w:pStyle w:val="19"/>
        <w:keepNext w:val="0"/>
        <w:keepLines w:val="0"/>
        <w:pageBreakBefore w:val="0"/>
        <w:widowControl/>
        <w:kinsoku/>
        <w:wordWrap/>
        <w:overflowPunct/>
        <w:topLinePunct w:val="0"/>
        <w:autoSpaceDE/>
        <w:autoSpaceDN/>
        <w:bidi w:val="0"/>
        <w:adjustRightInd w:val="0"/>
        <w:snapToGrid/>
        <w:spacing w:after="0" w:line="360" w:lineRule="auto"/>
        <w:ind w:right="-91" w:firstLine="480" w:firstLineChars="200"/>
        <w:textAlignment w:val="auto"/>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2. 本合同未尽事宜，遵照《民法典》有关条文执行。</w:t>
      </w:r>
    </w:p>
    <w:p w14:paraId="21B0B045">
      <w:pPr>
        <w:pStyle w:val="19"/>
        <w:keepNext w:val="0"/>
        <w:keepLines w:val="0"/>
        <w:pageBreakBefore w:val="0"/>
        <w:widowControl/>
        <w:kinsoku/>
        <w:wordWrap/>
        <w:overflowPunct/>
        <w:topLinePunct w:val="0"/>
        <w:autoSpaceDE/>
        <w:autoSpaceDN/>
        <w:bidi w:val="0"/>
        <w:adjustRightInd w:val="0"/>
        <w:snapToGrid/>
        <w:spacing w:after="0" w:line="360" w:lineRule="auto"/>
        <w:ind w:right="-91" w:firstLine="480" w:firstLineChars="200"/>
        <w:textAlignment w:val="auto"/>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3. 本合同一式伍份。甲、乙双方各执贰份，采购组织机构执一份。本项目未尽事宜以招标文件、投标文件及澄清文件等为准。</w:t>
      </w:r>
    </w:p>
    <w:p w14:paraId="3BB5C54D">
      <w:pPr>
        <w:widowControl/>
        <w:spacing w:line="360" w:lineRule="auto"/>
        <w:rPr>
          <w:rFonts w:hint="eastAsia" w:ascii="宋体" w:hAnsi="宋体" w:eastAsia="宋体" w:cs="宋体"/>
          <w:b/>
          <w:color w:val="auto"/>
          <w:sz w:val="24"/>
        </w:rPr>
      </w:pPr>
    </w:p>
    <w:p w14:paraId="2F479471">
      <w:pPr>
        <w:widowControl/>
        <w:spacing w:line="360" w:lineRule="auto"/>
        <w:rPr>
          <w:rFonts w:hint="eastAsia" w:ascii="宋体" w:hAnsi="宋体" w:eastAsia="宋体" w:cs="宋体"/>
          <w:b/>
          <w:color w:val="auto"/>
          <w:sz w:val="24"/>
        </w:rPr>
      </w:pPr>
    </w:p>
    <w:tbl>
      <w:tblPr>
        <w:tblStyle w:val="39"/>
        <w:tblW w:w="9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0"/>
        <w:gridCol w:w="4869"/>
      </w:tblGrid>
      <w:tr w14:paraId="7ECE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420" w:type="dxa"/>
          </w:tcPr>
          <w:p w14:paraId="3A016953">
            <w:pPr>
              <w:pStyle w:val="110"/>
              <w:ind w:firstLine="0"/>
              <w:rPr>
                <w:rFonts w:hint="eastAsia" w:ascii="宋体" w:hAnsi="宋体" w:eastAsia="宋体" w:cs="宋体"/>
                <w:color w:val="auto"/>
              </w:rPr>
            </w:pPr>
            <w:r>
              <w:rPr>
                <w:rFonts w:hint="eastAsia" w:ascii="宋体" w:hAnsi="宋体" w:eastAsia="宋体" w:cs="宋体"/>
                <w:color w:val="auto"/>
                <w:sz w:val="24"/>
              </w:rPr>
              <w:t>甲方（盖章）</w:t>
            </w:r>
          </w:p>
        </w:tc>
        <w:tc>
          <w:tcPr>
            <w:tcW w:w="4869" w:type="dxa"/>
          </w:tcPr>
          <w:p w14:paraId="45615716">
            <w:pPr>
              <w:pStyle w:val="110"/>
              <w:ind w:firstLine="0"/>
              <w:rPr>
                <w:rFonts w:hint="eastAsia" w:ascii="宋体" w:hAnsi="宋体" w:eastAsia="宋体" w:cs="宋体"/>
                <w:color w:val="auto"/>
              </w:rPr>
            </w:pPr>
            <w:r>
              <w:rPr>
                <w:rFonts w:hint="eastAsia" w:ascii="宋体" w:hAnsi="宋体" w:eastAsia="宋体" w:cs="宋体"/>
                <w:color w:val="auto"/>
                <w:sz w:val="24"/>
              </w:rPr>
              <w:t>乙方（盖章）</w:t>
            </w:r>
          </w:p>
        </w:tc>
      </w:tr>
      <w:tr w14:paraId="681C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420" w:type="dxa"/>
          </w:tcPr>
          <w:p w14:paraId="7936B2C7">
            <w:pPr>
              <w:pStyle w:val="110"/>
              <w:ind w:firstLine="0"/>
              <w:rPr>
                <w:rFonts w:hint="eastAsia" w:ascii="宋体" w:hAnsi="宋体" w:eastAsia="宋体" w:cs="宋体"/>
                <w:color w:val="auto"/>
              </w:rPr>
            </w:pPr>
            <w:r>
              <w:rPr>
                <w:rFonts w:hint="eastAsia" w:ascii="宋体" w:hAnsi="宋体" w:eastAsia="宋体" w:cs="宋体"/>
                <w:color w:val="auto"/>
                <w:sz w:val="24"/>
              </w:rPr>
              <w:t>法定代表人：</w:t>
            </w:r>
          </w:p>
        </w:tc>
        <w:tc>
          <w:tcPr>
            <w:tcW w:w="4869" w:type="dxa"/>
          </w:tcPr>
          <w:p w14:paraId="5E2D7753">
            <w:pPr>
              <w:pStyle w:val="110"/>
              <w:ind w:firstLine="0"/>
              <w:rPr>
                <w:rFonts w:hint="eastAsia" w:ascii="宋体" w:hAnsi="宋体" w:eastAsia="宋体" w:cs="宋体"/>
                <w:color w:val="auto"/>
              </w:rPr>
            </w:pPr>
            <w:r>
              <w:rPr>
                <w:rFonts w:hint="eastAsia" w:ascii="宋体" w:hAnsi="宋体" w:eastAsia="宋体" w:cs="宋体"/>
                <w:color w:val="auto"/>
                <w:sz w:val="24"/>
              </w:rPr>
              <w:t>法定代表人：</w:t>
            </w:r>
          </w:p>
        </w:tc>
      </w:tr>
      <w:tr w14:paraId="57D6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420" w:type="dxa"/>
          </w:tcPr>
          <w:p w14:paraId="01E02863">
            <w:pPr>
              <w:pStyle w:val="110"/>
              <w:ind w:firstLine="0"/>
              <w:rPr>
                <w:rFonts w:hint="eastAsia" w:ascii="宋体" w:hAnsi="宋体" w:eastAsia="宋体" w:cs="宋体"/>
                <w:color w:val="auto"/>
              </w:rPr>
            </w:pPr>
            <w:r>
              <w:rPr>
                <w:rFonts w:hint="eastAsia" w:ascii="宋体" w:hAnsi="宋体" w:eastAsia="宋体" w:cs="宋体"/>
                <w:color w:val="auto"/>
                <w:sz w:val="24"/>
              </w:rPr>
              <w:t>委托代理人：</w:t>
            </w:r>
          </w:p>
        </w:tc>
        <w:tc>
          <w:tcPr>
            <w:tcW w:w="4869" w:type="dxa"/>
          </w:tcPr>
          <w:p w14:paraId="43B9FA5A">
            <w:pPr>
              <w:pStyle w:val="110"/>
              <w:ind w:firstLine="0"/>
              <w:rPr>
                <w:rFonts w:hint="eastAsia" w:ascii="宋体" w:hAnsi="宋体" w:eastAsia="宋体" w:cs="宋体"/>
                <w:color w:val="auto"/>
              </w:rPr>
            </w:pPr>
            <w:r>
              <w:rPr>
                <w:rFonts w:hint="eastAsia" w:ascii="宋体" w:hAnsi="宋体" w:eastAsia="宋体" w:cs="宋体"/>
                <w:color w:val="auto"/>
                <w:sz w:val="24"/>
              </w:rPr>
              <w:t>委托代理人：</w:t>
            </w:r>
          </w:p>
        </w:tc>
      </w:tr>
      <w:tr w14:paraId="455B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420" w:type="dxa"/>
          </w:tcPr>
          <w:p w14:paraId="0EEE3ED9">
            <w:pPr>
              <w:pStyle w:val="110"/>
              <w:ind w:firstLine="0"/>
              <w:rPr>
                <w:rFonts w:hint="eastAsia" w:ascii="宋体" w:hAnsi="宋体" w:eastAsia="宋体" w:cs="宋体"/>
                <w:color w:val="auto"/>
              </w:rPr>
            </w:pPr>
            <w:r>
              <w:rPr>
                <w:rFonts w:hint="eastAsia" w:ascii="宋体" w:hAnsi="宋体" w:eastAsia="宋体" w:cs="宋体"/>
                <w:color w:val="auto"/>
                <w:sz w:val="24"/>
              </w:rPr>
              <w:t>联系电话：</w:t>
            </w:r>
          </w:p>
        </w:tc>
        <w:tc>
          <w:tcPr>
            <w:tcW w:w="4869" w:type="dxa"/>
          </w:tcPr>
          <w:p w14:paraId="53AAC0A1">
            <w:pPr>
              <w:pStyle w:val="110"/>
              <w:ind w:firstLine="0"/>
              <w:rPr>
                <w:rFonts w:hint="eastAsia" w:ascii="宋体" w:hAnsi="宋体" w:eastAsia="宋体" w:cs="宋体"/>
                <w:color w:val="auto"/>
              </w:rPr>
            </w:pPr>
            <w:r>
              <w:rPr>
                <w:rFonts w:hint="eastAsia" w:ascii="宋体" w:hAnsi="宋体" w:eastAsia="宋体" w:cs="宋体"/>
                <w:color w:val="auto"/>
                <w:sz w:val="24"/>
              </w:rPr>
              <w:t>联系电话：</w:t>
            </w:r>
          </w:p>
        </w:tc>
      </w:tr>
      <w:tr w14:paraId="3B32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420" w:type="dxa"/>
          </w:tcPr>
          <w:p w14:paraId="22920CC3">
            <w:pPr>
              <w:pStyle w:val="110"/>
              <w:ind w:firstLine="0"/>
              <w:rPr>
                <w:rFonts w:hint="eastAsia" w:ascii="宋体" w:hAnsi="宋体" w:eastAsia="宋体" w:cs="宋体"/>
                <w:color w:val="auto"/>
              </w:rPr>
            </w:pPr>
            <w:r>
              <w:rPr>
                <w:rFonts w:hint="eastAsia" w:ascii="宋体" w:hAnsi="宋体" w:eastAsia="宋体" w:cs="宋体"/>
                <w:color w:val="auto"/>
                <w:sz w:val="24"/>
              </w:rPr>
              <w:t>开户银行：</w:t>
            </w:r>
          </w:p>
        </w:tc>
        <w:tc>
          <w:tcPr>
            <w:tcW w:w="4869" w:type="dxa"/>
          </w:tcPr>
          <w:p w14:paraId="248CBC1A">
            <w:pPr>
              <w:pStyle w:val="110"/>
              <w:ind w:firstLine="0"/>
              <w:rPr>
                <w:rFonts w:hint="eastAsia" w:ascii="宋体" w:hAnsi="宋体" w:eastAsia="宋体" w:cs="宋体"/>
                <w:color w:val="auto"/>
              </w:rPr>
            </w:pPr>
            <w:r>
              <w:rPr>
                <w:rFonts w:hint="eastAsia" w:ascii="宋体" w:hAnsi="宋体" w:eastAsia="宋体" w:cs="宋体"/>
                <w:color w:val="auto"/>
                <w:sz w:val="24"/>
              </w:rPr>
              <w:t>开户银行：</w:t>
            </w:r>
          </w:p>
        </w:tc>
      </w:tr>
      <w:tr w14:paraId="50DB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4420" w:type="dxa"/>
          </w:tcPr>
          <w:p w14:paraId="57645456">
            <w:pPr>
              <w:pStyle w:val="110"/>
              <w:ind w:firstLine="0"/>
              <w:rPr>
                <w:rFonts w:hint="eastAsia" w:ascii="宋体" w:hAnsi="宋体" w:eastAsia="宋体" w:cs="宋体"/>
                <w:color w:val="auto"/>
              </w:rPr>
            </w:pPr>
            <w:r>
              <w:rPr>
                <w:rFonts w:hint="eastAsia" w:ascii="宋体" w:hAnsi="宋体" w:eastAsia="宋体" w:cs="宋体"/>
                <w:color w:val="auto"/>
                <w:sz w:val="24"/>
              </w:rPr>
              <w:t>帐号：</w:t>
            </w:r>
          </w:p>
        </w:tc>
        <w:tc>
          <w:tcPr>
            <w:tcW w:w="4869" w:type="dxa"/>
          </w:tcPr>
          <w:p w14:paraId="5647A714">
            <w:pPr>
              <w:pStyle w:val="110"/>
              <w:ind w:firstLine="0"/>
              <w:rPr>
                <w:rFonts w:hint="eastAsia" w:ascii="宋体" w:hAnsi="宋体" w:eastAsia="宋体" w:cs="宋体"/>
                <w:color w:val="auto"/>
              </w:rPr>
            </w:pPr>
            <w:r>
              <w:rPr>
                <w:rFonts w:hint="eastAsia" w:ascii="宋体" w:hAnsi="宋体" w:eastAsia="宋体" w:cs="宋体"/>
                <w:color w:val="auto"/>
                <w:sz w:val="24"/>
              </w:rPr>
              <w:t>帐号：</w:t>
            </w:r>
          </w:p>
        </w:tc>
      </w:tr>
      <w:tr w14:paraId="650C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4420" w:type="dxa"/>
          </w:tcPr>
          <w:p w14:paraId="5347FE57">
            <w:pPr>
              <w:pStyle w:val="110"/>
              <w:ind w:firstLine="0"/>
              <w:rPr>
                <w:rFonts w:hint="eastAsia" w:ascii="宋体" w:hAnsi="宋体" w:eastAsia="宋体" w:cs="宋体"/>
                <w:color w:val="auto"/>
              </w:rPr>
            </w:pPr>
            <w:r>
              <w:rPr>
                <w:rFonts w:hint="eastAsia" w:ascii="宋体" w:hAnsi="宋体" w:eastAsia="宋体" w:cs="宋体"/>
                <w:color w:val="auto"/>
                <w:sz w:val="24"/>
              </w:rPr>
              <w:t>地址及邮编：</w:t>
            </w:r>
          </w:p>
        </w:tc>
        <w:tc>
          <w:tcPr>
            <w:tcW w:w="4869" w:type="dxa"/>
          </w:tcPr>
          <w:p w14:paraId="79B5A59B">
            <w:pPr>
              <w:pStyle w:val="110"/>
              <w:ind w:firstLine="0"/>
              <w:rPr>
                <w:rFonts w:hint="eastAsia" w:ascii="宋体" w:hAnsi="宋体" w:eastAsia="宋体" w:cs="宋体"/>
                <w:color w:val="auto"/>
              </w:rPr>
            </w:pPr>
            <w:r>
              <w:rPr>
                <w:rFonts w:hint="eastAsia" w:ascii="宋体" w:hAnsi="宋体" w:eastAsia="宋体" w:cs="宋体"/>
                <w:color w:val="auto"/>
                <w:sz w:val="24"/>
              </w:rPr>
              <w:t>地址及邮编：</w:t>
            </w:r>
          </w:p>
        </w:tc>
      </w:tr>
    </w:tbl>
    <w:p w14:paraId="018D69CD">
      <w:pPr>
        <w:pStyle w:val="110"/>
        <w:ind w:firstLine="0"/>
        <w:rPr>
          <w:rFonts w:hint="eastAsia" w:ascii="宋体" w:hAnsi="宋体" w:eastAsia="宋体" w:cs="宋体"/>
          <w:color w:val="auto"/>
          <w:sz w:val="24"/>
        </w:rPr>
      </w:pPr>
    </w:p>
    <w:p w14:paraId="58E9184A">
      <w:pPr>
        <w:pStyle w:val="110"/>
        <w:ind w:firstLine="0"/>
        <w:rPr>
          <w:rFonts w:hint="eastAsia" w:ascii="宋体" w:hAnsi="宋体" w:eastAsia="宋体" w:cs="宋体"/>
          <w:color w:val="auto"/>
        </w:rPr>
      </w:pPr>
      <w:r>
        <w:rPr>
          <w:rFonts w:hint="eastAsia" w:ascii="宋体" w:hAnsi="宋体" w:eastAsia="宋体" w:cs="宋体"/>
          <w:color w:val="auto"/>
          <w:sz w:val="24"/>
        </w:rPr>
        <w:t>合同鉴证方：</w:t>
      </w:r>
    </w:p>
    <w:p w14:paraId="23464C7A">
      <w:pPr>
        <w:spacing w:line="360" w:lineRule="auto"/>
        <w:ind w:firstLine="4920" w:firstLineChars="2050"/>
        <w:rPr>
          <w:rFonts w:hint="eastAsia" w:ascii="宋体" w:hAnsi="宋体" w:eastAsia="宋体" w:cs="宋体"/>
          <w:color w:val="auto"/>
          <w:sz w:val="24"/>
        </w:rPr>
      </w:pPr>
      <w:r>
        <w:rPr>
          <w:rFonts w:hint="eastAsia" w:ascii="宋体" w:hAnsi="宋体" w:eastAsia="宋体" w:cs="宋体"/>
          <w:color w:val="auto"/>
          <w:sz w:val="24"/>
        </w:rPr>
        <w:t>签订时间：    年   月    日</w:t>
      </w:r>
    </w:p>
    <w:p w14:paraId="583F1461">
      <w:pPr>
        <w:rPr>
          <w:rFonts w:hint="eastAsia" w:ascii="宋体" w:hAnsi="宋体" w:eastAsia="宋体" w:cs="宋体"/>
          <w:sz w:val="32"/>
        </w:rPr>
      </w:pPr>
      <w:r>
        <w:rPr>
          <w:rFonts w:hint="eastAsia" w:ascii="宋体" w:hAnsi="宋体" w:eastAsia="宋体" w:cs="宋体"/>
          <w:sz w:val="32"/>
        </w:rPr>
        <w:br w:type="page"/>
      </w:r>
    </w:p>
    <w:p w14:paraId="641617CF">
      <w:pPr>
        <w:pStyle w:val="2"/>
        <w:snapToGrid w:val="0"/>
        <w:spacing w:before="0" w:after="0" w:line="360" w:lineRule="auto"/>
        <w:ind w:left="442"/>
        <w:jc w:val="center"/>
        <w:rPr>
          <w:rFonts w:hint="eastAsia" w:ascii="宋体" w:hAnsi="宋体" w:eastAsia="宋体" w:cs="宋体"/>
          <w:sz w:val="32"/>
        </w:rPr>
      </w:pPr>
      <w:bookmarkStart w:id="116" w:name="_Toc23531"/>
      <w:r>
        <w:rPr>
          <w:rFonts w:hint="eastAsia" w:ascii="宋体" w:hAnsi="宋体" w:eastAsia="宋体" w:cs="宋体"/>
          <w:sz w:val="32"/>
        </w:rPr>
        <w:t>第六部分：响应文件格式附件</w:t>
      </w:r>
      <w:bookmarkEnd w:id="116"/>
    </w:p>
    <w:p w14:paraId="2B1E7B17">
      <w:pPr>
        <w:pStyle w:val="88"/>
        <w:snapToGrid w:val="0"/>
        <w:spacing w:line="360" w:lineRule="auto"/>
        <w:ind w:left="420" w:firstLine="0" w:firstLineChars="0"/>
        <w:jc w:val="center"/>
        <w:rPr>
          <w:rFonts w:hint="eastAsia" w:ascii="宋体" w:hAnsi="宋体" w:eastAsia="宋体" w:cs="宋体"/>
          <w:b/>
          <w:bCs/>
          <w:sz w:val="22"/>
          <w:szCs w:val="21"/>
          <w:u w:val="single"/>
        </w:rPr>
      </w:pPr>
      <w:r>
        <w:rPr>
          <w:rFonts w:hint="eastAsia" w:ascii="宋体" w:hAnsi="宋体" w:eastAsia="宋体" w:cs="宋体"/>
          <w:b/>
          <w:bCs/>
          <w:sz w:val="22"/>
          <w:szCs w:val="21"/>
        </w:rPr>
        <w:t>说明：</w:t>
      </w:r>
      <w:r>
        <w:rPr>
          <w:rFonts w:hint="eastAsia" w:ascii="宋体" w:hAnsi="宋体" w:eastAsia="宋体" w:cs="宋体"/>
          <w:b/>
          <w:bCs/>
          <w:sz w:val="22"/>
          <w:szCs w:val="21"/>
          <w:u w:val="single"/>
        </w:rPr>
        <w:t>对本章所有的投标书格式 ，投标方可根据自身情况进行补充和修改，但补充和修改不得造成与本格式内容有实质性的违背。</w:t>
      </w:r>
    </w:p>
    <w:p w14:paraId="71EBBE6C">
      <w:pPr>
        <w:pStyle w:val="88"/>
        <w:snapToGrid w:val="0"/>
        <w:spacing w:line="360" w:lineRule="auto"/>
        <w:ind w:left="420" w:leftChars="0" w:firstLine="0" w:firstLineChars="0"/>
        <w:jc w:val="left"/>
        <w:outlineLvl w:val="0"/>
        <w:rPr>
          <w:rFonts w:hint="eastAsia" w:ascii="宋体" w:hAnsi="宋体" w:eastAsia="宋体" w:cs="宋体"/>
        </w:rPr>
      </w:pPr>
      <w:bookmarkStart w:id="117" w:name="_Toc22858"/>
      <w:r>
        <w:rPr>
          <w:rFonts w:hint="eastAsia" w:ascii="宋体" w:hAnsi="宋体" w:eastAsia="宋体" w:cs="宋体"/>
          <w:b/>
        </w:rPr>
        <w:t>附件1：磋商响应文件封面格式</w:t>
      </w:r>
      <w:bookmarkEnd w:id="117"/>
    </w:p>
    <w:p w14:paraId="095EB70D">
      <w:pPr>
        <w:pStyle w:val="120"/>
        <w:ind w:firstLine="643"/>
        <w:jc w:val="right"/>
        <w:rPr>
          <w:rFonts w:hint="eastAsia" w:ascii="宋体" w:hAnsi="宋体" w:eastAsia="宋体" w:cs="宋体"/>
          <w:b/>
          <w:sz w:val="32"/>
        </w:rPr>
      </w:pPr>
      <w:r>
        <w:rPr>
          <w:rFonts w:hint="eastAsia" w:ascii="宋体" w:hAnsi="宋体" w:eastAsia="宋体" w:cs="宋体"/>
          <w:b/>
          <w:sz w:val="32"/>
        </w:rPr>
        <w:t xml:space="preserve"> 　　　</w:t>
      </w:r>
    </w:p>
    <w:p w14:paraId="560E15A3">
      <w:pPr>
        <w:spacing w:line="360" w:lineRule="auto"/>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57C3406D">
      <w:pPr>
        <w:spacing w:before="312" w:beforeLines="100" w:line="360" w:lineRule="auto"/>
        <w:ind w:right="-108" w:firstLine="1800" w:firstLineChars="500"/>
        <w:jc w:val="both"/>
        <w:rPr>
          <w:rFonts w:hint="eastAsia" w:ascii="宋体" w:hAnsi="宋体" w:eastAsia="宋体" w:cs="宋体"/>
          <w:sz w:val="36"/>
          <w:szCs w:val="36"/>
        </w:rPr>
      </w:pPr>
      <w:r>
        <w:rPr>
          <w:rFonts w:hint="eastAsia" w:ascii="宋体" w:hAnsi="宋体" w:eastAsia="宋体" w:cs="宋体"/>
          <w:sz w:val="36"/>
          <w:szCs w:val="36"/>
        </w:rPr>
        <w:t>项目编号：</w:t>
      </w:r>
    </w:p>
    <w:p w14:paraId="7C8A946C">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磋</w:t>
      </w:r>
    </w:p>
    <w:p w14:paraId="6E2579C6">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商</w:t>
      </w:r>
    </w:p>
    <w:p w14:paraId="256D07BB">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响</w:t>
      </w:r>
    </w:p>
    <w:p w14:paraId="04B275F8">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应</w:t>
      </w:r>
    </w:p>
    <w:p w14:paraId="45C7434C">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文</w:t>
      </w:r>
    </w:p>
    <w:p w14:paraId="253DD58B">
      <w:pPr>
        <w:spacing w:after="100" w:afterAutospacing="1" w:line="8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件</w:t>
      </w:r>
    </w:p>
    <w:p w14:paraId="72E53915">
      <w:pPr>
        <w:pStyle w:val="21"/>
        <w:snapToGrid w:val="0"/>
        <w:spacing w:line="360" w:lineRule="auto"/>
        <w:ind w:right="1174" w:firstLine="0"/>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szCs w:val="24"/>
        </w:rPr>
        <w:t>资信技术文件</w:t>
      </w:r>
      <w:r>
        <w:rPr>
          <w:rFonts w:hint="eastAsia" w:ascii="宋体" w:hAnsi="宋体" w:eastAsia="宋体" w:cs="宋体"/>
        </w:rPr>
        <w:t>/报价文件）</w:t>
      </w:r>
    </w:p>
    <w:p w14:paraId="1BDA2584">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供应商全称（公章）：</w:t>
      </w:r>
    </w:p>
    <w:p w14:paraId="1200291D">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08C8713B">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r>
        <w:rPr>
          <w:rFonts w:hint="eastAsia" w:ascii="宋体" w:hAnsi="宋体" w:eastAsia="宋体" w:cs="宋体"/>
          <w:sz w:val="36"/>
          <w:szCs w:val="36"/>
        </w:rPr>
        <w:br w:type="page"/>
      </w:r>
    </w:p>
    <w:p w14:paraId="1DAB250A">
      <w:pPr>
        <w:pStyle w:val="4"/>
        <w:snapToGrid w:val="0"/>
        <w:spacing w:before="0" w:after="0" w:line="360" w:lineRule="auto"/>
        <w:outlineLvl w:val="0"/>
        <w:rPr>
          <w:rFonts w:hint="eastAsia" w:ascii="宋体" w:hAnsi="宋体" w:eastAsia="宋体" w:cs="宋体"/>
          <w:bCs w:val="0"/>
          <w:kern w:val="2"/>
          <w:sz w:val="30"/>
          <w:szCs w:val="30"/>
        </w:rPr>
      </w:pPr>
      <w:bookmarkStart w:id="118" w:name="_Toc25636"/>
      <w:r>
        <w:rPr>
          <w:rFonts w:hint="eastAsia" w:ascii="宋体" w:hAnsi="宋体" w:eastAsia="宋体" w:cs="宋体"/>
          <w:bCs w:val="0"/>
          <w:kern w:val="2"/>
          <w:sz w:val="30"/>
          <w:szCs w:val="30"/>
        </w:rPr>
        <w:t>附件2：磋商声明书</w:t>
      </w:r>
      <w:bookmarkEnd w:id="118"/>
    </w:p>
    <w:p w14:paraId="0057E611">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磋商声明书</w:t>
      </w:r>
    </w:p>
    <w:p w14:paraId="55AF6967">
      <w:pPr>
        <w:rPr>
          <w:rFonts w:hint="eastAsia" w:ascii="宋体" w:hAnsi="宋体" w:eastAsia="宋体" w:cs="宋体"/>
          <w:sz w:val="24"/>
          <w:szCs w:val="32"/>
          <w:u w:val="single"/>
        </w:rPr>
      </w:pPr>
      <w:r>
        <w:rPr>
          <w:rFonts w:hint="eastAsia" w:ascii="宋体" w:hAnsi="宋体" w:eastAsia="宋体" w:cs="宋体"/>
          <w:sz w:val="24"/>
          <w:szCs w:val="32"/>
          <w:u w:val="single"/>
        </w:rPr>
        <w:t>浙江省台州生态环境监测中心、台州锋鼎工程项目管理有限公司：</w:t>
      </w:r>
    </w:p>
    <w:p w14:paraId="577B4D09">
      <w:pPr>
        <w:snapToGrid w:val="0"/>
        <w:spacing w:before="156" w:beforeLines="50" w:after="50"/>
        <w:rPr>
          <w:rFonts w:hint="eastAsia" w:ascii="宋体" w:hAnsi="宋体" w:eastAsia="宋体" w:cs="宋体"/>
          <w:sz w:val="24"/>
        </w:rPr>
      </w:pPr>
      <w:r>
        <w:rPr>
          <w:rFonts w:hint="eastAsia" w:ascii="宋体" w:hAnsi="宋体" w:cs="宋体"/>
          <w:sz w:val="24"/>
          <w:u w:val="single"/>
          <w:lang w:val="en-US" w:eastAsia="zh-CN"/>
        </w:rPr>
        <w:t xml:space="preserve">         </w:t>
      </w:r>
      <w:r>
        <w:rPr>
          <w:rFonts w:hint="eastAsia" w:ascii="宋体" w:hAnsi="宋体" w:eastAsia="宋体" w:cs="宋体"/>
          <w:sz w:val="24"/>
          <w:u w:val="single"/>
        </w:rPr>
        <w:t>（供应商名称）</w:t>
      </w:r>
      <w:r>
        <w:rPr>
          <w:rFonts w:hint="eastAsia" w:ascii="宋体" w:hAnsi="宋体" w:eastAsia="宋体" w:cs="宋体"/>
          <w:sz w:val="24"/>
        </w:rPr>
        <w:t>系中华人民共和国合法企业，经营地址</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12E7C478">
      <w:pPr>
        <w:snapToGrid w:val="0"/>
        <w:spacing w:before="156" w:beforeLines="50" w:after="50"/>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供应商名称 </w:t>
      </w:r>
      <w:r>
        <w:rPr>
          <w:rFonts w:hint="eastAsia" w:ascii="宋体" w:hAnsi="宋体" w:eastAsia="宋体" w:cs="宋体"/>
          <w:sz w:val="24"/>
        </w:rPr>
        <w:t>）的法定代表人（单位负责人），我公司自愿参加贵方组织的</w:t>
      </w:r>
      <w:r>
        <w:rPr>
          <w:rFonts w:hint="eastAsia" w:ascii="宋体" w:hAnsi="宋体" w:eastAsia="宋体" w:cs="宋体"/>
          <w:sz w:val="24"/>
          <w:szCs w:val="32"/>
          <w:u w:val="single"/>
        </w:rPr>
        <w:t xml:space="preserve">        </w:t>
      </w:r>
      <w:r>
        <w:rPr>
          <w:rFonts w:hint="eastAsia" w:ascii="宋体" w:hAnsi="宋体" w:eastAsia="宋体" w:cs="宋体"/>
          <w:sz w:val="24"/>
          <w:szCs w:val="32"/>
        </w:rPr>
        <w:t>（编号为</w:t>
      </w:r>
      <w:r>
        <w:rPr>
          <w:rFonts w:hint="eastAsia" w:ascii="宋体" w:hAnsi="宋体" w:eastAsia="宋体" w:cs="宋体"/>
          <w:sz w:val="24"/>
          <w:szCs w:val="32"/>
          <w:u w:val="single"/>
        </w:rPr>
        <w:t xml:space="preserve">                </w:t>
      </w:r>
      <w:r>
        <w:rPr>
          <w:rFonts w:hint="eastAsia" w:ascii="宋体" w:hAnsi="宋体" w:eastAsia="宋体" w:cs="宋体"/>
          <w:sz w:val="24"/>
          <w:szCs w:val="32"/>
        </w:rPr>
        <w:t>）</w:t>
      </w:r>
      <w:r>
        <w:rPr>
          <w:rFonts w:hint="eastAsia" w:ascii="宋体" w:hAnsi="宋体" w:eastAsia="宋体" w:cs="宋体"/>
          <w:sz w:val="24"/>
        </w:rPr>
        <w:t>的磋商，为此，我公司就本次磋商有关事项郑重声明如下：</w:t>
      </w:r>
    </w:p>
    <w:p w14:paraId="3595FCA4">
      <w:pPr>
        <w:widowControl w:val="0"/>
        <w:numPr>
          <w:ilvl w:val="0"/>
          <w:numId w:val="7"/>
        </w:numPr>
        <w:snapToGrid w:val="0"/>
        <w:spacing w:before="156" w:beforeLines="50" w:after="50"/>
        <w:ind w:firstLine="480" w:firstLineChars="200"/>
        <w:jc w:val="both"/>
        <w:rPr>
          <w:rFonts w:hint="eastAsia" w:ascii="宋体" w:hAnsi="宋体" w:eastAsia="宋体" w:cs="宋体"/>
          <w:b/>
          <w:sz w:val="24"/>
        </w:rPr>
      </w:pPr>
      <w:r>
        <w:rPr>
          <w:rFonts w:hint="eastAsia" w:ascii="宋体" w:hAnsi="宋体" w:eastAsia="宋体" w:cs="宋体"/>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60FBB341">
      <w:pPr>
        <w:widowControl w:val="0"/>
        <w:numPr>
          <w:ilvl w:val="0"/>
          <w:numId w:val="7"/>
        </w:numPr>
        <w:snapToGrid w:val="0"/>
        <w:spacing w:before="156" w:beforeLines="50" w:after="50"/>
        <w:ind w:firstLine="480" w:firstLineChars="200"/>
        <w:jc w:val="both"/>
        <w:rPr>
          <w:rFonts w:hint="eastAsia" w:ascii="宋体" w:hAnsi="宋体" w:eastAsia="宋体" w:cs="宋体"/>
          <w:sz w:val="24"/>
        </w:rPr>
      </w:pPr>
      <w:r>
        <w:rPr>
          <w:rFonts w:hint="eastAsia" w:ascii="宋体" w:hAnsi="宋体" w:eastAsia="宋体" w:cs="宋体"/>
          <w:sz w:val="24"/>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3E57705E">
      <w:pPr>
        <w:snapToGrid w:val="0"/>
        <w:spacing w:before="156" w:beforeLines="50" w:after="50"/>
        <w:ind w:firstLine="480" w:firstLineChars="200"/>
        <w:rPr>
          <w:rFonts w:hint="eastAsia" w:ascii="宋体" w:hAnsi="宋体" w:eastAsia="宋体" w:cs="宋体"/>
          <w:sz w:val="24"/>
        </w:rPr>
      </w:pPr>
      <w:r>
        <w:rPr>
          <w:rFonts w:hint="eastAsia" w:ascii="宋体" w:hAnsi="宋体" w:eastAsia="宋体" w:cs="宋体"/>
          <w:sz w:val="24"/>
        </w:rPr>
        <w:t>3、我</w:t>
      </w:r>
      <w:r>
        <w:rPr>
          <w:rFonts w:hint="eastAsia" w:ascii="宋体" w:hAnsi="宋体" w:eastAsia="宋体" w:cs="宋体"/>
          <w:sz w:val="24"/>
          <w:lang w:val="zh-CN"/>
        </w:rPr>
        <w:t>公司</w:t>
      </w:r>
      <w:r>
        <w:rPr>
          <w:rFonts w:hint="eastAsia" w:ascii="宋体" w:hAnsi="宋体" w:eastAsia="宋体" w:cs="宋体"/>
          <w:sz w:val="24"/>
        </w:rPr>
        <w:t>不是采购人的附属机构；在获知本项目采购信息后，与采购人聘请的为此项目提供咨询服务的公司及其附属机构没有任何联系。</w:t>
      </w:r>
    </w:p>
    <w:p w14:paraId="336AD914">
      <w:pPr>
        <w:snapToGrid w:val="0"/>
        <w:spacing w:before="156" w:beforeLines="50" w:after="50"/>
        <w:ind w:firstLine="480" w:firstLineChars="200"/>
        <w:rPr>
          <w:rFonts w:hint="eastAsia" w:ascii="宋体" w:hAnsi="宋体" w:eastAsia="宋体" w:cs="宋体"/>
          <w:sz w:val="24"/>
          <w:lang w:val="af-ZA"/>
        </w:rPr>
      </w:pPr>
      <w:r>
        <w:rPr>
          <w:rFonts w:hint="eastAsia" w:ascii="宋体" w:hAnsi="宋体" w:eastAsia="宋体" w:cs="宋体"/>
          <w:sz w:val="24"/>
        </w:rPr>
        <w:t>4、我</w:t>
      </w:r>
      <w:r>
        <w:rPr>
          <w:rFonts w:hint="eastAsia" w:ascii="宋体" w:hAnsi="宋体" w:eastAsia="宋体" w:cs="宋体"/>
          <w:sz w:val="24"/>
          <w:lang w:val="zh-CN"/>
        </w:rPr>
        <w:t>公司</w:t>
      </w:r>
      <w:r>
        <w:rPr>
          <w:rFonts w:hint="eastAsia" w:ascii="宋体" w:hAnsi="宋体" w:eastAsia="宋体" w:cs="宋体"/>
          <w:sz w:val="24"/>
        </w:rPr>
        <w:t>保证，</w:t>
      </w:r>
      <w:r>
        <w:rPr>
          <w:rFonts w:hint="eastAsia" w:ascii="宋体" w:hAnsi="宋体" w:eastAsia="宋体" w:cs="宋体"/>
          <w:sz w:val="24"/>
          <w:lang w:val="af-ZA"/>
        </w:rPr>
        <w:t>采购人在中华人民共和国境内使用</w:t>
      </w:r>
      <w:r>
        <w:rPr>
          <w:rFonts w:hint="eastAsia" w:ascii="宋体" w:hAnsi="宋体" w:eastAsia="宋体" w:cs="宋体"/>
          <w:sz w:val="24"/>
        </w:rPr>
        <w:t>我</w:t>
      </w:r>
      <w:r>
        <w:rPr>
          <w:rFonts w:hint="eastAsia" w:ascii="宋体" w:hAnsi="宋体" w:eastAsia="宋体" w:cs="宋体"/>
          <w:sz w:val="24"/>
          <w:lang w:val="zh-CN"/>
        </w:rPr>
        <w:t>公司</w:t>
      </w:r>
      <w:r>
        <w:rPr>
          <w:rFonts w:hint="eastAsia" w:ascii="宋体" w:hAnsi="宋体" w:eastAsia="宋体" w:cs="宋体"/>
          <w:sz w:val="24"/>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233778C">
      <w:pPr>
        <w:snapToGrid w:val="0"/>
        <w:spacing w:before="156" w:beforeLines="50" w:after="50"/>
        <w:ind w:firstLine="480" w:firstLineChars="200"/>
        <w:rPr>
          <w:rFonts w:hint="eastAsia" w:ascii="宋体" w:hAnsi="宋体" w:eastAsia="宋体" w:cs="宋体"/>
          <w:sz w:val="24"/>
          <w:lang w:val="af-ZA"/>
        </w:rPr>
      </w:pPr>
      <w:r>
        <w:rPr>
          <w:rFonts w:hint="eastAsia" w:ascii="宋体" w:hAnsi="宋体" w:eastAsia="宋体" w:cs="宋体"/>
          <w:sz w:val="24"/>
          <w:lang w:val="af-ZA"/>
        </w:rPr>
        <w:t>5、我</w:t>
      </w:r>
      <w:r>
        <w:rPr>
          <w:rFonts w:hint="eastAsia" w:ascii="宋体" w:hAnsi="宋体" w:eastAsia="宋体" w:cs="宋体"/>
          <w:sz w:val="24"/>
          <w:lang w:val="zh-CN"/>
        </w:rPr>
        <w:t>公司</w:t>
      </w:r>
      <w:r>
        <w:rPr>
          <w:rFonts w:hint="eastAsia" w:ascii="宋体" w:hAnsi="宋体" w:eastAsia="宋体" w:cs="宋体"/>
          <w:sz w:val="24"/>
          <w:lang w:val="af-ZA"/>
        </w:rPr>
        <w:t>严格履行政府采购合同，不降低合同约定的产品质量和服务，不擅自变更、中止、终止合同，或拒绝履行合同义务；</w:t>
      </w:r>
    </w:p>
    <w:p w14:paraId="54608F7F">
      <w:pPr>
        <w:snapToGrid w:val="0"/>
        <w:spacing w:before="156" w:beforeLines="50" w:after="50"/>
        <w:ind w:firstLine="480" w:firstLineChars="200"/>
        <w:rPr>
          <w:rFonts w:hint="eastAsia" w:ascii="宋体" w:hAnsi="宋体" w:eastAsia="宋体" w:cs="宋体"/>
          <w:sz w:val="24"/>
          <w:lang w:val="af-ZA"/>
        </w:rPr>
      </w:pPr>
      <w:r>
        <w:rPr>
          <w:rFonts w:hint="eastAsia" w:ascii="宋体" w:hAnsi="宋体" w:eastAsia="宋体" w:cs="宋体"/>
          <w:sz w:val="24"/>
          <w:lang w:val="af-ZA"/>
        </w:rPr>
        <w:t>6、我公司不存在单位负责人为同一人或者存在直接控股、管理关系的不同供应商；</w:t>
      </w:r>
    </w:p>
    <w:p w14:paraId="42A1EF67">
      <w:pPr>
        <w:snapToGrid w:val="0"/>
        <w:spacing w:before="156" w:beforeLines="50" w:after="50"/>
        <w:ind w:firstLine="480" w:firstLineChars="200"/>
        <w:rPr>
          <w:rFonts w:hint="eastAsia" w:ascii="宋体" w:hAnsi="宋体" w:eastAsia="宋体" w:cs="宋体"/>
          <w:sz w:val="24"/>
          <w:lang w:val="af-ZA"/>
        </w:rPr>
      </w:pPr>
      <w:r>
        <w:rPr>
          <w:rFonts w:hint="eastAsia" w:ascii="宋体" w:hAnsi="宋体" w:eastAsia="宋体" w:cs="宋体"/>
          <w:sz w:val="24"/>
          <w:lang w:val="af-ZA"/>
        </w:rPr>
        <w:t>7、我</w:t>
      </w:r>
      <w:r>
        <w:rPr>
          <w:rFonts w:hint="eastAsia" w:ascii="宋体" w:hAnsi="宋体" w:eastAsia="宋体" w:cs="宋体"/>
          <w:sz w:val="24"/>
          <w:lang w:val="zh-CN"/>
        </w:rPr>
        <w:t>公司承诺</w:t>
      </w:r>
      <w:r>
        <w:rPr>
          <w:rFonts w:hint="eastAsia" w:ascii="宋体" w:hAnsi="宋体" w:eastAsia="宋体" w:cs="宋体"/>
          <w:sz w:val="24"/>
          <w:lang w:val="af-ZA"/>
        </w:rPr>
        <w:t>具有履行合同所必需的设备和专业技术能力</w:t>
      </w:r>
    </w:p>
    <w:p w14:paraId="46CE15D0">
      <w:pPr>
        <w:snapToGrid w:val="0"/>
        <w:spacing w:before="156" w:beforeLines="50" w:after="50"/>
        <w:ind w:firstLine="480" w:firstLineChars="200"/>
        <w:rPr>
          <w:rFonts w:hint="eastAsia" w:ascii="宋体" w:hAnsi="宋体" w:eastAsia="宋体" w:cs="宋体"/>
          <w:sz w:val="24"/>
        </w:rPr>
      </w:pPr>
      <w:r>
        <w:rPr>
          <w:rFonts w:hint="eastAsia" w:ascii="宋体" w:hAnsi="宋体" w:eastAsia="宋体" w:cs="宋体"/>
          <w:sz w:val="24"/>
        </w:rPr>
        <w:t>8、以上事项如有虚假或隐瞒，我</w:t>
      </w:r>
      <w:r>
        <w:rPr>
          <w:rFonts w:hint="eastAsia" w:ascii="宋体" w:hAnsi="宋体" w:eastAsia="宋体" w:cs="宋体"/>
          <w:sz w:val="24"/>
          <w:lang w:val="zh-CN"/>
        </w:rPr>
        <w:t>公司</w:t>
      </w:r>
      <w:r>
        <w:rPr>
          <w:rFonts w:hint="eastAsia" w:ascii="宋体" w:hAnsi="宋体" w:eastAsia="宋体" w:cs="宋体"/>
          <w:sz w:val="24"/>
        </w:rPr>
        <w:t>愿意承担一切后果，并不再寻求任何旨在减轻或免除法律责任的辩解。</w:t>
      </w:r>
    </w:p>
    <w:p w14:paraId="3D9DF2A2">
      <w:pPr>
        <w:ind w:firstLine="480" w:firstLineChars="200"/>
        <w:rPr>
          <w:rFonts w:hint="eastAsia" w:ascii="宋体" w:hAnsi="宋体" w:eastAsia="宋体" w:cs="宋体"/>
          <w:sz w:val="24"/>
          <w:szCs w:val="32"/>
        </w:rPr>
      </w:pPr>
      <w:r>
        <w:rPr>
          <w:rFonts w:hint="eastAsia" w:ascii="宋体" w:hAnsi="宋体" w:eastAsia="宋体" w:cs="宋体"/>
          <w:sz w:val="24"/>
          <w:szCs w:val="32"/>
        </w:rPr>
        <w:t>本单位若违反以上承诺，将无条件接受项目主管部门和有关监督管理部门的调查，并愿意承担取消中标资格及限制在本地区参与投标等一切法律责任。</w:t>
      </w:r>
    </w:p>
    <w:p w14:paraId="38CACA14">
      <w:pPr>
        <w:pStyle w:val="19"/>
        <w:rPr>
          <w:rFonts w:hint="eastAsia" w:ascii="宋体" w:hAnsi="宋体" w:eastAsia="宋体" w:cs="宋体"/>
        </w:rPr>
      </w:pPr>
    </w:p>
    <w:p w14:paraId="041CCFAB">
      <w:pPr>
        <w:adjustRightInd w:val="0"/>
        <w:snapToGrid w:val="0"/>
        <w:spacing w:line="360" w:lineRule="auto"/>
        <w:ind w:firstLine="4680" w:firstLineChars="1950"/>
        <w:rPr>
          <w:rFonts w:hint="eastAsia" w:ascii="宋体" w:hAnsi="宋体" w:eastAsia="宋体" w:cs="宋体"/>
          <w:sz w:val="24"/>
          <w:lang w:val="zh-CN"/>
        </w:rPr>
      </w:pPr>
      <w:r>
        <w:rPr>
          <w:rFonts w:hint="eastAsia" w:ascii="宋体" w:hAnsi="宋体" w:eastAsia="宋体" w:cs="宋体"/>
          <w:sz w:val="24"/>
          <w:lang w:val="zh-CN"/>
        </w:rPr>
        <w:t xml:space="preserve">    供应商名称（公章）：</w:t>
      </w:r>
    </w:p>
    <w:p w14:paraId="65609930">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w:t>
      </w:r>
      <w:r>
        <w:rPr>
          <w:rFonts w:hint="eastAsia" w:ascii="宋体" w:hAnsi="宋体" w:cs="宋体"/>
          <w:sz w:val="24"/>
          <w:lang w:val="zh-CN"/>
        </w:rPr>
        <w:t>或盖章</w:t>
      </w:r>
      <w:r>
        <w:rPr>
          <w:rFonts w:hint="eastAsia" w:ascii="宋体" w:hAnsi="宋体" w:eastAsia="宋体" w:cs="宋体"/>
          <w:sz w:val="24"/>
          <w:lang w:val="zh-CN"/>
        </w:rPr>
        <w:t>）：</w:t>
      </w:r>
    </w:p>
    <w:p w14:paraId="31343E0E">
      <w:pPr>
        <w:adjustRightInd w:val="0"/>
        <w:snapToGrid w:val="0"/>
        <w:spacing w:line="360" w:lineRule="auto"/>
        <w:ind w:right="480"/>
        <w:jc w:val="center"/>
        <w:rPr>
          <w:rFonts w:hint="eastAsia" w:ascii="宋体" w:hAnsi="宋体" w:eastAsia="宋体" w:cs="宋体"/>
          <w:sz w:val="24"/>
          <w:lang w:val="zh-CN"/>
        </w:rPr>
      </w:pPr>
      <w:r>
        <w:rPr>
          <w:rFonts w:hint="eastAsia" w:ascii="宋体" w:hAnsi="宋体" w:eastAsia="宋体" w:cs="宋体"/>
          <w:sz w:val="24"/>
          <w:lang w:val="zh-CN"/>
        </w:rPr>
        <w:t xml:space="preserve">                                  日期：    年   月   日</w:t>
      </w:r>
      <w:r>
        <w:rPr>
          <w:rFonts w:hint="eastAsia" w:ascii="宋体" w:hAnsi="宋体" w:eastAsia="宋体" w:cs="宋体"/>
          <w:b/>
          <w:sz w:val="28"/>
        </w:rPr>
        <w:br w:type="page"/>
      </w:r>
    </w:p>
    <w:p w14:paraId="29AAA90F">
      <w:pPr>
        <w:pStyle w:val="4"/>
        <w:snapToGrid w:val="0"/>
        <w:spacing w:before="0" w:after="0" w:line="360" w:lineRule="auto"/>
        <w:outlineLvl w:val="0"/>
        <w:rPr>
          <w:rFonts w:hint="eastAsia" w:ascii="宋体" w:hAnsi="宋体" w:eastAsia="宋体" w:cs="宋体"/>
          <w:bCs w:val="0"/>
          <w:kern w:val="2"/>
          <w:sz w:val="30"/>
          <w:szCs w:val="30"/>
        </w:rPr>
      </w:pPr>
      <w:bookmarkStart w:id="119" w:name="_Toc17508"/>
      <w:r>
        <w:rPr>
          <w:rFonts w:hint="eastAsia" w:ascii="宋体" w:hAnsi="宋体" w:eastAsia="宋体" w:cs="宋体"/>
          <w:bCs w:val="0"/>
          <w:kern w:val="2"/>
          <w:sz w:val="30"/>
          <w:szCs w:val="30"/>
        </w:rPr>
        <w:t>附件3：法定代表人授权委托书</w:t>
      </w:r>
      <w:bookmarkEnd w:id="119"/>
    </w:p>
    <w:p w14:paraId="652F89EF">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法定代表人授权委托书</w:t>
      </w:r>
    </w:p>
    <w:p w14:paraId="5CD3CD05">
      <w:pPr>
        <w:pStyle w:val="24"/>
        <w:spacing w:line="500" w:lineRule="exact"/>
        <w:rPr>
          <w:rFonts w:hint="eastAsia" w:ascii="宋体" w:hAnsi="宋体" w:eastAsia="宋体" w:cs="宋体"/>
          <w:kern w:val="0"/>
          <w:sz w:val="24"/>
        </w:rPr>
      </w:pPr>
      <w:r>
        <w:rPr>
          <w:rFonts w:hint="eastAsia" w:ascii="宋体" w:hAnsi="宋体" w:eastAsia="宋体" w:cs="宋体"/>
          <w:sz w:val="24"/>
          <w:u w:val="single"/>
          <w:lang w:eastAsia="zh-CN"/>
        </w:rPr>
        <w:t>浙江省台州生态环境监测中心</w:t>
      </w:r>
      <w:r>
        <w:rPr>
          <w:rFonts w:hint="eastAsia" w:ascii="宋体" w:hAnsi="宋体" w:eastAsia="宋体" w:cs="宋体"/>
          <w:sz w:val="24"/>
          <w:u w:val="single"/>
        </w:rPr>
        <w:t>、台州锋鼎工程项目管理有限公司</w:t>
      </w:r>
      <w:r>
        <w:rPr>
          <w:rFonts w:hint="eastAsia" w:ascii="宋体" w:hAnsi="宋体" w:eastAsia="宋体" w:cs="宋体"/>
          <w:kern w:val="0"/>
          <w:sz w:val="24"/>
        </w:rPr>
        <w:t>：</w:t>
      </w:r>
    </w:p>
    <w:p w14:paraId="597D48D9">
      <w:pPr>
        <w:pStyle w:val="24"/>
        <w:spacing w:line="500" w:lineRule="exact"/>
        <w:ind w:left="200" w:leftChars="100" w:firstLine="480" w:firstLineChars="200"/>
        <w:rPr>
          <w:rFonts w:hint="eastAsia" w:ascii="宋体" w:hAnsi="宋体" w:eastAsia="宋体" w:cs="宋体"/>
          <w:sz w:val="24"/>
        </w:rPr>
      </w:pPr>
      <w:r>
        <w:rPr>
          <w:rFonts w:hint="eastAsia" w:ascii="宋体" w:hAnsi="宋体" w:eastAsia="宋体" w:cs="宋体"/>
          <w:sz w:val="24"/>
          <w:u w:val="single"/>
        </w:rPr>
        <w:t xml:space="preserve">  （供应商全称）  </w:t>
      </w:r>
      <w:r>
        <w:rPr>
          <w:rFonts w:hint="eastAsia" w:ascii="宋体" w:hAnsi="宋体" w:eastAsia="宋体" w:cs="宋体"/>
          <w:sz w:val="24"/>
        </w:rPr>
        <w:t>法定代表人（或营业执照中单位负责人）</w:t>
      </w:r>
      <w:r>
        <w:rPr>
          <w:rFonts w:hint="eastAsia" w:ascii="宋体" w:hAnsi="宋体" w:eastAsia="宋体" w:cs="宋体"/>
          <w:sz w:val="24"/>
          <w:u w:val="single"/>
        </w:rPr>
        <w:tab/>
      </w:r>
      <w:r>
        <w:rPr>
          <w:rFonts w:hint="eastAsia" w:ascii="宋体" w:hAnsi="宋体" w:eastAsia="宋体" w:cs="宋体"/>
          <w:sz w:val="24"/>
          <w:u w:val="single"/>
        </w:rPr>
        <w:t xml:space="preserve">（法定代表人或营业执照中单位负责人姓名） </w:t>
      </w:r>
      <w:r>
        <w:rPr>
          <w:rFonts w:hint="eastAsia" w:ascii="宋体" w:hAnsi="宋体" w:eastAsia="宋体" w:cs="宋体"/>
          <w:sz w:val="24"/>
        </w:rPr>
        <w:t>授权</w:t>
      </w:r>
      <w:r>
        <w:rPr>
          <w:rFonts w:hint="eastAsia" w:ascii="宋体" w:hAnsi="宋体" w:eastAsia="宋体" w:cs="宋体"/>
          <w:sz w:val="24"/>
          <w:u w:val="single"/>
        </w:rPr>
        <w:t xml:space="preserve">   （授权委托代理人姓名） </w:t>
      </w:r>
      <w:r>
        <w:rPr>
          <w:rFonts w:hint="eastAsia" w:ascii="宋体" w:hAnsi="宋体" w:eastAsia="宋体" w:cs="宋体"/>
          <w:sz w:val="24"/>
        </w:rPr>
        <w:t>为授权委托代理人，参加贵单位组织的</w:t>
      </w:r>
      <w:r>
        <w:rPr>
          <w:rFonts w:hint="eastAsia" w:ascii="宋体" w:hAnsi="宋体" w:eastAsia="宋体" w:cs="宋体"/>
          <w:kern w:val="0"/>
          <w:sz w:val="24"/>
          <w:u w:val="single"/>
        </w:rPr>
        <w:t xml:space="preserve">                           </w:t>
      </w:r>
      <w:r>
        <w:rPr>
          <w:rFonts w:hint="eastAsia" w:ascii="宋体" w:hAnsi="宋体" w:eastAsia="宋体" w:cs="宋体"/>
          <w:sz w:val="24"/>
        </w:rPr>
        <w:t>的采购活动，并代表我方全权办理针对上述项目的磋商、签约等具体事务和签署相关文件。我方对授权委托代理人的签字事项负全部责任。</w:t>
      </w:r>
    </w:p>
    <w:p w14:paraId="14588DCA">
      <w:pPr>
        <w:pStyle w:val="24"/>
        <w:spacing w:line="500" w:lineRule="exact"/>
        <w:ind w:left="132" w:leftChars="66"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在撤销授权的书面通知以前，本授权书一直有效。授权委托代理人在授权委托书有效期内签署的所有文件不因授权的撤销而失效。</w:t>
      </w:r>
    </w:p>
    <w:p w14:paraId="798730A0">
      <w:pPr>
        <w:pStyle w:val="24"/>
        <w:spacing w:line="500" w:lineRule="exact"/>
        <w:ind w:left="132" w:leftChars="66" w:firstLine="480" w:firstLineChars="200"/>
        <w:rPr>
          <w:rFonts w:hint="eastAsia" w:ascii="宋体" w:hAnsi="宋体" w:eastAsia="宋体" w:cs="宋体"/>
          <w:sz w:val="24"/>
        </w:rPr>
      </w:pPr>
      <w:r>
        <w:rPr>
          <w:rFonts w:hint="eastAsia" w:ascii="宋体" w:hAnsi="宋体" w:eastAsia="宋体" w:cs="宋体"/>
          <w:sz w:val="24"/>
        </w:rPr>
        <w:t>授权委托代理人无转委托权，特此委托。</w:t>
      </w:r>
    </w:p>
    <w:p w14:paraId="282982D4">
      <w:pPr>
        <w:spacing w:line="360" w:lineRule="auto"/>
        <w:rPr>
          <w:rFonts w:hint="eastAsia" w:ascii="宋体" w:hAnsi="宋体" w:eastAsia="宋体" w:cs="宋体"/>
          <w:sz w:val="24"/>
        </w:rPr>
      </w:pPr>
    </w:p>
    <w:p w14:paraId="3EA83F4C">
      <w:pPr>
        <w:spacing w:line="360" w:lineRule="auto"/>
        <w:rPr>
          <w:rFonts w:hint="eastAsia" w:ascii="宋体" w:hAnsi="宋体" w:eastAsia="宋体" w:cs="宋体"/>
          <w:sz w:val="24"/>
        </w:rPr>
      </w:pPr>
      <w:r>
        <w:rPr>
          <w:rFonts w:hint="eastAsia" w:ascii="宋体" w:hAnsi="宋体" w:eastAsia="宋体" w:cs="宋体"/>
          <w:sz w:val="24"/>
        </w:rPr>
        <w:t>法定代表人（单位负责人）签字或盖章：</w:t>
      </w:r>
    </w:p>
    <w:p w14:paraId="5B462B59">
      <w:pPr>
        <w:spacing w:line="360" w:lineRule="auto"/>
        <w:rPr>
          <w:rFonts w:hint="eastAsia" w:ascii="宋体" w:hAnsi="宋体" w:eastAsia="宋体" w:cs="宋体"/>
          <w:sz w:val="24"/>
        </w:rPr>
      </w:pPr>
    </w:p>
    <w:p w14:paraId="19D14517">
      <w:pPr>
        <w:spacing w:line="360" w:lineRule="auto"/>
        <w:rPr>
          <w:rFonts w:hint="eastAsia" w:ascii="宋体" w:hAnsi="宋体" w:eastAsia="宋体" w:cs="宋体"/>
          <w:sz w:val="24"/>
        </w:rPr>
      </w:pPr>
      <w:r>
        <w:rPr>
          <w:rFonts w:hint="eastAsia" w:ascii="宋体" w:hAnsi="宋体" w:eastAsia="宋体" w:cs="宋体"/>
          <w:sz w:val="24"/>
        </w:rPr>
        <w:t>供应商全称（公章）：                            日期：    年   月   日</w:t>
      </w:r>
    </w:p>
    <w:p w14:paraId="5BB816AD">
      <w:pPr>
        <w:spacing w:line="360" w:lineRule="auto"/>
        <w:outlineLvl w:val="0"/>
        <w:rPr>
          <w:rFonts w:hint="eastAsia" w:ascii="宋体" w:hAnsi="宋体" w:eastAsia="宋体" w:cs="宋体"/>
          <w:b/>
          <w:sz w:val="24"/>
        </w:rPr>
      </w:pPr>
      <w:bookmarkStart w:id="120" w:name="_Toc17456"/>
      <w:r>
        <w:rPr>
          <w:rFonts w:hint="eastAsia" w:ascii="宋体" w:hAnsi="宋体" w:eastAsia="宋体" w:cs="宋体"/>
          <w:b/>
          <w:sz w:val="24"/>
        </w:rPr>
        <w:t>附：</w:t>
      </w:r>
      <w:bookmarkEnd w:id="120"/>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94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061E990">
            <w:pPr>
              <w:spacing w:line="360" w:lineRule="auto"/>
              <w:rPr>
                <w:rFonts w:hint="eastAsia" w:ascii="宋体" w:hAnsi="宋体" w:eastAsia="宋体" w:cs="宋体"/>
                <w:b/>
                <w:sz w:val="24"/>
              </w:rPr>
            </w:pPr>
          </w:p>
          <w:p w14:paraId="1C471AE9">
            <w:pPr>
              <w:spacing w:line="360" w:lineRule="auto"/>
              <w:jc w:val="center"/>
              <w:rPr>
                <w:rFonts w:hint="eastAsia" w:ascii="宋体" w:hAnsi="宋体" w:eastAsia="宋体" w:cs="宋体"/>
                <w:b/>
                <w:sz w:val="24"/>
              </w:rPr>
            </w:pPr>
            <w:r>
              <w:rPr>
                <w:rFonts w:hint="eastAsia" w:ascii="宋体" w:hAnsi="宋体" w:eastAsia="宋体" w:cs="宋体"/>
                <w:b/>
                <w:sz w:val="24"/>
              </w:rPr>
              <w:t>法定代表人（单位负责人）身份证复印件粘贴处</w:t>
            </w:r>
          </w:p>
        </w:tc>
      </w:tr>
    </w:tbl>
    <w:p w14:paraId="0F565405">
      <w:pPr>
        <w:spacing w:line="360" w:lineRule="auto"/>
        <w:rPr>
          <w:rFonts w:hint="eastAsia" w:ascii="宋体" w:hAnsi="宋体" w:eastAsia="宋体" w:cs="宋体"/>
          <w:sz w:val="24"/>
        </w:rPr>
      </w:pPr>
      <w:r>
        <w:rPr>
          <w:rFonts w:hint="eastAsia" w:ascii="宋体" w:hAnsi="宋体" w:eastAsia="宋体" w:cs="宋体"/>
          <w:sz w:val="24"/>
        </w:rPr>
        <w:t xml:space="preserve">法定代表人（单位负责人）姓名：                                 </w:t>
      </w:r>
    </w:p>
    <w:p w14:paraId="74157AC7">
      <w:pPr>
        <w:spacing w:line="360" w:lineRule="auto"/>
        <w:rPr>
          <w:rFonts w:hint="eastAsia" w:ascii="宋体" w:hAnsi="宋体" w:eastAsia="宋体" w:cs="宋体"/>
          <w:sz w:val="24"/>
        </w:rPr>
      </w:pPr>
      <w:r>
        <w:rPr>
          <w:rFonts w:hint="eastAsia" w:ascii="宋体" w:hAnsi="宋体" w:eastAsia="宋体" w:cs="宋体"/>
          <w:sz w:val="24"/>
        </w:rPr>
        <w:t>传真：</w:t>
      </w:r>
    </w:p>
    <w:p w14:paraId="32CB52CF">
      <w:pPr>
        <w:spacing w:line="360" w:lineRule="auto"/>
        <w:rPr>
          <w:rFonts w:hint="eastAsia" w:ascii="宋体" w:hAnsi="宋体" w:eastAsia="宋体" w:cs="宋体"/>
          <w:sz w:val="24"/>
        </w:rPr>
      </w:pPr>
      <w:r>
        <w:rPr>
          <w:rFonts w:hint="eastAsia" w:ascii="宋体" w:hAnsi="宋体" w:eastAsia="宋体" w:cs="宋体"/>
          <w:sz w:val="24"/>
        </w:rPr>
        <w:t>电话：</w:t>
      </w:r>
    </w:p>
    <w:p w14:paraId="02F720FE">
      <w:pPr>
        <w:spacing w:line="360" w:lineRule="auto"/>
        <w:rPr>
          <w:rFonts w:hint="eastAsia" w:ascii="宋体" w:hAnsi="宋体" w:eastAsia="宋体" w:cs="宋体"/>
          <w:sz w:val="24"/>
        </w:rPr>
      </w:pPr>
      <w:r>
        <w:rPr>
          <w:rFonts w:hint="eastAsia" w:ascii="宋体" w:hAnsi="宋体" w:eastAsia="宋体" w:cs="宋体"/>
          <w:sz w:val="24"/>
        </w:rPr>
        <w:t>详细通讯地址：</w:t>
      </w:r>
    </w:p>
    <w:p w14:paraId="6EAB0077">
      <w:pPr>
        <w:spacing w:line="360" w:lineRule="auto"/>
        <w:rPr>
          <w:rFonts w:hint="eastAsia" w:ascii="宋体" w:hAnsi="宋体" w:eastAsia="宋体" w:cs="宋体"/>
          <w:sz w:val="24"/>
        </w:rPr>
      </w:pPr>
      <w:r>
        <w:rPr>
          <w:rFonts w:hint="eastAsia" w:ascii="宋体" w:hAnsi="宋体" w:eastAsia="宋体" w:cs="宋体"/>
          <w:sz w:val="24"/>
        </w:rPr>
        <w:t>邮政编码：</w:t>
      </w: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D5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40066F">
            <w:pPr>
              <w:spacing w:line="360" w:lineRule="auto"/>
              <w:rPr>
                <w:rFonts w:hint="eastAsia" w:ascii="宋体" w:hAnsi="宋体" w:eastAsia="宋体" w:cs="宋体"/>
                <w:b/>
                <w:sz w:val="24"/>
              </w:rPr>
            </w:pPr>
          </w:p>
          <w:p w14:paraId="54114704">
            <w:pPr>
              <w:spacing w:line="360" w:lineRule="auto"/>
              <w:rPr>
                <w:rFonts w:hint="eastAsia" w:ascii="宋体" w:hAnsi="宋体" w:eastAsia="宋体" w:cs="宋体"/>
                <w:b/>
                <w:sz w:val="24"/>
              </w:rPr>
            </w:pPr>
          </w:p>
          <w:p w14:paraId="3B6517A2">
            <w:pPr>
              <w:spacing w:line="360" w:lineRule="auto"/>
              <w:rPr>
                <w:rFonts w:hint="eastAsia" w:ascii="宋体" w:hAnsi="宋体" w:eastAsia="宋体" w:cs="宋体"/>
                <w:b/>
                <w:sz w:val="24"/>
              </w:rPr>
            </w:pPr>
            <w:r>
              <w:rPr>
                <w:rFonts w:hint="eastAsia" w:ascii="宋体" w:hAnsi="宋体" w:eastAsia="宋体" w:cs="宋体"/>
                <w:b/>
                <w:sz w:val="24"/>
              </w:rPr>
              <w:t>授权委托代理人身份证复印件粘贴处</w:t>
            </w:r>
          </w:p>
        </w:tc>
      </w:tr>
    </w:tbl>
    <w:p w14:paraId="0DB8A469">
      <w:pPr>
        <w:spacing w:line="360" w:lineRule="auto"/>
        <w:rPr>
          <w:rFonts w:hint="eastAsia" w:ascii="宋体" w:hAnsi="宋体" w:eastAsia="宋体" w:cs="宋体"/>
          <w:sz w:val="24"/>
        </w:rPr>
      </w:pPr>
      <w:r>
        <w:rPr>
          <w:rFonts w:hint="eastAsia" w:ascii="宋体" w:hAnsi="宋体" w:eastAsia="宋体" w:cs="宋体"/>
          <w:sz w:val="24"/>
        </w:rPr>
        <w:t xml:space="preserve">授权委托代理人姓名：       </w:t>
      </w:r>
    </w:p>
    <w:p w14:paraId="6DA2A823">
      <w:pPr>
        <w:spacing w:line="360" w:lineRule="auto"/>
        <w:rPr>
          <w:rFonts w:hint="eastAsia" w:ascii="宋体" w:hAnsi="宋体" w:eastAsia="宋体" w:cs="宋体"/>
          <w:sz w:val="24"/>
        </w:rPr>
      </w:pPr>
      <w:r>
        <w:rPr>
          <w:rFonts w:hint="eastAsia" w:ascii="宋体" w:hAnsi="宋体" w:eastAsia="宋体" w:cs="宋体"/>
          <w:sz w:val="24"/>
        </w:rPr>
        <w:t xml:space="preserve">职务：                           </w:t>
      </w:r>
    </w:p>
    <w:p w14:paraId="6F07ABAF">
      <w:pPr>
        <w:spacing w:line="360" w:lineRule="auto"/>
        <w:rPr>
          <w:rFonts w:hint="eastAsia" w:ascii="宋体" w:hAnsi="宋体" w:eastAsia="宋体" w:cs="宋体"/>
          <w:sz w:val="24"/>
        </w:rPr>
      </w:pPr>
      <w:r>
        <w:rPr>
          <w:rFonts w:hint="eastAsia" w:ascii="宋体" w:hAnsi="宋体" w:eastAsia="宋体" w:cs="宋体"/>
          <w:sz w:val="24"/>
        </w:rPr>
        <w:t>传真：</w:t>
      </w:r>
    </w:p>
    <w:p w14:paraId="53F75D1A">
      <w:pPr>
        <w:spacing w:line="360" w:lineRule="auto"/>
        <w:rPr>
          <w:rFonts w:hint="eastAsia" w:ascii="宋体" w:hAnsi="宋体" w:eastAsia="宋体" w:cs="宋体"/>
          <w:sz w:val="24"/>
        </w:rPr>
      </w:pPr>
      <w:r>
        <w:rPr>
          <w:rFonts w:hint="eastAsia" w:ascii="宋体" w:hAnsi="宋体" w:eastAsia="宋体" w:cs="宋体"/>
          <w:sz w:val="24"/>
        </w:rPr>
        <w:t>电话：</w:t>
      </w:r>
    </w:p>
    <w:p w14:paraId="08E9AA11">
      <w:pPr>
        <w:spacing w:line="360" w:lineRule="auto"/>
        <w:rPr>
          <w:rFonts w:hint="eastAsia" w:ascii="宋体" w:hAnsi="宋体" w:eastAsia="宋体" w:cs="宋体"/>
          <w:sz w:val="24"/>
        </w:rPr>
      </w:pPr>
      <w:r>
        <w:rPr>
          <w:rFonts w:hint="eastAsia" w:ascii="宋体" w:hAnsi="宋体" w:eastAsia="宋体" w:cs="宋体"/>
          <w:sz w:val="24"/>
        </w:rPr>
        <w:t>详细通讯地址：</w:t>
      </w:r>
    </w:p>
    <w:p w14:paraId="64F9C6DB">
      <w:pPr>
        <w:spacing w:line="360" w:lineRule="auto"/>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rPr>
        <w:br w:type="page"/>
      </w:r>
    </w:p>
    <w:p w14:paraId="4679D009">
      <w:pPr>
        <w:pStyle w:val="4"/>
        <w:snapToGrid w:val="0"/>
        <w:spacing w:before="0" w:after="0" w:line="360" w:lineRule="auto"/>
        <w:outlineLvl w:val="9"/>
        <w:rPr>
          <w:rFonts w:hint="eastAsia" w:ascii="宋体" w:hAnsi="宋体" w:eastAsia="宋体" w:cs="宋体"/>
          <w:bCs w:val="0"/>
          <w:kern w:val="2"/>
          <w:sz w:val="30"/>
          <w:szCs w:val="30"/>
        </w:rPr>
      </w:pPr>
      <w:r>
        <w:rPr>
          <w:rFonts w:hint="eastAsia" w:ascii="宋体" w:hAnsi="宋体" w:eastAsia="宋体" w:cs="宋体"/>
          <w:bCs w:val="0"/>
          <w:kern w:val="2"/>
          <w:sz w:val="30"/>
          <w:szCs w:val="30"/>
        </w:rPr>
        <w:t>附件4：诚信投标承诺书</w:t>
      </w:r>
    </w:p>
    <w:p w14:paraId="3D338D41">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诚信投标承诺书</w:t>
      </w:r>
    </w:p>
    <w:p w14:paraId="2CF3EC69">
      <w:pPr>
        <w:adjustRightInd w:val="0"/>
        <w:snapToGrid w:val="0"/>
        <w:spacing w:line="586" w:lineRule="exact"/>
        <w:ind w:firstLine="535" w:firstLineChars="223"/>
        <w:rPr>
          <w:rFonts w:hint="eastAsia" w:ascii="宋体" w:hAnsi="宋体" w:eastAsia="宋体" w:cs="宋体"/>
          <w:sz w:val="24"/>
          <w:szCs w:val="24"/>
        </w:rPr>
      </w:pPr>
      <w:r>
        <w:rPr>
          <w:rFonts w:hint="eastAsia" w:ascii="宋体" w:hAnsi="宋体" w:eastAsia="宋体" w:cs="宋体"/>
          <w:sz w:val="24"/>
          <w:szCs w:val="24"/>
        </w:rPr>
        <w:t>本人以企业法定代表人的身份郑重承诺：</w:t>
      </w:r>
    </w:p>
    <w:p w14:paraId="4927AA50">
      <w:pPr>
        <w:adjustRightInd w:val="0"/>
        <w:snapToGrid w:val="0"/>
        <w:spacing w:line="586" w:lineRule="exact"/>
        <w:ind w:left="428" w:leftChars="214"/>
        <w:rPr>
          <w:rFonts w:hint="eastAsia" w:ascii="宋体" w:hAnsi="宋体" w:eastAsia="宋体" w:cs="宋体"/>
          <w:sz w:val="24"/>
          <w:szCs w:val="24"/>
        </w:rPr>
      </w:pPr>
      <w:r>
        <w:rPr>
          <w:rFonts w:hint="eastAsia" w:ascii="宋体" w:hAnsi="宋体" w:eastAsia="宋体" w:cs="宋体"/>
          <w:sz w:val="24"/>
          <w:szCs w:val="24"/>
        </w:rPr>
        <w:t>一、将遵循公开、公平、公正和诚实信用的原则参加</w:t>
      </w:r>
      <w:r>
        <w:rPr>
          <w:rFonts w:hint="eastAsia" w:ascii="宋体" w:hAnsi="宋体" w:eastAsia="宋体" w:cs="宋体"/>
          <w:snapToGrid w:val="0"/>
          <w:sz w:val="24"/>
          <w:szCs w:val="24"/>
          <w:u w:val="single"/>
        </w:rPr>
        <w:t xml:space="preserve">              </w:t>
      </w:r>
      <w:r>
        <w:rPr>
          <w:rFonts w:hint="eastAsia" w:ascii="宋体" w:hAnsi="宋体" w:eastAsia="宋体" w:cs="宋体"/>
          <w:sz w:val="24"/>
          <w:szCs w:val="24"/>
        </w:rPr>
        <w:t>（项目名称）的投标；</w:t>
      </w:r>
    </w:p>
    <w:p w14:paraId="3921F1A3">
      <w:pPr>
        <w:adjustRightInd w:val="0"/>
        <w:snapToGrid w:val="0"/>
        <w:spacing w:line="586" w:lineRule="exact"/>
        <w:ind w:firstLine="523" w:firstLineChars="218"/>
        <w:rPr>
          <w:rFonts w:hint="eastAsia" w:ascii="宋体" w:hAnsi="宋体" w:eastAsia="宋体" w:cs="宋体"/>
          <w:sz w:val="24"/>
          <w:szCs w:val="24"/>
        </w:rPr>
      </w:pPr>
      <w:r>
        <w:rPr>
          <w:rFonts w:hint="eastAsia" w:ascii="宋体" w:hAnsi="宋体" w:eastAsia="宋体" w:cs="宋体"/>
          <w:sz w:val="24"/>
          <w:szCs w:val="24"/>
        </w:rPr>
        <w:t>二、所提供的一切材料都是真实、有效、合法的；</w:t>
      </w:r>
    </w:p>
    <w:p w14:paraId="5CB7E480">
      <w:pPr>
        <w:adjustRightInd w:val="0"/>
        <w:snapToGrid w:val="0"/>
        <w:spacing w:line="586" w:lineRule="exact"/>
        <w:ind w:firstLine="535" w:firstLineChars="223"/>
        <w:rPr>
          <w:rFonts w:hint="eastAsia" w:ascii="宋体" w:hAnsi="宋体" w:eastAsia="宋体" w:cs="宋体"/>
          <w:sz w:val="24"/>
          <w:szCs w:val="24"/>
        </w:rPr>
      </w:pPr>
      <w:r>
        <w:rPr>
          <w:rFonts w:hint="eastAsia" w:ascii="宋体" w:hAnsi="宋体" w:eastAsia="宋体" w:cs="宋体"/>
          <w:sz w:val="24"/>
          <w:szCs w:val="24"/>
        </w:rPr>
        <w:t>三、不与其他磋商供应商相互串通投标报价，不排挤其他磋商供应商的公平竞争，不损害采购人或其他磋商供应商的合法权益；</w:t>
      </w:r>
    </w:p>
    <w:p w14:paraId="74E071FB">
      <w:pPr>
        <w:adjustRightInd w:val="0"/>
        <w:snapToGrid w:val="0"/>
        <w:spacing w:line="586" w:lineRule="exact"/>
        <w:ind w:firstLine="554" w:firstLineChars="231"/>
        <w:rPr>
          <w:rFonts w:hint="eastAsia" w:ascii="宋体" w:hAnsi="宋体" w:eastAsia="宋体" w:cs="宋体"/>
          <w:sz w:val="24"/>
          <w:szCs w:val="24"/>
        </w:rPr>
      </w:pPr>
      <w:r>
        <w:rPr>
          <w:rFonts w:hint="eastAsia" w:ascii="宋体" w:hAnsi="宋体" w:eastAsia="宋体" w:cs="宋体"/>
          <w:sz w:val="24"/>
          <w:szCs w:val="24"/>
        </w:rPr>
        <w:t>四、不与采购人或招标代理机构串通投标，损害国家利益、社会公共利益或者他人的合法权益；</w:t>
      </w:r>
    </w:p>
    <w:p w14:paraId="02479E51">
      <w:pPr>
        <w:adjustRightInd w:val="0"/>
        <w:snapToGrid w:val="0"/>
        <w:spacing w:line="586" w:lineRule="exact"/>
        <w:ind w:firstLine="554" w:firstLineChars="231"/>
        <w:rPr>
          <w:rFonts w:hint="eastAsia" w:ascii="宋体" w:hAnsi="宋体" w:eastAsia="宋体" w:cs="宋体"/>
          <w:sz w:val="24"/>
          <w:szCs w:val="24"/>
        </w:rPr>
      </w:pPr>
      <w:r>
        <w:rPr>
          <w:rFonts w:hint="eastAsia" w:ascii="宋体" w:hAnsi="宋体" w:eastAsia="宋体" w:cs="宋体"/>
          <w:sz w:val="24"/>
          <w:szCs w:val="24"/>
        </w:rPr>
        <w:t>五、不向采购人或者评标委员会成员行贿以牟取中标；</w:t>
      </w:r>
    </w:p>
    <w:p w14:paraId="568E7401">
      <w:pPr>
        <w:adjustRightInd w:val="0"/>
        <w:snapToGrid w:val="0"/>
        <w:spacing w:line="586" w:lineRule="exact"/>
        <w:ind w:firstLine="576" w:firstLineChars="240"/>
        <w:rPr>
          <w:rFonts w:hint="eastAsia"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14:paraId="12369725">
      <w:pPr>
        <w:adjustRightInd w:val="0"/>
        <w:snapToGrid w:val="0"/>
        <w:spacing w:line="586" w:lineRule="exact"/>
        <w:ind w:firstLine="576" w:firstLineChars="240"/>
        <w:rPr>
          <w:rFonts w:hint="eastAsia" w:ascii="宋体" w:hAnsi="宋体" w:eastAsia="宋体" w:cs="宋体"/>
          <w:sz w:val="24"/>
          <w:szCs w:val="24"/>
        </w:rPr>
      </w:pPr>
      <w:r>
        <w:rPr>
          <w:rFonts w:hint="eastAsia" w:ascii="宋体" w:hAnsi="宋体" w:eastAsia="宋体" w:cs="宋体"/>
          <w:sz w:val="24"/>
          <w:szCs w:val="24"/>
        </w:rPr>
        <w:t>七、本公司（如联合体投标，为联合体双方）和项目负责人的投标资格均符合招标文件规定，确实无误。</w:t>
      </w:r>
    </w:p>
    <w:p w14:paraId="61260436">
      <w:pPr>
        <w:adjustRightInd w:val="0"/>
        <w:snapToGrid w:val="0"/>
        <w:spacing w:line="586" w:lineRule="exact"/>
        <w:ind w:firstLine="619" w:firstLineChars="258"/>
        <w:rPr>
          <w:rFonts w:hint="eastAsia" w:ascii="宋体" w:hAnsi="宋体" w:eastAsia="宋体" w:cs="宋体"/>
          <w:sz w:val="24"/>
          <w:szCs w:val="24"/>
        </w:rPr>
      </w:pPr>
      <w:r>
        <w:rPr>
          <w:rFonts w:hint="eastAsia" w:ascii="宋体" w:hAnsi="宋体" w:eastAsia="宋体" w:cs="宋体"/>
          <w:sz w:val="24"/>
          <w:szCs w:val="24"/>
        </w:rPr>
        <w:t>本公司若有违反本承诺内容的行为，愿意承担法律责任，并愿意接受招投标行政监督部门的任何处理。如已中标的，自动放弃中标资格；给招标人造成损失的，依法承担赔偿责任。</w:t>
      </w:r>
    </w:p>
    <w:p w14:paraId="66145CE1">
      <w:pPr>
        <w:adjustRightInd w:val="0"/>
        <w:snapToGrid w:val="0"/>
        <w:spacing w:line="360" w:lineRule="auto"/>
        <w:ind w:firstLine="4680" w:firstLineChars="1950"/>
        <w:rPr>
          <w:rFonts w:hint="eastAsia" w:ascii="宋体" w:hAnsi="宋体" w:eastAsia="宋体" w:cs="宋体"/>
          <w:sz w:val="24"/>
          <w:lang w:val="zh-CN"/>
        </w:rPr>
      </w:pPr>
    </w:p>
    <w:p w14:paraId="1A8FD897">
      <w:pPr>
        <w:adjustRightInd w:val="0"/>
        <w:snapToGrid w:val="0"/>
        <w:spacing w:line="360" w:lineRule="auto"/>
        <w:ind w:firstLine="4680" w:firstLineChars="1950"/>
        <w:rPr>
          <w:rFonts w:hint="eastAsia" w:ascii="宋体" w:hAnsi="宋体" w:eastAsia="宋体" w:cs="宋体"/>
          <w:sz w:val="24"/>
          <w:lang w:val="zh-CN"/>
        </w:rPr>
      </w:pPr>
    </w:p>
    <w:p w14:paraId="2DB8908A">
      <w:pPr>
        <w:adjustRightInd w:val="0"/>
        <w:snapToGrid w:val="0"/>
        <w:spacing w:line="360" w:lineRule="auto"/>
        <w:ind w:firstLine="4680" w:firstLineChars="1950"/>
        <w:rPr>
          <w:rFonts w:hint="eastAsia" w:ascii="宋体" w:hAnsi="宋体" w:eastAsia="宋体" w:cs="宋体"/>
          <w:sz w:val="24"/>
          <w:lang w:val="zh-CN"/>
        </w:rPr>
      </w:pPr>
      <w:r>
        <w:rPr>
          <w:rFonts w:hint="eastAsia" w:ascii="宋体" w:hAnsi="宋体" w:eastAsia="宋体" w:cs="宋体"/>
          <w:sz w:val="24"/>
          <w:lang w:val="zh-CN"/>
        </w:rPr>
        <w:t>供应商名称（公章）：</w:t>
      </w:r>
    </w:p>
    <w:p w14:paraId="1C7941EE">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w:t>
      </w:r>
      <w:r>
        <w:rPr>
          <w:rFonts w:hint="eastAsia" w:ascii="宋体" w:hAnsi="宋体" w:cs="宋体"/>
          <w:sz w:val="24"/>
          <w:lang w:val="zh-CN"/>
        </w:rPr>
        <w:t>或盖章</w:t>
      </w:r>
      <w:r>
        <w:rPr>
          <w:rFonts w:hint="eastAsia" w:ascii="宋体" w:hAnsi="宋体" w:eastAsia="宋体" w:cs="宋体"/>
          <w:sz w:val="24"/>
          <w:lang w:val="zh-CN"/>
        </w:rPr>
        <w:t>）：</w:t>
      </w:r>
    </w:p>
    <w:p w14:paraId="46E5AE45">
      <w:pPr>
        <w:keepNext/>
        <w:keepLines/>
        <w:snapToGrid w:val="0"/>
        <w:spacing w:before="0" w:after="0" w:line="360" w:lineRule="auto"/>
        <w:outlineLvl w:val="9"/>
        <w:rPr>
          <w:rFonts w:hint="eastAsia" w:ascii="宋体" w:hAnsi="宋体" w:eastAsia="宋体" w:cs="宋体"/>
          <w:b/>
          <w:bCs/>
          <w:sz w:val="32"/>
          <w:szCs w:val="32"/>
          <w:lang w:val="en-US" w:eastAsia="zh-CN" w:bidi="ar-SA"/>
        </w:rPr>
        <w:sectPr>
          <w:headerReference r:id="rId7" w:type="default"/>
          <w:footerReference r:id="rId8" w:type="default"/>
          <w:pgSz w:w="11906" w:h="16838"/>
          <w:pgMar w:top="1840" w:right="1440" w:bottom="1440" w:left="1440" w:header="851" w:footer="850" w:gutter="0"/>
          <w:cols w:space="720" w:num="1"/>
          <w:docGrid w:type="lines" w:linePitch="312" w:charSpace="0"/>
        </w:sectPr>
      </w:pPr>
      <w:r>
        <w:rPr>
          <w:rFonts w:hint="eastAsia" w:ascii="宋体" w:hAnsi="宋体" w:eastAsia="宋体" w:cs="宋体"/>
          <w:sz w:val="24"/>
          <w:lang w:val="zh-CN"/>
        </w:rPr>
        <w:t xml:space="preserve">                                  日期：    年   月   日</w:t>
      </w:r>
    </w:p>
    <w:p w14:paraId="58E879A9">
      <w:pPr>
        <w:pStyle w:val="4"/>
        <w:snapToGrid w:val="0"/>
        <w:spacing w:before="0" w:after="0" w:line="360" w:lineRule="auto"/>
        <w:outlineLvl w:val="0"/>
        <w:rPr>
          <w:rFonts w:hint="eastAsia" w:ascii="宋体" w:hAnsi="宋体" w:eastAsia="宋体" w:cs="宋体"/>
          <w:bCs w:val="0"/>
          <w:kern w:val="2"/>
          <w:sz w:val="30"/>
          <w:szCs w:val="30"/>
        </w:rPr>
      </w:pPr>
      <w:bookmarkStart w:id="121" w:name="_Toc14934"/>
      <w:r>
        <w:rPr>
          <w:rFonts w:hint="eastAsia" w:ascii="宋体" w:hAnsi="宋体" w:eastAsia="宋体" w:cs="宋体"/>
          <w:bCs w:val="0"/>
          <w:kern w:val="2"/>
          <w:sz w:val="30"/>
          <w:szCs w:val="30"/>
        </w:rPr>
        <w:t>附件5：供应商基本情况表</w:t>
      </w:r>
      <w:bookmarkEnd w:id="121"/>
    </w:p>
    <w:p w14:paraId="72564930">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供应商基本情况表</w:t>
      </w:r>
    </w:p>
    <w:p w14:paraId="2C8DD5F7">
      <w:pPr>
        <w:rPr>
          <w:rFonts w:hint="eastAsia" w:ascii="宋体" w:hAnsi="宋体" w:eastAsia="宋体" w:cs="宋体"/>
        </w:rPr>
      </w:pPr>
    </w:p>
    <w:tbl>
      <w:tblPr>
        <w:tblStyle w:val="38"/>
        <w:tblW w:w="939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9"/>
        <w:gridCol w:w="1810"/>
        <w:gridCol w:w="4367"/>
      </w:tblGrid>
      <w:tr w14:paraId="466F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5" w:type="dxa"/>
            <w:vAlign w:val="center"/>
          </w:tcPr>
          <w:p w14:paraId="146DE181">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656" w:type="dxa"/>
            <w:gridSpan w:val="3"/>
            <w:vAlign w:val="center"/>
          </w:tcPr>
          <w:p w14:paraId="519259C6">
            <w:pPr>
              <w:rPr>
                <w:rFonts w:hint="eastAsia" w:ascii="宋体" w:hAnsi="宋体" w:eastAsia="宋体" w:cs="宋体"/>
                <w:color w:val="000000"/>
                <w:sz w:val="24"/>
              </w:rPr>
            </w:pPr>
            <w:r>
              <w:rPr>
                <w:rFonts w:hint="eastAsia" w:ascii="宋体" w:hAnsi="宋体" w:eastAsia="宋体" w:cs="宋体"/>
                <w:color w:val="000000"/>
                <w:sz w:val="24"/>
              </w:rPr>
              <w:t>企业全称：</w:t>
            </w:r>
          </w:p>
        </w:tc>
      </w:tr>
      <w:tr w14:paraId="497E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5" w:type="dxa"/>
            <w:vAlign w:val="center"/>
          </w:tcPr>
          <w:p w14:paraId="20D18144">
            <w:pPr>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656" w:type="dxa"/>
            <w:gridSpan w:val="3"/>
            <w:vAlign w:val="center"/>
          </w:tcPr>
          <w:p w14:paraId="65279EDF">
            <w:pPr>
              <w:rPr>
                <w:rFonts w:hint="eastAsia" w:ascii="宋体" w:hAnsi="宋体" w:eastAsia="宋体" w:cs="宋体"/>
                <w:color w:val="000000"/>
                <w:sz w:val="24"/>
              </w:rPr>
            </w:pPr>
            <w:r>
              <w:rPr>
                <w:rFonts w:hint="eastAsia" w:ascii="宋体" w:hAnsi="宋体" w:eastAsia="宋体" w:cs="宋体"/>
                <w:color w:val="000000"/>
                <w:sz w:val="24"/>
              </w:rPr>
              <w:t>主要业务:</w:t>
            </w:r>
          </w:p>
        </w:tc>
      </w:tr>
      <w:tr w14:paraId="72B7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5" w:type="dxa"/>
            <w:vAlign w:val="center"/>
          </w:tcPr>
          <w:p w14:paraId="5B82313A">
            <w:pPr>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656" w:type="dxa"/>
            <w:gridSpan w:val="3"/>
            <w:vAlign w:val="center"/>
          </w:tcPr>
          <w:p w14:paraId="53244666">
            <w:pPr>
              <w:rPr>
                <w:rFonts w:hint="eastAsia" w:ascii="宋体" w:hAnsi="宋体" w:eastAsia="宋体" w:cs="宋体"/>
                <w:color w:val="000000"/>
                <w:sz w:val="24"/>
              </w:rPr>
            </w:pPr>
            <w:r>
              <w:rPr>
                <w:rFonts w:hint="eastAsia" w:ascii="宋体" w:hAnsi="宋体" w:eastAsia="宋体" w:cs="宋体"/>
                <w:color w:val="000000"/>
                <w:sz w:val="24"/>
              </w:rPr>
              <w:t>地址：</w:t>
            </w:r>
          </w:p>
        </w:tc>
      </w:tr>
      <w:tr w14:paraId="4562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735" w:type="dxa"/>
            <w:vAlign w:val="center"/>
          </w:tcPr>
          <w:p w14:paraId="23FCD9C9">
            <w:pPr>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4289" w:type="dxa"/>
            <w:gridSpan w:val="2"/>
            <w:vAlign w:val="center"/>
          </w:tcPr>
          <w:p w14:paraId="24F3F80D">
            <w:pPr>
              <w:rPr>
                <w:rFonts w:hint="eastAsia" w:ascii="宋体" w:hAnsi="宋体" w:eastAsia="宋体" w:cs="宋体"/>
                <w:color w:val="000000"/>
                <w:sz w:val="24"/>
              </w:rPr>
            </w:pPr>
            <w:r>
              <w:rPr>
                <w:rFonts w:hint="eastAsia" w:ascii="宋体" w:hAnsi="宋体" w:eastAsia="宋体" w:cs="宋体"/>
                <w:color w:val="000000"/>
                <w:sz w:val="24"/>
              </w:rPr>
              <w:t>电话：</w:t>
            </w:r>
          </w:p>
        </w:tc>
        <w:tc>
          <w:tcPr>
            <w:tcW w:w="4367" w:type="dxa"/>
            <w:vAlign w:val="center"/>
          </w:tcPr>
          <w:p w14:paraId="133AA0C2">
            <w:pPr>
              <w:rPr>
                <w:rFonts w:hint="eastAsia" w:ascii="宋体" w:hAnsi="宋体" w:eastAsia="宋体" w:cs="宋体"/>
                <w:color w:val="000000"/>
                <w:sz w:val="24"/>
              </w:rPr>
            </w:pPr>
            <w:r>
              <w:rPr>
                <w:rFonts w:hint="eastAsia" w:ascii="宋体" w:hAnsi="宋体" w:eastAsia="宋体" w:cs="宋体"/>
                <w:color w:val="000000"/>
                <w:sz w:val="24"/>
              </w:rPr>
              <w:t>联系人：</w:t>
            </w:r>
          </w:p>
        </w:tc>
      </w:tr>
      <w:tr w14:paraId="445C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35" w:type="dxa"/>
            <w:vAlign w:val="center"/>
          </w:tcPr>
          <w:p w14:paraId="62C1FA8F">
            <w:pPr>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4289" w:type="dxa"/>
            <w:gridSpan w:val="2"/>
            <w:vAlign w:val="center"/>
          </w:tcPr>
          <w:p w14:paraId="3EE90FDB">
            <w:pPr>
              <w:rPr>
                <w:rFonts w:hint="eastAsia" w:ascii="宋体" w:hAnsi="宋体" w:eastAsia="宋体" w:cs="宋体"/>
                <w:color w:val="000000"/>
                <w:sz w:val="24"/>
              </w:rPr>
            </w:pPr>
            <w:r>
              <w:rPr>
                <w:rFonts w:hint="eastAsia" w:ascii="宋体" w:hAnsi="宋体" w:eastAsia="宋体" w:cs="宋体"/>
                <w:color w:val="000000"/>
                <w:sz w:val="24"/>
              </w:rPr>
              <w:t>传真：</w:t>
            </w:r>
          </w:p>
        </w:tc>
        <w:tc>
          <w:tcPr>
            <w:tcW w:w="4367" w:type="dxa"/>
            <w:vAlign w:val="center"/>
          </w:tcPr>
          <w:p w14:paraId="70357BFA">
            <w:pPr>
              <w:rPr>
                <w:rFonts w:hint="eastAsia" w:ascii="宋体" w:hAnsi="宋体" w:eastAsia="宋体" w:cs="宋体"/>
                <w:color w:val="000000"/>
                <w:sz w:val="24"/>
              </w:rPr>
            </w:pPr>
            <w:r>
              <w:rPr>
                <w:rFonts w:hint="eastAsia" w:ascii="宋体" w:hAnsi="宋体" w:eastAsia="宋体" w:cs="宋体"/>
                <w:color w:val="000000"/>
                <w:sz w:val="24"/>
              </w:rPr>
              <w:t>电子信箱：</w:t>
            </w:r>
          </w:p>
        </w:tc>
      </w:tr>
      <w:tr w14:paraId="1447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5" w:type="dxa"/>
            <w:vAlign w:val="center"/>
          </w:tcPr>
          <w:p w14:paraId="7F5A4540">
            <w:pPr>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4289" w:type="dxa"/>
            <w:gridSpan w:val="2"/>
            <w:vAlign w:val="center"/>
          </w:tcPr>
          <w:p w14:paraId="088D1D64">
            <w:pPr>
              <w:rPr>
                <w:rFonts w:hint="eastAsia" w:ascii="宋体" w:hAnsi="宋体" w:eastAsia="宋体" w:cs="宋体"/>
                <w:color w:val="000000"/>
                <w:sz w:val="24"/>
              </w:rPr>
            </w:pPr>
            <w:r>
              <w:rPr>
                <w:rFonts w:hint="eastAsia" w:ascii="宋体" w:hAnsi="宋体" w:eastAsia="宋体" w:cs="宋体"/>
                <w:color w:val="000000"/>
                <w:sz w:val="24"/>
              </w:rPr>
              <w:t>注册地：</w:t>
            </w:r>
          </w:p>
        </w:tc>
        <w:tc>
          <w:tcPr>
            <w:tcW w:w="4367" w:type="dxa"/>
            <w:vAlign w:val="center"/>
          </w:tcPr>
          <w:p w14:paraId="56CEA95C">
            <w:pPr>
              <w:rPr>
                <w:rFonts w:hint="eastAsia" w:ascii="宋体" w:hAnsi="宋体" w:eastAsia="宋体" w:cs="宋体"/>
                <w:color w:val="000000"/>
                <w:sz w:val="24"/>
              </w:rPr>
            </w:pPr>
            <w:r>
              <w:rPr>
                <w:rFonts w:hint="eastAsia" w:ascii="宋体" w:hAnsi="宋体" w:eastAsia="宋体" w:cs="宋体"/>
                <w:color w:val="000000"/>
                <w:sz w:val="24"/>
              </w:rPr>
              <w:t>注册年份：</w:t>
            </w:r>
          </w:p>
        </w:tc>
      </w:tr>
      <w:tr w14:paraId="20C2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5" w:type="dxa"/>
            <w:vAlign w:val="center"/>
          </w:tcPr>
          <w:p w14:paraId="404A9237">
            <w:pPr>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2479" w:type="dxa"/>
            <w:vAlign w:val="center"/>
          </w:tcPr>
          <w:p w14:paraId="740CD2D4">
            <w:pPr>
              <w:rPr>
                <w:rFonts w:hint="eastAsia" w:ascii="宋体" w:hAnsi="宋体" w:eastAsia="宋体" w:cs="宋体"/>
                <w:color w:val="000000"/>
                <w:sz w:val="24"/>
              </w:rPr>
            </w:pPr>
            <w:r>
              <w:rPr>
                <w:rFonts w:hint="eastAsia" w:ascii="宋体" w:hAnsi="宋体" w:eastAsia="宋体" w:cs="宋体"/>
                <w:color w:val="000000"/>
                <w:sz w:val="24"/>
              </w:rPr>
              <w:t>其他需要说明的情况</w:t>
            </w:r>
          </w:p>
        </w:tc>
        <w:tc>
          <w:tcPr>
            <w:tcW w:w="6177" w:type="dxa"/>
            <w:gridSpan w:val="2"/>
            <w:vAlign w:val="center"/>
          </w:tcPr>
          <w:p w14:paraId="54676FF0">
            <w:pPr>
              <w:rPr>
                <w:rFonts w:hint="eastAsia" w:ascii="宋体" w:hAnsi="宋体" w:eastAsia="宋体" w:cs="宋体"/>
                <w:color w:val="000000"/>
                <w:sz w:val="24"/>
              </w:rPr>
            </w:pPr>
          </w:p>
          <w:p w14:paraId="2CEA75CF">
            <w:pPr>
              <w:rPr>
                <w:rFonts w:hint="eastAsia" w:ascii="宋体" w:hAnsi="宋体" w:eastAsia="宋体" w:cs="宋体"/>
                <w:color w:val="000000"/>
                <w:sz w:val="24"/>
              </w:rPr>
            </w:pPr>
          </w:p>
        </w:tc>
      </w:tr>
    </w:tbl>
    <w:p w14:paraId="32CD7175">
      <w:pPr>
        <w:rPr>
          <w:rFonts w:hint="eastAsia" w:ascii="宋体" w:hAnsi="宋体" w:eastAsia="宋体" w:cs="宋体"/>
          <w:sz w:val="24"/>
          <w:szCs w:val="24"/>
        </w:rPr>
      </w:pPr>
    </w:p>
    <w:p w14:paraId="4648A2CD">
      <w:pPr>
        <w:adjustRightInd w:val="0"/>
        <w:snapToGrid w:val="0"/>
        <w:spacing w:line="360" w:lineRule="auto"/>
        <w:ind w:firstLine="4680" w:firstLineChars="1950"/>
        <w:rPr>
          <w:rFonts w:hint="eastAsia" w:ascii="宋体" w:hAnsi="宋体" w:eastAsia="宋体" w:cs="宋体"/>
          <w:sz w:val="24"/>
          <w:lang w:val="zh-CN"/>
        </w:rPr>
      </w:pPr>
      <w:bookmarkStart w:id="122" w:name="_Toc12722"/>
    </w:p>
    <w:p w14:paraId="47AA4515">
      <w:pPr>
        <w:adjustRightInd w:val="0"/>
        <w:snapToGrid w:val="0"/>
        <w:spacing w:line="360" w:lineRule="auto"/>
        <w:ind w:firstLine="4680" w:firstLineChars="1950"/>
        <w:rPr>
          <w:rFonts w:hint="eastAsia" w:ascii="宋体" w:hAnsi="宋体" w:eastAsia="宋体" w:cs="宋体"/>
          <w:sz w:val="24"/>
          <w:lang w:val="zh-CN"/>
        </w:rPr>
      </w:pPr>
      <w:r>
        <w:rPr>
          <w:rFonts w:hint="eastAsia" w:ascii="宋体" w:hAnsi="宋体" w:eastAsia="宋体" w:cs="宋体"/>
          <w:sz w:val="24"/>
          <w:lang w:val="zh-CN"/>
        </w:rPr>
        <w:t>供应商名称（公章）：</w:t>
      </w:r>
    </w:p>
    <w:p w14:paraId="5885CBBE">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w:t>
      </w:r>
      <w:r>
        <w:rPr>
          <w:rFonts w:hint="eastAsia" w:ascii="宋体" w:hAnsi="宋体" w:cs="宋体"/>
          <w:sz w:val="24"/>
          <w:lang w:val="zh-CN"/>
        </w:rPr>
        <w:t>或盖章</w:t>
      </w:r>
      <w:r>
        <w:rPr>
          <w:rFonts w:hint="eastAsia" w:ascii="宋体" w:hAnsi="宋体" w:eastAsia="宋体" w:cs="宋体"/>
          <w:sz w:val="24"/>
          <w:lang w:val="zh-CN"/>
        </w:rPr>
        <w:t>）：</w:t>
      </w:r>
    </w:p>
    <w:p w14:paraId="575E096D">
      <w:pPr>
        <w:pStyle w:val="4"/>
        <w:snapToGrid w:val="0"/>
        <w:spacing w:before="0" w:after="0" w:line="360" w:lineRule="auto"/>
        <w:outlineLvl w:val="0"/>
        <w:rPr>
          <w:rFonts w:hint="eastAsia" w:ascii="宋体" w:hAnsi="宋体" w:eastAsia="宋体" w:cs="宋体"/>
          <w:sz w:val="24"/>
          <w:lang w:val="zh-CN"/>
        </w:rPr>
      </w:pPr>
      <w:r>
        <w:rPr>
          <w:rFonts w:hint="eastAsia" w:ascii="宋体" w:hAnsi="宋体" w:eastAsia="宋体" w:cs="宋体"/>
          <w:sz w:val="24"/>
          <w:lang w:val="zh-CN"/>
        </w:rPr>
        <w:t xml:space="preserve">                              </w:t>
      </w:r>
      <w:r>
        <w:rPr>
          <w:rFonts w:hint="eastAsia" w:ascii="宋体" w:hAnsi="宋体" w:eastAsia="宋体" w:cs="宋体"/>
          <w:b w:val="0"/>
          <w:bCs w:val="0"/>
          <w:sz w:val="24"/>
          <w:szCs w:val="20"/>
          <w:lang w:val="zh-CN" w:eastAsia="zh-CN" w:bidi="ar-SA"/>
        </w:rPr>
        <w:t xml:space="preserve">    日期：    年   月   日</w:t>
      </w:r>
    </w:p>
    <w:p w14:paraId="3634A240">
      <w:pPr>
        <w:rPr>
          <w:rFonts w:hint="eastAsia" w:ascii="宋体" w:hAnsi="宋体" w:eastAsia="宋体" w:cs="宋体"/>
          <w:sz w:val="24"/>
          <w:lang w:val="zh-CN"/>
        </w:rPr>
      </w:pPr>
      <w:r>
        <w:rPr>
          <w:rFonts w:hint="eastAsia" w:ascii="宋体" w:hAnsi="宋体" w:eastAsia="宋体" w:cs="宋体"/>
          <w:sz w:val="24"/>
          <w:lang w:val="zh-CN"/>
        </w:rPr>
        <w:br w:type="page"/>
      </w:r>
    </w:p>
    <w:p w14:paraId="369B160B">
      <w:pPr>
        <w:pStyle w:val="4"/>
        <w:snapToGrid w:val="0"/>
        <w:spacing w:before="0" w:after="0" w:line="360" w:lineRule="auto"/>
        <w:outlineLvl w:val="0"/>
        <w:rPr>
          <w:rFonts w:hint="eastAsia" w:ascii="宋体" w:hAnsi="宋体" w:eastAsia="宋体" w:cs="宋体"/>
          <w:bCs w:val="0"/>
          <w:kern w:val="2"/>
          <w:sz w:val="30"/>
          <w:szCs w:val="30"/>
        </w:rPr>
      </w:pPr>
      <w:r>
        <w:rPr>
          <w:rFonts w:hint="eastAsia" w:ascii="宋体" w:hAnsi="宋体" w:eastAsia="宋体" w:cs="宋体"/>
          <w:bCs w:val="0"/>
          <w:kern w:val="2"/>
          <w:sz w:val="30"/>
          <w:szCs w:val="30"/>
        </w:rPr>
        <w:t>附件6：证书一览表</w:t>
      </w:r>
      <w:bookmarkEnd w:id="122"/>
    </w:p>
    <w:p w14:paraId="4242DBAD">
      <w:pPr>
        <w:pStyle w:val="6"/>
        <w:ind w:firstLine="562"/>
        <w:jc w:val="center"/>
        <w:rPr>
          <w:rFonts w:hint="eastAsia" w:ascii="宋体" w:hAnsi="宋体" w:eastAsia="宋体" w:cs="宋体"/>
        </w:rPr>
      </w:pPr>
      <w:r>
        <w:rPr>
          <w:rFonts w:hint="eastAsia" w:ascii="宋体" w:hAnsi="宋体" w:eastAsia="宋体" w:cs="宋体"/>
          <w:b/>
          <w:color w:val="000000"/>
          <w:sz w:val="28"/>
          <w:szCs w:val="28"/>
        </w:rPr>
        <w:t>证书一览表</w:t>
      </w:r>
    </w:p>
    <w:tbl>
      <w:tblPr>
        <w:tblStyle w:val="3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A635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0FF3F316">
            <w:pPr>
              <w:pStyle w:val="112"/>
              <w:spacing w:line="360" w:lineRule="auto"/>
              <w:jc w:val="center"/>
              <w:rPr>
                <w:rFonts w:hint="eastAsia" w:ascii="宋体" w:hAnsi="宋体" w:eastAsia="宋体" w:cs="宋体"/>
                <w:b/>
                <w:bCs/>
                <w:sz w:val="24"/>
              </w:rPr>
            </w:pPr>
            <w:r>
              <w:rPr>
                <w:rFonts w:hint="eastAsia" w:ascii="宋体" w:hAnsi="宋体" w:eastAsia="宋体" w:cs="宋体"/>
                <w:b/>
                <w:bCs/>
                <w:sz w:val="24"/>
              </w:rPr>
              <w:t>证书名称</w:t>
            </w:r>
          </w:p>
        </w:tc>
        <w:tc>
          <w:tcPr>
            <w:tcW w:w="2258" w:type="dxa"/>
            <w:tcBorders>
              <w:top w:val="single" w:color="auto" w:sz="4" w:space="0"/>
              <w:bottom w:val="single" w:color="auto" w:sz="4" w:space="0"/>
            </w:tcBorders>
          </w:tcPr>
          <w:p w14:paraId="13ECE30C">
            <w:pPr>
              <w:pStyle w:val="112"/>
              <w:spacing w:line="360" w:lineRule="auto"/>
              <w:jc w:val="center"/>
              <w:rPr>
                <w:rFonts w:hint="eastAsia" w:ascii="宋体" w:hAnsi="宋体" w:eastAsia="宋体" w:cs="宋体"/>
                <w:b/>
                <w:bCs/>
                <w:sz w:val="24"/>
              </w:rPr>
            </w:pPr>
            <w:r>
              <w:rPr>
                <w:rFonts w:hint="eastAsia" w:ascii="宋体" w:hAnsi="宋体" w:eastAsia="宋体" w:cs="宋体"/>
                <w:b/>
                <w:bCs/>
                <w:sz w:val="24"/>
              </w:rPr>
              <w:t>发证单位</w:t>
            </w:r>
          </w:p>
        </w:tc>
        <w:tc>
          <w:tcPr>
            <w:tcW w:w="2260" w:type="dxa"/>
            <w:tcBorders>
              <w:top w:val="single" w:color="auto" w:sz="4" w:space="0"/>
              <w:bottom w:val="single" w:color="auto" w:sz="4" w:space="0"/>
            </w:tcBorders>
          </w:tcPr>
          <w:p w14:paraId="2EFACD09">
            <w:pPr>
              <w:pStyle w:val="112"/>
              <w:spacing w:line="360" w:lineRule="auto"/>
              <w:jc w:val="center"/>
              <w:rPr>
                <w:rFonts w:hint="eastAsia" w:ascii="宋体" w:hAnsi="宋体" w:eastAsia="宋体" w:cs="宋体"/>
                <w:b/>
                <w:bCs/>
                <w:sz w:val="24"/>
              </w:rPr>
            </w:pPr>
            <w:r>
              <w:rPr>
                <w:rFonts w:hint="eastAsia" w:ascii="宋体" w:hAnsi="宋体" w:eastAsia="宋体" w:cs="宋体"/>
                <w:b/>
                <w:bCs/>
                <w:sz w:val="24"/>
              </w:rPr>
              <w:t>证书等级</w:t>
            </w:r>
          </w:p>
        </w:tc>
        <w:tc>
          <w:tcPr>
            <w:tcW w:w="2047" w:type="dxa"/>
            <w:tcBorders>
              <w:top w:val="single" w:color="auto" w:sz="4" w:space="0"/>
              <w:bottom w:val="single" w:color="auto" w:sz="4" w:space="0"/>
              <w:right w:val="single" w:color="auto" w:sz="4" w:space="0"/>
            </w:tcBorders>
          </w:tcPr>
          <w:p w14:paraId="1E5C2DA0">
            <w:pPr>
              <w:pStyle w:val="112"/>
              <w:spacing w:line="360" w:lineRule="auto"/>
              <w:jc w:val="center"/>
              <w:rPr>
                <w:rFonts w:hint="eastAsia" w:ascii="宋体" w:hAnsi="宋体" w:eastAsia="宋体" w:cs="宋体"/>
                <w:b/>
                <w:bCs/>
                <w:sz w:val="24"/>
              </w:rPr>
            </w:pPr>
            <w:r>
              <w:rPr>
                <w:rFonts w:hint="eastAsia" w:ascii="宋体" w:hAnsi="宋体" w:eastAsia="宋体" w:cs="宋体"/>
                <w:b/>
                <w:bCs/>
                <w:sz w:val="24"/>
              </w:rPr>
              <w:t>证书有效期</w:t>
            </w:r>
          </w:p>
        </w:tc>
      </w:tr>
      <w:tr w14:paraId="617FF3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459550A9">
            <w:pPr>
              <w:pStyle w:val="112"/>
              <w:spacing w:line="360" w:lineRule="auto"/>
              <w:jc w:val="center"/>
              <w:rPr>
                <w:rFonts w:hint="eastAsia" w:ascii="宋体" w:hAnsi="宋体" w:eastAsia="宋体" w:cs="宋体"/>
                <w:szCs w:val="21"/>
              </w:rPr>
            </w:pPr>
          </w:p>
        </w:tc>
        <w:tc>
          <w:tcPr>
            <w:tcW w:w="2258" w:type="dxa"/>
            <w:tcBorders>
              <w:top w:val="single" w:color="auto" w:sz="4" w:space="0"/>
            </w:tcBorders>
          </w:tcPr>
          <w:p w14:paraId="5E12DA0D">
            <w:pPr>
              <w:pStyle w:val="112"/>
              <w:spacing w:line="360" w:lineRule="auto"/>
              <w:jc w:val="center"/>
              <w:rPr>
                <w:rFonts w:hint="eastAsia" w:ascii="宋体" w:hAnsi="宋体" w:eastAsia="宋体" w:cs="宋体"/>
                <w:szCs w:val="21"/>
              </w:rPr>
            </w:pPr>
          </w:p>
        </w:tc>
        <w:tc>
          <w:tcPr>
            <w:tcW w:w="2260" w:type="dxa"/>
            <w:tcBorders>
              <w:top w:val="single" w:color="auto" w:sz="4" w:space="0"/>
            </w:tcBorders>
          </w:tcPr>
          <w:p w14:paraId="174DF342">
            <w:pPr>
              <w:pStyle w:val="112"/>
              <w:spacing w:line="360" w:lineRule="auto"/>
              <w:jc w:val="center"/>
              <w:rPr>
                <w:rFonts w:hint="eastAsia" w:ascii="宋体" w:hAnsi="宋体" w:eastAsia="宋体" w:cs="宋体"/>
                <w:szCs w:val="21"/>
              </w:rPr>
            </w:pPr>
          </w:p>
        </w:tc>
        <w:tc>
          <w:tcPr>
            <w:tcW w:w="2047" w:type="dxa"/>
            <w:tcBorders>
              <w:top w:val="single" w:color="auto" w:sz="4" w:space="0"/>
              <w:right w:val="single" w:color="auto" w:sz="4" w:space="0"/>
            </w:tcBorders>
          </w:tcPr>
          <w:p w14:paraId="5B2E5656">
            <w:pPr>
              <w:pStyle w:val="112"/>
              <w:spacing w:line="360" w:lineRule="auto"/>
              <w:jc w:val="center"/>
              <w:rPr>
                <w:rFonts w:hint="eastAsia" w:ascii="宋体" w:hAnsi="宋体" w:eastAsia="宋体" w:cs="宋体"/>
                <w:szCs w:val="21"/>
              </w:rPr>
            </w:pPr>
          </w:p>
        </w:tc>
      </w:tr>
      <w:tr w14:paraId="06DB09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640CED">
            <w:pPr>
              <w:pStyle w:val="112"/>
              <w:spacing w:line="360" w:lineRule="auto"/>
              <w:jc w:val="center"/>
              <w:rPr>
                <w:rFonts w:hint="eastAsia" w:ascii="宋体" w:hAnsi="宋体" w:eastAsia="宋体" w:cs="宋体"/>
                <w:szCs w:val="21"/>
              </w:rPr>
            </w:pPr>
          </w:p>
        </w:tc>
        <w:tc>
          <w:tcPr>
            <w:tcW w:w="2258" w:type="dxa"/>
          </w:tcPr>
          <w:p w14:paraId="40248728">
            <w:pPr>
              <w:pStyle w:val="112"/>
              <w:spacing w:line="360" w:lineRule="auto"/>
              <w:jc w:val="center"/>
              <w:rPr>
                <w:rFonts w:hint="eastAsia" w:ascii="宋体" w:hAnsi="宋体" w:eastAsia="宋体" w:cs="宋体"/>
                <w:szCs w:val="21"/>
              </w:rPr>
            </w:pPr>
          </w:p>
        </w:tc>
        <w:tc>
          <w:tcPr>
            <w:tcW w:w="2260" w:type="dxa"/>
          </w:tcPr>
          <w:p w14:paraId="0618C7D9">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41C48888">
            <w:pPr>
              <w:pStyle w:val="112"/>
              <w:spacing w:line="360" w:lineRule="auto"/>
              <w:jc w:val="center"/>
              <w:rPr>
                <w:rFonts w:hint="eastAsia" w:ascii="宋体" w:hAnsi="宋体" w:eastAsia="宋体" w:cs="宋体"/>
                <w:szCs w:val="21"/>
              </w:rPr>
            </w:pPr>
          </w:p>
        </w:tc>
      </w:tr>
      <w:tr w14:paraId="632CBC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1C81893">
            <w:pPr>
              <w:pStyle w:val="112"/>
              <w:spacing w:line="360" w:lineRule="auto"/>
              <w:jc w:val="center"/>
              <w:rPr>
                <w:rFonts w:hint="eastAsia" w:ascii="宋体" w:hAnsi="宋体" w:eastAsia="宋体" w:cs="宋体"/>
                <w:szCs w:val="21"/>
              </w:rPr>
            </w:pPr>
          </w:p>
        </w:tc>
        <w:tc>
          <w:tcPr>
            <w:tcW w:w="2258" w:type="dxa"/>
          </w:tcPr>
          <w:p w14:paraId="087D6E88">
            <w:pPr>
              <w:pStyle w:val="112"/>
              <w:spacing w:line="360" w:lineRule="auto"/>
              <w:jc w:val="center"/>
              <w:rPr>
                <w:rFonts w:hint="eastAsia" w:ascii="宋体" w:hAnsi="宋体" w:eastAsia="宋体" w:cs="宋体"/>
                <w:szCs w:val="21"/>
              </w:rPr>
            </w:pPr>
          </w:p>
        </w:tc>
        <w:tc>
          <w:tcPr>
            <w:tcW w:w="2260" w:type="dxa"/>
          </w:tcPr>
          <w:p w14:paraId="6CA3F891">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532E4497">
            <w:pPr>
              <w:pStyle w:val="112"/>
              <w:spacing w:line="360" w:lineRule="auto"/>
              <w:jc w:val="center"/>
              <w:rPr>
                <w:rFonts w:hint="eastAsia" w:ascii="宋体" w:hAnsi="宋体" w:eastAsia="宋体" w:cs="宋体"/>
                <w:szCs w:val="21"/>
              </w:rPr>
            </w:pPr>
          </w:p>
        </w:tc>
      </w:tr>
      <w:tr w14:paraId="193D2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68383C">
            <w:pPr>
              <w:pStyle w:val="112"/>
              <w:spacing w:line="360" w:lineRule="auto"/>
              <w:jc w:val="center"/>
              <w:rPr>
                <w:rFonts w:hint="eastAsia" w:ascii="宋体" w:hAnsi="宋体" w:eastAsia="宋体" w:cs="宋体"/>
                <w:szCs w:val="21"/>
              </w:rPr>
            </w:pPr>
          </w:p>
        </w:tc>
        <w:tc>
          <w:tcPr>
            <w:tcW w:w="2258" w:type="dxa"/>
          </w:tcPr>
          <w:p w14:paraId="15FDA64A">
            <w:pPr>
              <w:pStyle w:val="112"/>
              <w:spacing w:line="360" w:lineRule="auto"/>
              <w:jc w:val="center"/>
              <w:rPr>
                <w:rFonts w:hint="eastAsia" w:ascii="宋体" w:hAnsi="宋体" w:eastAsia="宋体" w:cs="宋体"/>
                <w:szCs w:val="21"/>
              </w:rPr>
            </w:pPr>
          </w:p>
        </w:tc>
        <w:tc>
          <w:tcPr>
            <w:tcW w:w="2260" w:type="dxa"/>
          </w:tcPr>
          <w:p w14:paraId="054C6F23">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71A71FF4">
            <w:pPr>
              <w:pStyle w:val="112"/>
              <w:spacing w:line="360" w:lineRule="auto"/>
              <w:jc w:val="center"/>
              <w:rPr>
                <w:rFonts w:hint="eastAsia" w:ascii="宋体" w:hAnsi="宋体" w:eastAsia="宋体" w:cs="宋体"/>
                <w:szCs w:val="21"/>
              </w:rPr>
            </w:pPr>
          </w:p>
        </w:tc>
      </w:tr>
      <w:tr w14:paraId="5AC5AB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B59BA7E">
            <w:pPr>
              <w:pStyle w:val="112"/>
              <w:spacing w:line="360" w:lineRule="auto"/>
              <w:jc w:val="center"/>
              <w:rPr>
                <w:rFonts w:hint="eastAsia" w:ascii="宋体" w:hAnsi="宋体" w:eastAsia="宋体" w:cs="宋体"/>
                <w:szCs w:val="21"/>
              </w:rPr>
            </w:pPr>
          </w:p>
        </w:tc>
        <w:tc>
          <w:tcPr>
            <w:tcW w:w="2258" w:type="dxa"/>
          </w:tcPr>
          <w:p w14:paraId="7DF6AD17">
            <w:pPr>
              <w:pStyle w:val="112"/>
              <w:spacing w:line="360" w:lineRule="auto"/>
              <w:jc w:val="center"/>
              <w:rPr>
                <w:rFonts w:hint="eastAsia" w:ascii="宋体" w:hAnsi="宋体" w:eastAsia="宋体" w:cs="宋体"/>
                <w:szCs w:val="21"/>
              </w:rPr>
            </w:pPr>
          </w:p>
        </w:tc>
        <w:tc>
          <w:tcPr>
            <w:tcW w:w="2260" w:type="dxa"/>
          </w:tcPr>
          <w:p w14:paraId="03F715BC">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20F07CAD">
            <w:pPr>
              <w:pStyle w:val="112"/>
              <w:spacing w:line="360" w:lineRule="auto"/>
              <w:jc w:val="center"/>
              <w:rPr>
                <w:rFonts w:hint="eastAsia" w:ascii="宋体" w:hAnsi="宋体" w:eastAsia="宋体" w:cs="宋体"/>
                <w:szCs w:val="21"/>
              </w:rPr>
            </w:pPr>
          </w:p>
        </w:tc>
      </w:tr>
      <w:tr w14:paraId="44700A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6158918">
            <w:pPr>
              <w:pStyle w:val="112"/>
              <w:spacing w:line="360" w:lineRule="auto"/>
              <w:jc w:val="center"/>
              <w:rPr>
                <w:rFonts w:hint="eastAsia" w:ascii="宋体" w:hAnsi="宋体" w:eastAsia="宋体" w:cs="宋体"/>
                <w:szCs w:val="21"/>
              </w:rPr>
            </w:pPr>
          </w:p>
        </w:tc>
        <w:tc>
          <w:tcPr>
            <w:tcW w:w="2258" w:type="dxa"/>
          </w:tcPr>
          <w:p w14:paraId="7E2E3965">
            <w:pPr>
              <w:pStyle w:val="112"/>
              <w:spacing w:line="360" w:lineRule="auto"/>
              <w:jc w:val="center"/>
              <w:rPr>
                <w:rFonts w:hint="eastAsia" w:ascii="宋体" w:hAnsi="宋体" w:eastAsia="宋体" w:cs="宋体"/>
                <w:szCs w:val="21"/>
              </w:rPr>
            </w:pPr>
          </w:p>
        </w:tc>
        <w:tc>
          <w:tcPr>
            <w:tcW w:w="2260" w:type="dxa"/>
          </w:tcPr>
          <w:p w14:paraId="0E103FC1">
            <w:pPr>
              <w:pStyle w:val="112"/>
              <w:spacing w:line="360" w:lineRule="auto"/>
              <w:jc w:val="center"/>
              <w:rPr>
                <w:rFonts w:hint="eastAsia" w:ascii="宋体" w:hAnsi="宋体" w:eastAsia="宋体" w:cs="宋体"/>
                <w:szCs w:val="21"/>
              </w:rPr>
            </w:pPr>
          </w:p>
        </w:tc>
        <w:tc>
          <w:tcPr>
            <w:tcW w:w="2047" w:type="dxa"/>
            <w:tcBorders>
              <w:right w:val="single" w:color="auto" w:sz="4" w:space="0"/>
            </w:tcBorders>
          </w:tcPr>
          <w:p w14:paraId="0A591656">
            <w:pPr>
              <w:pStyle w:val="112"/>
              <w:spacing w:line="360" w:lineRule="auto"/>
              <w:jc w:val="center"/>
              <w:rPr>
                <w:rFonts w:hint="eastAsia" w:ascii="宋体" w:hAnsi="宋体" w:eastAsia="宋体" w:cs="宋体"/>
                <w:szCs w:val="21"/>
              </w:rPr>
            </w:pPr>
          </w:p>
        </w:tc>
      </w:tr>
      <w:tr w14:paraId="6BE48B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7D30CB5B">
            <w:pPr>
              <w:pStyle w:val="112"/>
              <w:spacing w:line="360" w:lineRule="auto"/>
              <w:jc w:val="center"/>
              <w:rPr>
                <w:rFonts w:hint="eastAsia" w:ascii="宋体" w:hAnsi="宋体" w:eastAsia="宋体" w:cs="宋体"/>
                <w:szCs w:val="21"/>
              </w:rPr>
            </w:pPr>
          </w:p>
        </w:tc>
        <w:tc>
          <w:tcPr>
            <w:tcW w:w="2258" w:type="dxa"/>
            <w:tcBorders>
              <w:bottom w:val="single" w:color="auto" w:sz="4" w:space="0"/>
            </w:tcBorders>
          </w:tcPr>
          <w:p w14:paraId="488C1AD4">
            <w:pPr>
              <w:pStyle w:val="112"/>
              <w:spacing w:line="360" w:lineRule="auto"/>
              <w:jc w:val="center"/>
              <w:rPr>
                <w:rFonts w:hint="eastAsia" w:ascii="宋体" w:hAnsi="宋体" w:eastAsia="宋体" w:cs="宋体"/>
                <w:szCs w:val="21"/>
              </w:rPr>
            </w:pPr>
          </w:p>
        </w:tc>
        <w:tc>
          <w:tcPr>
            <w:tcW w:w="2260" w:type="dxa"/>
            <w:tcBorders>
              <w:bottom w:val="single" w:color="auto" w:sz="4" w:space="0"/>
            </w:tcBorders>
          </w:tcPr>
          <w:p w14:paraId="1DCC8EA1">
            <w:pPr>
              <w:pStyle w:val="112"/>
              <w:spacing w:line="360" w:lineRule="auto"/>
              <w:jc w:val="center"/>
              <w:rPr>
                <w:rFonts w:hint="eastAsia" w:ascii="宋体" w:hAnsi="宋体" w:eastAsia="宋体" w:cs="宋体"/>
                <w:szCs w:val="21"/>
              </w:rPr>
            </w:pPr>
          </w:p>
        </w:tc>
        <w:tc>
          <w:tcPr>
            <w:tcW w:w="2047" w:type="dxa"/>
            <w:tcBorders>
              <w:bottom w:val="single" w:color="auto" w:sz="4" w:space="0"/>
              <w:right w:val="single" w:color="auto" w:sz="4" w:space="0"/>
            </w:tcBorders>
          </w:tcPr>
          <w:p w14:paraId="37A73C1F">
            <w:pPr>
              <w:pStyle w:val="112"/>
              <w:spacing w:line="360" w:lineRule="auto"/>
              <w:jc w:val="center"/>
              <w:rPr>
                <w:rFonts w:hint="eastAsia" w:ascii="宋体" w:hAnsi="宋体" w:eastAsia="宋体" w:cs="宋体"/>
                <w:szCs w:val="21"/>
              </w:rPr>
            </w:pPr>
          </w:p>
        </w:tc>
      </w:tr>
    </w:tbl>
    <w:p w14:paraId="18B83518">
      <w:pPr>
        <w:pStyle w:val="112"/>
        <w:tabs>
          <w:tab w:val="left" w:pos="1050"/>
        </w:tabs>
        <w:spacing w:line="360" w:lineRule="auto"/>
        <w:rPr>
          <w:rFonts w:hint="eastAsia" w:ascii="宋体" w:hAnsi="宋体" w:eastAsia="宋体" w:cs="宋体"/>
          <w:sz w:val="24"/>
        </w:rPr>
      </w:pPr>
    </w:p>
    <w:p w14:paraId="2746FE93">
      <w:pPr>
        <w:pStyle w:val="112"/>
        <w:tabs>
          <w:tab w:val="left" w:pos="1050"/>
        </w:tabs>
        <w:spacing w:line="360" w:lineRule="auto"/>
        <w:rPr>
          <w:rFonts w:hint="eastAsia" w:ascii="宋体" w:hAnsi="宋体" w:eastAsia="宋体" w:cs="宋体"/>
          <w:sz w:val="24"/>
        </w:rPr>
      </w:pPr>
      <w:r>
        <w:rPr>
          <w:rFonts w:hint="eastAsia" w:ascii="宋体" w:hAnsi="宋体" w:eastAsia="宋体" w:cs="宋体"/>
          <w:b/>
          <w:sz w:val="24"/>
        </w:rPr>
        <w:t>要求：</w:t>
      </w:r>
    </w:p>
    <w:p w14:paraId="1C056EC0">
      <w:pPr>
        <w:pStyle w:val="112"/>
        <w:tabs>
          <w:tab w:val="left" w:pos="1050"/>
        </w:tabs>
        <w:spacing w:line="360" w:lineRule="auto"/>
        <w:ind w:firstLine="484" w:firstLineChars="202"/>
        <w:rPr>
          <w:rFonts w:hint="eastAsia" w:ascii="宋体" w:hAnsi="宋体" w:eastAsia="宋体" w:cs="宋体"/>
          <w:sz w:val="24"/>
        </w:rPr>
      </w:pPr>
      <w:r>
        <w:rPr>
          <w:rFonts w:hint="eastAsia" w:ascii="宋体" w:hAnsi="宋体" w:eastAsia="宋体" w:cs="宋体"/>
          <w:sz w:val="24"/>
        </w:rPr>
        <w:t>1.填写磋商供应商获得资质、认证或企业信誉证书。</w:t>
      </w:r>
    </w:p>
    <w:p w14:paraId="5832F565">
      <w:pPr>
        <w:pStyle w:val="112"/>
        <w:tabs>
          <w:tab w:val="left" w:pos="1050"/>
        </w:tabs>
        <w:spacing w:line="360" w:lineRule="auto"/>
        <w:ind w:firstLine="484" w:firstLineChars="202"/>
        <w:rPr>
          <w:rFonts w:hint="eastAsia" w:ascii="宋体" w:hAnsi="宋体" w:eastAsia="宋体" w:cs="宋体"/>
          <w:sz w:val="24"/>
        </w:rPr>
      </w:pPr>
      <w:r>
        <w:rPr>
          <w:rFonts w:hint="eastAsia" w:ascii="宋体" w:hAnsi="宋体" w:eastAsia="宋体" w:cs="宋体"/>
          <w:sz w:val="24"/>
        </w:rPr>
        <w:t>2.附所列证书复印件或其他证明材料。</w:t>
      </w:r>
    </w:p>
    <w:p w14:paraId="6D4B0F76">
      <w:pPr>
        <w:pStyle w:val="112"/>
        <w:tabs>
          <w:tab w:val="left" w:pos="1050"/>
        </w:tabs>
        <w:spacing w:line="360" w:lineRule="auto"/>
        <w:ind w:firstLine="484" w:firstLineChars="202"/>
        <w:rPr>
          <w:rFonts w:hint="eastAsia" w:ascii="宋体" w:hAnsi="宋体" w:eastAsia="宋体" w:cs="宋体"/>
          <w:sz w:val="24"/>
        </w:rPr>
      </w:pPr>
    </w:p>
    <w:p w14:paraId="6A3C8A02">
      <w:pPr>
        <w:pStyle w:val="112"/>
        <w:tabs>
          <w:tab w:val="left" w:pos="1050"/>
        </w:tabs>
        <w:spacing w:line="360" w:lineRule="auto"/>
        <w:ind w:firstLine="720" w:firstLineChars="300"/>
        <w:rPr>
          <w:rFonts w:hint="eastAsia" w:ascii="宋体" w:hAnsi="宋体" w:eastAsia="宋体" w:cs="宋体"/>
          <w:sz w:val="24"/>
        </w:rPr>
      </w:pPr>
    </w:p>
    <w:p w14:paraId="618CB029">
      <w:pPr>
        <w:adjustRightInd w:val="0"/>
        <w:snapToGrid w:val="0"/>
        <w:spacing w:line="360" w:lineRule="auto"/>
        <w:ind w:firstLine="4680" w:firstLineChars="1950"/>
        <w:rPr>
          <w:rFonts w:hint="eastAsia" w:ascii="宋体" w:hAnsi="宋体" w:eastAsia="宋体" w:cs="宋体"/>
          <w:sz w:val="24"/>
          <w:lang w:val="zh-CN"/>
        </w:rPr>
      </w:pPr>
      <w:bookmarkStart w:id="123" w:name="_Toc20199"/>
      <w:r>
        <w:rPr>
          <w:rFonts w:hint="eastAsia" w:ascii="宋体" w:hAnsi="宋体" w:eastAsia="宋体" w:cs="宋体"/>
          <w:sz w:val="24"/>
          <w:lang w:val="zh-CN"/>
        </w:rPr>
        <w:t>供应商名称（公章）：</w:t>
      </w:r>
    </w:p>
    <w:p w14:paraId="443B6C84">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w:t>
      </w:r>
      <w:r>
        <w:rPr>
          <w:rFonts w:hint="eastAsia" w:ascii="宋体" w:hAnsi="宋体" w:cs="宋体"/>
          <w:sz w:val="24"/>
          <w:lang w:val="zh-CN"/>
        </w:rPr>
        <w:t>或盖章</w:t>
      </w:r>
      <w:r>
        <w:rPr>
          <w:rFonts w:hint="eastAsia" w:ascii="宋体" w:hAnsi="宋体" w:eastAsia="宋体" w:cs="宋体"/>
          <w:sz w:val="24"/>
          <w:lang w:val="zh-CN"/>
        </w:rPr>
        <w:t>）：</w:t>
      </w:r>
    </w:p>
    <w:p w14:paraId="59864191">
      <w:pPr>
        <w:pStyle w:val="4"/>
        <w:snapToGrid w:val="0"/>
        <w:spacing w:before="0" w:after="0" w:line="360" w:lineRule="auto"/>
        <w:outlineLvl w:val="0"/>
        <w:rPr>
          <w:rFonts w:hint="eastAsia" w:ascii="宋体" w:hAnsi="宋体" w:eastAsia="宋体" w:cs="宋体"/>
          <w:sz w:val="24"/>
          <w:lang w:val="zh-CN"/>
        </w:rPr>
      </w:pPr>
      <w:r>
        <w:rPr>
          <w:rFonts w:hint="eastAsia" w:ascii="宋体" w:hAnsi="宋体" w:eastAsia="宋体" w:cs="宋体"/>
          <w:sz w:val="24"/>
          <w:lang w:val="zh-CN"/>
        </w:rPr>
        <w:t xml:space="preserve">                               </w:t>
      </w:r>
      <w:r>
        <w:rPr>
          <w:rFonts w:hint="eastAsia" w:ascii="宋体" w:hAnsi="宋体" w:eastAsia="宋体" w:cs="宋体"/>
          <w:b w:val="0"/>
          <w:bCs w:val="0"/>
          <w:sz w:val="24"/>
          <w:szCs w:val="20"/>
          <w:lang w:val="zh-CN" w:eastAsia="zh-CN" w:bidi="ar-SA"/>
        </w:rPr>
        <w:t xml:space="preserve">   日期：    年   月   日</w:t>
      </w:r>
    </w:p>
    <w:p w14:paraId="1357C424">
      <w:pPr>
        <w:rPr>
          <w:rFonts w:hint="eastAsia" w:ascii="宋体" w:hAnsi="宋体" w:eastAsia="宋体" w:cs="宋体"/>
          <w:sz w:val="24"/>
          <w:lang w:val="zh-CN"/>
        </w:rPr>
      </w:pPr>
      <w:r>
        <w:rPr>
          <w:rFonts w:hint="eastAsia" w:ascii="宋体" w:hAnsi="宋体" w:eastAsia="宋体" w:cs="宋体"/>
          <w:sz w:val="24"/>
          <w:lang w:val="zh-CN"/>
        </w:rPr>
        <w:br w:type="page"/>
      </w:r>
    </w:p>
    <w:p w14:paraId="425423BD">
      <w:pPr>
        <w:pStyle w:val="4"/>
        <w:snapToGrid w:val="0"/>
        <w:spacing w:before="0" w:after="0" w:line="360" w:lineRule="auto"/>
        <w:outlineLvl w:val="0"/>
        <w:rPr>
          <w:rFonts w:hint="eastAsia" w:ascii="宋体" w:hAnsi="宋体" w:eastAsia="宋体" w:cs="宋体"/>
          <w:bCs w:val="0"/>
          <w:kern w:val="2"/>
          <w:sz w:val="30"/>
          <w:szCs w:val="30"/>
        </w:rPr>
      </w:pPr>
      <w:r>
        <w:rPr>
          <w:rFonts w:hint="eastAsia" w:ascii="宋体" w:hAnsi="宋体" w:eastAsia="宋体" w:cs="宋体"/>
          <w:bCs w:val="0"/>
          <w:kern w:val="2"/>
          <w:sz w:val="30"/>
          <w:szCs w:val="30"/>
        </w:rPr>
        <w:t>附件7：类似项目实施情况一览表</w:t>
      </w:r>
      <w:bookmarkEnd w:id="123"/>
    </w:p>
    <w:p w14:paraId="078BA028">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类似项目实施情况一览表</w:t>
      </w:r>
    </w:p>
    <w:tbl>
      <w:tblPr>
        <w:tblStyle w:val="38"/>
        <w:tblW w:w="7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260"/>
        <w:gridCol w:w="1452"/>
        <w:gridCol w:w="1383"/>
        <w:gridCol w:w="2037"/>
      </w:tblGrid>
      <w:tr w14:paraId="357A8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E58FB86">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F03C7F8">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项目名称</w:t>
            </w:r>
          </w:p>
        </w:tc>
        <w:tc>
          <w:tcPr>
            <w:tcW w:w="1260" w:type="dxa"/>
            <w:tcBorders>
              <w:top w:val="single" w:color="auto" w:sz="6" w:space="0"/>
              <w:left w:val="single" w:color="auto" w:sz="6" w:space="0"/>
              <w:bottom w:val="single" w:color="auto" w:sz="6" w:space="0"/>
              <w:right w:val="single" w:color="auto" w:sz="6" w:space="0"/>
            </w:tcBorders>
            <w:vAlign w:val="center"/>
          </w:tcPr>
          <w:p w14:paraId="509FEFA8">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A9E7F8D">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合同签订</w:t>
            </w:r>
          </w:p>
          <w:p w14:paraId="0103C241">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时间</w:t>
            </w:r>
          </w:p>
        </w:tc>
        <w:tc>
          <w:tcPr>
            <w:tcW w:w="1383" w:type="dxa"/>
            <w:tcBorders>
              <w:top w:val="single" w:color="auto" w:sz="6" w:space="0"/>
              <w:left w:val="single" w:color="auto" w:sz="6" w:space="0"/>
              <w:bottom w:val="single" w:color="auto" w:sz="6" w:space="0"/>
              <w:right w:val="single" w:color="auto" w:sz="6" w:space="0"/>
            </w:tcBorders>
            <w:vAlign w:val="center"/>
          </w:tcPr>
          <w:p w14:paraId="7F11EB1D">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采购人</w:t>
            </w:r>
          </w:p>
        </w:tc>
        <w:tc>
          <w:tcPr>
            <w:tcW w:w="2037" w:type="dxa"/>
            <w:tcBorders>
              <w:top w:val="single" w:color="auto" w:sz="6" w:space="0"/>
              <w:left w:val="single" w:color="auto" w:sz="6" w:space="0"/>
              <w:bottom w:val="single" w:color="auto" w:sz="6" w:space="0"/>
              <w:right w:val="single" w:color="auto" w:sz="6" w:space="0"/>
            </w:tcBorders>
            <w:vAlign w:val="center"/>
          </w:tcPr>
          <w:p w14:paraId="026DF804">
            <w:pPr>
              <w:pStyle w:val="109"/>
              <w:spacing w:line="360" w:lineRule="auto"/>
              <w:jc w:val="center"/>
              <w:rPr>
                <w:rFonts w:hint="eastAsia" w:ascii="宋体" w:hAnsi="宋体" w:eastAsia="宋体" w:cs="宋体"/>
                <w:b/>
                <w:bCs/>
                <w:sz w:val="24"/>
              </w:rPr>
            </w:pPr>
            <w:r>
              <w:rPr>
                <w:rFonts w:hint="eastAsia" w:ascii="宋体" w:hAnsi="宋体" w:eastAsia="宋体" w:cs="宋体"/>
                <w:b/>
                <w:bCs/>
                <w:sz w:val="24"/>
              </w:rPr>
              <w:t>联系人及电话</w:t>
            </w:r>
          </w:p>
        </w:tc>
      </w:tr>
      <w:tr w14:paraId="64DB0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AFB3C95">
            <w:pPr>
              <w:pStyle w:val="109"/>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293" w:type="dxa"/>
            <w:tcBorders>
              <w:top w:val="single" w:color="auto" w:sz="6" w:space="0"/>
              <w:left w:val="single" w:color="auto" w:sz="6" w:space="0"/>
              <w:bottom w:val="single" w:color="auto" w:sz="6" w:space="0"/>
              <w:right w:val="single" w:color="auto" w:sz="6" w:space="0"/>
            </w:tcBorders>
          </w:tcPr>
          <w:p w14:paraId="6F864BB2">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6237A8B">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497A0A02">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15AD3E4B">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43EEFF62">
            <w:pPr>
              <w:pStyle w:val="109"/>
              <w:spacing w:line="360" w:lineRule="auto"/>
              <w:rPr>
                <w:rFonts w:hint="eastAsia" w:ascii="宋体" w:hAnsi="宋体" w:eastAsia="宋体" w:cs="宋体"/>
                <w:sz w:val="24"/>
              </w:rPr>
            </w:pPr>
          </w:p>
        </w:tc>
      </w:tr>
      <w:tr w14:paraId="37E13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E94EA83">
            <w:pPr>
              <w:pStyle w:val="109"/>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293" w:type="dxa"/>
            <w:tcBorders>
              <w:top w:val="single" w:color="auto" w:sz="6" w:space="0"/>
              <w:left w:val="single" w:color="auto" w:sz="6" w:space="0"/>
              <w:bottom w:val="single" w:color="auto" w:sz="6" w:space="0"/>
              <w:right w:val="single" w:color="auto" w:sz="6" w:space="0"/>
            </w:tcBorders>
          </w:tcPr>
          <w:p w14:paraId="5EE9DCB1">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5AB4DA21">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353B4173">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37685412">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1A298973">
            <w:pPr>
              <w:pStyle w:val="109"/>
              <w:spacing w:line="360" w:lineRule="auto"/>
              <w:rPr>
                <w:rFonts w:hint="eastAsia" w:ascii="宋体" w:hAnsi="宋体" w:eastAsia="宋体" w:cs="宋体"/>
                <w:sz w:val="24"/>
              </w:rPr>
            </w:pPr>
          </w:p>
        </w:tc>
      </w:tr>
      <w:tr w14:paraId="19D81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35F5064">
            <w:pPr>
              <w:pStyle w:val="109"/>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293" w:type="dxa"/>
            <w:tcBorders>
              <w:top w:val="single" w:color="auto" w:sz="6" w:space="0"/>
              <w:left w:val="single" w:color="auto" w:sz="6" w:space="0"/>
              <w:bottom w:val="single" w:color="auto" w:sz="6" w:space="0"/>
              <w:right w:val="single" w:color="auto" w:sz="6" w:space="0"/>
            </w:tcBorders>
          </w:tcPr>
          <w:p w14:paraId="0047C0F7">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36907409">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4D05EF97">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22FCDB2C">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5B912715">
            <w:pPr>
              <w:pStyle w:val="109"/>
              <w:spacing w:line="360" w:lineRule="auto"/>
              <w:rPr>
                <w:rFonts w:hint="eastAsia" w:ascii="宋体" w:hAnsi="宋体" w:eastAsia="宋体" w:cs="宋体"/>
                <w:sz w:val="24"/>
              </w:rPr>
            </w:pPr>
          </w:p>
        </w:tc>
      </w:tr>
      <w:tr w14:paraId="10B8B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5E7298">
            <w:pPr>
              <w:pStyle w:val="109"/>
              <w:spacing w:line="360" w:lineRule="auto"/>
              <w:rPr>
                <w:rFonts w:hint="eastAsia" w:ascii="宋体" w:hAnsi="宋体" w:eastAsia="宋体" w:cs="宋体"/>
                <w:sz w:val="24"/>
              </w:rPr>
            </w:pPr>
            <w:r>
              <w:rPr>
                <w:rFonts w:hint="eastAsia" w:ascii="宋体" w:hAnsi="宋体" w:eastAsia="宋体" w:cs="宋体"/>
                <w:sz w:val="24"/>
              </w:rPr>
              <w:t>…</w:t>
            </w:r>
          </w:p>
        </w:tc>
        <w:tc>
          <w:tcPr>
            <w:tcW w:w="1293" w:type="dxa"/>
            <w:tcBorders>
              <w:top w:val="single" w:color="auto" w:sz="6" w:space="0"/>
              <w:left w:val="single" w:color="auto" w:sz="6" w:space="0"/>
              <w:bottom w:val="single" w:color="auto" w:sz="6" w:space="0"/>
              <w:right w:val="single" w:color="auto" w:sz="6" w:space="0"/>
            </w:tcBorders>
          </w:tcPr>
          <w:p w14:paraId="59488C50">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0F23E8B2">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7126832C">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2666DBFE">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572A424A">
            <w:pPr>
              <w:pStyle w:val="109"/>
              <w:spacing w:line="360" w:lineRule="auto"/>
              <w:rPr>
                <w:rFonts w:hint="eastAsia" w:ascii="宋体" w:hAnsi="宋体" w:eastAsia="宋体" w:cs="宋体"/>
                <w:sz w:val="24"/>
              </w:rPr>
            </w:pPr>
          </w:p>
        </w:tc>
      </w:tr>
      <w:tr w14:paraId="0B07A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0AFEADF">
            <w:pPr>
              <w:pStyle w:val="109"/>
              <w:spacing w:line="360" w:lineRule="auto"/>
              <w:rPr>
                <w:rFonts w:hint="eastAsia" w:ascii="宋体" w:hAnsi="宋体" w:eastAsia="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51E3C94B">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414A084">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28A4A71E">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4A636CB1">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0848425A">
            <w:pPr>
              <w:pStyle w:val="109"/>
              <w:spacing w:line="360" w:lineRule="auto"/>
              <w:rPr>
                <w:rFonts w:hint="eastAsia" w:ascii="宋体" w:hAnsi="宋体" w:eastAsia="宋体" w:cs="宋体"/>
                <w:sz w:val="24"/>
              </w:rPr>
            </w:pPr>
          </w:p>
        </w:tc>
      </w:tr>
      <w:tr w14:paraId="47032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17D5C3F">
            <w:pPr>
              <w:pStyle w:val="109"/>
              <w:spacing w:line="360" w:lineRule="auto"/>
              <w:rPr>
                <w:rFonts w:hint="eastAsia" w:ascii="宋体" w:hAnsi="宋体" w:eastAsia="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41A3407C">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047EE98E">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71972C24">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1A47CB37">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5D30D2AB">
            <w:pPr>
              <w:pStyle w:val="109"/>
              <w:spacing w:line="360" w:lineRule="auto"/>
              <w:rPr>
                <w:rFonts w:hint="eastAsia" w:ascii="宋体" w:hAnsi="宋体" w:eastAsia="宋体" w:cs="宋体"/>
                <w:sz w:val="24"/>
              </w:rPr>
            </w:pPr>
          </w:p>
        </w:tc>
      </w:tr>
      <w:tr w14:paraId="43E80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D050C1E">
            <w:pPr>
              <w:pStyle w:val="109"/>
              <w:spacing w:line="360" w:lineRule="auto"/>
              <w:rPr>
                <w:rFonts w:hint="eastAsia" w:ascii="宋体" w:hAnsi="宋体" w:eastAsia="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3AB3B232">
            <w:pPr>
              <w:pStyle w:val="109"/>
              <w:spacing w:line="360" w:lineRule="auto"/>
              <w:rPr>
                <w:rFonts w:hint="eastAsia" w:ascii="宋体" w:hAnsi="宋体" w:eastAsia="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1E38EBD2">
            <w:pPr>
              <w:pStyle w:val="109"/>
              <w:spacing w:line="360" w:lineRule="auto"/>
              <w:rPr>
                <w:rFonts w:hint="eastAsia" w:ascii="宋体" w:hAnsi="宋体" w:eastAsia="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10436BF7">
            <w:pPr>
              <w:pStyle w:val="109"/>
              <w:spacing w:line="360" w:lineRule="auto"/>
              <w:rPr>
                <w:rFonts w:hint="eastAsia" w:ascii="宋体" w:hAnsi="宋体" w:eastAsia="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10ECAEE9">
            <w:pPr>
              <w:pStyle w:val="109"/>
              <w:spacing w:line="360" w:lineRule="auto"/>
              <w:rPr>
                <w:rFonts w:hint="eastAsia" w:ascii="宋体" w:hAnsi="宋体" w:eastAsia="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79AE918A">
            <w:pPr>
              <w:pStyle w:val="109"/>
              <w:spacing w:line="360" w:lineRule="auto"/>
              <w:rPr>
                <w:rFonts w:hint="eastAsia" w:ascii="宋体" w:hAnsi="宋体" w:eastAsia="宋体" w:cs="宋体"/>
                <w:sz w:val="24"/>
              </w:rPr>
            </w:pPr>
          </w:p>
        </w:tc>
      </w:tr>
    </w:tbl>
    <w:p w14:paraId="39AB3F63">
      <w:pPr>
        <w:autoSpaceDE w:val="0"/>
        <w:autoSpaceDN w:val="0"/>
        <w:adjustRightInd w:val="0"/>
        <w:spacing w:before="156" w:beforeLines="50" w:line="360" w:lineRule="auto"/>
        <w:rPr>
          <w:rFonts w:hint="eastAsia" w:ascii="宋体" w:hAnsi="宋体" w:eastAsia="宋体" w:cs="宋体"/>
          <w:b/>
          <w:sz w:val="24"/>
          <w:szCs w:val="24"/>
        </w:rPr>
      </w:pPr>
      <w:r>
        <w:rPr>
          <w:rFonts w:hint="eastAsia" w:ascii="宋体" w:hAnsi="宋体" w:eastAsia="宋体" w:cs="宋体"/>
          <w:b/>
          <w:sz w:val="24"/>
          <w:szCs w:val="24"/>
        </w:rPr>
        <w:t>要求：</w:t>
      </w:r>
    </w:p>
    <w:p w14:paraId="3289AE2C">
      <w:pPr>
        <w:autoSpaceDE w:val="0"/>
        <w:autoSpaceDN w:val="0"/>
        <w:adjustRightInd w:val="0"/>
        <w:spacing w:before="156" w:beforeLines="50" w:line="360" w:lineRule="auto"/>
        <w:ind w:firstLine="484" w:firstLineChars="202"/>
        <w:rPr>
          <w:rFonts w:hint="eastAsia" w:ascii="宋体" w:hAnsi="宋体" w:eastAsia="宋体" w:cs="宋体"/>
          <w:b/>
          <w:sz w:val="24"/>
          <w:szCs w:val="24"/>
        </w:rPr>
      </w:pPr>
      <w:r>
        <w:rPr>
          <w:rFonts w:hint="eastAsia" w:ascii="宋体" w:hAnsi="宋体" w:eastAsia="宋体" w:cs="宋体"/>
          <w:sz w:val="24"/>
          <w:szCs w:val="24"/>
        </w:rPr>
        <w:t>1.业绩证明应提供证明材料（合同复印件可只提供首页、含金额页、盖章页并加盖磋商供应商公章）；</w:t>
      </w:r>
    </w:p>
    <w:p w14:paraId="15BE2B1C">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2.磋商供应商可按此表格式复制。</w:t>
      </w:r>
    </w:p>
    <w:p w14:paraId="14194C8B">
      <w:pPr>
        <w:spacing w:line="360" w:lineRule="auto"/>
        <w:rPr>
          <w:rFonts w:hint="eastAsia" w:ascii="宋体" w:hAnsi="宋体" w:eastAsia="宋体" w:cs="宋体"/>
          <w:sz w:val="24"/>
          <w:szCs w:val="24"/>
        </w:rPr>
      </w:pPr>
    </w:p>
    <w:p w14:paraId="50B478F3">
      <w:pPr>
        <w:spacing w:line="360" w:lineRule="auto"/>
        <w:rPr>
          <w:rFonts w:hint="eastAsia" w:ascii="宋体" w:hAnsi="宋体" w:eastAsia="宋体" w:cs="宋体"/>
          <w:sz w:val="24"/>
          <w:szCs w:val="24"/>
        </w:rPr>
      </w:pPr>
    </w:p>
    <w:p w14:paraId="0A3DE675">
      <w:pPr>
        <w:pStyle w:val="4"/>
        <w:snapToGrid w:val="0"/>
        <w:spacing w:before="0" w:after="0" w:line="360" w:lineRule="auto"/>
        <w:outlineLvl w:val="0"/>
        <w:rPr>
          <w:rFonts w:hint="eastAsia" w:ascii="宋体" w:hAnsi="宋体" w:eastAsia="宋体" w:cs="宋体"/>
          <w:bCs w:val="0"/>
          <w:kern w:val="2"/>
          <w:sz w:val="30"/>
          <w:szCs w:val="30"/>
        </w:rPr>
      </w:pPr>
      <w:bookmarkStart w:id="124" w:name="_Toc31575"/>
    </w:p>
    <w:p w14:paraId="4F3DD0BC">
      <w:pPr>
        <w:adjustRightInd w:val="0"/>
        <w:snapToGrid w:val="0"/>
        <w:spacing w:line="360" w:lineRule="auto"/>
        <w:ind w:firstLine="4680" w:firstLineChars="1950"/>
        <w:rPr>
          <w:rFonts w:hint="eastAsia" w:ascii="宋体" w:hAnsi="宋体" w:eastAsia="宋体" w:cs="宋体"/>
          <w:sz w:val="24"/>
          <w:lang w:val="zh-CN"/>
        </w:rPr>
      </w:pPr>
      <w:r>
        <w:rPr>
          <w:rFonts w:hint="eastAsia" w:ascii="宋体" w:hAnsi="宋体" w:eastAsia="宋体" w:cs="宋体"/>
          <w:sz w:val="24"/>
          <w:lang w:val="zh-CN"/>
        </w:rPr>
        <w:t>供应商名称（公章）：</w:t>
      </w:r>
    </w:p>
    <w:p w14:paraId="47343551">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w:t>
      </w:r>
      <w:r>
        <w:rPr>
          <w:rFonts w:hint="eastAsia" w:ascii="宋体" w:hAnsi="宋体" w:cs="宋体"/>
          <w:sz w:val="24"/>
          <w:lang w:val="zh-CN"/>
        </w:rPr>
        <w:t>或盖章</w:t>
      </w:r>
      <w:r>
        <w:rPr>
          <w:rFonts w:hint="eastAsia" w:ascii="宋体" w:hAnsi="宋体" w:eastAsia="宋体" w:cs="宋体"/>
          <w:sz w:val="24"/>
          <w:lang w:val="zh-CN"/>
        </w:rPr>
        <w:t>）：</w:t>
      </w:r>
    </w:p>
    <w:p w14:paraId="7B2A2EE7">
      <w:pPr>
        <w:pStyle w:val="4"/>
        <w:snapToGrid w:val="0"/>
        <w:spacing w:before="0" w:after="0" w:line="360" w:lineRule="auto"/>
        <w:outlineLvl w:val="0"/>
        <w:rPr>
          <w:rFonts w:hint="eastAsia" w:ascii="宋体" w:hAnsi="宋体" w:eastAsia="宋体" w:cs="宋体"/>
          <w:sz w:val="24"/>
          <w:lang w:val="zh-CN"/>
        </w:rPr>
      </w:pPr>
      <w:r>
        <w:rPr>
          <w:rFonts w:hint="eastAsia" w:ascii="宋体" w:hAnsi="宋体" w:eastAsia="宋体" w:cs="宋体"/>
          <w:sz w:val="24"/>
          <w:lang w:val="zh-CN"/>
        </w:rPr>
        <w:t xml:space="preserve">                            </w:t>
      </w:r>
      <w:r>
        <w:rPr>
          <w:rFonts w:hint="eastAsia" w:ascii="宋体" w:hAnsi="宋体" w:eastAsia="宋体" w:cs="宋体"/>
          <w:b w:val="0"/>
          <w:bCs w:val="0"/>
          <w:sz w:val="24"/>
          <w:szCs w:val="20"/>
          <w:lang w:val="zh-CN" w:eastAsia="zh-CN" w:bidi="ar-SA"/>
        </w:rPr>
        <w:t xml:space="preserve">      日期：    年   月   日</w:t>
      </w:r>
    </w:p>
    <w:p w14:paraId="79F02E49">
      <w:pPr>
        <w:rPr>
          <w:rFonts w:hint="eastAsia" w:ascii="宋体" w:hAnsi="宋体" w:eastAsia="宋体" w:cs="宋体"/>
          <w:bCs w:val="0"/>
          <w:kern w:val="2"/>
          <w:sz w:val="30"/>
          <w:szCs w:val="30"/>
        </w:rPr>
      </w:pPr>
      <w:r>
        <w:rPr>
          <w:rFonts w:hint="eastAsia" w:ascii="宋体" w:hAnsi="宋体" w:eastAsia="宋体" w:cs="宋体"/>
          <w:bCs w:val="0"/>
          <w:kern w:val="2"/>
          <w:sz w:val="30"/>
          <w:szCs w:val="30"/>
        </w:rPr>
        <w:br w:type="page"/>
      </w:r>
    </w:p>
    <w:p w14:paraId="3B64FDE5">
      <w:pPr>
        <w:pStyle w:val="4"/>
        <w:snapToGrid w:val="0"/>
        <w:spacing w:before="0" w:after="0" w:line="360" w:lineRule="auto"/>
        <w:outlineLvl w:val="0"/>
        <w:rPr>
          <w:rFonts w:hint="eastAsia" w:ascii="宋体" w:hAnsi="宋体" w:eastAsia="宋体" w:cs="宋体"/>
          <w:bCs w:val="0"/>
          <w:kern w:val="2"/>
          <w:sz w:val="30"/>
          <w:szCs w:val="30"/>
        </w:rPr>
      </w:pPr>
      <w:r>
        <w:rPr>
          <w:rFonts w:hint="eastAsia" w:ascii="宋体" w:hAnsi="宋体" w:eastAsia="宋体" w:cs="宋体"/>
          <w:bCs w:val="0"/>
          <w:kern w:val="2"/>
          <w:sz w:val="30"/>
          <w:szCs w:val="30"/>
        </w:rPr>
        <w:t>附件8：</w:t>
      </w:r>
      <w:r>
        <w:rPr>
          <w:rFonts w:hint="eastAsia" w:ascii="宋体" w:hAnsi="宋体" w:eastAsia="宋体" w:cs="宋体"/>
          <w:b/>
          <w:kern w:val="0"/>
          <w:sz w:val="32"/>
          <w:szCs w:val="32"/>
        </w:rPr>
        <w:t>商务技术偏离表</w:t>
      </w:r>
      <w:bookmarkEnd w:id="124"/>
    </w:p>
    <w:p w14:paraId="75AF75E3">
      <w:pPr>
        <w:pStyle w:val="24"/>
        <w:adjustRightInd w:val="0"/>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商务技术偏离表</w:t>
      </w:r>
    </w:p>
    <w:p w14:paraId="23013F78">
      <w:pPr>
        <w:pStyle w:val="24"/>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bCs/>
          <w:sz w:val="24"/>
          <w:szCs w:val="24"/>
        </w:rPr>
        <w:t>项目名称及编号：</w:t>
      </w:r>
    </w:p>
    <w:tbl>
      <w:tblPr>
        <w:tblStyle w:val="3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52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F100D1">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55B53B1B">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60B33CBE">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57085E9">
            <w:pPr>
              <w:jc w:val="center"/>
              <w:rPr>
                <w:rFonts w:hint="eastAsia" w:ascii="宋体" w:hAnsi="宋体" w:eastAsia="宋体" w:cs="宋体"/>
                <w:b/>
                <w:bCs/>
                <w:sz w:val="24"/>
              </w:rPr>
            </w:pPr>
            <w:r>
              <w:rPr>
                <w:rFonts w:hint="eastAsia" w:ascii="宋体" w:hAnsi="宋体" w:eastAsia="宋体" w:cs="宋体"/>
                <w:b/>
                <w:bCs/>
                <w:sz w:val="24"/>
              </w:rPr>
              <w:t>偏离说明</w:t>
            </w:r>
          </w:p>
        </w:tc>
      </w:tr>
      <w:tr w14:paraId="431D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69A9A8">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E579B08">
            <w:pPr>
              <w:jc w:val="center"/>
              <w:rPr>
                <w:rFonts w:hint="eastAsia" w:ascii="宋体" w:hAnsi="宋体" w:eastAsia="宋体" w:cs="宋体"/>
                <w:b/>
                <w:kern w:val="0"/>
                <w:sz w:val="32"/>
                <w:szCs w:val="32"/>
              </w:rPr>
            </w:pPr>
          </w:p>
        </w:tc>
        <w:tc>
          <w:tcPr>
            <w:tcW w:w="3546" w:type="dxa"/>
          </w:tcPr>
          <w:p w14:paraId="052DF8D6">
            <w:pPr>
              <w:jc w:val="center"/>
              <w:rPr>
                <w:rFonts w:hint="eastAsia" w:ascii="宋体" w:hAnsi="宋体" w:eastAsia="宋体" w:cs="宋体"/>
                <w:b/>
                <w:kern w:val="0"/>
                <w:sz w:val="32"/>
                <w:szCs w:val="32"/>
              </w:rPr>
            </w:pPr>
          </w:p>
        </w:tc>
        <w:tc>
          <w:tcPr>
            <w:tcW w:w="1276" w:type="dxa"/>
          </w:tcPr>
          <w:p w14:paraId="14B35556">
            <w:pPr>
              <w:jc w:val="center"/>
              <w:rPr>
                <w:rFonts w:hint="eastAsia" w:ascii="宋体" w:hAnsi="宋体" w:eastAsia="宋体" w:cs="宋体"/>
                <w:b/>
                <w:kern w:val="0"/>
                <w:sz w:val="32"/>
                <w:szCs w:val="32"/>
              </w:rPr>
            </w:pPr>
          </w:p>
        </w:tc>
      </w:tr>
      <w:tr w14:paraId="67CA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85D903">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3BB07017">
            <w:pPr>
              <w:jc w:val="center"/>
              <w:rPr>
                <w:rFonts w:hint="eastAsia" w:ascii="宋体" w:hAnsi="宋体" w:eastAsia="宋体" w:cs="宋体"/>
                <w:b/>
                <w:kern w:val="0"/>
                <w:sz w:val="32"/>
                <w:szCs w:val="32"/>
              </w:rPr>
            </w:pPr>
          </w:p>
        </w:tc>
        <w:tc>
          <w:tcPr>
            <w:tcW w:w="3546" w:type="dxa"/>
          </w:tcPr>
          <w:p w14:paraId="52958BC8">
            <w:pPr>
              <w:jc w:val="center"/>
              <w:rPr>
                <w:rFonts w:hint="eastAsia" w:ascii="宋体" w:hAnsi="宋体" w:eastAsia="宋体" w:cs="宋体"/>
                <w:b/>
                <w:kern w:val="0"/>
                <w:sz w:val="32"/>
                <w:szCs w:val="32"/>
              </w:rPr>
            </w:pPr>
          </w:p>
        </w:tc>
        <w:tc>
          <w:tcPr>
            <w:tcW w:w="1276" w:type="dxa"/>
          </w:tcPr>
          <w:p w14:paraId="388A9868">
            <w:pPr>
              <w:jc w:val="center"/>
              <w:rPr>
                <w:rFonts w:hint="eastAsia" w:ascii="宋体" w:hAnsi="宋体" w:eastAsia="宋体" w:cs="宋体"/>
                <w:b/>
                <w:kern w:val="0"/>
                <w:sz w:val="32"/>
                <w:szCs w:val="32"/>
              </w:rPr>
            </w:pPr>
          </w:p>
        </w:tc>
      </w:tr>
      <w:tr w14:paraId="4986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997E3F">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7EF27C34">
            <w:pPr>
              <w:jc w:val="center"/>
              <w:rPr>
                <w:rFonts w:hint="eastAsia" w:ascii="宋体" w:hAnsi="宋体" w:eastAsia="宋体" w:cs="宋体"/>
                <w:b/>
                <w:kern w:val="0"/>
                <w:sz w:val="32"/>
                <w:szCs w:val="32"/>
              </w:rPr>
            </w:pPr>
          </w:p>
        </w:tc>
        <w:tc>
          <w:tcPr>
            <w:tcW w:w="3546" w:type="dxa"/>
          </w:tcPr>
          <w:p w14:paraId="02256F9C">
            <w:pPr>
              <w:jc w:val="center"/>
              <w:rPr>
                <w:rFonts w:hint="eastAsia" w:ascii="宋体" w:hAnsi="宋体" w:eastAsia="宋体" w:cs="宋体"/>
                <w:b/>
                <w:kern w:val="0"/>
                <w:sz w:val="32"/>
                <w:szCs w:val="32"/>
              </w:rPr>
            </w:pPr>
          </w:p>
        </w:tc>
        <w:tc>
          <w:tcPr>
            <w:tcW w:w="1276" w:type="dxa"/>
          </w:tcPr>
          <w:p w14:paraId="1A170D51">
            <w:pPr>
              <w:jc w:val="center"/>
              <w:rPr>
                <w:rFonts w:hint="eastAsia" w:ascii="宋体" w:hAnsi="宋体" w:eastAsia="宋体" w:cs="宋体"/>
                <w:b/>
                <w:kern w:val="0"/>
                <w:sz w:val="32"/>
                <w:szCs w:val="32"/>
              </w:rPr>
            </w:pPr>
          </w:p>
        </w:tc>
      </w:tr>
    </w:tbl>
    <w:p w14:paraId="65717455">
      <w:pPr>
        <w:pStyle w:val="24"/>
        <w:adjustRightInd w:val="0"/>
        <w:snapToGrid w:val="0"/>
        <w:spacing w:line="360" w:lineRule="auto"/>
        <w:jc w:val="left"/>
        <w:rPr>
          <w:rFonts w:hint="eastAsia" w:ascii="宋体" w:hAnsi="宋体" w:eastAsia="宋体" w:cs="宋体"/>
          <w:b/>
          <w:sz w:val="24"/>
          <w:szCs w:val="24"/>
        </w:rPr>
      </w:pPr>
    </w:p>
    <w:p w14:paraId="73C8279C">
      <w:pPr>
        <w:pStyle w:val="92"/>
        <w:spacing w:line="360" w:lineRule="auto"/>
        <w:ind w:right="80" w:rightChars="40" w:firstLine="480" w:firstLineChars="200"/>
        <w:rPr>
          <w:rFonts w:hint="eastAsia" w:ascii="宋体" w:hAnsi="宋体" w:eastAsia="宋体" w:cs="宋体"/>
          <w:sz w:val="24"/>
          <w:szCs w:val="24"/>
        </w:rPr>
      </w:pPr>
      <w:r>
        <w:rPr>
          <w:rFonts w:hint="eastAsia" w:ascii="宋体" w:hAnsi="宋体" w:eastAsia="宋体" w:cs="宋体"/>
          <w:sz w:val="24"/>
          <w:szCs w:val="24"/>
        </w:rPr>
        <w:t>注：投标供应商应对照竞争性磋商文件要求在“偏离情况”栏注明“正偏离”、“负偏离”或“无偏离”。如投标供应商不填写内容，视为完全响应本次招标文件要求。</w:t>
      </w:r>
    </w:p>
    <w:p w14:paraId="4C79C304">
      <w:pPr>
        <w:pStyle w:val="24"/>
        <w:adjustRightInd w:val="0"/>
        <w:snapToGrid w:val="0"/>
        <w:spacing w:line="360" w:lineRule="auto"/>
        <w:rPr>
          <w:rFonts w:hint="eastAsia" w:ascii="宋体" w:hAnsi="宋体" w:eastAsia="宋体" w:cs="宋体"/>
          <w:sz w:val="24"/>
          <w:szCs w:val="24"/>
        </w:rPr>
      </w:pPr>
    </w:p>
    <w:p w14:paraId="4122E2EA">
      <w:pPr>
        <w:adjustRightInd w:val="0"/>
        <w:snapToGrid w:val="0"/>
        <w:spacing w:line="360" w:lineRule="auto"/>
        <w:ind w:firstLine="4680" w:firstLineChars="1950"/>
        <w:rPr>
          <w:rFonts w:hint="eastAsia" w:ascii="宋体" w:hAnsi="宋体" w:eastAsia="宋体" w:cs="宋体"/>
          <w:sz w:val="24"/>
          <w:lang w:val="zh-CN"/>
        </w:rPr>
      </w:pPr>
      <w:r>
        <w:rPr>
          <w:rFonts w:hint="eastAsia" w:ascii="宋体" w:hAnsi="宋体" w:eastAsia="宋体" w:cs="宋体"/>
          <w:sz w:val="24"/>
          <w:lang w:val="zh-CN"/>
        </w:rPr>
        <w:t>供应商名称（公章）：</w:t>
      </w:r>
    </w:p>
    <w:p w14:paraId="7BACDC77">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w:t>
      </w:r>
      <w:r>
        <w:rPr>
          <w:rFonts w:hint="eastAsia" w:ascii="宋体" w:hAnsi="宋体" w:cs="宋体"/>
          <w:sz w:val="24"/>
          <w:lang w:val="zh-CN"/>
        </w:rPr>
        <w:t>或盖章</w:t>
      </w:r>
      <w:r>
        <w:rPr>
          <w:rFonts w:hint="eastAsia" w:ascii="宋体" w:hAnsi="宋体" w:eastAsia="宋体" w:cs="宋体"/>
          <w:sz w:val="24"/>
          <w:lang w:val="zh-CN"/>
        </w:rPr>
        <w:t>）：</w:t>
      </w:r>
    </w:p>
    <w:p w14:paraId="2798794A">
      <w:pPr>
        <w:pStyle w:val="4"/>
        <w:snapToGrid w:val="0"/>
        <w:spacing w:before="0" w:after="0" w:line="360" w:lineRule="auto"/>
        <w:outlineLvl w:val="0"/>
        <w:rPr>
          <w:rFonts w:hint="eastAsia" w:ascii="宋体" w:hAnsi="宋体" w:eastAsia="宋体" w:cs="宋体"/>
          <w:sz w:val="24"/>
          <w:lang w:val="zh-CN"/>
        </w:rPr>
      </w:pPr>
      <w:r>
        <w:rPr>
          <w:rFonts w:hint="eastAsia" w:ascii="宋体" w:hAnsi="宋体" w:eastAsia="宋体" w:cs="宋体"/>
          <w:sz w:val="24"/>
          <w:lang w:val="zh-CN"/>
        </w:rPr>
        <w:t xml:space="preserve">                         </w:t>
      </w:r>
      <w:r>
        <w:rPr>
          <w:rFonts w:hint="eastAsia" w:ascii="宋体" w:hAnsi="宋体" w:eastAsia="宋体" w:cs="宋体"/>
          <w:b w:val="0"/>
          <w:bCs w:val="0"/>
          <w:sz w:val="24"/>
          <w:szCs w:val="20"/>
          <w:lang w:val="zh-CN" w:eastAsia="zh-CN" w:bidi="ar-SA"/>
        </w:rPr>
        <w:t xml:space="preserve">         日期：    年   月   日</w:t>
      </w:r>
    </w:p>
    <w:p w14:paraId="2A062CCF">
      <w:pPr>
        <w:pStyle w:val="79"/>
        <w:spacing w:before="0" w:beforeAutospacing="0" w:after="0" w:afterAutospacing="0" w:line="360" w:lineRule="auto"/>
        <w:ind w:firstLine="424" w:firstLineChars="177"/>
        <w:rPr>
          <w:rFonts w:hint="eastAsia" w:ascii="宋体" w:hAnsi="宋体" w:eastAsia="宋体" w:cs="宋体"/>
        </w:rPr>
      </w:pPr>
      <w:r>
        <w:rPr>
          <w:rFonts w:hint="eastAsia" w:ascii="宋体" w:hAnsi="宋体" w:eastAsia="宋体" w:cs="宋体"/>
        </w:rPr>
        <w:br w:type="page"/>
      </w:r>
    </w:p>
    <w:p w14:paraId="588081A5">
      <w:pPr>
        <w:pStyle w:val="19"/>
        <w:rPr>
          <w:rFonts w:hint="eastAsia" w:ascii="宋体" w:hAnsi="宋体" w:eastAsia="宋体" w:cs="宋体"/>
        </w:rPr>
        <w:sectPr>
          <w:pgSz w:w="11906" w:h="16838"/>
          <w:pgMar w:top="1840" w:right="1440" w:bottom="1440" w:left="1797" w:header="851" w:footer="850" w:gutter="0"/>
          <w:cols w:space="720" w:num="1"/>
          <w:docGrid w:type="lines" w:linePitch="312" w:charSpace="0"/>
        </w:sectPr>
      </w:pPr>
    </w:p>
    <w:p w14:paraId="4AD6BE48">
      <w:pPr>
        <w:pStyle w:val="4"/>
        <w:snapToGrid w:val="0"/>
        <w:spacing w:before="0" w:after="0" w:line="360" w:lineRule="auto"/>
        <w:outlineLvl w:val="0"/>
        <w:rPr>
          <w:rFonts w:hint="eastAsia" w:ascii="宋体" w:hAnsi="宋体" w:eastAsia="宋体" w:cs="宋体"/>
          <w:bCs w:val="0"/>
          <w:kern w:val="2"/>
          <w:sz w:val="30"/>
          <w:szCs w:val="30"/>
        </w:rPr>
      </w:pPr>
      <w:bookmarkStart w:id="125" w:name="_Toc8"/>
      <w:r>
        <w:rPr>
          <w:rFonts w:hint="eastAsia" w:ascii="宋体" w:hAnsi="宋体" w:eastAsia="宋体" w:cs="宋体"/>
          <w:bCs w:val="0"/>
          <w:kern w:val="2"/>
          <w:sz w:val="30"/>
          <w:szCs w:val="30"/>
        </w:rPr>
        <w:t>附件9：项目实施人员一览表</w:t>
      </w:r>
      <w:bookmarkEnd w:id="125"/>
    </w:p>
    <w:p w14:paraId="5A3215B0">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项目实施人员一览表</w:t>
      </w:r>
    </w:p>
    <w:p w14:paraId="0D182199">
      <w:pPr>
        <w:snapToGrid w:val="0"/>
        <w:spacing w:before="156" w:beforeLines="50" w:after="50" w:line="360" w:lineRule="auto"/>
        <w:jc w:val="center"/>
        <w:rPr>
          <w:rFonts w:hint="eastAsia" w:ascii="宋体" w:hAnsi="宋体" w:eastAsia="宋体" w:cs="宋体"/>
          <w:sz w:val="24"/>
        </w:rPr>
      </w:pPr>
      <w:r>
        <w:rPr>
          <w:rFonts w:hint="eastAsia" w:ascii="宋体" w:hAnsi="宋体" w:eastAsia="宋体" w:cs="宋体"/>
          <w:sz w:val="24"/>
        </w:rPr>
        <w:t>（主要从业人员及其技术资格）</w:t>
      </w:r>
    </w:p>
    <w:tbl>
      <w:tblPr>
        <w:tblStyle w:val="38"/>
        <w:tblW w:w="7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720"/>
        <w:gridCol w:w="1006"/>
        <w:gridCol w:w="904"/>
        <w:gridCol w:w="1230"/>
        <w:gridCol w:w="1600"/>
        <w:gridCol w:w="1326"/>
      </w:tblGrid>
      <w:tr w14:paraId="65B67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vAlign w:val="center"/>
          </w:tcPr>
          <w:p w14:paraId="42305AFE">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75CA78C6">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姓名</w:t>
            </w:r>
          </w:p>
        </w:tc>
        <w:tc>
          <w:tcPr>
            <w:tcW w:w="1006" w:type="dxa"/>
            <w:tcBorders>
              <w:top w:val="single" w:color="auto" w:sz="4" w:space="0"/>
              <w:left w:val="single" w:color="auto" w:sz="4" w:space="0"/>
              <w:bottom w:val="single" w:color="auto" w:sz="4" w:space="0"/>
              <w:right w:val="single" w:color="auto" w:sz="4" w:space="0"/>
            </w:tcBorders>
            <w:vAlign w:val="center"/>
          </w:tcPr>
          <w:p w14:paraId="27CAB74E">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职务</w:t>
            </w:r>
          </w:p>
        </w:tc>
        <w:tc>
          <w:tcPr>
            <w:tcW w:w="904" w:type="dxa"/>
            <w:tcBorders>
              <w:top w:val="single" w:color="auto" w:sz="4" w:space="0"/>
              <w:left w:val="single" w:color="auto" w:sz="4" w:space="0"/>
              <w:bottom w:val="single" w:color="auto" w:sz="4" w:space="0"/>
              <w:right w:val="single" w:color="auto" w:sz="4" w:space="0"/>
            </w:tcBorders>
            <w:vAlign w:val="center"/>
          </w:tcPr>
          <w:p w14:paraId="12ADBD4A">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职责</w:t>
            </w:r>
          </w:p>
        </w:tc>
        <w:tc>
          <w:tcPr>
            <w:tcW w:w="1230" w:type="dxa"/>
            <w:tcBorders>
              <w:top w:val="single" w:color="auto" w:sz="4" w:space="0"/>
              <w:left w:val="single" w:color="auto" w:sz="4" w:space="0"/>
              <w:bottom w:val="single" w:color="auto" w:sz="4" w:space="0"/>
              <w:right w:val="single" w:color="auto" w:sz="4" w:space="0"/>
            </w:tcBorders>
            <w:vAlign w:val="center"/>
          </w:tcPr>
          <w:p w14:paraId="340207AC">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24"/>
              </w:rPr>
              <w:t>学历</w:t>
            </w:r>
          </w:p>
        </w:tc>
        <w:tc>
          <w:tcPr>
            <w:tcW w:w="1600" w:type="dxa"/>
            <w:tcBorders>
              <w:top w:val="single" w:color="auto" w:sz="4" w:space="0"/>
              <w:left w:val="single" w:color="auto" w:sz="4" w:space="0"/>
              <w:bottom w:val="single" w:color="auto" w:sz="4" w:space="0"/>
              <w:right w:val="single" w:color="auto" w:sz="4" w:space="0"/>
            </w:tcBorders>
            <w:vAlign w:val="center"/>
          </w:tcPr>
          <w:p w14:paraId="2E9312EC">
            <w:pPr>
              <w:snapToGrid w:val="0"/>
              <w:spacing w:before="156" w:beforeLines="50" w:after="50" w:line="360" w:lineRule="auto"/>
              <w:jc w:val="center"/>
              <w:rPr>
                <w:rFonts w:hint="eastAsia" w:ascii="宋体" w:hAnsi="宋体" w:eastAsia="宋体" w:cs="宋体"/>
                <w:b/>
                <w:bCs/>
                <w:sz w:val="24"/>
              </w:rPr>
            </w:pPr>
            <w:r>
              <w:rPr>
                <w:rFonts w:hint="eastAsia" w:ascii="宋体" w:hAnsi="宋体" w:eastAsia="宋体" w:cs="宋体"/>
                <w:b/>
                <w:bCs/>
                <w:sz w:val="24"/>
              </w:rPr>
              <w:t>参加本岗位工作时间</w:t>
            </w:r>
          </w:p>
        </w:tc>
        <w:tc>
          <w:tcPr>
            <w:tcW w:w="1326" w:type="dxa"/>
            <w:tcBorders>
              <w:top w:val="single" w:color="auto" w:sz="4" w:space="0"/>
              <w:left w:val="single" w:color="auto" w:sz="4" w:space="0"/>
              <w:bottom w:val="single" w:color="auto" w:sz="4" w:space="0"/>
              <w:right w:val="single" w:color="auto" w:sz="4" w:space="0"/>
            </w:tcBorders>
            <w:vAlign w:val="center"/>
          </w:tcPr>
          <w:p w14:paraId="67A931AC">
            <w:pPr>
              <w:snapToGrid w:val="0"/>
              <w:spacing w:before="156" w:beforeLines="50" w:after="50" w:line="360" w:lineRule="auto"/>
              <w:jc w:val="center"/>
              <w:rPr>
                <w:rFonts w:hint="eastAsia" w:ascii="宋体" w:hAnsi="宋体" w:eastAsia="宋体" w:cs="宋体"/>
                <w:b/>
                <w:bCs/>
                <w:sz w:val="24"/>
              </w:rPr>
            </w:pPr>
            <w:r>
              <w:rPr>
                <w:rFonts w:hint="eastAsia" w:ascii="宋体" w:hAnsi="宋体" w:eastAsia="宋体" w:cs="宋体"/>
                <w:b/>
                <w:sz w:val="24"/>
              </w:rPr>
              <w:t>专业技术资格</w:t>
            </w:r>
          </w:p>
        </w:tc>
      </w:tr>
      <w:tr w14:paraId="6EE32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53B451A7">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55EC6D00">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79508D2A">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31F5325F">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78BE169B">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13C7AD2B">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783FDDD1">
            <w:pPr>
              <w:snapToGrid w:val="0"/>
              <w:spacing w:before="156" w:beforeLines="50" w:after="50" w:line="360" w:lineRule="auto"/>
              <w:rPr>
                <w:rFonts w:hint="eastAsia" w:ascii="宋体" w:hAnsi="宋体" w:eastAsia="宋体" w:cs="宋体"/>
                <w:b/>
                <w:kern w:val="44"/>
                <w:sz w:val="24"/>
              </w:rPr>
            </w:pPr>
          </w:p>
        </w:tc>
      </w:tr>
      <w:tr w14:paraId="38DEA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3709C849">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7CBD59DF">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58FB5288">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3CFA2728">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369658DC">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22690CC6">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2A16D49C">
            <w:pPr>
              <w:snapToGrid w:val="0"/>
              <w:spacing w:before="156" w:beforeLines="50" w:after="50" w:line="360" w:lineRule="auto"/>
              <w:rPr>
                <w:rFonts w:hint="eastAsia" w:ascii="宋体" w:hAnsi="宋体" w:eastAsia="宋体" w:cs="宋体"/>
                <w:b/>
                <w:kern w:val="44"/>
                <w:sz w:val="24"/>
              </w:rPr>
            </w:pPr>
          </w:p>
        </w:tc>
      </w:tr>
      <w:tr w14:paraId="0F934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6CB20074">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2BC80D16">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5AE2C2CD">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5A93F0D3">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27565E33">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52BA20CF">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09EC1688">
            <w:pPr>
              <w:snapToGrid w:val="0"/>
              <w:spacing w:before="156" w:beforeLines="50" w:after="50" w:line="360" w:lineRule="auto"/>
              <w:rPr>
                <w:rFonts w:hint="eastAsia" w:ascii="宋体" w:hAnsi="宋体" w:eastAsia="宋体" w:cs="宋体"/>
                <w:b/>
                <w:kern w:val="44"/>
                <w:sz w:val="24"/>
              </w:rPr>
            </w:pPr>
          </w:p>
        </w:tc>
      </w:tr>
      <w:tr w14:paraId="6E448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5948B21C">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5D9A1BCD">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2725110A">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02684390">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110112F1">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71FD95AE">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4CE87E6B">
            <w:pPr>
              <w:snapToGrid w:val="0"/>
              <w:spacing w:before="156" w:beforeLines="50" w:after="50" w:line="360" w:lineRule="auto"/>
              <w:rPr>
                <w:rFonts w:hint="eastAsia" w:ascii="宋体" w:hAnsi="宋体" w:eastAsia="宋体" w:cs="宋体"/>
                <w:b/>
                <w:kern w:val="44"/>
                <w:sz w:val="24"/>
              </w:rPr>
            </w:pPr>
          </w:p>
        </w:tc>
      </w:tr>
      <w:tr w14:paraId="55128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7" w:type="dxa"/>
            <w:tcBorders>
              <w:top w:val="single" w:color="auto" w:sz="4" w:space="0"/>
              <w:left w:val="single" w:color="auto" w:sz="4" w:space="0"/>
              <w:bottom w:val="single" w:color="auto" w:sz="4" w:space="0"/>
              <w:right w:val="single" w:color="auto" w:sz="4" w:space="0"/>
            </w:tcBorders>
          </w:tcPr>
          <w:p w14:paraId="134A9DEB">
            <w:pPr>
              <w:snapToGrid w:val="0"/>
              <w:spacing w:before="156" w:beforeLines="50" w:after="50" w:line="360" w:lineRule="auto"/>
              <w:rPr>
                <w:rFonts w:hint="eastAsia" w:ascii="宋体" w:hAnsi="宋体" w:eastAsia="宋体" w:cs="宋体"/>
                <w:sz w:val="24"/>
              </w:rPr>
            </w:pPr>
          </w:p>
        </w:tc>
        <w:tc>
          <w:tcPr>
            <w:tcW w:w="720" w:type="dxa"/>
            <w:tcBorders>
              <w:top w:val="single" w:color="auto" w:sz="4" w:space="0"/>
              <w:left w:val="single" w:color="auto" w:sz="4" w:space="0"/>
              <w:bottom w:val="single" w:color="auto" w:sz="4" w:space="0"/>
              <w:right w:val="single" w:color="auto" w:sz="4" w:space="0"/>
            </w:tcBorders>
          </w:tcPr>
          <w:p w14:paraId="7C17903C">
            <w:pPr>
              <w:snapToGrid w:val="0"/>
              <w:spacing w:before="156" w:beforeLines="50" w:after="50" w:line="360" w:lineRule="auto"/>
              <w:rPr>
                <w:rFonts w:hint="eastAsia" w:ascii="宋体" w:hAnsi="宋体" w:eastAsia="宋体" w:cs="宋体"/>
                <w:b/>
                <w:kern w:val="44"/>
                <w:sz w:val="24"/>
              </w:rPr>
            </w:pPr>
          </w:p>
        </w:tc>
        <w:tc>
          <w:tcPr>
            <w:tcW w:w="1006" w:type="dxa"/>
            <w:tcBorders>
              <w:top w:val="single" w:color="auto" w:sz="4" w:space="0"/>
              <w:left w:val="single" w:color="auto" w:sz="4" w:space="0"/>
              <w:bottom w:val="single" w:color="auto" w:sz="4" w:space="0"/>
              <w:right w:val="single" w:color="auto" w:sz="4" w:space="0"/>
            </w:tcBorders>
          </w:tcPr>
          <w:p w14:paraId="3C2B44BB">
            <w:pPr>
              <w:snapToGrid w:val="0"/>
              <w:spacing w:before="156" w:beforeLines="50" w:after="50" w:line="360" w:lineRule="auto"/>
              <w:rPr>
                <w:rFonts w:hint="eastAsia" w:ascii="宋体" w:hAnsi="宋体" w:eastAsia="宋体" w:cs="宋体"/>
                <w:b/>
                <w:kern w:val="44"/>
                <w:sz w:val="24"/>
              </w:rPr>
            </w:pPr>
          </w:p>
        </w:tc>
        <w:tc>
          <w:tcPr>
            <w:tcW w:w="904" w:type="dxa"/>
            <w:tcBorders>
              <w:top w:val="single" w:color="auto" w:sz="4" w:space="0"/>
              <w:left w:val="single" w:color="auto" w:sz="4" w:space="0"/>
              <w:bottom w:val="single" w:color="auto" w:sz="4" w:space="0"/>
              <w:right w:val="single" w:color="auto" w:sz="4" w:space="0"/>
            </w:tcBorders>
          </w:tcPr>
          <w:p w14:paraId="1A85E5F6">
            <w:pPr>
              <w:snapToGrid w:val="0"/>
              <w:spacing w:before="156" w:beforeLines="50" w:after="50" w:line="360" w:lineRule="auto"/>
              <w:rPr>
                <w:rFonts w:hint="eastAsia" w:ascii="宋体" w:hAnsi="宋体" w:eastAsia="宋体" w:cs="宋体"/>
                <w:b/>
                <w:kern w:val="44"/>
                <w:sz w:val="24"/>
              </w:rPr>
            </w:pPr>
          </w:p>
        </w:tc>
        <w:tc>
          <w:tcPr>
            <w:tcW w:w="1230" w:type="dxa"/>
            <w:tcBorders>
              <w:top w:val="single" w:color="auto" w:sz="4" w:space="0"/>
              <w:left w:val="single" w:color="auto" w:sz="4" w:space="0"/>
              <w:bottom w:val="single" w:color="auto" w:sz="4" w:space="0"/>
              <w:right w:val="single" w:color="auto" w:sz="4" w:space="0"/>
            </w:tcBorders>
          </w:tcPr>
          <w:p w14:paraId="220C66AF">
            <w:pPr>
              <w:snapToGrid w:val="0"/>
              <w:spacing w:before="156" w:beforeLines="50" w:after="50" w:line="360" w:lineRule="auto"/>
              <w:rPr>
                <w:rFonts w:hint="eastAsia" w:ascii="宋体" w:hAnsi="宋体" w:eastAsia="宋体" w:cs="宋体"/>
                <w:b/>
                <w:kern w:val="44"/>
                <w:sz w:val="24"/>
              </w:rPr>
            </w:pPr>
          </w:p>
        </w:tc>
        <w:tc>
          <w:tcPr>
            <w:tcW w:w="1600" w:type="dxa"/>
            <w:tcBorders>
              <w:top w:val="single" w:color="auto" w:sz="4" w:space="0"/>
              <w:left w:val="single" w:color="auto" w:sz="4" w:space="0"/>
              <w:bottom w:val="single" w:color="auto" w:sz="4" w:space="0"/>
              <w:right w:val="single" w:color="auto" w:sz="4" w:space="0"/>
            </w:tcBorders>
          </w:tcPr>
          <w:p w14:paraId="25065FC0">
            <w:pPr>
              <w:snapToGrid w:val="0"/>
              <w:spacing w:before="156" w:beforeLines="50" w:after="50" w:line="360" w:lineRule="auto"/>
              <w:rPr>
                <w:rFonts w:hint="eastAsia" w:ascii="宋体" w:hAnsi="宋体" w:eastAsia="宋体" w:cs="宋体"/>
                <w:b/>
                <w:kern w:val="44"/>
                <w:sz w:val="24"/>
              </w:rPr>
            </w:pPr>
          </w:p>
        </w:tc>
        <w:tc>
          <w:tcPr>
            <w:tcW w:w="1326" w:type="dxa"/>
            <w:tcBorders>
              <w:top w:val="single" w:color="auto" w:sz="4" w:space="0"/>
              <w:left w:val="single" w:color="auto" w:sz="4" w:space="0"/>
              <w:bottom w:val="single" w:color="auto" w:sz="4" w:space="0"/>
              <w:right w:val="single" w:color="auto" w:sz="4" w:space="0"/>
            </w:tcBorders>
          </w:tcPr>
          <w:p w14:paraId="536ADFC4">
            <w:pPr>
              <w:snapToGrid w:val="0"/>
              <w:spacing w:before="156" w:beforeLines="50" w:after="50" w:line="360" w:lineRule="auto"/>
              <w:rPr>
                <w:rFonts w:hint="eastAsia" w:ascii="宋体" w:hAnsi="宋体" w:eastAsia="宋体" w:cs="宋体"/>
                <w:b/>
                <w:kern w:val="44"/>
                <w:sz w:val="24"/>
              </w:rPr>
            </w:pPr>
          </w:p>
        </w:tc>
      </w:tr>
    </w:tbl>
    <w:p w14:paraId="5B6A2924">
      <w:pPr>
        <w:spacing w:line="360" w:lineRule="auto"/>
        <w:rPr>
          <w:rFonts w:hint="eastAsia" w:ascii="宋体" w:hAnsi="宋体" w:eastAsia="宋体" w:cs="宋体"/>
          <w:b/>
          <w:sz w:val="24"/>
          <w:szCs w:val="24"/>
        </w:rPr>
      </w:pPr>
      <w:r>
        <w:rPr>
          <w:rFonts w:hint="eastAsia" w:ascii="宋体" w:hAnsi="宋体" w:eastAsia="宋体" w:cs="宋体"/>
          <w:b/>
          <w:sz w:val="24"/>
          <w:szCs w:val="24"/>
        </w:rPr>
        <w:t>要求：</w:t>
      </w:r>
    </w:p>
    <w:p w14:paraId="1AC328DB">
      <w:pPr>
        <w:spacing w:line="360" w:lineRule="auto"/>
        <w:ind w:left="437"/>
        <w:rPr>
          <w:rFonts w:hint="eastAsia" w:ascii="宋体" w:hAnsi="宋体" w:eastAsia="宋体" w:cs="宋体"/>
          <w:bCs/>
          <w:sz w:val="24"/>
          <w:szCs w:val="24"/>
        </w:rPr>
      </w:pPr>
      <w:r>
        <w:rPr>
          <w:rFonts w:hint="eastAsia" w:ascii="宋体" w:hAnsi="宋体" w:eastAsia="宋体" w:cs="宋体"/>
          <w:bCs/>
          <w:sz w:val="24"/>
          <w:szCs w:val="24"/>
        </w:rPr>
        <w:t>1.在填写时，如本表格不适合供应商的实际情况，可根据本表格式自行划表填写。</w:t>
      </w:r>
    </w:p>
    <w:p w14:paraId="3500BD1E">
      <w:pPr>
        <w:pStyle w:val="75"/>
        <w:spacing w:line="360" w:lineRule="auto"/>
        <w:ind w:left="404" w:leftChars="202"/>
        <w:rPr>
          <w:rFonts w:hint="eastAsia" w:ascii="宋体" w:hAnsi="宋体" w:eastAsia="宋体" w:cs="宋体"/>
          <w:bCs/>
          <w:sz w:val="24"/>
        </w:rPr>
      </w:pPr>
      <w:r>
        <w:rPr>
          <w:rFonts w:hint="eastAsia" w:ascii="宋体" w:hAnsi="宋体" w:eastAsia="宋体" w:cs="宋体"/>
          <w:bCs/>
          <w:sz w:val="24"/>
        </w:rPr>
        <w:t>2.附投标人为其缴纳的社保证明及招标文件要求提供的相关证明材料扫描件（如人员学历证书、专业证书、职称证书等）。</w:t>
      </w:r>
    </w:p>
    <w:p w14:paraId="40460DD3">
      <w:pPr>
        <w:spacing w:line="360" w:lineRule="auto"/>
        <w:ind w:left="420"/>
        <w:rPr>
          <w:rFonts w:hint="eastAsia" w:ascii="宋体" w:hAnsi="宋体" w:eastAsia="宋体" w:cs="宋体"/>
          <w:sz w:val="24"/>
          <w:szCs w:val="24"/>
        </w:rPr>
      </w:pPr>
    </w:p>
    <w:p w14:paraId="6F8F8702">
      <w:pPr>
        <w:adjustRightInd w:val="0"/>
        <w:snapToGrid w:val="0"/>
        <w:spacing w:line="360" w:lineRule="auto"/>
        <w:ind w:firstLine="4680" w:firstLineChars="1950"/>
        <w:rPr>
          <w:rFonts w:hint="eastAsia" w:ascii="宋体" w:hAnsi="宋体" w:eastAsia="宋体" w:cs="宋体"/>
          <w:sz w:val="24"/>
          <w:lang w:val="zh-CN"/>
        </w:rPr>
      </w:pPr>
      <w:r>
        <w:rPr>
          <w:rFonts w:hint="eastAsia" w:ascii="宋体" w:hAnsi="宋体" w:eastAsia="宋体" w:cs="宋体"/>
          <w:sz w:val="24"/>
          <w:lang w:val="zh-CN"/>
        </w:rPr>
        <w:t>供应商名称（公章）：</w:t>
      </w:r>
    </w:p>
    <w:p w14:paraId="51746461">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法定代表人（单位负责人）或授权委托人（签字或盖章）：</w:t>
      </w:r>
    </w:p>
    <w:p w14:paraId="2747C5F9">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日期：    年   月   日</w:t>
      </w:r>
    </w:p>
    <w:p w14:paraId="1209DA3A">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br w:type="page"/>
      </w:r>
    </w:p>
    <w:p w14:paraId="6C068104">
      <w:pPr>
        <w:pStyle w:val="4"/>
        <w:snapToGrid w:val="0"/>
        <w:spacing w:before="0" w:after="0" w:line="360" w:lineRule="auto"/>
        <w:outlineLvl w:val="0"/>
        <w:rPr>
          <w:rFonts w:hint="eastAsia" w:ascii="宋体" w:hAnsi="宋体" w:eastAsia="宋体" w:cs="宋体"/>
          <w:bCs w:val="0"/>
          <w:kern w:val="2"/>
          <w:sz w:val="30"/>
          <w:szCs w:val="30"/>
        </w:rPr>
      </w:pPr>
      <w:bookmarkStart w:id="126" w:name="_Toc20836"/>
      <w:r>
        <w:rPr>
          <w:rFonts w:hint="eastAsia" w:ascii="宋体" w:hAnsi="宋体" w:eastAsia="宋体" w:cs="宋体"/>
          <w:bCs w:val="0"/>
          <w:kern w:val="2"/>
          <w:sz w:val="30"/>
          <w:szCs w:val="30"/>
        </w:rPr>
        <w:t>附件10：项目负责人情况表</w:t>
      </w:r>
      <w:bookmarkEnd w:id="126"/>
    </w:p>
    <w:p w14:paraId="028E6B5B">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项目负责人资格情况表</w:t>
      </w:r>
    </w:p>
    <w:p w14:paraId="0CE6292D">
      <w:pPr>
        <w:spacing w:line="360" w:lineRule="auto"/>
        <w:rPr>
          <w:rFonts w:hint="eastAsia" w:ascii="宋体" w:hAnsi="宋体" w:eastAsia="宋体" w:cs="宋体"/>
          <w:sz w:val="24"/>
          <w:szCs w:val="24"/>
        </w:rPr>
      </w:pPr>
      <w:r>
        <w:rPr>
          <w:rFonts w:hint="eastAsia" w:ascii="宋体" w:hAnsi="宋体" w:eastAsia="宋体" w:cs="宋体"/>
          <w:sz w:val="24"/>
          <w:szCs w:val="24"/>
        </w:rPr>
        <w:t>项目名称：                                 项目编号：</w:t>
      </w:r>
    </w:p>
    <w:tbl>
      <w:tblPr>
        <w:tblStyle w:val="3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3054"/>
        <w:gridCol w:w="3793"/>
      </w:tblGrid>
      <w:tr w14:paraId="47E8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031" w:type="dxa"/>
            <w:tcBorders>
              <w:top w:val="single" w:color="auto" w:sz="12" w:space="0"/>
              <w:left w:val="single" w:color="auto" w:sz="12" w:space="0"/>
              <w:bottom w:val="single" w:color="auto" w:sz="4" w:space="0"/>
              <w:right w:val="single" w:color="auto" w:sz="4" w:space="0"/>
            </w:tcBorders>
            <w:vAlign w:val="center"/>
          </w:tcPr>
          <w:p w14:paraId="2167BAD8">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姓名</w:t>
            </w:r>
          </w:p>
        </w:tc>
        <w:tc>
          <w:tcPr>
            <w:tcW w:w="3054" w:type="dxa"/>
            <w:tcBorders>
              <w:top w:val="single" w:color="auto" w:sz="12" w:space="0"/>
              <w:left w:val="single" w:color="auto" w:sz="4" w:space="0"/>
              <w:bottom w:val="single" w:color="auto" w:sz="4" w:space="0"/>
              <w:right w:val="single" w:color="auto" w:sz="4" w:space="0"/>
            </w:tcBorders>
            <w:vAlign w:val="center"/>
          </w:tcPr>
          <w:p w14:paraId="28F17279">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tcBorders>
              <w:top w:val="single" w:color="auto" w:sz="12" w:space="0"/>
              <w:left w:val="single" w:color="auto" w:sz="4" w:space="0"/>
              <w:bottom w:val="single" w:color="auto" w:sz="4" w:space="0"/>
              <w:right w:val="single" w:color="auto" w:sz="12" w:space="0"/>
            </w:tcBorders>
            <w:vAlign w:val="center"/>
          </w:tcPr>
          <w:p w14:paraId="10561918">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近年来主要工作业绩</w:t>
            </w:r>
          </w:p>
        </w:tc>
      </w:tr>
      <w:tr w14:paraId="7B8B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7061D885">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性别</w:t>
            </w:r>
          </w:p>
        </w:tc>
        <w:tc>
          <w:tcPr>
            <w:tcW w:w="3054" w:type="dxa"/>
            <w:tcBorders>
              <w:top w:val="single" w:color="auto" w:sz="4" w:space="0"/>
              <w:left w:val="single" w:color="auto" w:sz="4" w:space="0"/>
              <w:bottom w:val="single" w:color="auto" w:sz="4" w:space="0"/>
              <w:right w:val="single" w:color="auto" w:sz="4" w:space="0"/>
            </w:tcBorders>
            <w:vAlign w:val="center"/>
          </w:tcPr>
          <w:p w14:paraId="4256194E">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restart"/>
            <w:tcBorders>
              <w:top w:val="single" w:color="auto" w:sz="4" w:space="0"/>
              <w:left w:val="single" w:color="auto" w:sz="4" w:space="0"/>
              <w:bottom w:val="single" w:color="auto" w:sz="4" w:space="0"/>
              <w:right w:val="single" w:color="auto" w:sz="12" w:space="0"/>
            </w:tcBorders>
            <w:vAlign w:val="center"/>
          </w:tcPr>
          <w:p w14:paraId="0FECB7B2">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578F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68A069CE">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年龄</w:t>
            </w:r>
          </w:p>
        </w:tc>
        <w:tc>
          <w:tcPr>
            <w:tcW w:w="3054" w:type="dxa"/>
            <w:tcBorders>
              <w:top w:val="single" w:color="auto" w:sz="4" w:space="0"/>
              <w:left w:val="single" w:color="auto" w:sz="4" w:space="0"/>
              <w:bottom w:val="single" w:color="auto" w:sz="4" w:space="0"/>
              <w:right w:val="single" w:color="auto" w:sz="4" w:space="0"/>
            </w:tcBorders>
            <w:vAlign w:val="center"/>
          </w:tcPr>
          <w:p w14:paraId="40D91C4E">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65FD58D8">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1C09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068B4715">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职称</w:t>
            </w:r>
          </w:p>
        </w:tc>
        <w:tc>
          <w:tcPr>
            <w:tcW w:w="3054" w:type="dxa"/>
            <w:tcBorders>
              <w:top w:val="single" w:color="auto" w:sz="4" w:space="0"/>
              <w:left w:val="single" w:color="auto" w:sz="4" w:space="0"/>
              <w:bottom w:val="single" w:color="auto" w:sz="4" w:space="0"/>
              <w:right w:val="single" w:color="auto" w:sz="4" w:space="0"/>
            </w:tcBorders>
            <w:vAlign w:val="center"/>
          </w:tcPr>
          <w:p w14:paraId="6D7D3C3D">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0693650D">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158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50A25120">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毕业时间</w:t>
            </w:r>
          </w:p>
        </w:tc>
        <w:tc>
          <w:tcPr>
            <w:tcW w:w="3054" w:type="dxa"/>
            <w:tcBorders>
              <w:top w:val="single" w:color="auto" w:sz="4" w:space="0"/>
              <w:left w:val="single" w:color="auto" w:sz="4" w:space="0"/>
              <w:bottom w:val="single" w:color="auto" w:sz="4" w:space="0"/>
              <w:right w:val="single" w:color="auto" w:sz="4" w:space="0"/>
            </w:tcBorders>
            <w:vAlign w:val="center"/>
          </w:tcPr>
          <w:p w14:paraId="421DD946">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456B81ED">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47B1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6E43C4E8">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学校专业</w:t>
            </w:r>
          </w:p>
        </w:tc>
        <w:tc>
          <w:tcPr>
            <w:tcW w:w="3054" w:type="dxa"/>
            <w:tcBorders>
              <w:top w:val="single" w:color="auto" w:sz="4" w:space="0"/>
              <w:left w:val="single" w:color="auto" w:sz="4" w:space="0"/>
              <w:bottom w:val="single" w:color="auto" w:sz="4" w:space="0"/>
              <w:right w:val="single" w:color="auto" w:sz="4" w:space="0"/>
            </w:tcBorders>
            <w:vAlign w:val="center"/>
          </w:tcPr>
          <w:p w14:paraId="06185243">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4EED81FD">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4142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31" w:type="dxa"/>
            <w:tcBorders>
              <w:top w:val="single" w:color="auto" w:sz="4" w:space="0"/>
              <w:left w:val="single" w:color="auto" w:sz="12" w:space="0"/>
              <w:bottom w:val="single" w:color="auto" w:sz="4" w:space="0"/>
              <w:right w:val="single" w:color="auto" w:sz="4" w:space="0"/>
            </w:tcBorders>
            <w:vAlign w:val="center"/>
          </w:tcPr>
          <w:p w14:paraId="129343B8">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联系电话</w:t>
            </w:r>
          </w:p>
        </w:tc>
        <w:tc>
          <w:tcPr>
            <w:tcW w:w="3054" w:type="dxa"/>
            <w:tcBorders>
              <w:top w:val="single" w:color="auto" w:sz="4" w:space="0"/>
              <w:left w:val="single" w:color="auto" w:sz="4" w:space="0"/>
              <w:bottom w:val="single" w:color="auto" w:sz="4" w:space="0"/>
              <w:right w:val="single" w:color="auto" w:sz="4" w:space="0"/>
            </w:tcBorders>
            <w:vAlign w:val="center"/>
          </w:tcPr>
          <w:p w14:paraId="77E9E9F0">
            <w:pPr>
              <w:autoSpaceDE w:val="0"/>
              <w:autoSpaceDN w:val="0"/>
              <w:adjustRightInd w:val="0"/>
              <w:snapToGrid w:val="0"/>
              <w:spacing w:line="360" w:lineRule="auto"/>
              <w:jc w:val="center"/>
              <w:rPr>
                <w:rFonts w:hint="eastAsia" w:ascii="宋体" w:hAnsi="宋体" w:eastAsia="宋体" w:cs="宋体"/>
                <w:sz w:val="24"/>
                <w:szCs w:val="24"/>
                <w:lang w:val="zh-CN"/>
              </w:rPr>
            </w:pPr>
          </w:p>
        </w:tc>
        <w:tc>
          <w:tcPr>
            <w:tcW w:w="3793" w:type="dxa"/>
            <w:vMerge w:val="continue"/>
            <w:tcBorders>
              <w:top w:val="single" w:color="auto" w:sz="4" w:space="0"/>
              <w:left w:val="single" w:color="auto" w:sz="4" w:space="0"/>
              <w:bottom w:val="single" w:color="auto" w:sz="4" w:space="0"/>
              <w:right w:val="single" w:color="auto" w:sz="12" w:space="0"/>
            </w:tcBorders>
            <w:vAlign w:val="center"/>
          </w:tcPr>
          <w:p w14:paraId="07A4F6F8">
            <w:pPr>
              <w:autoSpaceDE w:val="0"/>
              <w:autoSpaceDN w:val="0"/>
              <w:adjustRightInd w:val="0"/>
              <w:snapToGrid w:val="0"/>
              <w:spacing w:line="360" w:lineRule="auto"/>
              <w:jc w:val="center"/>
              <w:rPr>
                <w:rFonts w:hint="eastAsia" w:ascii="宋体" w:hAnsi="宋体" w:eastAsia="宋体" w:cs="宋体"/>
                <w:sz w:val="24"/>
                <w:szCs w:val="24"/>
                <w:lang w:val="zh-CN"/>
              </w:rPr>
            </w:pPr>
          </w:p>
        </w:tc>
      </w:tr>
      <w:tr w14:paraId="3BEF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031" w:type="dxa"/>
            <w:tcBorders>
              <w:top w:val="single" w:color="auto" w:sz="4" w:space="0"/>
              <w:left w:val="single" w:color="auto" w:sz="12" w:space="0"/>
              <w:bottom w:val="single" w:color="auto" w:sz="12" w:space="0"/>
              <w:right w:val="single" w:color="auto" w:sz="4" w:space="0"/>
            </w:tcBorders>
            <w:vAlign w:val="center"/>
          </w:tcPr>
          <w:p w14:paraId="10F05ED2">
            <w:pPr>
              <w:autoSpaceDE w:val="0"/>
              <w:autoSpaceDN w:val="0"/>
              <w:adjustRightInd w:val="0"/>
              <w:snapToGrid w:val="0"/>
              <w:spacing w:line="360" w:lineRule="auto"/>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拟在本项目中担任主要工作</w:t>
            </w:r>
          </w:p>
        </w:tc>
        <w:tc>
          <w:tcPr>
            <w:tcW w:w="6847" w:type="dxa"/>
            <w:gridSpan w:val="2"/>
            <w:tcBorders>
              <w:top w:val="single" w:color="auto" w:sz="4" w:space="0"/>
              <w:left w:val="single" w:color="auto" w:sz="4" w:space="0"/>
              <w:bottom w:val="single" w:color="auto" w:sz="12" w:space="0"/>
              <w:right w:val="single" w:color="auto" w:sz="12" w:space="0"/>
            </w:tcBorders>
            <w:vAlign w:val="center"/>
          </w:tcPr>
          <w:p w14:paraId="2DFFB02D">
            <w:pPr>
              <w:autoSpaceDE w:val="0"/>
              <w:autoSpaceDN w:val="0"/>
              <w:adjustRightInd w:val="0"/>
              <w:snapToGrid w:val="0"/>
              <w:spacing w:line="360" w:lineRule="auto"/>
              <w:jc w:val="center"/>
              <w:rPr>
                <w:rFonts w:hint="eastAsia" w:ascii="宋体" w:hAnsi="宋体" w:eastAsia="宋体" w:cs="宋体"/>
                <w:sz w:val="24"/>
                <w:szCs w:val="24"/>
                <w:lang w:val="zh-CN"/>
              </w:rPr>
            </w:pPr>
          </w:p>
        </w:tc>
      </w:tr>
    </w:tbl>
    <w:p w14:paraId="447446F9">
      <w:pPr>
        <w:spacing w:line="360" w:lineRule="auto"/>
        <w:ind w:left="420"/>
        <w:rPr>
          <w:rFonts w:hint="eastAsia" w:ascii="宋体" w:hAnsi="宋体" w:eastAsia="宋体" w:cs="宋体"/>
          <w:sz w:val="24"/>
          <w:szCs w:val="24"/>
        </w:rPr>
      </w:pPr>
    </w:p>
    <w:p w14:paraId="54CD75FC">
      <w:pPr>
        <w:adjustRightInd w:val="0"/>
        <w:snapToGrid w:val="0"/>
        <w:spacing w:line="360" w:lineRule="auto"/>
        <w:ind w:firstLine="4680" w:firstLineChars="1950"/>
        <w:rPr>
          <w:rFonts w:hint="eastAsia" w:ascii="宋体" w:hAnsi="宋体" w:eastAsia="宋体" w:cs="宋体"/>
          <w:sz w:val="24"/>
          <w:lang w:val="zh-CN"/>
        </w:rPr>
      </w:pPr>
      <w:r>
        <w:rPr>
          <w:rFonts w:hint="eastAsia" w:ascii="宋体" w:hAnsi="宋体" w:eastAsia="宋体" w:cs="宋体"/>
          <w:sz w:val="24"/>
          <w:lang w:val="zh-CN"/>
        </w:rPr>
        <w:t>供应商名称（公章）：</w:t>
      </w:r>
    </w:p>
    <w:p w14:paraId="67D54ADA">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法定代表人（单位负责人）或授权委托人（签字或盖章）：</w:t>
      </w:r>
    </w:p>
    <w:p w14:paraId="2A0A3680">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日期：    年   月   日</w:t>
      </w:r>
    </w:p>
    <w:p w14:paraId="7280A725">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06991DE">
      <w:pPr>
        <w:pStyle w:val="4"/>
        <w:snapToGrid w:val="0"/>
        <w:spacing w:before="0" w:after="0" w:line="360" w:lineRule="auto"/>
        <w:outlineLvl w:val="0"/>
        <w:rPr>
          <w:rFonts w:hint="eastAsia" w:ascii="宋体" w:hAnsi="宋体" w:eastAsia="宋体" w:cs="宋体"/>
          <w:bCs w:val="0"/>
          <w:kern w:val="2"/>
          <w:sz w:val="30"/>
          <w:szCs w:val="30"/>
        </w:rPr>
      </w:pPr>
      <w:bookmarkStart w:id="127" w:name="_Toc1718"/>
      <w:r>
        <w:rPr>
          <w:rFonts w:hint="eastAsia" w:ascii="宋体" w:hAnsi="宋体" w:eastAsia="宋体" w:cs="宋体"/>
          <w:bCs w:val="0"/>
          <w:kern w:val="2"/>
          <w:sz w:val="30"/>
          <w:szCs w:val="30"/>
        </w:rPr>
        <w:t>附件11：售后服务情况表</w:t>
      </w:r>
      <w:bookmarkEnd w:id="127"/>
    </w:p>
    <w:p w14:paraId="77D78508">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售后服务情况表</w:t>
      </w:r>
    </w:p>
    <w:tbl>
      <w:tblPr>
        <w:tblStyle w:val="3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88CE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11F10DAD">
            <w:pPr>
              <w:pStyle w:val="84"/>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2355" w:type="dxa"/>
            <w:vAlign w:val="center"/>
          </w:tcPr>
          <w:p w14:paraId="336B33DD">
            <w:pPr>
              <w:pStyle w:val="84"/>
              <w:spacing w:line="360" w:lineRule="auto"/>
              <w:jc w:val="center"/>
              <w:rPr>
                <w:rFonts w:hint="eastAsia" w:ascii="宋体" w:hAnsi="宋体" w:eastAsia="宋体" w:cs="宋体"/>
                <w:b/>
                <w:sz w:val="24"/>
              </w:rPr>
            </w:pPr>
            <w:r>
              <w:rPr>
                <w:rFonts w:hint="eastAsia" w:ascii="宋体" w:hAnsi="宋体" w:eastAsia="宋体" w:cs="宋体"/>
                <w:b/>
                <w:sz w:val="24"/>
              </w:rPr>
              <w:t>内容</w:t>
            </w:r>
          </w:p>
        </w:tc>
        <w:tc>
          <w:tcPr>
            <w:tcW w:w="4061" w:type="dxa"/>
            <w:vAlign w:val="center"/>
          </w:tcPr>
          <w:p w14:paraId="062BFBC5">
            <w:pPr>
              <w:pStyle w:val="84"/>
              <w:spacing w:line="360" w:lineRule="auto"/>
              <w:jc w:val="center"/>
              <w:rPr>
                <w:rFonts w:hint="eastAsia" w:ascii="宋体" w:hAnsi="宋体" w:eastAsia="宋体" w:cs="宋体"/>
                <w:b/>
                <w:sz w:val="24"/>
              </w:rPr>
            </w:pPr>
            <w:r>
              <w:rPr>
                <w:rFonts w:hint="eastAsia" w:ascii="宋体" w:hAnsi="宋体" w:eastAsia="宋体" w:cs="宋体"/>
                <w:b/>
                <w:sz w:val="24"/>
              </w:rPr>
              <w:t>磋商供应商承诺</w:t>
            </w:r>
          </w:p>
        </w:tc>
        <w:tc>
          <w:tcPr>
            <w:tcW w:w="1373" w:type="dxa"/>
            <w:vAlign w:val="center"/>
          </w:tcPr>
          <w:p w14:paraId="3808B23C">
            <w:pPr>
              <w:pStyle w:val="84"/>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71ADAA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C45739A">
            <w:pPr>
              <w:pStyle w:val="84"/>
              <w:spacing w:line="360" w:lineRule="auto"/>
              <w:jc w:val="center"/>
              <w:rPr>
                <w:rFonts w:hint="eastAsia" w:ascii="宋体" w:hAnsi="宋体" w:eastAsia="宋体" w:cs="宋体"/>
                <w:bCs/>
                <w:sz w:val="24"/>
              </w:rPr>
            </w:pPr>
            <w:r>
              <w:rPr>
                <w:rFonts w:hint="eastAsia" w:ascii="宋体" w:hAnsi="宋体" w:eastAsia="宋体" w:cs="宋体"/>
                <w:bCs/>
                <w:sz w:val="24"/>
              </w:rPr>
              <w:t>1</w:t>
            </w:r>
          </w:p>
        </w:tc>
        <w:tc>
          <w:tcPr>
            <w:tcW w:w="2355" w:type="dxa"/>
            <w:vMerge w:val="restart"/>
            <w:vAlign w:val="center"/>
          </w:tcPr>
          <w:p w14:paraId="70CE3132">
            <w:pPr>
              <w:pStyle w:val="84"/>
              <w:widowControl/>
              <w:spacing w:line="360" w:lineRule="auto"/>
              <w:jc w:val="left"/>
              <w:rPr>
                <w:rFonts w:hint="eastAsia" w:ascii="宋体" w:hAnsi="宋体" w:eastAsia="宋体" w:cs="宋体"/>
                <w:bCs/>
                <w:sz w:val="24"/>
              </w:rPr>
            </w:pPr>
            <w:r>
              <w:rPr>
                <w:rFonts w:hint="eastAsia" w:ascii="宋体" w:hAnsi="宋体" w:eastAsia="宋体" w:cs="宋体"/>
                <w:bCs/>
                <w:sz w:val="24"/>
              </w:rPr>
              <w:t>售后服务情况（服务方式、服务网点、售后服务的内容和措施等等，可用附页和宣传材料）</w:t>
            </w:r>
          </w:p>
        </w:tc>
        <w:tc>
          <w:tcPr>
            <w:tcW w:w="4061" w:type="dxa"/>
            <w:vMerge w:val="restart"/>
          </w:tcPr>
          <w:p w14:paraId="6802CDD9">
            <w:pPr>
              <w:pStyle w:val="84"/>
              <w:spacing w:line="360" w:lineRule="auto"/>
              <w:rPr>
                <w:rFonts w:hint="eastAsia" w:ascii="宋体" w:hAnsi="宋体" w:eastAsia="宋体" w:cs="宋体"/>
                <w:bCs/>
                <w:sz w:val="24"/>
              </w:rPr>
            </w:pPr>
          </w:p>
        </w:tc>
        <w:tc>
          <w:tcPr>
            <w:tcW w:w="1373" w:type="dxa"/>
          </w:tcPr>
          <w:p w14:paraId="02EA59C3">
            <w:pPr>
              <w:pStyle w:val="84"/>
              <w:spacing w:line="360" w:lineRule="auto"/>
              <w:rPr>
                <w:rFonts w:hint="eastAsia" w:ascii="宋体" w:hAnsi="宋体" w:eastAsia="宋体" w:cs="宋体"/>
                <w:bCs/>
                <w:sz w:val="24"/>
              </w:rPr>
            </w:pPr>
          </w:p>
        </w:tc>
      </w:tr>
      <w:tr w14:paraId="78FD71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F2DC704">
            <w:pPr>
              <w:pStyle w:val="84"/>
              <w:widowControl/>
              <w:spacing w:line="360" w:lineRule="auto"/>
              <w:jc w:val="left"/>
              <w:rPr>
                <w:rFonts w:hint="eastAsia" w:ascii="宋体" w:hAnsi="宋体" w:eastAsia="宋体" w:cs="宋体"/>
                <w:bCs/>
                <w:sz w:val="24"/>
              </w:rPr>
            </w:pPr>
          </w:p>
        </w:tc>
        <w:tc>
          <w:tcPr>
            <w:tcW w:w="2355" w:type="dxa"/>
            <w:vMerge w:val="continue"/>
            <w:vAlign w:val="center"/>
          </w:tcPr>
          <w:p w14:paraId="2843847B">
            <w:pPr>
              <w:pStyle w:val="84"/>
              <w:widowControl/>
              <w:spacing w:line="360" w:lineRule="auto"/>
              <w:jc w:val="left"/>
              <w:rPr>
                <w:rFonts w:hint="eastAsia" w:ascii="宋体" w:hAnsi="宋体" w:eastAsia="宋体" w:cs="宋体"/>
                <w:bCs/>
                <w:sz w:val="24"/>
              </w:rPr>
            </w:pPr>
          </w:p>
        </w:tc>
        <w:tc>
          <w:tcPr>
            <w:tcW w:w="4061" w:type="dxa"/>
            <w:vMerge w:val="continue"/>
          </w:tcPr>
          <w:p w14:paraId="35DC12DD">
            <w:pPr>
              <w:pStyle w:val="84"/>
              <w:spacing w:line="360" w:lineRule="auto"/>
              <w:rPr>
                <w:rFonts w:hint="eastAsia" w:ascii="宋体" w:hAnsi="宋体" w:eastAsia="宋体" w:cs="宋体"/>
                <w:bCs/>
                <w:sz w:val="24"/>
              </w:rPr>
            </w:pPr>
          </w:p>
        </w:tc>
        <w:tc>
          <w:tcPr>
            <w:tcW w:w="1373" w:type="dxa"/>
          </w:tcPr>
          <w:p w14:paraId="6D611FB6">
            <w:pPr>
              <w:pStyle w:val="84"/>
              <w:spacing w:line="360" w:lineRule="auto"/>
              <w:jc w:val="left"/>
              <w:rPr>
                <w:rFonts w:hint="eastAsia" w:ascii="宋体" w:hAnsi="宋体" w:eastAsia="宋体" w:cs="宋体"/>
                <w:bCs/>
                <w:sz w:val="24"/>
              </w:rPr>
            </w:pPr>
          </w:p>
        </w:tc>
      </w:tr>
      <w:tr w14:paraId="30448C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2C3C747B">
            <w:pPr>
              <w:pStyle w:val="84"/>
              <w:spacing w:line="360" w:lineRule="auto"/>
              <w:jc w:val="center"/>
              <w:rPr>
                <w:rFonts w:hint="eastAsia" w:ascii="宋体" w:hAnsi="宋体" w:eastAsia="宋体" w:cs="宋体"/>
                <w:bCs/>
                <w:sz w:val="24"/>
              </w:rPr>
            </w:pPr>
            <w:r>
              <w:rPr>
                <w:rFonts w:hint="eastAsia" w:ascii="宋体" w:hAnsi="宋体" w:eastAsia="宋体" w:cs="宋体"/>
                <w:bCs/>
                <w:sz w:val="24"/>
              </w:rPr>
              <w:t>2</w:t>
            </w:r>
          </w:p>
        </w:tc>
        <w:tc>
          <w:tcPr>
            <w:tcW w:w="2355" w:type="dxa"/>
            <w:vAlign w:val="center"/>
          </w:tcPr>
          <w:p w14:paraId="6FB368F8">
            <w:pPr>
              <w:pStyle w:val="84"/>
              <w:spacing w:line="360" w:lineRule="auto"/>
              <w:rPr>
                <w:rFonts w:hint="eastAsia" w:ascii="宋体" w:hAnsi="宋体" w:eastAsia="宋体" w:cs="宋体"/>
                <w:bCs/>
                <w:sz w:val="24"/>
              </w:rPr>
            </w:pPr>
          </w:p>
        </w:tc>
        <w:tc>
          <w:tcPr>
            <w:tcW w:w="4061" w:type="dxa"/>
          </w:tcPr>
          <w:p w14:paraId="42242962">
            <w:pPr>
              <w:pStyle w:val="84"/>
              <w:widowControl/>
              <w:spacing w:line="360" w:lineRule="auto"/>
              <w:jc w:val="left"/>
              <w:rPr>
                <w:rFonts w:hint="eastAsia" w:ascii="宋体" w:hAnsi="宋体" w:eastAsia="宋体" w:cs="宋体"/>
                <w:bCs/>
                <w:sz w:val="24"/>
              </w:rPr>
            </w:pPr>
          </w:p>
          <w:p w14:paraId="6A30963F">
            <w:pPr>
              <w:pStyle w:val="84"/>
              <w:widowControl/>
              <w:spacing w:line="360" w:lineRule="auto"/>
              <w:jc w:val="left"/>
              <w:rPr>
                <w:rFonts w:hint="eastAsia" w:ascii="宋体" w:hAnsi="宋体" w:eastAsia="宋体" w:cs="宋体"/>
                <w:bCs/>
                <w:sz w:val="24"/>
              </w:rPr>
            </w:pPr>
          </w:p>
          <w:p w14:paraId="10D95A77">
            <w:pPr>
              <w:pStyle w:val="84"/>
              <w:spacing w:line="360" w:lineRule="auto"/>
              <w:rPr>
                <w:rFonts w:hint="eastAsia" w:ascii="宋体" w:hAnsi="宋体" w:eastAsia="宋体" w:cs="宋体"/>
                <w:bCs/>
                <w:sz w:val="24"/>
              </w:rPr>
            </w:pPr>
          </w:p>
        </w:tc>
        <w:tc>
          <w:tcPr>
            <w:tcW w:w="1373" w:type="dxa"/>
          </w:tcPr>
          <w:p w14:paraId="0F1BC396">
            <w:pPr>
              <w:pStyle w:val="84"/>
              <w:widowControl/>
              <w:spacing w:line="360" w:lineRule="auto"/>
              <w:jc w:val="left"/>
              <w:rPr>
                <w:rFonts w:hint="eastAsia" w:ascii="宋体" w:hAnsi="宋体" w:eastAsia="宋体" w:cs="宋体"/>
                <w:bCs/>
                <w:sz w:val="24"/>
              </w:rPr>
            </w:pPr>
          </w:p>
          <w:p w14:paraId="16DCF236">
            <w:pPr>
              <w:pStyle w:val="84"/>
              <w:widowControl/>
              <w:spacing w:line="360" w:lineRule="auto"/>
              <w:jc w:val="left"/>
              <w:rPr>
                <w:rFonts w:hint="eastAsia" w:ascii="宋体" w:hAnsi="宋体" w:eastAsia="宋体" w:cs="宋体"/>
                <w:bCs/>
                <w:sz w:val="24"/>
              </w:rPr>
            </w:pPr>
          </w:p>
          <w:p w14:paraId="2FD25A51">
            <w:pPr>
              <w:pStyle w:val="84"/>
              <w:spacing w:line="360" w:lineRule="auto"/>
              <w:rPr>
                <w:rFonts w:hint="eastAsia" w:ascii="宋体" w:hAnsi="宋体" w:eastAsia="宋体" w:cs="宋体"/>
                <w:bCs/>
                <w:sz w:val="24"/>
              </w:rPr>
            </w:pPr>
          </w:p>
        </w:tc>
      </w:tr>
      <w:tr w14:paraId="3DFC6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9AC5B84">
            <w:pPr>
              <w:pStyle w:val="84"/>
              <w:widowControl/>
              <w:spacing w:line="360" w:lineRule="auto"/>
              <w:jc w:val="center"/>
              <w:rPr>
                <w:rFonts w:hint="eastAsia" w:ascii="宋体" w:hAnsi="宋体" w:eastAsia="宋体" w:cs="宋体"/>
                <w:bCs/>
                <w:sz w:val="24"/>
              </w:rPr>
            </w:pPr>
            <w:r>
              <w:rPr>
                <w:rFonts w:hint="eastAsia" w:ascii="宋体" w:hAnsi="宋体" w:eastAsia="宋体" w:cs="宋体"/>
                <w:bCs/>
                <w:sz w:val="24"/>
              </w:rPr>
              <w:t>3</w:t>
            </w:r>
          </w:p>
        </w:tc>
        <w:tc>
          <w:tcPr>
            <w:tcW w:w="2355" w:type="dxa"/>
            <w:vAlign w:val="center"/>
          </w:tcPr>
          <w:p w14:paraId="01EA5697">
            <w:pPr>
              <w:pStyle w:val="84"/>
              <w:widowControl/>
              <w:spacing w:line="360" w:lineRule="auto"/>
              <w:jc w:val="left"/>
              <w:rPr>
                <w:rFonts w:hint="eastAsia" w:ascii="宋体" w:hAnsi="宋体" w:eastAsia="宋体" w:cs="宋体"/>
                <w:bCs/>
                <w:sz w:val="24"/>
              </w:rPr>
            </w:pPr>
          </w:p>
        </w:tc>
        <w:tc>
          <w:tcPr>
            <w:tcW w:w="4061" w:type="dxa"/>
          </w:tcPr>
          <w:p w14:paraId="1A8FB0C2">
            <w:pPr>
              <w:pStyle w:val="84"/>
              <w:widowControl/>
              <w:spacing w:line="360" w:lineRule="auto"/>
              <w:jc w:val="left"/>
              <w:rPr>
                <w:rFonts w:hint="eastAsia" w:ascii="宋体" w:hAnsi="宋体" w:eastAsia="宋体" w:cs="宋体"/>
                <w:bCs/>
                <w:i/>
                <w:sz w:val="24"/>
              </w:rPr>
            </w:pPr>
          </w:p>
          <w:p w14:paraId="13ECB890">
            <w:pPr>
              <w:pStyle w:val="84"/>
              <w:widowControl/>
              <w:spacing w:line="360" w:lineRule="auto"/>
              <w:jc w:val="left"/>
              <w:rPr>
                <w:rFonts w:hint="eastAsia" w:ascii="宋体" w:hAnsi="宋体" w:eastAsia="宋体" w:cs="宋体"/>
                <w:bCs/>
                <w:i/>
                <w:sz w:val="24"/>
              </w:rPr>
            </w:pPr>
          </w:p>
        </w:tc>
        <w:tc>
          <w:tcPr>
            <w:tcW w:w="1373" w:type="dxa"/>
          </w:tcPr>
          <w:p w14:paraId="46B03806">
            <w:pPr>
              <w:pStyle w:val="84"/>
              <w:widowControl/>
              <w:spacing w:line="360" w:lineRule="auto"/>
              <w:jc w:val="left"/>
              <w:rPr>
                <w:rFonts w:hint="eastAsia" w:ascii="宋体" w:hAnsi="宋体" w:eastAsia="宋体" w:cs="宋体"/>
                <w:bCs/>
                <w:i/>
                <w:sz w:val="24"/>
              </w:rPr>
            </w:pPr>
          </w:p>
          <w:p w14:paraId="63791BEB">
            <w:pPr>
              <w:pStyle w:val="84"/>
              <w:widowControl/>
              <w:spacing w:line="360" w:lineRule="auto"/>
              <w:jc w:val="left"/>
              <w:rPr>
                <w:rFonts w:hint="eastAsia" w:ascii="宋体" w:hAnsi="宋体" w:eastAsia="宋体" w:cs="宋体"/>
                <w:bCs/>
                <w:i/>
                <w:sz w:val="24"/>
              </w:rPr>
            </w:pPr>
          </w:p>
          <w:p w14:paraId="75FD646A">
            <w:pPr>
              <w:pStyle w:val="84"/>
              <w:widowControl/>
              <w:spacing w:line="360" w:lineRule="auto"/>
              <w:jc w:val="left"/>
              <w:rPr>
                <w:rFonts w:hint="eastAsia" w:ascii="宋体" w:hAnsi="宋体" w:eastAsia="宋体" w:cs="宋体"/>
                <w:bCs/>
                <w:i/>
                <w:sz w:val="24"/>
              </w:rPr>
            </w:pPr>
          </w:p>
        </w:tc>
      </w:tr>
      <w:tr w14:paraId="1BBDC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670A966E">
            <w:pPr>
              <w:pStyle w:val="84"/>
              <w:widowControl/>
              <w:spacing w:line="360" w:lineRule="auto"/>
              <w:jc w:val="left"/>
              <w:rPr>
                <w:rFonts w:hint="eastAsia" w:ascii="宋体" w:hAnsi="宋体" w:eastAsia="宋体" w:cs="宋体"/>
                <w:bCs/>
                <w:sz w:val="24"/>
              </w:rPr>
            </w:pPr>
            <w:r>
              <w:rPr>
                <w:rFonts w:hint="eastAsia" w:ascii="宋体" w:hAnsi="宋体" w:eastAsia="宋体" w:cs="宋体"/>
                <w:bCs/>
                <w:sz w:val="24"/>
              </w:rPr>
              <w:t>……</w:t>
            </w:r>
          </w:p>
        </w:tc>
        <w:tc>
          <w:tcPr>
            <w:tcW w:w="2355" w:type="dxa"/>
            <w:vAlign w:val="center"/>
          </w:tcPr>
          <w:p w14:paraId="16FC8609">
            <w:pPr>
              <w:pStyle w:val="84"/>
              <w:widowControl/>
              <w:spacing w:line="360" w:lineRule="auto"/>
              <w:jc w:val="left"/>
              <w:rPr>
                <w:rFonts w:hint="eastAsia" w:ascii="宋体" w:hAnsi="宋体" w:eastAsia="宋体" w:cs="宋体"/>
                <w:bCs/>
                <w:sz w:val="24"/>
              </w:rPr>
            </w:pPr>
            <w:r>
              <w:rPr>
                <w:rFonts w:hint="eastAsia" w:ascii="宋体" w:hAnsi="宋体" w:eastAsia="宋体" w:cs="宋体"/>
                <w:bCs/>
                <w:sz w:val="24"/>
              </w:rPr>
              <w:t>……</w:t>
            </w:r>
          </w:p>
        </w:tc>
        <w:tc>
          <w:tcPr>
            <w:tcW w:w="4061" w:type="dxa"/>
          </w:tcPr>
          <w:p w14:paraId="7512201B">
            <w:pPr>
              <w:pStyle w:val="84"/>
              <w:widowControl/>
              <w:spacing w:line="360" w:lineRule="auto"/>
              <w:jc w:val="left"/>
              <w:rPr>
                <w:rFonts w:hint="eastAsia" w:ascii="宋体" w:hAnsi="宋体" w:eastAsia="宋体" w:cs="宋体"/>
                <w:bCs/>
                <w:sz w:val="24"/>
              </w:rPr>
            </w:pPr>
          </w:p>
        </w:tc>
        <w:tc>
          <w:tcPr>
            <w:tcW w:w="1373" w:type="dxa"/>
          </w:tcPr>
          <w:p w14:paraId="63DED102">
            <w:pPr>
              <w:pStyle w:val="84"/>
              <w:widowControl/>
              <w:spacing w:line="360" w:lineRule="auto"/>
              <w:jc w:val="left"/>
              <w:rPr>
                <w:rFonts w:hint="eastAsia" w:ascii="宋体" w:hAnsi="宋体" w:eastAsia="宋体" w:cs="宋体"/>
                <w:bCs/>
                <w:sz w:val="24"/>
              </w:rPr>
            </w:pPr>
          </w:p>
        </w:tc>
      </w:tr>
    </w:tbl>
    <w:p w14:paraId="48E36DF4">
      <w:pPr>
        <w:spacing w:line="360" w:lineRule="auto"/>
        <w:ind w:left="420"/>
        <w:rPr>
          <w:rFonts w:hint="eastAsia" w:ascii="宋体" w:hAnsi="宋体" w:eastAsia="宋体" w:cs="宋体"/>
          <w:sz w:val="24"/>
        </w:rPr>
      </w:pPr>
    </w:p>
    <w:p w14:paraId="0A332A39">
      <w:pPr>
        <w:adjustRightInd w:val="0"/>
        <w:snapToGrid w:val="0"/>
        <w:spacing w:line="360" w:lineRule="auto"/>
        <w:ind w:firstLine="4680" w:firstLineChars="1950"/>
        <w:rPr>
          <w:rFonts w:hint="eastAsia" w:ascii="宋体" w:hAnsi="宋体" w:eastAsia="宋体" w:cs="宋体"/>
          <w:sz w:val="24"/>
          <w:lang w:val="zh-CN"/>
        </w:rPr>
      </w:pPr>
      <w:r>
        <w:rPr>
          <w:rFonts w:hint="eastAsia" w:ascii="宋体" w:hAnsi="宋体" w:eastAsia="宋体" w:cs="宋体"/>
          <w:sz w:val="24"/>
          <w:lang w:val="zh-CN"/>
        </w:rPr>
        <w:t>供应商名称（公章）：</w:t>
      </w:r>
    </w:p>
    <w:p w14:paraId="0505FB4B">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法定代表人（单位负责人）或授权委托人（签字或盖章）：</w:t>
      </w:r>
    </w:p>
    <w:p w14:paraId="736F56F9">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日期：    年   月   日</w:t>
      </w:r>
    </w:p>
    <w:p w14:paraId="7B731A97">
      <w:pPr>
        <w:spacing w:line="360" w:lineRule="auto"/>
        <w:ind w:firstLine="435"/>
        <w:rPr>
          <w:rFonts w:hint="eastAsia" w:ascii="宋体" w:hAnsi="宋体" w:eastAsia="宋体" w:cs="宋体"/>
          <w:sz w:val="24"/>
        </w:rPr>
      </w:pPr>
      <w:r>
        <w:rPr>
          <w:rFonts w:hint="eastAsia" w:ascii="宋体" w:hAnsi="宋体" w:eastAsia="宋体" w:cs="宋体"/>
          <w:sz w:val="24"/>
        </w:rPr>
        <w:br w:type="page"/>
      </w:r>
    </w:p>
    <w:p w14:paraId="08BCBB41">
      <w:pPr>
        <w:pStyle w:val="4"/>
        <w:snapToGrid w:val="0"/>
        <w:spacing w:before="0" w:after="0" w:line="360" w:lineRule="auto"/>
        <w:outlineLvl w:val="0"/>
        <w:rPr>
          <w:rFonts w:hint="eastAsia" w:ascii="宋体" w:hAnsi="宋体" w:eastAsia="宋体" w:cs="宋体"/>
          <w:bCs w:val="0"/>
          <w:kern w:val="2"/>
          <w:sz w:val="30"/>
          <w:szCs w:val="30"/>
        </w:rPr>
      </w:pPr>
      <w:bookmarkStart w:id="128" w:name="_Toc21375"/>
      <w:r>
        <w:rPr>
          <w:rFonts w:hint="eastAsia" w:ascii="宋体" w:hAnsi="宋体" w:eastAsia="宋体" w:cs="宋体"/>
          <w:bCs w:val="0"/>
          <w:kern w:val="2"/>
          <w:sz w:val="30"/>
          <w:szCs w:val="30"/>
        </w:rPr>
        <w:t>附件12：磋商报价一览表</w:t>
      </w:r>
      <w:bookmarkEnd w:id="128"/>
    </w:p>
    <w:p w14:paraId="52AE5666">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首次报价一览表</w:t>
      </w:r>
    </w:p>
    <w:p w14:paraId="06CDDF0A">
      <w:pPr>
        <w:pStyle w:val="24"/>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项目编号：</w:t>
      </w:r>
    </w:p>
    <w:p w14:paraId="0B90FEB8">
      <w:pPr>
        <w:pStyle w:val="81"/>
        <w:spacing w:line="360" w:lineRule="auto"/>
        <w:ind w:right="480" w:firstLine="241" w:firstLineChars="100"/>
        <w:jc w:val="left"/>
        <w:rPr>
          <w:rFonts w:hint="eastAsia" w:ascii="宋体" w:hAnsi="宋体" w:eastAsia="宋体" w:cs="宋体"/>
          <w:sz w:val="24"/>
        </w:rPr>
      </w:pPr>
      <w:r>
        <w:rPr>
          <w:rFonts w:hint="eastAsia" w:ascii="宋体" w:hAnsi="宋体" w:eastAsia="宋体" w:cs="宋体"/>
          <w:b/>
          <w:sz w:val="24"/>
        </w:rPr>
        <w:t>项目名称：</w:t>
      </w:r>
      <w:r>
        <w:rPr>
          <w:rFonts w:hint="eastAsia" w:ascii="宋体" w:hAnsi="宋体" w:eastAsia="宋体" w:cs="宋体"/>
          <w:sz w:val="24"/>
        </w:rPr>
        <w:t xml:space="preserve">                                   </w:t>
      </w:r>
    </w:p>
    <w:tbl>
      <w:tblPr>
        <w:tblStyle w:val="3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977"/>
        <w:gridCol w:w="4723"/>
      </w:tblGrid>
      <w:tr w14:paraId="60C9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096" w:type="dxa"/>
            <w:noWrap w:val="0"/>
            <w:vAlign w:val="center"/>
          </w:tcPr>
          <w:p w14:paraId="14171F7A">
            <w:pPr>
              <w:pStyle w:val="24"/>
              <w:spacing w:line="360" w:lineRule="auto"/>
              <w:jc w:val="center"/>
              <w:rPr>
                <w:rFonts w:hint="eastAsia" w:ascii="宋体" w:hAnsi="宋体" w:eastAsia="宋体" w:cs="宋体"/>
                <w:bCs/>
                <w:sz w:val="24"/>
              </w:rPr>
            </w:pPr>
            <w:r>
              <w:rPr>
                <w:rFonts w:hint="eastAsia" w:ascii="宋体" w:hAnsi="宋体" w:eastAsia="宋体" w:cs="宋体"/>
                <w:bCs/>
                <w:sz w:val="24"/>
              </w:rPr>
              <w:t>序号</w:t>
            </w:r>
          </w:p>
        </w:tc>
        <w:tc>
          <w:tcPr>
            <w:tcW w:w="2977" w:type="dxa"/>
            <w:noWrap w:val="0"/>
            <w:vAlign w:val="center"/>
          </w:tcPr>
          <w:p w14:paraId="2DF12999">
            <w:pPr>
              <w:pStyle w:val="24"/>
              <w:spacing w:line="360" w:lineRule="auto"/>
              <w:jc w:val="center"/>
              <w:rPr>
                <w:rFonts w:hint="eastAsia" w:ascii="宋体" w:hAnsi="宋体" w:eastAsia="宋体" w:cs="宋体"/>
                <w:bCs/>
                <w:sz w:val="24"/>
              </w:rPr>
            </w:pPr>
            <w:r>
              <w:rPr>
                <w:rFonts w:hint="eastAsia" w:ascii="宋体" w:hAnsi="宋体" w:eastAsia="宋体" w:cs="宋体"/>
                <w:bCs/>
                <w:sz w:val="24"/>
              </w:rPr>
              <w:t>项目名称</w:t>
            </w:r>
          </w:p>
        </w:tc>
        <w:tc>
          <w:tcPr>
            <w:tcW w:w="4723" w:type="dxa"/>
            <w:noWrap w:val="0"/>
            <w:vAlign w:val="center"/>
          </w:tcPr>
          <w:p w14:paraId="49A8975E">
            <w:pPr>
              <w:pStyle w:val="24"/>
              <w:spacing w:line="360" w:lineRule="auto"/>
              <w:jc w:val="center"/>
              <w:rPr>
                <w:rFonts w:hint="eastAsia" w:ascii="宋体" w:hAnsi="宋体" w:eastAsia="宋体" w:cs="宋体"/>
                <w:bCs/>
                <w:sz w:val="24"/>
                <w:lang w:eastAsia="zh-CN"/>
              </w:rPr>
            </w:pPr>
            <w:r>
              <w:rPr>
                <w:rFonts w:hint="eastAsia" w:ascii="宋体" w:hAnsi="宋体" w:eastAsia="宋体" w:cs="宋体"/>
                <w:bCs/>
                <w:sz w:val="24"/>
              </w:rPr>
              <w:t>投标</w:t>
            </w:r>
            <w:r>
              <w:rPr>
                <w:rFonts w:hint="eastAsia" w:ascii="宋体" w:hAnsi="宋体" w:eastAsia="宋体" w:cs="宋体"/>
                <w:bCs/>
                <w:sz w:val="24"/>
                <w:lang w:val="en-US" w:eastAsia="zh-CN"/>
              </w:rPr>
              <w:t>报价</w:t>
            </w:r>
          </w:p>
        </w:tc>
      </w:tr>
      <w:tr w14:paraId="5E97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096" w:type="dxa"/>
            <w:noWrap w:val="0"/>
            <w:vAlign w:val="center"/>
          </w:tcPr>
          <w:p w14:paraId="7391CDD3">
            <w:pPr>
              <w:pStyle w:val="24"/>
              <w:spacing w:line="360" w:lineRule="auto"/>
              <w:jc w:val="center"/>
              <w:rPr>
                <w:rFonts w:hint="eastAsia" w:ascii="宋体" w:hAnsi="宋体" w:eastAsia="宋体" w:cs="宋体"/>
                <w:bCs/>
                <w:sz w:val="24"/>
              </w:rPr>
            </w:pPr>
            <w:r>
              <w:rPr>
                <w:rFonts w:hint="eastAsia" w:ascii="宋体" w:hAnsi="宋体" w:eastAsia="宋体" w:cs="宋体"/>
                <w:bCs/>
                <w:sz w:val="24"/>
              </w:rPr>
              <w:t>1</w:t>
            </w:r>
          </w:p>
        </w:tc>
        <w:tc>
          <w:tcPr>
            <w:tcW w:w="2977" w:type="dxa"/>
            <w:noWrap w:val="0"/>
            <w:vAlign w:val="center"/>
          </w:tcPr>
          <w:p w14:paraId="111A09E6">
            <w:pPr>
              <w:pStyle w:val="24"/>
              <w:spacing w:line="360" w:lineRule="auto"/>
              <w:jc w:val="center"/>
              <w:rPr>
                <w:rFonts w:hint="eastAsia" w:ascii="宋体" w:hAnsi="宋体" w:eastAsia="宋体" w:cs="宋体"/>
                <w:bCs/>
                <w:sz w:val="24"/>
              </w:rPr>
            </w:pPr>
          </w:p>
        </w:tc>
        <w:tc>
          <w:tcPr>
            <w:tcW w:w="4723" w:type="dxa"/>
            <w:noWrap w:val="0"/>
            <w:vAlign w:val="center"/>
          </w:tcPr>
          <w:p w14:paraId="0D8E18FA">
            <w:pPr>
              <w:snapToGrid w:val="0"/>
              <w:spacing w:line="460" w:lineRule="exact"/>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元</w:t>
            </w:r>
          </w:p>
          <w:p w14:paraId="11E7F793">
            <w:pPr>
              <w:snapToGrid w:val="0"/>
              <w:spacing w:line="460" w:lineRule="exact"/>
              <w:jc w:val="both"/>
              <w:rPr>
                <w:rFonts w:hint="eastAsia" w:ascii="宋体" w:hAnsi="宋体" w:eastAsia="宋体" w:cs="宋体"/>
                <w:bCs/>
                <w:sz w:val="24"/>
                <w:lang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人民币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元</w:t>
            </w:r>
          </w:p>
        </w:tc>
      </w:tr>
    </w:tbl>
    <w:p w14:paraId="2A58A01E">
      <w:pPr>
        <w:pStyle w:val="81"/>
        <w:spacing w:line="360" w:lineRule="auto"/>
        <w:ind w:right="480" w:firstLine="240" w:firstLineChars="100"/>
        <w:jc w:val="left"/>
        <w:rPr>
          <w:rFonts w:hint="eastAsia" w:ascii="宋体" w:hAnsi="宋体" w:eastAsia="宋体" w:cs="宋体"/>
          <w:sz w:val="24"/>
        </w:rPr>
      </w:pPr>
    </w:p>
    <w:p w14:paraId="7D714C5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不提供此表格的将视为没有实质性响应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p>
    <w:p w14:paraId="7D4A3CE4">
      <w:pPr>
        <w:spacing w:line="360" w:lineRule="auto"/>
        <w:ind w:firstLine="480" w:firstLineChars="200"/>
        <w:rPr>
          <w:rFonts w:hint="eastAsia" w:ascii="宋体" w:hAnsi="宋体" w:eastAsia="宋体" w:cs="宋体"/>
          <w:sz w:val="24"/>
          <w:szCs w:val="24"/>
        </w:rPr>
      </w:pPr>
    </w:p>
    <w:p w14:paraId="67FBD391">
      <w:pPr>
        <w:snapToGrid w:val="0"/>
        <w:spacing w:line="360" w:lineRule="auto"/>
        <w:ind w:firstLine="480" w:firstLineChars="200"/>
        <w:rPr>
          <w:rFonts w:hint="eastAsia" w:ascii="宋体" w:hAnsi="宋体" w:eastAsia="宋体" w:cs="宋体"/>
          <w:color w:val="000000"/>
          <w:sz w:val="24"/>
          <w:szCs w:val="24"/>
        </w:rPr>
      </w:pPr>
    </w:p>
    <w:p w14:paraId="3C97910B">
      <w:pPr>
        <w:adjustRightInd w:val="0"/>
        <w:snapToGrid w:val="0"/>
        <w:spacing w:line="360" w:lineRule="auto"/>
        <w:ind w:firstLine="4680" w:firstLineChars="1950"/>
        <w:rPr>
          <w:rFonts w:hint="eastAsia" w:ascii="宋体" w:hAnsi="宋体" w:eastAsia="宋体" w:cs="宋体"/>
          <w:sz w:val="24"/>
          <w:lang w:val="zh-CN"/>
        </w:rPr>
      </w:pPr>
      <w:bookmarkStart w:id="129" w:name="_Toc11286"/>
      <w:r>
        <w:rPr>
          <w:rFonts w:hint="eastAsia" w:ascii="宋体" w:hAnsi="宋体" w:eastAsia="宋体" w:cs="宋体"/>
          <w:sz w:val="24"/>
          <w:lang w:val="zh-CN"/>
        </w:rPr>
        <w:t>供应商名称（公章）：</w:t>
      </w:r>
    </w:p>
    <w:p w14:paraId="21AFB5BE">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法定代表人（单位负责人）或授权委托人（签字或盖章）：</w:t>
      </w:r>
    </w:p>
    <w:p w14:paraId="38D82A35">
      <w:pPr>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                                  日期：    年   月   日</w:t>
      </w:r>
    </w:p>
    <w:p w14:paraId="3A3640B4">
      <w:pPr>
        <w:rPr>
          <w:rFonts w:hint="eastAsia" w:ascii="宋体" w:hAnsi="宋体" w:eastAsia="宋体" w:cs="宋体"/>
          <w:bCs w:val="0"/>
          <w:kern w:val="2"/>
          <w:sz w:val="30"/>
          <w:szCs w:val="30"/>
        </w:rPr>
      </w:pPr>
      <w:r>
        <w:rPr>
          <w:rFonts w:hint="eastAsia" w:ascii="宋体" w:hAnsi="宋体" w:eastAsia="宋体" w:cs="宋体"/>
          <w:bCs w:val="0"/>
          <w:kern w:val="2"/>
          <w:sz w:val="30"/>
          <w:szCs w:val="30"/>
        </w:rPr>
        <w:br w:type="page"/>
      </w:r>
    </w:p>
    <w:p w14:paraId="796D876F">
      <w:pPr>
        <w:pStyle w:val="4"/>
        <w:snapToGrid w:val="0"/>
        <w:spacing w:before="0" w:after="0" w:line="360" w:lineRule="auto"/>
        <w:outlineLvl w:val="0"/>
        <w:rPr>
          <w:rFonts w:hint="eastAsia" w:ascii="宋体" w:hAnsi="宋体" w:eastAsia="宋体" w:cs="宋体"/>
          <w:bCs w:val="0"/>
          <w:kern w:val="2"/>
          <w:sz w:val="30"/>
          <w:szCs w:val="30"/>
        </w:rPr>
      </w:pPr>
      <w:r>
        <w:rPr>
          <w:rFonts w:hint="eastAsia" w:ascii="宋体" w:hAnsi="宋体" w:eastAsia="宋体" w:cs="宋体"/>
          <w:bCs w:val="0"/>
          <w:kern w:val="2"/>
          <w:sz w:val="30"/>
          <w:szCs w:val="30"/>
        </w:rPr>
        <w:t>附件13：</w:t>
      </w:r>
      <w:bookmarkStart w:id="130" w:name="_Toc48647114"/>
      <w:r>
        <w:rPr>
          <w:rFonts w:hint="eastAsia" w:ascii="宋体" w:hAnsi="宋体" w:eastAsia="宋体" w:cs="宋体"/>
          <w:bCs w:val="0"/>
          <w:kern w:val="2"/>
          <w:sz w:val="30"/>
          <w:szCs w:val="30"/>
        </w:rPr>
        <w:t>小微企业声明函格式</w:t>
      </w:r>
      <w:bookmarkEnd w:id="129"/>
      <w:bookmarkEnd w:id="130"/>
    </w:p>
    <w:p w14:paraId="3B6AA1D5">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46DCC60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 xml:space="preserve">的 </w:t>
      </w:r>
      <w:r>
        <w:rPr>
          <w:rFonts w:hint="eastAsia" w:ascii="宋体" w:hAnsi="宋体" w:eastAsia="宋体" w:cs="宋体"/>
          <w:color w:val="0000FF"/>
          <w:sz w:val="24"/>
          <w:u w:val="single"/>
        </w:rPr>
        <w:t>（项目名称）</w:t>
      </w:r>
      <w:r>
        <w:rPr>
          <w:rFonts w:hint="eastAsia" w:ascii="宋体" w:hAnsi="宋体" w:eastAsia="宋体" w:cs="宋体"/>
          <w:sz w:val="24"/>
        </w:rPr>
        <w:t xml:space="preserve"> 采购活动，提供的货物全部由符合政策要求的中小企业制造。相关企业（含联合体中的中小企业、签订分包意向协议的中小企业）的具体情况如下：</w:t>
      </w:r>
    </w:p>
    <w:p w14:paraId="3C860B53">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w:t>
      </w:r>
      <w:r>
        <w:rPr>
          <w:rFonts w:hint="eastAsia" w:ascii="宋体" w:hAnsi="宋体" w:eastAsia="宋体" w:cs="宋体"/>
          <w:color w:val="0000FF"/>
          <w:sz w:val="24"/>
        </w:rPr>
        <w:t xml:space="preserve"> </w:t>
      </w:r>
      <w:r>
        <w:rPr>
          <w:rFonts w:hint="eastAsia" w:ascii="宋体" w:hAnsi="宋体" w:eastAsia="宋体" w:cs="宋体"/>
          <w:color w:val="0000FF"/>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0D5F74A9">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 </w:t>
      </w:r>
      <w:r>
        <w:rPr>
          <w:rFonts w:hint="eastAsia" w:ascii="宋体" w:hAnsi="宋体" w:eastAsia="宋体" w:cs="宋体"/>
          <w:color w:val="0000FF"/>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6F19530A">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02694284">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29AB28C">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6B0EBC39">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投标人名称(盖章)：</w:t>
      </w:r>
    </w:p>
    <w:p w14:paraId="52E49B3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79DBFD9A">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14:paraId="114AE619">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w:t>
      </w:r>
    </w:p>
    <w:p w14:paraId="3E84E04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8565A9">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2BFEA1">
      <w:pPr>
        <w:spacing w:line="360" w:lineRule="auto"/>
        <w:jc w:val="center"/>
        <w:rPr>
          <w:rFonts w:hint="eastAsia" w:ascii="宋体" w:hAnsi="宋体" w:eastAsia="宋体" w:cs="宋体"/>
          <w:b/>
          <w:sz w:val="32"/>
          <w:szCs w:val="32"/>
        </w:rPr>
      </w:pPr>
    </w:p>
    <w:p w14:paraId="4A8CE6D7">
      <w:pPr>
        <w:rPr>
          <w:rFonts w:hint="eastAsia" w:ascii="宋体" w:hAnsi="宋体" w:eastAsia="宋体" w:cs="宋体"/>
          <w:b/>
          <w:sz w:val="32"/>
          <w:szCs w:val="32"/>
        </w:rPr>
      </w:pPr>
      <w:r>
        <w:rPr>
          <w:rFonts w:hint="eastAsia" w:ascii="宋体" w:hAnsi="宋体" w:eastAsia="宋体" w:cs="宋体"/>
          <w:b/>
          <w:sz w:val="32"/>
          <w:szCs w:val="32"/>
        </w:rPr>
        <w:br w:type="page"/>
      </w:r>
    </w:p>
    <w:p w14:paraId="00383D2E">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44929823">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号）的规定，本公司参加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color w:val="0000FF"/>
          <w:sz w:val="24"/>
          <w:u w:val="single"/>
        </w:rPr>
        <w:t xml:space="preserve"> （项目名称） </w:t>
      </w:r>
      <w:r>
        <w:rPr>
          <w:rFonts w:hint="eastAsia" w:ascii="宋体" w:hAnsi="宋体" w:eastAsia="宋体" w:cs="宋体"/>
          <w:sz w:val="24"/>
        </w:rPr>
        <w:t>采购活动，</w:t>
      </w:r>
      <w:r>
        <w:rPr>
          <w:rFonts w:hint="eastAsia" w:ascii="宋体" w:hAnsi="宋体" w:eastAsia="宋体" w:cs="宋体"/>
          <w:color w:val="FF0000"/>
          <w:sz w:val="24"/>
        </w:rPr>
        <w:t>服务全部由符合政策要求的中小企业承接</w:t>
      </w:r>
      <w:r>
        <w:rPr>
          <w:rFonts w:hint="eastAsia" w:ascii="宋体" w:hAnsi="宋体" w:eastAsia="宋体" w:cs="宋体"/>
          <w:sz w:val="24"/>
        </w:rPr>
        <w:t>。相关企业（含联合体中的中小企业、签订分包意向协议的中小企业）的具体情况如下：</w:t>
      </w:r>
    </w:p>
    <w:p w14:paraId="3E1F364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，属于</w:t>
      </w:r>
      <w:r>
        <w:rPr>
          <w:rFonts w:hint="eastAsia" w:ascii="宋体" w:hAnsi="宋体" w:eastAsia="宋体" w:cs="宋体"/>
          <w:color w:val="0000FF"/>
          <w:sz w:val="24"/>
          <w:u w:val="single"/>
        </w:rPr>
        <w:t xml:space="preserve"> （采购文件中明确的所属行业）</w:t>
      </w:r>
      <w:r>
        <w:rPr>
          <w:rFonts w:hint="eastAsia" w:ascii="宋体" w:hAnsi="宋体" w:eastAsia="宋体" w:cs="宋体"/>
          <w:sz w:val="24"/>
        </w:rPr>
        <w:t xml:space="preserve"> ；</w:t>
      </w:r>
      <w:r>
        <w:rPr>
          <w:rFonts w:hint="eastAsia" w:ascii="宋体" w:hAnsi="宋体" w:eastAsia="宋体" w:cs="宋体"/>
          <w:color w:val="FF0000"/>
          <w:sz w:val="24"/>
        </w:rPr>
        <w:t>承接</w:t>
      </w:r>
      <w:r>
        <w:rPr>
          <w:rFonts w:hint="eastAsia" w:ascii="宋体" w:hAnsi="宋体" w:eastAsia="宋体" w:cs="宋体"/>
          <w:sz w:val="24"/>
        </w:rPr>
        <w:t xml:space="preserve">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45FF515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color w:val="0000FF"/>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color w:val="0000FF"/>
          <w:sz w:val="24"/>
          <w:u w:val="single"/>
        </w:rPr>
        <w:t xml:space="preserve">（采购文件中明确的所属行业） </w:t>
      </w:r>
      <w:r>
        <w:rPr>
          <w:rFonts w:hint="eastAsia" w:ascii="宋体" w:hAnsi="宋体" w:eastAsia="宋体" w:cs="宋体"/>
          <w:sz w:val="24"/>
        </w:rPr>
        <w:t>；</w:t>
      </w:r>
      <w:r>
        <w:rPr>
          <w:rFonts w:hint="eastAsia" w:ascii="宋体" w:hAnsi="宋体" w:eastAsia="宋体" w:cs="宋体"/>
          <w:color w:val="FF0000"/>
          <w:sz w:val="24"/>
        </w:rPr>
        <w:t>承接</w:t>
      </w:r>
      <w:r>
        <w:rPr>
          <w:rFonts w:hint="eastAsia" w:ascii="宋体" w:hAnsi="宋体" w:eastAsia="宋体" w:cs="宋体"/>
          <w:sz w:val="24"/>
        </w:rPr>
        <w:t xml:space="preserve">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7DA7AE6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369FDE7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736137C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2396D469">
      <w:pPr>
        <w:snapToGrid w:val="0"/>
        <w:spacing w:line="360" w:lineRule="auto"/>
        <w:ind w:firstLine="480" w:firstLineChars="200"/>
        <w:jc w:val="right"/>
        <w:rPr>
          <w:rFonts w:hint="eastAsia" w:ascii="宋体" w:hAnsi="宋体" w:eastAsia="宋体" w:cs="宋体"/>
          <w:color w:val="000000"/>
          <w:sz w:val="24"/>
          <w:szCs w:val="24"/>
        </w:rPr>
      </w:pPr>
    </w:p>
    <w:p w14:paraId="3C5B5AA0">
      <w:pPr>
        <w:snapToGrid w:val="0"/>
        <w:spacing w:line="360" w:lineRule="auto"/>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供应商名称（盖章）：</w:t>
      </w:r>
    </w:p>
    <w:p w14:paraId="77554978">
      <w:pPr>
        <w:snapToGrid w:val="0"/>
        <w:spacing w:line="360" w:lineRule="auto"/>
        <w:ind w:firstLine="480" w:firstLineChars="200"/>
        <w:jc w:val="right"/>
        <w:rPr>
          <w:rFonts w:hint="eastAsia" w:ascii="宋体" w:hAnsi="宋体" w:eastAsia="宋体" w:cs="宋体"/>
          <w:color w:val="000000"/>
          <w:sz w:val="24"/>
          <w:szCs w:val="24"/>
        </w:rPr>
      </w:pPr>
    </w:p>
    <w:p w14:paraId="358C36BD">
      <w:pPr>
        <w:snapToGrid w:val="0"/>
        <w:spacing w:line="360" w:lineRule="auto"/>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23640A87">
      <w:pPr>
        <w:spacing w:line="360" w:lineRule="auto"/>
        <w:ind w:firstLine="295"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583D59EB">
      <w:pPr>
        <w:spacing w:line="360" w:lineRule="auto"/>
        <w:ind w:right="420"/>
        <w:rPr>
          <w:rFonts w:hint="eastAsia" w:ascii="宋体" w:hAnsi="宋体" w:eastAsia="宋体" w:cs="宋体"/>
          <w:sz w:val="24"/>
        </w:rPr>
      </w:pPr>
    </w:p>
    <w:p w14:paraId="4E52FA12">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6147E83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8BEDAF">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DF95AF">
      <w:pPr>
        <w:spacing w:line="360" w:lineRule="auto"/>
        <w:rPr>
          <w:rFonts w:hint="eastAsia" w:ascii="宋体" w:hAnsi="宋体" w:eastAsia="宋体" w:cs="宋体"/>
          <w:color w:val="000000"/>
          <w:sz w:val="21"/>
          <w:szCs w:val="21"/>
        </w:rPr>
      </w:pPr>
      <w:r>
        <w:rPr>
          <w:rFonts w:hint="eastAsia" w:ascii="宋体" w:hAnsi="宋体" w:eastAsia="宋体" w:cs="宋体"/>
          <w:b/>
          <w:sz w:val="32"/>
          <w:szCs w:val="32"/>
          <w:lang w:val="en-GB"/>
        </w:rPr>
        <w:br w:type="page"/>
      </w:r>
    </w:p>
    <w:p w14:paraId="73A24B66">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残疾人福利性单位声明函</w:t>
      </w:r>
    </w:p>
    <w:p w14:paraId="2CF5116B">
      <w:pPr>
        <w:spacing w:line="360" w:lineRule="auto"/>
        <w:rPr>
          <w:rFonts w:hint="eastAsia" w:ascii="宋体" w:hAnsi="宋体" w:eastAsia="宋体" w:cs="宋体"/>
          <w:b/>
          <w:spacing w:val="6"/>
          <w:sz w:val="30"/>
          <w:szCs w:val="30"/>
        </w:rPr>
      </w:pPr>
    </w:p>
    <w:p w14:paraId="748F7288">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FF"/>
          <w:sz w:val="24"/>
          <w:u w:val="single"/>
        </w:rPr>
        <w:t>(采购人)</w:t>
      </w:r>
      <w:r>
        <w:rPr>
          <w:rFonts w:hint="eastAsia" w:ascii="宋体" w:hAnsi="宋体" w:eastAsia="宋体" w:cs="宋体"/>
          <w:sz w:val="24"/>
        </w:rPr>
        <w:t>_单位的_</w:t>
      </w:r>
      <w:r>
        <w:rPr>
          <w:rFonts w:hint="eastAsia" w:ascii="宋体" w:hAnsi="宋体" w:eastAsia="宋体" w:cs="宋体"/>
          <w:color w:val="0000FF"/>
          <w:sz w:val="24"/>
          <w:u w:val="single"/>
        </w:rPr>
        <w:t>（项目名称）</w:t>
      </w:r>
      <w:r>
        <w:rPr>
          <w:rFonts w:hint="eastAsia" w:ascii="宋体" w:hAnsi="宋体" w:eastAsia="宋体" w:cs="宋体"/>
          <w:color w:val="0000FF"/>
          <w:sz w:val="24"/>
        </w:rPr>
        <w:t>_</w:t>
      </w:r>
      <w:r>
        <w:rPr>
          <w:rFonts w:hint="eastAsia" w:ascii="宋体" w:hAnsi="宋体" w:eastAsia="宋体" w:cs="宋体"/>
          <w:sz w:val="24"/>
        </w:rPr>
        <w:t>_项目采购活动提供本单位制造的货物（由本单位承担工程/提供服务），或者提供其他残疾人福利性单位制造的货物（不包括使用非残疾人福利性单位注册商标的货物）。</w:t>
      </w:r>
    </w:p>
    <w:p w14:paraId="453FC27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17CB85F">
      <w:pPr>
        <w:spacing w:line="360" w:lineRule="auto"/>
        <w:ind w:firstLine="480" w:firstLineChars="200"/>
        <w:rPr>
          <w:rFonts w:hint="eastAsia" w:ascii="宋体" w:hAnsi="宋体" w:eastAsia="宋体" w:cs="宋体"/>
          <w:sz w:val="24"/>
        </w:rPr>
      </w:pPr>
    </w:p>
    <w:p w14:paraId="7D056BDB">
      <w:pPr>
        <w:snapToGrid w:val="0"/>
        <w:spacing w:line="360" w:lineRule="auto"/>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供应商名称（盖章）：</w:t>
      </w:r>
    </w:p>
    <w:p w14:paraId="408253B5">
      <w:pPr>
        <w:snapToGrid w:val="0"/>
        <w:spacing w:line="360" w:lineRule="auto"/>
        <w:ind w:firstLine="480" w:firstLineChars="200"/>
        <w:jc w:val="right"/>
        <w:rPr>
          <w:rFonts w:hint="eastAsia" w:ascii="宋体" w:hAnsi="宋体" w:eastAsia="宋体" w:cs="宋体"/>
          <w:color w:val="000000"/>
          <w:sz w:val="24"/>
          <w:szCs w:val="24"/>
        </w:rPr>
      </w:pPr>
    </w:p>
    <w:p w14:paraId="542F4BFC">
      <w:pPr>
        <w:snapToGrid w:val="0"/>
        <w:spacing w:line="360" w:lineRule="auto"/>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21788E64">
      <w:pPr>
        <w:tabs>
          <w:tab w:val="left" w:pos="4860"/>
        </w:tabs>
        <w:spacing w:line="360" w:lineRule="auto"/>
        <w:ind w:right="1560" w:firstLine="480" w:firstLineChars="200"/>
        <w:jc w:val="center"/>
        <w:rPr>
          <w:rFonts w:hint="eastAsia" w:ascii="宋体" w:hAnsi="宋体" w:eastAsia="宋体" w:cs="宋体"/>
          <w:sz w:val="24"/>
        </w:rPr>
      </w:pPr>
    </w:p>
    <w:p w14:paraId="4183D018">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0E9DFE72">
      <w:pPr>
        <w:pStyle w:val="4"/>
        <w:snapToGrid w:val="0"/>
        <w:spacing w:before="0" w:after="0" w:line="360" w:lineRule="auto"/>
        <w:outlineLvl w:val="9"/>
        <w:rPr>
          <w:rFonts w:hint="eastAsia" w:ascii="宋体" w:hAnsi="宋体" w:eastAsia="宋体" w:cs="宋体"/>
          <w:bCs w:val="0"/>
          <w:kern w:val="2"/>
          <w:sz w:val="30"/>
          <w:szCs w:val="30"/>
        </w:rPr>
      </w:pPr>
      <w:r>
        <w:rPr>
          <w:rFonts w:hint="eastAsia" w:ascii="宋体" w:hAnsi="宋体" w:eastAsia="宋体" w:cs="宋体"/>
          <w:bCs w:val="0"/>
          <w:kern w:val="2"/>
          <w:sz w:val="30"/>
          <w:szCs w:val="30"/>
        </w:rPr>
        <w:t>附件14：政府采购活动现场确认声明书</w:t>
      </w:r>
    </w:p>
    <w:p w14:paraId="76ACA513">
      <w:pPr>
        <w:snapToGrid w:val="0"/>
        <w:spacing w:line="276" w:lineRule="auto"/>
        <w:jc w:val="center"/>
        <w:rPr>
          <w:rFonts w:hint="eastAsia" w:ascii="宋体" w:hAnsi="宋体" w:eastAsia="宋体" w:cs="宋体"/>
          <w:sz w:val="28"/>
          <w:szCs w:val="44"/>
        </w:rPr>
      </w:pPr>
      <w:r>
        <w:rPr>
          <w:rFonts w:hint="eastAsia" w:ascii="宋体" w:hAnsi="宋体" w:eastAsia="宋体" w:cs="宋体"/>
          <w:sz w:val="28"/>
          <w:szCs w:val="44"/>
        </w:rPr>
        <w:t>政府采购活动现场确认声明书</w:t>
      </w:r>
    </w:p>
    <w:p w14:paraId="4525DA98">
      <w:pPr>
        <w:snapToGrid w:val="0"/>
        <w:spacing w:line="276" w:lineRule="auto"/>
        <w:rPr>
          <w:rFonts w:hint="eastAsia" w:ascii="宋体" w:hAnsi="宋体" w:eastAsia="宋体" w:cs="宋体"/>
          <w:b/>
          <w:sz w:val="24"/>
        </w:rPr>
      </w:pPr>
      <w:r>
        <w:rPr>
          <w:rFonts w:hint="eastAsia" w:ascii="宋体" w:hAnsi="宋体" w:eastAsia="宋体" w:cs="宋体"/>
          <w:sz w:val="24"/>
          <w:u w:val="single"/>
        </w:rPr>
        <w:t xml:space="preserve">                 </w:t>
      </w:r>
      <w:r>
        <w:rPr>
          <w:rFonts w:hint="eastAsia" w:ascii="宋体" w:hAnsi="宋体" w:eastAsia="宋体" w:cs="宋体"/>
          <w:sz w:val="24"/>
        </w:rPr>
        <w:t>（采购组织机构名称）：</w:t>
      </w:r>
    </w:p>
    <w:p w14:paraId="46D3B566">
      <w:pPr>
        <w:spacing w:line="276" w:lineRule="auto"/>
        <w:ind w:firstLine="504" w:firstLineChars="200"/>
        <w:rPr>
          <w:rFonts w:hint="eastAsia" w:ascii="宋体" w:hAnsi="宋体" w:eastAsia="宋体" w:cs="宋体"/>
          <w:sz w:val="24"/>
        </w:rPr>
      </w:pPr>
      <w:r>
        <w:rPr>
          <w:rFonts w:hint="eastAsia" w:ascii="宋体" w:hAnsi="宋体" w:eastAsia="宋体" w:cs="宋体"/>
          <w:spacing w:val="6"/>
          <w:sz w:val="24"/>
        </w:rPr>
        <w:t>本人经由</w:t>
      </w:r>
      <w:r>
        <w:rPr>
          <w:rFonts w:hint="eastAsia" w:ascii="宋体" w:hAnsi="宋体" w:eastAsia="宋体" w:cs="宋体"/>
          <w:spacing w:val="6"/>
          <w:sz w:val="24"/>
          <w:u w:val="single"/>
        </w:rPr>
        <w:t xml:space="preserve">                             </w:t>
      </w:r>
      <w:r>
        <w:rPr>
          <w:rFonts w:hint="eastAsia" w:ascii="宋体" w:hAnsi="宋体" w:eastAsia="宋体" w:cs="宋体"/>
          <w:spacing w:val="6"/>
          <w:sz w:val="24"/>
        </w:rPr>
        <w:t>单位</w:t>
      </w:r>
      <w:r>
        <w:rPr>
          <w:rFonts w:hint="eastAsia" w:ascii="宋体" w:hAnsi="宋体" w:eastAsia="宋体" w:cs="宋体"/>
          <w:spacing w:val="6"/>
          <w:sz w:val="24"/>
          <w:u w:val="single"/>
        </w:rPr>
        <w:t xml:space="preserve">         （法人代表）</w:t>
      </w:r>
      <w:r>
        <w:rPr>
          <w:rFonts w:hint="eastAsia" w:ascii="宋体" w:hAnsi="宋体" w:eastAsia="宋体" w:cs="宋体"/>
          <w:spacing w:val="6"/>
          <w:sz w:val="24"/>
        </w:rPr>
        <w:t>合法授权参加</w:t>
      </w:r>
      <w:r>
        <w:rPr>
          <w:rFonts w:hint="eastAsia" w:ascii="宋体" w:hAnsi="宋体" w:eastAsia="宋体" w:cs="宋体"/>
          <w:sz w:val="24"/>
          <w:u w:val="single"/>
        </w:rPr>
        <w:t xml:space="preserve">                      项目</w:t>
      </w:r>
      <w:r>
        <w:rPr>
          <w:rFonts w:hint="eastAsia" w:ascii="宋体" w:hAnsi="宋体" w:eastAsia="宋体" w:cs="宋体"/>
          <w:spacing w:val="6"/>
          <w:sz w:val="24"/>
          <w:u w:val="single"/>
        </w:rPr>
        <w:t>（项目编号：       ）</w:t>
      </w:r>
      <w:r>
        <w:rPr>
          <w:rFonts w:hint="eastAsia" w:ascii="宋体" w:hAnsi="宋体" w:eastAsia="宋体" w:cs="宋体"/>
          <w:spacing w:val="6"/>
          <w:sz w:val="24"/>
        </w:rPr>
        <w:t>政府采购活动，经与本单位法人代表（负责人）联系确认，现就有关公平竞争事项郑重声明如下：</w:t>
      </w:r>
    </w:p>
    <w:p w14:paraId="10ABAEAE">
      <w:pPr>
        <w:snapToGrid w:val="0"/>
        <w:spacing w:line="276" w:lineRule="auto"/>
        <w:rPr>
          <w:rFonts w:hint="eastAsia" w:ascii="宋体" w:hAnsi="宋体" w:eastAsia="宋体" w:cs="宋体"/>
          <w:sz w:val="24"/>
        </w:rPr>
      </w:pPr>
      <w:r>
        <w:rPr>
          <w:rFonts w:hint="eastAsia" w:ascii="宋体" w:hAnsi="宋体" w:eastAsia="宋体" w:cs="宋体"/>
          <w:sz w:val="24"/>
        </w:rPr>
        <w:t>一、本单位与采购人之间</w:t>
      </w:r>
    </w:p>
    <w:p w14:paraId="7ECD73B3">
      <w:pPr>
        <w:snapToGrid w:val="0"/>
        <w:spacing w:line="276" w:lineRule="auto"/>
        <w:ind w:left="454"/>
        <w:rPr>
          <w:rFonts w:hint="eastAsia" w:ascii="宋体" w:hAnsi="宋体" w:eastAsia="宋体" w:cs="宋体"/>
          <w:sz w:val="24"/>
        </w:rPr>
      </w:pPr>
      <w:r>
        <w:rPr>
          <w:rFonts w:hint="eastAsia" w:ascii="宋体" w:hAnsi="宋体" w:eastAsia="宋体" w:cs="宋体"/>
          <w:sz w:val="24"/>
        </w:rPr>
        <w:t>□不存在利害关系</w:t>
      </w:r>
    </w:p>
    <w:p w14:paraId="0A80E4B3">
      <w:pPr>
        <w:snapToGrid w:val="0"/>
        <w:spacing w:line="276" w:lineRule="auto"/>
        <w:ind w:left="454"/>
        <w:rPr>
          <w:rFonts w:hint="eastAsia" w:ascii="宋体" w:hAnsi="宋体" w:eastAsia="宋体" w:cs="宋体"/>
          <w:sz w:val="24"/>
        </w:rPr>
      </w:pPr>
      <w:r>
        <w:rPr>
          <w:rFonts w:hint="eastAsia" w:ascii="宋体" w:hAnsi="宋体" w:eastAsia="宋体" w:cs="宋体"/>
          <w:sz w:val="24"/>
        </w:rPr>
        <w:t>□存在下列利害关系：</w:t>
      </w:r>
    </w:p>
    <w:p w14:paraId="50F695A0">
      <w:pPr>
        <w:snapToGrid w:val="0"/>
        <w:spacing w:line="276" w:lineRule="auto"/>
        <w:rPr>
          <w:rFonts w:hint="eastAsia" w:ascii="宋体" w:hAnsi="宋体" w:eastAsia="宋体" w:cs="宋体"/>
          <w:sz w:val="24"/>
        </w:rPr>
      </w:pPr>
      <w:r>
        <w:rPr>
          <w:rFonts w:hint="eastAsia" w:ascii="宋体" w:hAnsi="宋体" w:eastAsia="宋体" w:cs="宋体"/>
          <w:sz w:val="24"/>
        </w:rPr>
        <w:t xml:space="preserve">  A.投资关系    B.行政隶属关系    C.业务指导关系</w:t>
      </w:r>
    </w:p>
    <w:p w14:paraId="22D4122B">
      <w:pPr>
        <w:snapToGrid w:val="0"/>
        <w:spacing w:line="276" w:lineRule="auto"/>
        <w:rPr>
          <w:rFonts w:hint="eastAsia" w:ascii="宋体" w:hAnsi="宋体" w:eastAsia="宋体" w:cs="宋体"/>
          <w:sz w:val="24"/>
        </w:rPr>
      </w:pPr>
      <w:r>
        <w:rPr>
          <w:rFonts w:hint="eastAsia" w:ascii="宋体" w:hAnsi="宋体" w:eastAsia="宋体" w:cs="宋体"/>
          <w:sz w:val="24"/>
        </w:rPr>
        <w:t xml:space="preserve">  D.其他可能影响采购公正的利害关系。</w:t>
      </w:r>
    </w:p>
    <w:p w14:paraId="64F16F56">
      <w:pPr>
        <w:snapToGrid w:val="0"/>
        <w:spacing w:line="276" w:lineRule="auto"/>
        <w:rPr>
          <w:rFonts w:hint="eastAsia" w:ascii="宋体" w:hAnsi="宋体" w:eastAsia="宋体" w:cs="宋体"/>
          <w:sz w:val="24"/>
        </w:rPr>
      </w:pPr>
      <w:r>
        <w:rPr>
          <w:rFonts w:hint="eastAsia" w:ascii="宋体" w:hAnsi="宋体" w:eastAsia="宋体" w:cs="宋体"/>
          <w:spacing w:val="6"/>
          <w:sz w:val="24"/>
        </w:rPr>
        <w:t>二、</w:t>
      </w:r>
      <w:r>
        <w:rPr>
          <w:rFonts w:hint="eastAsia" w:ascii="宋体" w:hAnsi="宋体" w:eastAsia="宋体" w:cs="宋体"/>
          <w:sz w:val="24"/>
        </w:rPr>
        <w:t>现已清楚知道参加本项目采购活动的其他所有供应商名称，本单位</w:t>
      </w:r>
    </w:p>
    <w:p w14:paraId="60A140BE">
      <w:pPr>
        <w:snapToGrid w:val="0"/>
        <w:spacing w:line="276" w:lineRule="auto"/>
        <w:ind w:firstLine="480" w:firstLineChars="200"/>
        <w:rPr>
          <w:rFonts w:hint="eastAsia" w:ascii="宋体" w:hAnsi="宋体" w:eastAsia="宋体" w:cs="宋体"/>
          <w:sz w:val="24"/>
        </w:rPr>
      </w:pPr>
      <w:r>
        <w:rPr>
          <w:rFonts w:hint="eastAsia" w:ascii="宋体" w:hAnsi="宋体" w:eastAsia="宋体" w:cs="宋体"/>
          <w:sz w:val="24"/>
        </w:rPr>
        <w:t>□与其他所有供应商之间均不存在利害关系</w:t>
      </w:r>
    </w:p>
    <w:p w14:paraId="3A75DDA9">
      <w:pPr>
        <w:snapToGrid w:val="0"/>
        <w:spacing w:line="276" w:lineRule="auto"/>
        <w:ind w:firstLine="480" w:firstLineChars="200"/>
        <w:rPr>
          <w:rFonts w:hint="eastAsia" w:ascii="宋体" w:hAnsi="宋体" w:eastAsia="宋体" w:cs="宋体"/>
          <w:sz w:val="24"/>
        </w:rPr>
      </w:pPr>
      <w:r>
        <w:rPr>
          <w:rFonts w:hint="eastAsia" w:ascii="宋体" w:hAnsi="宋体" w:eastAsia="宋体" w:cs="宋体"/>
          <w:sz w:val="24"/>
        </w:rPr>
        <w:t>□与之间存在下列利害关系：</w:t>
      </w:r>
    </w:p>
    <w:p w14:paraId="44024149">
      <w:pPr>
        <w:snapToGrid w:val="0"/>
        <w:spacing w:line="276" w:lineRule="auto"/>
        <w:rPr>
          <w:rFonts w:hint="eastAsia" w:ascii="宋体" w:hAnsi="宋体" w:eastAsia="宋体" w:cs="宋体"/>
          <w:sz w:val="24"/>
        </w:rPr>
      </w:pPr>
      <w:r>
        <w:rPr>
          <w:rFonts w:hint="eastAsia" w:ascii="宋体" w:hAnsi="宋体" w:eastAsia="宋体" w:cs="宋体"/>
          <w:sz w:val="24"/>
        </w:rPr>
        <w:t xml:space="preserve">  A.法定代表人或负责人或实际控制人是同一人</w:t>
      </w:r>
    </w:p>
    <w:p w14:paraId="3B4E97A7">
      <w:pPr>
        <w:snapToGrid w:val="0"/>
        <w:spacing w:line="276" w:lineRule="auto"/>
        <w:rPr>
          <w:rFonts w:hint="eastAsia" w:ascii="宋体" w:hAnsi="宋体" w:eastAsia="宋体" w:cs="宋体"/>
          <w:spacing w:val="6"/>
          <w:sz w:val="24"/>
        </w:rPr>
      </w:pPr>
      <w:r>
        <w:rPr>
          <w:rFonts w:hint="eastAsia" w:ascii="宋体" w:hAnsi="宋体" w:eastAsia="宋体" w:cs="宋体"/>
          <w:sz w:val="24"/>
        </w:rPr>
        <w:t xml:space="preserve">  B.法定代表人或负责人或实际控制人是夫妻关系</w:t>
      </w:r>
    </w:p>
    <w:p w14:paraId="14EDD427">
      <w:pPr>
        <w:snapToGrid w:val="0"/>
        <w:spacing w:line="276" w:lineRule="auto"/>
        <w:rPr>
          <w:rFonts w:hint="eastAsia" w:ascii="宋体" w:hAnsi="宋体" w:eastAsia="宋体" w:cs="宋体"/>
          <w:spacing w:val="6"/>
          <w:sz w:val="24"/>
        </w:rPr>
      </w:pPr>
      <w:r>
        <w:rPr>
          <w:rFonts w:hint="eastAsia" w:ascii="宋体" w:hAnsi="宋体" w:eastAsia="宋体" w:cs="宋体"/>
          <w:sz w:val="24"/>
        </w:rPr>
        <w:t xml:space="preserve">  C.法定代表人或负责人或实际控制人是直系血亲关系</w:t>
      </w:r>
    </w:p>
    <w:p w14:paraId="53F6FA7A">
      <w:pPr>
        <w:snapToGrid w:val="0"/>
        <w:spacing w:line="276" w:lineRule="auto"/>
        <w:rPr>
          <w:rFonts w:hint="eastAsia" w:ascii="宋体" w:hAnsi="宋体" w:eastAsia="宋体" w:cs="宋体"/>
          <w:spacing w:val="6"/>
          <w:sz w:val="24"/>
        </w:rPr>
      </w:pPr>
      <w:r>
        <w:rPr>
          <w:rFonts w:hint="eastAsia" w:ascii="宋体" w:hAnsi="宋体" w:eastAsia="宋体" w:cs="宋体"/>
          <w:sz w:val="24"/>
        </w:rPr>
        <w:t xml:space="preserve">  D.法定代表人或负责人或实际控制人存在三代以内旁系血亲关系</w:t>
      </w:r>
    </w:p>
    <w:p w14:paraId="33676F81">
      <w:pPr>
        <w:snapToGrid w:val="0"/>
        <w:spacing w:line="276" w:lineRule="auto"/>
        <w:rPr>
          <w:rFonts w:hint="eastAsia" w:ascii="宋体" w:hAnsi="宋体" w:eastAsia="宋体" w:cs="宋体"/>
          <w:sz w:val="24"/>
        </w:rPr>
      </w:pPr>
      <w:r>
        <w:rPr>
          <w:rFonts w:hint="eastAsia" w:ascii="宋体" w:hAnsi="宋体" w:eastAsia="宋体" w:cs="宋体"/>
          <w:sz w:val="24"/>
        </w:rPr>
        <w:t xml:space="preserve">  E.法定代表人或负责人或实际控制人存在近姻亲关系</w:t>
      </w:r>
    </w:p>
    <w:p w14:paraId="50BBB57B">
      <w:pPr>
        <w:snapToGrid w:val="0"/>
        <w:spacing w:line="276" w:lineRule="auto"/>
        <w:rPr>
          <w:rFonts w:hint="eastAsia" w:ascii="宋体" w:hAnsi="宋体" w:eastAsia="宋体" w:cs="宋体"/>
          <w:sz w:val="24"/>
        </w:rPr>
      </w:pPr>
      <w:r>
        <w:rPr>
          <w:rFonts w:hint="eastAsia" w:ascii="宋体" w:hAnsi="宋体" w:eastAsia="宋体" w:cs="宋体"/>
          <w:sz w:val="24"/>
        </w:rPr>
        <w:t xml:space="preserve">  F.法定代表人或负责人或实际控制人存在股份控制或实际控制关系</w:t>
      </w:r>
    </w:p>
    <w:p w14:paraId="18BE718D">
      <w:pPr>
        <w:snapToGrid w:val="0"/>
        <w:spacing w:line="276" w:lineRule="auto"/>
        <w:rPr>
          <w:rFonts w:hint="eastAsia" w:ascii="宋体" w:hAnsi="宋体" w:eastAsia="宋体" w:cs="宋体"/>
          <w:sz w:val="24"/>
        </w:rPr>
      </w:pPr>
      <w:r>
        <w:rPr>
          <w:rFonts w:hint="eastAsia" w:ascii="宋体" w:hAnsi="宋体" w:eastAsia="宋体" w:cs="宋体"/>
          <w:sz w:val="24"/>
        </w:rPr>
        <w:t xml:space="preserve">  G.存在共同直接或间接投资设立子公司、联营企业和合营企业情况</w:t>
      </w:r>
    </w:p>
    <w:p w14:paraId="3071678A">
      <w:pPr>
        <w:snapToGrid w:val="0"/>
        <w:spacing w:line="276" w:lineRule="auto"/>
        <w:rPr>
          <w:rFonts w:hint="eastAsia" w:ascii="宋体" w:hAnsi="宋体" w:eastAsia="宋体" w:cs="宋体"/>
          <w:sz w:val="24"/>
        </w:rPr>
      </w:pPr>
      <w:r>
        <w:rPr>
          <w:rFonts w:hint="eastAsia" w:ascii="宋体" w:hAnsi="宋体" w:eastAsia="宋体" w:cs="宋体"/>
          <w:sz w:val="24"/>
        </w:rPr>
        <w:t xml:space="preserve">  H.存在分级代理或代销关系、同一生产制造商关系、管理关系、重要业务（占主营业务收入50%以上）或重要财务往来关系（如融资）等其他实质性控制关系</w:t>
      </w:r>
    </w:p>
    <w:p w14:paraId="00327314">
      <w:pPr>
        <w:snapToGrid w:val="0"/>
        <w:spacing w:line="276" w:lineRule="auto"/>
        <w:rPr>
          <w:rFonts w:hint="eastAsia" w:ascii="宋体" w:hAnsi="宋体" w:eastAsia="宋体" w:cs="宋体"/>
          <w:spacing w:val="6"/>
          <w:sz w:val="24"/>
        </w:rPr>
      </w:pPr>
      <w:r>
        <w:rPr>
          <w:rFonts w:hint="eastAsia" w:ascii="宋体" w:hAnsi="宋体" w:eastAsia="宋体" w:cs="宋体"/>
          <w:sz w:val="24"/>
        </w:rPr>
        <w:t>I.其他利害关系情况。</w:t>
      </w:r>
    </w:p>
    <w:p w14:paraId="2028921B">
      <w:pPr>
        <w:snapToGrid w:val="0"/>
        <w:spacing w:line="276" w:lineRule="auto"/>
        <w:rPr>
          <w:rFonts w:hint="eastAsia" w:ascii="宋体" w:hAnsi="宋体" w:eastAsia="宋体" w:cs="宋体"/>
          <w:sz w:val="24"/>
        </w:rPr>
      </w:pPr>
      <w:r>
        <w:rPr>
          <w:rFonts w:hint="eastAsia" w:ascii="宋体" w:hAnsi="宋体" w:eastAsia="宋体" w:cs="宋体"/>
          <w:sz w:val="24"/>
        </w:rPr>
        <w:t>三、现已清楚知道并严格遵守政府采购法律法规和现场纪律。</w:t>
      </w:r>
    </w:p>
    <w:p w14:paraId="154BBD3C">
      <w:pPr>
        <w:snapToGrid w:val="0"/>
        <w:spacing w:line="276" w:lineRule="auto"/>
        <w:rPr>
          <w:rFonts w:hint="eastAsia" w:ascii="宋体" w:hAnsi="宋体" w:eastAsia="宋体" w:cs="宋体"/>
          <w:sz w:val="24"/>
        </w:rPr>
      </w:pPr>
      <w:r>
        <w:rPr>
          <w:rFonts w:hint="eastAsia" w:ascii="宋体" w:hAnsi="宋体" w:eastAsia="宋体" w:cs="宋体"/>
          <w:sz w:val="24"/>
        </w:rPr>
        <w:t>四、我发现供应商之间存在或可能存在上述第二条第</w:t>
      </w:r>
      <w:r>
        <w:rPr>
          <w:rFonts w:hint="eastAsia" w:ascii="宋体" w:hAnsi="宋体" w:eastAsia="宋体" w:cs="宋体"/>
          <w:sz w:val="24"/>
          <w:u w:val="single"/>
        </w:rPr>
        <w:t xml:space="preserve">    </w:t>
      </w:r>
      <w:r>
        <w:rPr>
          <w:rFonts w:hint="eastAsia" w:ascii="宋体" w:hAnsi="宋体" w:eastAsia="宋体" w:cs="宋体"/>
          <w:sz w:val="24"/>
        </w:rPr>
        <w:t>项利害关系。</w:t>
      </w:r>
    </w:p>
    <w:p w14:paraId="0A6B7DB1">
      <w:pPr>
        <w:snapToGrid w:val="0"/>
        <w:spacing w:line="276"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eastAsia="宋体" w:cs="宋体"/>
          <w:sz w:val="24"/>
        </w:rPr>
        <w:t>不存在利害关系</w:t>
      </w:r>
    </w:p>
    <w:p w14:paraId="7F7D1082">
      <w:pPr>
        <w:snapToGrid w:val="0"/>
        <w:spacing w:line="276" w:lineRule="auto"/>
        <w:ind w:firstLine="480" w:firstLineChars="200"/>
        <w:rPr>
          <w:rFonts w:hint="eastAsia" w:ascii="宋体" w:hAnsi="宋体" w:eastAsia="宋体" w:cs="宋体"/>
          <w:sz w:val="24"/>
        </w:rPr>
      </w:pPr>
      <w:r>
        <w:rPr>
          <w:rFonts w:hint="eastAsia" w:ascii="宋体" w:hAnsi="宋体" w:eastAsia="宋体" w:cs="宋体"/>
          <w:sz w:val="24"/>
        </w:rPr>
        <w:t>□存在下列利害关系</w:t>
      </w:r>
    </w:p>
    <w:p w14:paraId="66A987FB">
      <w:pPr>
        <w:snapToGrid w:val="0"/>
        <w:spacing w:line="276" w:lineRule="auto"/>
        <w:ind w:firstLine="480" w:firstLineChars="200"/>
        <w:rPr>
          <w:rFonts w:hint="eastAsia" w:ascii="宋体" w:hAnsi="宋体" w:eastAsia="宋体" w:cs="宋体"/>
          <w:sz w:val="24"/>
        </w:rPr>
      </w:pPr>
    </w:p>
    <w:p w14:paraId="02C761AC">
      <w:pPr>
        <w:snapToGrid w:val="0"/>
        <w:spacing w:line="276" w:lineRule="auto"/>
        <w:ind w:firstLine="482" w:firstLineChars="200"/>
        <w:rPr>
          <w:rFonts w:hint="eastAsia" w:ascii="宋体" w:hAnsi="宋体" w:eastAsia="宋体" w:cs="宋体"/>
          <w:b/>
          <w:sz w:val="24"/>
        </w:rPr>
      </w:pPr>
      <w:r>
        <w:rPr>
          <w:rFonts w:hint="eastAsia" w:ascii="宋体" w:hAnsi="宋体" w:eastAsia="宋体" w:cs="宋体"/>
          <w:b/>
          <w:sz w:val="24"/>
        </w:rPr>
        <w:t>供应商代表签名：</w:t>
      </w:r>
    </w:p>
    <w:p w14:paraId="4BEB3ADF">
      <w:pPr>
        <w:spacing w:line="276" w:lineRule="auto"/>
        <w:ind w:firstLine="3840" w:firstLineChars="1600"/>
        <w:rPr>
          <w:rFonts w:hint="eastAsia" w:ascii="宋体" w:hAnsi="宋体" w:eastAsia="宋体" w:cs="宋体"/>
          <w:sz w:val="24"/>
        </w:rPr>
      </w:pPr>
    </w:p>
    <w:p w14:paraId="4E9D3704">
      <w:pPr>
        <w:spacing w:line="276" w:lineRule="auto"/>
        <w:ind w:firstLine="5880" w:firstLineChars="2450"/>
        <w:rPr>
          <w:rFonts w:hint="eastAsia" w:ascii="宋体" w:hAnsi="宋体" w:eastAsia="宋体" w:cs="宋体"/>
        </w:rPr>
      </w:pPr>
      <w:r>
        <w:rPr>
          <w:rFonts w:hint="eastAsia" w:ascii="宋体" w:hAnsi="宋体" w:eastAsia="宋体" w:cs="宋体"/>
          <w:sz w:val="24"/>
        </w:rPr>
        <w:t>年  月   日</w:t>
      </w:r>
    </w:p>
    <w:p w14:paraId="2ADA351F">
      <w:pPr>
        <w:pStyle w:val="91"/>
        <w:widowControl/>
        <w:tabs>
          <w:tab w:val="left" w:pos="420"/>
        </w:tabs>
        <w:spacing w:line="360" w:lineRule="auto"/>
        <w:ind w:right="80" w:rightChars="40"/>
        <w:jc w:val="left"/>
        <w:rPr>
          <w:rFonts w:hint="eastAsia" w:ascii="宋体" w:hAnsi="宋体" w:eastAsia="宋体" w:cs="宋体"/>
        </w:rPr>
      </w:pPr>
    </w:p>
    <w:sectPr>
      <w:pgSz w:w="11906" w:h="16838"/>
      <w:pgMar w:top="2040" w:right="1440" w:bottom="1440" w:left="179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6F9C">
    <w:pPr>
      <w:pStyle w:val="2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A0E4">
    <w:pPr>
      <w:pStyle w:val="26"/>
      <w:rPr>
        <w:rFonts w:eastAsiaTheme="minor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3E21B8">
                          <w:pPr>
                            <w:pStyle w:val="2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46</w:t>
                          </w:r>
                          <w:r>
                            <w:rPr>
                              <w:sz w:val="21"/>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mwD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umwDdABAACqAwAADgAAAAAAAAABACAAAAAeAQAAZHJz&#10;L2Uyb0RvYy54bWxQSwUGAAAAAAYABgBZAQAAYAUAAAAA&#10;">
              <v:fill on="f" focussize="0,0"/>
              <v:stroke on="f"/>
              <v:imagedata o:title=""/>
              <o:lock v:ext="edit" aspectratio="f"/>
              <v:textbox inset="0mm,0mm,0mm,0mm" style="mso-fit-shape-to-text:t;">
                <w:txbxContent>
                  <w:p w14:paraId="263E21B8">
                    <w:pPr>
                      <w:pStyle w:val="2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46</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5262">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9641">
    <w:pPr>
      <w:pStyle w:val="27"/>
      <w:pBdr>
        <w:bottom w:val="single" w:color="auto" w:sz="4" w:space="0"/>
      </w:pBdr>
      <w:jc w:val="left"/>
    </w:pPr>
    <w:r>
      <w:drawing>
        <wp:inline distT="0" distB="0" distL="114300" distR="114300">
          <wp:extent cx="545465" cy="432435"/>
          <wp:effectExtent l="0" t="0" r="698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eastAsia="黑体"/>
      </w:rPr>
      <w:t xml:space="preserve">     </w:t>
    </w: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2025年台州市环境噪声自动监测设备运维项目竞争性磋商文件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5956">
    <w:pPr>
      <w:pStyle w:val="27"/>
      <w:pBdr>
        <w:bottom w:val="single" w:color="auto" w:sz="4" w:space="0"/>
      </w:pBdr>
      <w:jc w:val="left"/>
      <w:rPr>
        <w:lang w:val="en-US"/>
      </w:rP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eastAsia="黑体"/>
      </w:rPr>
      <w:t xml:space="preserve">     </w:t>
    </w: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2025年台州市环境噪声自动监测设备运维项目竞争性磋商文件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193C">
    <w:pPr>
      <w:pStyle w:val="27"/>
      <w:pBdr>
        <w:bottom w:val="single" w:color="auto" w:sz="4" w:space="0"/>
      </w:pBdr>
      <w:jc w:val="left"/>
      <w:rPr>
        <w:rFonts w:hint="eastAsia" w:ascii="仿宋" w:hAnsi="仿宋" w:eastAsia="仿宋" w:cs="仿宋"/>
        <w:sz w:val="21"/>
        <w:szCs w:val="21"/>
        <w:lang w:val="en-US" w:eastAsia="zh-CN"/>
      </w:rPr>
    </w:pPr>
    <w:r>
      <w:drawing>
        <wp:inline distT="0" distB="0" distL="114300" distR="114300">
          <wp:extent cx="545465" cy="432435"/>
          <wp:effectExtent l="0" t="0" r="698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eastAsia="黑体"/>
      </w:rPr>
      <w:t xml:space="preserve">      </w:t>
    </w:r>
    <w:r>
      <w:rPr>
        <w:rFonts w:hint="eastAsia" w:eastAsia="黑体"/>
        <w:lang w:val="en-US" w:eastAsia="zh-CN"/>
      </w:rPr>
      <w:t xml:space="preserve">                </w:t>
    </w:r>
    <w:r>
      <w:rPr>
        <w:rFonts w:hint="eastAsia" w:ascii="仿宋" w:hAnsi="仿宋" w:eastAsia="仿宋" w:cs="仿宋"/>
        <w:sz w:val="21"/>
        <w:szCs w:val="21"/>
        <w:lang w:eastAsia="zh-CN"/>
      </w:rPr>
      <w:t>2025年台州市环境噪声自动监测设备运维项目竞争性磋商文件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CD27F"/>
    <w:multiLevelType w:val="singleLevel"/>
    <w:tmpl w:val="981CD27F"/>
    <w:lvl w:ilvl="0" w:tentative="0">
      <w:start w:val="1"/>
      <w:numFmt w:val="decimal"/>
      <w:lvlText w:val="%1."/>
      <w:lvlJc w:val="left"/>
      <w:pPr>
        <w:ind w:left="425" w:hanging="425"/>
      </w:pPr>
      <w:rPr>
        <w:rFonts w:hint="default"/>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6"/>
    <w:multiLevelType w:val="singleLevel"/>
    <w:tmpl w:val="00000006"/>
    <w:lvl w:ilvl="0" w:tentative="0">
      <w:start w:val="2"/>
      <w:numFmt w:val="chineseCounting"/>
      <w:suff w:val="space"/>
      <w:lvlText w:val="第%1部分"/>
      <w:lvlJc w:val="left"/>
      <w:pPr>
        <w:ind w:left="-960"/>
      </w:pPr>
      <w:rPr>
        <w:rFonts w:hint="eastAsia"/>
      </w:rPr>
    </w:lvl>
  </w:abstractNum>
  <w:abstractNum w:abstractNumId="3">
    <w:nsid w:val="00000007"/>
    <w:multiLevelType w:val="multilevel"/>
    <w:tmpl w:val="00000007"/>
    <w:lvl w:ilvl="0" w:tentative="0">
      <w:start w:val="1"/>
      <w:numFmt w:val="decimal"/>
      <w:pStyle w:val="8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B"/>
    <w:multiLevelType w:val="multilevel"/>
    <w:tmpl w:val="0000000B"/>
    <w:lvl w:ilvl="0" w:tentative="0">
      <w:start w:val="1"/>
      <w:numFmt w:val="decimal"/>
      <w:pStyle w:val="14"/>
      <w:suff w:val="space"/>
      <w:lvlText w:val="图%1."/>
      <w:lvlJc w:val="left"/>
      <w:pPr>
        <w:ind w:left="3681" w:hanging="420"/>
      </w:pPr>
      <w:rPr>
        <w:b w:val="0"/>
        <w:bCs w:val="0"/>
        <w:i w:val="0"/>
        <w:iCs w:val="0"/>
        <w:caps w:val="0"/>
        <w:smallCaps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5">
    <w:nsid w:val="0B9D6C9C"/>
    <w:multiLevelType w:val="singleLevel"/>
    <w:tmpl w:val="0B9D6C9C"/>
    <w:lvl w:ilvl="0" w:tentative="0">
      <w:start w:val="1"/>
      <w:numFmt w:val="decimal"/>
      <w:lvlText w:val="%1."/>
      <w:lvlJc w:val="left"/>
      <w:pPr>
        <w:ind w:left="425" w:hanging="425"/>
      </w:pPr>
      <w:rPr>
        <w:rFonts w:hint="default"/>
      </w:rPr>
    </w:lvl>
  </w:abstractNum>
  <w:abstractNum w:abstractNumId="6">
    <w:nsid w:val="49F360AB"/>
    <w:multiLevelType w:val="singleLevel"/>
    <w:tmpl w:val="49F360AB"/>
    <w:lvl w:ilvl="0" w:tentative="0">
      <w:start w:val="1"/>
      <w:numFmt w:val="chineseCounting"/>
      <w:suff w:val="nothing"/>
      <w:lvlText w:val="（%1）"/>
      <w:lvlJc w:val="left"/>
      <w:pPr>
        <w:ind w:left="-20" w:firstLine="420"/>
      </w:pPr>
      <w:rPr>
        <w:rFonts w:hint="eastAsia"/>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2RjOGRhYzNlYjQ0Mjg2NTYzNzBiMDk0YWFlMDgifQ=="/>
    <w:docVar w:name="KSO_WPS_MARK_KEY" w:val="178162e6-66f4-417c-89c0-35c4e07598df"/>
  </w:docVars>
  <w:rsids>
    <w:rsidRoot w:val="00172A27"/>
    <w:rsid w:val="000038A3"/>
    <w:rsid w:val="00005B7A"/>
    <w:rsid w:val="000114A8"/>
    <w:rsid w:val="00012C54"/>
    <w:rsid w:val="0001335F"/>
    <w:rsid w:val="00024A29"/>
    <w:rsid w:val="000275AE"/>
    <w:rsid w:val="00027AC8"/>
    <w:rsid w:val="00035FB2"/>
    <w:rsid w:val="00041B78"/>
    <w:rsid w:val="000431BD"/>
    <w:rsid w:val="00047235"/>
    <w:rsid w:val="00047B79"/>
    <w:rsid w:val="0006124B"/>
    <w:rsid w:val="000701A2"/>
    <w:rsid w:val="00072463"/>
    <w:rsid w:val="00080CD6"/>
    <w:rsid w:val="00085773"/>
    <w:rsid w:val="000900DA"/>
    <w:rsid w:val="000932DA"/>
    <w:rsid w:val="000A1C7D"/>
    <w:rsid w:val="000B1576"/>
    <w:rsid w:val="000E5920"/>
    <w:rsid w:val="000F6EAF"/>
    <w:rsid w:val="000F71F2"/>
    <w:rsid w:val="001052CD"/>
    <w:rsid w:val="00117D8C"/>
    <w:rsid w:val="00121B1A"/>
    <w:rsid w:val="001232F3"/>
    <w:rsid w:val="00136EFA"/>
    <w:rsid w:val="00145EC8"/>
    <w:rsid w:val="00150095"/>
    <w:rsid w:val="00163AC1"/>
    <w:rsid w:val="00163FF0"/>
    <w:rsid w:val="001651C4"/>
    <w:rsid w:val="00172A27"/>
    <w:rsid w:val="001A0625"/>
    <w:rsid w:val="001A14F4"/>
    <w:rsid w:val="001A29CC"/>
    <w:rsid w:val="001A431E"/>
    <w:rsid w:val="001A4973"/>
    <w:rsid w:val="001A65E7"/>
    <w:rsid w:val="001A6C70"/>
    <w:rsid w:val="001B01C0"/>
    <w:rsid w:val="001B3FA3"/>
    <w:rsid w:val="001C1860"/>
    <w:rsid w:val="001C477D"/>
    <w:rsid w:val="001C6105"/>
    <w:rsid w:val="001D1429"/>
    <w:rsid w:val="001D6083"/>
    <w:rsid w:val="001E0597"/>
    <w:rsid w:val="001E1311"/>
    <w:rsid w:val="001E5C2A"/>
    <w:rsid w:val="001E5F9B"/>
    <w:rsid w:val="001F0ACD"/>
    <w:rsid w:val="001F2885"/>
    <w:rsid w:val="001F4616"/>
    <w:rsid w:val="002033F9"/>
    <w:rsid w:val="0020605E"/>
    <w:rsid w:val="00213BC5"/>
    <w:rsid w:val="00214A66"/>
    <w:rsid w:val="002245DF"/>
    <w:rsid w:val="00227FCB"/>
    <w:rsid w:val="00231F19"/>
    <w:rsid w:val="00236D80"/>
    <w:rsid w:val="00244847"/>
    <w:rsid w:val="00247345"/>
    <w:rsid w:val="00247739"/>
    <w:rsid w:val="00250042"/>
    <w:rsid w:val="00252F45"/>
    <w:rsid w:val="00253308"/>
    <w:rsid w:val="00275949"/>
    <w:rsid w:val="002773E4"/>
    <w:rsid w:val="00283426"/>
    <w:rsid w:val="00284789"/>
    <w:rsid w:val="00287088"/>
    <w:rsid w:val="00290DCD"/>
    <w:rsid w:val="00293977"/>
    <w:rsid w:val="00297E1D"/>
    <w:rsid w:val="002A02F1"/>
    <w:rsid w:val="002A7BB8"/>
    <w:rsid w:val="002B582C"/>
    <w:rsid w:val="002D4D9E"/>
    <w:rsid w:val="002E0C3F"/>
    <w:rsid w:val="002E4199"/>
    <w:rsid w:val="002F0240"/>
    <w:rsid w:val="002F1206"/>
    <w:rsid w:val="002F7364"/>
    <w:rsid w:val="003021EA"/>
    <w:rsid w:val="0031140C"/>
    <w:rsid w:val="0031204C"/>
    <w:rsid w:val="003311CB"/>
    <w:rsid w:val="00333F83"/>
    <w:rsid w:val="003347D8"/>
    <w:rsid w:val="003372DA"/>
    <w:rsid w:val="00337773"/>
    <w:rsid w:val="00340AAF"/>
    <w:rsid w:val="00342EA7"/>
    <w:rsid w:val="00344974"/>
    <w:rsid w:val="00344F97"/>
    <w:rsid w:val="003465F5"/>
    <w:rsid w:val="00356808"/>
    <w:rsid w:val="003605EC"/>
    <w:rsid w:val="00362F2B"/>
    <w:rsid w:val="00373E8B"/>
    <w:rsid w:val="00385042"/>
    <w:rsid w:val="0038519D"/>
    <w:rsid w:val="003861B7"/>
    <w:rsid w:val="00386737"/>
    <w:rsid w:val="00387A3F"/>
    <w:rsid w:val="00391FFE"/>
    <w:rsid w:val="0039365A"/>
    <w:rsid w:val="003A2762"/>
    <w:rsid w:val="003B1A0F"/>
    <w:rsid w:val="003B202E"/>
    <w:rsid w:val="003B475E"/>
    <w:rsid w:val="003B4BAB"/>
    <w:rsid w:val="003D2101"/>
    <w:rsid w:val="003E06A5"/>
    <w:rsid w:val="003E0746"/>
    <w:rsid w:val="003E2714"/>
    <w:rsid w:val="003E2BBC"/>
    <w:rsid w:val="003F6B65"/>
    <w:rsid w:val="0040175F"/>
    <w:rsid w:val="0040520A"/>
    <w:rsid w:val="0040526B"/>
    <w:rsid w:val="004053F5"/>
    <w:rsid w:val="00405448"/>
    <w:rsid w:val="00406C77"/>
    <w:rsid w:val="00413599"/>
    <w:rsid w:val="00417515"/>
    <w:rsid w:val="00423658"/>
    <w:rsid w:val="00427492"/>
    <w:rsid w:val="004278E6"/>
    <w:rsid w:val="00427EFF"/>
    <w:rsid w:val="0043143B"/>
    <w:rsid w:val="00432764"/>
    <w:rsid w:val="00432903"/>
    <w:rsid w:val="004331C4"/>
    <w:rsid w:val="00434C59"/>
    <w:rsid w:val="00436EAA"/>
    <w:rsid w:val="00440F51"/>
    <w:rsid w:val="00445DD8"/>
    <w:rsid w:val="00447920"/>
    <w:rsid w:val="00447B1B"/>
    <w:rsid w:val="004508F4"/>
    <w:rsid w:val="004605A4"/>
    <w:rsid w:val="00460DD3"/>
    <w:rsid w:val="004620B9"/>
    <w:rsid w:val="00465251"/>
    <w:rsid w:val="00465605"/>
    <w:rsid w:val="00467A50"/>
    <w:rsid w:val="00467AE3"/>
    <w:rsid w:val="00481EFB"/>
    <w:rsid w:val="00483CD4"/>
    <w:rsid w:val="004851D2"/>
    <w:rsid w:val="0048561C"/>
    <w:rsid w:val="00486DC8"/>
    <w:rsid w:val="00487149"/>
    <w:rsid w:val="00487893"/>
    <w:rsid w:val="00487C06"/>
    <w:rsid w:val="00493AE1"/>
    <w:rsid w:val="00495CA9"/>
    <w:rsid w:val="004B7AA8"/>
    <w:rsid w:val="004C70BB"/>
    <w:rsid w:val="004D5E7B"/>
    <w:rsid w:val="004D7214"/>
    <w:rsid w:val="004E18F8"/>
    <w:rsid w:val="004E56B1"/>
    <w:rsid w:val="004F1B2C"/>
    <w:rsid w:val="004F431B"/>
    <w:rsid w:val="004F4697"/>
    <w:rsid w:val="004F50D0"/>
    <w:rsid w:val="00501014"/>
    <w:rsid w:val="00502670"/>
    <w:rsid w:val="00502772"/>
    <w:rsid w:val="00514EB5"/>
    <w:rsid w:val="00515F76"/>
    <w:rsid w:val="00526CD7"/>
    <w:rsid w:val="00530C96"/>
    <w:rsid w:val="00531DDD"/>
    <w:rsid w:val="005369E7"/>
    <w:rsid w:val="00542BD5"/>
    <w:rsid w:val="00542C19"/>
    <w:rsid w:val="00547A8F"/>
    <w:rsid w:val="00551CE9"/>
    <w:rsid w:val="00554B2F"/>
    <w:rsid w:val="0056025D"/>
    <w:rsid w:val="00565B94"/>
    <w:rsid w:val="0056780C"/>
    <w:rsid w:val="00574555"/>
    <w:rsid w:val="005769D6"/>
    <w:rsid w:val="00580A49"/>
    <w:rsid w:val="005819CF"/>
    <w:rsid w:val="00582557"/>
    <w:rsid w:val="0058449F"/>
    <w:rsid w:val="005871D2"/>
    <w:rsid w:val="005906BB"/>
    <w:rsid w:val="00592260"/>
    <w:rsid w:val="005945EC"/>
    <w:rsid w:val="0059741E"/>
    <w:rsid w:val="005A0E95"/>
    <w:rsid w:val="005A0FC9"/>
    <w:rsid w:val="005A4D58"/>
    <w:rsid w:val="005B3EFA"/>
    <w:rsid w:val="005B45EA"/>
    <w:rsid w:val="005B6D38"/>
    <w:rsid w:val="005C4AF5"/>
    <w:rsid w:val="005C780A"/>
    <w:rsid w:val="005D1CAA"/>
    <w:rsid w:val="005D5B13"/>
    <w:rsid w:val="005D5C07"/>
    <w:rsid w:val="005D78D3"/>
    <w:rsid w:val="005E1336"/>
    <w:rsid w:val="005E3490"/>
    <w:rsid w:val="005E5BB1"/>
    <w:rsid w:val="005E755D"/>
    <w:rsid w:val="005F2040"/>
    <w:rsid w:val="005F2290"/>
    <w:rsid w:val="005F3E1D"/>
    <w:rsid w:val="005F42E3"/>
    <w:rsid w:val="005F6DAA"/>
    <w:rsid w:val="00606F88"/>
    <w:rsid w:val="006079DC"/>
    <w:rsid w:val="0061195D"/>
    <w:rsid w:val="0061753A"/>
    <w:rsid w:val="00620389"/>
    <w:rsid w:val="006464AF"/>
    <w:rsid w:val="00650A93"/>
    <w:rsid w:val="00651E51"/>
    <w:rsid w:val="00653D25"/>
    <w:rsid w:val="00655D5C"/>
    <w:rsid w:val="00660118"/>
    <w:rsid w:val="00660662"/>
    <w:rsid w:val="0066454D"/>
    <w:rsid w:val="006659F0"/>
    <w:rsid w:val="006802F0"/>
    <w:rsid w:val="0068183C"/>
    <w:rsid w:val="00687EDC"/>
    <w:rsid w:val="00690C04"/>
    <w:rsid w:val="0069314B"/>
    <w:rsid w:val="006937B7"/>
    <w:rsid w:val="00695A4D"/>
    <w:rsid w:val="00697B6C"/>
    <w:rsid w:val="006A0566"/>
    <w:rsid w:val="006A0A33"/>
    <w:rsid w:val="006A1B95"/>
    <w:rsid w:val="006B0A06"/>
    <w:rsid w:val="006C132C"/>
    <w:rsid w:val="006C2673"/>
    <w:rsid w:val="006C2DB8"/>
    <w:rsid w:val="006C4164"/>
    <w:rsid w:val="006D2D27"/>
    <w:rsid w:val="006D424C"/>
    <w:rsid w:val="006D7D0E"/>
    <w:rsid w:val="006E07ED"/>
    <w:rsid w:val="006F0C6D"/>
    <w:rsid w:val="00700590"/>
    <w:rsid w:val="007006EC"/>
    <w:rsid w:val="00701D24"/>
    <w:rsid w:val="00711B46"/>
    <w:rsid w:val="00717E83"/>
    <w:rsid w:val="00726FD5"/>
    <w:rsid w:val="0072730E"/>
    <w:rsid w:val="00732EDB"/>
    <w:rsid w:val="00736DF8"/>
    <w:rsid w:val="00737BF2"/>
    <w:rsid w:val="00745600"/>
    <w:rsid w:val="007536EE"/>
    <w:rsid w:val="00756E24"/>
    <w:rsid w:val="007614AC"/>
    <w:rsid w:val="0076187B"/>
    <w:rsid w:val="00763C6A"/>
    <w:rsid w:val="00771A49"/>
    <w:rsid w:val="00776B92"/>
    <w:rsid w:val="00776E57"/>
    <w:rsid w:val="00780967"/>
    <w:rsid w:val="00780C11"/>
    <w:rsid w:val="007837DD"/>
    <w:rsid w:val="007866CB"/>
    <w:rsid w:val="00786700"/>
    <w:rsid w:val="007870FB"/>
    <w:rsid w:val="00790352"/>
    <w:rsid w:val="00794B22"/>
    <w:rsid w:val="00797A14"/>
    <w:rsid w:val="007A2BE7"/>
    <w:rsid w:val="007A3412"/>
    <w:rsid w:val="007A6ED5"/>
    <w:rsid w:val="007B37B7"/>
    <w:rsid w:val="007B7518"/>
    <w:rsid w:val="007C0333"/>
    <w:rsid w:val="007C156E"/>
    <w:rsid w:val="007E23D7"/>
    <w:rsid w:val="007E3297"/>
    <w:rsid w:val="007E3AF0"/>
    <w:rsid w:val="007E406D"/>
    <w:rsid w:val="007F2A30"/>
    <w:rsid w:val="007F31CE"/>
    <w:rsid w:val="007F735E"/>
    <w:rsid w:val="008076EE"/>
    <w:rsid w:val="008106C4"/>
    <w:rsid w:val="008124AC"/>
    <w:rsid w:val="0081295E"/>
    <w:rsid w:val="00820A7E"/>
    <w:rsid w:val="00822BC7"/>
    <w:rsid w:val="00832032"/>
    <w:rsid w:val="00834997"/>
    <w:rsid w:val="008413DD"/>
    <w:rsid w:val="0084223D"/>
    <w:rsid w:val="00846961"/>
    <w:rsid w:val="00846D6C"/>
    <w:rsid w:val="008507A1"/>
    <w:rsid w:val="008523F9"/>
    <w:rsid w:val="00857405"/>
    <w:rsid w:val="00860008"/>
    <w:rsid w:val="00861C1F"/>
    <w:rsid w:val="008664FF"/>
    <w:rsid w:val="00866606"/>
    <w:rsid w:val="008666C1"/>
    <w:rsid w:val="00867DDB"/>
    <w:rsid w:val="008703ED"/>
    <w:rsid w:val="0087249C"/>
    <w:rsid w:val="008766EF"/>
    <w:rsid w:val="008772A1"/>
    <w:rsid w:val="00880AF5"/>
    <w:rsid w:val="00881174"/>
    <w:rsid w:val="00881743"/>
    <w:rsid w:val="00881A88"/>
    <w:rsid w:val="00887160"/>
    <w:rsid w:val="00893583"/>
    <w:rsid w:val="008A4997"/>
    <w:rsid w:val="008B087B"/>
    <w:rsid w:val="008B24DB"/>
    <w:rsid w:val="008B6173"/>
    <w:rsid w:val="008C6D22"/>
    <w:rsid w:val="008C6D96"/>
    <w:rsid w:val="008D11A0"/>
    <w:rsid w:val="008D4181"/>
    <w:rsid w:val="008D448F"/>
    <w:rsid w:val="008D692E"/>
    <w:rsid w:val="009028A0"/>
    <w:rsid w:val="009048EC"/>
    <w:rsid w:val="0090516A"/>
    <w:rsid w:val="00914D39"/>
    <w:rsid w:val="00915104"/>
    <w:rsid w:val="00915C01"/>
    <w:rsid w:val="009170C0"/>
    <w:rsid w:val="00920BC0"/>
    <w:rsid w:val="009212E2"/>
    <w:rsid w:val="00923FF9"/>
    <w:rsid w:val="00924132"/>
    <w:rsid w:val="00924C49"/>
    <w:rsid w:val="00932A14"/>
    <w:rsid w:val="00935E55"/>
    <w:rsid w:val="009537C8"/>
    <w:rsid w:val="00954E27"/>
    <w:rsid w:val="0095715A"/>
    <w:rsid w:val="00961053"/>
    <w:rsid w:val="00967285"/>
    <w:rsid w:val="009716F5"/>
    <w:rsid w:val="00972210"/>
    <w:rsid w:val="00973821"/>
    <w:rsid w:val="00975042"/>
    <w:rsid w:val="009826A4"/>
    <w:rsid w:val="009832B2"/>
    <w:rsid w:val="0098651D"/>
    <w:rsid w:val="00991027"/>
    <w:rsid w:val="00994783"/>
    <w:rsid w:val="00996E11"/>
    <w:rsid w:val="00997614"/>
    <w:rsid w:val="009A1FEA"/>
    <w:rsid w:val="009A3F6B"/>
    <w:rsid w:val="009A6D00"/>
    <w:rsid w:val="009A721F"/>
    <w:rsid w:val="009B4660"/>
    <w:rsid w:val="009C0B81"/>
    <w:rsid w:val="009C291C"/>
    <w:rsid w:val="009C32BE"/>
    <w:rsid w:val="009D445E"/>
    <w:rsid w:val="009D4FA3"/>
    <w:rsid w:val="009F56E9"/>
    <w:rsid w:val="009F5D9F"/>
    <w:rsid w:val="009F7D79"/>
    <w:rsid w:val="00A04664"/>
    <w:rsid w:val="00A07C9F"/>
    <w:rsid w:val="00A11709"/>
    <w:rsid w:val="00A12BCB"/>
    <w:rsid w:val="00A175FE"/>
    <w:rsid w:val="00A30E27"/>
    <w:rsid w:val="00A4058E"/>
    <w:rsid w:val="00A40AF8"/>
    <w:rsid w:val="00A427AB"/>
    <w:rsid w:val="00A43294"/>
    <w:rsid w:val="00A45D38"/>
    <w:rsid w:val="00A472D0"/>
    <w:rsid w:val="00A479BF"/>
    <w:rsid w:val="00A47BB2"/>
    <w:rsid w:val="00A5003B"/>
    <w:rsid w:val="00A5039F"/>
    <w:rsid w:val="00A52FE0"/>
    <w:rsid w:val="00A53AAB"/>
    <w:rsid w:val="00A55D3A"/>
    <w:rsid w:val="00A641EE"/>
    <w:rsid w:val="00A7020E"/>
    <w:rsid w:val="00A721C5"/>
    <w:rsid w:val="00A77AEB"/>
    <w:rsid w:val="00AA4AB9"/>
    <w:rsid w:val="00AA6782"/>
    <w:rsid w:val="00AA7E0B"/>
    <w:rsid w:val="00AB5DAB"/>
    <w:rsid w:val="00AB6CA1"/>
    <w:rsid w:val="00AC1546"/>
    <w:rsid w:val="00AC3954"/>
    <w:rsid w:val="00AC3E4D"/>
    <w:rsid w:val="00AC653C"/>
    <w:rsid w:val="00AC66E2"/>
    <w:rsid w:val="00AD09C0"/>
    <w:rsid w:val="00AD2E6C"/>
    <w:rsid w:val="00AD3CD8"/>
    <w:rsid w:val="00AD406B"/>
    <w:rsid w:val="00AD4C9B"/>
    <w:rsid w:val="00AD54F1"/>
    <w:rsid w:val="00AE32B3"/>
    <w:rsid w:val="00AE4E32"/>
    <w:rsid w:val="00AF299C"/>
    <w:rsid w:val="00AF4C07"/>
    <w:rsid w:val="00B006AF"/>
    <w:rsid w:val="00B01C00"/>
    <w:rsid w:val="00B13A01"/>
    <w:rsid w:val="00B14E4D"/>
    <w:rsid w:val="00B15BE0"/>
    <w:rsid w:val="00B218BA"/>
    <w:rsid w:val="00B22415"/>
    <w:rsid w:val="00B225E0"/>
    <w:rsid w:val="00B251D0"/>
    <w:rsid w:val="00B3561C"/>
    <w:rsid w:val="00B41E27"/>
    <w:rsid w:val="00B44B53"/>
    <w:rsid w:val="00B45FDA"/>
    <w:rsid w:val="00B5089F"/>
    <w:rsid w:val="00B56529"/>
    <w:rsid w:val="00B574D5"/>
    <w:rsid w:val="00B600AA"/>
    <w:rsid w:val="00B6771D"/>
    <w:rsid w:val="00B67890"/>
    <w:rsid w:val="00B86DA5"/>
    <w:rsid w:val="00B8784E"/>
    <w:rsid w:val="00B93AD5"/>
    <w:rsid w:val="00B93B92"/>
    <w:rsid w:val="00BA3959"/>
    <w:rsid w:val="00BB0ADF"/>
    <w:rsid w:val="00BB1490"/>
    <w:rsid w:val="00BB29EB"/>
    <w:rsid w:val="00BC03FE"/>
    <w:rsid w:val="00BC3CEC"/>
    <w:rsid w:val="00BD17FB"/>
    <w:rsid w:val="00BF43CF"/>
    <w:rsid w:val="00BF7E35"/>
    <w:rsid w:val="00C04981"/>
    <w:rsid w:val="00C04A45"/>
    <w:rsid w:val="00C1248F"/>
    <w:rsid w:val="00C164F1"/>
    <w:rsid w:val="00C2781F"/>
    <w:rsid w:val="00C33928"/>
    <w:rsid w:val="00C344F1"/>
    <w:rsid w:val="00C523F2"/>
    <w:rsid w:val="00C550A8"/>
    <w:rsid w:val="00C56923"/>
    <w:rsid w:val="00C60136"/>
    <w:rsid w:val="00C64B4F"/>
    <w:rsid w:val="00C767C7"/>
    <w:rsid w:val="00C76BA2"/>
    <w:rsid w:val="00C95192"/>
    <w:rsid w:val="00CA4F53"/>
    <w:rsid w:val="00CA6879"/>
    <w:rsid w:val="00CA6EF8"/>
    <w:rsid w:val="00CB0540"/>
    <w:rsid w:val="00CB4FE1"/>
    <w:rsid w:val="00CB7FBD"/>
    <w:rsid w:val="00CC4C74"/>
    <w:rsid w:val="00CC6EDA"/>
    <w:rsid w:val="00CD3C06"/>
    <w:rsid w:val="00CD5481"/>
    <w:rsid w:val="00CE03B5"/>
    <w:rsid w:val="00CE5F26"/>
    <w:rsid w:val="00CE689C"/>
    <w:rsid w:val="00CF077C"/>
    <w:rsid w:val="00CF3341"/>
    <w:rsid w:val="00CF4105"/>
    <w:rsid w:val="00CF5ADE"/>
    <w:rsid w:val="00D16ECD"/>
    <w:rsid w:val="00D17242"/>
    <w:rsid w:val="00D3205D"/>
    <w:rsid w:val="00D32FF9"/>
    <w:rsid w:val="00D36520"/>
    <w:rsid w:val="00D370FE"/>
    <w:rsid w:val="00D40734"/>
    <w:rsid w:val="00D42857"/>
    <w:rsid w:val="00D43341"/>
    <w:rsid w:val="00D452F4"/>
    <w:rsid w:val="00D473F1"/>
    <w:rsid w:val="00D47ECF"/>
    <w:rsid w:val="00D55C53"/>
    <w:rsid w:val="00D56249"/>
    <w:rsid w:val="00D60158"/>
    <w:rsid w:val="00D631DE"/>
    <w:rsid w:val="00D64CAD"/>
    <w:rsid w:val="00D66E81"/>
    <w:rsid w:val="00D66EB8"/>
    <w:rsid w:val="00D76B78"/>
    <w:rsid w:val="00D82BAE"/>
    <w:rsid w:val="00D83EA7"/>
    <w:rsid w:val="00D86BC2"/>
    <w:rsid w:val="00D90B4C"/>
    <w:rsid w:val="00D9173A"/>
    <w:rsid w:val="00D97BF6"/>
    <w:rsid w:val="00DA0BAF"/>
    <w:rsid w:val="00DA0C65"/>
    <w:rsid w:val="00DA5D2A"/>
    <w:rsid w:val="00DB1C4A"/>
    <w:rsid w:val="00DB38A5"/>
    <w:rsid w:val="00DC5D11"/>
    <w:rsid w:val="00DE1587"/>
    <w:rsid w:val="00DE3873"/>
    <w:rsid w:val="00DE60AA"/>
    <w:rsid w:val="00DF3596"/>
    <w:rsid w:val="00DF365E"/>
    <w:rsid w:val="00DF66B1"/>
    <w:rsid w:val="00E04746"/>
    <w:rsid w:val="00E04AB0"/>
    <w:rsid w:val="00E04E51"/>
    <w:rsid w:val="00E135BE"/>
    <w:rsid w:val="00E14C5E"/>
    <w:rsid w:val="00E17C0E"/>
    <w:rsid w:val="00E201A9"/>
    <w:rsid w:val="00E23B37"/>
    <w:rsid w:val="00E25DDF"/>
    <w:rsid w:val="00E31EB0"/>
    <w:rsid w:val="00E34891"/>
    <w:rsid w:val="00E43C27"/>
    <w:rsid w:val="00E46A97"/>
    <w:rsid w:val="00E46CF4"/>
    <w:rsid w:val="00E52031"/>
    <w:rsid w:val="00E52FBE"/>
    <w:rsid w:val="00E571AF"/>
    <w:rsid w:val="00E60491"/>
    <w:rsid w:val="00E61A7C"/>
    <w:rsid w:val="00E61BC0"/>
    <w:rsid w:val="00E62F5E"/>
    <w:rsid w:val="00E6376A"/>
    <w:rsid w:val="00E67C0E"/>
    <w:rsid w:val="00E70D65"/>
    <w:rsid w:val="00E806D6"/>
    <w:rsid w:val="00E90F38"/>
    <w:rsid w:val="00E92397"/>
    <w:rsid w:val="00EA116B"/>
    <w:rsid w:val="00EA7990"/>
    <w:rsid w:val="00EA7E25"/>
    <w:rsid w:val="00EB6DFC"/>
    <w:rsid w:val="00EC2BB2"/>
    <w:rsid w:val="00EC2D13"/>
    <w:rsid w:val="00EC4A1F"/>
    <w:rsid w:val="00EC4A47"/>
    <w:rsid w:val="00ED1C26"/>
    <w:rsid w:val="00ED2526"/>
    <w:rsid w:val="00ED5B3D"/>
    <w:rsid w:val="00EE2300"/>
    <w:rsid w:val="00EE5D12"/>
    <w:rsid w:val="00EF03C6"/>
    <w:rsid w:val="00EF10CC"/>
    <w:rsid w:val="00EF19B9"/>
    <w:rsid w:val="00EF400D"/>
    <w:rsid w:val="00EF45F1"/>
    <w:rsid w:val="00EF4FC8"/>
    <w:rsid w:val="00F01B8F"/>
    <w:rsid w:val="00F03881"/>
    <w:rsid w:val="00F149BA"/>
    <w:rsid w:val="00F206EE"/>
    <w:rsid w:val="00F22AE0"/>
    <w:rsid w:val="00F22E35"/>
    <w:rsid w:val="00F23417"/>
    <w:rsid w:val="00F25930"/>
    <w:rsid w:val="00F271E9"/>
    <w:rsid w:val="00F31FE7"/>
    <w:rsid w:val="00F334A8"/>
    <w:rsid w:val="00F34821"/>
    <w:rsid w:val="00F35C17"/>
    <w:rsid w:val="00F37F24"/>
    <w:rsid w:val="00F41CBD"/>
    <w:rsid w:val="00F440CC"/>
    <w:rsid w:val="00F45381"/>
    <w:rsid w:val="00F45597"/>
    <w:rsid w:val="00F458AE"/>
    <w:rsid w:val="00F51E2B"/>
    <w:rsid w:val="00F5781B"/>
    <w:rsid w:val="00F610D6"/>
    <w:rsid w:val="00F63155"/>
    <w:rsid w:val="00F638A6"/>
    <w:rsid w:val="00F660FE"/>
    <w:rsid w:val="00F67947"/>
    <w:rsid w:val="00F72E30"/>
    <w:rsid w:val="00F74818"/>
    <w:rsid w:val="00F80D17"/>
    <w:rsid w:val="00F873C4"/>
    <w:rsid w:val="00FA6D98"/>
    <w:rsid w:val="00FA7166"/>
    <w:rsid w:val="00FB5A26"/>
    <w:rsid w:val="00FC2657"/>
    <w:rsid w:val="00FC3A12"/>
    <w:rsid w:val="00FD24FB"/>
    <w:rsid w:val="00FD68BC"/>
    <w:rsid w:val="00FE1BFE"/>
    <w:rsid w:val="00FF7BF9"/>
    <w:rsid w:val="011623CA"/>
    <w:rsid w:val="013178A8"/>
    <w:rsid w:val="01504EBC"/>
    <w:rsid w:val="01546ADD"/>
    <w:rsid w:val="01562D53"/>
    <w:rsid w:val="01BC22FC"/>
    <w:rsid w:val="01C3074A"/>
    <w:rsid w:val="01DE4A51"/>
    <w:rsid w:val="01E17102"/>
    <w:rsid w:val="01E60C52"/>
    <w:rsid w:val="020461DA"/>
    <w:rsid w:val="020F7067"/>
    <w:rsid w:val="02380502"/>
    <w:rsid w:val="023968C9"/>
    <w:rsid w:val="0267406A"/>
    <w:rsid w:val="02825AA1"/>
    <w:rsid w:val="028468C6"/>
    <w:rsid w:val="02A347B8"/>
    <w:rsid w:val="02B374D5"/>
    <w:rsid w:val="02BC6249"/>
    <w:rsid w:val="02C11BDD"/>
    <w:rsid w:val="02C622EC"/>
    <w:rsid w:val="034E164E"/>
    <w:rsid w:val="03546191"/>
    <w:rsid w:val="037F3B2B"/>
    <w:rsid w:val="0395410D"/>
    <w:rsid w:val="039E2F0D"/>
    <w:rsid w:val="03C61198"/>
    <w:rsid w:val="03D509D1"/>
    <w:rsid w:val="0425340D"/>
    <w:rsid w:val="045633D0"/>
    <w:rsid w:val="045D6F7A"/>
    <w:rsid w:val="049547D2"/>
    <w:rsid w:val="04A71717"/>
    <w:rsid w:val="04AC135F"/>
    <w:rsid w:val="04B40B43"/>
    <w:rsid w:val="04C64E6C"/>
    <w:rsid w:val="04C66C1A"/>
    <w:rsid w:val="04F84D59"/>
    <w:rsid w:val="055E5005"/>
    <w:rsid w:val="05760640"/>
    <w:rsid w:val="057D7F33"/>
    <w:rsid w:val="05890730"/>
    <w:rsid w:val="058F52DC"/>
    <w:rsid w:val="059C5BCD"/>
    <w:rsid w:val="05C74BA4"/>
    <w:rsid w:val="05CC3F28"/>
    <w:rsid w:val="05D222F9"/>
    <w:rsid w:val="05F219EE"/>
    <w:rsid w:val="06286A7C"/>
    <w:rsid w:val="063819C7"/>
    <w:rsid w:val="066962E3"/>
    <w:rsid w:val="06AF1767"/>
    <w:rsid w:val="06C142F6"/>
    <w:rsid w:val="06D0541E"/>
    <w:rsid w:val="06F5185A"/>
    <w:rsid w:val="0744655F"/>
    <w:rsid w:val="07601B48"/>
    <w:rsid w:val="07BB39B3"/>
    <w:rsid w:val="07C1479C"/>
    <w:rsid w:val="07E1130D"/>
    <w:rsid w:val="07E8207F"/>
    <w:rsid w:val="08005D51"/>
    <w:rsid w:val="08016791"/>
    <w:rsid w:val="0801680B"/>
    <w:rsid w:val="08555E36"/>
    <w:rsid w:val="08607940"/>
    <w:rsid w:val="08695E01"/>
    <w:rsid w:val="087F46F8"/>
    <w:rsid w:val="08983B17"/>
    <w:rsid w:val="08F1443B"/>
    <w:rsid w:val="092A7388"/>
    <w:rsid w:val="09417202"/>
    <w:rsid w:val="096E3ED7"/>
    <w:rsid w:val="098B757F"/>
    <w:rsid w:val="099F51AF"/>
    <w:rsid w:val="09B279C5"/>
    <w:rsid w:val="09C37385"/>
    <w:rsid w:val="09D34D68"/>
    <w:rsid w:val="09D465B6"/>
    <w:rsid w:val="09E87020"/>
    <w:rsid w:val="0A01246E"/>
    <w:rsid w:val="0A5348F2"/>
    <w:rsid w:val="0A9F0AD7"/>
    <w:rsid w:val="0AD03DB8"/>
    <w:rsid w:val="0AE12D20"/>
    <w:rsid w:val="0B1874AC"/>
    <w:rsid w:val="0B302645"/>
    <w:rsid w:val="0B305AE4"/>
    <w:rsid w:val="0B3B1D18"/>
    <w:rsid w:val="0B7C3420"/>
    <w:rsid w:val="0B856596"/>
    <w:rsid w:val="0BB7772B"/>
    <w:rsid w:val="0C2515AA"/>
    <w:rsid w:val="0C5B3A30"/>
    <w:rsid w:val="0C5C278F"/>
    <w:rsid w:val="0C5F01C9"/>
    <w:rsid w:val="0C7A25C7"/>
    <w:rsid w:val="0CC77134"/>
    <w:rsid w:val="0CE422B2"/>
    <w:rsid w:val="0CE43A1D"/>
    <w:rsid w:val="0D0B4FD2"/>
    <w:rsid w:val="0D117F69"/>
    <w:rsid w:val="0D2766C4"/>
    <w:rsid w:val="0D35694E"/>
    <w:rsid w:val="0D947D29"/>
    <w:rsid w:val="0D9B6B3E"/>
    <w:rsid w:val="0DA73D0A"/>
    <w:rsid w:val="0DA74182"/>
    <w:rsid w:val="0DF54B0C"/>
    <w:rsid w:val="0E352E1F"/>
    <w:rsid w:val="0E675287"/>
    <w:rsid w:val="0E9F61ED"/>
    <w:rsid w:val="0F240337"/>
    <w:rsid w:val="0F2D52E4"/>
    <w:rsid w:val="0F3550C8"/>
    <w:rsid w:val="0F512B95"/>
    <w:rsid w:val="0F542F90"/>
    <w:rsid w:val="0F5F0397"/>
    <w:rsid w:val="0F6F4A9E"/>
    <w:rsid w:val="0F814FEB"/>
    <w:rsid w:val="0FCB06E7"/>
    <w:rsid w:val="0FCE58F9"/>
    <w:rsid w:val="0FD1352E"/>
    <w:rsid w:val="10A66EAE"/>
    <w:rsid w:val="10BA6FE3"/>
    <w:rsid w:val="10F114F7"/>
    <w:rsid w:val="10F7636E"/>
    <w:rsid w:val="11041C20"/>
    <w:rsid w:val="114A2981"/>
    <w:rsid w:val="119C5A4F"/>
    <w:rsid w:val="119F5A75"/>
    <w:rsid w:val="11FC760E"/>
    <w:rsid w:val="121C001C"/>
    <w:rsid w:val="1251230F"/>
    <w:rsid w:val="12632E6F"/>
    <w:rsid w:val="12933338"/>
    <w:rsid w:val="12BC165D"/>
    <w:rsid w:val="12D47B42"/>
    <w:rsid w:val="12D65C08"/>
    <w:rsid w:val="12F06879"/>
    <w:rsid w:val="12F946A9"/>
    <w:rsid w:val="13206945"/>
    <w:rsid w:val="134E4041"/>
    <w:rsid w:val="135C5FEF"/>
    <w:rsid w:val="136B3BD1"/>
    <w:rsid w:val="1378065D"/>
    <w:rsid w:val="139F286A"/>
    <w:rsid w:val="13EF58C4"/>
    <w:rsid w:val="141C6857"/>
    <w:rsid w:val="142E04E9"/>
    <w:rsid w:val="144D4D34"/>
    <w:rsid w:val="14641C9B"/>
    <w:rsid w:val="14C0395E"/>
    <w:rsid w:val="14C36646"/>
    <w:rsid w:val="14E27B29"/>
    <w:rsid w:val="15022275"/>
    <w:rsid w:val="154441CA"/>
    <w:rsid w:val="15485AB7"/>
    <w:rsid w:val="154F32E8"/>
    <w:rsid w:val="158427FA"/>
    <w:rsid w:val="15944BDD"/>
    <w:rsid w:val="15A458ED"/>
    <w:rsid w:val="15C02403"/>
    <w:rsid w:val="15C43E75"/>
    <w:rsid w:val="15CA4620"/>
    <w:rsid w:val="15E769F0"/>
    <w:rsid w:val="1649227B"/>
    <w:rsid w:val="165D6883"/>
    <w:rsid w:val="16B45E26"/>
    <w:rsid w:val="16D80476"/>
    <w:rsid w:val="16F755F1"/>
    <w:rsid w:val="172638CA"/>
    <w:rsid w:val="172A383E"/>
    <w:rsid w:val="176737D3"/>
    <w:rsid w:val="178D6125"/>
    <w:rsid w:val="17992826"/>
    <w:rsid w:val="179A0796"/>
    <w:rsid w:val="17C169E7"/>
    <w:rsid w:val="180460C9"/>
    <w:rsid w:val="183D3240"/>
    <w:rsid w:val="184738BC"/>
    <w:rsid w:val="18971F66"/>
    <w:rsid w:val="189A583A"/>
    <w:rsid w:val="18BD2890"/>
    <w:rsid w:val="18D46CF7"/>
    <w:rsid w:val="18D77969"/>
    <w:rsid w:val="18F85161"/>
    <w:rsid w:val="190059CB"/>
    <w:rsid w:val="193077C6"/>
    <w:rsid w:val="19706654"/>
    <w:rsid w:val="1A21743C"/>
    <w:rsid w:val="1A2C0611"/>
    <w:rsid w:val="1A446159"/>
    <w:rsid w:val="1A4F6B65"/>
    <w:rsid w:val="1A5569C0"/>
    <w:rsid w:val="1A562612"/>
    <w:rsid w:val="1ACC3B93"/>
    <w:rsid w:val="1B266268"/>
    <w:rsid w:val="1B4773D3"/>
    <w:rsid w:val="1B4E73BB"/>
    <w:rsid w:val="1B972C67"/>
    <w:rsid w:val="1B9751B6"/>
    <w:rsid w:val="1BB13C2B"/>
    <w:rsid w:val="1BEE6D2B"/>
    <w:rsid w:val="1BF63E31"/>
    <w:rsid w:val="1C0336FA"/>
    <w:rsid w:val="1C0E60FA"/>
    <w:rsid w:val="1C8D4F6B"/>
    <w:rsid w:val="1CFB08BD"/>
    <w:rsid w:val="1D0C6093"/>
    <w:rsid w:val="1D28727D"/>
    <w:rsid w:val="1D5C3FFD"/>
    <w:rsid w:val="1E41349F"/>
    <w:rsid w:val="1E4F0944"/>
    <w:rsid w:val="1E6641A1"/>
    <w:rsid w:val="1E712063"/>
    <w:rsid w:val="1E817A8C"/>
    <w:rsid w:val="1E923E64"/>
    <w:rsid w:val="1EA67676"/>
    <w:rsid w:val="1EAE622C"/>
    <w:rsid w:val="1F120F82"/>
    <w:rsid w:val="1F156D4A"/>
    <w:rsid w:val="1F1C5452"/>
    <w:rsid w:val="1F2B3058"/>
    <w:rsid w:val="1F2E4FAD"/>
    <w:rsid w:val="1F617C48"/>
    <w:rsid w:val="1F622EFE"/>
    <w:rsid w:val="1F8D7AF2"/>
    <w:rsid w:val="1F900A03"/>
    <w:rsid w:val="1F9B3AAF"/>
    <w:rsid w:val="1FB165AB"/>
    <w:rsid w:val="1FD53C7E"/>
    <w:rsid w:val="200D6413"/>
    <w:rsid w:val="20150F95"/>
    <w:rsid w:val="201D751C"/>
    <w:rsid w:val="203D6C79"/>
    <w:rsid w:val="20482782"/>
    <w:rsid w:val="20515934"/>
    <w:rsid w:val="20564E9E"/>
    <w:rsid w:val="20717ED9"/>
    <w:rsid w:val="20EC770E"/>
    <w:rsid w:val="2101236D"/>
    <w:rsid w:val="21040020"/>
    <w:rsid w:val="21144D1C"/>
    <w:rsid w:val="21235C71"/>
    <w:rsid w:val="213E7CFF"/>
    <w:rsid w:val="21961D53"/>
    <w:rsid w:val="21A872F6"/>
    <w:rsid w:val="21AB371E"/>
    <w:rsid w:val="21BA10BC"/>
    <w:rsid w:val="21BC18E5"/>
    <w:rsid w:val="21CA7C8D"/>
    <w:rsid w:val="220347D3"/>
    <w:rsid w:val="226B5481"/>
    <w:rsid w:val="229E0699"/>
    <w:rsid w:val="22C0315D"/>
    <w:rsid w:val="22C44480"/>
    <w:rsid w:val="22D86245"/>
    <w:rsid w:val="22F16EDF"/>
    <w:rsid w:val="22F51545"/>
    <w:rsid w:val="22FB2804"/>
    <w:rsid w:val="230C57D3"/>
    <w:rsid w:val="2346506F"/>
    <w:rsid w:val="23753063"/>
    <w:rsid w:val="237B42DB"/>
    <w:rsid w:val="237C631E"/>
    <w:rsid w:val="23853855"/>
    <w:rsid w:val="238B7FD3"/>
    <w:rsid w:val="23B4085A"/>
    <w:rsid w:val="23CD422A"/>
    <w:rsid w:val="23E36500"/>
    <w:rsid w:val="23FF6DC3"/>
    <w:rsid w:val="24103163"/>
    <w:rsid w:val="24420D0D"/>
    <w:rsid w:val="24AC3CA1"/>
    <w:rsid w:val="24D035F8"/>
    <w:rsid w:val="2518335E"/>
    <w:rsid w:val="25210F03"/>
    <w:rsid w:val="253140CF"/>
    <w:rsid w:val="2535609A"/>
    <w:rsid w:val="25492F2F"/>
    <w:rsid w:val="25844550"/>
    <w:rsid w:val="258933CA"/>
    <w:rsid w:val="259E7BFC"/>
    <w:rsid w:val="25B50392"/>
    <w:rsid w:val="26455AD4"/>
    <w:rsid w:val="264C2CD4"/>
    <w:rsid w:val="267846E9"/>
    <w:rsid w:val="26D06721"/>
    <w:rsid w:val="26E912AC"/>
    <w:rsid w:val="27287330"/>
    <w:rsid w:val="276E24B8"/>
    <w:rsid w:val="277D0FEF"/>
    <w:rsid w:val="278E7FA5"/>
    <w:rsid w:val="27B63601"/>
    <w:rsid w:val="27DE0694"/>
    <w:rsid w:val="2817486C"/>
    <w:rsid w:val="28357A8F"/>
    <w:rsid w:val="28665E9B"/>
    <w:rsid w:val="287412B3"/>
    <w:rsid w:val="289279B7"/>
    <w:rsid w:val="28C908C5"/>
    <w:rsid w:val="28D76B8C"/>
    <w:rsid w:val="28FB689E"/>
    <w:rsid w:val="2902134A"/>
    <w:rsid w:val="29160A16"/>
    <w:rsid w:val="296B6A67"/>
    <w:rsid w:val="29CA7657"/>
    <w:rsid w:val="29F976A0"/>
    <w:rsid w:val="2A887A7C"/>
    <w:rsid w:val="2A8E3E14"/>
    <w:rsid w:val="2A985D5A"/>
    <w:rsid w:val="2AAA170B"/>
    <w:rsid w:val="2ACE75FA"/>
    <w:rsid w:val="2ADC7E12"/>
    <w:rsid w:val="2AE9023B"/>
    <w:rsid w:val="2B042E3E"/>
    <w:rsid w:val="2B0B41C3"/>
    <w:rsid w:val="2B212891"/>
    <w:rsid w:val="2B290C21"/>
    <w:rsid w:val="2B380403"/>
    <w:rsid w:val="2BA967CA"/>
    <w:rsid w:val="2BAD4EBE"/>
    <w:rsid w:val="2BB92785"/>
    <w:rsid w:val="2BE640CD"/>
    <w:rsid w:val="2C004579"/>
    <w:rsid w:val="2C0C11E9"/>
    <w:rsid w:val="2C183B74"/>
    <w:rsid w:val="2C3845D6"/>
    <w:rsid w:val="2C5A2488"/>
    <w:rsid w:val="2C9214D2"/>
    <w:rsid w:val="2CAB0320"/>
    <w:rsid w:val="2CC519DD"/>
    <w:rsid w:val="2CC56951"/>
    <w:rsid w:val="2CF13BDF"/>
    <w:rsid w:val="2D0C0814"/>
    <w:rsid w:val="2D160C3A"/>
    <w:rsid w:val="2D205696"/>
    <w:rsid w:val="2D2E4B77"/>
    <w:rsid w:val="2D7814BD"/>
    <w:rsid w:val="2D8217A1"/>
    <w:rsid w:val="2D860C6C"/>
    <w:rsid w:val="2DBC7C61"/>
    <w:rsid w:val="2DC3741A"/>
    <w:rsid w:val="2DCB629B"/>
    <w:rsid w:val="2DEE568C"/>
    <w:rsid w:val="2DF46387"/>
    <w:rsid w:val="2E0E0C41"/>
    <w:rsid w:val="2E5B5F95"/>
    <w:rsid w:val="2E62403F"/>
    <w:rsid w:val="2E63539A"/>
    <w:rsid w:val="2E8C45CA"/>
    <w:rsid w:val="2E973170"/>
    <w:rsid w:val="2E974061"/>
    <w:rsid w:val="2E9E4318"/>
    <w:rsid w:val="2F0A5B41"/>
    <w:rsid w:val="2F1B260D"/>
    <w:rsid w:val="2F494232"/>
    <w:rsid w:val="2F8E39B1"/>
    <w:rsid w:val="2FA729BA"/>
    <w:rsid w:val="2FB22DDF"/>
    <w:rsid w:val="2FB86700"/>
    <w:rsid w:val="2FB95C14"/>
    <w:rsid w:val="2FBE6857"/>
    <w:rsid w:val="2FD111B3"/>
    <w:rsid w:val="2FD74676"/>
    <w:rsid w:val="304837A9"/>
    <w:rsid w:val="304E3EB2"/>
    <w:rsid w:val="3057486D"/>
    <w:rsid w:val="305D6C23"/>
    <w:rsid w:val="3065285A"/>
    <w:rsid w:val="309279EF"/>
    <w:rsid w:val="31463519"/>
    <w:rsid w:val="31717455"/>
    <w:rsid w:val="31845A8A"/>
    <w:rsid w:val="31E61BDA"/>
    <w:rsid w:val="323963CE"/>
    <w:rsid w:val="325600C4"/>
    <w:rsid w:val="327804FF"/>
    <w:rsid w:val="329A5388"/>
    <w:rsid w:val="32B94C32"/>
    <w:rsid w:val="32C20726"/>
    <w:rsid w:val="33447451"/>
    <w:rsid w:val="334F512D"/>
    <w:rsid w:val="335F50F1"/>
    <w:rsid w:val="3376678B"/>
    <w:rsid w:val="33980CCF"/>
    <w:rsid w:val="33982F77"/>
    <w:rsid w:val="33A50436"/>
    <w:rsid w:val="33AB28AB"/>
    <w:rsid w:val="33CD651B"/>
    <w:rsid w:val="33DB1DA3"/>
    <w:rsid w:val="342D56DA"/>
    <w:rsid w:val="343D1607"/>
    <w:rsid w:val="34555ECA"/>
    <w:rsid w:val="34721C93"/>
    <w:rsid w:val="34754E7E"/>
    <w:rsid w:val="34984336"/>
    <w:rsid w:val="34BF2BBB"/>
    <w:rsid w:val="34F15B8C"/>
    <w:rsid w:val="352163F3"/>
    <w:rsid w:val="353C386D"/>
    <w:rsid w:val="356C1F51"/>
    <w:rsid w:val="35742B28"/>
    <w:rsid w:val="357F4000"/>
    <w:rsid w:val="358A0411"/>
    <w:rsid w:val="35B66FBC"/>
    <w:rsid w:val="35E4005F"/>
    <w:rsid w:val="35E97218"/>
    <w:rsid w:val="36144D32"/>
    <w:rsid w:val="36582737"/>
    <w:rsid w:val="367D505B"/>
    <w:rsid w:val="36AA7FE6"/>
    <w:rsid w:val="36BC435A"/>
    <w:rsid w:val="36C956DC"/>
    <w:rsid w:val="36DE030B"/>
    <w:rsid w:val="370E24F0"/>
    <w:rsid w:val="373375B6"/>
    <w:rsid w:val="375C1AB2"/>
    <w:rsid w:val="37643EED"/>
    <w:rsid w:val="37681293"/>
    <w:rsid w:val="37D44899"/>
    <w:rsid w:val="380A2AAF"/>
    <w:rsid w:val="38352A4A"/>
    <w:rsid w:val="385066DF"/>
    <w:rsid w:val="38643F5C"/>
    <w:rsid w:val="38A953A1"/>
    <w:rsid w:val="39084EB5"/>
    <w:rsid w:val="39416B01"/>
    <w:rsid w:val="39710FAE"/>
    <w:rsid w:val="399D66DA"/>
    <w:rsid w:val="39A61629"/>
    <w:rsid w:val="39B50FDF"/>
    <w:rsid w:val="39CC6C0F"/>
    <w:rsid w:val="39F82063"/>
    <w:rsid w:val="3A4E6937"/>
    <w:rsid w:val="3A6C5C4B"/>
    <w:rsid w:val="3AA66E46"/>
    <w:rsid w:val="3ABF7ED1"/>
    <w:rsid w:val="3ADD337D"/>
    <w:rsid w:val="3AF063AC"/>
    <w:rsid w:val="3B101652"/>
    <w:rsid w:val="3B6D4FCC"/>
    <w:rsid w:val="3B767A2F"/>
    <w:rsid w:val="3BAB2C15"/>
    <w:rsid w:val="3BBF6C5B"/>
    <w:rsid w:val="3C16604E"/>
    <w:rsid w:val="3C3349AB"/>
    <w:rsid w:val="3C553D75"/>
    <w:rsid w:val="3C7C29E6"/>
    <w:rsid w:val="3CB80C6F"/>
    <w:rsid w:val="3CBD358A"/>
    <w:rsid w:val="3D2F6588"/>
    <w:rsid w:val="3D6174B9"/>
    <w:rsid w:val="3D8876FD"/>
    <w:rsid w:val="3D891244"/>
    <w:rsid w:val="3D9C02A9"/>
    <w:rsid w:val="3DCA4734"/>
    <w:rsid w:val="3E13289B"/>
    <w:rsid w:val="3E1514BA"/>
    <w:rsid w:val="3E2A7AA2"/>
    <w:rsid w:val="3E38180D"/>
    <w:rsid w:val="3E3C2FE5"/>
    <w:rsid w:val="3E83460E"/>
    <w:rsid w:val="3EBE5893"/>
    <w:rsid w:val="3F2935A3"/>
    <w:rsid w:val="3F53245F"/>
    <w:rsid w:val="3FC15E35"/>
    <w:rsid w:val="3FD06A01"/>
    <w:rsid w:val="3FFD5829"/>
    <w:rsid w:val="3FFF2337"/>
    <w:rsid w:val="40023A72"/>
    <w:rsid w:val="40195627"/>
    <w:rsid w:val="40444CFF"/>
    <w:rsid w:val="408C0FC8"/>
    <w:rsid w:val="40982FC4"/>
    <w:rsid w:val="40A27B6F"/>
    <w:rsid w:val="40DE393F"/>
    <w:rsid w:val="40E07C07"/>
    <w:rsid w:val="40FA474D"/>
    <w:rsid w:val="40FA6F4F"/>
    <w:rsid w:val="41362456"/>
    <w:rsid w:val="41755279"/>
    <w:rsid w:val="418A0163"/>
    <w:rsid w:val="419B0645"/>
    <w:rsid w:val="41BD66D4"/>
    <w:rsid w:val="41C15503"/>
    <w:rsid w:val="41CA2B9F"/>
    <w:rsid w:val="41CC206D"/>
    <w:rsid w:val="41ED4C4B"/>
    <w:rsid w:val="41FA25B4"/>
    <w:rsid w:val="420670DA"/>
    <w:rsid w:val="4213523B"/>
    <w:rsid w:val="421B789E"/>
    <w:rsid w:val="42305A4D"/>
    <w:rsid w:val="42A62C20"/>
    <w:rsid w:val="42B536FF"/>
    <w:rsid w:val="42B666CC"/>
    <w:rsid w:val="42C17530"/>
    <w:rsid w:val="42F47B5A"/>
    <w:rsid w:val="43060686"/>
    <w:rsid w:val="43A7420F"/>
    <w:rsid w:val="43D33501"/>
    <w:rsid w:val="43D6376B"/>
    <w:rsid w:val="43D80B83"/>
    <w:rsid w:val="43DD3053"/>
    <w:rsid w:val="43DF23EC"/>
    <w:rsid w:val="43E16AB3"/>
    <w:rsid w:val="440B0575"/>
    <w:rsid w:val="44257AB2"/>
    <w:rsid w:val="449D7BD7"/>
    <w:rsid w:val="44AB1E08"/>
    <w:rsid w:val="44E94E81"/>
    <w:rsid w:val="4511338C"/>
    <w:rsid w:val="45466A85"/>
    <w:rsid w:val="45490035"/>
    <w:rsid w:val="456E649B"/>
    <w:rsid w:val="459E7D6C"/>
    <w:rsid w:val="45B253A8"/>
    <w:rsid w:val="45B846FE"/>
    <w:rsid w:val="45C20774"/>
    <w:rsid w:val="45CF00E0"/>
    <w:rsid w:val="45D466E2"/>
    <w:rsid w:val="45FF7CE2"/>
    <w:rsid w:val="46001285"/>
    <w:rsid w:val="468325E4"/>
    <w:rsid w:val="46913A5F"/>
    <w:rsid w:val="46BB44DD"/>
    <w:rsid w:val="46EA0505"/>
    <w:rsid w:val="47672E63"/>
    <w:rsid w:val="47B156E7"/>
    <w:rsid w:val="47B202C1"/>
    <w:rsid w:val="47D142E5"/>
    <w:rsid w:val="47F34D26"/>
    <w:rsid w:val="482A1FFD"/>
    <w:rsid w:val="482D6171"/>
    <w:rsid w:val="484336AB"/>
    <w:rsid w:val="488066AD"/>
    <w:rsid w:val="48AE427F"/>
    <w:rsid w:val="49290AAA"/>
    <w:rsid w:val="496F0ABF"/>
    <w:rsid w:val="497A272C"/>
    <w:rsid w:val="497D142A"/>
    <w:rsid w:val="499B547E"/>
    <w:rsid w:val="49C11971"/>
    <w:rsid w:val="49C509F2"/>
    <w:rsid w:val="49DE7B2F"/>
    <w:rsid w:val="4A151E5A"/>
    <w:rsid w:val="4A3450DE"/>
    <w:rsid w:val="4A383EAC"/>
    <w:rsid w:val="4A673A82"/>
    <w:rsid w:val="4A81263B"/>
    <w:rsid w:val="4AC00430"/>
    <w:rsid w:val="4B0215FB"/>
    <w:rsid w:val="4B0A5F31"/>
    <w:rsid w:val="4B412124"/>
    <w:rsid w:val="4B66153B"/>
    <w:rsid w:val="4BCE4FB4"/>
    <w:rsid w:val="4BEE4EBC"/>
    <w:rsid w:val="4BF75943"/>
    <w:rsid w:val="4C203A1A"/>
    <w:rsid w:val="4C5C4D41"/>
    <w:rsid w:val="4C6E764F"/>
    <w:rsid w:val="4C72256F"/>
    <w:rsid w:val="4C750D0C"/>
    <w:rsid w:val="4C795052"/>
    <w:rsid w:val="4C7F706F"/>
    <w:rsid w:val="4CB46E07"/>
    <w:rsid w:val="4CCD145E"/>
    <w:rsid w:val="4CDD0AC9"/>
    <w:rsid w:val="4CE16DD9"/>
    <w:rsid w:val="4CE3466D"/>
    <w:rsid w:val="4CF338F1"/>
    <w:rsid w:val="4D2F37DC"/>
    <w:rsid w:val="4D49507F"/>
    <w:rsid w:val="4D827D81"/>
    <w:rsid w:val="4E99085F"/>
    <w:rsid w:val="4EA1444D"/>
    <w:rsid w:val="4EB24F94"/>
    <w:rsid w:val="4EC852A2"/>
    <w:rsid w:val="4EE50F65"/>
    <w:rsid w:val="4EF04CAA"/>
    <w:rsid w:val="4F07520C"/>
    <w:rsid w:val="4F215A26"/>
    <w:rsid w:val="4F2C0392"/>
    <w:rsid w:val="4F2F4C42"/>
    <w:rsid w:val="4F6A4CB4"/>
    <w:rsid w:val="4F7C7564"/>
    <w:rsid w:val="4F8808C7"/>
    <w:rsid w:val="500A10D1"/>
    <w:rsid w:val="5018415C"/>
    <w:rsid w:val="50305507"/>
    <w:rsid w:val="503304E4"/>
    <w:rsid w:val="50383C8C"/>
    <w:rsid w:val="512069BD"/>
    <w:rsid w:val="51913881"/>
    <w:rsid w:val="51C00137"/>
    <w:rsid w:val="51C76A2D"/>
    <w:rsid w:val="51E63A25"/>
    <w:rsid w:val="51FE2163"/>
    <w:rsid w:val="52082DA5"/>
    <w:rsid w:val="52656B4B"/>
    <w:rsid w:val="52AB2E72"/>
    <w:rsid w:val="52DB7DA5"/>
    <w:rsid w:val="52F2542A"/>
    <w:rsid w:val="531B71B8"/>
    <w:rsid w:val="53347432"/>
    <w:rsid w:val="534C610F"/>
    <w:rsid w:val="537A2677"/>
    <w:rsid w:val="537B3C4F"/>
    <w:rsid w:val="53914148"/>
    <w:rsid w:val="539A0A87"/>
    <w:rsid w:val="53B132AD"/>
    <w:rsid w:val="53CC3FD6"/>
    <w:rsid w:val="53CF04C3"/>
    <w:rsid w:val="54166E6B"/>
    <w:rsid w:val="546D4F9D"/>
    <w:rsid w:val="546F2A81"/>
    <w:rsid w:val="548152C2"/>
    <w:rsid w:val="548E5193"/>
    <w:rsid w:val="549B24AD"/>
    <w:rsid w:val="54DE5B8C"/>
    <w:rsid w:val="54FE7DB6"/>
    <w:rsid w:val="55072BC3"/>
    <w:rsid w:val="554D16F5"/>
    <w:rsid w:val="55685DFD"/>
    <w:rsid w:val="558F0F43"/>
    <w:rsid w:val="55923C17"/>
    <w:rsid w:val="559C22A1"/>
    <w:rsid w:val="55BC2439"/>
    <w:rsid w:val="55C36668"/>
    <w:rsid w:val="55C5658F"/>
    <w:rsid w:val="563706D9"/>
    <w:rsid w:val="5641747C"/>
    <w:rsid w:val="5642011B"/>
    <w:rsid w:val="56435816"/>
    <w:rsid w:val="567C6706"/>
    <w:rsid w:val="56B20379"/>
    <w:rsid w:val="56BC2C7D"/>
    <w:rsid w:val="56DA5E83"/>
    <w:rsid w:val="56E11498"/>
    <w:rsid w:val="5726041F"/>
    <w:rsid w:val="57C22E80"/>
    <w:rsid w:val="57C55E8A"/>
    <w:rsid w:val="57DC1F4B"/>
    <w:rsid w:val="57E10E3C"/>
    <w:rsid w:val="57E930EB"/>
    <w:rsid w:val="57E95E4E"/>
    <w:rsid w:val="57F61DB6"/>
    <w:rsid w:val="57FB0C7D"/>
    <w:rsid w:val="58816D49"/>
    <w:rsid w:val="58AC1B00"/>
    <w:rsid w:val="58D73740"/>
    <w:rsid w:val="58D77C23"/>
    <w:rsid w:val="58DF2F7C"/>
    <w:rsid w:val="58E528D7"/>
    <w:rsid w:val="593202FD"/>
    <w:rsid w:val="59401C27"/>
    <w:rsid w:val="594B7B5B"/>
    <w:rsid w:val="59756845"/>
    <w:rsid w:val="59873495"/>
    <w:rsid w:val="599363BA"/>
    <w:rsid w:val="59DA6E5E"/>
    <w:rsid w:val="59DC0EF8"/>
    <w:rsid w:val="5A08164D"/>
    <w:rsid w:val="5A2B1928"/>
    <w:rsid w:val="5A625591"/>
    <w:rsid w:val="5A7122F9"/>
    <w:rsid w:val="5A7B72D4"/>
    <w:rsid w:val="5A910A3C"/>
    <w:rsid w:val="5A984B46"/>
    <w:rsid w:val="5AD0302E"/>
    <w:rsid w:val="5AE563DE"/>
    <w:rsid w:val="5B4F4042"/>
    <w:rsid w:val="5B54298A"/>
    <w:rsid w:val="5B5C3C9C"/>
    <w:rsid w:val="5B684BA1"/>
    <w:rsid w:val="5B941AAD"/>
    <w:rsid w:val="5B9C70E5"/>
    <w:rsid w:val="5BCC79DB"/>
    <w:rsid w:val="5C3254F8"/>
    <w:rsid w:val="5C4C58FD"/>
    <w:rsid w:val="5C7834CB"/>
    <w:rsid w:val="5CA05D53"/>
    <w:rsid w:val="5CCD10D1"/>
    <w:rsid w:val="5CE33DAC"/>
    <w:rsid w:val="5CE6156F"/>
    <w:rsid w:val="5D35760E"/>
    <w:rsid w:val="5D6D5D0E"/>
    <w:rsid w:val="5DAD7CEE"/>
    <w:rsid w:val="5DFA2277"/>
    <w:rsid w:val="5E3B43E5"/>
    <w:rsid w:val="5E5B08BC"/>
    <w:rsid w:val="5E9E1088"/>
    <w:rsid w:val="5EB23249"/>
    <w:rsid w:val="5EB70F94"/>
    <w:rsid w:val="5ED46152"/>
    <w:rsid w:val="5EDC7DD3"/>
    <w:rsid w:val="5F283DA2"/>
    <w:rsid w:val="5F6A469D"/>
    <w:rsid w:val="5F8B03AF"/>
    <w:rsid w:val="5FB4699E"/>
    <w:rsid w:val="5FF37AB2"/>
    <w:rsid w:val="5FFF32C7"/>
    <w:rsid w:val="608814DD"/>
    <w:rsid w:val="60C52C25"/>
    <w:rsid w:val="60CD28A4"/>
    <w:rsid w:val="60D4713E"/>
    <w:rsid w:val="60EA3F0D"/>
    <w:rsid w:val="61074703"/>
    <w:rsid w:val="610E5548"/>
    <w:rsid w:val="6143548D"/>
    <w:rsid w:val="61470CD0"/>
    <w:rsid w:val="615D09FB"/>
    <w:rsid w:val="618F6C01"/>
    <w:rsid w:val="61B83AC0"/>
    <w:rsid w:val="61C11FB9"/>
    <w:rsid w:val="61D05FE7"/>
    <w:rsid w:val="61E82255"/>
    <w:rsid w:val="62261DCA"/>
    <w:rsid w:val="622D2FAA"/>
    <w:rsid w:val="62336506"/>
    <w:rsid w:val="62370FC2"/>
    <w:rsid w:val="627850BF"/>
    <w:rsid w:val="6299254C"/>
    <w:rsid w:val="62AA33F3"/>
    <w:rsid w:val="62AB5B4D"/>
    <w:rsid w:val="62D215F5"/>
    <w:rsid w:val="630212E8"/>
    <w:rsid w:val="631C55B7"/>
    <w:rsid w:val="63823D16"/>
    <w:rsid w:val="638E0DB9"/>
    <w:rsid w:val="63930C2D"/>
    <w:rsid w:val="63A10D9E"/>
    <w:rsid w:val="63D509C7"/>
    <w:rsid w:val="640518F4"/>
    <w:rsid w:val="645760BC"/>
    <w:rsid w:val="647468D8"/>
    <w:rsid w:val="64A67267"/>
    <w:rsid w:val="64AB60AD"/>
    <w:rsid w:val="64AD2A8C"/>
    <w:rsid w:val="64C46FE3"/>
    <w:rsid w:val="64D63A51"/>
    <w:rsid w:val="64DF6FC0"/>
    <w:rsid w:val="64EF2E69"/>
    <w:rsid w:val="65052D2D"/>
    <w:rsid w:val="650B1617"/>
    <w:rsid w:val="650E159B"/>
    <w:rsid w:val="65333E0C"/>
    <w:rsid w:val="65472E47"/>
    <w:rsid w:val="656C5B97"/>
    <w:rsid w:val="65730B47"/>
    <w:rsid w:val="6574616D"/>
    <w:rsid w:val="6589693A"/>
    <w:rsid w:val="658A53F5"/>
    <w:rsid w:val="65B8702E"/>
    <w:rsid w:val="65BB1147"/>
    <w:rsid w:val="65DC2094"/>
    <w:rsid w:val="65F92154"/>
    <w:rsid w:val="660523D4"/>
    <w:rsid w:val="66244E55"/>
    <w:rsid w:val="666D2ECC"/>
    <w:rsid w:val="66851775"/>
    <w:rsid w:val="66CC4255"/>
    <w:rsid w:val="66DA3684"/>
    <w:rsid w:val="66E337F8"/>
    <w:rsid w:val="67194360"/>
    <w:rsid w:val="67246FC7"/>
    <w:rsid w:val="678278F4"/>
    <w:rsid w:val="67946327"/>
    <w:rsid w:val="67A3521F"/>
    <w:rsid w:val="67E24CE3"/>
    <w:rsid w:val="68307E01"/>
    <w:rsid w:val="68430E2E"/>
    <w:rsid w:val="6848595A"/>
    <w:rsid w:val="688E17F8"/>
    <w:rsid w:val="68BB4D76"/>
    <w:rsid w:val="68D77F0A"/>
    <w:rsid w:val="6933538B"/>
    <w:rsid w:val="69AF1E03"/>
    <w:rsid w:val="69B73D05"/>
    <w:rsid w:val="69CA7BB7"/>
    <w:rsid w:val="69E2224C"/>
    <w:rsid w:val="69FD2E66"/>
    <w:rsid w:val="69FE3939"/>
    <w:rsid w:val="6A0E48E8"/>
    <w:rsid w:val="6A4148AA"/>
    <w:rsid w:val="6A497C4C"/>
    <w:rsid w:val="6A8204D4"/>
    <w:rsid w:val="6A8F4802"/>
    <w:rsid w:val="6AA53B23"/>
    <w:rsid w:val="6AD13244"/>
    <w:rsid w:val="6B195F8D"/>
    <w:rsid w:val="6B7C465A"/>
    <w:rsid w:val="6B8365D5"/>
    <w:rsid w:val="6B8E23E9"/>
    <w:rsid w:val="6BA34403"/>
    <w:rsid w:val="6BE3384A"/>
    <w:rsid w:val="6C076688"/>
    <w:rsid w:val="6C157504"/>
    <w:rsid w:val="6C1E7BA5"/>
    <w:rsid w:val="6C2D76ED"/>
    <w:rsid w:val="6C7F05A7"/>
    <w:rsid w:val="6C7F2654"/>
    <w:rsid w:val="6CA34594"/>
    <w:rsid w:val="6CD04422"/>
    <w:rsid w:val="6CD941ED"/>
    <w:rsid w:val="6CF90AC0"/>
    <w:rsid w:val="6D022015"/>
    <w:rsid w:val="6D1A67D6"/>
    <w:rsid w:val="6D2A3A8A"/>
    <w:rsid w:val="6D327B91"/>
    <w:rsid w:val="6D724439"/>
    <w:rsid w:val="6D9A2C81"/>
    <w:rsid w:val="6DBE71AC"/>
    <w:rsid w:val="6DD71B95"/>
    <w:rsid w:val="6DDF4A72"/>
    <w:rsid w:val="6DE634C7"/>
    <w:rsid w:val="6E394AFA"/>
    <w:rsid w:val="6E86293F"/>
    <w:rsid w:val="6E9B2AF0"/>
    <w:rsid w:val="6E9C129B"/>
    <w:rsid w:val="6EA4225E"/>
    <w:rsid w:val="6EC81502"/>
    <w:rsid w:val="6EE81FFB"/>
    <w:rsid w:val="6F4A5C6D"/>
    <w:rsid w:val="6F6A75EB"/>
    <w:rsid w:val="6FBE6204"/>
    <w:rsid w:val="6FFF6593"/>
    <w:rsid w:val="6FFF7F22"/>
    <w:rsid w:val="70536EB3"/>
    <w:rsid w:val="70543815"/>
    <w:rsid w:val="705707D4"/>
    <w:rsid w:val="70583D57"/>
    <w:rsid w:val="70594704"/>
    <w:rsid w:val="706A710D"/>
    <w:rsid w:val="714654A9"/>
    <w:rsid w:val="714A338F"/>
    <w:rsid w:val="71CB583F"/>
    <w:rsid w:val="71F572F9"/>
    <w:rsid w:val="71FA3668"/>
    <w:rsid w:val="72132A10"/>
    <w:rsid w:val="724B2374"/>
    <w:rsid w:val="72820C4D"/>
    <w:rsid w:val="72C65C3F"/>
    <w:rsid w:val="732C0B21"/>
    <w:rsid w:val="734A3B35"/>
    <w:rsid w:val="734E134B"/>
    <w:rsid w:val="735B35DE"/>
    <w:rsid w:val="736177F9"/>
    <w:rsid w:val="739F16C0"/>
    <w:rsid w:val="73B66D7B"/>
    <w:rsid w:val="73C16AF9"/>
    <w:rsid w:val="73EB227B"/>
    <w:rsid w:val="745C4152"/>
    <w:rsid w:val="74725FB3"/>
    <w:rsid w:val="74832FD6"/>
    <w:rsid w:val="748B700A"/>
    <w:rsid w:val="74B54AC2"/>
    <w:rsid w:val="74C851F3"/>
    <w:rsid w:val="752011B9"/>
    <w:rsid w:val="752057C7"/>
    <w:rsid w:val="753F5515"/>
    <w:rsid w:val="756FCFCE"/>
    <w:rsid w:val="75D237F5"/>
    <w:rsid w:val="75FE25FE"/>
    <w:rsid w:val="76085BA9"/>
    <w:rsid w:val="76135632"/>
    <w:rsid w:val="763044F2"/>
    <w:rsid w:val="76442BA5"/>
    <w:rsid w:val="76511CDB"/>
    <w:rsid w:val="768E2F35"/>
    <w:rsid w:val="76BF3331"/>
    <w:rsid w:val="76E079BE"/>
    <w:rsid w:val="76F13809"/>
    <w:rsid w:val="76FF7600"/>
    <w:rsid w:val="77003123"/>
    <w:rsid w:val="77AE0B8B"/>
    <w:rsid w:val="77B76448"/>
    <w:rsid w:val="77D7323B"/>
    <w:rsid w:val="780B3C61"/>
    <w:rsid w:val="7834297D"/>
    <w:rsid w:val="785B4288"/>
    <w:rsid w:val="78697B28"/>
    <w:rsid w:val="787B2A91"/>
    <w:rsid w:val="78A31478"/>
    <w:rsid w:val="78A47AC9"/>
    <w:rsid w:val="78C12DB1"/>
    <w:rsid w:val="78D12BA9"/>
    <w:rsid w:val="790B17EA"/>
    <w:rsid w:val="79233AA0"/>
    <w:rsid w:val="79341512"/>
    <w:rsid w:val="79524725"/>
    <w:rsid w:val="79A1541B"/>
    <w:rsid w:val="79A67976"/>
    <w:rsid w:val="79FD6230"/>
    <w:rsid w:val="7A1D629E"/>
    <w:rsid w:val="7A2A109B"/>
    <w:rsid w:val="7A7B3C75"/>
    <w:rsid w:val="7A973BD1"/>
    <w:rsid w:val="7AD53F41"/>
    <w:rsid w:val="7AF5766F"/>
    <w:rsid w:val="7B1B785E"/>
    <w:rsid w:val="7B39249B"/>
    <w:rsid w:val="7B4707E1"/>
    <w:rsid w:val="7B4C50F9"/>
    <w:rsid w:val="7B591620"/>
    <w:rsid w:val="7B66271D"/>
    <w:rsid w:val="7B956764"/>
    <w:rsid w:val="7B964733"/>
    <w:rsid w:val="7BB1375E"/>
    <w:rsid w:val="7BB24DBC"/>
    <w:rsid w:val="7BDB7E57"/>
    <w:rsid w:val="7BE25214"/>
    <w:rsid w:val="7C196794"/>
    <w:rsid w:val="7C1B76BF"/>
    <w:rsid w:val="7C5068F9"/>
    <w:rsid w:val="7C5362A3"/>
    <w:rsid w:val="7CAA0AAF"/>
    <w:rsid w:val="7CC3792E"/>
    <w:rsid w:val="7CFA69C3"/>
    <w:rsid w:val="7D1313AA"/>
    <w:rsid w:val="7D1618B9"/>
    <w:rsid w:val="7D1B707F"/>
    <w:rsid w:val="7D2834CB"/>
    <w:rsid w:val="7D626BBC"/>
    <w:rsid w:val="7D741CD0"/>
    <w:rsid w:val="7D9C510B"/>
    <w:rsid w:val="7DD27DA8"/>
    <w:rsid w:val="7DD833E2"/>
    <w:rsid w:val="7DF63381"/>
    <w:rsid w:val="7DFE2814"/>
    <w:rsid w:val="7E4B0D54"/>
    <w:rsid w:val="7E554B25"/>
    <w:rsid w:val="7EB20667"/>
    <w:rsid w:val="7F65643D"/>
    <w:rsid w:val="7F664937"/>
    <w:rsid w:val="7F9F3E6E"/>
    <w:rsid w:val="7FB15F3C"/>
    <w:rsid w:val="7FBD1F64"/>
    <w:rsid w:val="7FC71AC2"/>
    <w:rsid w:val="7FD757BA"/>
    <w:rsid w:val="7FDC6A73"/>
    <w:rsid w:val="7FDF5411"/>
    <w:rsid w:val="7FF474D3"/>
    <w:rsid w:val="7FF71559"/>
    <w:rsid w:val="CEBF6CB3"/>
    <w:rsid w:val="F1EDF20F"/>
    <w:rsid w:val="F3FB3A49"/>
    <w:rsid w:val="FABB3DD4"/>
    <w:rsid w:val="FF5F53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paragraph" w:styleId="2">
    <w:name w:val="heading 1"/>
    <w:basedOn w:val="1"/>
    <w:next w:val="1"/>
    <w:link w:val="49"/>
    <w:qFormat/>
    <w:uiPriority w:val="0"/>
    <w:pPr>
      <w:keepNext/>
      <w:keepLines/>
      <w:spacing w:before="340" w:after="330" w:line="578" w:lineRule="auto"/>
      <w:outlineLvl w:val="0"/>
    </w:pPr>
    <w:rPr>
      <w:rFonts w:eastAsia="Copperplate Gothic Bold"/>
      <w:b/>
      <w:bCs/>
      <w:kern w:val="44"/>
      <w:sz w:val="44"/>
      <w:szCs w:val="44"/>
    </w:rPr>
  </w:style>
  <w:style w:type="paragraph" w:styleId="3">
    <w:name w:val="heading 2"/>
    <w:basedOn w:val="1"/>
    <w:next w:val="1"/>
    <w:link w:val="50"/>
    <w:qFormat/>
    <w:uiPriority w:val="0"/>
    <w:pPr>
      <w:keepNext/>
      <w:keepLines/>
      <w:widowControl w:val="0"/>
      <w:spacing w:before="240" w:after="240" w:line="360" w:lineRule="auto"/>
      <w:jc w:val="both"/>
      <w:outlineLvl w:val="1"/>
    </w:pPr>
    <w:rPr>
      <w:rFonts w:eastAsia="Cambria Math"/>
      <w:bCs/>
      <w:kern w:val="2"/>
      <w:sz w:val="30"/>
      <w:szCs w:val="30"/>
    </w:rPr>
  </w:style>
  <w:style w:type="paragraph" w:styleId="4">
    <w:name w:val="heading 3"/>
    <w:basedOn w:val="1"/>
    <w:next w:val="1"/>
    <w:link w:val="56"/>
    <w:qFormat/>
    <w:uiPriority w:val="0"/>
    <w:pPr>
      <w:keepNext/>
      <w:keepLines/>
      <w:spacing w:before="260" w:after="260" w:line="416" w:lineRule="auto"/>
      <w:outlineLvl w:val="2"/>
    </w:pPr>
    <w:rPr>
      <w:rFonts w:eastAsia="Copperplate Gothic Bold"/>
      <w:b/>
      <w:bCs/>
      <w:sz w:val="32"/>
      <w:szCs w:val="32"/>
    </w:rPr>
  </w:style>
  <w:style w:type="paragraph" w:styleId="5">
    <w:name w:val="heading 4"/>
    <w:basedOn w:val="1"/>
    <w:next w:val="6"/>
    <w:link w:val="67"/>
    <w:qFormat/>
    <w:uiPriority w:val="0"/>
    <w:pPr>
      <w:keepNext/>
      <w:keepLines/>
      <w:spacing w:before="280" w:after="290" w:line="376" w:lineRule="auto"/>
      <w:outlineLvl w:val="3"/>
    </w:pPr>
    <w:rPr>
      <w:rFonts w:ascii="楷体_GB2312" w:hAnsi="楷体_GB2312" w:eastAsia="Cambria Math"/>
      <w:b/>
      <w:bCs/>
      <w:sz w:val="28"/>
      <w:szCs w:val="28"/>
    </w:rPr>
  </w:style>
  <w:style w:type="paragraph" w:styleId="7">
    <w:name w:val="heading 5"/>
    <w:basedOn w:val="1"/>
    <w:next w:val="1"/>
    <w:autoRedefine/>
    <w:qFormat/>
    <w:uiPriority w:val="0"/>
    <w:pPr>
      <w:spacing w:before="240" w:after="60"/>
      <w:ind w:left="1008" w:hanging="1008"/>
      <w:outlineLvl w:val="4"/>
    </w:pPr>
    <w:rPr>
      <w:rFonts w:ascii="MT Extra" w:hAnsi="MT Extra" w:eastAsia="等线"/>
      <w:b/>
      <w:bCs/>
      <w:i/>
      <w:iCs/>
      <w:sz w:val="26"/>
      <w:szCs w:val="26"/>
    </w:rPr>
  </w:style>
  <w:style w:type="paragraph" w:styleId="8">
    <w:name w:val="heading 6"/>
    <w:basedOn w:val="1"/>
    <w:next w:val="1"/>
    <w:autoRedefine/>
    <w:qFormat/>
    <w:uiPriority w:val="0"/>
    <w:pPr>
      <w:spacing w:before="240" w:after="60"/>
      <w:ind w:left="1152" w:hanging="1152"/>
      <w:outlineLvl w:val="5"/>
    </w:pPr>
    <w:rPr>
      <w:rFonts w:ascii="MT Extra" w:hAnsi="MT Extra" w:eastAsia="等线"/>
      <w:b/>
      <w:bCs/>
    </w:rPr>
  </w:style>
  <w:style w:type="paragraph" w:styleId="9">
    <w:name w:val="heading 7"/>
    <w:basedOn w:val="1"/>
    <w:next w:val="1"/>
    <w:autoRedefine/>
    <w:qFormat/>
    <w:uiPriority w:val="0"/>
    <w:pPr>
      <w:spacing w:before="240" w:after="60"/>
      <w:ind w:left="1296" w:hanging="1296"/>
      <w:outlineLvl w:val="6"/>
    </w:pPr>
    <w:rPr>
      <w:rFonts w:ascii="MT Extra" w:hAnsi="MT Extra" w:eastAsia="等线"/>
      <w:sz w:val="24"/>
      <w:szCs w:val="24"/>
    </w:rPr>
  </w:style>
  <w:style w:type="paragraph" w:styleId="10">
    <w:name w:val="heading 8"/>
    <w:basedOn w:val="1"/>
    <w:next w:val="1"/>
    <w:autoRedefine/>
    <w:qFormat/>
    <w:uiPriority w:val="0"/>
    <w:pPr>
      <w:spacing w:before="240" w:after="60"/>
      <w:ind w:left="1440" w:hanging="1440"/>
      <w:outlineLvl w:val="7"/>
    </w:pPr>
    <w:rPr>
      <w:rFonts w:ascii="MT Extra" w:hAnsi="MT Extra" w:eastAsia="等线"/>
      <w:i/>
      <w:iCs/>
      <w:sz w:val="24"/>
      <w:szCs w:val="24"/>
    </w:rPr>
  </w:style>
  <w:style w:type="paragraph" w:styleId="11">
    <w:name w:val="heading 9"/>
    <w:basedOn w:val="1"/>
    <w:next w:val="1"/>
    <w:autoRedefine/>
    <w:qFormat/>
    <w:uiPriority w:val="0"/>
    <w:pPr>
      <w:spacing w:before="240" w:after="60"/>
      <w:ind w:left="1584" w:hanging="1584"/>
      <w:outlineLvl w:val="8"/>
    </w:pPr>
    <w:rPr>
      <w:rFonts w:ascii="黑体" w:hAnsi="黑体" w:eastAsia="等线"/>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6">
    <w:name w:val="my正文"/>
    <w:basedOn w:val="1"/>
    <w:autoRedefine/>
    <w:qFormat/>
    <w:uiPriority w:val="0"/>
    <w:pPr>
      <w:spacing w:line="360" w:lineRule="auto"/>
      <w:ind w:firstLine="480" w:firstLineChars="200"/>
    </w:pPr>
    <w:rPr>
      <w:sz w:val="24"/>
    </w:rPr>
  </w:style>
  <w:style w:type="paragraph" w:styleId="12">
    <w:name w:val="List Number"/>
    <w:basedOn w:val="1"/>
    <w:autoRedefine/>
    <w:qFormat/>
    <w:uiPriority w:val="0"/>
    <w:pPr>
      <w:tabs>
        <w:tab w:val="left" w:pos="454"/>
        <w:tab w:val="left" w:pos="720"/>
        <w:tab w:val="left" w:pos="899"/>
        <w:tab w:val="left" w:pos="960"/>
      </w:tabs>
      <w:spacing w:afterLines="50"/>
      <w:ind w:left="454" w:hanging="284"/>
    </w:pPr>
    <w:rPr>
      <w:rFonts w:ascii="等线" w:hAnsi="等线" w:eastAsia="等线"/>
      <w:sz w:val="24"/>
    </w:rPr>
  </w:style>
  <w:style w:type="paragraph" w:styleId="13">
    <w:name w:val="Normal Indent"/>
    <w:basedOn w:val="1"/>
    <w:next w:val="1"/>
    <w:link w:val="122"/>
    <w:autoRedefine/>
    <w:qFormat/>
    <w:uiPriority w:val="0"/>
    <w:pPr>
      <w:widowControl w:val="0"/>
      <w:ind w:firstLine="420" w:firstLineChars="200"/>
      <w:jc w:val="both"/>
    </w:pPr>
    <w:rPr>
      <w:rFonts w:ascii="等线" w:hAnsi="等线" w:eastAsia="等线"/>
      <w:kern w:val="2"/>
      <w:sz w:val="24"/>
      <w:szCs w:val="24"/>
    </w:rPr>
  </w:style>
  <w:style w:type="paragraph" w:styleId="14">
    <w:name w:val="caption"/>
    <w:basedOn w:val="1"/>
    <w:next w:val="1"/>
    <w:autoRedefine/>
    <w:qFormat/>
    <w:uiPriority w:val="0"/>
    <w:pPr>
      <w:numPr>
        <w:ilvl w:val="0"/>
        <w:numId w:val="1"/>
      </w:numPr>
      <w:jc w:val="center"/>
    </w:pPr>
    <w:rPr>
      <w:rFonts w:ascii="Courier New" w:hAnsi="Courier New" w:eastAsia="等线" w:cs="Copperplate Gothic Bold"/>
    </w:rPr>
  </w:style>
  <w:style w:type="paragraph" w:styleId="15">
    <w:name w:val="Document Map"/>
    <w:basedOn w:val="1"/>
    <w:autoRedefine/>
    <w:qFormat/>
    <w:uiPriority w:val="0"/>
    <w:pPr>
      <w:widowControl w:val="0"/>
      <w:shd w:val="clear" w:color="auto" w:fill="000080"/>
      <w:jc w:val="both"/>
    </w:pPr>
    <w:rPr>
      <w:rFonts w:ascii="等线" w:hAnsi="等线" w:eastAsia="等线"/>
      <w:kern w:val="2"/>
      <w:sz w:val="21"/>
      <w:szCs w:val="24"/>
    </w:rPr>
  </w:style>
  <w:style w:type="paragraph" w:styleId="16">
    <w:name w:val="toa heading"/>
    <w:basedOn w:val="1"/>
    <w:next w:val="1"/>
    <w:autoRedefine/>
    <w:semiHidden/>
    <w:qFormat/>
    <w:uiPriority w:val="99"/>
    <w:pPr>
      <w:spacing w:before="120"/>
    </w:pPr>
    <w:rPr>
      <w:rFonts w:ascii="Arial" w:hAnsi="Arial" w:cs="Arial"/>
      <w:sz w:val="24"/>
    </w:rPr>
  </w:style>
  <w:style w:type="paragraph" w:styleId="17">
    <w:name w:val="annotation text"/>
    <w:basedOn w:val="1"/>
    <w:link w:val="65"/>
    <w:autoRedefine/>
    <w:qFormat/>
    <w:uiPriority w:val="0"/>
    <w:pPr>
      <w:widowControl w:val="0"/>
    </w:pPr>
    <w:rPr>
      <w:rFonts w:eastAsia="Copperplate Gothic Bold"/>
      <w:kern w:val="2"/>
      <w:sz w:val="21"/>
      <w:szCs w:val="24"/>
    </w:rPr>
  </w:style>
  <w:style w:type="paragraph" w:styleId="18">
    <w:name w:val="Closing"/>
    <w:basedOn w:val="1"/>
    <w:autoRedefine/>
    <w:semiHidden/>
    <w:qFormat/>
    <w:uiPriority w:val="0"/>
    <w:pPr>
      <w:ind w:left="4320"/>
    </w:pPr>
    <w:rPr>
      <w:kern w:val="1"/>
    </w:rPr>
  </w:style>
  <w:style w:type="paragraph" w:styleId="19">
    <w:name w:val="Body Text"/>
    <w:basedOn w:val="1"/>
    <w:next w:val="20"/>
    <w:qFormat/>
    <w:uiPriority w:val="0"/>
    <w:pPr>
      <w:spacing w:after="120"/>
    </w:pPr>
    <w:rPr>
      <w:rFonts w:ascii="等线" w:hAnsi="等线" w:eastAsia="等线"/>
    </w:rPr>
  </w:style>
  <w:style w:type="paragraph" w:styleId="20">
    <w:name w:val="Date"/>
    <w:basedOn w:val="1"/>
    <w:next w:val="1"/>
    <w:link w:val="68"/>
    <w:autoRedefine/>
    <w:qFormat/>
    <w:uiPriority w:val="0"/>
    <w:pPr>
      <w:widowControl w:val="0"/>
      <w:jc w:val="both"/>
    </w:pPr>
    <w:rPr>
      <w:kern w:val="2"/>
      <w:sz w:val="21"/>
    </w:rPr>
  </w:style>
  <w:style w:type="paragraph" w:styleId="21">
    <w:name w:val="Body Text Indent"/>
    <w:basedOn w:val="1"/>
    <w:autoRedefine/>
    <w:qFormat/>
    <w:uiPriority w:val="0"/>
    <w:pPr>
      <w:widowControl w:val="0"/>
      <w:tabs>
        <w:tab w:val="left" w:pos="0"/>
        <w:tab w:val="left" w:pos="1260"/>
        <w:tab w:val="left" w:pos="1365"/>
      </w:tabs>
      <w:spacing w:line="500" w:lineRule="exact"/>
      <w:ind w:firstLine="630"/>
      <w:jc w:val="both"/>
    </w:pPr>
    <w:rPr>
      <w:rFonts w:ascii="Arial Unicode MS" w:hAnsi="等线" w:eastAsia="Arial Unicode MS"/>
      <w:kern w:val="2"/>
      <w:sz w:val="28"/>
    </w:rPr>
  </w:style>
  <w:style w:type="paragraph" w:styleId="22">
    <w:name w:val="Block Text"/>
    <w:basedOn w:val="1"/>
    <w:autoRedefine/>
    <w:qFormat/>
    <w:uiPriority w:val="0"/>
    <w:pPr>
      <w:adjustRightInd w:val="0"/>
      <w:snapToGrid w:val="0"/>
      <w:spacing w:line="360" w:lineRule="auto"/>
      <w:ind w:left="567" w:leftChars="270" w:right="-150" w:rightChars="-150" w:firstLine="480" w:firstLineChars="200"/>
    </w:pPr>
    <w:rPr>
      <w:rFonts w:ascii="Copperplate Gothic Bold" w:hAnsi="等线" w:eastAsia="等线"/>
      <w:sz w:val="24"/>
    </w:rPr>
  </w:style>
  <w:style w:type="paragraph" w:styleId="23">
    <w:name w:val="toc 3"/>
    <w:basedOn w:val="1"/>
    <w:next w:val="1"/>
    <w:autoRedefine/>
    <w:qFormat/>
    <w:uiPriority w:val="0"/>
    <w:pPr>
      <w:widowControl w:val="0"/>
      <w:tabs>
        <w:tab w:val="left" w:pos="1470"/>
        <w:tab w:val="right" w:leader="dot" w:pos="8296"/>
      </w:tabs>
      <w:ind w:left="840" w:leftChars="400"/>
      <w:jc w:val="both"/>
    </w:pPr>
    <w:rPr>
      <w:rFonts w:ascii="等线" w:hAnsi="等线" w:eastAsia="等线"/>
      <w:kern w:val="2"/>
      <w:sz w:val="21"/>
      <w:szCs w:val="24"/>
    </w:rPr>
  </w:style>
  <w:style w:type="paragraph" w:styleId="24">
    <w:name w:val="Plain Text"/>
    <w:basedOn w:val="1"/>
    <w:next w:val="20"/>
    <w:link w:val="53"/>
    <w:autoRedefine/>
    <w:qFormat/>
    <w:uiPriority w:val="0"/>
    <w:pPr>
      <w:widowControl w:val="0"/>
      <w:jc w:val="both"/>
    </w:pPr>
    <w:rPr>
      <w:rFonts w:ascii="Copperplate Gothic Bold" w:eastAsia="Copperplate Gothic Bold" w:cs="Calibri"/>
      <w:kern w:val="2"/>
      <w:sz w:val="21"/>
      <w:szCs w:val="21"/>
    </w:rPr>
  </w:style>
  <w:style w:type="paragraph" w:styleId="25">
    <w:name w:val="Balloon Text"/>
    <w:basedOn w:val="1"/>
    <w:link w:val="58"/>
    <w:autoRedefine/>
    <w:qFormat/>
    <w:uiPriority w:val="0"/>
    <w:pPr>
      <w:widowControl w:val="0"/>
      <w:jc w:val="both"/>
    </w:pPr>
    <w:rPr>
      <w:rFonts w:eastAsia="Copperplate Gothic Bold"/>
      <w:kern w:val="2"/>
      <w:sz w:val="18"/>
      <w:szCs w:val="18"/>
    </w:rPr>
  </w:style>
  <w:style w:type="paragraph" w:styleId="26">
    <w:name w:val="footer"/>
    <w:basedOn w:val="1"/>
    <w:link w:val="62"/>
    <w:autoRedefine/>
    <w:qFormat/>
    <w:uiPriority w:val="99"/>
    <w:pPr>
      <w:widowControl w:val="0"/>
      <w:tabs>
        <w:tab w:val="center" w:pos="4153"/>
        <w:tab w:val="right" w:pos="8306"/>
      </w:tabs>
      <w:snapToGrid w:val="0"/>
    </w:pPr>
    <w:rPr>
      <w:rFonts w:eastAsia="Copperplate Gothic Bold"/>
      <w:kern w:val="2"/>
      <w:sz w:val="18"/>
    </w:rPr>
  </w:style>
  <w:style w:type="paragraph" w:styleId="27">
    <w:name w:val="header"/>
    <w:basedOn w:val="1"/>
    <w:link w:val="60"/>
    <w:autoRedefine/>
    <w:qFormat/>
    <w:uiPriority w:val="0"/>
    <w:pPr>
      <w:widowControl w:val="0"/>
      <w:pBdr>
        <w:bottom w:val="single" w:color="auto" w:sz="6" w:space="1"/>
      </w:pBdr>
      <w:tabs>
        <w:tab w:val="center" w:pos="4153"/>
        <w:tab w:val="right" w:pos="8306"/>
      </w:tabs>
      <w:snapToGrid w:val="0"/>
      <w:jc w:val="center"/>
    </w:pPr>
    <w:rPr>
      <w:rFonts w:eastAsia="Copperplate Gothic Bold"/>
      <w:kern w:val="2"/>
      <w:sz w:val="18"/>
    </w:rPr>
  </w:style>
  <w:style w:type="paragraph" w:styleId="28">
    <w:name w:val="toc 1"/>
    <w:basedOn w:val="1"/>
    <w:next w:val="1"/>
    <w:autoRedefine/>
    <w:qFormat/>
    <w:uiPriority w:val="0"/>
    <w:rPr>
      <w:rFonts w:ascii="等线" w:hAnsi="等线" w:eastAsia="等线"/>
    </w:rPr>
  </w:style>
  <w:style w:type="paragraph" w:styleId="29">
    <w:name w:val="toc 6"/>
    <w:basedOn w:val="1"/>
    <w:next w:val="1"/>
    <w:autoRedefine/>
    <w:qFormat/>
    <w:uiPriority w:val="99"/>
    <w:pPr>
      <w:ind w:left="1050"/>
    </w:pPr>
    <w:rPr>
      <w:rFonts w:cs="Calibri"/>
      <w:sz w:val="18"/>
      <w:szCs w:val="18"/>
    </w:rPr>
  </w:style>
  <w:style w:type="paragraph" w:styleId="30">
    <w:name w:val="Body Text Indent 3"/>
    <w:basedOn w:val="1"/>
    <w:link w:val="55"/>
    <w:autoRedefine/>
    <w:qFormat/>
    <w:uiPriority w:val="0"/>
    <w:pPr>
      <w:widowControl w:val="0"/>
      <w:spacing w:after="120"/>
      <w:ind w:left="420" w:leftChars="200"/>
      <w:jc w:val="both"/>
    </w:pPr>
    <w:rPr>
      <w:rFonts w:eastAsia="Copperplate Gothic Bold"/>
      <w:kern w:val="2"/>
      <w:sz w:val="16"/>
      <w:szCs w:val="16"/>
    </w:rPr>
  </w:style>
  <w:style w:type="paragraph" w:styleId="31">
    <w:name w:val="toc 2"/>
    <w:basedOn w:val="1"/>
    <w:next w:val="1"/>
    <w:autoRedefine/>
    <w:qFormat/>
    <w:uiPriority w:val="0"/>
    <w:pPr>
      <w:ind w:left="420" w:leftChars="200"/>
    </w:pPr>
    <w:rPr>
      <w:rFonts w:ascii="等线" w:hAnsi="等线" w:eastAsia="等线"/>
    </w:rPr>
  </w:style>
  <w:style w:type="paragraph" w:styleId="3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Copperplate Gothic Bold" w:hAnsi="Copperplate Gothic Bold" w:eastAsia="等线"/>
      <w:sz w:val="24"/>
    </w:rPr>
  </w:style>
  <w:style w:type="paragraph" w:styleId="33">
    <w:name w:val="Normal (Web)"/>
    <w:basedOn w:val="1"/>
    <w:autoRedefine/>
    <w:qFormat/>
    <w:uiPriority w:val="0"/>
    <w:pPr>
      <w:spacing w:before="100" w:beforeAutospacing="1" w:after="100" w:afterAutospacing="1"/>
    </w:pPr>
    <w:rPr>
      <w:rFonts w:ascii="Copperplate Gothic Bold" w:hAnsi="Copperplate Gothic Bold" w:eastAsia="等线" w:cs="Copperplate Gothic Bold"/>
      <w:sz w:val="24"/>
      <w:szCs w:val="24"/>
    </w:rPr>
  </w:style>
  <w:style w:type="paragraph" w:styleId="34">
    <w:name w:val="Title"/>
    <w:basedOn w:val="1"/>
    <w:autoRedefine/>
    <w:qFormat/>
    <w:uiPriority w:val="0"/>
    <w:pPr>
      <w:spacing w:before="240" w:after="60"/>
      <w:jc w:val="center"/>
      <w:outlineLvl w:val="0"/>
    </w:pPr>
    <w:rPr>
      <w:rFonts w:ascii="Cambria" w:hAnsi="Cambria"/>
      <w:b/>
      <w:bCs/>
      <w:sz w:val="32"/>
      <w:szCs w:val="32"/>
    </w:rPr>
  </w:style>
  <w:style w:type="paragraph" w:styleId="35">
    <w:name w:val="annotation subject"/>
    <w:basedOn w:val="17"/>
    <w:next w:val="17"/>
    <w:link w:val="73"/>
    <w:autoRedefine/>
    <w:qFormat/>
    <w:uiPriority w:val="0"/>
    <w:rPr>
      <w:rFonts w:ascii="Copperplate Gothic Bold" w:cs="Calibri"/>
      <w:szCs w:val="21"/>
    </w:rPr>
  </w:style>
  <w:style w:type="paragraph" w:styleId="36">
    <w:name w:val="Body Text First Indent"/>
    <w:basedOn w:val="19"/>
    <w:next w:val="1"/>
    <w:autoRedefine/>
    <w:qFormat/>
    <w:uiPriority w:val="0"/>
    <w:pPr>
      <w:ind w:firstLine="420" w:firstLineChars="100"/>
    </w:pPr>
  </w:style>
  <w:style w:type="paragraph" w:styleId="37">
    <w:name w:val="Body Text First Indent 2"/>
    <w:basedOn w:val="21"/>
    <w:next w:val="16"/>
    <w:autoRedefine/>
    <w:qFormat/>
    <w:uiPriority w:val="0"/>
    <w:pPr>
      <w:snapToGrid w:val="0"/>
      <w:spacing w:after="120"/>
      <w:ind w:left="420" w:firstLine="420" w:firstLineChars="200"/>
    </w:pPr>
    <w:rPr>
      <w:rFonts w:ascii="Tahoma" w:hAnsi="Tahoma"/>
      <w:szCs w:val="24"/>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rFonts w:ascii="等线" w:hAnsi="等线" w:eastAsia="等线" w:cs="Times New Roman"/>
      <w:b/>
    </w:rPr>
  </w:style>
  <w:style w:type="character" w:styleId="42">
    <w:name w:val="page number"/>
    <w:autoRedefine/>
    <w:qFormat/>
    <w:uiPriority w:val="0"/>
    <w:rPr>
      <w:rFonts w:ascii="等线" w:hAnsi="等线" w:eastAsia="等线" w:cs="Times New Roman"/>
    </w:rPr>
  </w:style>
  <w:style w:type="character" w:styleId="43">
    <w:name w:val="Emphasis"/>
    <w:basedOn w:val="40"/>
    <w:autoRedefine/>
    <w:qFormat/>
    <w:uiPriority w:val="20"/>
    <w:rPr>
      <w:i/>
    </w:rPr>
  </w:style>
  <w:style w:type="character" w:styleId="44">
    <w:name w:val="Hyperlink"/>
    <w:autoRedefine/>
    <w:qFormat/>
    <w:uiPriority w:val="0"/>
    <w:rPr>
      <w:rFonts w:ascii="等线" w:hAnsi="等线" w:eastAsia="等线" w:cs="Times New Roman"/>
      <w:color w:val="0000FF"/>
      <w:u w:val="single"/>
    </w:rPr>
  </w:style>
  <w:style w:type="character" w:styleId="45">
    <w:name w:val="annotation reference"/>
    <w:autoRedefine/>
    <w:qFormat/>
    <w:uiPriority w:val="0"/>
    <w:rPr>
      <w:rFonts w:ascii="等线" w:hAnsi="等线" w:eastAsia="等线" w:cs="Times New Roman"/>
      <w:sz w:val="21"/>
      <w:szCs w:val="21"/>
    </w:rPr>
  </w:style>
  <w:style w:type="character" w:styleId="46">
    <w:name w:val="HTML Sample"/>
    <w:basedOn w:val="40"/>
    <w:autoRedefine/>
    <w:semiHidden/>
    <w:unhideWhenUsed/>
    <w:qFormat/>
    <w:uiPriority w:val="99"/>
    <w:rPr>
      <w:rFonts w:ascii="Courier New" w:hAnsi="Courier New"/>
    </w:rPr>
  </w:style>
  <w:style w:type="paragraph" w:customStyle="1" w:styleId="47">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
    <w:name w:val="表格文字"/>
    <w:basedOn w:val="24"/>
    <w:next w:val="19"/>
    <w:autoRedefine/>
    <w:qFormat/>
    <w:uiPriority w:val="0"/>
    <w:pPr>
      <w:adjustRightInd w:val="0"/>
      <w:spacing w:line="420" w:lineRule="atLeast"/>
      <w:textAlignment w:val="baseline"/>
    </w:pPr>
    <w:rPr>
      <w:rFonts w:ascii="等线" w:hAnsi="等线" w:eastAsia="等线"/>
    </w:rPr>
  </w:style>
  <w:style w:type="character" w:customStyle="1" w:styleId="49">
    <w:name w:val="标题 1 Char"/>
    <w:link w:val="2"/>
    <w:autoRedefine/>
    <w:qFormat/>
    <w:uiPriority w:val="0"/>
    <w:rPr>
      <w:rFonts w:ascii="等线" w:hAnsi="等线" w:eastAsia="Copperplate Gothic Bold" w:cs="Times New Roman"/>
      <w:b/>
      <w:bCs/>
      <w:kern w:val="44"/>
      <w:sz w:val="44"/>
      <w:szCs w:val="44"/>
      <w:lang w:val="en-US" w:eastAsia="zh-CN" w:bidi="ar-SA"/>
    </w:rPr>
  </w:style>
  <w:style w:type="character" w:customStyle="1" w:styleId="50">
    <w:name w:val="标题 2 Char"/>
    <w:link w:val="3"/>
    <w:autoRedefine/>
    <w:qFormat/>
    <w:uiPriority w:val="0"/>
    <w:rPr>
      <w:rFonts w:ascii="等线" w:hAnsi="等线" w:eastAsia="Cambria Math" w:cs="Times New Roman"/>
      <w:bCs/>
      <w:kern w:val="2"/>
      <w:sz w:val="30"/>
      <w:szCs w:val="30"/>
      <w:lang w:val="en-US" w:eastAsia="zh-CN" w:bidi="ar-SA"/>
    </w:rPr>
  </w:style>
  <w:style w:type="paragraph" w:customStyle="1" w:styleId="51">
    <w:name w:val="正文文本首行缩进 21"/>
    <w:basedOn w:val="21"/>
    <w:next w:val="1"/>
    <w:autoRedefine/>
    <w:qFormat/>
    <w:uiPriority w:val="0"/>
    <w:pPr>
      <w:ind w:firstLine="420"/>
    </w:pPr>
    <w:rPr>
      <w:rFonts w:ascii="等线" w:eastAsia="等线" w:cs="Copperplate Gothic Bold"/>
      <w:szCs w:val="21"/>
    </w:rPr>
  </w:style>
  <w:style w:type="character" w:customStyle="1" w:styleId="52">
    <w:name w:val="无"/>
    <w:autoRedefine/>
    <w:qFormat/>
    <w:uiPriority w:val="0"/>
    <w:rPr>
      <w:rFonts w:ascii="等线" w:hAnsi="等线" w:eastAsia="等线" w:cs="Times New Roman"/>
    </w:rPr>
  </w:style>
  <w:style w:type="character" w:customStyle="1" w:styleId="53">
    <w:name w:val="纯文本 Char"/>
    <w:link w:val="24"/>
    <w:autoRedefine/>
    <w:qFormat/>
    <w:uiPriority w:val="0"/>
    <w:rPr>
      <w:rFonts w:ascii="Copperplate Gothic Bold" w:hAnsi="Calibri" w:eastAsia="Copperplate Gothic Bold" w:cs="Calibri"/>
      <w:kern w:val="2"/>
      <w:sz w:val="21"/>
      <w:szCs w:val="21"/>
      <w:lang w:val="en-US" w:eastAsia="zh-CN" w:bidi="ar-SA"/>
    </w:rPr>
  </w:style>
  <w:style w:type="character" w:customStyle="1" w:styleId="54">
    <w:name w:val="Char Char7"/>
    <w:autoRedefine/>
    <w:qFormat/>
    <w:uiPriority w:val="0"/>
    <w:rPr>
      <w:rFonts w:ascii="黑体" w:hAnsi="黑体" w:eastAsia="等线" w:cs="Times New Roman"/>
      <w:b/>
      <w:bCs/>
      <w:kern w:val="32"/>
      <w:sz w:val="32"/>
      <w:szCs w:val="32"/>
    </w:rPr>
  </w:style>
  <w:style w:type="character" w:customStyle="1" w:styleId="55">
    <w:name w:val="正文文本缩进 3 Char"/>
    <w:link w:val="30"/>
    <w:autoRedefine/>
    <w:qFormat/>
    <w:uiPriority w:val="0"/>
    <w:rPr>
      <w:rFonts w:ascii="等线" w:hAnsi="等线" w:eastAsia="Copperplate Gothic Bold" w:cs="Times New Roman"/>
      <w:kern w:val="2"/>
      <w:sz w:val="16"/>
      <w:szCs w:val="16"/>
      <w:lang w:val="en-US" w:eastAsia="zh-CN" w:bidi="ar-SA"/>
    </w:rPr>
  </w:style>
  <w:style w:type="character" w:customStyle="1" w:styleId="56">
    <w:name w:val="标题 3 Char"/>
    <w:link w:val="4"/>
    <w:autoRedefine/>
    <w:qFormat/>
    <w:uiPriority w:val="0"/>
    <w:rPr>
      <w:rFonts w:ascii="等线" w:hAnsi="等线" w:eastAsia="Copperplate Gothic Bold" w:cs="Times New Roman"/>
      <w:b/>
      <w:bCs/>
      <w:sz w:val="32"/>
      <w:szCs w:val="32"/>
      <w:lang w:val="en-US" w:eastAsia="zh-CN" w:bidi="ar-SA"/>
    </w:rPr>
  </w:style>
  <w:style w:type="character" w:customStyle="1" w:styleId="57">
    <w:name w:val="font21"/>
    <w:basedOn w:val="40"/>
    <w:autoRedefine/>
    <w:qFormat/>
    <w:uiPriority w:val="0"/>
    <w:rPr>
      <w:rFonts w:hint="default" w:ascii="MT Extra" w:hAnsi="MT Extra" w:eastAsia="等线" w:cs="MT Extra"/>
      <w:color w:val="000000"/>
      <w:sz w:val="16"/>
      <w:szCs w:val="16"/>
      <w:u w:val="none"/>
    </w:rPr>
  </w:style>
  <w:style w:type="character" w:customStyle="1" w:styleId="58">
    <w:name w:val="批注框文本 Char"/>
    <w:link w:val="25"/>
    <w:autoRedefine/>
    <w:qFormat/>
    <w:uiPriority w:val="0"/>
    <w:rPr>
      <w:rFonts w:ascii="等线" w:hAnsi="等线" w:eastAsia="Copperplate Gothic Bold" w:cs="Times New Roman"/>
      <w:kern w:val="2"/>
      <w:sz w:val="18"/>
      <w:szCs w:val="18"/>
      <w:lang w:bidi="ar-SA"/>
    </w:rPr>
  </w:style>
  <w:style w:type="character" w:customStyle="1" w:styleId="59">
    <w:name w:val="font31"/>
    <w:autoRedefine/>
    <w:qFormat/>
    <w:uiPriority w:val="0"/>
    <w:rPr>
      <w:rFonts w:hint="eastAsia" w:ascii="Copperplate Gothic Bold" w:hAnsi="Copperplate Gothic Bold" w:eastAsia="Copperplate Gothic Bold" w:cs="Copperplate Gothic Bold"/>
      <w:color w:val="000000"/>
      <w:sz w:val="22"/>
      <w:szCs w:val="22"/>
      <w:u w:val="none"/>
    </w:rPr>
  </w:style>
  <w:style w:type="character" w:customStyle="1" w:styleId="60">
    <w:name w:val="页眉 Char"/>
    <w:link w:val="27"/>
    <w:autoRedefine/>
    <w:qFormat/>
    <w:uiPriority w:val="0"/>
    <w:rPr>
      <w:rFonts w:ascii="等线" w:hAnsi="等线" w:eastAsia="Copperplate Gothic Bold" w:cs="Times New Roman"/>
      <w:kern w:val="2"/>
      <w:sz w:val="18"/>
      <w:lang w:val="en-US" w:eastAsia="zh-CN" w:bidi="ar-SA"/>
    </w:rPr>
  </w:style>
  <w:style w:type="character" w:customStyle="1" w:styleId="61">
    <w:name w:val="f101"/>
    <w:autoRedefine/>
    <w:qFormat/>
    <w:uiPriority w:val="0"/>
    <w:rPr>
      <w:rFonts w:ascii="等线" w:hAnsi="等线" w:eastAsia="等线" w:cs="Times New Roman"/>
      <w:sz w:val="21"/>
    </w:rPr>
  </w:style>
  <w:style w:type="character" w:customStyle="1" w:styleId="62">
    <w:name w:val="页脚 Char"/>
    <w:link w:val="26"/>
    <w:autoRedefine/>
    <w:qFormat/>
    <w:uiPriority w:val="99"/>
    <w:rPr>
      <w:rFonts w:ascii="等线" w:hAnsi="等线" w:eastAsia="Copperplate Gothic Bold" w:cs="Times New Roman"/>
      <w:kern w:val="2"/>
      <w:sz w:val="18"/>
      <w:lang w:val="en-US" w:eastAsia="zh-CN" w:bidi="ar-SA"/>
    </w:rPr>
  </w:style>
  <w:style w:type="character" w:customStyle="1" w:styleId="63">
    <w:name w:val="font81"/>
    <w:autoRedefine/>
    <w:qFormat/>
    <w:uiPriority w:val="0"/>
    <w:rPr>
      <w:rFonts w:hint="eastAsia" w:ascii="Copperplate Gothic Bold" w:hAnsi="Copperplate Gothic Bold" w:eastAsia="Copperplate Gothic Bold" w:cs="Copperplate Gothic Bold"/>
      <w:color w:val="000000"/>
      <w:sz w:val="16"/>
      <w:szCs w:val="16"/>
      <w:u w:val="none"/>
    </w:rPr>
  </w:style>
  <w:style w:type="character" w:customStyle="1" w:styleId="64">
    <w:name w:val="标题 1 Char Char"/>
    <w:autoRedefine/>
    <w:qFormat/>
    <w:uiPriority w:val="0"/>
    <w:rPr>
      <w:rFonts w:ascii="等线" w:hAnsi="等线" w:eastAsia="Copperplate Gothic Bold" w:cs="Times New Roman"/>
      <w:b/>
      <w:spacing w:val="-2"/>
      <w:sz w:val="24"/>
      <w:lang w:val="en-US" w:eastAsia="zh-CN" w:bidi="ar-SA"/>
    </w:rPr>
  </w:style>
  <w:style w:type="character" w:customStyle="1" w:styleId="65">
    <w:name w:val="批注文字 Char"/>
    <w:link w:val="17"/>
    <w:autoRedefine/>
    <w:qFormat/>
    <w:uiPriority w:val="0"/>
    <w:rPr>
      <w:rFonts w:ascii="等线" w:hAnsi="等线" w:eastAsia="Copperplate Gothic Bold" w:cs="Times New Roman"/>
      <w:kern w:val="2"/>
      <w:sz w:val="21"/>
      <w:szCs w:val="24"/>
      <w:lang w:bidi="ar-SA"/>
    </w:rPr>
  </w:style>
  <w:style w:type="character" w:customStyle="1" w:styleId="66">
    <w:name w:val="font91"/>
    <w:autoRedefine/>
    <w:qFormat/>
    <w:uiPriority w:val="0"/>
    <w:rPr>
      <w:rFonts w:hint="eastAsia" w:ascii="Copperplate Gothic Bold" w:hAnsi="Copperplate Gothic Bold" w:eastAsia="Copperplate Gothic Bold" w:cs="Copperplate Gothic Bold"/>
      <w:color w:val="000000"/>
      <w:sz w:val="16"/>
      <w:szCs w:val="16"/>
      <w:u w:val="none"/>
    </w:rPr>
  </w:style>
  <w:style w:type="character" w:customStyle="1" w:styleId="67">
    <w:name w:val="标题 4 Char"/>
    <w:link w:val="5"/>
    <w:autoRedefine/>
    <w:qFormat/>
    <w:uiPriority w:val="0"/>
    <w:rPr>
      <w:rFonts w:ascii="楷体_GB2312" w:hAnsi="楷体_GB2312" w:eastAsia="Cambria Math" w:cs="Times New Roman"/>
      <w:b/>
      <w:bCs/>
      <w:sz w:val="28"/>
      <w:szCs w:val="28"/>
      <w:lang w:val="en-US" w:eastAsia="zh-CN" w:bidi="ar-SA"/>
    </w:rPr>
  </w:style>
  <w:style w:type="character" w:customStyle="1" w:styleId="68">
    <w:name w:val="日期 Char"/>
    <w:link w:val="20"/>
    <w:autoRedefine/>
    <w:qFormat/>
    <w:uiPriority w:val="0"/>
    <w:rPr>
      <w:rFonts w:ascii="等线" w:hAnsi="等线" w:eastAsia="等线" w:cs="Times New Roman"/>
      <w:kern w:val="2"/>
      <w:sz w:val="21"/>
    </w:rPr>
  </w:style>
  <w:style w:type="character" w:customStyle="1" w:styleId="69">
    <w:name w:val="font71"/>
    <w:basedOn w:val="40"/>
    <w:autoRedefine/>
    <w:qFormat/>
    <w:uiPriority w:val="0"/>
    <w:rPr>
      <w:rFonts w:hint="default" w:ascii="MT Extra" w:hAnsi="MT Extra" w:eastAsia="等线" w:cs="MT Extra"/>
      <w:color w:val="000000"/>
      <w:sz w:val="16"/>
      <w:szCs w:val="16"/>
      <w:u w:val="none"/>
    </w:rPr>
  </w:style>
  <w:style w:type="character" w:customStyle="1" w:styleId="70">
    <w:name w:val="f10"/>
    <w:autoRedefine/>
    <w:qFormat/>
    <w:uiPriority w:val="0"/>
    <w:rPr>
      <w:rFonts w:ascii="等线" w:hAnsi="等线" w:eastAsia="等线" w:cs="Times New Roman"/>
    </w:rPr>
  </w:style>
  <w:style w:type="character" w:customStyle="1" w:styleId="71">
    <w:name w:val="列出段落 Char"/>
    <w:link w:val="72"/>
    <w:autoRedefine/>
    <w:qFormat/>
    <w:uiPriority w:val="0"/>
    <w:rPr>
      <w:rFonts w:ascii="Cambria" w:hAnsi="Cambria" w:eastAsia="Copperplate Gothic Bold" w:cs="Times New Roman"/>
      <w:sz w:val="28"/>
      <w:szCs w:val="28"/>
      <w:lang w:bidi="ar-SA"/>
    </w:rPr>
  </w:style>
  <w:style w:type="paragraph" w:customStyle="1" w:styleId="72">
    <w:name w:val="列出段落1"/>
    <w:basedOn w:val="1"/>
    <w:link w:val="71"/>
    <w:autoRedefine/>
    <w:qFormat/>
    <w:uiPriority w:val="0"/>
    <w:pPr>
      <w:widowControl w:val="0"/>
      <w:autoSpaceDE w:val="0"/>
      <w:autoSpaceDN w:val="0"/>
      <w:adjustRightInd w:val="0"/>
      <w:ind w:firstLine="420" w:firstLineChars="200"/>
    </w:pPr>
    <w:rPr>
      <w:rFonts w:ascii="Cambria" w:hAnsi="Cambria" w:eastAsia="Copperplate Gothic Bold"/>
      <w:sz w:val="28"/>
      <w:szCs w:val="28"/>
    </w:rPr>
  </w:style>
  <w:style w:type="character" w:customStyle="1" w:styleId="73">
    <w:name w:val="批注主题 Char"/>
    <w:link w:val="35"/>
    <w:autoRedefine/>
    <w:qFormat/>
    <w:uiPriority w:val="0"/>
    <w:rPr>
      <w:rFonts w:ascii="Copperplate Gothic Bold" w:hAnsi="Calibri" w:eastAsia="Copperplate Gothic Bold" w:cs="Calibri"/>
      <w:kern w:val="2"/>
      <w:sz w:val="21"/>
      <w:szCs w:val="21"/>
      <w:lang w:val="en-US" w:eastAsia="zh-CN" w:bidi="ar-SA"/>
    </w:rPr>
  </w:style>
  <w:style w:type="character" w:customStyle="1" w:styleId="74">
    <w:name w:val="font01"/>
    <w:autoRedefine/>
    <w:qFormat/>
    <w:uiPriority w:val="0"/>
    <w:rPr>
      <w:rFonts w:hint="eastAsia" w:ascii="Copperplate Gothic Bold" w:hAnsi="Copperplate Gothic Bold" w:eastAsia="Copperplate Gothic Bold" w:cs="Copperplate Gothic Bold"/>
      <w:color w:val="000000"/>
      <w:sz w:val="21"/>
      <w:szCs w:val="21"/>
      <w:u w:val="none"/>
    </w:rPr>
  </w:style>
  <w:style w:type="paragraph" w:customStyle="1" w:styleId="75">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文本首行缩进1"/>
    <w:basedOn w:val="19"/>
    <w:autoRedefine/>
    <w:qFormat/>
    <w:uiPriority w:val="0"/>
    <w:pPr>
      <w:spacing w:after="0" w:line="300" w:lineRule="auto"/>
      <w:ind w:firstLine="200" w:firstLineChars="200"/>
    </w:pPr>
    <w:rPr>
      <w:szCs w:val="21"/>
    </w:rPr>
  </w:style>
  <w:style w:type="paragraph" w:customStyle="1" w:styleId="77">
    <w:name w:val="样式 标题 2 + 宋体 五号 非加粗 黑色"/>
    <w:basedOn w:val="3"/>
    <w:autoRedefine/>
    <w:qFormat/>
    <w:uiPriority w:val="0"/>
    <w:pPr>
      <w:spacing w:before="260" w:after="260" w:line="416" w:lineRule="atLeast"/>
      <w:ind w:left="1320" w:hanging="420"/>
    </w:pPr>
    <w:rPr>
      <w:rFonts w:ascii="Copperplate Gothic Bold" w:hAnsi="Copperplate Gothic Bold" w:eastAsia="Copperplate Gothic Bold"/>
      <w:bCs w:val="0"/>
      <w:color w:val="000000"/>
      <w:sz w:val="21"/>
      <w:szCs w:val="32"/>
    </w:rPr>
  </w:style>
  <w:style w:type="paragraph" w:customStyle="1" w:styleId="78">
    <w:name w:val="彩色列表 - 强调文字颜色 11"/>
    <w:basedOn w:val="1"/>
    <w:autoRedefine/>
    <w:qFormat/>
    <w:uiPriority w:val="0"/>
    <w:pPr>
      <w:ind w:firstLine="420" w:firstLineChars="200"/>
    </w:pPr>
    <w:rPr>
      <w:rFonts w:ascii="等线" w:hAnsi="等线" w:eastAsia="等线"/>
    </w:rPr>
  </w:style>
  <w:style w:type="paragraph" w:customStyle="1" w:styleId="79">
    <w:name w:val="reader-word-layer"/>
    <w:basedOn w:val="1"/>
    <w:autoRedefine/>
    <w:qFormat/>
    <w:uiPriority w:val="0"/>
    <w:pPr>
      <w:spacing w:before="100" w:beforeAutospacing="1" w:after="100" w:afterAutospacing="1"/>
    </w:pPr>
    <w:rPr>
      <w:rFonts w:ascii="Copperplate Gothic Bold" w:hAnsi="Copperplate Gothic Bold" w:eastAsia="等线" w:cs="Copperplate Gothic Bold"/>
      <w:sz w:val="24"/>
      <w:szCs w:val="24"/>
    </w:rPr>
  </w:style>
  <w:style w:type="paragraph" w:customStyle="1" w:styleId="80">
    <w:name w:val="Default"/>
    <w:autoRedefine/>
    <w:qFormat/>
    <w:uiPriority w:val="0"/>
    <w:pPr>
      <w:widowControl w:val="0"/>
      <w:autoSpaceDE w:val="0"/>
      <w:autoSpaceDN w:val="0"/>
      <w:adjustRightInd w:val="0"/>
    </w:pPr>
    <w:rPr>
      <w:rFonts w:ascii="Copperplate Gothic Bold" w:hAnsi="Calibri" w:eastAsia="宋体" w:cs="Copperplate Gothic Bold"/>
      <w:color w:val="000000"/>
      <w:sz w:val="24"/>
      <w:szCs w:val="24"/>
      <w:lang w:val="en-US" w:eastAsia="zh-CN" w:bidi="ar-SA"/>
    </w:rPr>
  </w:style>
  <w:style w:type="paragraph" w:customStyle="1" w:styleId="81">
    <w:name w:val="正文_2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2">
    <w:name w:val="正文（首行缩进2字符）"/>
    <w:basedOn w:val="1"/>
    <w:autoRedefine/>
    <w:qFormat/>
    <w:uiPriority w:val="0"/>
    <w:pPr>
      <w:spacing w:line="360" w:lineRule="auto"/>
      <w:ind w:firstLine="420" w:firstLineChars="200"/>
    </w:pPr>
    <w:rPr>
      <w:rFonts w:ascii="等线" w:hAnsi="等线" w:eastAsia="等线"/>
      <w:szCs w:val="21"/>
    </w:rPr>
  </w:style>
  <w:style w:type="paragraph" w:customStyle="1" w:styleId="83">
    <w:name w:val="默认段落字体 Para Char Char Char Char"/>
    <w:basedOn w:val="1"/>
    <w:qFormat/>
    <w:uiPriority w:val="0"/>
    <w:pPr>
      <w:widowControl w:val="0"/>
      <w:adjustRightInd w:val="0"/>
      <w:spacing w:line="360" w:lineRule="auto"/>
      <w:jc w:val="both"/>
    </w:pPr>
    <w:rPr>
      <w:rFonts w:ascii="等线" w:hAnsi="等线" w:eastAsia="等线"/>
      <w:sz w:val="24"/>
    </w:rPr>
  </w:style>
  <w:style w:type="paragraph" w:customStyle="1" w:styleId="84">
    <w:name w:val="正文_1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font0"/>
    <w:basedOn w:val="1"/>
    <w:autoRedefine/>
    <w:qFormat/>
    <w:uiPriority w:val="0"/>
    <w:pPr>
      <w:spacing w:before="100" w:beforeAutospacing="1" w:after="100" w:afterAutospacing="1"/>
    </w:pPr>
    <w:rPr>
      <w:rFonts w:hint="eastAsia" w:ascii="Copperplate Gothic Bold" w:hAnsi="Copperplate Gothic Bold" w:eastAsia="等线"/>
      <w:sz w:val="24"/>
      <w:szCs w:val="24"/>
    </w:rPr>
  </w:style>
  <w:style w:type="paragraph" w:customStyle="1" w:styleId="86">
    <w:name w:val="样式1"/>
    <w:basedOn w:val="1"/>
    <w:autoRedefine/>
    <w:qFormat/>
    <w:uiPriority w:val="0"/>
    <w:pPr>
      <w:widowControl w:val="0"/>
      <w:numPr>
        <w:ilvl w:val="0"/>
        <w:numId w:val="2"/>
      </w:numPr>
      <w:jc w:val="both"/>
    </w:pPr>
    <w:rPr>
      <w:rFonts w:ascii="Copperplate Gothic Bold" w:hAnsi="Copperplate Gothic Bold" w:eastAsia="等线"/>
      <w:kern w:val="2"/>
      <w:sz w:val="21"/>
      <w:szCs w:val="21"/>
    </w:rPr>
  </w:style>
  <w:style w:type="paragraph" w:customStyle="1" w:styleId="87">
    <w:name w:val="Normal_15"/>
    <w:autoRedefine/>
    <w:qFormat/>
    <w:uiPriority w:val="0"/>
    <w:pPr>
      <w:widowControl w:val="0"/>
      <w:jc w:val="both"/>
    </w:pPr>
    <w:rPr>
      <w:rFonts w:ascii="MT Extra" w:hAnsi="MT Extra" w:eastAsia="宋体" w:cs="Times New Roman"/>
      <w:kern w:val="2"/>
      <w:sz w:val="21"/>
      <w:szCs w:val="22"/>
      <w:lang w:val="en-US" w:eastAsia="zh-CN" w:bidi="ar-SA"/>
    </w:rPr>
  </w:style>
  <w:style w:type="paragraph" w:customStyle="1" w:styleId="88">
    <w:name w:val="列表段落1"/>
    <w:basedOn w:val="1"/>
    <w:autoRedefine/>
    <w:qFormat/>
    <w:uiPriority w:val="0"/>
    <w:pPr>
      <w:widowControl w:val="0"/>
      <w:spacing w:line="480" w:lineRule="exact"/>
      <w:ind w:firstLine="420" w:firstLineChars="200"/>
    </w:pPr>
    <w:rPr>
      <w:rFonts w:ascii="等线" w:hAnsi="等线" w:eastAsia="Copperplate Gothic Bold"/>
      <w:kern w:val="2"/>
      <w:sz w:val="28"/>
    </w:rPr>
  </w:style>
  <w:style w:type="paragraph" w:customStyle="1" w:styleId="89">
    <w:name w:val="=正文="/>
    <w:basedOn w:val="1"/>
    <w:autoRedefine/>
    <w:qFormat/>
    <w:uiPriority w:val="0"/>
    <w:pPr>
      <w:ind w:firstLine="480"/>
    </w:pPr>
    <w:rPr>
      <w:rFonts w:ascii="Copperplate Gothic Bold" w:hAnsi="Copperplate Gothic Bold" w:eastAsia="等线"/>
      <w:color w:val="000000"/>
    </w:rPr>
  </w:style>
  <w:style w:type="paragraph" w:customStyle="1" w:styleId="90">
    <w:name w:val="图表"/>
    <w:basedOn w:val="1"/>
    <w:autoRedefine/>
    <w:qFormat/>
    <w:uiPriority w:val="0"/>
    <w:pPr>
      <w:widowControl w:val="0"/>
      <w:jc w:val="center"/>
    </w:pPr>
    <w:rPr>
      <w:rFonts w:ascii="Copperplate Gothic Bold" w:hAnsi="Copperplate Gothic Bold" w:eastAsia="等线"/>
      <w:bCs/>
      <w:smallCaps/>
      <w:kern w:val="2"/>
      <w:sz w:val="21"/>
      <w:szCs w:val="36"/>
    </w:rPr>
  </w:style>
  <w:style w:type="paragraph" w:customStyle="1" w:styleId="91">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正文_14"/>
    <w:autoRedefine/>
    <w:qFormat/>
    <w:uiPriority w:val="0"/>
    <w:rPr>
      <w:rFonts w:ascii="Calibri" w:hAnsi="Calibri" w:eastAsia="宋体" w:cs="Times New Roman"/>
      <w:sz w:val="21"/>
      <w:szCs w:val="22"/>
      <w:lang w:val="en-US" w:eastAsia="zh-CN" w:bidi="ar-SA"/>
    </w:rPr>
  </w:style>
  <w:style w:type="paragraph" w:customStyle="1" w:styleId="93">
    <w:name w:val="表格"/>
    <w:basedOn w:val="1"/>
    <w:qFormat/>
    <w:uiPriority w:val="0"/>
    <w:pPr>
      <w:widowControl w:val="0"/>
      <w:spacing w:line="400" w:lineRule="exact"/>
      <w:jc w:val="both"/>
    </w:pPr>
    <w:rPr>
      <w:rFonts w:ascii="等线" w:hAnsi="等线" w:eastAsia="等线"/>
      <w:kern w:val="2"/>
      <w:sz w:val="24"/>
      <w:szCs w:val="24"/>
    </w:rPr>
  </w:style>
  <w:style w:type="paragraph" w:customStyle="1" w:styleId="94">
    <w:name w:val="样式 表格正文 + 两端对齐"/>
    <w:basedOn w:val="1"/>
    <w:autoRedefine/>
    <w:qFormat/>
    <w:uiPriority w:val="0"/>
    <w:pPr>
      <w:widowControl w:val="0"/>
      <w:spacing w:line="300" w:lineRule="auto"/>
      <w:jc w:val="both"/>
    </w:pPr>
    <w:rPr>
      <w:rFonts w:ascii="等线" w:hAnsi="等线" w:eastAsia="等线"/>
      <w:kern w:val="2"/>
      <w:sz w:val="24"/>
    </w:rPr>
  </w:style>
  <w:style w:type="paragraph" w:customStyle="1" w:styleId="95">
    <w:name w:val="纯文本_0_1"/>
    <w:basedOn w:val="1"/>
    <w:autoRedefine/>
    <w:qFormat/>
    <w:uiPriority w:val="0"/>
    <w:rPr>
      <w:rFonts w:ascii="Copperplate Gothic Bold" w:eastAsia="等线"/>
      <w:szCs w:val="21"/>
    </w:rPr>
  </w:style>
  <w:style w:type="paragraph" w:customStyle="1" w:styleId="96">
    <w:name w:val="此正文"/>
    <w:basedOn w:val="1"/>
    <w:autoRedefine/>
    <w:qFormat/>
    <w:uiPriority w:val="0"/>
    <w:pPr>
      <w:widowControl w:val="0"/>
      <w:spacing w:line="360" w:lineRule="auto"/>
      <w:ind w:firstLine="200" w:firstLineChars="200"/>
      <w:jc w:val="both"/>
    </w:pPr>
    <w:rPr>
      <w:rFonts w:ascii="等线" w:hAnsi="等线" w:eastAsia="等线"/>
      <w:kern w:val="2"/>
      <w:sz w:val="24"/>
      <w:szCs w:val="24"/>
    </w:rPr>
  </w:style>
  <w:style w:type="paragraph" w:customStyle="1" w:styleId="97">
    <w:name w:val="列出段落11"/>
    <w:basedOn w:val="1"/>
    <w:autoRedefine/>
    <w:qFormat/>
    <w:uiPriority w:val="0"/>
    <w:pPr>
      <w:ind w:firstLine="420" w:firstLineChars="200"/>
    </w:pPr>
    <w:rPr>
      <w:rFonts w:ascii="MT Extra" w:hAnsi="MT Extra" w:eastAsia="等线"/>
      <w:szCs w:val="22"/>
    </w:rPr>
  </w:style>
  <w:style w:type="paragraph" w:customStyle="1" w:styleId="98">
    <w:name w:val="Char Char Char Char Char Char"/>
    <w:basedOn w:val="1"/>
    <w:autoRedefine/>
    <w:qFormat/>
    <w:uiPriority w:val="0"/>
    <w:pPr>
      <w:widowControl w:val="0"/>
      <w:ind w:firstLine="200" w:firstLineChars="200"/>
      <w:jc w:val="both"/>
    </w:pPr>
    <w:rPr>
      <w:rFonts w:ascii="等线" w:hAnsi="等线" w:eastAsia="等线"/>
      <w:kern w:val="2"/>
      <w:sz w:val="21"/>
      <w:szCs w:val="24"/>
    </w:rPr>
  </w:style>
  <w:style w:type="paragraph" w:customStyle="1" w:styleId="99">
    <w:name w:val="正文样1"/>
    <w:basedOn w:val="1"/>
    <w:autoRedefine/>
    <w:qFormat/>
    <w:uiPriority w:val="0"/>
    <w:pPr>
      <w:spacing w:line="360" w:lineRule="auto"/>
      <w:ind w:firstLine="480"/>
    </w:pPr>
    <w:rPr>
      <w:rFonts w:ascii="MT Extra" w:hAnsi="MT Extra" w:eastAsia="等线"/>
      <w:sz w:val="24"/>
    </w:rPr>
  </w:style>
  <w:style w:type="paragraph" w:customStyle="1" w:styleId="100">
    <w:name w:val="Proposals body"/>
    <w:basedOn w:val="1"/>
    <w:next w:val="1"/>
    <w:autoRedefine/>
    <w:qFormat/>
    <w:uiPriority w:val="0"/>
    <w:pPr>
      <w:spacing w:line="360" w:lineRule="auto"/>
    </w:pPr>
    <w:rPr>
      <w:rFonts w:ascii="Copperplate Gothic Bold" w:hAnsi="等线" w:eastAsia="等线"/>
      <w:snapToGrid w:val="0"/>
      <w:color w:val="000000"/>
      <w:sz w:val="24"/>
    </w:rPr>
  </w:style>
  <w:style w:type="paragraph" w:customStyle="1" w:styleId="101">
    <w:name w:val="bt1bt1"/>
    <w:basedOn w:val="2"/>
    <w:autoRedefine/>
    <w:qFormat/>
    <w:uiPriority w:val="0"/>
    <w:pPr>
      <w:spacing w:line="240" w:lineRule="auto"/>
      <w:jc w:val="center"/>
    </w:pPr>
    <w:rPr>
      <w:rFonts w:ascii="黑体" w:hAnsi="等线" w:eastAsia="黑体"/>
      <w:b w:val="0"/>
      <w:sz w:val="36"/>
      <w:szCs w:val="36"/>
    </w:rPr>
  </w:style>
  <w:style w:type="paragraph" w:customStyle="1" w:styleId="102">
    <w:name w:val="列表段落2"/>
    <w:basedOn w:val="1"/>
    <w:autoRedefine/>
    <w:qFormat/>
    <w:uiPriority w:val="0"/>
    <w:pPr>
      <w:widowControl w:val="0"/>
      <w:spacing w:line="480" w:lineRule="exact"/>
      <w:ind w:firstLine="420" w:firstLineChars="200"/>
    </w:pPr>
    <w:rPr>
      <w:rFonts w:ascii="等线" w:hAnsi="等线" w:eastAsia="Copperplate Gothic Bold"/>
      <w:kern w:val="2"/>
      <w:sz w:val="28"/>
    </w:rPr>
  </w:style>
  <w:style w:type="paragraph" w:customStyle="1" w:styleId="103">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样式2"/>
    <w:basedOn w:val="3"/>
    <w:autoRedefine/>
    <w:qFormat/>
    <w:uiPriority w:val="0"/>
    <w:pPr>
      <w:spacing w:line="480" w:lineRule="exact"/>
      <w:jc w:val="center"/>
    </w:pPr>
    <w:rPr>
      <w:rFonts w:ascii="黑体" w:hAnsi="黑体" w:eastAsia="Copperplate Gothic Bold"/>
      <w:b/>
      <w:sz w:val="32"/>
      <w:szCs w:val="32"/>
    </w:rPr>
  </w:style>
  <w:style w:type="paragraph" w:customStyle="1" w:styleId="105">
    <w:name w:val="样式5"/>
    <w:basedOn w:val="1"/>
    <w:autoRedefine/>
    <w:qFormat/>
    <w:uiPriority w:val="0"/>
    <w:pPr>
      <w:spacing w:line="360" w:lineRule="auto"/>
      <w:ind w:firstLine="425"/>
    </w:pPr>
    <w:rPr>
      <w:rFonts w:ascii="等线" w:hAnsi="等线" w:eastAsia="等线"/>
      <w:kern w:val="2"/>
      <w:sz w:val="24"/>
      <w:szCs w:val="24"/>
    </w:rPr>
  </w:style>
  <w:style w:type="paragraph" w:customStyle="1" w:styleId="106">
    <w:name w:val="Char1"/>
    <w:basedOn w:val="1"/>
    <w:autoRedefine/>
    <w:qFormat/>
    <w:uiPriority w:val="0"/>
    <w:pPr>
      <w:widowControl w:val="0"/>
      <w:jc w:val="both"/>
    </w:pPr>
    <w:rPr>
      <w:rFonts w:ascii="Arial Unicode MS" w:hAnsi="Arial Unicode MS" w:eastAsia="等线"/>
      <w:kern w:val="2"/>
      <w:sz w:val="24"/>
    </w:rPr>
  </w:style>
  <w:style w:type="paragraph" w:customStyle="1" w:styleId="107">
    <w:name w:val="样式 首行缩进:  0 字符"/>
    <w:basedOn w:val="1"/>
    <w:autoRedefine/>
    <w:qFormat/>
    <w:uiPriority w:val="0"/>
    <w:rPr>
      <w:rFonts w:ascii="楷体_GB2312" w:hAnsi="楷体_GB2312" w:eastAsia="等线" w:cs="Copperplate Gothic Bold"/>
    </w:rPr>
  </w:style>
  <w:style w:type="paragraph" w:customStyle="1" w:styleId="108">
    <w:name w:val="正文_6"/>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正文"/>
    <w:basedOn w:val="1"/>
    <w:autoRedefine/>
    <w:qFormat/>
    <w:uiPriority w:val="0"/>
    <w:pPr>
      <w:spacing w:line="300" w:lineRule="auto"/>
      <w:ind w:firstLine="480"/>
    </w:pPr>
    <w:rPr>
      <w:rFonts w:ascii="Copperplate Gothic Bold" w:hAnsi="Copperplate Gothic Bold" w:eastAsia="等线" w:cs="Arial Unicode MS"/>
    </w:rPr>
  </w:style>
  <w:style w:type="paragraph" w:customStyle="1" w:styleId="111">
    <w:name w:val="正文2"/>
    <w:basedOn w:val="1"/>
    <w:autoRedefine/>
    <w:qFormat/>
    <w:uiPriority w:val="0"/>
    <w:pPr>
      <w:spacing w:before="156" w:line="360" w:lineRule="auto"/>
      <w:ind w:firstLine="510" w:firstLineChars="200"/>
    </w:pPr>
    <w:rPr>
      <w:rFonts w:ascii="MT Extra" w:hAnsi="MT Extra" w:eastAsia="等线"/>
      <w:sz w:val="24"/>
    </w:rPr>
  </w:style>
  <w:style w:type="paragraph" w:customStyle="1" w:styleId="112">
    <w:name w:val="正文_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3">
    <w:name w:val="无间隔1"/>
    <w:autoRedefine/>
    <w:qFormat/>
    <w:uiPriority w:val="0"/>
    <w:rPr>
      <w:rFonts w:ascii="MT Extra" w:hAnsi="MT Extra" w:eastAsia="宋体" w:cs="Times New Roman"/>
      <w:sz w:val="22"/>
      <w:szCs w:val="22"/>
      <w:lang w:val="en-US" w:eastAsia="en-US" w:bidi="ar-SA"/>
    </w:rPr>
  </w:style>
  <w:style w:type="paragraph" w:customStyle="1" w:styleId="114">
    <w:name w:val="默认段落字体 Para Char Char Char Char Char Char Char"/>
    <w:basedOn w:val="15"/>
    <w:autoRedefine/>
    <w:qFormat/>
    <w:uiPriority w:val="0"/>
    <w:pPr>
      <w:adjustRightInd w:val="0"/>
      <w:spacing w:line="436" w:lineRule="exact"/>
      <w:ind w:left="357"/>
      <w:jc w:val="left"/>
      <w:outlineLvl w:val="3"/>
    </w:pPr>
    <w:rPr>
      <w:szCs w:val="20"/>
    </w:rPr>
  </w:style>
  <w:style w:type="paragraph" w:customStyle="1" w:styleId="115">
    <w:name w:val="char"/>
    <w:basedOn w:val="1"/>
    <w:autoRedefine/>
    <w:qFormat/>
    <w:uiPriority w:val="0"/>
    <w:pPr>
      <w:widowControl w:val="0"/>
      <w:jc w:val="center"/>
    </w:pPr>
    <w:rPr>
      <w:rFonts w:ascii="等线" w:hAnsi="等线" w:eastAsia="等线"/>
      <w:b/>
      <w:kern w:val="2"/>
      <w:sz w:val="30"/>
    </w:rPr>
  </w:style>
  <w:style w:type="paragraph" w:customStyle="1" w:styleId="116">
    <w:name w:val="msolistparagraph"/>
    <w:basedOn w:val="1"/>
    <w:autoRedefine/>
    <w:qFormat/>
    <w:uiPriority w:val="0"/>
    <w:pPr>
      <w:widowControl w:val="0"/>
      <w:ind w:firstLine="420" w:firstLineChars="200"/>
      <w:jc w:val="both"/>
    </w:pPr>
    <w:rPr>
      <w:rFonts w:ascii="MT Extra" w:hAnsi="MT Extra" w:eastAsia="等线"/>
      <w:kern w:val="2"/>
      <w:sz w:val="21"/>
      <w:szCs w:val="22"/>
    </w:rPr>
  </w:style>
  <w:style w:type="paragraph" w:customStyle="1" w:styleId="117">
    <w:name w:val="_Style 19"/>
    <w:basedOn w:val="1"/>
    <w:autoRedefine/>
    <w:qFormat/>
    <w:uiPriority w:val="0"/>
    <w:pPr>
      <w:widowControl w:val="0"/>
      <w:jc w:val="both"/>
    </w:pPr>
    <w:rPr>
      <w:rFonts w:ascii="Arial Unicode MS" w:hAnsi="Copperplate Gothic Bold" w:eastAsia="Arial Unicode MS" w:cs="Copperplate Gothic Bold"/>
      <w:b/>
      <w:bCs/>
      <w:color w:val="000000"/>
      <w:sz w:val="21"/>
      <w:szCs w:val="21"/>
    </w:rPr>
  </w:style>
  <w:style w:type="paragraph" w:customStyle="1" w:styleId="118">
    <w:name w:val="正文文本首行缩进 22"/>
    <w:basedOn w:val="21"/>
    <w:next w:val="1"/>
    <w:autoRedefine/>
    <w:qFormat/>
    <w:uiPriority w:val="0"/>
    <w:pPr>
      <w:ind w:firstLine="420"/>
    </w:pPr>
    <w:rPr>
      <w:rFonts w:ascii="等线" w:eastAsia="等线" w:cs="Copperplate Gothic Bold"/>
      <w:szCs w:val="21"/>
    </w:rPr>
  </w:style>
  <w:style w:type="paragraph" w:customStyle="1" w:styleId="119">
    <w:name w:val="第一章"/>
    <w:basedOn w:val="2"/>
    <w:autoRedefine/>
    <w:qFormat/>
    <w:uiPriority w:val="0"/>
    <w:pPr>
      <w:pageBreakBefore/>
      <w:jc w:val="center"/>
    </w:pPr>
    <w:rPr>
      <w:rFonts w:eastAsia="黑体"/>
      <w:b w:val="0"/>
    </w:rPr>
  </w:style>
  <w:style w:type="paragraph" w:customStyle="1" w:styleId="120">
    <w:name w:val="!正文"/>
    <w:basedOn w:val="1"/>
    <w:autoRedefine/>
    <w:qFormat/>
    <w:uiPriority w:val="0"/>
    <w:pPr>
      <w:spacing w:line="360" w:lineRule="auto"/>
      <w:ind w:firstLine="200" w:firstLineChars="200"/>
    </w:pPr>
    <w:rPr>
      <w:rFonts w:ascii="宋体" w:hAnsi="宋体"/>
      <w:sz w:val="24"/>
      <w:szCs w:val="28"/>
      <w:lang w:val="zh-CN"/>
    </w:rPr>
  </w:style>
  <w:style w:type="paragraph" w:styleId="121">
    <w:name w:val="List Paragraph"/>
    <w:basedOn w:val="1"/>
    <w:autoRedefine/>
    <w:qFormat/>
    <w:uiPriority w:val="0"/>
    <w:pPr>
      <w:widowControl w:val="0"/>
      <w:ind w:firstLine="420" w:firstLineChars="200"/>
      <w:jc w:val="both"/>
    </w:pPr>
    <w:rPr>
      <w:kern w:val="2"/>
      <w:sz w:val="28"/>
      <w:szCs w:val="22"/>
    </w:rPr>
  </w:style>
  <w:style w:type="character" w:customStyle="1" w:styleId="122">
    <w:name w:val="正文缩进 Char"/>
    <w:link w:val="13"/>
    <w:autoRedefine/>
    <w:qFormat/>
    <w:uiPriority w:val="0"/>
    <w:rPr>
      <w:rFonts w:ascii="等线" w:hAnsi="等线" w:eastAsia="等线" w:cs="Times New Roman"/>
      <w:kern w:val="2"/>
      <w:sz w:val="24"/>
      <w:szCs w:val="24"/>
    </w:rPr>
  </w:style>
  <w:style w:type="paragraph" w:customStyle="1" w:styleId="123">
    <w:name w:val="_Style 340"/>
    <w:basedOn w:val="21"/>
    <w:next w:val="37"/>
    <w:autoRedefine/>
    <w:qFormat/>
    <w:uiPriority w:val="0"/>
    <w:pPr>
      <w:tabs>
        <w:tab w:val="clear" w:pos="0"/>
        <w:tab w:val="clear" w:pos="1260"/>
        <w:tab w:val="clear" w:pos="1365"/>
      </w:tabs>
      <w:spacing w:after="120" w:line="240" w:lineRule="auto"/>
      <w:ind w:left="420" w:leftChars="200" w:hanging="200" w:hangingChars="200"/>
    </w:pPr>
    <w:rPr>
      <w:rFonts w:ascii="Times New Roman" w:hAnsi="Times New Roman" w:eastAsia="宋体" w:cs="宋体"/>
      <w:sz w:val="21"/>
      <w:szCs w:val="21"/>
    </w:rPr>
  </w:style>
  <w:style w:type="paragraph" w:customStyle="1" w:styleId="124">
    <w:name w:val="paragraph"/>
    <w:basedOn w:val="1"/>
    <w:autoRedefine/>
    <w:qFormat/>
    <w:uiPriority w:val="0"/>
    <w:pPr>
      <w:spacing w:before="100" w:beforeAutospacing="1" w:after="100" w:afterAutospacing="1"/>
    </w:pPr>
    <w:rPr>
      <w:rFonts w:ascii="宋体" w:hAnsi="宋体"/>
      <w:sz w:val="24"/>
      <w:szCs w:val="24"/>
    </w:rPr>
  </w:style>
  <w:style w:type="paragraph" w:customStyle="1" w:styleId="125">
    <w:name w:val="_Style 2"/>
    <w:basedOn w:val="1"/>
    <w:autoRedefine/>
    <w:qFormat/>
    <w:uiPriority w:val="0"/>
    <w:pPr>
      <w:ind w:firstLine="420" w:firstLineChars="200"/>
    </w:pPr>
    <w:rPr>
      <w:szCs w:val="22"/>
    </w:rPr>
  </w:style>
  <w:style w:type="paragraph" w:customStyle="1" w:styleId="126">
    <w:name w:val="Table Paragraph"/>
    <w:basedOn w:val="1"/>
    <w:autoRedefine/>
    <w:qFormat/>
    <w:uiPriority w:val="1"/>
  </w:style>
  <w:style w:type="paragraph" w:customStyle="1" w:styleId="12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style21"/>
    <w:basedOn w:val="1"/>
    <w:autoRedefine/>
    <w:qFormat/>
    <w:uiPriority w:val="0"/>
    <w:pPr>
      <w:spacing w:before="100" w:beforeAutospacing="1" w:after="100" w:afterAutospacing="1"/>
    </w:pPr>
    <w:rPr>
      <w:rFonts w:ascii="宋体" w:hAnsi="宋体" w:cs="宋体"/>
      <w:sz w:val="24"/>
      <w:szCs w:val="24"/>
    </w:rPr>
  </w:style>
  <w:style w:type="paragraph" w:customStyle="1" w:styleId="129">
    <w:name w:val="￥正文"/>
    <w:basedOn w:val="1"/>
    <w:autoRedefine/>
    <w:qFormat/>
    <w:uiPriority w:val="0"/>
    <w:pPr>
      <w:widowControl w:val="0"/>
      <w:ind w:firstLine="200" w:firstLineChars="200"/>
      <w:jc w:val="both"/>
    </w:pPr>
    <w:rPr>
      <w:kern w:val="2"/>
      <w:sz w:val="21"/>
      <w:szCs w:val="24"/>
    </w:rPr>
  </w:style>
  <w:style w:type="paragraph" w:customStyle="1" w:styleId="130">
    <w:name w:val="正文空格"/>
    <w:basedOn w:val="1"/>
    <w:next w:val="1"/>
    <w:autoRedefine/>
    <w:qFormat/>
    <w:uiPriority w:val="0"/>
    <w:pPr>
      <w:spacing w:line="400" w:lineRule="exact"/>
      <w:ind w:firstLine="200" w:firstLineChars="200"/>
    </w:pPr>
    <w:rPr>
      <w:szCs w:val="22"/>
    </w:rPr>
  </w:style>
  <w:style w:type="paragraph" w:customStyle="1" w:styleId="131">
    <w:name w:val="纯文本11"/>
    <w:basedOn w:val="1"/>
    <w:autoRedefine/>
    <w:qFormat/>
    <w:uiPriority w:val="0"/>
    <w:rPr>
      <w:rFonts w:ascii="宋体" w:hAnsi="Courier New"/>
    </w:rPr>
  </w:style>
  <w:style w:type="paragraph" w:customStyle="1" w:styleId="132">
    <w:name w:val="列出段落6"/>
    <w:basedOn w:val="1"/>
    <w:autoRedefine/>
    <w:unhideWhenUsed/>
    <w:qFormat/>
    <w:uiPriority w:val="99"/>
    <w:pPr>
      <w:ind w:firstLine="420" w:firstLineChars="200"/>
    </w:pPr>
  </w:style>
  <w:style w:type="character" w:customStyle="1" w:styleId="133">
    <w:name w:val="NormalCharacter"/>
    <w:autoRedefine/>
    <w:qFormat/>
    <w:uiPriority w:val="0"/>
  </w:style>
  <w:style w:type="paragraph" w:customStyle="1" w:styleId="134">
    <w:name w:val="Block Text1"/>
    <w:basedOn w:val="1"/>
    <w:autoRedefine/>
    <w:qFormat/>
    <w:uiPriority w:val="0"/>
    <w:pPr>
      <w:ind w:left="-359" w:leftChars="-171" w:right="-244" w:rightChars="-244" w:firstLine="501" w:firstLineChars="239"/>
    </w:pPr>
    <w:rPr>
      <w:rFonts w:ascii="仿宋_GB2312" w:eastAsia="仿宋_GB2312"/>
      <w:sz w:val="30"/>
    </w:rPr>
  </w:style>
  <w:style w:type="character" w:customStyle="1" w:styleId="135">
    <w:name w:val="font61"/>
    <w:basedOn w:val="40"/>
    <w:autoRedefine/>
    <w:qFormat/>
    <w:uiPriority w:val="0"/>
    <w:rPr>
      <w:rFonts w:hint="default" w:ascii="Calibri" w:hAnsi="Calibri" w:cs="Calibri"/>
      <w:color w:val="000000"/>
      <w:sz w:val="21"/>
      <w:szCs w:val="21"/>
      <w:u w:val="none"/>
    </w:rPr>
  </w:style>
  <w:style w:type="paragraph" w:customStyle="1" w:styleId="136">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DAS正文"/>
    <w:basedOn w:val="1"/>
    <w:autoRedefine/>
    <w:qFormat/>
    <w:uiPriority w:val="0"/>
    <w:pPr>
      <w:spacing w:line="360" w:lineRule="auto"/>
      <w:ind w:right="181" w:firstLine="480" w:firstLineChars="200"/>
    </w:pPr>
    <w:rPr>
      <w:rFonts w:ascii="Verdana" w:hAnsi="Verdana"/>
    </w:rPr>
  </w:style>
  <w:style w:type="paragraph" w:customStyle="1" w:styleId="138">
    <w:name w:val="Normal"/>
    <w:autoRedefine/>
    <w:qFormat/>
    <w:uiPriority w:val="0"/>
    <w:rPr>
      <w:rFonts w:ascii="Times New Roman" w:hAnsi="Times New Roman" w:eastAsia="Times New Roman" w:cs="Times New Roman"/>
      <w:sz w:val="24"/>
      <w:szCs w:val="24"/>
      <w:lang w:val="en-US" w:eastAsia="zh-CN" w:bidi="ar-SA"/>
    </w:rPr>
  </w:style>
  <w:style w:type="paragraph" w:customStyle="1" w:styleId="139">
    <w:name w:val="trs_editor"/>
    <w:basedOn w:val="1"/>
    <w:autoRedefine/>
    <w:qFormat/>
    <w:uiPriority w:val="0"/>
    <w:pPr>
      <w:spacing w:before="100" w:beforeAutospacing="1" w:after="100" w:afterAutospacing="1"/>
    </w:pPr>
    <w:rPr>
      <w:rFonts w:ascii="宋体" w:hAnsi="宋体" w:cs="宋体"/>
      <w:sz w:val="24"/>
    </w:rPr>
  </w:style>
  <w:style w:type="paragraph" w:customStyle="1" w:styleId="1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1">
    <w:name w:val="正文 A"/>
    <w:next w:val="13"/>
    <w:autoRedefine/>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table" w:customStyle="1" w:styleId="142">
    <w:name w:val="Table Normal"/>
    <w:autoRedefine/>
    <w:qFormat/>
    <w:uiPriority w:val="0"/>
    <w:rPr>
      <w:rFonts w:ascii="Times New Roman" w:hAnsi="Times New Roman" w:eastAsia="Arial Unicode MS"/>
    </w:rPr>
    <w:tblPr>
      <w:tblCellMar>
        <w:top w:w="0" w:type="dxa"/>
        <w:left w:w="0" w:type="dxa"/>
        <w:bottom w:w="0" w:type="dxa"/>
        <w:right w:w="0" w:type="dxa"/>
      </w:tblCellMar>
    </w:tblPr>
  </w:style>
  <w:style w:type="paragraph" w:customStyle="1" w:styleId="143">
    <w:name w:val="首行缩进"/>
    <w:basedOn w:val="1"/>
    <w:autoRedefine/>
    <w:qFormat/>
    <w:uiPriority w:val="0"/>
    <w:pPr>
      <w:spacing w:line="360" w:lineRule="auto"/>
      <w:ind w:firstLine="720"/>
    </w:pPr>
    <w:rPr>
      <w:rFonts w:ascii="Times New Roman" w:hAnsi="Times New Roman" w:eastAsia="宋体" w:cs="Times New Roman"/>
      <w:szCs w:val="21"/>
    </w:rPr>
  </w:style>
  <w:style w:type="character" w:customStyle="1" w:styleId="144">
    <w:name w:val="font11"/>
    <w:basedOn w:val="40"/>
    <w:autoRedefine/>
    <w:qFormat/>
    <w:uiPriority w:val="0"/>
    <w:rPr>
      <w:rFonts w:hint="eastAsia" w:ascii="宋体" w:hAnsi="宋体" w:eastAsia="宋体" w:cs="宋体"/>
      <w:color w:val="000000"/>
      <w:sz w:val="21"/>
      <w:szCs w:val="21"/>
      <w:u w:val="none"/>
    </w:rPr>
  </w:style>
  <w:style w:type="paragraph" w:customStyle="1" w:styleId="145">
    <w:name w:val="索引 11"/>
    <w:basedOn w:val="1"/>
    <w:next w:val="1"/>
    <w:qFormat/>
    <w:uiPriority w:val="99"/>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chinaunicom</Company>
  <Pages>55</Pages>
  <Words>13618</Words>
  <Characters>14400</Characters>
  <Lines>225</Lines>
  <Paragraphs>63</Paragraphs>
  <TotalTime>0</TotalTime>
  <ScaleCrop>false</ScaleCrop>
  <LinksUpToDate>false</LinksUpToDate>
  <CharactersWithSpaces>14591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2022-02-18T14:32:00Z</dcterms:created>
  <dc:creator>雨林木风</dc:creator>
  <cp:lastModifiedBy>睡不醒</cp:lastModifiedBy>
  <cp:lastPrinted>2024-02-22T16:34:00Z</cp:lastPrinted>
  <dcterms:modified xsi:type="dcterms:W3CDTF">2025-05-30T07:46:16Z</dcterms:modified>
  <dc:title>招  标  文  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B99EBD26B9234B3886C242FBB28B5879_13</vt:lpwstr>
  </property>
  <property fmtid="{D5CDD505-2E9C-101B-9397-08002B2CF9AE}" pid="4" name="KSOTemplateDocerSaveRecord">
    <vt:lpwstr>eyJoZGlkIjoiMWYxNzhlMTI1ODNkNDA4NjI2NjE3M2ZjZmQ1NTk5MzIiLCJ1c2VySWQiOiIyNTI0ODM0NzEifQ==</vt:lpwstr>
  </property>
</Properties>
</file>