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56" w:after="156" w:line="360" w:lineRule="auto"/>
        <w:jc w:val="center"/>
        <w:rPr>
          <w:rFonts w:hint="default" w:hAnsi="宋体" w:eastAsia="宋体"/>
          <w:color w:val="auto"/>
          <w:sz w:val="44"/>
          <w:szCs w:val="44"/>
          <w:highlight w:val="none"/>
          <w:lang w:val="en-US" w:eastAsia="zh-CN"/>
        </w:rPr>
      </w:pPr>
      <w:r>
        <w:rPr>
          <w:rFonts w:hint="eastAsia" w:hAnsi="宋体"/>
          <w:color w:val="auto"/>
          <w:sz w:val="44"/>
          <w:szCs w:val="44"/>
          <w:highlight w:val="none"/>
          <w:lang w:val="en-US" w:eastAsia="zh-CN"/>
        </w:rPr>
        <w:t xml:space="preserve"> </w:t>
      </w:r>
    </w:p>
    <w:p>
      <w:pPr>
        <w:pStyle w:val="20"/>
        <w:spacing w:line="360" w:lineRule="auto"/>
        <w:rPr>
          <w:rFonts w:hAnsi="宋体"/>
          <w:color w:val="auto"/>
          <w:sz w:val="44"/>
          <w:szCs w:val="44"/>
          <w:highlight w:val="none"/>
        </w:rPr>
      </w:pPr>
    </w:p>
    <w:p>
      <w:pPr>
        <w:spacing w:line="360" w:lineRule="auto"/>
      </w:pPr>
    </w:p>
    <w:p>
      <w:pPr>
        <w:spacing w:line="360" w:lineRule="auto"/>
        <w:jc w:val="center"/>
        <w:rPr>
          <w:rFonts w:hint="eastAsia" w:ascii="宋体" w:hAnsi="宋体"/>
          <w:b/>
          <w:color w:val="auto"/>
          <w:sz w:val="52"/>
          <w:szCs w:val="52"/>
          <w:highlight w:val="none"/>
        </w:rPr>
      </w:pPr>
      <w:r>
        <w:rPr>
          <w:rFonts w:hint="eastAsia" w:ascii="宋体" w:hAnsi="宋体"/>
          <w:b/>
          <w:color w:val="auto"/>
          <w:sz w:val="52"/>
          <w:szCs w:val="52"/>
          <w:highlight w:val="none"/>
          <w:lang w:val="en-US" w:eastAsia="zh-CN"/>
        </w:rPr>
        <w:t>公开招标采购</w:t>
      </w:r>
      <w:r>
        <w:rPr>
          <w:rFonts w:hint="eastAsia" w:ascii="宋体" w:hAnsi="宋体"/>
          <w:b/>
          <w:color w:val="auto"/>
          <w:sz w:val="52"/>
          <w:szCs w:val="52"/>
          <w:highlight w:val="none"/>
        </w:rPr>
        <w:t>文件</w:t>
      </w:r>
    </w:p>
    <w:p>
      <w:pPr>
        <w:spacing w:line="360" w:lineRule="auto"/>
        <w:jc w:val="center"/>
        <w:rPr>
          <w:rFonts w:hint="eastAsia" w:ascii="宋体" w:hAnsi="宋体"/>
          <w:color w:val="auto"/>
          <w:sz w:val="44"/>
          <w:szCs w:val="20"/>
          <w:highlight w:val="none"/>
        </w:rPr>
      </w:pPr>
    </w:p>
    <w:p>
      <w:pPr>
        <w:spacing w:before="156" w:beforeLines="50" w:line="360" w:lineRule="auto"/>
        <w:jc w:val="center"/>
        <w:rPr>
          <w:rFonts w:ascii="宋体" w:hAnsi="宋体"/>
          <w:b/>
          <w:color w:val="auto"/>
          <w:sz w:val="48"/>
          <w:szCs w:val="48"/>
          <w:highlight w:val="none"/>
        </w:rPr>
      </w:pPr>
    </w:p>
    <w:p>
      <w:pPr>
        <w:pStyle w:val="6"/>
        <w:tabs>
          <w:tab w:val="left" w:pos="1620"/>
        </w:tabs>
        <w:snapToGrid w:val="0"/>
        <w:spacing w:before="156" w:after="156" w:line="360" w:lineRule="auto"/>
        <w:ind w:firstLine="1175" w:firstLineChars="418"/>
        <w:rPr>
          <w:rFonts w:hint="eastAsia" w:hAnsi="宋体" w:eastAsia="宋体"/>
          <w:b/>
          <w:bCs/>
          <w:color w:val="auto"/>
          <w:sz w:val="28"/>
          <w:highlight w:val="none"/>
          <w:lang w:eastAsia="zh-CN"/>
        </w:rPr>
      </w:pPr>
      <w:r>
        <w:rPr>
          <w:rFonts w:hAnsi="宋体"/>
          <w:b/>
          <w:bCs/>
          <w:color w:val="auto"/>
          <w:sz w:val="28"/>
          <w:highlight w:val="none"/>
        </w:rPr>
        <w:t>项目编号：</w:t>
      </w:r>
      <w:r>
        <w:rPr>
          <w:rFonts w:hint="eastAsia" w:hAnsi="宋体"/>
          <w:b/>
          <w:bCs/>
          <w:color w:val="auto"/>
          <w:sz w:val="28"/>
          <w:highlight w:val="none"/>
          <w:lang w:eastAsia="zh-CN"/>
        </w:rPr>
        <w:t>TZCCC-【2025】-</w:t>
      </w:r>
      <w:r>
        <w:rPr>
          <w:rFonts w:hint="eastAsia" w:hAnsi="宋体"/>
          <w:b/>
          <w:bCs/>
          <w:color w:val="auto"/>
          <w:sz w:val="28"/>
          <w:highlight w:val="none"/>
          <w:lang w:val="en-US" w:eastAsia="zh-CN"/>
        </w:rPr>
        <w:t>047</w:t>
      </w:r>
      <w:r>
        <w:rPr>
          <w:rFonts w:hint="eastAsia" w:hAnsi="宋体"/>
          <w:b/>
          <w:bCs/>
          <w:color w:val="auto"/>
          <w:sz w:val="28"/>
          <w:highlight w:val="none"/>
          <w:lang w:eastAsia="zh-CN"/>
        </w:rPr>
        <w:t>号</w:t>
      </w:r>
    </w:p>
    <w:p>
      <w:pPr>
        <w:pStyle w:val="6"/>
        <w:tabs>
          <w:tab w:val="left" w:pos="1620"/>
        </w:tabs>
        <w:snapToGrid w:val="0"/>
        <w:spacing w:before="156" w:after="156" w:line="360" w:lineRule="auto"/>
        <w:ind w:left="2415" w:leftChars="418" w:hanging="1245" w:hangingChars="443"/>
        <w:rPr>
          <w:rFonts w:hint="default" w:hAnsi="宋体" w:eastAsia="宋体"/>
          <w:b/>
          <w:bCs/>
          <w:color w:val="auto"/>
          <w:sz w:val="28"/>
          <w:highlight w:val="none"/>
          <w:lang w:val="en-US" w:eastAsia="zh-CN"/>
        </w:rPr>
      </w:pPr>
      <w:r>
        <w:rPr>
          <w:rFonts w:hAnsi="宋体"/>
          <w:b/>
          <w:bCs/>
          <w:color w:val="auto"/>
          <w:sz w:val="28"/>
          <w:highlight w:val="none"/>
        </w:rPr>
        <w:t>项目名称：</w:t>
      </w:r>
      <w:r>
        <w:rPr>
          <w:rFonts w:hint="eastAsia" w:hAnsi="宋体"/>
          <w:b/>
          <w:bCs/>
          <w:color w:val="auto"/>
          <w:sz w:val="28"/>
          <w:highlight w:val="none"/>
          <w:lang w:val="en-US" w:eastAsia="zh-CN"/>
        </w:rPr>
        <w:t>自然资源和规划信息系统安全等保测评项目</w:t>
      </w:r>
    </w:p>
    <w:p>
      <w:pPr>
        <w:pStyle w:val="6"/>
        <w:tabs>
          <w:tab w:val="left" w:pos="1620"/>
        </w:tabs>
        <w:snapToGrid w:val="0"/>
        <w:spacing w:before="156" w:after="156" w:line="360" w:lineRule="auto"/>
        <w:ind w:left="2415" w:leftChars="418" w:hanging="1245" w:hangingChars="443"/>
        <w:rPr>
          <w:rFonts w:hAnsi="宋体"/>
          <w:b/>
          <w:bCs/>
          <w:color w:val="auto"/>
          <w:sz w:val="28"/>
          <w:highlight w:val="none"/>
        </w:rPr>
      </w:pPr>
      <w:r>
        <w:rPr>
          <w:rFonts w:hAnsi="宋体"/>
          <w:b/>
          <w:bCs/>
          <w:color w:val="auto"/>
          <w:sz w:val="28"/>
          <w:highlight w:val="none"/>
        </w:rPr>
        <w:t>采购单位：</w:t>
      </w:r>
      <w:r>
        <w:rPr>
          <w:rFonts w:hint="eastAsia" w:hAnsi="宋体"/>
          <w:b/>
          <w:bCs/>
          <w:color w:val="auto"/>
          <w:sz w:val="28"/>
          <w:highlight w:val="none"/>
          <w:lang w:val="en-US" w:eastAsia="zh-CN"/>
        </w:rPr>
        <w:t>台州市自然资源和规划信息中心</w:t>
      </w:r>
      <w:r>
        <w:rPr>
          <w:rFonts w:hAnsi="宋体"/>
          <w:b/>
          <w:bCs/>
          <w:color w:val="auto"/>
          <w:sz w:val="28"/>
          <w:highlight w:val="none"/>
        </w:rPr>
        <w:t>（盖章）</w:t>
      </w:r>
    </w:p>
    <w:p>
      <w:pPr>
        <w:pStyle w:val="6"/>
        <w:tabs>
          <w:tab w:val="left" w:pos="1620"/>
        </w:tabs>
        <w:snapToGrid w:val="0"/>
        <w:spacing w:before="156" w:after="156" w:line="360" w:lineRule="auto"/>
        <w:ind w:firstLine="1175" w:firstLineChars="418"/>
        <w:rPr>
          <w:rFonts w:hint="eastAsia" w:hAnsi="宋体"/>
          <w:b/>
          <w:bCs/>
          <w:color w:val="auto"/>
          <w:sz w:val="28"/>
          <w:highlight w:val="none"/>
        </w:rPr>
      </w:pPr>
      <w:r>
        <w:rPr>
          <w:rFonts w:hint="eastAsia" w:hAnsi="宋体"/>
          <w:b/>
          <w:bCs/>
          <w:color w:val="auto"/>
          <w:sz w:val="28"/>
          <w:highlight w:val="none"/>
        </w:rPr>
        <w:t>联系人：</w:t>
      </w:r>
      <w:r>
        <w:rPr>
          <w:rFonts w:hint="eastAsia" w:hAnsi="宋体"/>
          <w:b/>
          <w:bCs/>
          <w:color w:val="auto"/>
          <w:sz w:val="28"/>
          <w:highlight w:val="none"/>
          <w:lang w:val="en-US" w:eastAsia="zh-CN"/>
        </w:rPr>
        <w:t>王先生</w:t>
      </w:r>
      <w:r>
        <w:rPr>
          <w:rFonts w:hint="eastAsia" w:hAnsi="宋体"/>
          <w:b/>
          <w:bCs/>
          <w:color w:val="auto"/>
          <w:sz w:val="28"/>
          <w:highlight w:val="none"/>
        </w:rPr>
        <w:t xml:space="preserve">      </w:t>
      </w:r>
      <w:r>
        <w:rPr>
          <w:rFonts w:hint="eastAsia" w:hAnsi="宋体"/>
          <w:b/>
          <w:bCs/>
          <w:color w:val="auto"/>
          <w:sz w:val="28"/>
          <w:highlight w:val="none"/>
          <w:lang w:val="en-US" w:eastAsia="zh-CN"/>
        </w:rPr>
        <w:t xml:space="preserve"> </w:t>
      </w:r>
      <w:r>
        <w:rPr>
          <w:rFonts w:hint="eastAsia" w:hAnsi="宋体"/>
          <w:b/>
          <w:bCs/>
          <w:color w:val="auto"/>
          <w:sz w:val="28"/>
          <w:highlight w:val="none"/>
        </w:rPr>
        <w:t xml:space="preserve"> </w:t>
      </w:r>
      <w:r>
        <w:rPr>
          <w:rFonts w:hAnsi="宋体"/>
          <w:b/>
          <w:bCs/>
          <w:color w:val="auto"/>
          <w:sz w:val="28"/>
          <w:highlight w:val="none"/>
        </w:rPr>
        <w:t>联系电话：</w:t>
      </w:r>
      <w:r>
        <w:rPr>
          <w:rFonts w:hint="eastAsia" w:hAnsi="宋体"/>
          <w:b/>
          <w:bCs/>
          <w:color w:val="auto"/>
          <w:sz w:val="28"/>
          <w:highlight w:val="none"/>
        </w:rPr>
        <w:t>0576-88511300</w:t>
      </w:r>
    </w:p>
    <w:p>
      <w:pPr>
        <w:pStyle w:val="6"/>
        <w:tabs>
          <w:tab w:val="left" w:pos="1620"/>
        </w:tabs>
        <w:snapToGrid w:val="0"/>
        <w:spacing w:before="156" w:after="156" w:line="360" w:lineRule="auto"/>
        <w:ind w:firstLine="1175" w:firstLineChars="418"/>
        <w:rPr>
          <w:rFonts w:hAnsi="宋体"/>
          <w:b/>
          <w:bCs/>
          <w:color w:val="auto"/>
          <w:sz w:val="28"/>
          <w:highlight w:val="none"/>
        </w:rPr>
      </w:pPr>
      <w:r>
        <w:rPr>
          <w:rFonts w:hAnsi="宋体"/>
          <w:b/>
          <w:bCs/>
          <w:color w:val="auto"/>
          <w:sz w:val="28"/>
          <w:highlight w:val="none"/>
        </w:rPr>
        <w:t>代理机构：台州市建设咨询有限公司（盖章）</w:t>
      </w:r>
    </w:p>
    <w:p>
      <w:pPr>
        <w:pStyle w:val="6"/>
        <w:tabs>
          <w:tab w:val="right" w:pos="9184"/>
        </w:tabs>
        <w:snapToGrid w:val="0"/>
        <w:spacing w:before="156" w:after="156" w:line="360" w:lineRule="auto"/>
        <w:ind w:firstLine="1105" w:firstLineChars="393"/>
        <w:rPr>
          <w:rFonts w:hAnsi="宋体"/>
          <w:b/>
          <w:bCs/>
          <w:color w:val="auto"/>
          <w:sz w:val="30"/>
          <w:szCs w:val="30"/>
          <w:highlight w:val="none"/>
        </w:rPr>
      </w:pPr>
      <w:r>
        <w:rPr>
          <w:rFonts w:hAnsi="宋体"/>
          <w:b/>
          <w:bCs/>
          <w:color w:val="auto"/>
          <w:sz w:val="28"/>
          <w:highlight w:val="none"/>
        </w:rPr>
        <w:t>代理项目负责人：</w:t>
      </w:r>
      <w:r>
        <w:rPr>
          <w:rFonts w:hint="eastAsia" w:hAnsi="宋体"/>
          <w:b/>
          <w:bCs/>
          <w:color w:val="auto"/>
          <w:sz w:val="28"/>
          <w:highlight w:val="none"/>
          <w:lang w:val="en-US" w:eastAsia="zh-CN"/>
        </w:rPr>
        <w:t>李灵芝</w:t>
      </w:r>
      <w:r>
        <w:rPr>
          <w:rFonts w:hint="eastAsia" w:hAnsi="宋体"/>
          <w:b/>
          <w:bCs/>
          <w:color w:val="auto"/>
          <w:sz w:val="28"/>
          <w:highlight w:val="none"/>
        </w:rPr>
        <w:t xml:space="preserve">  </w:t>
      </w:r>
      <w:r>
        <w:rPr>
          <w:rFonts w:hAnsi="宋体"/>
          <w:b/>
          <w:bCs/>
          <w:color w:val="auto"/>
          <w:sz w:val="28"/>
          <w:highlight w:val="none"/>
        </w:rPr>
        <w:t>联系电话：</w:t>
      </w:r>
      <w:r>
        <w:rPr>
          <w:rFonts w:hint="eastAsia" w:hAnsi="宋体"/>
          <w:b/>
          <w:bCs/>
          <w:color w:val="auto"/>
          <w:sz w:val="28"/>
          <w:highlight w:val="none"/>
          <w:lang w:eastAsia="zh-CN"/>
        </w:rPr>
        <w:t>0576-8851778</w:t>
      </w:r>
      <w:r>
        <w:rPr>
          <w:rFonts w:hint="eastAsia" w:hAnsi="宋体"/>
          <w:b/>
          <w:bCs/>
          <w:color w:val="auto"/>
          <w:sz w:val="28"/>
          <w:highlight w:val="none"/>
          <w:lang w:val="en-US" w:eastAsia="zh-CN"/>
        </w:rPr>
        <w:t>5</w:t>
      </w:r>
      <w:r>
        <w:rPr>
          <w:rFonts w:hAnsi="宋体"/>
          <w:b/>
          <w:bCs/>
          <w:color w:val="auto"/>
          <w:sz w:val="28"/>
          <w:highlight w:val="none"/>
        </w:rPr>
        <w:tab/>
      </w:r>
    </w:p>
    <w:p>
      <w:pPr>
        <w:pStyle w:val="6"/>
        <w:snapToGrid w:val="0"/>
        <w:spacing w:before="156" w:after="156" w:line="360" w:lineRule="auto"/>
        <w:rPr>
          <w:rFonts w:hAnsi="宋体"/>
          <w:b/>
          <w:bCs/>
          <w:color w:val="auto"/>
          <w:sz w:val="30"/>
          <w:szCs w:val="30"/>
          <w:highlight w:val="none"/>
        </w:rPr>
      </w:pPr>
    </w:p>
    <w:p>
      <w:pPr>
        <w:pStyle w:val="6"/>
        <w:snapToGrid w:val="0"/>
        <w:spacing w:before="156" w:after="156" w:line="360" w:lineRule="auto"/>
        <w:rPr>
          <w:rFonts w:hAnsi="宋体"/>
          <w:b/>
          <w:bCs/>
          <w:color w:val="auto"/>
          <w:sz w:val="30"/>
          <w:szCs w:val="30"/>
          <w:highlight w:val="none"/>
        </w:rPr>
      </w:pPr>
    </w:p>
    <w:p>
      <w:pPr>
        <w:pStyle w:val="6"/>
        <w:snapToGrid w:val="0"/>
        <w:spacing w:before="156" w:after="156" w:line="360" w:lineRule="auto"/>
        <w:rPr>
          <w:rFonts w:hAnsi="宋体"/>
          <w:b/>
          <w:bCs/>
          <w:color w:val="auto"/>
          <w:sz w:val="30"/>
          <w:szCs w:val="30"/>
          <w:highlight w:val="none"/>
        </w:rPr>
      </w:pPr>
    </w:p>
    <w:p>
      <w:pPr>
        <w:pStyle w:val="6"/>
        <w:snapToGrid w:val="0"/>
        <w:spacing w:before="156" w:after="156" w:line="360" w:lineRule="auto"/>
        <w:rPr>
          <w:rFonts w:hAnsi="宋体"/>
          <w:b/>
          <w:bCs/>
          <w:color w:val="auto"/>
          <w:sz w:val="30"/>
          <w:szCs w:val="30"/>
          <w:highlight w:val="none"/>
        </w:rPr>
      </w:pPr>
    </w:p>
    <w:p>
      <w:pPr>
        <w:pStyle w:val="6"/>
        <w:snapToGrid w:val="0"/>
        <w:spacing w:before="156" w:after="156" w:line="360" w:lineRule="auto"/>
        <w:rPr>
          <w:rFonts w:hAnsi="宋体"/>
          <w:b/>
          <w:bCs/>
          <w:color w:val="auto"/>
          <w:sz w:val="30"/>
          <w:szCs w:val="30"/>
          <w:highlight w:val="none"/>
        </w:rPr>
      </w:pPr>
    </w:p>
    <w:p>
      <w:pPr>
        <w:pStyle w:val="6"/>
        <w:spacing w:before="156" w:after="156" w:line="360" w:lineRule="auto"/>
        <w:jc w:val="center"/>
        <w:rPr>
          <w:rFonts w:hAnsi="宋体"/>
          <w:color w:val="auto"/>
          <w:sz w:val="44"/>
          <w:szCs w:val="44"/>
          <w:highlight w:val="none"/>
        </w:rPr>
      </w:pPr>
      <w:r>
        <w:rPr>
          <w:rFonts w:hAnsi="宋体"/>
          <w:b/>
          <w:bCs/>
          <w:color w:val="auto"/>
          <w:w w:val="95"/>
          <w:sz w:val="30"/>
          <w:szCs w:val="30"/>
          <w:highlight w:val="none"/>
        </w:rPr>
        <w:t>二〇二</w:t>
      </w:r>
      <w:r>
        <w:rPr>
          <w:rFonts w:hint="eastAsia" w:hAnsi="宋体"/>
          <w:b/>
          <w:bCs/>
          <w:color w:val="auto"/>
          <w:w w:val="95"/>
          <w:sz w:val="30"/>
          <w:szCs w:val="30"/>
          <w:highlight w:val="none"/>
          <w:lang w:val="en-US" w:eastAsia="zh-CN"/>
        </w:rPr>
        <w:t>五年六</w:t>
      </w:r>
      <w:r>
        <w:rPr>
          <w:rFonts w:hAnsi="宋体"/>
          <w:b/>
          <w:bCs/>
          <w:color w:val="auto"/>
          <w:w w:val="95"/>
          <w:sz w:val="30"/>
          <w:szCs w:val="30"/>
          <w:highlight w:val="none"/>
        </w:rPr>
        <w:t>月</w:t>
      </w:r>
    </w:p>
    <w:p>
      <w:pPr>
        <w:spacing w:line="360" w:lineRule="auto"/>
        <w:jc w:val="center"/>
        <w:rPr>
          <w:rFonts w:hAnsi="宋体"/>
          <w:color w:val="auto"/>
          <w:sz w:val="44"/>
          <w:szCs w:val="44"/>
          <w:highlight w:val="none"/>
        </w:rPr>
      </w:pPr>
      <w:r>
        <w:rPr>
          <w:rFonts w:hAnsi="宋体"/>
          <w:color w:val="auto"/>
          <w:sz w:val="44"/>
          <w:szCs w:val="44"/>
          <w:highlight w:val="none"/>
        </w:rPr>
        <w:br w:type="page"/>
      </w:r>
    </w:p>
    <w:p>
      <w:pPr>
        <w:spacing w:line="360" w:lineRule="auto"/>
        <w:jc w:val="center"/>
        <w:rPr>
          <w:rFonts w:hAnsi="宋体"/>
          <w:color w:val="auto"/>
          <w:sz w:val="44"/>
          <w:szCs w:val="44"/>
          <w:highlight w:val="none"/>
        </w:rPr>
      </w:pPr>
      <w:r>
        <w:rPr>
          <w:rFonts w:hAnsi="宋体"/>
          <w:color w:val="auto"/>
          <w:sz w:val="44"/>
          <w:szCs w:val="44"/>
          <w:highlight w:val="none"/>
        </w:rPr>
        <w:t>目    录</w:t>
      </w:r>
    </w:p>
    <w:p>
      <w:pPr>
        <w:spacing w:before="156" w:beforeLines="50" w:line="360" w:lineRule="auto"/>
        <w:rPr>
          <w:rFonts w:ascii="宋体" w:hAnsi="宋体"/>
          <w:color w:val="auto"/>
          <w:sz w:val="30"/>
          <w:szCs w:val="20"/>
          <w:highlight w:val="none"/>
        </w:rPr>
      </w:pPr>
      <w:r>
        <w:rPr>
          <w:rFonts w:hint="eastAsia" w:ascii="宋体" w:hAnsi="宋体"/>
          <w:color w:val="auto"/>
          <w:sz w:val="30"/>
          <w:highlight w:val="none"/>
        </w:rPr>
        <w:t>第一章  公开招标采购公告</w:t>
      </w:r>
      <w:r>
        <w:rPr>
          <w:rFonts w:ascii="宋体" w:hAnsi="宋体"/>
          <w:color w:val="auto"/>
          <w:sz w:val="30"/>
          <w:highlight w:val="none"/>
        </w:rPr>
        <w:t>…………………………………………</w:t>
      </w:r>
      <w:r>
        <w:rPr>
          <w:rFonts w:hint="eastAsia" w:ascii="宋体" w:hAnsi="宋体"/>
          <w:color w:val="auto"/>
          <w:sz w:val="30"/>
          <w:highlight w:val="none"/>
        </w:rPr>
        <w:t>3</w:t>
      </w:r>
    </w:p>
    <w:p>
      <w:pPr>
        <w:spacing w:before="156" w:beforeLines="50" w:line="360" w:lineRule="auto"/>
        <w:rPr>
          <w:rFonts w:hint="eastAsia" w:ascii="宋体" w:hAnsi="宋体" w:eastAsia="宋体"/>
          <w:color w:val="auto"/>
          <w:sz w:val="30"/>
          <w:szCs w:val="20"/>
          <w:highlight w:val="none"/>
          <w:lang w:eastAsia="zh-CN"/>
        </w:rPr>
      </w:pPr>
      <w:r>
        <w:rPr>
          <w:rFonts w:hint="eastAsia" w:ascii="宋体" w:hAnsi="宋体"/>
          <w:color w:val="auto"/>
          <w:sz w:val="30"/>
          <w:highlight w:val="none"/>
        </w:rPr>
        <w:t>第二章  招标需求</w:t>
      </w:r>
      <w:r>
        <w:rPr>
          <w:rFonts w:ascii="宋体" w:hAnsi="宋体"/>
          <w:color w:val="auto"/>
          <w:sz w:val="30"/>
          <w:highlight w:val="none"/>
        </w:rPr>
        <w:t>……………………………………………………</w:t>
      </w:r>
      <w:r>
        <w:rPr>
          <w:rFonts w:hint="eastAsia" w:ascii="宋体" w:hAnsi="宋体"/>
          <w:color w:val="auto"/>
          <w:sz w:val="30"/>
          <w:highlight w:val="none"/>
          <w:lang w:val="en-US" w:eastAsia="zh-CN"/>
        </w:rPr>
        <w:t>5</w:t>
      </w:r>
    </w:p>
    <w:p>
      <w:pPr>
        <w:spacing w:before="156" w:beforeLines="50" w:line="360" w:lineRule="auto"/>
        <w:rPr>
          <w:rFonts w:hint="eastAsia" w:ascii="宋体" w:hAnsi="宋体" w:eastAsia="宋体"/>
          <w:color w:val="auto"/>
          <w:sz w:val="30"/>
          <w:szCs w:val="20"/>
          <w:highlight w:val="none"/>
          <w:lang w:eastAsia="zh-CN"/>
        </w:rPr>
      </w:pPr>
      <w:r>
        <w:rPr>
          <w:rFonts w:hint="eastAsia" w:ascii="宋体" w:hAnsi="宋体"/>
          <w:color w:val="auto"/>
          <w:sz w:val="30"/>
          <w:highlight w:val="none"/>
        </w:rPr>
        <w:t xml:space="preserve">第三章  </w:t>
      </w:r>
      <w:r>
        <w:rPr>
          <w:rFonts w:hint="eastAsia" w:ascii="宋体" w:hAnsi="宋体"/>
          <w:color w:val="auto"/>
          <w:sz w:val="30"/>
          <w:highlight w:val="none"/>
          <w:lang w:eastAsia="zh-CN"/>
        </w:rPr>
        <w:t>供应商</w:t>
      </w:r>
      <w:r>
        <w:rPr>
          <w:rFonts w:hint="eastAsia" w:ascii="宋体" w:hAnsi="宋体"/>
          <w:color w:val="auto"/>
          <w:sz w:val="30"/>
          <w:highlight w:val="none"/>
        </w:rPr>
        <w:t>须知</w:t>
      </w:r>
      <w:r>
        <w:rPr>
          <w:rFonts w:ascii="宋体" w:hAnsi="宋体"/>
          <w:color w:val="auto"/>
          <w:sz w:val="30"/>
          <w:highlight w:val="none"/>
        </w:rPr>
        <w:t>…………………………………………………</w:t>
      </w:r>
      <w:r>
        <w:rPr>
          <w:rFonts w:hint="eastAsia" w:ascii="宋体" w:hAnsi="宋体"/>
          <w:color w:val="auto"/>
          <w:sz w:val="30"/>
          <w:highlight w:val="none"/>
          <w:lang w:val="en-US" w:eastAsia="zh-CN"/>
        </w:rPr>
        <w:t>17</w:t>
      </w:r>
    </w:p>
    <w:p>
      <w:pPr>
        <w:spacing w:before="156" w:beforeLines="50" w:line="360" w:lineRule="auto"/>
        <w:rPr>
          <w:rFonts w:hint="default" w:ascii="宋体" w:hAnsi="宋体" w:eastAsia="宋体"/>
          <w:color w:val="auto"/>
          <w:sz w:val="30"/>
          <w:szCs w:val="20"/>
          <w:highlight w:val="none"/>
          <w:lang w:val="en-US" w:eastAsia="zh-CN"/>
        </w:rPr>
      </w:pPr>
      <w:r>
        <w:rPr>
          <w:rFonts w:hint="eastAsia" w:ascii="宋体" w:hAnsi="宋体"/>
          <w:color w:val="auto"/>
          <w:sz w:val="30"/>
          <w:highlight w:val="none"/>
        </w:rPr>
        <w:t>第四章  评标办法及评分标准</w:t>
      </w:r>
      <w:r>
        <w:rPr>
          <w:rFonts w:ascii="宋体" w:hAnsi="宋体"/>
          <w:color w:val="auto"/>
          <w:sz w:val="30"/>
          <w:highlight w:val="none"/>
        </w:rPr>
        <w:t>………………………………………</w:t>
      </w:r>
      <w:r>
        <w:rPr>
          <w:rFonts w:hint="eastAsia" w:ascii="宋体" w:hAnsi="宋体"/>
          <w:color w:val="auto"/>
          <w:sz w:val="30"/>
          <w:highlight w:val="none"/>
          <w:lang w:val="en-US" w:eastAsia="zh-CN"/>
        </w:rPr>
        <w:t>25</w:t>
      </w:r>
    </w:p>
    <w:p>
      <w:pPr>
        <w:spacing w:before="156" w:beforeLines="50" w:line="360" w:lineRule="auto"/>
        <w:rPr>
          <w:rFonts w:hint="default" w:ascii="宋体" w:hAnsi="宋体" w:eastAsia="宋体"/>
          <w:color w:val="auto"/>
          <w:sz w:val="30"/>
          <w:szCs w:val="20"/>
          <w:highlight w:val="none"/>
          <w:lang w:val="en-US" w:eastAsia="zh-CN"/>
        </w:rPr>
      </w:pPr>
      <w:r>
        <w:rPr>
          <w:rFonts w:hint="eastAsia" w:ascii="宋体" w:hAnsi="宋体"/>
          <w:color w:val="auto"/>
          <w:sz w:val="30"/>
          <w:highlight w:val="none"/>
        </w:rPr>
        <w:t>第五章  合同主要条款</w:t>
      </w:r>
      <w:r>
        <w:rPr>
          <w:rFonts w:ascii="宋体" w:hAnsi="宋体"/>
          <w:color w:val="auto"/>
          <w:sz w:val="30"/>
          <w:highlight w:val="none"/>
        </w:rPr>
        <w:t>………………………………………………</w:t>
      </w:r>
      <w:r>
        <w:rPr>
          <w:rFonts w:hint="eastAsia" w:ascii="宋体" w:hAnsi="宋体"/>
          <w:color w:val="auto"/>
          <w:sz w:val="30"/>
          <w:highlight w:val="none"/>
          <w:lang w:val="en-US" w:eastAsia="zh-CN"/>
        </w:rPr>
        <w:t>33</w:t>
      </w:r>
    </w:p>
    <w:p>
      <w:pPr>
        <w:spacing w:before="156" w:beforeLines="50" w:line="360" w:lineRule="auto"/>
        <w:rPr>
          <w:rFonts w:hint="default" w:ascii="宋体" w:hAnsi="宋体" w:eastAsia="宋体"/>
          <w:color w:val="auto"/>
          <w:sz w:val="30"/>
          <w:szCs w:val="20"/>
          <w:highlight w:val="none"/>
          <w:lang w:val="en-US" w:eastAsia="zh-CN"/>
        </w:rPr>
      </w:pPr>
      <w:r>
        <w:rPr>
          <w:rFonts w:hint="eastAsia" w:ascii="宋体" w:hAnsi="宋体"/>
          <w:color w:val="auto"/>
          <w:sz w:val="30"/>
          <w:highlight w:val="none"/>
        </w:rPr>
        <w:t>第六章  投标文件格式</w:t>
      </w:r>
      <w:r>
        <w:rPr>
          <w:rFonts w:ascii="宋体" w:hAnsi="宋体"/>
          <w:color w:val="auto"/>
          <w:sz w:val="30"/>
          <w:highlight w:val="none"/>
        </w:rPr>
        <w:t>………………………………………………</w:t>
      </w:r>
      <w:r>
        <w:rPr>
          <w:rFonts w:hint="eastAsia" w:ascii="宋体" w:hAnsi="宋体"/>
          <w:color w:val="auto"/>
          <w:sz w:val="30"/>
          <w:highlight w:val="none"/>
          <w:lang w:val="en-US" w:eastAsia="zh-CN"/>
        </w:rPr>
        <w:t>37</w:t>
      </w:r>
    </w:p>
    <w:p>
      <w:pPr>
        <w:pStyle w:val="6"/>
        <w:keepNext w:val="0"/>
        <w:keepLines w:val="0"/>
        <w:pageBreakBefore w:val="0"/>
        <w:kinsoku/>
        <w:wordWrap/>
        <w:overflowPunct/>
        <w:topLinePunct w:val="0"/>
        <w:autoSpaceDE/>
        <w:autoSpaceDN/>
        <w:bidi w:val="0"/>
        <w:adjustRightInd/>
        <w:snapToGrid w:val="0"/>
        <w:spacing w:before="156" w:after="156" w:line="360" w:lineRule="auto"/>
        <w:jc w:val="center"/>
        <w:textAlignment w:val="auto"/>
        <w:outlineLvl w:val="0"/>
        <w:rPr>
          <w:rFonts w:hAnsi="宋体"/>
          <w:color w:val="auto"/>
          <w:highlight w:val="none"/>
        </w:rPr>
      </w:pPr>
      <w:r>
        <w:rPr>
          <w:rFonts w:hAnsi="宋体"/>
          <w:color w:val="auto"/>
          <w:highlight w:val="none"/>
        </w:rPr>
        <w:br w:type="page"/>
      </w:r>
      <w:r>
        <w:rPr>
          <w:rFonts w:hAnsi="宋体"/>
          <w:color w:val="auto"/>
          <w:highlight w:val="none"/>
        </w:rPr>
        <w:t>第一章  公开招标采购公告</w:t>
      </w:r>
    </w:p>
    <w:p>
      <w:pPr>
        <w:pStyle w:val="86"/>
        <w:keepNext w:val="0"/>
        <w:keepLines w:val="0"/>
        <w:pageBreakBefore w:val="0"/>
        <w:widowControl w:val="0"/>
        <w:kinsoku/>
        <w:wordWrap/>
        <w:overflowPunct/>
        <w:topLinePunct w:val="0"/>
        <w:autoSpaceDE/>
        <w:autoSpaceDN/>
        <w:bidi w:val="0"/>
        <w:adjustRightInd/>
        <w:spacing w:afterLines="0" w:line="360" w:lineRule="auto"/>
        <w:ind w:firstLine="48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参考</w:t>
      </w:r>
      <w:r>
        <w:rPr>
          <w:rFonts w:hint="eastAsia" w:ascii="宋体" w:hAnsi="宋体"/>
          <w:color w:val="auto"/>
          <w:sz w:val="24"/>
          <w:szCs w:val="24"/>
          <w:highlight w:val="none"/>
        </w:rPr>
        <w:t>《中华人民共和国政府采购法》、《政府采购货物和服务招标投标管理办法》等规定，现就</w:t>
      </w:r>
      <w:r>
        <w:rPr>
          <w:rFonts w:hint="eastAsia" w:ascii="宋体" w:hAnsi="宋体"/>
          <w:b/>
          <w:bCs/>
          <w:color w:val="auto"/>
          <w:sz w:val="24"/>
          <w:szCs w:val="24"/>
          <w:highlight w:val="none"/>
          <w:u w:val="single"/>
          <w:lang w:eastAsia="zh-CN"/>
        </w:rPr>
        <w:t>自然资源和规划信息系统安全等保测评项目</w:t>
      </w:r>
      <w:r>
        <w:rPr>
          <w:rFonts w:ascii="宋体" w:hAnsi="宋体"/>
          <w:color w:val="auto"/>
          <w:sz w:val="24"/>
          <w:szCs w:val="24"/>
          <w:highlight w:val="none"/>
        </w:rPr>
        <w:t>进行公开招标采购，</w:t>
      </w:r>
      <w:r>
        <w:rPr>
          <w:rFonts w:hint="eastAsia" w:ascii="宋体" w:hAnsi="宋体"/>
          <w:color w:val="auto"/>
          <w:sz w:val="24"/>
          <w:szCs w:val="24"/>
          <w:highlight w:val="none"/>
        </w:rPr>
        <w:t>欢迎能提供本国货物、服务的</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前来投标：</w:t>
      </w:r>
    </w:p>
    <w:p>
      <w:pPr>
        <w:keepNext w:val="0"/>
        <w:keepLines w:val="0"/>
        <w:pageBreakBefore w:val="0"/>
        <w:numPr>
          <w:ilvl w:val="0"/>
          <w:numId w:val="2"/>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cs="Arial"/>
          <w:b/>
          <w:color w:val="auto"/>
          <w:sz w:val="24"/>
          <w:szCs w:val="24"/>
          <w:highlight w:val="none"/>
        </w:rPr>
      </w:pPr>
      <w:r>
        <w:rPr>
          <w:rFonts w:hint="eastAsia" w:ascii="宋体" w:hAnsi="宋体" w:cs="Arial"/>
          <w:b/>
          <w:color w:val="auto"/>
          <w:sz w:val="24"/>
          <w:szCs w:val="24"/>
          <w:highlight w:val="none"/>
        </w:rPr>
        <w:t>项目编号：TZCCC-【2025】-</w:t>
      </w:r>
      <w:r>
        <w:rPr>
          <w:rFonts w:hint="eastAsia" w:ascii="宋体" w:hAnsi="宋体" w:cs="Arial"/>
          <w:b/>
          <w:color w:val="auto"/>
          <w:sz w:val="24"/>
          <w:szCs w:val="24"/>
          <w:highlight w:val="none"/>
          <w:lang w:val="en-US" w:eastAsia="zh-CN"/>
        </w:rPr>
        <w:t xml:space="preserve"> 047</w:t>
      </w:r>
      <w:bookmarkStart w:id="70" w:name="_GoBack"/>
      <w:bookmarkEnd w:id="70"/>
      <w:r>
        <w:rPr>
          <w:rFonts w:hint="eastAsia" w:ascii="宋体" w:hAnsi="宋体" w:cs="Arial"/>
          <w:b/>
          <w:color w:val="auto"/>
          <w:sz w:val="24"/>
          <w:szCs w:val="24"/>
          <w:highlight w:val="none"/>
        </w:rPr>
        <w:t>号</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ascii="宋体" w:hAnsi="宋体" w:cs="Arial"/>
          <w:color w:val="auto"/>
          <w:sz w:val="24"/>
          <w:szCs w:val="24"/>
          <w:highlight w:val="none"/>
        </w:rPr>
      </w:pPr>
      <w:r>
        <w:rPr>
          <w:rFonts w:hint="eastAsia" w:ascii="宋体" w:hAnsi="宋体" w:cs="Arial"/>
          <w:b/>
          <w:color w:val="auto"/>
          <w:sz w:val="24"/>
          <w:szCs w:val="24"/>
          <w:highlight w:val="none"/>
        </w:rPr>
        <w:t>二、采购方式：</w:t>
      </w:r>
      <w:r>
        <w:rPr>
          <w:rFonts w:hint="eastAsia" w:ascii="宋体" w:hAnsi="宋体" w:cs="Arial"/>
          <w:color w:val="auto"/>
          <w:sz w:val="24"/>
          <w:szCs w:val="24"/>
          <w:highlight w:val="none"/>
        </w:rPr>
        <w:t>公开招标</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cs="Arial"/>
          <w:b/>
          <w:bCs/>
          <w:color w:val="auto"/>
          <w:sz w:val="24"/>
          <w:szCs w:val="24"/>
          <w:highlight w:val="none"/>
        </w:rPr>
      </w:pPr>
      <w:r>
        <w:rPr>
          <w:rFonts w:hint="eastAsia" w:ascii="宋体" w:hAnsi="宋体" w:cs="Arial"/>
          <w:b/>
          <w:color w:val="auto"/>
          <w:sz w:val="24"/>
          <w:szCs w:val="24"/>
          <w:highlight w:val="none"/>
        </w:rPr>
        <w:t>三、</w:t>
      </w:r>
      <w:r>
        <w:rPr>
          <w:rFonts w:hint="eastAsia" w:ascii="宋体" w:hAnsi="宋体" w:cs="Arial"/>
          <w:b/>
          <w:bCs/>
          <w:color w:val="auto"/>
          <w:sz w:val="24"/>
          <w:szCs w:val="24"/>
          <w:highlight w:val="none"/>
        </w:rPr>
        <w:t>采购内容及数量</w:t>
      </w:r>
    </w:p>
    <w:tbl>
      <w:tblPr>
        <w:tblStyle w:val="39"/>
        <w:tblW w:w="9358" w:type="dxa"/>
        <w:tblInd w:w="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
        <w:gridCol w:w="1963"/>
        <w:gridCol w:w="1730"/>
        <w:gridCol w:w="949"/>
        <w:gridCol w:w="918"/>
        <w:gridCol w:w="1362"/>
        <w:gridCol w:w="19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cs="Arial"/>
                <w:bCs/>
                <w:color w:val="auto"/>
                <w:sz w:val="24"/>
                <w:szCs w:val="24"/>
                <w:highlight w:val="none"/>
              </w:rPr>
            </w:pPr>
            <w:r>
              <w:rPr>
                <w:rFonts w:hint="eastAsia" w:ascii="宋体" w:hAnsi="宋体" w:cs="Arial"/>
                <w:bCs/>
                <w:color w:val="auto"/>
                <w:sz w:val="24"/>
                <w:szCs w:val="24"/>
                <w:highlight w:val="none"/>
              </w:rPr>
              <w:t>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宋体" w:hAnsi="宋体" w:eastAsia="宋体" w:cs="Arial"/>
                <w:bCs/>
                <w:color w:val="auto"/>
                <w:sz w:val="24"/>
                <w:szCs w:val="24"/>
                <w:highlight w:val="none"/>
                <w:lang w:val="en-US" w:eastAsia="zh-CN"/>
              </w:rPr>
            </w:pPr>
            <w:r>
              <w:rPr>
                <w:rFonts w:hint="eastAsia" w:ascii="宋体" w:hAnsi="宋体" w:cs="Arial"/>
                <w:bCs/>
                <w:color w:val="auto"/>
                <w:sz w:val="24"/>
                <w:szCs w:val="24"/>
                <w:highlight w:val="none"/>
                <w:lang w:val="en-US" w:eastAsia="zh-CN"/>
              </w:rPr>
              <w:t>项目名称</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采购需求</w:t>
            </w:r>
          </w:p>
        </w:tc>
        <w:tc>
          <w:tcPr>
            <w:tcW w:w="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数量</w:t>
            </w: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单位</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预算金额</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（万元）</w:t>
            </w:r>
          </w:p>
        </w:tc>
        <w:tc>
          <w:tcPr>
            <w:tcW w:w="1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最高投标限价（万元）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cs="Arial"/>
                <w:bCs/>
                <w:color w:val="auto"/>
                <w:sz w:val="24"/>
                <w:szCs w:val="24"/>
                <w:highlight w:val="none"/>
              </w:rPr>
            </w:pPr>
            <w:r>
              <w:rPr>
                <w:rFonts w:hint="eastAsia" w:ascii="宋体" w:hAnsi="宋体" w:cs="Arial"/>
                <w:bCs/>
                <w:color w:val="auto"/>
                <w:sz w:val="24"/>
                <w:szCs w:val="24"/>
                <w:highlight w:val="none"/>
              </w:rPr>
              <w:t>1</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Arial"/>
                <w:bCs/>
                <w:color w:val="auto"/>
                <w:sz w:val="24"/>
                <w:szCs w:val="24"/>
                <w:highlight w:val="none"/>
                <w:lang w:eastAsia="zh-CN"/>
              </w:rPr>
            </w:pPr>
            <w:r>
              <w:rPr>
                <w:rFonts w:hint="eastAsia" w:ascii="宋体" w:hAnsi="宋体"/>
                <w:color w:val="auto"/>
                <w:sz w:val="24"/>
                <w:szCs w:val="24"/>
                <w:highlight w:val="none"/>
                <w:lang w:eastAsia="zh-CN"/>
              </w:rPr>
              <w:t>自然资源和规划信息系统安全等保测评项目</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详见第二章招标需求</w:t>
            </w:r>
          </w:p>
        </w:tc>
        <w:tc>
          <w:tcPr>
            <w:tcW w:w="94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cs="Arial"/>
                <w:bCs/>
                <w:color w:val="auto"/>
                <w:sz w:val="24"/>
                <w:szCs w:val="24"/>
                <w:highlight w:val="none"/>
              </w:rPr>
            </w:pPr>
            <w:r>
              <w:rPr>
                <w:rFonts w:hint="eastAsia" w:ascii="宋体" w:hAnsi="宋体" w:cs="Arial"/>
                <w:bCs/>
                <w:color w:val="auto"/>
                <w:sz w:val="24"/>
                <w:szCs w:val="24"/>
                <w:highlight w:val="none"/>
              </w:rPr>
              <w:t>1</w:t>
            </w:r>
          </w:p>
        </w:tc>
        <w:tc>
          <w:tcPr>
            <w:tcW w:w="91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cs="Arial"/>
                <w:bCs/>
                <w:color w:val="auto"/>
                <w:sz w:val="24"/>
                <w:szCs w:val="24"/>
                <w:highlight w:val="none"/>
              </w:rPr>
            </w:pPr>
            <w:r>
              <w:rPr>
                <w:rFonts w:hint="eastAsia" w:ascii="宋体" w:hAnsi="宋体" w:cs="Arial"/>
                <w:bCs/>
                <w:color w:val="auto"/>
                <w:sz w:val="24"/>
                <w:szCs w:val="24"/>
                <w:highlight w:val="none"/>
              </w:rPr>
              <w:t>项</w:t>
            </w:r>
          </w:p>
        </w:tc>
        <w:tc>
          <w:tcPr>
            <w:tcW w:w="1362" w:type="dxa"/>
            <w:tcBorders>
              <w:top w:val="single" w:color="auto" w:sz="4" w:space="0"/>
              <w:left w:val="single" w:color="auto" w:sz="4" w:space="0"/>
              <w:right w:val="single" w:color="auto" w:sz="4" w:space="0"/>
            </w:tcBorders>
            <w:noWrap w:val="0"/>
            <w:vAlign w:val="center"/>
          </w:tcPr>
          <w:p>
            <w:pPr>
              <w:spacing w:line="312" w:lineRule="auto"/>
              <w:jc w:val="center"/>
              <w:rPr>
                <w:rFonts w:hint="default" w:ascii="宋体" w:hAnsi="宋体" w:eastAsia="宋体" w:cs="Arial"/>
                <w:bCs/>
                <w:color w:val="auto"/>
                <w:sz w:val="24"/>
                <w:szCs w:val="24"/>
                <w:highlight w:val="none"/>
                <w:lang w:val="en-US" w:eastAsia="zh-CN"/>
              </w:rPr>
            </w:pPr>
            <w:r>
              <w:rPr>
                <w:rFonts w:hint="eastAsia" w:ascii="宋体" w:hAnsi="宋体" w:cs="宋体"/>
                <w:sz w:val="24"/>
                <w:szCs w:val="24"/>
                <w:shd w:val="clear" w:color="auto" w:fill="auto"/>
                <w:lang w:val="en-US" w:eastAsia="zh-CN"/>
              </w:rPr>
              <w:t>44</w:t>
            </w:r>
          </w:p>
        </w:tc>
        <w:tc>
          <w:tcPr>
            <w:tcW w:w="1999" w:type="dxa"/>
            <w:tcBorders>
              <w:top w:val="single" w:color="auto" w:sz="4" w:space="0"/>
              <w:left w:val="single" w:color="auto" w:sz="4" w:space="0"/>
              <w:right w:val="single" w:color="auto" w:sz="4" w:space="0"/>
            </w:tcBorders>
            <w:noWrap w:val="0"/>
            <w:vAlign w:val="center"/>
          </w:tcPr>
          <w:p>
            <w:pPr>
              <w:spacing w:line="312" w:lineRule="auto"/>
              <w:jc w:val="center"/>
              <w:rPr>
                <w:rFonts w:hint="default" w:ascii="宋体" w:hAnsi="宋体" w:cs="Arial"/>
                <w:bCs/>
                <w:color w:val="auto"/>
                <w:sz w:val="24"/>
                <w:szCs w:val="24"/>
                <w:highlight w:val="none"/>
                <w:lang w:val="en-US" w:eastAsia="zh-CN"/>
              </w:rPr>
            </w:pPr>
            <w:r>
              <w:rPr>
                <w:rFonts w:hint="eastAsia" w:ascii="宋体" w:hAnsi="宋体" w:cs="宋体"/>
                <w:sz w:val="24"/>
                <w:szCs w:val="24"/>
                <w:shd w:val="clear" w:color="auto" w:fill="auto"/>
                <w:lang w:val="en-US" w:eastAsia="zh-CN"/>
              </w:rPr>
              <w:t>44</w:t>
            </w:r>
          </w:p>
        </w:tc>
      </w:tr>
    </w:tbl>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cs="Arial"/>
          <w:b/>
          <w:bCs/>
          <w:color w:val="auto"/>
          <w:sz w:val="24"/>
          <w:szCs w:val="24"/>
          <w:highlight w:val="none"/>
        </w:rPr>
      </w:pPr>
      <w:r>
        <w:rPr>
          <w:rFonts w:hint="eastAsia" w:ascii="宋体" w:hAnsi="宋体" w:cs="Arial"/>
          <w:b/>
          <w:color w:val="auto"/>
          <w:sz w:val="24"/>
          <w:szCs w:val="24"/>
          <w:highlight w:val="none"/>
        </w:rPr>
        <w:t>四</w:t>
      </w:r>
      <w:r>
        <w:rPr>
          <w:rFonts w:hint="eastAsia" w:ascii="宋体" w:hAnsi="宋体" w:cs="Arial"/>
          <w:color w:val="auto"/>
          <w:sz w:val="24"/>
          <w:szCs w:val="24"/>
          <w:highlight w:val="none"/>
        </w:rPr>
        <w:t>、</w:t>
      </w:r>
      <w:r>
        <w:rPr>
          <w:rFonts w:hint="eastAsia" w:ascii="宋体" w:hAnsi="宋体" w:cs="Arial"/>
          <w:b/>
          <w:bCs/>
          <w:color w:val="auto"/>
          <w:sz w:val="24"/>
          <w:szCs w:val="24"/>
          <w:highlight w:val="none"/>
        </w:rPr>
        <w:t>合格</w:t>
      </w:r>
      <w:r>
        <w:rPr>
          <w:rFonts w:hint="eastAsia" w:ascii="宋体" w:hAnsi="宋体" w:cs="Arial"/>
          <w:b/>
          <w:bCs/>
          <w:color w:val="auto"/>
          <w:sz w:val="24"/>
          <w:szCs w:val="24"/>
          <w:highlight w:val="none"/>
          <w:lang w:eastAsia="zh-CN"/>
        </w:rPr>
        <w:t>供应商</w:t>
      </w:r>
      <w:r>
        <w:rPr>
          <w:rFonts w:hint="eastAsia" w:ascii="宋体" w:hAnsi="宋体" w:cs="Arial"/>
          <w:b/>
          <w:bCs/>
          <w:color w:val="auto"/>
          <w:sz w:val="24"/>
          <w:szCs w:val="24"/>
          <w:highlight w:val="none"/>
        </w:rPr>
        <w:t>的资格要求</w:t>
      </w:r>
    </w:p>
    <w:p>
      <w:pPr>
        <w:keepNext w:val="0"/>
        <w:keepLines w:val="0"/>
        <w:pageBreakBefore w:val="0"/>
        <w:kinsoku/>
        <w:wordWrap/>
        <w:overflowPunct/>
        <w:topLinePunct w:val="0"/>
        <w:autoSpaceDE/>
        <w:autoSpaceDN/>
        <w:bidi w:val="0"/>
        <w:adjustRightInd/>
        <w:snapToGrid w:val="0"/>
        <w:spacing w:line="360" w:lineRule="auto"/>
        <w:ind w:firstLine="540" w:firstLineChars="225"/>
        <w:textAlignment w:val="auto"/>
        <w:rPr>
          <w:rFonts w:hint="eastAsia" w:ascii="宋体" w:hAnsi="宋体" w:eastAsia="宋体" w:cs="Arial"/>
          <w:b w:val="0"/>
          <w:bCs w:val="0"/>
          <w:color w:val="auto"/>
          <w:sz w:val="24"/>
          <w:szCs w:val="24"/>
          <w:highlight w:val="none"/>
          <w:lang w:eastAsia="zh-CN"/>
        </w:rPr>
      </w:pPr>
      <w:r>
        <w:rPr>
          <w:rFonts w:hint="eastAsia" w:ascii="宋体" w:hAnsi="宋体" w:eastAsia="宋体" w:cs="Arial"/>
          <w:b w:val="0"/>
          <w:bCs w:val="0"/>
          <w:color w:val="auto"/>
          <w:sz w:val="24"/>
          <w:szCs w:val="24"/>
          <w:highlight w:val="none"/>
          <w:lang w:eastAsia="zh-CN"/>
        </w:rPr>
        <w:t xml:space="preserve">（一）符合《中华人民共和国政府采购法》第二十二条规定的供应商资格条件； </w:t>
      </w:r>
    </w:p>
    <w:p>
      <w:pPr>
        <w:keepNext w:val="0"/>
        <w:keepLines w:val="0"/>
        <w:pageBreakBefore w:val="0"/>
        <w:kinsoku/>
        <w:wordWrap/>
        <w:overflowPunct/>
        <w:topLinePunct w:val="0"/>
        <w:autoSpaceDE/>
        <w:autoSpaceDN/>
        <w:bidi w:val="0"/>
        <w:adjustRightInd/>
        <w:snapToGrid w:val="0"/>
        <w:spacing w:line="360" w:lineRule="auto"/>
        <w:ind w:firstLine="540" w:firstLineChars="225"/>
        <w:textAlignment w:val="auto"/>
        <w:rPr>
          <w:rFonts w:hint="eastAsia" w:ascii="宋体" w:hAnsi="宋体" w:eastAsia="宋体" w:cs="Arial"/>
          <w:b w:val="0"/>
          <w:bCs w:val="0"/>
          <w:color w:val="auto"/>
          <w:sz w:val="24"/>
          <w:szCs w:val="24"/>
          <w:highlight w:val="none"/>
          <w:lang w:val="en-US" w:eastAsia="zh-CN"/>
        </w:rPr>
      </w:pPr>
      <w:r>
        <w:rPr>
          <w:rFonts w:hint="eastAsia" w:ascii="宋体" w:hAnsi="宋体" w:eastAsia="宋体" w:cs="Arial"/>
          <w:b w:val="0"/>
          <w:bCs w:val="0"/>
          <w:color w:val="auto"/>
          <w:sz w:val="24"/>
          <w:szCs w:val="24"/>
          <w:highlight w:val="none"/>
          <w:lang w:eastAsia="zh-CN"/>
        </w:rPr>
        <w:t>（二）项目供应商的特定条件：</w:t>
      </w:r>
      <w:r>
        <w:rPr>
          <w:rFonts w:hint="eastAsia" w:ascii="宋体" w:hAnsi="宋体" w:cs="Arial"/>
          <w:b w:val="0"/>
          <w:bCs w:val="0"/>
          <w:color w:val="auto"/>
          <w:sz w:val="24"/>
          <w:szCs w:val="24"/>
          <w:highlight w:val="none"/>
          <w:lang w:val="en-US" w:eastAsia="zh-CN"/>
        </w:rPr>
        <w:t>无</w:t>
      </w:r>
      <w:r>
        <w:rPr>
          <w:rFonts w:hint="eastAsia" w:ascii="宋体" w:hAnsi="宋体" w:eastAsia="宋体" w:cs="Arial"/>
          <w:b w:val="0"/>
          <w:bCs w:val="0"/>
          <w:color w:val="auto"/>
          <w:sz w:val="24"/>
          <w:szCs w:val="24"/>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firstLine="540" w:firstLineChars="225"/>
        <w:textAlignment w:val="auto"/>
        <w:rPr>
          <w:rFonts w:hint="eastAsia" w:ascii="宋体" w:hAnsi="宋体" w:eastAsia="宋体" w:cs="Arial"/>
          <w:b w:val="0"/>
          <w:bCs w:val="0"/>
          <w:color w:val="auto"/>
          <w:sz w:val="24"/>
          <w:szCs w:val="24"/>
          <w:highlight w:val="none"/>
          <w:lang w:eastAsia="zh-CN"/>
        </w:rPr>
      </w:pPr>
      <w:r>
        <w:rPr>
          <w:rFonts w:hint="eastAsia" w:ascii="宋体" w:hAnsi="宋体" w:eastAsia="宋体" w:cs="Arial"/>
          <w:b w:val="0"/>
          <w:bCs w:val="0"/>
          <w:color w:val="auto"/>
          <w:sz w:val="24"/>
          <w:szCs w:val="24"/>
          <w:highlight w:val="none"/>
          <w:lang w:eastAsia="zh-CN"/>
        </w:rPr>
        <w:t>（三）本项目</w:t>
      </w:r>
      <w:r>
        <w:rPr>
          <w:rFonts w:hint="eastAsia" w:ascii="宋体" w:hAnsi="宋体" w:eastAsia="宋体" w:cs="Arial"/>
          <w:b w:val="0"/>
          <w:bCs w:val="0"/>
          <w:color w:val="auto"/>
          <w:sz w:val="24"/>
          <w:szCs w:val="24"/>
          <w:highlight w:val="none"/>
          <w:lang w:val="en-US" w:eastAsia="zh-CN"/>
        </w:rPr>
        <w:t>不</w:t>
      </w:r>
      <w:r>
        <w:rPr>
          <w:rFonts w:hint="eastAsia" w:ascii="宋体" w:hAnsi="宋体" w:eastAsia="宋体" w:cs="Arial"/>
          <w:b w:val="0"/>
          <w:bCs w:val="0"/>
          <w:color w:val="auto"/>
          <w:sz w:val="24"/>
          <w:szCs w:val="24"/>
          <w:highlight w:val="none"/>
          <w:lang w:eastAsia="zh-CN"/>
        </w:rPr>
        <w:t>接受联合体投标。</w:t>
      </w:r>
    </w:p>
    <w:p>
      <w:pPr>
        <w:keepNext w:val="0"/>
        <w:keepLines w:val="0"/>
        <w:pageBreakBefore w:val="0"/>
        <w:kinsoku/>
        <w:wordWrap/>
        <w:overflowPunct/>
        <w:topLinePunct w:val="0"/>
        <w:autoSpaceDE/>
        <w:autoSpaceDN/>
        <w:bidi w:val="0"/>
        <w:adjustRightInd/>
        <w:snapToGrid w:val="0"/>
        <w:spacing w:line="360" w:lineRule="auto"/>
        <w:ind w:firstLine="540" w:firstLineChars="225"/>
        <w:textAlignment w:val="auto"/>
        <w:rPr>
          <w:rFonts w:hint="eastAsia" w:ascii="宋体" w:hAnsi="宋体" w:eastAsia="宋体" w:cs="Arial"/>
          <w:b w:val="0"/>
          <w:bCs w:val="0"/>
          <w:color w:val="auto"/>
          <w:sz w:val="24"/>
          <w:szCs w:val="24"/>
          <w:highlight w:val="none"/>
          <w:lang w:eastAsia="zh-CN"/>
        </w:rPr>
      </w:pPr>
      <w:r>
        <w:rPr>
          <w:rFonts w:hint="eastAsia" w:ascii="宋体" w:hAnsi="宋体" w:eastAsia="宋体" w:cs="Arial"/>
          <w:b w:val="0"/>
          <w:bCs w:val="0"/>
          <w:color w:val="auto"/>
          <w:sz w:val="24"/>
          <w:szCs w:val="24"/>
          <w:highlight w:val="none"/>
          <w:lang w:eastAsia="zh-CN"/>
        </w:rPr>
        <w:t>（四）本项目专门面向中小企业采购。</w:t>
      </w:r>
    </w:p>
    <w:p>
      <w:pPr>
        <w:keepNext w:val="0"/>
        <w:keepLines w:val="0"/>
        <w:pageBreakBefore w:val="0"/>
        <w:kinsoku/>
        <w:wordWrap/>
        <w:overflowPunct/>
        <w:topLinePunct w:val="0"/>
        <w:autoSpaceDE/>
        <w:autoSpaceDN/>
        <w:bidi w:val="0"/>
        <w:adjustRightInd/>
        <w:snapToGrid w:val="0"/>
        <w:spacing w:line="360" w:lineRule="auto"/>
        <w:ind w:firstLine="540" w:firstLineChars="225"/>
        <w:textAlignment w:val="auto"/>
        <w:rPr>
          <w:rFonts w:hint="eastAsia" w:ascii="宋体" w:hAnsi="宋体" w:eastAsia="宋体" w:cs="Arial"/>
          <w:b w:val="0"/>
          <w:bCs w:val="0"/>
          <w:color w:val="auto"/>
          <w:sz w:val="24"/>
          <w:szCs w:val="24"/>
          <w:highlight w:val="none"/>
          <w:lang w:eastAsia="zh-CN"/>
        </w:rPr>
      </w:pPr>
      <w:r>
        <w:rPr>
          <w:rFonts w:hint="eastAsia" w:ascii="宋体" w:hAnsi="宋体" w:eastAsia="宋体" w:cs="Arial"/>
          <w:b w:val="0"/>
          <w:bCs w:val="0"/>
          <w:color w:val="auto"/>
          <w:sz w:val="24"/>
          <w:szCs w:val="24"/>
          <w:highlight w:val="none"/>
          <w:lang w:eastAsia="zh-CN"/>
        </w:rPr>
        <w:t>（五）信用记录：未被列入“信用中国”失信被执行人或重大税收违法案件当事人名单；未处于“中国政府采购网”</w:t>
      </w:r>
      <w:r>
        <w:rPr>
          <w:rFonts w:hint="eastAsia" w:ascii="宋体" w:hAnsi="宋体" w:eastAsia="宋体" w:cs="Arial"/>
          <w:b w:val="0"/>
          <w:bCs w:val="0"/>
          <w:color w:val="auto"/>
          <w:sz w:val="24"/>
          <w:szCs w:val="24"/>
          <w:highlight w:val="none"/>
          <w:lang w:eastAsia="zh-CN"/>
        </w:rPr>
        <w:fldChar w:fldCharType="begin"/>
      </w:r>
      <w:r>
        <w:rPr>
          <w:rFonts w:hint="eastAsia" w:ascii="宋体" w:hAnsi="宋体" w:eastAsia="宋体" w:cs="Arial"/>
          <w:b w:val="0"/>
          <w:bCs w:val="0"/>
          <w:color w:val="auto"/>
          <w:sz w:val="24"/>
          <w:szCs w:val="24"/>
          <w:highlight w:val="none"/>
          <w:lang w:eastAsia="zh-CN"/>
        </w:rPr>
        <w:instrText xml:space="preserve"> HYPERLINK "http://www.ccgp.gov.cn）政府采购严重违法失信行为信息记录中的禁止参加政府采购活动期间。" </w:instrText>
      </w:r>
      <w:r>
        <w:rPr>
          <w:rFonts w:hint="eastAsia" w:ascii="宋体" w:hAnsi="宋体" w:eastAsia="宋体" w:cs="Arial"/>
          <w:b w:val="0"/>
          <w:bCs w:val="0"/>
          <w:color w:val="auto"/>
          <w:sz w:val="24"/>
          <w:szCs w:val="24"/>
          <w:highlight w:val="none"/>
          <w:lang w:eastAsia="zh-CN"/>
        </w:rPr>
        <w:fldChar w:fldCharType="separate"/>
      </w:r>
      <w:r>
        <w:rPr>
          <w:rFonts w:hint="eastAsia" w:ascii="宋体" w:hAnsi="宋体" w:eastAsia="宋体" w:cs="Arial"/>
          <w:b w:val="0"/>
          <w:bCs w:val="0"/>
          <w:color w:val="auto"/>
          <w:sz w:val="24"/>
          <w:szCs w:val="24"/>
          <w:highlight w:val="none"/>
          <w:lang w:eastAsia="zh-CN"/>
        </w:rPr>
        <w:t>政府采购严重违法失信行为信息记录中的禁止参加政府采购活动期间。</w:t>
      </w:r>
      <w:r>
        <w:rPr>
          <w:rFonts w:hint="eastAsia" w:ascii="宋体" w:hAnsi="宋体" w:eastAsia="宋体" w:cs="Arial"/>
          <w:b w:val="0"/>
          <w:bCs w:val="0"/>
          <w:color w:val="auto"/>
          <w:sz w:val="24"/>
          <w:szCs w:val="24"/>
          <w:highlight w:val="none"/>
          <w:lang w:eastAsia="zh-CN"/>
        </w:rPr>
        <w:fldChar w:fldCharType="end"/>
      </w:r>
    </w:p>
    <w:p>
      <w:pPr>
        <w:keepNext w:val="0"/>
        <w:keepLines w:val="0"/>
        <w:pageBreakBefore w:val="0"/>
        <w:kinsoku/>
        <w:wordWrap/>
        <w:overflowPunct/>
        <w:topLinePunct w:val="0"/>
        <w:autoSpaceDE/>
        <w:autoSpaceDN/>
        <w:bidi w:val="0"/>
        <w:adjustRightInd/>
        <w:snapToGrid w:val="0"/>
        <w:spacing w:line="360" w:lineRule="auto"/>
        <w:ind w:firstLine="540" w:firstLineChars="225"/>
        <w:textAlignment w:val="auto"/>
        <w:rPr>
          <w:rFonts w:hint="eastAsia" w:ascii="宋体" w:hAnsi="宋体" w:eastAsia="宋体" w:cs="Arial"/>
          <w:b w:val="0"/>
          <w:bCs w:val="0"/>
          <w:color w:val="auto"/>
          <w:sz w:val="24"/>
          <w:szCs w:val="24"/>
          <w:highlight w:val="none"/>
          <w:lang w:eastAsia="zh-CN"/>
        </w:rPr>
      </w:pPr>
      <w:r>
        <w:rPr>
          <w:rFonts w:hint="eastAsia" w:ascii="宋体" w:hAnsi="宋体" w:eastAsia="宋体" w:cs="Arial"/>
          <w:b w:val="0"/>
          <w:bCs w:val="0"/>
          <w:color w:val="auto"/>
          <w:sz w:val="24"/>
          <w:szCs w:val="24"/>
          <w:highlight w:val="none"/>
          <w:lang w:eastAsia="zh-CN"/>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pPr>
        <w:keepNext w:val="0"/>
        <w:keepLines w:val="0"/>
        <w:pageBreakBefore w:val="0"/>
        <w:kinsoku/>
        <w:wordWrap/>
        <w:overflowPunct/>
        <w:topLinePunct w:val="0"/>
        <w:autoSpaceDE/>
        <w:autoSpaceDN/>
        <w:bidi w:val="0"/>
        <w:adjustRightInd/>
        <w:snapToGrid w:val="0"/>
        <w:spacing w:line="360" w:lineRule="auto"/>
        <w:ind w:firstLine="540" w:firstLineChars="225"/>
        <w:textAlignment w:val="auto"/>
        <w:rPr>
          <w:rFonts w:hint="eastAsia" w:ascii="宋体" w:hAnsi="宋体" w:eastAsia="宋体" w:cs="Arial"/>
          <w:b w:val="0"/>
          <w:bCs w:val="0"/>
          <w:color w:val="auto"/>
          <w:sz w:val="24"/>
          <w:szCs w:val="24"/>
          <w:highlight w:val="none"/>
          <w:lang w:eastAsia="zh-CN"/>
        </w:rPr>
      </w:pPr>
      <w:r>
        <w:rPr>
          <w:rFonts w:hint="eastAsia" w:ascii="宋体" w:hAnsi="宋体" w:eastAsia="宋体" w:cs="Arial"/>
          <w:b w:val="0"/>
          <w:bCs w:val="0"/>
          <w:color w:val="auto"/>
          <w:sz w:val="24"/>
          <w:szCs w:val="24"/>
          <w:highlight w:val="none"/>
          <w:lang w:eastAsia="zh-CN"/>
        </w:rPr>
        <w:t>（七）公益一类事业单位，既不属于政府购买服务的购买主体，也不属于承接主体，不得参与承接政府购买服务。</w:t>
      </w:r>
    </w:p>
    <w:p>
      <w:pPr>
        <w:keepNext w:val="0"/>
        <w:keepLines w:val="0"/>
        <w:pageBreakBefore w:val="0"/>
        <w:kinsoku/>
        <w:wordWrap/>
        <w:overflowPunct/>
        <w:topLinePunct w:val="0"/>
        <w:autoSpaceDE/>
        <w:autoSpaceDN/>
        <w:bidi w:val="0"/>
        <w:adjustRightInd/>
        <w:snapToGrid w:val="0"/>
        <w:spacing w:line="360" w:lineRule="auto"/>
        <w:ind w:firstLine="542" w:firstLineChars="225"/>
        <w:textAlignment w:val="auto"/>
        <w:rPr>
          <w:rFonts w:hint="eastAsia" w:ascii="宋体" w:hAnsi="宋体" w:cs="Arial"/>
          <w:b/>
          <w:bCs w:val="0"/>
          <w:color w:val="auto"/>
          <w:sz w:val="24"/>
          <w:szCs w:val="24"/>
          <w:highlight w:val="none"/>
        </w:rPr>
      </w:pPr>
      <w:r>
        <w:rPr>
          <w:rFonts w:hint="eastAsia" w:ascii="宋体" w:hAnsi="宋体" w:cs="Arial"/>
          <w:b/>
          <w:bCs w:val="0"/>
          <w:color w:val="auto"/>
          <w:sz w:val="24"/>
          <w:szCs w:val="24"/>
          <w:highlight w:val="none"/>
        </w:rPr>
        <w:t>五、采购文件的获取：</w:t>
      </w:r>
    </w:p>
    <w:p>
      <w:pPr>
        <w:pStyle w:val="34"/>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eastAsia="宋体" w:cs="宋体"/>
          <w:color w:val="auto"/>
          <w:sz w:val="24"/>
          <w:szCs w:val="24"/>
          <w:highlight w:val="none"/>
          <w:u w:val="single"/>
          <w:lang w:val="en-US" w:eastAsia="zh-CN"/>
        </w:rPr>
      </w:pPr>
      <w:r>
        <w:rPr>
          <w:rFonts w:hint="eastAsia" w:eastAsia="宋体" w:cs="宋体"/>
          <w:color w:val="auto"/>
          <w:sz w:val="24"/>
          <w:szCs w:val="24"/>
          <w:highlight w:val="none"/>
          <w:lang w:val="en-US" w:eastAsia="zh-CN"/>
        </w:rPr>
        <w:t>1、获取时间：</w:t>
      </w:r>
      <w:r>
        <w:rPr>
          <w:rFonts w:hint="eastAsia" w:eastAsia="宋体" w:cs="宋体"/>
          <w:color w:val="auto"/>
          <w:sz w:val="24"/>
          <w:szCs w:val="24"/>
          <w:highlight w:val="none"/>
          <w:u w:val="single"/>
          <w:lang w:val="en-US" w:eastAsia="zh-CN"/>
        </w:rPr>
        <w:t>发布之日</w:t>
      </w:r>
      <w:r>
        <w:rPr>
          <w:rFonts w:hint="eastAsia" w:eastAsia="宋体" w:cs="宋体"/>
          <w:color w:val="auto"/>
          <w:sz w:val="24"/>
          <w:szCs w:val="24"/>
          <w:highlight w:val="none"/>
          <w:lang w:val="en-US" w:eastAsia="zh-CN"/>
        </w:rPr>
        <w:t>起至</w:t>
      </w:r>
      <w:r>
        <w:rPr>
          <w:rFonts w:hint="eastAsia" w:eastAsia="宋体" w:cs="宋体"/>
          <w:color w:val="auto"/>
          <w:sz w:val="24"/>
          <w:szCs w:val="24"/>
          <w:highlight w:val="none"/>
          <w:u w:val="single"/>
          <w:lang w:val="en-US" w:eastAsia="zh-CN"/>
        </w:rPr>
        <w:t>开标截止时间</w:t>
      </w:r>
    </w:p>
    <w:p>
      <w:pPr>
        <w:pStyle w:val="34"/>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2、获取方式：浙江政府采购网（https://zfcg.czt.zj.gov.cn）免费下载</w:t>
      </w:r>
    </w:p>
    <w:p>
      <w:pPr>
        <w:pStyle w:val="34"/>
        <w:keepNext w:val="0"/>
        <w:keepLines w:val="0"/>
        <w:pageBreakBefore w:val="0"/>
        <w:kinsoku/>
        <w:wordWrap/>
        <w:overflowPunct/>
        <w:topLinePunct w:val="0"/>
        <w:autoSpaceDE/>
        <w:autoSpaceDN/>
        <w:bidi w:val="0"/>
        <w:adjustRightInd/>
        <w:spacing w:line="360" w:lineRule="auto"/>
        <w:ind w:right="30" w:firstLine="540"/>
        <w:textAlignment w:val="auto"/>
        <w:rPr>
          <w:rStyle w:val="42"/>
          <w:rFonts w:hint="eastAsia" w:cs="宋体"/>
          <w:color w:val="auto"/>
          <w:sz w:val="24"/>
          <w:szCs w:val="24"/>
          <w:highlight w:val="none"/>
        </w:rPr>
      </w:pPr>
      <w:r>
        <w:rPr>
          <w:rStyle w:val="42"/>
          <w:rFonts w:hint="eastAsia" w:cs="宋体"/>
          <w:color w:val="auto"/>
          <w:sz w:val="24"/>
          <w:szCs w:val="24"/>
          <w:highlight w:val="none"/>
          <w:lang w:val="en-US" w:eastAsia="zh-CN"/>
        </w:rPr>
        <w:t>六</w:t>
      </w:r>
      <w:r>
        <w:rPr>
          <w:rStyle w:val="42"/>
          <w:rFonts w:hint="eastAsia" w:cs="宋体"/>
          <w:color w:val="auto"/>
          <w:sz w:val="24"/>
          <w:szCs w:val="24"/>
          <w:highlight w:val="none"/>
        </w:rPr>
        <w:t>、</w:t>
      </w:r>
      <w:r>
        <w:rPr>
          <w:rFonts w:hint="eastAsia" w:cs="宋体"/>
          <w:b/>
          <w:bCs/>
          <w:color w:val="auto"/>
          <w:sz w:val="24"/>
          <w:szCs w:val="24"/>
          <w:highlight w:val="none"/>
        </w:rPr>
        <w:t>投标截止时间</w:t>
      </w:r>
      <w:r>
        <w:rPr>
          <w:rFonts w:hint="eastAsia" w:cs="宋体"/>
          <w:b/>
          <w:bCs/>
          <w:color w:val="auto"/>
          <w:sz w:val="24"/>
          <w:szCs w:val="24"/>
          <w:highlight w:val="none"/>
          <w:lang w:eastAsia="zh-CN"/>
        </w:rPr>
        <w:t>、</w:t>
      </w:r>
      <w:r>
        <w:rPr>
          <w:rStyle w:val="42"/>
          <w:rFonts w:hint="eastAsia" w:cs="宋体"/>
          <w:color w:val="auto"/>
          <w:sz w:val="24"/>
          <w:szCs w:val="24"/>
          <w:highlight w:val="none"/>
          <w:lang w:val="en-US" w:eastAsia="zh-CN"/>
        </w:rPr>
        <w:t>开标</w:t>
      </w:r>
      <w:r>
        <w:rPr>
          <w:rStyle w:val="42"/>
          <w:rFonts w:hint="eastAsia" w:cs="宋体"/>
          <w:color w:val="auto"/>
          <w:sz w:val="24"/>
          <w:szCs w:val="24"/>
          <w:highlight w:val="none"/>
        </w:rPr>
        <w:t>时间</w:t>
      </w:r>
      <w:r>
        <w:rPr>
          <w:rStyle w:val="42"/>
          <w:rFonts w:hint="eastAsia" w:cs="宋体"/>
          <w:color w:val="auto"/>
          <w:sz w:val="24"/>
          <w:szCs w:val="24"/>
          <w:highlight w:val="none"/>
          <w:lang w:val="en-US" w:eastAsia="zh-CN"/>
        </w:rPr>
        <w:t>及</w:t>
      </w:r>
      <w:r>
        <w:rPr>
          <w:rStyle w:val="42"/>
          <w:rFonts w:hint="eastAsia" w:cs="宋体"/>
          <w:color w:val="auto"/>
          <w:sz w:val="24"/>
          <w:szCs w:val="24"/>
          <w:highlight w:val="none"/>
        </w:rPr>
        <w:t>地点：</w:t>
      </w:r>
    </w:p>
    <w:p>
      <w:pPr>
        <w:pStyle w:val="34"/>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s="宋体"/>
          <w:color w:val="auto"/>
          <w:sz w:val="24"/>
          <w:szCs w:val="24"/>
          <w:highlight w:val="none"/>
        </w:rPr>
      </w:pPr>
      <w:r>
        <w:rPr>
          <w:rFonts w:hint="eastAsia" w:cs="宋体"/>
          <w:bCs/>
          <w:color w:val="auto"/>
          <w:sz w:val="24"/>
          <w:szCs w:val="24"/>
          <w:highlight w:val="none"/>
        </w:rPr>
        <w:t>投标截止时间：</w:t>
      </w:r>
      <w:r>
        <w:rPr>
          <w:rFonts w:hint="eastAsia" w:cs="宋体"/>
          <w:color w:val="auto"/>
          <w:sz w:val="24"/>
          <w:szCs w:val="24"/>
          <w:highlight w:val="none"/>
        </w:rPr>
        <w:t>202</w:t>
      </w:r>
      <w:r>
        <w:rPr>
          <w:rFonts w:hint="eastAsia" w:cs="宋体"/>
          <w:color w:val="auto"/>
          <w:sz w:val="24"/>
          <w:szCs w:val="24"/>
          <w:highlight w:val="none"/>
          <w:lang w:val="en-US" w:eastAsia="zh-CN"/>
        </w:rPr>
        <w:t>5</w:t>
      </w:r>
      <w:r>
        <w:rPr>
          <w:rFonts w:hint="eastAsia" w:cs="宋体"/>
          <w:color w:val="auto"/>
          <w:sz w:val="24"/>
          <w:szCs w:val="24"/>
          <w:highlight w:val="none"/>
        </w:rPr>
        <w:t>年</w:t>
      </w:r>
      <w:r>
        <w:rPr>
          <w:rFonts w:hint="eastAsia" w:cs="宋体"/>
          <w:color w:val="auto"/>
          <w:sz w:val="24"/>
          <w:szCs w:val="24"/>
          <w:highlight w:val="none"/>
          <w:lang w:val="en-US" w:eastAsia="zh-CN"/>
        </w:rPr>
        <w:t>6</w:t>
      </w:r>
      <w:r>
        <w:rPr>
          <w:rFonts w:hint="eastAsia" w:cs="宋体"/>
          <w:color w:val="auto"/>
          <w:sz w:val="24"/>
          <w:szCs w:val="24"/>
          <w:highlight w:val="none"/>
        </w:rPr>
        <w:t>月</w:t>
      </w:r>
      <w:r>
        <w:rPr>
          <w:rFonts w:hint="eastAsia" w:cs="宋体"/>
          <w:color w:val="auto"/>
          <w:sz w:val="24"/>
          <w:szCs w:val="24"/>
          <w:highlight w:val="none"/>
          <w:lang w:val="en-US" w:eastAsia="zh-CN"/>
        </w:rPr>
        <w:t xml:space="preserve">  </w:t>
      </w:r>
      <w:r>
        <w:rPr>
          <w:rFonts w:hint="eastAsia" w:cs="宋体"/>
          <w:color w:val="auto"/>
          <w:sz w:val="24"/>
          <w:szCs w:val="24"/>
          <w:highlight w:val="none"/>
        </w:rPr>
        <w:t>日09时</w:t>
      </w:r>
      <w:r>
        <w:rPr>
          <w:rFonts w:hint="eastAsia" w:cs="宋体"/>
          <w:color w:val="auto"/>
          <w:sz w:val="24"/>
          <w:szCs w:val="24"/>
          <w:highlight w:val="none"/>
          <w:lang w:val="en-US" w:eastAsia="zh-CN"/>
        </w:rPr>
        <w:t>30</w:t>
      </w:r>
      <w:r>
        <w:rPr>
          <w:rFonts w:hint="eastAsia" w:cs="宋体"/>
          <w:color w:val="auto"/>
          <w:sz w:val="24"/>
          <w:szCs w:val="24"/>
          <w:highlight w:val="none"/>
        </w:rPr>
        <w:t>分。</w:t>
      </w:r>
    </w:p>
    <w:p>
      <w:pPr>
        <w:pStyle w:val="34"/>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s="宋体"/>
          <w:color w:val="auto"/>
          <w:sz w:val="24"/>
          <w:szCs w:val="24"/>
          <w:highlight w:val="none"/>
        </w:rPr>
      </w:pPr>
      <w:r>
        <w:rPr>
          <w:rFonts w:hint="eastAsia" w:cs="宋体"/>
          <w:bCs/>
          <w:color w:val="auto"/>
          <w:sz w:val="24"/>
          <w:szCs w:val="24"/>
          <w:highlight w:val="none"/>
        </w:rPr>
        <w:t>开标时间：</w:t>
      </w:r>
      <w:r>
        <w:rPr>
          <w:rFonts w:hint="eastAsia" w:cs="宋体"/>
          <w:color w:val="auto"/>
          <w:sz w:val="24"/>
          <w:szCs w:val="24"/>
          <w:highlight w:val="none"/>
        </w:rPr>
        <w:t>202</w:t>
      </w:r>
      <w:r>
        <w:rPr>
          <w:rFonts w:hint="eastAsia" w:cs="宋体"/>
          <w:color w:val="auto"/>
          <w:sz w:val="24"/>
          <w:szCs w:val="24"/>
          <w:highlight w:val="none"/>
          <w:lang w:val="en-US" w:eastAsia="zh-CN"/>
        </w:rPr>
        <w:t>5</w:t>
      </w:r>
      <w:r>
        <w:rPr>
          <w:rFonts w:hint="eastAsia" w:cs="宋体"/>
          <w:color w:val="auto"/>
          <w:sz w:val="24"/>
          <w:szCs w:val="24"/>
          <w:highlight w:val="none"/>
        </w:rPr>
        <w:t>年</w:t>
      </w:r>
      <w:r>
        <w:rPr>
          <w:rFonts w:hint="eastAsia" w:cs="宋体"/>
          <w:color w:val="auto"/>
          <w:sz w:val="24"/>
          <w:szCs w:val="24"/>
          <w:highlight w:val="none"/>
          <w:lang w:val="en-US" w:eastAsia="zh-CN"/>
        </w:rPr>
        <w:t>6</w:t>
      </w:r>
      <w:r>
        <w:rPr>
          <w:rFonts w:hint="eastAsia" w:cs="宋体"/>
          <w:color w:val="auto"/>
          <w:sz w:val="24"/>
          <w:szCs w:val="24"/>
          <w:highlight w:val="none"/>
        </w:rPr>
        <w:t>月</w:t>
      </w:r>
      <w:r>
        <w:rPr>
          <w:rFonts w:hint="eastAsia" w:cs="宋体"/>
          <w:color w:val="auto"/>
          <w:sz w:val="24"/>
          <w:szCs w:val="24"/>
          <w:highlight w:val="none"/>
          <w:lang w:val="en-US" w:eastAsia="zh-CN"/>
        </w:rPr>
        <w:t xml:space="preserve">  </w:t>
      </w:r>
      <w:r>
        <w:rPr>
          <w:rFonts w:hint="eastAsia" w:cs="宋体"/>
          <w:color w:val="auto"/>
          <w:sz w:val="24"/>
          <w:szCs w:val="24"/>
          <w:highlight w:val="none"/>
        </w:rPr>
        <w:t>日09时</w:t>
      </w:r>
      <w:r>
        <w:rPr>
          <w:rFonts w:hint="eastAsia" w:cs="宋体"/>
          <w:color w:val="auto"/>
          <w:sz w:val="24"/>
          <w:szCs w:val="24"/>
          <w:highlight w:val="none"/>
          <w:lang w:val="en-US" w:eastAsia="zh-CN"/>
        </w:rPr>
        <w:t>30</w:t>
      </w:r>
      <w:r>
        <w:rPr>
          <w:rFonts w:hint="eastAsia" w:cs="宋体"/>
          <w:color w:val="auto"/>
          <w:sz w:val="24"/>
          <w:szCs w:val="24"/>
          <w:highlight w:val="none"/>
        </w:rPr>
        <w:t>分。</w:t>
      </w:r>
    </w:p>
    <w:p>
      <w:pPr>
        <w:pStyle w:val="34"/>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olor w:val="auto"/>
          <w:sz w:val="24"/>
          <w:szCs w:val="24"/>
          <w:highlight w:val="none"/>
        </w:rPr>
      </w:pPr>
      <w:r>
        <w:rPr>
          <w:rFonts w:hint="eastAsia" w:cs="宋体"/>
          <w:bCs/>
          <w:color w:val="auto"/>
          <w:sz w:val="24"/>
          <w:szCs w:val="24"/>
          <w:highlight w:val="none"/>
          <w:lang w:val="en-US" w:eastAsia="zh-CN"/>
        </w:rPr>
        <w:t>投标递交及</w:t>
      </w:r>
      <w:r>
        <w:rPr>
          <w:rFonts w:hint="eastAsia" w:cs="宋体"/>
          <w:bCs/>
          <w:color w:val="auto"/>
          <w:sz w:val="24"/>
          <w:szCs w:val="24"/>
          <w:highlight w:val="none"/>
        </w:rPr>
        <w:t>开标地点</w:t>
      </w:r>
      <w:r>
        <w:rPr>
          <w:rFonts w:hint="eastAsia" w:cs="宋体"/>
          <w:b/>
          <w:bCs/>
          <w:color w:val="auto"/>
          <w:sz w:val="24"/>
          <w:szCs w:val="24"/>
          <w:highlight w:val="none"/>
        </w:rPr>
        <w:t>：</w:t>
      </w:r>
      <w:r>
        <w:rPr>
          <w:rFonts w:hint="eastAsia" w:ascii="宋体" w:hAnsi="宋体" w:cs="Arial"/>
          <w:color w:val="auto"/>
          <w:sz w:val="24"/>
          <w:szCs w:val="24"/>
          <w:highlight w:val="none"/>
          <w:u w:val="single"/>
        </w:rPr>
        <w:t>浙江省台州市</w:t>
      </w:r>
      <w:r>
        <w:rPr>
          <w:rFonts w:hint="eastAsia" w:ascii="宋体" w:hAnsi="宋体" w:cs="Arial"/>
          <w:color w:val="auto"/>
          <w:sz w:val="24"/>
          <w:szCs w:val="24"/>
          <w:highlight w:val="none"/>
          <w:u w:val="single"/>
          <w:lang w:val="en-US" w:eastAsia="zh-CN"/>
        </w:rPr>
        <w:t>椒江区</w:t>
      </w:r>
      <w:r>
        <w:rPr>
          <w:rFonts w:hint="eastAsia" w:ascii="宋体" w:hAnsi="宋体" w:cs="Arial"/>
          <w:color w:val="auto"/>
          <w:sz w:val="24"/>
          <w:szCs w:val="24"/>
          <w:highlight w:val="none"/>
          <w:u w:val="single"/>
        </w:rPr>
        <w:t>市府大道</w:t>
      </w:r>
      <w:r>
        <w:rPr>
          <w:rFonts w:hint="eastAsia" w:ascii="宋体" w:hAnsi="宋体" w:cs="Arial"/>
          <w:color w:val="auto"/>
          <w:sz w:val="24"/>
          <w:szCs w:val="24"/>
          <w:highlight w:val="none"/>
          <w:u w:val="single"/>
          <w:lang w:val="en-US" w:eastAsia="zh-CN"/>
        </w:rPr>
        <w:t>507</w:t>
      </w:r>
      <w:r>
        <w:rPr>
          <w:rFonts w:hint="eastAsia" w:ascii="宋体" w:hAnsi="宋体" w:cs="Arial"/>
          <w:color w:val="auto"/>
          <w:sz w:val="24"/>
          <w:szCs w:val="24"/>
          <w:highlight w:val="none"/>
          <w:u w:val="single"/>
        </w:rPr>
        <w:t>号</w:t>
      </w:r>
      <w:r>
        <w:rPr>
          <w:rFonts w:hint="eastAsia" w:ascii="宋体" w:hAnsi="宋体" w:cs="Arial"/>
          <w:color w:val="auto"/>
          <w:sz w:val="24"/>
          <w:szCs w:val="24"/>
          <w:highlight w:val="none"/>
          <w:u w:val="single"/>
          <w:lang w:val="en-US" w:eastAsia="zh-CN"/>
        </w:rPr>
        <w:t>台州国际商务广场1幢</w:t>
      </w:r>
      <w:r>
        <w:rPr>
          <w:rFonts w:hint="eastAsia" w:cs="Arial"/>
          <w:color w:val="auto"/>
          <w:sz w:val="24"/>
          <w:szCs w:val="24"/>
          <w:highlight w:val="none"/>
          <w:u w:val="single"/>
          <w:lang w:val="en-US" w:eastAsia="zh-CN"/>
        </w:rPr>
        <w:t>3</w:t>
      </w:r>
      <w:r>
        <w:rPr>
          <w:rFonts w:hint="eastAsia" w:ascii="宋体" w:hAnsi="宋体" w:cs="Arial"/>
          <w:color w:val="auto"/>
          <w:sz w:val="24"/>
          <w:szCs w:val="24"/>
          <w:highlight w:val="none"/>
          <w:u w:val="single"/>
          <w:lang w:val="en-US" w:eastAsia="zh-CN"/>
        </w:rPr>
        <w:t>楼</w:t>
      </w:r>
      <w:r>
        <w:rPr>
          <w:rFonts w:hint="eastAsia" w:cs="宋体"/>
          <w:color w:val="auto"/>
          <w:sz w:val="24"/>
          <w:szCs w:val="24"/>
          <w:highlight w:val="none"/>
          <w:u w:val="single"/>
        </w:rPr>
        <w:t>开标室</w:t>
      </w:r>
      <w:r>
        <w:rPr>
          <w:rFonts w:hint="eastAsia"/>
          <w:color w:val="auto"/>
          <w:sz w:val="24"/>
          <w:szCs w:val="24"/>
          <w:highlight w:val="none"/>
        </w:rPr>
        <w:t>。</w:t>
      </w:r>
    </w:p>
    <w:p>
      <w:pPr>
        <w:pStyle w:val="34"/>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微软雅黑" w:hAnsi="微软雅黑" w:eastAsia="微软雅黑"/>
          <w:color w:val="auto"/>
          <w:sz w:val="24"/>
          <w:szCs w:val="24"/>
          <w:highlight w:val="none"/>
        </w:rPr>
      </w:pPr>
      <w:r>
        <w:rPr>
          <w:rStyle w:val="42"/>
          <w:rFonts w:hint="eastAsia"/>
          <w:color w:val="auto"/>
          <w:sz w:val="24"/>
          <w:szCs w:val="24"/>
          <w:highlight w:val="none"/>
          <w:lang w:val="en-US" w:eastAsia="zh-CN"/>
        </w:rPr>
        <w:t>七</w:t>
      </w:r>
      <w:r>
        <w:rPr>
          <w:rStyle w:val="42"/>
          <w:rFonts w:hint="eastAsia"/>
          <w:color w:val="auto"/>
          <w:sz w:val="24"/>
          <w:szCs w:val="24"/>
          <w:highlight w:val="none"/>
        </w:rPr>
        <w:t>、相关注意事项</w:t>
      </w:r>
      <w:r>
        <w:rPr>
          <w:rFonts w:hint="eastAsia"/>
          <w:color w:val="auto"/>
          <w:sz w:val="24"/>
          <w:szCs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lang w:val="en-US" w:eastAsia="zh-CN"/>
        </w:rPr>
        <w:t>1</w:t>
      </w:r>
      <w:r>
        <w:rPr>
          <w:rFonts w:ascii="宋体" w:hAnsi="宋体" w:eastAsia="宋体" w:cs="Arial"/>
          <w:color w:val="auto"/>
          <w:sz w:val="24"/>
          <w:szCs w:val="24"/>
          <w:highlight w:val="none"/>
        </w:rPr>
        <w:t>、</w:t>
      </w:r>
      <w:r>
        <w:rPr>
          <w:rFonts w:hint="eastAsia" w:ascii="宋体" w:hAnsi="宋体" w:eastAsia="宋体" w:cs="Arial"/>
          <w:color w:val="auto"/>
          <w:sz w:val="24"/>
          <w:szCs w:val="24"/>
          <w:highlight w:val="none"/>
          <w:lang w:val="en-US" w:eastAsia="zh-CN"/>
        </w:rPr>
        <w:t>投标文件须到现场递交，</w:t>
      </w:r>
      <w:r>
        <w:rPr>
          <w:rFonts w:ascii="宋体" w:hAnsi="宋体" w:eastAsia="宋体" w:cs="Arial"/>
          <w:color w:val="auto"/>
          <w:sz w:val="24"/>
          <w:szCs w:val="24"/>
          <w:highlight w:val="none"/>
        </w:rPr>
        <w:t>建议各</w:t>
      </w:r>
      <w:r>
        <w:rPr>
          <w:rFonts w:hint="eastAsia" w:ascii="宋体" w:hAnsi="宋体" w:eastAsia="宋体" w:cs="Arial"/>
          <w:color w:val="auto"/>
          <w:sz w:val="24"/>
          <w:szCs w:val="24"/>
          <w:highlight w:val="none"/>
          <w:lang w:eastAsia="zh-CN"/>
        </w:rPr>
        <w:t>供应商</w:t>
      </w:r>
      <w:r>
        <w:rPr>
          <w:rFonts w:ascii="宋体" w:hAnsi="宋体" w:eastAsia="宋体" w:cs="Arial"/>
          <w:color w:val="auto"/>
          <w:sz w:val="24"/>
          <w:szCs w:val="24"/>
          <w:highlight w:val="none"/>
        </w:rPr>
        <w:t>提前到达投标现场</w:t>
      </w:r>
      <w:r>
        <w:rPr>
          <w:rFonts w:hint="eastAsia" w:ascii="宋体" w:hAnsi="宋体" w:eastAsia="宋体" w:cs="Arial"/>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lang w:val="en-US" w:eastAsia="zh-CN"/>
        </w:rPr>
        <w:t>2</w:t>
      </w:r>
      <w:r>
        <w:rPr>
          <w:rFonts w:ascii="宋体" w:hAnsi="宋体" w:eastAsia="宋体" w:cs="Arial"/>
          <w:color w:val="auto"/>
          <w:sz w:val="24"/>
          <w:szCs w:val="24"/>
          <w:highlight w:val="none"/>
        </w:rPr>
        <w:t>、如因上述原因造成的一切后果由投标单位自行负责</w:t>
      </w:r>
      <w:r>
        <w:rPr>
          <w:rFonts w:hint="eastAsia" w:ascii="宋体" w:hAnsi="宋体" w:eastAsia="宋体" w:cs="Arial"/>
          <w:color w:val="auto"/>
          <w:sz w:val="24"/>
          <w:szCs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cs="Arial"/>
          <w:b/>
          <w:color w:val="auto"/>
          <w:sz w:val="24"/>
          <w:szCs w:val="24"/>
          <w:highlight w:val="none"/>
        </w:rPr>
      </w:pPr>
      <w:r>
        <w:rPr>
          <w:rFonts w:hint="eastAsia" w:ascii="宋体" w:hAnsi="宋体" w:cs="Arial"/>
          <w:b/>
          <w:color w:val="auto"/>
          <w:sz w:val="24"/>
          <w:szCs w:val="24"/>
          <w:highlight w:val="none"/>
          <w:lang w:val="en-US" w:eastAsia="zh-CN"/>
        </w:rPr>
        <w:t>八</w:t>
      </w:r>
      <w:r>
        <w:rPr>
          <w:rFonts w:hint="eastAsia" w:ascii="宋体" w:hAnsi="宋体" w:cs="Arial"/>
          <w:b/>
          <w:color w:val="auto"/>
          <w:sz w:val="24"/>
          <w:szCs w:val="24"/>
          <w:highlight w:val="none"/>
        </w:rPr>
        <w:t>、其他：</w:t>
      </w:r>
    </w:p>
    <w:p>
      <w:pPr>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1、采购代理机构名称：台州市建设咨询有限公司</w:t>
      </w:r>
    </w:p>
    <w:p>
      <w:pPr>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rPr>
        <w:t>联系人：</w:t>
      </w:r>
      <w:r>
        <w:rPr>
          <w:rFonts w:hint="eastAsia" w:ascii="宋体" w:hAnsi="宋体" w:eastAsia="宋体" w:cs="Arial"/>
          <w:color w:val="auto"/>
          <w:sz w:val="24"/>
          <w:szCs w:val="24"/>
          <w:highlight w:val="none"/>
          <w:lang w:val="en-US" w:eastAsia="zh-CN"/>
        </w:rPr>
        <w:t>李灵芝</w:t>
      </w:r>
    </w:p>
    <w:p>
      <w:pPr>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rPr>
        <w:t>联系电话：</w:t>
      </w:r>
      <w:r>
        <w:rPr>
          <w:rFonts w:hint="eastAsia" w:ascii="宋体" w:hAnsi="宋体" w:eastAsia="宋体" w:cs="Arial"/>
          <w:color w:val="auto"/>
          <w:sz w:val="24"/>
          <w:szCs w:val="24"/>
          <w:highlight w:val="none"/>
          <w:lang w:eastAsia="zh-CN"/>
        </w:rPr>
        <w:t>0576-8851778</w:t>
      </w:r>
      <w:r>
        <w:rPr>
          <w:rFonts w:hint="eastAsia" w:ascii="宋体" w:hAnsi="宋体" w:eastAsia="宋体" w:cs="Arial"/>
          <w:color w:val="auto"/>
          <w:sz w:val="24"/>
          <w:szCs w:val="24"/>
          <w:highlight w:val="none"/>
          <w:lang w:val="en-US" w:eastAsia="zh-CN"/>
        </w:rPr>
        <w:t>5</w:t>
      </w:r>
    </w:p>
    <w:p>
      <w:pPr>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地址：浙江省台州市</w:t>
      </w:r>
      <w:r>
        <w:rPr>
          <w:rFonts w:hint="eastAsia" w:ascii="宋体" w:hAnsi="宋体" w:eastAsia="宋体" w:cs="Arial"/>
          <w:color w:val="auto"/>
          <w:sz w:val="24"/>
          <w:szCs w:val="24"/>
          <w:highlight w:val="none"/>
          <w:lang w:val="en-US" w:eastAsia="zh-CN"/>
        </w:rPr>
        <w:t>椒江区</w:t>
      </w:r>
      <w:r>
        <w:rPr>
          <w:rFonts w:hint="eastAsia" w:ascii="宋体" w:hAnsi="宋体" w:eastAsia="宋体" w:cs="Arial"/>
          <w:color w:val="auto"/>
          <w:sz w:val="24"/>
          <w:szCs w:val="24"/>
          <w:highlight w:val="none"/>
        </w:rPr>
        <w:t>市府大道</w:t>
      </w:r>
      <w:r>
        <w:rPr>
          <w:rFonts w:hint="eastAsia" w:ascii="宋体" w:hAnsi="宋体" w:eastAsia="宋体" w:cs="Arial"/>
          <w:color w:val="auto"/>
          <w:sz w:val="24"/>
          <w:szCs w:val="24"/>
          <w:highlight w:val="none"/>
          <w:lang w:val="en-US" w:eastAsia="zh-CN"/>
        </w:rPr>
        <w:t>507</w:t>
      </w:r>
      <w:r>
        <w:rPr>
          <w:rFonts w:hint="eastAsia" w:ascii="宋体" w:hAnsi="宋体" w:eastAsia="宋体" w:cs="Arial"/>
          <w:color w:val="auto"/>
          <w:sz w:val="24"/>
          <w:szCs w:val="24"/>
          <w:highlight w:val="none"/>
        </w:rPr>
        <w:t>号</w:t>
      </w:r>
      <w:r>
        <w:rPr>
          <w:rFonts w:hint="eastAsia" w:ascii="宋体" w:hAnsi="宋体" w:eastAsia="宋体" w:cs="Arial"/>
          <w:color w:val="auto"/>
          <w:sz w:val="24"/>
          <w:szCs w:val="24"/>
          <w:highlight w:val="none"/>
          <w:lang w:val="en-US" w:eastAsia="zh-CN"/>
        </w:rPr>
        <w:t>台州国际商务广场1幢6楼</w:t>
      </w:r>
    </w:p>
    <w:p>
      <w:pPr>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rPr>
        <w:t>2、采购人名称：</w:t>
      </w:r>
      <w:r>
        <w:rPr>
          <w:rFonts w:hint="eastAsia" w:ascii="宋体" w:hAnsi="宋体" w:eastAsia="宋体" w:cs="Arial"/>
          <w:color w:val="auto"/>
          <w:sz w:val="24"/>
          <w:szCs w:val="24"/>
          <w:highlight w:val="none"/>
          <w:lang w:eastAsia="zh-CN"/>
        </w:rPr>
        <w:t>台州市自然资源和规划信息中心</w:t>
      </w:r>
    </w:p>
    <w:p>
      <w:pPr>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采购单位联系人：</w:t>
      </w:r>
      <w:r>
        <w:rPr>
          <w:rFonts w:hint="eastAsia" w:ascii="宋体" w:hAnsi="宋体" w:eastAsia="宋体" w:cs="Arial"/>
          <w:color w:val="auto"/>
          <w:sz w:val="24"/>
          <w:szCs w:val="24"/>
          <w:highlight w:val="none"/>
          <w:lang w:val="en-US" w:eastAsia="zh-CN"/>
        </w:rPr>
        <w:t>王先生</w:t>
      </w:r>
      <w:r>
        <w:rPr>
          <w:rFonts w:hint="eastAsia" w:ascii="宋体" w:hAnsi="宋体" w:eastAsia="宋体" w:cs="Arial"/>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联系电话：0576-88511300</w:t>
      </w:r>
    </w:p>
    <w:p>
      <w:pPr>
        <w:keepNext w:val="0"/>
        <w:keepLines w:val="0"/>
        <w:pageBreakBefore w:val="0"/>
        <w:kinsoku/>
        <w:wordWrap/>
        <w:overflowPunct/>
        <w:topLinePunct w:val="0"/>
        <w:autoSpaceDE/>
        <w:autoSpaceDN/>
        <w:bidi w:val="0"/>
        <w:adjustRightInd/>
        <w:snapToGrid w:val="0"/>
        <w:spacing w:line="360" w:lineRule="auto"/>
        <w:ind w:firstLine="420"/>
        <w:textAlignment w:val="auto"/>
        <w:rPr>
          <w:rFonts w:hint="eastAsia" w:ascii="宋体" w:hAnsi="宋体"/>
          <w:color w:val="auto"/>
          <w:sz w:val="24"/>
          <w:szCs w:val="24"/>
          <w:highlight w:val="none"/>
        </w:rPr>
      </w:pPr>
      <w:r>
        <w:rPr>
          <w:rFonts w:hint="eastAsia" w:ascii="宋体" w:hAnsi="宋体" w:eastAsia="宋体" w:cs="Arial"/>
          <w:color w:val="auto"/>
          <w:sz w:val="24"/>
          <w:szCs w:val="24"/>
          <w:highlight w:val="none"/>
        </w:rPr>
        <w:t>地址：浙江省台州市市府大道46</w:t>
      </w:r>
      <w:r>
        <w:rPr>
          <w:rFonts w:hint="eastAsia" w:ascii="宋体" w:hAnsi="宋体" w:eastAsia="宋体" w:cs="Arial"/>
          <w:color w:val="auto"/>
          <w:sz w:val="24"/>
          <w:szCs w:val="24"/>
          <w:highlight w:val="none"/>
          <w:lang w:val="en-US" w:eastAsia="zh-CN"/>
        </w:rPr>
        <w:t>8</w:t>
      </w:r>
      <w:r>
        <w:rPr>
          <w:rFonts w:hint="eastAsia" w:ascii="宋体" w:hAnsi="宋体" w:eastAsia="宋体" w:cs="Arial"/>
          <w:color w:val="auto"/>
          <w:sz w:val="24"/>
          <w:szCs w:val="24"/>
          <w:highlight w:val="none"/>
        </w:rPr>
        <w:t xml:space="preserve">号    </w:t>
      </w:r>
      <w:r>
        <w:rPr>
          <w:rFonts w:ascii="宋体" w:hAnsi="宋体"/>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val="0"/>
        <w:spacing w:line="360" w:lineRule="auto"/>
        <w:ind w:left="238"/>
        <w:jc w:val="center"/>
        <w:textAlignment w:val="auto"/>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s="Arial"/>
          <w:color w:val="auto"/>
          <w:sz w:val="24"/>
          <w:szCs w:val="24"/>
          <w:highlight w:val="none"/>
        </w:rPr>
        <w:t>台州市建设咨询有限公司</w:t>
      </w:r>
    </w:p>
    <w:p>
      <w:pPr>
        <w:keepNext w:val="0"/>
        <w:keepLines w:val="0"/>
        <w:pageBreakBefore w:val="0"/>
        <w:kinsoku/>
        <w:wordWrap/>
        <w:overflowPunct/>
        <w:topLinePunct w:val="0"/>
        <w:autoSpaceDE/>
        <w:autoSpaceDN/>
        <w:bidi w:val="0"/>
        <w:adjustRightInd/>
        <w:snapToGrid w:val="0"/>
        <w:spacing w:line="360" w:lineRule="auto"/>
        <w:ind w:left="238" w:firstLine="4980" w:firstLineChars="2075"/>
        <w:jc w:val="center"/>
        <w:textAlignment w:val="auto"/>
        <w:rPr>
          <w:rFonts w:ascii="宋体" w:hAnsi="宋体" w:cs="Arial"/>
          <w:color w:val="auto"/>
          <w:sz w:val="24"/>
          <w:szCs w:val="24"/>
          <w:highlight w:val="none"/>
        </w:rPr>
      </w:pPr>
      <w:r>
        <w:rPr>
          <w:rFonts w:ascii="宋体" w:hAnsi="宋体" w:cs="Arial"/>
          <w:color w:val="auto"/>
          <w:sz w:val="24"/>
          <w:szCs w:val="24"/>
          <w:highlight w:val="none"/>
        </w:rPr>
        <w:t>20</w:t>
      </w:r>
      <w:r>
        <w:rPr>
          <w:rFonts w:hint="eastAsia" w:ascii="宋体" w:hAnsi="宋体" w:cs="Arial"/>
          <w:color w:val="auto"/>
          <w:sz w:val="24"/>
          <w:szCs w:val="24"/>
          <w:highlight w:val="none"/>
        </w:rPr>
        <w:t>2</w:t>
      </w:r>
      <w:r>
        <w:rPr>
          <w:rFonts w:hint="eastAsia" w:ascii="宋体" w:hAnsi="宋体" w:cs="Arial"/>
          <w:color w:val="auto"/>
          <w:sz w:val="24"/>
          <w:szCs w:val="24"/>
          <w:highlight w:val="none"/>
          <w:lang w:val="en-US" w:eastAsia="zh-CN"/>
        </w:rPr>
        <w:t>5</w:t>
      </w:r>
      <w:r>
        <w:rPr>
          <w:rFonts w:ascii="宋体" w:hAnsi="宋体" w:cs="Arial"/>
          <w:color w:val="auto"/>
          <w:sz w:val="24"/>
          <w:szCs w:val="24"/>
          <w:highlight w:val="none"/>
        </w:rPr>
        <w:t>年</w:t>
      </w:r>
      <w:r>
        <w:rPr>
          <w:rFonts w:hint="eastAsia" w:ascii="宋体" w:hAnsi="宋体" w:cs="Arial"/>
          <w:color w:val="auto"/>
          <w:sz w:val="24"/>
          <w:szCs w:val="24"/>
          <w:highlight w:val="none"/>
          <w:lang w:val="en-US" w:eastAsia="zh-CN"/>
        </w:rPr>
        <w:t>06</w:t>
      </w:r>
      <w:r>
        <w:rPr>
          <w:rFonts w:ascii="宋体" w:hAnsi="宋体" w:cs="Arial"/>
          <w:color w:val="auto"/>
          <w:sz w:val="24"/>
          <w:szCs w:val="24"/>
          <w:highlight w:val="none"/>
        </w:rPr>
        <w:t>月</w:t>
      </w:r>
    </w:p>
    <w:p>
      <w:pPr>
        <w:pStyle w:val="6"/>
        <w:tabs>
          <w:tab w:val="left" w:pos="1620"/>
        </w:tabs>
        <w:snapToGrid w:val="0"/>
        <w:spacing w:before="156" w:after="156" w:line="360" w:lineRule="auto"/>
        <w:jc w:val="center"/>
        <w:rPr>
          <w:rFonts w:hint="eastAsia" w:hAnsi="宋体"/>
          <w:color w:val="auto"/>
          <w:sz w:val="30"/>
          <w:szCs w:val="30"/>
          <w:highlight w:val="yellow"/>
        </w:rPr>
      </w:pPr>
    </w:p>
    <w:p>
      <w:pPr>
        <w:pStyle w:val="6"/>
        <w:tabs>
          <w:tab w:val="left" w:pos="1620"/>
        </w:tabs>
        <w:snapToGrid w:val="0"/>
        <w:spacing w:before="156" w:after="156" w:line="360" w:lineRule="auto"/>
        <w:jc w:val="center"/>
        <w:rPr>
          <w:rFonts w:hint="eastAsia" w:hAnsi="宋体"/>
          <w:color w:val="auto"/>
          <w:sz w:val="30"/>
          <w:szCs w:val="30"/>
          <w:highlight w:val="yellow"/>
        </w:rPr>
      </w:pPr>
    </w:p>
    <w:p>
      <w:pPr>
        <w:pStyle w:val="6"/>
        <w:tabs>
          <w:tab w:val="left" w:pos="1620"/>
        </w:tabs>
        <w:snapToGrid w:val="0"/>
        <w:spacing w:before="156" w:after="156" w:line="360" w:lineRule="auto"/>
        <w:jc w:val="both"/>
        <w:rPr>
          <w:rFonts w:hint="eastAsia" w:hAnsi="宋体"/>
          <w:color w:val="auto"/>
          <w:sz w:val="30"/>
          <w:szCs w:val="30"/>
          <w:highlight w:val="none"/>
        </w:rPr>
      </w:pPr>
    </w:p>
    <w:p>
      <w:pPr>
        <w:pStyle w:val="6"/>
        <w:tabs>
          <w:tab w:val="left" w:pos="1620"/>
        </w:tabs>
        <w:snapToGrid w:val="0"/>
        <w:spacing w:before="156" w:after="156" w:line="360" w:lineRule="auto"/>
        <w:jc w:val="center"/>
        <w:rPr>
          <w:rFonts w:hint="eastAsia" w:hAnsi="宋体"/>
          <w:color w:val="auto"/>
          <w:sz w:val="30"/>
          <w:szCs w:val="30"/>
          <w:highlight w:val="none"/>
        </w:rPr>
      </w:pPr>
      <w:r>
        <w:rPr>
          <w:rFonts w:hint="eastAsia" w:hAnsi="宋体"/>
          <w:color w:val="auto"/>
          <w:sz w:val="30"/>
          <w:szCs w:val="30"/>
          <w:highlight w:val="none"/>
        </w:rPr>
        <w:t xml:space="preserve">第二章  </w:t>
      </w:r>
      <w:r>
        <w:rPr>
          <w:rFonts w:hint="eastAsia" w:hAnsi="宋体"/>
          <w:bCs/>
          <w:color w:val="auto"/>
          <w:sz w:val="30"/>
          <w:szCs w:val="30"/>
          <w:highlight w:val="none"/>
        </w:rPr>
        <w:t>招</w:t>
      </w:r>
      <w:r>
        <w:rPr>
          <w:rFonts w:hint="eastAsia" w:hAnsi="宋体"/>
          <w:color w:val="auto"/>
          <w:sz w:val="30"/>
          <w:szCs w:val="30"/>
          <w:highlight w:val="none"/>
        </w:rPr>
        <w:t>标需求</w:t>
      </w:r>
    </w:p>
    <w:p>
      <w:pPr>
        <w:tabs>
          <w:tab w:val="left" w:pos="8280"/>
        </w:tabs>
        <w:autoSpaceDE w:val="0"/>
        <w:autoSpaceDN w:val="0"/>
        <w:adjustRightInd w:val="0"/>
        <w:spacing w:line="360" w:lineRule="auto"/>
        <w:ind w:right="25" w:firstLine="482" w:firstLineChars="200"/>
        <w:rPr>
          <w:rFonts w:ascii="宋体" w:hAnsi="宋体" w:eastAsia="宋体"/>
          <w:sz w:val="24"/>
        </w:rPr>
      </w:pPr>
      <w:r>
        <w:rPr>
          <w:rFonts w:hint="eastAsia" w:ascii="宋体" w:hAnsi="宋体" w:eastAsia="宋体"/>
          <w:b/>
          <w:sz w:val="24"/>
        </w:rPr>
        <w:t>一、采购项目一览表</w:t>
      </w:r>
    </w:p>
    <w:p>
      <w:pPr>
        <w:tabs>
          <w:tab w:val="left" w:pos="8280"/>
        </w:tabs>
        <w:autoSpaceDE w:val="0"/>
        <w:autoSpaceDN w:val="0"/>
        <w:adjustRightInd w:val="0"/>
        <w:spacing w:line="360" w:lineRule="auto"/>
        <w:ind w:right="25" w:firstLine="480" w:firstLineChars="200"/>
        <w:rPr>
          <w:rFonts w:ascii="宋体" w:hAnsi="宋体" w:eastAsia="宋体"/>
          <w:sz w:val="24"/>
        </w:rPr>
      </w:pPr>
      <w:r>
        <w:rPr>
          <w:rFonts w:hint="eastAsia" w:ascii="宋体" w:hAnsi="宋体" w:eastAsia="宋体"/>
          <w:sz w:val="24"/>
        </w:rPr>
        <w:t>本次招标共</w:t>
      </w:r>
      <w:r>
        <w:rPr>
          <w:rFonts w:hint="eastAsia" w:ascii="宋体" w:hAnsi="宋体" w:eastAsia="宋体"/>
          <w:sz w:val="24"/>
          <w:u w:val="single"/>
        </w:rPr>
        <w:t xml:space="preserve"> 1 </w:t>
      </w:r>
      <w:r>
        <w:rPr>
          <w:rFonts w:hint="eastAsia" w:ascii="宋体" w:hAnsi="宋体" w:eastAsia="宋体"/>
          <w:sz w:val="24"/>
        </w:rPr>
        <w:t>个标项，具体内容如下表：</w:t>
      </w:r>
    </w:p>
    <w:tbl>
      <w:tblPr>
        <w:tblStyle w:val="39"/>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noWrap w:val="0"/>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1477" w:type="dxa"/>
            <w:noWrap w:val="0"/>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991" w:type="dxa"/>
            <w:noWrap w:val="0"/>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1099" w:type="dxa"/>
            <w:noWrap w:val="0"/>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2" w:type="dxa"/>
            <w:noWrap w:val="0"/>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142" w:type="dxa"/>
            <w:noWrap w:val="0"/>
            <w:vAlign w:val="center"/>
          </w:tcPr>
          <w:p>
            <w:pPr>
              <w:tabs>
                <w:tab w:val="left" w:pos="8280"/>
              </w:tabs>
              <w:autoSpaceDE w:val="0"/>
              <w:autoSpaceDN w:val="0"/>
              <w:adjustRightInd w:val="0"/>
              <w:jc w:val="center"/>
              <w:rPr>
                <w:rFonts w:ascii="宋体"/>
                <w:b/>
                <w:szCs w:val="21"/>
              </w:rPr>
            </w:pPr>
            <w:r>
              <w:rPr>
                <w:rFonts w:hint="eastAsia" w:ascii="宋体" w:hAnsi="宋体"/>
                <w:b/>
                <w:szCs w:val="21"/>
              </w:rPr>
              <w:t>总预算（万元）</w:t>
            </w:r>
          </w:p>
        </w:tc>
        <w:tc>
          <w:tcPr>
            <w:tcW w:w="1203" w:type="dxa"/>
            <w:noWrap w:val="0"/>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shd w:val="clear" w:color="auto" w:fill="auto"/>
            <w:noWrap w:val="0"/>
            <w:vAlign w:val="center"/>
          </w:tcPr>
          <w:p>
            <w:pPr>
              <w:tabs>
                <w:tab w:val="left" w:pos="8280"/>
              </w:tabs>
              <w:autoSpaceDE w:val="0"/>
              <w:autoSpaceDN w:val="0"/>
              <w:adjustRightInd w:val="0"/>
              <w:jc w:val="center"/>
              <w:rPr>
                <w:rFonts w:ascii="宋体" w:hAnsi="宋体" w:cs="宋体"/>
                <w:sz w:val="24"/>
                <w:szCs w:val="20"/>
              </w:rPr>
            </w:pPr>
            <w:r>
              <w:rPr>
                <w:rFonts w:hint="eastAsia" w:ascii="宋体" w:hAnsi="宋体" w:cs="宋体"/>
                <w:sz w:val="24"/>
                <w:szCs w:val="20"/>
              </w:rPr>
              <w:t>1</w:t>
            </w:r>
          </w:p>
        </w:tc>
        <w:tc>
          <w:tcPr>
            <w:tcW w:w="1477" w:type="dxa"/>
            <w:shd w:val="clear" w:color="auto" w:fill="auto"/>
            <w:noWrap w:val="0"/>
            <w:vAlign w:val="center"/>
          </w:tcPr>
          <w:p>
            <w:pPr>
              <w:tabs>
                <w:tab w:val="left" w:pos="8280"/>
              </w:tabs>
              <w:autoSpaceDE w:val="0"/>
              <w:autoSpaceDN w:val="0"/>
              <w:adjustRightInd w:val="0"/>
              <w:jc w:val="center"/>
              <w:rPr>
                <w:rFonts w:ascii="宋体" w:hAnsi="宋体" w:cs="宋体"/>
                <w:b/>
                <w:sz w:val="24"/>
                <w:szCs w:val="20"/>
              </w:rPr>
            </w:pPr>
            <w:r>
              <w:rPr>
                <w:rFonts w:hint="eastAsia" w:hAnsi="宋体" w:cs="宋体"/>
                <w:b/>
                <w:bCs/>
                <w:sz w:val="24"/>
                <w:szCs w:val="22"/>
              </w:rPr>
              <w:t>自然资源和规划信息系统安全等保测评</w:t>
            </w:r>
          </w:p>
        </w:tc>
        <w:tc>
          <w:tcPr>
            <w:tcW w:w="1991" w:type="dxa"/>
            <w:shd w:val="clear" w:color="auto" w:fill="auto"/>
            <w:noWrap w:val="0"/>
            <w:vAlign w:val="center"/>
          </w:tcPr>
          <w:p>
            <w:pPr>
              <w:tabs>
                <w:tab w:val="left" w:pos="8280"/>
              </w:tabs>
              <w:autoSpaceDE w:val="0"/>
              <w:autoSpaceDN w:val="0"/>
              <w:adjustRightInd w:val="0"/>
              <w:jc w:val="center"/>
              <w:rPr>
                <w:rFonts w:ascii="宋体" w:hAnsi="宋体" w:cs="宋体"/>
                <w:b/>
                <w:sz w:val="24"/>
                <w:szCs w:val="20"/>
              </w:rPr>
            </w:pPr>
            <w:r>
              <w:rPr>
                <w:rFonts w:hint="eastAsia" w:ascii="宋体" w:hAnsi="宋体" w:cs="宋体"/>
                <w:sz w:val="24"/>
                <w:szCs w:val="20"/>
              </w:rPr>
              <w:t>详见技术需求</w:t>
            </w:r>
          </w:p>
        </w:tc>
        <w:tc>
          <w:tcPr>
            <w:tcW w:w="1099" w:type="dxa"/>
            <w:shd w:val="clear" w:color="auto" w:fill="auto"/>
            <w:noWrap w:val="0"/>
            <w:vAlign w:val="center"/>
          </w:tcPr>
          <w:p>
            <w:pPr>
              <w:tabs>
                <w:tab w:val="left" w:pos="8280"/>
              </w:tabs>
              <w:autoSpaceDE w:val="0"/>
              <w:autoSpaceDN w:val="0"/>
              <w:adjustRightInd w:val="0"/>
              <w:jc w:val="center"/>
              <w:rPr>
                <w:rFonts w:ascii="宋体" w:hAnsi="宋体" w:cs="宋体"/>
                <w:bCs/>
                <w:sz w:val="24"/>
                <w:szCs w:val="20"/>
              </w:rPr>
            </w:pPr>
            <w:r>
              <w:rPr>
                <w:rFonts w:hint="eastAsia" w:ascii="宋体" w:hAnsi="宋体" w:cs="宋体"/>
                <w:bCs/>
                <w:sz w:val="24"/>
                <w:szCs w:val="20"/>
              </w:rPr>
              <w:t>1</w:t>
            </w:r>
          </w:p>
        </w:tc>
        <w:tc>
          <w:tcPr>
            <w:tcW w:w="852" w:type="dxa"/>
            <w:shd w:val="clear" w:color="auto" w:fill="auto"/>
            <w:noWrap w:val="0"/>
            <w:vAlign w:val="center"/>
          </w:tcPr>
          <w:p>
            <w:pPr>
              <w:tabs>
                <w:tab w:val="left" w:pos="8280"/>
              </w:tabs>
              <w:autoSpaceDE w:val="0"/>
              <w:autoSpaceDN w:val="0"/>
              <w:adjustRightInd w:val="0"/>
              <w:jc w:val="center"/>
              <w:rPr>
                <w:rFonts w:ascii="宋体" w:hAnsi="宋体" w:cs="宋体"/>
                <w:bCs/>
                <w:sz w:val="24"/>
                <w:szCs w:val="20"/>
              </w:rPr>
            </w:pPr>
            <w:r>
              <w:rPr>
                <w:rFonts w:hint="eastAsia" w:ascii="宋体" w:hAnsi="宋体" w:cs="宋体"/>
                <w:bCs/>
                <w:sz w:val="24"/>
                <w:szCs w:val="20"/>
              </w:rPr>
              <w:t>项</w:t>
            </w:r>
          </w:p>
        </w:tc>
        <w:tc>
          <w:tcPr>
            <w:tcW w:w="1142" w:type="dxa"/>
            <w:shd w:val="clear" w:color="auto" w:fill="auto"/>
            <w:noWrap w:val="0"/>
            <w:vAlign w:val="center"/>
          </w:tcPr>
          <w:p>
            <w:pPr>
              <w:tabs>
                <w:tab w:val="left" w:pos="8280"/>
              </w:tabs>
              <w:autoSpaceDE w:val="0"/>
              <w:autoSpaceDN w:val="0"/>
              <w:adjustRightInd w:val="0"/>
              <w:jc w:val="center"/>
              <w:rPr>
                <w:rFonts w:hint="default" w:ascii="宋体" w:hAnsi="宋体" w:eastAsia="宋体" w:cs="宋体"/>
                <w:bCs/>
                <w:sz w:val="24"/>
                <w:szCs w:val="20"/>
                <w:lang w:val="en-US" w:eastAsia="zh-CN"/>
              </w:rPr>
            </w:pPr>
            <w:r>
              <w:rPr>
                <w:rFonts w:hint="eastAsia" w:ascii="宋体" w:hAnsi="宋体" w:cs="宋体"/>
                <w:bCs/>
                <w:sz w:val="24"/>
                <w:szCs w:val="20"/>
                <w:lang w:val="en-US" w:eastAsia="zh-CN"/>
              </w:rPr>
              <w:t>44</w:t>
            </w:r>
          </w:p>
        </w:tc>
        <w:tc>
          <w:tcPr>
            <w:tcW w:w="1203" w:type="dxa"/>
            <w:shd w:val="clear" w:color="auto" w:fill="auto"/>
            <w:noWrap w:val="0"/>
            <w:vAlign w:val="center"/>
          </w:tcPr>
          <w:p>
            <w:pPr>
              <w:tabs>
                <w:tab w:val="left" w:pos="8280"/>
              </w:tabs>
              <w:autoSpaceDE w:val="0"/>
              <w:autoSpaceDN w:val="0"/>
              <w:adjustRightInd w:val="0"/>
              <w:jc w:val="center"/>
              <w:rPr>
                <w:rFonts w:hint="default" w:ascii="宋体" w:hAnsi="宋体" w:eastAsia="宋体" w:cs="宋体"/>
                <w:sz w:val="24"/>
                <w:szCs w:val="20"/>
                <w:lang w:val="en-US" w:eastAsia="zh-CN"/>
              </w:rPr>
            </w:pPr>
            <w:r>
              <w:rPr>
                <w:rFonts w:hint="eastAsia" w:ascii="宋体" w:hAnsi="宋体" w:cs="宋体"/>
                <w:sz w:val="24"/>
                <w:szCs w:val="20"/>
                <w:lang w:val="en-US" w:eastAsia="zh-CN"/>
              </w:rPr>
              <w:t>44</w:t>
            </w:r>
          </w:p>
        </w:tc>
      </w:tr>
    </w:tbl>
    <w:p>
      <w:pPr>
        <w:numPr>
          <w:ilvl w:val="0"/>
          <w:numId w:val="3"/>
        </w:numPr>
        <w:spacing w:line="360" w:lineRule="auto"/>
        <w:ind w:firstLine="482" w:firstLineChars="200"/>
        <w:rPr>
          <w:rFonts w:ascii="宋体" w:hAnsi="宋体" w:eastAsia="宋体"/>
          <w:b/>
          <w:color w:val="000000"/>
          <w:sz w:val="24"/>
        </w:rPr>
      </w:pPr>
      <w:r>
        <w:rPr>
          <w:rFonts w:hint="eastAsia" w:ascii="宋体" w:hAnsi="宋体" w:eastAsia="宋体"/>
          <w:b/>
          <w:color w:val="000000"/>
          <w:sz w:val="24"/>
        </w:rPr>
        <w:t>技术需求</w:t>
      </w:r>
    </w:p>
    <w:p>
      <w:pPr>
        <w:tabs>
          <w:tab w:val="left" w:pos="8280"/>
        </w:tabs>
        <w:autoSpaceDE w:val="0"/>
        <w:autoSpaceDN w:val="0"/>
        <w:adjustRightInd w:val="0"/>
        <w:spacing w:line="360" w:lineRule="auto"/>
        <w:ind w:right="25"/>
        <w:rPr>
          <w:rFonts w:ascii="宋体"/>
          <w:b/>
          <w:color w:val="000000"/>
          <w:kern w:val="0"/>
          <w:sz w:val="24"/>
        </w:rPr>
      </w:pPr>
      <w:r>
        <w:rPr>
          <w:rFonts w:hint="eastAsia" w:ascii="宋体"/>
          <w:b/>
          <w:color w:val="000000"/>
          <w:kern w:val="0"/>
          <w:sz w:val="24"/>
        </w:rPr>
        <w:t>1、建设内容</w:t>
      </w:r>
    </w:p>
    <w:p>
      <w:pPr>
        <w:spacing w:line="360" w:lineRule="auto"/>
        <w:ind w:firstLine="480" w:firstLineChars="200"/>
        <w:rPr>
          <w:rFonts w:hint="eastAsia" w:ascii="宋体" w:hAnsi="宋体"/>
          <w:color w:val="000000"/>
          <w:kern w:val="0"/>
          <w:sz w:val="24"/>
        </w:rPr>
      </w:pPr>
      <w:bookmarkStart w:id="0" w:name="_Toc404586126"/>
      <w:r>
        <w:rPr>
          <w:rFonts w:hint="eastAsia" w:ascii="宋体" w:hAnsi="宋体"/>
          <w:color w:val="000000"/>
          <w:kern w:val="0"/>
          <w:sz w:val="24"/>
        </w:rPr>
        <w:t>对一张图核心数据库及综合电子政务平台以及信创云版本、台州市国土空间基础信息平台</w:t>
      </w:r>
      <w:r>
        <w:rPr>
          <w:rFonts w:hint="eastAsia" w:ascii="宋体" w:hAnsi="宋体"/>
          <w:color w:val="000000"/>
          <w:kern w:val="0"/>
          <w:sz w:val="24"/>
          <w:lang w:eastAsia="zh-CN"/>
        </w:rPr>
        <w:t>（</w:t>
      </w:r>
      <w:r>
        <w:rPr>
          <w:rFonts w:hint="eastAsia" w:ascii="宋体" w:hAnsi="宋体"/>
          <w:color w:val="000000"/>
          <w:kern w:val="0"/>
          <w:sz w:val="24"/>
        </w:rPr>
        <w:t>信创云版本</w:t>
      </w:r>
      <w:r>
        <w:rPr>
          <w:rFonts w:hint="eastAsia" w:ascii="宋体" w:hAnsi="宋体"/>
          <w:color w:val="000000"/>
          <w:kern w:val="0"/>
          <w:sz w:val="24"/>
          <w:lang w:eastAsia="zh-CN"/>
        </w:rPr>
        <w:t>）</w:t>
      </w:r>
      <w:r>
        <w:rPr>
          <w:rFonts w:hint="eastAsia" w:ascii="宋体" w:hAnsi="宋体"/>
          <w:color w:val="000000"/>
          <w:kern w:val="0"/>
          <w:sz w:val="24"/>
        </w:rPr>
        <w:t>、不动产登记信息管理平台以及信创云版本、台州市“地信智服”场景应用系统（信创云版本）、台州市空间规划地理数据库（信创云版本）</w:t>
      </w:r>
      <w:r>
        <w:rPr>
          <w:rFonts w:hint="eastAsia" w:ascii="宋体" w:hAnsi="宋体"/>
          <w:color w:val="000000"/>
          <w:kern w:val="0"/>
          <w:sz w:val="24"/>
          <w:lang w:eastAsia="zh-CN"/>
        </w:rPr>
        <w:t>、</w:t>
      </w:r>
      <w:r>
        <w:rPr>
          <w:rFonts w:hint="eastAsia" w:ascii="宋体" w:hAnsi="宋体"/>
          <w:color w:val="000000"/>
          <w:kern w:val="0"/>
          <w:sz w:val="24"/>
        </w:rPr>
        <w:t>台州市地理信息公共服务平台以及信创云版本、台州市国土空间规划“一张图”实施监督信息系统（信创云版本）</w:t>
      </w:r>
      <w:r>
        <w:rPr>
          <w:rFonts w:hint="eastAsia" w:ascii="宋体" w:hAnsi="宋体"/>
          <w:color w:val="000000"/>
          <w:kern w:val="0"/>
          <w:sz w:val="24"/>
          <w:lang w:eastAsia="zh-CN"/>
        </w:rPr>
        <w:t>开展</w:t>
      </w:r>
      <w:r>
        <w:rPr>
          <w:rFonts w:hint="eastAsia" w:ascii="宋体" w:hAnsi="宋体"/>
          <w:color w:val="000000"/>
          <w:kern w:val="0"/>
          <w:sz w:val="24"/>
        </w:rPr>
        <w:t>三级等级保护测评</w:t>
      </w:r>
      <w:r>
        <w:rPr>
          <w:rFonts w:hint="eastAsia" w:ascii="宋体" w:hAnsi="宋体"/>
          <w:color w:val="000000"/>
          <w:kern w:val="0"/>
          <w:sz w:val="24"/>
          <w:lang w:eastAsia="zh-CN"/>
        </w:rPr>
        <w:t>，台州市“土地综合整治”应用场景系统（信创云版本）和台州市耕地智保（信创云版本）开展二级等保测评工作</w:t>
      </w:r>
      <w:r>
        <w:rPr>
          <w:rFonts w:hint="eastAsia" w:ascii="宋体" w:hAnsi="宋体"/>
          <w:color w:val="000000"/>
          <w:kern w:val="0"/>
          <w:sz w:val="24"/>
        </w:rPr>
        <w:t>。</w:t>
      </w:r>
    </w:p>
    <w:p>
      <w:pPr>
        <w:tabs>
          <w:tab w:val="left" w:pos="8280"/>
        </w:tabs>
        <w:autoSpaceDE w:val="0"/>
        <w:autoSpaceDN w:val="0"/>
        <w:adjustRightInd w:val="0"/>
        <w:spacing w:line="360" w:lineRule="auto"/>
        <w:ind w:right="25"/>
        <w:rPr>
          <w:rFonts w:ascii="宋体"/>
          <w:b/>
          <w:color w:val="000000"/>
          <w:kern w:val="0"/>
          <w:sz w:val="24"/>
        </w:rPr>
      </w:pPr>
      <w:r>
        <w:rPr>
          <w:rFonts w:hint="eastAsia" w:ascii="宋体"/>
          <w:b/>
          <w:color w:val="000000"/>
          <w:kern w:val="0"/>
          <w:sz w:val="24"/>
        </w:rPr>
        <w:t>2、项目背景</w:t>
      </w:r>
      <w:bookmarkEnd w:id="0"/>
    </w:p>
    <w:p>
      <w:pPr>
        <w:spacing w:line="360" w:lineRule="auto"/>
        <w:ind w:firstLine="480" w:firstLineChars="200"/>
        <w:rPr>
          <w:rFonts w:ascii="宋体" w:hAnsi="宋体"/>
          <w:color w:val="000000"/>
          <w:sz w:val="22"/>
          <w:szCs w:val="22"/>
        </w:rPr>
      </w:pPr>
      <w:r>
        <w:rPr>
          <w:rFonts w:hint="eastAsia" w:ascii="宋体" w:hAnsi="宋体"/>
          <w:color w:val="000000"/>
          <w:kern w:val="0"/>
          <w:sz w:val="24"/>
        </w:rPr>
        <w:t>等级保护是国家关于信息安全的基本政策，《国家信息化领导小组关于加强信息安全保障工作的意见》（中办发[2003]27号），（以下简称27号文）明确要求我国信息安全保障工作实行等级保护制度，提出“抓紧建立信息安全等级保护制度，制定信息安全等级保护的管理办法和技术指南”。公安部、国家保密局、国家密码管理局、国务院信息化工作办公室联合转发的《关于信息安全等级保护工作的实施意见》（公通字[2004]66号）（以下简称66号文）、《浙江省安全等级保护管理办法》（省政府第223号令）（以下简称223号令）进一步强调了开展信息安全等级保护工作的重要意义，规定了实施信息安全等级保护制度的原则、内容、职责分工、基本要求和实施计划，部署了实施信息安全等级保护工作的操作办法，27号文、66号文和223号令不但为各行业开展信息安全等级保护工作指明了方向，同时也为各行业如何根据自身特点做好信息安全等级保护工作提出了更高的要求。</w:t>
      </w:r>
    </w:p>
    <w:p>
      <w:pPr>
        <w:tabs>
          <w:tab w:val="left" w:pos="8280"/>
        </w:tabs>
        <w:autoSpaceDE w:val="0"/>
        <w:autoSpaceDN w:val="0"/>
        <w:adjustRightInd w:val="0"/>
        <w:spacing w:line="360" w:lineRule="auto"/>
        <w:ind w:right="25"/>
        <w:rPr>
          <w:rFonts w:ascii="宋体"/>
          <w:b/>
          <w:kern w:val="0"/>
          <w:sz w:val="24"/>
        </w:rPr>
      </w:pPr>
      <w:bookmarkStart w:id="1" w:name="_Toc383609475"/>
      <w:bookmarkStart w:id="2" w:name="_Toc380161757"/>
      <w:r>
        <w:rPr>
          <w:rFonts w:hint="eastAsia" w:ascii="宋体"/>
          <w:b/>
          <w:kern w:val="0"/>
          <w:sz w:val="24"/>
        </w:rPr>
        <w:t>3、建设目标</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通过等级保护测评、安全检测找出单位漏洞所在，增强单位信息系统抗风险能力，使单位信息化工作做到有的放矢。</w:t>
      </w:r>
    </w:p>
    <w:p>
      <w:pPr>
        <w:numPr>
          <w:ilvl w:val="0"/>
          <w:numId w:val="4"/>
        </w:numPr>
        <w:tabs>
          <w:tab w:val="left" w:pos="8280"/>
        </w:tabs>
        <w:autoSpaceDE w:val="0"/>
        <w:autoSpaceDN w:val="0"/>
        <w:adjustRightInd w:val="0"/>
        <w:spacing w:line="360" w:lineRule="auto"/>
        <w:ind w:right="25"/>
        <w:rPr>
          <w:rFonts w:ascii="宋体"/>
          <w:b/>
          <w:kern w:val="0"/>
          <w:sz w:val="24"/>
        </w:rPr>
      </w:pPr>
      <w:bookmarkStart w:id="3" w:name="_Toc404586127"/>
      <w:r>
        <w:rPr>
          <w:rFonts w:hint="eastAsia" w:ascii="宋体"/>
          <w:b/>
          <w:kern w:val="0"/>
          <w:sz w:val="24"/>
        </w:rPr>
        <w:t>建设依据</w:t>
      </w:r>
    </w:p>
    <w:p>
      <w:pPr>
        <w:tabs>
          <w:tab w:val="left" w:pos="8280"/>
        </w:tabs>
        <w:autoSpaceDE w:val="0"/>
        <w:autoSpaceDN w:val="0"/>
        <w:adjustRightInd w:val="0"/>
        <w:spacing w:line="360" w:lineRule="auto"/>
        <w:ind w:right="25" w:firstLine="480" w:firstLineChars="200"/>
        <w:rPr>
          <w:rFonts w:ascii="宋体"/>
          <w:bCs/>
          <w:kern w:val="0"/>
          <w:sz w:val="24"/>
        </w:rPr>
      </w:pPr>
      <w:r>
        <w:rPr>
          <w:rFonts w:hint="eastAsia" w:ascii="宋体"/>
          <w:bCs/>
          <w:kern w:val="0"/>
          <w:sz w:val="24"/>
        </w:rPr>
        <w:t>《中华人民和国网络安全法》和《浙江省信息安全等级保护管理办法》。</w:t>
      </w:r>
    </w:p>
    <w:bookmarkEnd w:id="1"/>
    <w:bookmarkEnd w:id="2"/>
    <w:bookmarkEnd w:id="3"/>
    <w:p>
      <w:pPr>
        <w:tabs>
          <w:tab w:val="left" w:pos="8280"/>
        </w:tabs>
        <w:autoSpaceDE w:val="0"/>
        <w:autoSpaceDN w:val="0"/>
        <w:adjustRightInd w:val="0"/>
        <w:spacing w:line="360" w:lineRule="auto"/>
        <w:ind w:right="25"/>
        <w:rPr>
          <w:rFonts w:ascii="宋体"/>
          <w:b/>
          <w:color w:val="000000"/>
          <w:kern w:val="0"/>
          <w:sz w:val="24"/>
        </w:rPr>
      </w:pPr>
      <w:bookmarkStart w:id="4" w:name="_Toc404586132"/>
      <w:r>
        <w:rPr>
          <w:rFonts w:hint="eastAsia" w:ascii="宋体"/>
          <w:b/>
          <w:color w:val="000000"/>
          <w:kern w:val="0"/>
          <w:sz w:val="24"/>
        </w:rPr>
        <w:t>5、具体</w:t>
      </w:r>
      <w:bookmarkEnd w:id="4"/>
      <w:r>
        <w:rPr>
          <w:rFonts w:hint="eastAsia" w:ascii="宋体"/>
          <w:b/>
          <w:color w:val="000000"/>
          <w:kern w:val="0"/>
          <w:sz w:val="24"/>
        </w:rPr>
        <w:t>服务要求</w:t>
      </w:r>
    </w:p>
    <w:p>
      <w:pPr>
        <w:spacing w:line="440" w:lineRule="exact"/>
        <w:ind w:firstLine="480" w:firstLineChars="200"/>
        <w:rPr>
          <w:rFonts w:ascii="宋体" w:hAnsi="宋体"/>
          <w:color w:val="000000"/>
          <w:sz w:val="24"/>
        </w:rPr>
      </w:pPr>
      <w:bookmarkStart w:id="5" w:name="_Toc380161766"/>
      <w:bookmarkStart w:id="6" w:name="_Toc383609484"/>
      <w:bookmarkStart w:id="7" w:name="_Toc404586135"/>
      <w:r>
        <w:rPr>
          <w:rFonts w:hint="eastAsia" w:ascii="宋体" w:hAnsi="宋体"/>
          <w:color w:val="000000"/>
          <w:sz w:val="24"/>
        </w:rPr>
        <w:t>5.1</w:t>
      </w:r>
      <w:bookmarkEnd w:id="5"/>
      <w:bookmarkEnd w:id="6"/>
      <w:bookmarkEnd w:id="7"/>
      <w:r>
        <w:rPr>
          <w:rFonts w:hint="eastAsia" w:ascii="宋体" w:hAnsi="宋体"/>
          <w:color w:val="000000"/>
          <w:sz w:val="24"/>
        </w:rPr>
        <w:t>整体服务范围</w:t>
      </w:r>
    </w:p>
    <w:p>
      <w:pPr>
        <w:spacing w:line="440" w:lineRule="exact"/>
        <w:ind w:firstLine="480" w:firstLineChars="200"/>
        <w:rPr>
          <w:rFonts w:ascii="宋体" w:hAnsi="宋体"/>
          <w:color w:val="000000"/>
          <w:sz w:val="24"/>
        </w:rPr>
      </w:pPr>
      <w:bookmarkStart w:id="8" w:name="_Toc15784"/>
      <w:bookmarkStart w:id="9" w:name="_Toc404586137"/>
      <w:r>
        <w:rPr>
          <w:rFonts w:hint="eastAsia" w:ascii="宋体" w:hAnsi="宋体"/>
          <w:color w:val="000000"/>
          <w:sz w:val="24"/>
        </w:rPr>
        <w:t>本次服务主要包括对台州市自然资源和规划局重要信息系统的等级测评，同时配合做好系统定级、系统备案并指导做好安全整改工作，具体等级测评等服务范围见表1：</w:t>
      </w:r>
    </w:p>
    <w:p>
      <w:pPr>
        <w:spacing w:line="440" w:lineRule="exact"/>
        <w:ind w:firstLine="440" w:firstLineChars="200"/>
        <w:jc w:val="center"/>
        <w:rPr>
          <w:rFonts w:hint="eastAsia" w:ascii="宋体" w:hAnsi="宋体"/>
          <w:color w:val="000000"/>
          <w:sz w:val="22"/>
          <w:szCs w:val="22"/>
        </w:rPr>
      </w:pPr>
      <w:r>
        <w:rPr>
          <w:rFonts w:hint="eastAsia" w:ascii="宋体" w:hAnsi="宋体"/>
          <w:color w:val="000000"/>
          <w:sz w:val="22"/>
          <w:szCs w:val="22"/>
        </w:rPr>
        <w:t>表1、等级测评服务范围及要求描述</w:t>
      </w:r>
    </w:p>
    <w:tbl>
      <w:tblPr>
        <w:tblStyle w:val="39"/>
        <w:tblW w:w="8975" w:type="dxa"/>
        <w:tblInd w:w="0" w:type="dxa"/>
        <w:shd w:val="clear" w:color="auto" w:fill="auto"/>
        <w:tblLayout w:type="fixed"/>
        <w:tblCellMar>
          <w:top w:w="15" w:type="dxa"/>
          <w:left w:w="15" w:type="dxa"/>
          <w:bottom w:w="15" w:type="dxa"/>
          <w:right w:w="15" w:type="dxa"/>
        </w:tblCellMar>
      </w:tblPr>
      <w:tblGrid>
        <w:gridCol w:w="3082"/>
        <w:gridCol w:w="1468"/>
        <w:gridCol w:w="1116"/>
        <w:gridCol w:w="3309"/>
      </w:tblGrid>
      <w:tr>
        <w:tblPrEx>
          <w:shd w:val="clear" w:color="auto" w:fill="auto"/>
          <w:tblCellMar>
            <w:top w:w="15" w:type="dxa"/>
            <w:left w:w="15" w:type="dxa"/>
            <w:bottom w:w="15" w:type="dxa"/>
            <w:right w:w="15" w:type="dxa"/>
          </w:tblCellMar>
        </w:tblPrEx>
        <w:trPr>
          <w:trHeight w:val="493" w:hRule="atLeast"/>
        </w:trPr>
        <w:tc>
          <w:tcPr>
            <w:tcW w:w="3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bottom"/>
              <w:rPr>
                <w:rFonts w:ascii="宋体" w:hAnsi="宋体" w:cs="宋体"/>
                <w:b/>
                <w:color w:val="000000"/>
                <w:sz w:val="24"/>
              </w:rPr>
            </w:pPr>
            <w:r>
              <w:rPr>
                <w:rFonts w:hint="eastAsia" w:ascii="宋体" w:hAnsi="宋体" w:cs="宋体"/>
                <w:b/>
                <w:color w:val="000000"/>
                <w:kern w:val="0"/>
                <w:sz w:val="24"/>
              </w:rPr>
              <w:t>系统名称</w:t>
            </w:r>
          </w:p>
        </w:tc>
        <w:tc>
          <w:tcPr>
            <w:tcW w:w="1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widowControl/>
              <w:spacing w:line="300" w:lineRule="exact"/>
              <w:jc w:val="center"/>
              <w:textAlignment w:val="bottom"/>
              <w:rPr>
                <w:rFonts w:ascii="宋体" w:hAnsi="宋体" w:cs="宋体"/>
                <w:b/>
                <w:color w:val="000000"/>
                <w:sz w:val="24"/>
              </w:rPr>
            </w:pPr>
            <w:r>
              <w:rPr>
                <w:rFonts w:hint="eastAsia" w:ascii="宋体" w:hAnsi="宋体" w:cs="宋体"/>
                <w:b/>
                <w:color w:val="000000"/>
                <w:sz w:val="24"/>
              </w:rPr>
              <w:t>标项内容</w:t>
            </w:r>
          </w:p>
        </w:tc>
        <w:tc>
          <w:tcPr>
            <w:tcW w:w="1116"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spacing w:line="300" w:lineRule="exact"/>
              <w:jc w:val="center"/>
              <w:textAlignment w:val="bottom"/>
              <w:rPr>
                <w:rFonts w:ascii="宋体" w:hAnsi="宋体" w:cs="宋体"/>
                <w:b/>
                <w:color w:val="000000"/>
                <w:sz w:val="24"/>
              </w:rPr>
            </w:pPr>
            <w:r>
              <w:rPr>
                <w:rFonts w:hint="eastAsia" w:ascii="宋体" w:hAnsi="宋体" w:cs="宋体"/>
                <w:b/>
                <w:color w:val="000000"/>
                <w:kern w:val="0"/>
                <w:sz w:val="24"/>
              </w:rPr>
              <w:t>安全等级</w:t>
            </w:r>
          </w:p>
        </w:tc>
        <w:tc>
          <w:tcPr>
            <w:tcW w:w="33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spacing w:line="300" w:lineRule="exact"/>
              <w:jc w:val="center"/>
              <w:textAlignment w:val="bottom"/>
              <w:rPr>
                <w:rFonts w:ascii="宋体" w:hAnsi="宋体" w:cs="宋体"/>
                <w:b/>
                <w:color w:val="000000"/>
                <w:kern w:val="0"/>
                <w:sz w:val="24"/>
              </w:rPr>
            </w:pPr>
            <w:r>
              <w:rPr>
                <w:rFonts w:hint="eastAsia" w:ascii="宋体" w:hAnsi="宋体" w:cs="宋体"/>
                <w:b/>
                <w:color w:val="000000"/>
                <w:kern w:val="0"/>
                <w:sz w:val="24"/>
              </w:rPr>
              <w:t>备注</w:t>
            </w:r>
          </w:p>
        </w:tc>
      </w:tr>
      <w:tr>
        <w:tblPrEx>
          <w:tblCellMar>
            <w:top w:w="15" w:type="dxa"/>
            <w:left w:w="15" w:type="dxa"/>
            <w:bottom w:w="15" w:type="dxa"/>
            <w:right w:w="15" w:type="dxa"/>
          </w:tblCellMar>
        </w:tblPrEx>
        <w:trPr>
          <w:trHeight w:val="90" w:hRule="atLeast"/>
        </w:trPr>
        <w:tc>
          <w:tcPr>
            <w:tcW w:w="3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一张图核心数据库及综合电子政务平台</w:t>
            </w:r>
          </w:p>
        </w:tc>
        <w:tc>
          <w:tcPr>
            <w:tcW w:w="1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1116"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三级</w:t>
            </w:r>
          </w:p>
        </w:tc>
        <w:tc>
          <w:tcPr>
            <w:tcW w:w="33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包含市局档案管理和县市区的一张图核心数据库及综合电子政务平台（除温岭外）以及信创云版本（含桌面端和移动端）。</w:t>
            </w:r>
          </w:p>
        </w:tc>
      </w:tr>
      <w:tr>
        <w:tblPrEx>
          <w:shd w:val="clear" w:color="auto" w:fill="auto"/>
          <w:tblCellMar>
            <w:top w:w="15" w:type="dxa"/>
            <w:left w:w="15" w:type="dxa"/>
            <w:bottom w:w="15" w:type="dxa"/>
            <w:right w:w="15" w:type="dxa"/>
          </w:tblCellMar>
        </w:tblPrEx>
        <w:trPr>
          <w:trHeight w:val="755" w:hRule="atLeast"/>
        </w:trPr>
        <w:tc>
          <w:tcPr>
            <w:tcW w:w="3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台州市国土空间基础信息平台（信创云版本）</w:t>
            </w:r>
          </w:p>
        </w:tc>
        <w:tc>
          <w:tcPr>
            <w:tcW w:w="1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1116"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三级</w:t>
            </w:r>
          </w:p>
        </w:tc>
        <w:tc>
          <w:tcPr>
            <w:tcW w:w="33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kern w:val="0"/>
                <w:sz w:val="24"/>
              </w:rPr>
            </w:pPr>
          </w:p>
        </w:tc>
      </w:tr>
      <w:tr>
        <w:tblPrEx>
          <w:shd w:val="clear" w:color="auto" w:fill="auto"/>
          <w:tblCellMar>
            <w:top w:w="15" w:type="dxa"/>
            <w:left w:w="15" w:type="dxa"/>
            <w:bottom w:w="15" w:type="dxa"/>
            <w:right w:w="15" w:type="dxa"/>
          </w:tblCellMar>
        </w:tblPrEx>
        <w:trPr>
          <w:trHeight w:val="235" w:hRule="atLeast"/>
        </w:trPr>
        <w:tc>
          <w:tcPr>
            <w:tcW w:w="3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不动产登记信息管理平台</w:t>
            </w:r>
          </w:p>
        </w:tc>
        <w:tc>
          <w:tcPr>
            <w:tcW w:w="1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1116"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三级</w:t>
            </w:r>
          </w:p>
        </w:tc>
        <w:tc>
          <w:tcPr>
            <w:tcW w:w="33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涉及到台州市不动产登记信息管理平台、台州市不动产登记网上办事大厅系统、台州市不动产登记掌上办APP系统、台州市不动产智治治理端应用等4个系统；以及信创云版本。</w:t>
            </w:r>
          </w:p>
        </w:tc>
      </w:tr>
      <w:tr>
        <w:tblPrEx>
          <w:tblCellMar>
            <w:top w:w="15" w:type="dxa"/>
            <w:left w:w="15" w:type="dxa"/>
            <w:bottom w:w="15" w:type="dxa"/>
            <w:right w:w="15" w:type="dxa"/>
          </w:tblCellMar>
        </w:tblPrEx>
        <w:trPr>
          <w:trHeight w:val="90" w:hRule="atLeast"/>
        </w:trPr>
        <w:tc>
          <w:tcPr>
            <w:tcW w:w="3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台州市“地信智服”场景应用系统（信创云版本）</w:t>
            </w:r>
          </w:p>
        </w:tc>
        <w:tc>
          <w:tcPr>
            <w:tcW w:w="1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1116"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三级</w:t>
            </w:r>
          </w:p>
        </w:tc>
        <w:tc>
          <w:tcPr>
            <w:tcW w:w="33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kern w:val="0"/>
                <w:sz w:val="24"/>
              </w:rPr>
            </w:pPr>
          </w:p>
        </w:tc>
      </w:tr>
      <w:tr>
        <w:tblPrEx>
          <w:shd w:val="clear" w:color="auto" w:fill="auto"/>
          <w:tblCellMar>
            <w:top w:w="15" w:type="dxa"/>
            <w:left w:w="15" w:type="dxa"/>
            <w:bottom w:w="15" w:type="dxa"/>
            <w:right w:w="15" w:type="dxa"/>
          </w:tblCellMar>
        </w:tblPrEx>
        <w:trPr>
          <w:trHeight w:val="90" w:hRule="atLeast"/>
        </w:trPr>
        <w:tc>
          <w:tcPr>
            <w:tcW w:w="3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台州市空间规划地理数据库（信创云版本）</w:t>
            </w:r>
          </w:p>
        </w:tc>
        <w:tc>
          <w:tcPr>
            <w:tcW w:w="1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1116"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三级</w:t>
            </w:r>
          </w:p>
        </w:tc>
        <w:tc>
          <w:tcPr>
            <w:tcW w:w="33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kern w:val="0"/>
                <w:sz w:val="24"/>
              </w:rPr>
            </w:pPr>
          </w:p>
        </w:tc>
      </w:tr>
      <w:tr>
        <w:tblPrEx>
          <w:tblCellMar>
            <w:top w:w="15" w:type="dxa"/>
            <w:left w:w="15" w:type="dxa"/>
            <w:bottom w:w="15" w:type="dxa"/>
            <w:right w:w="15" w:type="dxa"/>
          </w:tblCellMar>
        </w:tblPrEx>
        <w:trPr>
          <w:trHeight w:val="431" w:hRule="atLeast"/>
        </w:trPr>
        <w:tc>
          <w:tcPr>
            <w:tcW w:w="3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台州市地理信息公共服务平台</w:t>
            </w:r>
          </w:p>
        </w:tc>
        <w:tc>
          <w:tcPr>
            <w:tcW w:w="1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1116"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三级</w:t>
            </w:r>
          </w:p>
        </w:tc>
        <w:tc>
          <w:tcPr>
            <w:tcW w:w="33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涉及政务版和互联网版。</w:t>
            </w:r>
          </w:p>
        </w:tc>
      </w:tr>
      <w:tr>
        <w:tblPrEx>
          <w:shd w:val="clear" w:color="auto" w:fill="auto"/>
          <w:tblCellMar>
            <w:top w:w="15" w:type="dxa"/>
            <w:left w:w="15" w:type="dxa"/>
            <w:bottom w:w="15" w:type="dxa"/>
            <w:right w:w="15" w:type="dxa"/>
          </w:tblCellMar>
        </w:tblPrEx>
        <w:trPr>
          <w:trHeight w:val="749" w:hRule="atLeast"/>
        </w:trPr>
        <w:tc>
          <w:tcPr>
            <w:tcW w:w="3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台州市国土空间规划“一张图”实施监督信息系统（信创云版本）</w:t>
            </w:r>
          </w:p>
        </w:tc>
        <w:tc>
          <w:tcPr>
            <w:tcW w:w="1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1116"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三级</w:t>
            </w:r>
          </w:p>
        </w:tc>
        <w:tc>
          <w:tcPr>
            <w:tcW w:w="33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kern w:val="0"/>
                <w:sz w:val="24"/>
              </w:rPr>
            </w:pPr>
          </w:p>
        </w:tc>
      </w:tr>
      <w:tr>
        <w:tblPrEx>
          <w:shd w:val="clear" w:color="auto" w:fill="auto"/>
          <w:tblCellMar>
            <w:top w:w="15" w:type="dxa"/>
            <w:left w:w="15" w:type="dxa"/>
            <w:bottom w:w="15" w:type="dxa"/>
            <w:right w:w="15" w:type="dxa"/>
          </w:tblCellMar>
        </w:tblPrEx>
        <w:trPr>
          <w:trHeight w:val="510" w:hRule="atLeast"/>
        </w:trPr>
        <w:tc>
          <w:tcPr>
            <w:tcW w:w="3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台州市“土地综合整治”应用场景系统（信创云版本）</w:t>
            </w:r>
          </w:p>
        </w:tc>
        <w:tc>
          <w:tcPr>
            <w:tcW w:w="1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1116"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二级</w:t>
            </w:r>
          </w:p>
        </w:tc>
        <w:tc>
          <w:tcPr>
            <w:tcW w:w="33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kern w:val="0"/>
                <w:sz w:val="24"/>
              </w:rPr>
            </w:pPr>
          </w:p>
        </w:tc>
      </w:tr>
      <w:tr>
        <w:tblPrEx>
          <w:shd w:val="clear" w:color="auto" w:fill="auto"/>
          <w:tblCellMar>
            <w:top w:w="15" w:type="dxa"/>
            <w:left w:w="15" w:type="dxa"/>
            <w:bottom w:w="15" w:type="dxa"/>
            <w:right w:w="15" w:type="dxa"/>
          </w:tblCellMar>
        </w:tblPrEx>
        <w:trPr>
          <w:trHeight w:val="701" w:hRule="atLeast"/>
        </w:trPr>
        <w:tc>
          <w:tcPr>
            <w:tcW w:w="3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bCs/>
                <w:color w:val="000000"/>
                <w:kern w:val="0"/>
                <w:sz w:val="24"/>
              </w:rPr>
            </w:pPr>
            <w:r>
              <w:rPr>
                <w:rFonts w:hint="eastAsia" w:ascii="宋体" w:hAnsi="宋体" w:eastAsia="宋体" w:cs="宋体"/>
                <w:i w:val="0"/>
                <w:iCs w:val="0"/>
                <w:color w:val="000000"/>
                <w:kern w:val="0"/>
                <w:sz w:val="22"/>
                <w:szCs w:val="22"/>
                <w:u w:val="none"/>
                <w:lang w:val="en-US" w:eastAsia="zh-CN" w:bidi="ar"/>
              </w:rPr>
              <w:t>台州市耕地智保（信创云版本）</w:t>
            </w:r>
          </w:p>
        </w:tc>
        <w:tc>
          <w:tcPr>
            <w:tcW w:w="1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1116"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二级</w:t>
            </w:r>
          </w:p>
        </w:tc>
        <w:tc>
          <w:tcPr>
            <w:tcW w:w="33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kern w:val="0"/>
                <w:sz w:val="24"/>
              </w:rPr>
            </w:pPr>
          </w:p>
        </w:tc>
      </w:tr>
    </w:tbl>
    <w:p>
      <w:pPr>
        <w:spacing w:line="360" w:lineRule="auto"/>
        <w:rPr>
          <w:rFonts w:hint="eastAsia"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5.</w:t>
      </w:r>
      <w:bookmarkEnd w:id="8"/>
      <w:bookmarkEnd w:id="9"/>
      <w:r>
        <w:rPr>
          <w:rFonts w:hint="eastAsia" w:ascii="宋体" w:hAnsi="宋体"/>
          <w:color w:val="000000"/>
          <w:sz w:val="24"/>
        </w:rPr>
        <w:t>2信息系统安全服务具体内容</w:t>
      </w:r>
    </w:p>
    <w:p>
      <w:pPr>
        <w:spacing w:line="360" w:lineRule="auto"/>
        <w:ind w:firstLine="480" w:firstLineChars="200"/>
        <w:rPr>
          <w:rFonts w:ascii="宋体" w:hAnsi="宋体"/>
          <w:color w:val="000000"/>
          <w:sz w:val="24"/>
        </w:rPr>
      </w:pPr>
      <w:r>
        <w:rPr>
          <w:rFonts w:hint="eastAsia" w:ascii="宋体" w:hAnsi="宋体"/>
          <w:color w:val="000000"/>
          <w:sz w:val="24"/>
        </w:rPr>
        <w:t>5.2．1系统测评服务</w:t>
      </w:r>
    </w:p>
    <w:p>
      <w:pPr>
        <w:spacing w:line="360" w:lineRule="auto"/>
        <w:ind w:firstLine="480" w:firstLineChars="200"/>
        <w:rPr>
          <w:rFonts w:ascii="宋体" w:hAnsi="宋体"/>
          <w:color w:val="000000"/>
          <w:sz w:val="24"/>
        </w:rPr>
      </w:pPr>
      <w:r>
        <w:rPr>
          <w:rFonts w:hint="eastAsia" w:ascii="宋体" w:hAnsi="宋体"/>
          <w:color w:val="000000"/>
          <w:sz w:val="24"/>
        </w:rPr>
        <w:t>等级测评工作是本项目的重点，主要包括单元测评和整体测评，其中单元测评是对系统的物理安全、网络安全、主机安全、应用安全、数据安全及备份恢复、安全管理制度、安全管理机构、人员安全管理、系统建设管理和系统运维管理等的逐项测评；整体测评是在单元测评的基础上，通过进一步分析信息系统安全保护功能的整体相关性，对信息系统实施的综合安全测评。</w:t>
      </w:r>
    </w:p>
    <w:p>
      <w:pPr>
        <w:pStyle w:val="75"/>
        <w:adjustRightInd w:val="0"/>
        <w:snapToGrid w:val="0"/>
        <w:spacing w:line="360" w:lineRule="auto"/>
        <w:ind w:left="-8" w:leftChars="-3" w:firstLine="561"/>
        <w:rPr>
          <w:rFonts w:ascii="宋体" w:hAnsi="宋体" w:cs="宋体"/>
          <w:kern w:val="2"/>
          <w:sz w:val="24"/>
          <w:szCs w:val="24"/>
        </w:rPr>
      </w:pPr>
      <w:r>
        <w:rPr>
          <w:rFonts w:hint="eastAsia" w:ascii="宋体" w:hAnsi="宋体" w:cs="宋体"/>
          <w:kern w:val="2"/>
          <w:sz w:val="24"/>
          <w:szCs w:val="24"/>
        </w:rPr>
        <w:t>5.2.2等级保护整体测评要求</w:t>
      </w:r>
    </w:p>
    <w:p>
      <w:pPr>
        <w:pStyle w:val="75"/>
        <w:adjustRightInd w:val="0"/>
        <w:snapToGrid w:val="0"/>
        <w:spacing w:line="360" w:lineRule="auto"/>
        <w:ind w:left="-8" w:leftChars="-3" w:firstLine="561"/>
        <w:rPr>
          <w:rFonts w:ascii="宋体" w:hAnsi="宋体" w:cs="宋体"/>
          <w:kern w:val="2"/>
          <w:sz w:val="24"/>
          <w:szCs w:val="24"/>
        </w:rPr>
      </w:pPr>
      <w:r>
        <w:rPr>
          <w:rFonts w:hint="eastAsia" w:ascii="宋体" w:hAnsi="宋体" w:cs="宋体"/>
          <w:kern w:val="2"/>
          <w:sz w:val="24"/>
          <w:szCs w:val="24"/>
        </w:rPr>
        <w:t>1)投标人应在对本单位系统详细了解的基础上，编制针对性的等级保护测评整体投标人案，包括项目概述、等保测评范围和内容、项目实施流程、测试过程中需使用测试设备清单、时间安排、阶段性文档提交和验收标准等。</w:t>
      </w:r>
    </w:p>
    <w:p>
      <w:pPr>
        <w:pStyle w:val="75"/>
        <w:adjustRightInd w:val="0"/>
        <w:snapToGrid w:val="0"/>
        <w:spacing w:line="360" w:lineRule="auto"/>
        <w:ind w:left="-8" w:leftChars="-3" w:firstLine="561"/>
        <w:rPr>
          <w:rFonts w:ascii="宋体" w:hAnsi="宋体" w:cs="宋体"/>
          <w:kern w:val="2"/>
          <w:sz w:val="24"/>
          <w:szCs w:val="24"/>
        </w:rPr>
      </w:pPr>
      <w:r>
        <w:rPr>
          <w:rFonts w:hint="eastAsia" w:ascii="宋体" w:hAnsi="宋体" w:cs="宋体"/>
          <w:kern w:val="2"/>
          <w:sz w:val="24"/>
          <w:szCs w:val="24"/>
        </w:rPr>
        <w:t>2)投标人应详细描述测评人员的组成、资质及各自职责的划分。投标人应配置有经验的测评人员进行本次等级保护测评工作。</w:t>
      </w:r>
    </w:p>
    <w:p>
      <w:pPr>
        <w:pStyle w:val="75"/>
        <w:adjustRightInd w:val="0"/>
        <w:snapToGrid w:val="0"/>
        <w:spacing w:line="360" w:lineRule="auto"/>
        <w:ind w:left="-8" w:leftChars="-3" w:firstLine="561"/>
        <w:rPr>
          <w:rFonts w:ascii="宋体" w:hAnsi="宋体" w:cs="宋体"/>
          <w:kern w:val="2"/>
          <w:sz w:val="24"/>
          <w:szCs w:val="24"/>
        </w:rPr>
      </w:pPr>
      <w:r>
        <w:rPr>
          <w:rFonts w:hint="eastAsia" w:ascii="宋体" w:hAnsi="宋体" w:cs="宋体"/>
          <w:kern w:val="2"/>
          <w:sz w:val="24"/>
          <w:szCs w:val="24"/>
        </w:rPr>
        <w:t>3)本次等级保护测评实施过程中所使用到的各种工具软件由投标人推荐，经招标人确认后由投标人提供并在测评中使用。在投标文件中应详细描述所使用的安全测评工具（软硬件型号、功能和性能描述）、使用的方式和时间、对环境和平台的要求以及使用可能对系统造成的风险等。</w:t>
      </w:r>
    </w:p>
    <w:p>
      <w:pPr>
        <w:pStyle w:val="75"/>
        <w:adjustRightInd w:val="0"/>
        <w:snapToGrid w:val="0"/>
        <w:spacing w:line="360" w:lineRule="auto"/>
        <w:ind w:left="-8" w:leftChars="-3" w:firstLine="561"/>
        <w:rPr>
          <w:rFonts w:ascii="宋体" w:hAnsi="宋体" w:cs="宋体"/>
          <w:kern w:val="2"/>
          <w:sz w:val="24"/>
          <w:szCs w:val="24"/>
        </w:rPr>
      </w:pPr>
      <w:r>
        <w:rPr>
          <w:rFonts w:hint="eastAsia" w:ascii="宋体" w:hAnsi="宋体" w:cs="宋体"/>
          <w:kern w:val="2"/>
          <w:sz w:val="24"/>
          <w:szCs w:val="24"/>
        </w:rPr>
        <w:t>4)对于在测评过程中采用的测评方法、测评所使用的工具、测评所覆盖的各方面，需要符合信息安全等级保护主管部门要求，包括但不仅仅包括网络隐患检测工具、数据库漏洞检测工具、应用安全检测工具、网站安全检测工具等。</w:t>
      </w:r>
    </w:p>
    <w:p>
      <w:pPr>
        <w:pStyle w:val="75"/>
        <w:adjustRightInd w:val="0"/>
        <w:snapToGrid w:val="0"/>
        <w:spacing w:line="360" w:lineRule="auto"/>
        <w:ind w:left="-8" w:leftChars="-3" w:firstLine="561"/>
        <w:rPr>
          <w:rFonts w:ascii="宋体" w:hAnsi="宋体" w:cs="宋体"/>
          <w:kern w:val="2"/>
          <w:sz w:val="24"/>
          <w:szCs w:val="24"/>
        </w:rPr>
      </w:pPr>
      <w:r>
        <w:rPr>
          <w:rFonts w:hint="eastAsia" w:ascii="宋体" w:hAnsi="宋体" w:cs="宋体"/>
          <w:kern w:val="2"/>
          <w:sz w:val="24"/>
          <w:szCs w:val="24"/>
        </w:rPr>
        <w:t>5)安全测评工具软件运行可能需要的硬件平台（如笔记本电脑、PC、工作站等）和操作系统软件等由投标人推荐，经招标人确认后由投标人提供并在测评中使用。</w:t>
      </w:r>
    </w:p>
    <w:p>
      <w:pPr>
        <w:pStyle w:val="75"/>
        <w:adjustRightInd w:val="0"/>
        <w:snapToGrid w:val="0"/>
        <w:spacing w:line="360" w:lineRule="auto"/>
        <w:ind w:left="-8" w:leftChars="-3" w:firstLine="561"/>
        <w:rPr>
          <w:rFonts w:ascii="宋体" w:hAnsi="宋体" w:cs="宋体"/>
          <w:kern w:val="2"/>
          <w:sz w:val="24"/>
          <w:szCs w:val="24"/>
        </w:rPr>
      </w:pPr>
      <w:r>
        <w:rPr>
          <w:rFonts w:hint="eastAsia" w:ascii="宋体" w:hAnsi="宋体" w:cs="宋体"/>
          <w:kern w:val="2"/>
          <w:sz w:val="24"/>
          <w:szCs w:val="24"/>
        </w:rPr>
        <w:t>6)安全测评需要的运行环境（如场地、网络环境等）由招标人提供，投标人应详细描述需要的运行环境的具体要求。</w:t>
      </w:r>
    </w:p>
    <w:p>
      <w:pPr>
        <w:pStyle w:val="75"/>
        <w:adjustRightInd w:val="0"/>
        <w:snapToGrid w:val="0"/>
        <w:spacing w:line="360" w:lineRule="auto"/>
        <w:ind w:left="-8" w:leftChars="-3" w:firstLine="561"/>
        <w:rPr>
          <w:rFonts w:ascii="宋体" w:hAnsi="宋体" w:cs="宋体"/>
          <w:color w:val="000000"/>
          <w:kern w:val="2"/>
          <w:sz w:val="24"/>
          <w:szCs w:val="24"/>
        </w:rPr>
      </w:pPr>
      <w:r>
        <w:rPr>
          <w:rFonts w:hint="eastAsia" w:ascii="宋体" w:hAnsi="宋体" w:cs="宋体"/>
          <w:kern w:val="2"/>
          <w:sz w:val="24"/>
          <w:szCs w:val="24"/>
        </w:rPr>
        <w:t>7)项目完成后必须提交完整的技术文档、测评报告、整改建议等，并负责对相关人员进行培训。</w:t>
      </w:r>
    </w:p>
    <w:p>
      <w:pPr>
        <w:pStyle w:val="75"/>
        <w:adjustRightInd w:val="0"/>
        <w:snapToGrid w:val="0"/>
        <w:spacing w:line="360" w:lineRule="auto"/>
        <w:ind w:left="-8" w:leftChars="-3" w:firstLine="561"/>
        <w:rPr>
          <w:rFonts w:ascii="宋体" w:hAnsi="宋体" w:cs="宋体"/>
          <w:color w:val="000000"/>
          <w:kern w:val="2"/>
          <w:sz w:val="24"/>
          <w:szCs w:val="24"/>
        </w:rPr>
      </w:pPr>
      <w:r>
        <w:rPr>
          <w:rFonts w:hint="eastAsia" w:ascii="宋体" w:hAnsi="宋体" w:cs="宋体"/>
          <w:color w:val="000000"/>
          <w:kern w:val="2"/>
          <w:sz w:val="24"/>
          <w:szCs w:val="24"/>
        </w:rPr>
        <w:t>5.3 测评、安全检测实施要求</w:t>
      </w:r>
    </w:p>
    <w:p>
      <w:pPr>
        <w:pStyle w:val="75"/>
        <w:adjustRightInd w:val="0"/>
        <w:snapToGrid w:val="0"/>
        <w:spacing w:line="360" w:lineRule="auto"/>
        <w:ind w:left="-8" w:leftChars="-3" w:firstLine="561"/>
        <w:rPr>
          <w:rFonts w:ascii="宋体" w:hAnsi="宋体" w:cs="宋体"/>
          <w:kern w:val="2"/>
          <w:sz w:val="24"/>
          <w:szCs w:val="24"/>
        </w:rPr>
      </w:pPr>
      <w:r>
        <w:rPr>
          <w:rFonts w:hint="eastAsia" w:ascii="宋体" w:hAnsi="宋体" w:cs="宋体"/>
          <w:kern w:val="2"/>
          <w:sz w:val="24"/>
          <w:szCs w:val="24"/>
        </w:rPr>
        <w:t>1)投标人应保证投标项目在招标人条件成熟时应立即开展实施；</w:t>
      </w:r>
    </w:p>
    <w:p>
      <w:pPr>
        <w:pStyle w:val="75"/>
        <w:adjustRightInd w:val="0"/>
        <w:snapToGrid w:val="0"/>
        <w:spacing w:line="360" w:lineRule="auto"/>
        <w:ind w:left="-8" w:leftChars="-3" w:firstLine="561"/>
        <w:rPr>
          <w:rFonts w:ascii="宋体" w:hAnsi="宋体" w:cs="宋体"/>
          <w:kern w:val="2"/>
          <w:sz w:val="24"/>
          <w:szCs w:val="24"/>
        </w:rPr>
      </w:pPr>
      <w:r>
        <w:rPr>
          <w:rFonts w:hint="eastAsia" w:ascii="宋体" w:hAnsi="宋体" w:cs="宋体"/>
          <w:kern w:val="2"/>
          <w:sz w:val="24"/>
          <w:szCs w:val="24"/>
        </w:rPr>
        <w:t>2)投标人在项目实施过程中应服从招标人的统一领导和协调，招标人有权裁决投标人的责任范围，投标人必须执行，在招标人限定的时间内解决问题。如果投标人不能按时完成测评内容，招标人有权中止项目、索赔或拒付款项；</w:t>
      </w:r>
    </w:p>
    <w:p>
      <w:pPr>
        <w:pStyle w:val="75"/>
        <w:adjustRightInd w:val="0"/>
        <w:snapToGrid w:val="0"/>
        <w:spacing w:line="360" w:lineRule="auto"/>
        <w:ind w:left="-8" w:leftChars="-3" w:firstLine="561"/>
        <w:rPr>
          <w:rFonts w:ascii="宋体" w:hAnsi="宋体" w:cs="宋体"/>
          <w:kern w:val="2"/>
          <w:sz w:val="24"/>
          <w:szCs w:val="24"/>
        </w:rPr>
      </w:pPr>
      <w:r>
        <w:rPr>
          <w:rFonts w:hint="eastAsia" w:ascii="宋体" w:hAnsi="宋体" w:cs="宋体"/>
          <w:kern w:val="2"/>
          <w:sz w:val="24"/>
          <w:szCs w:val="24"/>
        </w:rPr>
        <w:t>3)投标人需根据自己的工程实施经验结合招标人的实际需求进一步细化和完善工作任务书，作为工程实施的指导性文件；</w:t>
      </w:r>
    </w:p>
    <w:p>
      <w:pPr>
        <w:pStyle w:val="75"/>
        <w:adjustRightInd w:val="0"/>
        <w:snapToGrid w:val="0"/>
        <w:spacing w:line="360" w:lineRule="auto"/>
        <w:ind w:left="-8" w:leftChars="-3" w:firstLine="561"/>
        <w:rPr>
          <w:rFonts w:ascii="宋体" w:hAnsi="宋体" w:cs="宋体"/>
          <w:kern w:val="2"/>
          <w:sz w:val="24"/>
          <w:szCs w:val="24"/>
        </w:rPr>
      </w:pPr>
      <w:r>
        <w:rPr>
          <w:rFonts w:hint="eastAsia" w:ascii="宋体" w:hAnsi="宋体" w:cs="宋体"/>
          <w:kern w:val="2"/>
          <w:sz w:val="24"/>
          <w:szCs w:val="24"/>
        </w:rPr>
        <w:t>4)投标人应根据招标人工作需求、进度要求、实际情况制定详细的项目实施管理规范和项目实施计划，对工程目标、工作任务、阶段性工作、项目组织机构、职责分工、项目进度、质量控制等内容进行详细的说明，以确保工程实施按时保质的完成；</w:t>
      </w:r>
    </w:p>
    <w:p>
      <w:pPr>
        <w:pStyle w:val="75"/>
        <w:adjustRightInd w:val="0"/>
        <w:snapToGrid w:val="0"/>
        <w:spacing w:line="360" w:lineRule="auto"/>
        <w:ind w:left="-8" w:leftChars="-3" w:firstLine="561"/>
        <w:rPr>
          <w:rFonts w:ascii="宋体" w:hAnsi="宋体" w:cs="宋体"/>
          <w:kern w:val="2"/>
          <w:sz w:val="24"/>
          <w:szCs w:val="24"/>
        </w:rPr>
      </w:pPr>
      <w:r>
        <w:rPr>
          <w:rFonts w:hint="eastAsia" w:ascii="宋体" w:hAnsi="宋体" w:cs="宋体"/>
          <w:kern w:val="2"/>
          <w:sz w:val="24"/>
          <w:szCs w:val="24"/>
        </w:rPr>
        <w:t>5.4 测评报告要求</w:t>
      </w:r>
    </w:p>
    <w:p>
      <w:pPr>
        <w:pStyle w:val="75"/>
        <w:adjustRightInd w:val="0"/>
        <w:snapToGrid w:val="0"/>
        <w:spacing w:line="360" w:lineRule="auto"/>
        <w:ind w:left="-8" w:leftChars="-3" w:firstLine="561"/>
        <w:rPr>
          <w:rFonts w:ascii="宋体" w:hAnsi="宋体" w:cs="宋体"/>
          <w:kern w:val="2"/>
          <w:sz w:val="24"/>
          <w:szCs w:val="24"/>
        </w:rPr>
      </w:pPr>
      <w:r>
        <w:rPr>
          <w:rFonts w:hint="eastAsia" w:ascii="宋体" w:hAnsi="宋体" w:cs="宋体"/>
          <w:kern w:val="2"/>
          <w:sz w:val="24"/>
          <w:szCs w:val="24"/>
        </w:rPr>
        <w:t>投标人应对招标人的各个信息系统进行等级保护测评，形成相应的报告。如果信息</w:t>
      </w:r>
      <w:r>
        <w:rPr>
          <w:rFonts w:ascii="宋体" w:hAnsi="宋体" w:cs="宋体"/>
          <w:kern w:val="2"/>
          <w:sz w:val="24"/>
          <w:szCs w:val="24"/>
        </w:rPr>
        <w:t>系统</w:t>
      </w:r>
      <w:r>
        <w:rPr>
          <w:rFonts w:hint="eastAsia" w:ascii="宋体" w:hAnsi="宋体" w:cs="宋体"/>
          <w:kern w:val="2"/>
          <w:sz w:val="24"/>
          <w:szCs w:val="24"/>
        </w:rPr>
        <w:t>有</w:t>
      </w:r>
      <w:r>
        <w:rPr>
          <w:rFonts w:ascii="宋体" w:hAnsi="宋体" w:cs="宋体"/>
          <w:kern w:val="2"/>
          <w:sz w:val="24"/>
          <w:szCs w:val="24"/>
        </w:rPr>
        <w:t>不同版本</w:t>
      </w:r>
      <w:r>
        <w:rPr>
          <w:rFonts w:hint="eastAsia" w:ascii="宋体" w:hAnsi="宋体" w:cs="宋体"/>
          <w:kern w:val="2"/>
          <w:sz w:val="24"/>
          <w:szCs w:val="24"/>
        </w:rPr>
        <w:t>（如信创云</w:t>
      </w:r>
      <w:r>
        <w:rPr>
          <w:rFonts w:ascii="宋体" w:hAnsi="宋体" w:cs="宋体"/>
          <w:kern w:val="2"/>
          <w:sz w:val="24"/>
          <w:szCs w:val="24"/>
        </w:rPr>
        <w:t>版本</w:t>
      </w:r>
      <w:r>
        <w:rPr>
          <w:rFonts w:hint="eastAsia" w:ascii="宋体" w:hAnsi="宋体" w:cs="宋体"/>
          <w:kern w:val="2"/>
          <w:sz w:val="24"/>
          <w:szCs w:val="24"/>
        </w:rPr>
        <w:t>），则需要出具对应</w:t>
      </w:r>
      <w:r>
        <w:rPr>
          <w:rFonts w:ascii="宋体" w:hAnsi="宋体" w:cs="宋体"/>
          <w:kern w:val="2"/>
          <w:sz w:val="24"/>
          <w:szCs w:val="24"/>
        </w:rPr>
        <w:t>数量的</w:t>
      </w:r>
      <w:r>
        <w:rPr>
          <w:rFonts w:hint="eastAsia" w:ascii="宋体" w:hAnsi="宋体" w:cs="宋体"/>
          <w:kern w:val="2"/>
          <w:sz w:val="24"/>
          <w:szCs w:val="24"/>
        </w:rPr>
        <w:t>各自</w:t>
      </w:r>
      <w:r>
        <w:rPr>
          <w:rFonts w:ascii="宋体" w:hAnsi="宋体" w:cs="宋体"/>
          <w:kern w:val="2"/>
          <w:sz w:val="24"/>
          <w:szCs w:val="24"/>
        </w:rPr>
        <w:t>版本的</w:t>
      </w:r>
      <w:r>
        <w:rPr>
          <w:rFonts w:hint="eastAsia" w:ascii="宋体" w:hAnsi="宋体" w:cs="宋体"/>
          <w:kern w:val="2"/>
          <w:sz w:val="24"/>
          <w:szCs w:val="24"/>
        </w:rPr>
        <w:t>测评</w:t>
      </w:r>
      <w:r>
        <w:rPr>
          <w:rFonts w:ascii="宋体" w:hAnsi="宋体" w:cs="宋体"/>
          <w:kern w:val="2"/>
          <w:sz w:val="24"/>
          <w:szCs w:val="24"/>
        </w:rPr>
        <w:t>报告。</w:t>
      </w:r>
    </w:p>
    <w:p>
      <w:pPr>
        <w:pStyle w:val="75"/>
        <w:adjustRightInd w:val="0"/>
        <w:snapToGrid w:val="0"/>
        <w:spacing w:line="360" w:lineRule="auto"/>
        <w:ind w:left="-8" w:leftChars="-3" w:firstLine="561"/>
        <w:rPr>
          <w:rFonts w:ascii="宋体" w:hAnsi="宋体" w:cs="宋体"/>
          <w:kern w:val="2"/>
          <w:sz w:val="24"/>
          <w:szCs w:val="24"/>
        </w:rPr>
      </w:pPr>
      <w:r>
        <w:rPr>
          <w:rFonts w:hint="eastAsia" w:ascii="宋体" w:hAnsi="宋体" w:cs="宋体"/>
          <w:kern w:val="2"/>
          <w:sz w:val="24"/>
          <w:szCs w:val="24"/>
        </w:rPr>
        <w:t>1)投标人在测评完成后，出具符合信息安全等级保护主管部门要求的信息系统安全等级保护测评符合性报告。</w:t>
      </w:r>
    </w:p>
    <w:p>
      <w:pPr>
        <w:pStyle w:val="75"/>
        <w:adjustRightInd w:val="0"/>
        <w:snapToGrid w:val="0"/>
        <w:spacing w:line="360" w:lineRule="auto"/>
        <w:ind w:left="-8" w:leftChars="-3" w:firstLine="561"/>
        <w:rPr>
          <w:rFonts w:ascii="宋体" w:hAnsi="宋体" w:cs="宋体"/>
          <w:kern w:val="2"/>
          <w:sz w:val="24"/>
          <w:szCs w:val="24"/>
        </w:rPr>
      </w:pPr>
      <w:r>
        <w:rPr>
          <w:rFonts w:hint="eastAsia" w:ascii="宋体" w:hAnsi="宋体" w:cs="宋体"/>
          <w:kern w:val="2"/>
          <w:sz w:val="24"/>
          <w:szCs w:val="24"/>
        </w:rPr>
        <w:t>2)对不符合信息安全等级保护有关管理规范和技术标准的，投标人出具可行的信息系统整改建议，并指导招标人完成整改。</w:t>
      </w:r>
    </w:p>
    <w:p>
      <w:pPr>
        <w:pStyle w:val="75"/>
        <w:adjustRightInd w:val="0"/>
        <w:snapToGrid w:val="0"/>
        <w:spacing w:line="360" w:lineRule="auto"/>
        <w:ind w:left="-8" w:leftChars="-3" w:firstLine="561"/>
        <w:rPr>
          <w:rFonts w:hint="eastAsia" w:ascii="宋体" w:hAnsi="宋体" w:cs="宋体"/>
          <w:kern w:val="2"/>
          <w:sz w:val="24"/>
          <w:szCs w:val="24"/>
        </w:rPr>
      </w:pPr>
      <w:r>
        <w:rPr>
          <w:rFonts w:hint="eastAsia" w:ascii="宋体" w:hAnsi="宋体" w:cs="宋体"/>
          <w:kern w:val="2"/>
          <w:sz w:val="24"/>
          <w:szCs w:val="24"/>
        </w:rPr>
        <w:t>3)投标人协助招标人办理信息系统安全等级保护备案手续等相关工作。</w:t>
      </w:r>
    </w:p>
    <w:p>
      <w:pPr>
        <w:pStyle w:val="75"/>
        <w:adjustRightInd w:val="0"/>
        <w:snapToGrid w:val="0"/>
        <w:spacing w:line="360" w:lineRule="auto"/>
        <w:ind w:left="-8" w:leftChars="-3" w:firstLine="561"/>
        <w:rPr>
          <w:rFonts w:hint="eastAsia" w:ascii="宋体" w:hAnsi="宋体" w:cs="宋体"/>
          <w:kern w:val="2"/>
          <w:sz w:val="24"/>
          <w:szCs w:val="24"/>
        </w:rPr>
      </w:pPr>
      <w:r>
        <w:rPr>
          <w:rFonts w:hint="eastAsia" w:ascii="宋体" w:hAnsi="宋体" w:cs="宋体"/>
          <w:kern w:val="2"/>
          <w:sz w:val="24"/>
          <w:szCs w:val="24"/>
        </w:rPr>
        <w:t>5.5保密要求</w:t>
      </w:r>
    </w:p>
    <w:p>
      <w:pPr>
        <w:pStyle w:val="75"/>
        <w:adjustRightInd w:val="0"/>
        <w:snapToGrid w:val="0"/>
        <w:spacing w:line="360" w:lineRule="auto"/>
        <w:ind w:left="-8" w:leftChars="-3" w:firstLine="561"/>
        <w:rPr>
          <w:rFonts w:hint="eastAsia" w:ascii="宋体" w:hAnsi="宋体" w:cs="宋体"/>
          <w:kern w:val="2"/>
          <w:sz w:val="24"/>
          <w:szCs w:val="24"/>
        </w:rPr>
      </w:pPr>
      <w:r>
        <w:rPr>
          <w:rFonts w:hint="eastAsia" w:ascii="宋体" w:hAnsi="宋体" w:cs="宋体"/>
          <w:kern w:val="2"/>
          <w:sz w:val="24"/>
          <w:szCs w:val="24"/>
        </w:rPr>
        <w:t>5.5.1投标人必须和招标人签订保密协议，投标人必须要与参加此次测评项目的所有项目组成员签订保密协议，在合同签定时一并提供给招标人。</w:t>
      </w:r>
    </w:p>
    <w:p>
      <w:pPr>
        <w:pStyle w:val="75"/>
        <w:adjustRightInd w:val="0"/>
        <w:snapToGrid w:val="0"/>
        <w:spacing w:line="360" w:lineRule="auto"/>
        <w:ind w:left="-8" w:leftChars="-3" w:firstLine="561"/>
        <w:rPr>
          <w:rFonts w:hint="eastAsia" w:ascii="宋体" w:hAnsi="宋体" w:cs="宋体"/>
          <w:kern w:val="2"/>
          <w:sz w:val="24"/>
          <w:szCs w:val="24"/>
        </w:rPr>
      </w:pPr>
      <w:r>
        <w:rPr>
          <w:rFonts w:hint="eastAsia" w:ascii="宋体" w:hAnsi="宋体" w:cs="宋体"/>
          <w:kern w:val="2"/>
          <w:sz w:val="24"/>
          <w:szCs w:val="24"/>
        </w:rPr>
        <w:t>5.5.2投标人具体测评工作和等级保护测评报告的编写，必须在招标人指定的地点进行。对于测评中的重要资料和结果，在测评期间和测评结束后，投标人不得带离该地点。</w:t>
      </w:r>
    </w:p>
    <w:p>
      <w:pPr>
        <w:pStyle w:val="75"/>
        <w:adjustRightInd w:val="0"/>
        <w:snapToGrid w:val="0"/>
        <w:spacing w:line="360" w:lineRule="auto"/>
        <w:ind w:left="-8" w:leftChars="-3" w:firstLine="561"/>
        <w:rPr>
          <w:rFonts w:hint="eastAsia" w:ascii="宋体" w:hAnsi="宋体" w:cs="宋体"/>
          <w:kern w:val="2"/>
          <w:sz w:val="24"/>
          <w:szCs w:val="24"/>
        </w:rPr>
      </w:pPr>
      <w:r>
        <w:rPr>
          <w:rFonts w:hint="eastAsia" w:ascii="宋体" w:hAnsi="宋体" w:cs="宋体"/>
          <w:kern w:val="2"/>
          <w:sz w:val="24"/>
          <w:szCs w:val="24"/>
        </w:rPr>
        <w:t>5.5.3投标人对本规范书中的内容及在应标过程中接触的设备信息、数据资料等负有保密责任，不得泄露给任何第三方。无论投标人中标与否，其对上述内容的保密责任将长期存在。</w:t>
      </w:r>
    </w:p>
    <w:p>
      <w:pPr>
        <w:pStyle w:val="75"/>
        <w:adjustRightInd w:val="0"/>
        <w:snapToGrid w:val="0"/>
        <w:spacing w:line="360" w:lineRule="auto"/>
        <w:ind w:left="-8" w:leftChars="-3" w:firstLine="561"/>
        <w:rPr>
          <w:rFonts w:hint="eastAsia" w:ascii="宋体" w:hAnsi="宋体" w:cs="宋体"/>
          <w:kern w:val="2"/>
          <w:sz w:val="24"/>
          <w:szCs w:val="24"/>
        </w:rPr>
      </w:pPr>
      <w:bookmarkStart w:id="10" w:name="_Toc404586149"/>
      <w:r>
        <w:rPr>
          <w:rFonts w:hint="eastAsia" w:ascii="宋体" w:hAnsi="宋体" w:cs="宋体"/>
          <w:kern w:val="2"/>
          <w:sz w:val="24"/>
          <w:szCs w:val="24"/>
        </w:rPr>
        <w:t>5.6其它服务要求</w:t>
      </w:r>
    </w:p>
    <w:p>
      <w:pPr>
        <w:pStyle w:val="75"/>
        <w:adjustRightInd w:val="0"/>
        <w:snapToGrid w:val="0"/>
        <w:spacing w:line="360" w:lineRule="auto"/>
        <w:ind w:left="-8" w:leftChars="-3" w:firstLine="561"/>
        <w:rPr>
          <w:rFonts w:hint="eastAsia" w:ascii="宋体" w:hAnsi="宋体" w:cs="宋体"/>
          <w:kern w:val="2"/>
          <w:sz w:val="24"/>
          <w:szCs w:val="24"/>
        </w:rPr>
      </w:pPr>
      <w:r>
        <w:rPr>
          <w:rFonts w:hint="eastAsia" w:ascii="宋体" w:hAnsi="宋体" w:cs="宋体"/>
          <w:kern w:val="2"/>
          <w:sz w:val="24"/>
          <w:szCs w:val="24"/>
        </w:rPr>
        <w:t>5.6.1系统定级</w:t>
      </w:r>
    </w:p>
    <w:p>
      <w:pPr>
        <w:spacing w:line="360" w:lineRule="auto"/>
        <w:ind w:firstLine="480" w:firstLineChars="200"/>
        <w:rPr>
          <w:rFonts w:ascii="宋体" w:hAnsi="宋体" w:cs="宋体"/>
          <w:sz w:val="24"/>
        </w:rPr>
      </w:pPr>
      <w:r>
        <w:rPr>
          <w:rFonts w:hint="eastAsia" w:ascii="宋体" w:hAnsi="宋体" w:cs="宋体"/>
          <w:sz w:val="24"/>
        </w:rPr>
        <w:t>根据《信息系统安全等级保护定级指南》等要求，投标人需对招标人的各类重要信息系统进行梳理分析，确定各信息系统安全保护等级，制订各系统《信息安全等级保护定级报告》。</w:t>
      </w:r>
    </w:p>
    <w:p>
      <w:pPr>
        <w:spacing w:line="360" w:lineRule="auto"/>
        <w:ind w:firstLine="480" w:firstLineChars="200"/>
        <w:rPr>
          <w:rFonts w:ascii="宋体" w:hAnsi="宋体" w:cs="宋体"/>
          <w:sz w:val="24"/>
        </w:rPr>
      </w:pPr>
      <w:r>
        <w:rPr>
          <w:rFonts w:hint="eastAsia" w:ascii="宋体" w:hAnsi="宋体" w:cs="宋体"/>
          <w:sz w:val="24"/>
        </w:rPr>
        <w:t>5.6.2安全整改</w:t>
      </w:r>
      <w:bookmarkEnd w:id="10"/>
    </w:p>
    <w:p>
      <w:pPr>
        <w:spacing w:line="360" w:lineRule="auto"/>
        <w:ind w:firstLine="480" w:firstLineChars="200"/>
        <w:rPr>
          <w:rFonts w:ascii="宋体" w:hAnsi="宋体" w:cs="宋体"/>
          <w:sz w:val="24"/>
        </w:rPr>
      </w:pPr>
      <w:r>
        <w:rPr>
          <w:rFonts w:hint="eastAsia" w:ascii="宋体" w:hAnsi="宋体" w:cs="宋体"/>
          <w:sz w:val="24"/>
        </w:rPr>
        <w:t>在开展等级测评过程中，会发现信息系统存在的问题，需由投标人出具《信息系统安全整改建议》并指导用户单位、系统开发商、集成商、设备厂商、安全服务商等进行整改。</w:t>
      </w:r>
    </w:p>
    <w:p>
      <w:pPr>
        <w:spacing w:line="360" w:lineRule="auto"/>
        <w:ind w:firstLine="480" w:firstLineChars="200"/>
        <w:rPr>
          <w:rFonts w:ascii="宋体" w:hAnsi="宋体" w:cs="宋体"/>
          <w:sz w:val="24"/>
        </w:rPr>
      </w:pPr>
      <w:r>
        <w:rPr>
          <w:rFonts w:hint="eastAsia" w:ascii="宋体" w:hAnsi="宋体" w:cs="宋体"/>
          <w:sz w:val="24"/>
        </w:rPr>
        <w:t>5.6.3系统备案</w:t>
      </w:r>
    </w:p>
    <w:p>
      <w:pPr>
        <w:spacing w:line="360" w:lineRule="auto"/>
        <w:ind w:firstLine="480" w:firstLineChars="200"/>
        <w:rPr>
          <w:rFonts w:ascii="宋体" w:hAnsi="宋体" w:cs="宋体"/>
          <w:sz w:val="24"/>
        </w:rPr>
      </w:pPr>
      <w:r>
        <w:rPr>
          <w:rFonts w:hint="eastAsia" w:ascii="宋体" w:hAnsi="宋体" w:cs="宋体"/>
          <w:sz w:val="24"/>
        </w:rPr>
        <w:t>▲投标人须结合国家、省有关要求，对招标人的重要信息系统测评完成后出具《等级测评报告》和《整改意见书》后，完成于台州市自然资源和规划信息中心备案。</w:t>
      </w:r>
    </w:p>
    <w:p>
      <w:pPr>
        <w:shd w:val="clear"/>
        <w:spacing w:line="360" w:lineRule="auto"/>
        <w:ind w:firstLine="480" w:firstLineChars="200"/>
        <w:rPr>
          <w:rFonts w:ascii="宋体" w:hAnsi="宋体" w:cs="宋体"/>
          <w:sz w:val="24"/>
        </w:rPr>
      </w:pPr>
      <w:r>
        <w:rPr>
          <w:rFonts w:hint="eastAsia" w:ascii="宋体" w:hAnsi="宋体" w:cs="宋体"/>
          <w:sz w:val="24"/>
        </w:rPr>
        <w:t>5.6.4投标人所有系统测评</w:t>
      </w:r>
      <w:r>
        <w:rPr>
          <w:rFonts w:hint="eastAsia" w:ascii="宋体" w:hAnsi="宋体" w:cs="宋体"/>
          <w:sz w:val="24"/>
          <w:lang w:eastAsia="zh-CN"/>
        </w:rPr>
        <w:t>符合率</w:t>
      </w:r>
      <w:r>
        <w:rPr>
          <w:rFonts w:hint="eastAsia" w:ascii="宋体" w:hAnsi="宋体" w:cs="宋体"/>
          <w:sz w:val="24"/>
        </w:rPr>
        <w:t>需达到</w:t>
      </w:r>
      <w:r>
        <w:rPr>
          <w:rFonts w:hint="eastAsia" w:ascii="宋体" w:hAnsi="宋体" w:cs="宋体"/>
          <w:sz w:val="24"/>
          <w:lang w:val="en-US" w:eastAsia="zh-CN"/>
        </w:rPr>
        <w:t>60%</w:t>
      </w:r>
      <w:r>
        <w:rPr>
          <w:rFonts w:hint="eastAsia" w:ascii="宋体" w:hAnsi="宋体" w:cs="宋体"/>
          <w:sz w:val="24"/>
        </w:rPr>
        <w:t>及以上，如未达到，则需提出整改意见并配合招标人进行整改。</w:t>
      </w:r>
    </w:p>
    <w:p>
      <w:pPr>
        <w:shd w:val="clear"/>
        <w:tabs>
          <w:tab w:val="left" w:pos="8280"/>
        </w:tabs>
        <w:autoSpaceDE w:val="0"/>
        <w:autoSpaceDN w:val="0"/>
        <w:adjustRightInd w:val="0"/>
        <w:spacing w:line="360" w:lineRule="auto"/>
        <w:ind w:right="25"/>
        <w:rPr>
          <w:rFonts w:ascii="宋体"/>
          <w:b/>
          <w:color w:val="000000"/>
          <w:kern w:val="0"/>
          <w:sz w:val="24"/>
        </w:rPr>
      </w:pPr>
      <w:r>
        <w:rPr>
          <w:rFonts w:hint="eastAsia" w:ascii="宋体"/>
          <w:b/>
          <w:color w:val="000000"/>
          <w:kern w:val="0"/>
          <w:sz w:val="24"/>
        </w:rPr>
        <w:t>6、服务期</w:t>
      </w:r>
    </w:p>
    <w:p>
      <w:pPr>
        <w:shd w:val="clear"/>
        <w:snapToGrid w:val="0"/>
        <w:spacing w:line="360" w:lineRule="auto"/>
        <w:ind w:firstLine="420"/>
        <w:rPr>
          <w:rFonts w:ascii="宋体" w:hAnsi="宋体" w:cs="宋体"/>
          <w:sz w:val="24"/>
        </w:rPr>
      </w:pPr>
      <w:r>
        <w:rPr>
          <w:rFonts w:hint="eastAsia" w:ascii="宋体" w:hAnsi="宋体" w:cs="宋体"/>
          <w:sz w:val="24"/>
        </w:rPr>
        <w:t>本项目</w:t>
      </w:r>
      <w:r>
        <w:rPr>
          <w:rFonts w:ascii="宋体" w:hAnsi="宋体" w:cs="宋体"/>
          <w:sz w:val="24"/>
        </w:rPr>
        <w:t>服务</w:t>
      </w:r>
      <w:r>
        <w:rPr>
          <w:rFonts w:hint="eastAsia" w:ascii="宋体" w:hAnsi="宋体" w:cs="宋体"/>
          <w:sz w:val="24"/>
        </w:rPr>
        <w:t>期</w:t>
      </w:r>
      <w:r>
        <w:rPr>
          <w:rFonts w:ascii="宋体" w:hAnsi="宋体" w:cs="宋体"/>
          <w:sz w:val="24"/>
        </w:rPr>
        <w:t>从合同签订之日</w:t>
      </w:r>
      <w:r>
        <w:rPr>
          <w:rFonts w:hint="eastAsia" w:ascii="宋体" w:hAnsi="宋体" w:cs="宋体"/>
          <w:sz w:val="24"/>
        </w:rPr>
        <w:t>起至202</w:t>
      </w:r>
      <w:r>
        <w:rPr>
          <w:rFonts w:hint="eastAsia" w:ascii="宋体" w:hAnsi="宋体" w:cs="宋体"/>
          <w:sz w:val="24"/>
          <w:lang w:val="en-US" w:eastAsia="zh-CN"/>
        </w:rPr>
        <w:t>5</w:t>
      </w:r>
      <w:r>
        <w:rPr>
          <w:rFonts w:hint="eastAsia" w:ascii="宋体" w:hAnsi="宋体" w:cs="宋体"/>
          <w:sz w:val="24"/>
        </w:rPr>
        <w:t>年12月</w:t>
      </w:r>
      <w:r>
        <w:rPr>
          <w:rFonts w:hint="eastAsia" w:ascii="宋体" w:hAnsi="宋体" w:cs="宋体"/>
          <w:sz w:val="24"/>
          <w:lang w:val="en-US" w:eastAsia="zh-CN"/>
        </w:rPr>
        <w:t>5</w:t>
      </w:r>
      <w:r>
        <w:rPr>
          <w:rFonts w:hint="eastAsia" w:ascii="宋体" w:hAnsi="宋体" w:cs="宋体"/>
          <w:sz w:val="24"/>
        </w:rPr>
        <w:t>日。</w:t>
      </w:r>
    </w:p>
    <w:p>
      <w:pPr>
        <w:pageBreakBefore w:val="0"/>
        <w:kinsoku/>
        <w:wordWrap/>
        <w:overflowPunct/>
        <w:topLinePunct w:val="0"/>
        <w:bidi w:val="0"/>
        <w:snapToGrid w:val="0"/>
        <w:spacing w:line="300" w:lineRule="auto"/>
        <w:ind w:firstLine="210" w:firstLineChars="100"/>
        <w:rPr>
          <w:rFonts w:hint="eastAsia" w:ascii="宋体" w:hAnsi="宋体" w:eastAsia="宋体" w:cs="宋体"/>
          <w:sz w:val="21"/>
          <w:szCs w:val="21"/>
          <w:lang w:val="en-US" w:eastAsia="zh-CN"/>
        </w:rPr>
      </w:pPr>
    </w:p>
    <w:p>
      <w:pPr>
        <w:pageBreakBefore w:val="0"/>
        <w:kinsoku/>
        <w:wordWrap/>
        <w:overflowPunct/>
        <w:topLinePunct w:val="0"/>
        <w:bidi w:val="0"/>
        <w:snapToGrid w:val="0"/>
        <w:spacing w:line="300" w:lineRule="auto"/>
        <w:ind w:firstLine="210" w:firstLineChars="100"/>
        <w:rPr>
          <w:rFonts w:hint="eastAsia" w:ascii="宋体" w:hAnsi="宋体" w:eastAsia="宋体" w:cs="宋体"/>
          <w:sz w:val="21"/>
          <w:szCs w:val="21"/>
        </w:rPr>
      </w:pPr>
    </w:p>
    <w:p>
      <w:pPr>
        <w:snapToGrid w:val="0"/>
        <w:spacing w:before="156" w:beforeLines="50" w:after="156" w:afterLines="50" w:line="360" w:lineRule="auto"/>
        <w:jc w:val="center"/>
        <w:rPr>
          <w:rFonts w:ascii="宋体" w:hAnsi="宋体"/>
          <w:color w:val="auto"/>
          <w:sz w:val="30"/>
          <w:szCs w:val="30"/>
          <w:highlight w:val="none"/>
        </w:rPr>
      </w:pPr>
    </w:p>
    <w:p>
      <w:pPr>
        <w:pStyle w:val="14"/>
        <w:rPr>
          <w:rFonts w:ascii="宋体" w:hAnsi="宋体"/>
          <w:color w:val="auto"/>
          <w:sz w:val="30"/>
          <w:szCs w:val="30"/>
          <w:highlight w:val="none"/>
        </w:rPr>
      </w:pPr>
    </w:p>
    <w:p>
      <w:pPr>
        <w:pStyle w:val="15"/>
        <w:rPr>
          <w:rFonts w:ascii="宋体" w:hAnsi="宋体"/>
          <w:color w:val="auto"/>
          <w:sz w:val="30"/>
          <w:szCs w:val="30"/>
          <w:highlight w:val="none"/>
        </w:rPr>
      </w:pPr>
    </w:p>
    <w:p>
      <w:pPr>
        <w:pStyle w:val="15"/>
        <w:ind w:left="0" w:leftChars="0" w:firstLine="0" w:firstLineChars="0"/>
      </w:pPr>
    </w:p>
    <w:p/>
    <w:p/>
    <w:p/>
    <w:p/>
    <w:p/>
    <w:p/>
    <w:p/>
    <w:p/>
    <w:p/>
    <w:p/>
    <w:p>
      <w:pPr>
        <w:snapToGrid w:val="0"/>
        <w:spacing w:before="156" w:beforeLines="50" w:after="156" w:afterLines="50" w:line="360" w:lineRule="auto"/>
        <w:jc w:val="center"/>
        <w:rPr>
          <w:rFonts w:ascii="宋体" w:hAnsi="宋体"/>
          <w:color w:val="auto"/>
          <w:sz w:val="30"/>
          <w:szCs w:val="30"/>
          <w:highlight w:val="none"/>
        </w:rPr>
      </w:pPr>
    </w:p>
    <w:p>
      <w:pPr>
        <w:snapToGrid w:val="0"/>
        <w:spacing w:before="156" w:beforeLines="50" w:after="156" w:afterLines="50" w:line="360" w:lineRule="auto"/>
        <w:jc w:val="center"/>
        <w:rPr>
          <w:rFonts w:ascii="宋体" w:hAnsi="宋体"/>
          <w:color w:val="auto"/>
          <w:sz w:val="30"/>
          <w:szCs w:val="30"/>
          <w:highlight w:val="none"/>
        </w:rPr>
      </w:pPr>
    </w:p>
    <w:p>
      <w:pPr>
        <w:snapToGrid w:val="0"/>
        <w:spacing w:before="156" w:beforeLines="50" w:after="156" w:afterLines="50" w:line="360" w:lineRule="auto"/>
        <w:jc w:val="center"/>
        <w:rPr>
          <w:rFonts w:ascii="宋体" w:hAnsi="宋体"/>
          <w:color w:val="auto"/>
          <w:sz w:val="30"/>
          <w:szCs w:val="30"/>
          <w:highlight w:val="none"/>
        </w:rPr>
      </w:pPr>
    </w:p>
    <w:p>
      <w:pPr>
        <w:snapToGrid w:val="0"/>
        <w:spacing w:before="156" w:beforeLines="50" w:after="156" w:afterLines="50" w:line="360" w:lineRule="auto"/>
        <w:jc w:val="center"/>
        <w:rPr>
          <w:rFonts w:ascii="宋体" w:hAnsi="宋体"/>
          <w:color w:val="auto"/>
          <w:sz w:val="30"/>
          <w:szCs w:val="30"/>
          <w:highlight w:val="none"/>
        </w:rPr>
      </w:pPr>
      <w:r>
        <w:rPr>
          <w:rFonts w:ascii="宋体" w:hAnsi="宋体"/>
          <w:color w:val="auto"/>
          <w:sz w:val="30"/>
          <w:szCs w:val="30"/>
          <w:highlight w:val="none"/>
        </w:rPr>
        <w:t xml:space="preserve">第三章  </w:t>
      </w:r>
      <w:r>
        <w:rPr>
          <w:rFonts w:hint="eastAsia" w:ascii="宋体" w:hAnsi="宋体"/>
          <w:color w:val="auto"/>
          <w:sz w:val="30"/>
          <w:szCs w:val="30"/>
          <w:highlight w:val="none"/>
          <w:lang w:eastAsia="zh-CN"/>
        </w:rPr>
        <w:t>供应商</w:t>
      </w:r>
      <w:r>
        <w:rPr>
          <w:rFonts w:ascii="宋体" w:hAnsi="宋体"/>
          <w:color w:val="auto"/>
          <w:sz w:val="30"/>
          <w:szCs w:val="30"/>
          <w:highlight w:val="none"/>
        </w:rPr>
        <w:t>须知</w:t>
      </w:r>
    </w:p>
    <w:p>
      <w:pPr>
        <w:snapToGrid w:val="0"/>
        <w:spacing w:before="156" w:beforeLines="50" w:after="156" w:afterLines="50" w:line="360" w:lineRule="auto"/>
        <w:ind w:left="238"/>
        <w:jc w:val="center"/>
        <w:outlineLvl w:val="1"/>
        <w:rPr>
          <w:rFonts w:ascii="宋体" w:hAnsi="宋体"/>
          <w:b/>
          <w:color w:val="auto"/>
          <w:szCs w:val="28"/>
          <w:highlight w:val="none"/>
        </w:rPr>
      </w:pPr>
      <w:r>
        <w:rPr>
          <w:rFonts w:hint="eastAsia" w:ascii="宋体" w:hAnsi="宋体"/>
          <w:b/>
          <w:color w:val="auto"/>
          <w:szCs w:val="28"/>
          <w:highlight w:val="none"/>
        </w:rPr>
        <w:t>前 附 表</w:t>
      </w:r>
    </w:p>
    <w:tbl>
      <w:tblPr>
        <w:tblStyle w:val="39"/>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ascii="宋体" w:hAnsi="宋体"/>
                <w:color w:val="auto"/>
                <w:sz w:val="24"/>
                <w:szCs w:val="24"/>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200" w:hanging="1200" w:hangingChars="5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项目名称：</w:t>
            </w:r>
            <w:r>
              <w:rPr>
                <w:rFonts w:hint="eastAsia" w:ascii="宋体" w:hAnsi="宋体"/>
                <w:bCs/>
                <w:color w:val="auto"/>
                <w:sz w:val="24"/>
                <w:szCs w:val="24"/>
                <w:highlight w:val="none"/>
                <w:u w:val="single"/>
                <w:lang w:eastAsia="zh-CN"/>
              </w:rPr>
              <w:t>自然资源和规划信息系统安全等保测评项目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ascii="宋体" w:hAnsi="宋体"/>
                <w:color w:val="auto"/>
                <w:sz w:val="24"/>
                <w:szCs w:val="24"/>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采购</w:t>
            </w:r>
            <w:r>
              <w:rPr>
                <w:rFonts w:hint="eastAsia" w:ascii="宋体" w:hAnsi="宋体"/>
                <w:color w:val="auto"/>
                <w:sz w:val="24"/>
                <w:szCs w:val="24"/>
                <w:highlight w:val="none"/>
                <w:lang w:val="en-US" w:eastAsia="zh-CN"/>
              </w:rPr>
              <w:t>内容</w:t>
            </w:r>
            <w:r>
              <w:rPr>
                <w:rFonts w:hint="eastAsia" w:ascii="宋体" w:hAnsi="宋体"/>
                <w:color w:val="auto"/>
                <w:sz w:val="24"/>
                <w:szCs w:val="24"/>
                <w:highlight w:val="none"/>
              </w:rPr>
              <w:t>：详见第二章</w:t>
            </w:r>
            <w:r>
              <w:rPr>
                <w:rFonts w:hint="eastAsia" w:ascii="宋体" w:hAnsi="宋体"/>
                <w:color w:val="auto"/>
                <w:sz w:val="24"/>
                <w:szCs w:val="24"/>
                <w:highlight w:val="none"/>
                <w:lang w:val="en-US" w:eastAsia="zh-CN"/>
              </w:rPr>
              <w:t>招标需求</w:t>
            </w:r>
          </w:p>
          <w:p>
            <w:pPr>
              <w:snapToGrid w:val="0"/>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采购单位：</w:t>
            </w:r>
            <w:r>
              <w:rPr>
                <w:rFonts w:hint="eastAsia" w:ascii="宋体" w:hAnsi="宋体"/>
                <w:bCs/>
                <w:color w:val="auto"/>
                <w:sz w:val="24"/>
                <w:szCs w:val="24"/>
                <w:highlight w:val="none"/>
                <w:lang w:eastAsia="zh-CN"/>
              </w:rPr>
              <w:t>台州市自然资源和规划信息中心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ascii="宋体" w:hAnsi="宋体"/>
                <w:color w:val="auto"/>
                <w:sz w:val="24"/>
                <w:szCs w:val="24"/>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投标报价及费用：</w:t>
            </w:r>
          </w:p>
          <w:p>
            <w:pPr>
              <w:snapToGrid w:val="0"/>
              <w:spacing w:line="360" w:lineRule="auto"/>
              <w:rPr>
                <w:rFonts w:hint="eastAsia"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、本项目投标应以人民币报价；</w:t>
            </w:r>
          </w:p>
          <w:p>
            <w:pPr>
              <w:numPr>
                <w:ilvl w:val="0"/>
                <w:numId w:val="5"/>
              </w:numPr>
              <w:snapToGrid w:val="0"/>
              <w:spacing w:line="360" w:lineRule="auto"/>
              <w:rPr>
                <w:rFonts w:hint="eastAsia" w:ascii="宋体" w:hAnsi="宋体"/>
                <w:color w:val="auto"/>
                <w:sz w:val="24"/>
                <w:szCs w:val="24"/>
                <w:highlight w:val="none"/>
                <w:lang w:eastAsia="zh-CN"/>
              </w:rPr>
            </w:pPr>
            <w:r>
              <w:rPr>
                <w:rFonts w:hint="eastAsia" w:ascii="宋体" w:hAnsi="宋体"/>
                <w:color w:val="auto"/>
                <w:sz w:val="24"/>
                <w:szCs w:val="24"/>
                <w:highlight w:val="none"/>
              </w:rPr>
              <w:t>不论投标结果如何，</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均应自行承担所有与投标有关的全部费用</w:t>
            </w:r>
            <w:r>
              <w:rPr>
                <w:rFonts w:hint="eastAsia" w:ascii="宋体" w:hAnsi="宋体"/>
                <w:color w:val="auto"/>
                <w:sz w:val="24"/>
                <w:szCs w:val="24"/>
                <w:highlight w:val="none"/>
                <w:lang w:eastAsia="zh-CN"/>
              </w:rPr>
              <w:t>；</w:t>
            </w:r>
          </w:p>
          <w:p>
            <w:pPr>
              <w:numPr>
                <w:ilvl w:val="0"/>
                <w:numId w:val="5"/>
              </w:numPr>
              <w:snapToGrid w:val="0"/>
              <w:spacing w:line="360" w:lineRule="auto"/>
              <w:rPr>
                <w:rFonts w:ascii="宋体" w:hAnsi="宋体"/>
                <w:color w:val="auto"/>
                <w:sz w:val="24"/>
                <w:szCs w:val="24"/>
                <w:highlight w:val="none"/>
              </w:rPr>
            </w:pPr>
            <w:r>
              <w:rPr>
                <w:rFonts w:hint="eastAsia" w:ascii="宋体" w:hAnsi="宋体"/>
                <w:color w:val="auto"/>
                <w:sz w:val="24"/>
                <w:szCs w:val="24"/>
                <w:highlight w:val="none"/>
                <w:lang w:val="en-US" w:eastAsia="zh-CN"/>
              </w:rPr>
              <w:t>本项目招标代理服务费4000元由成交供应商支付，请各供应商报价时综合考虑。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ascii="宋体" w:hAnsi="宋体"/>
                <w:color w:val="auto"/>
                <w:sz w:val="24"/>
                <w:szCs w:val="24"/>
                <w:highlight w:val="none"/>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投标保证金：本项目不设置投标保证金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ascii="宋体" w:hAnsi="宋体"/>
                <w:color w:val="auto"/>
                <w:sz w:val="24"/>
                <w:szCs w:val="24"/>
                <w:highlight w:val="none"/>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现场踏勘：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ascii="宋体" w:hAnsi="宋体"/>
                <w:color w:val="auto"/>
                <w:sz w:val="24"/>
                <w:szCs w:val="24"/>
                <w:highlight w:val="none"/>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质疑</w:t>
            </w:r>
            <w:r>
              <w:rPr>
                <w:rFonts w:hint="eastAsia" w:ascii="宋体" w:hAnsi="宋体"/>
                <w:color w:val="auto"/>
                <w:sz w:val="24"/>
                <w:szCs w:val="24"/>
                <w:highlight w:val="none"/>
              </w:rPr>
              <w:t>与</w:t>
            </w:r>
            <w:r>
              <w:rPr>
                <w:rFonts w:hint="eastAsia" w:ascii="宋体" w:hAnsi="宋体"/>
                <w:color w:val="auto"/>
                <w:sz w:val="24"/>
                <w:szCs w:val="24"/>
                <w:highlight w:val="none"/>
                <w:lang w:val="en-US" w:eastAsia="zh-CN"/>
              </w:rPr>
              <w:t>答复</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供应商认为采购文件、采购过程、中标或者成交结果使自己的权益受到损害的，可以在知道或者应知其权益受到损害之日起7个工作日内，以书面形式向采购人、采购代理机构提出质疑。供应商在法定质疑期内一次性提出针对同一采购程序环节的质疑。提出质疑的供应商应当是参与所质疑项目采购活动的供应商。采购人、采购代理机构不得拒收质疑供应商在法定质疑期内发出的质疑函，应当在收到质疑函后7个工作日内作出答复，并以书面形式通知质疑供应商和其他有关供应商</w:t>
            </w:r>
            <w:r>
              <w:rPr>
                <w:rFonts w:hint="eastAsia" w:ascii="宋体" w:hAnsi="宋体"/>
                <w:color w:val="auto"/>
                <w:sz w:val="24"/>
                <w:szCs w:val="24"/>
                <w:highlight w:val="none"/>
              </w:rPr>
              <w:t>。</w:t>
            </w:r>
          </w:p>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书面质疑接收人：徐瑜</w:t>
            </w:r>
          </w:p>
          <w:p>
            <w:pPr>
              <w:snapToGrid w:val="0"/>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联系电话：</w:t>
            </w:r>
            <w:r>
              <w:rPr>
                <w:rFonts w:hint="eastAsia" w:ascii="宋体" w:hAnsi="宋体"/>
                <w:color w:val="auto"/>
                <w:sz w:val="24"/>
                <w:szCs w:val="24"/>
                <w:highlight w:val="none"/>
                <w:lang w:eastAsia="zh-CN"/>
              </w:rPr>
              <w:t>0576-8851778</w:t>
            </w:r>
            <w:r>
              <w:rPr>
                <w:rFonts w:hint="eastAsia" w:ascii="宋体" w:hAnsi="宋体"/>
                <w:color w:val="auto"/>
                <w:sz w:val="24"/>
                <w:szCs w:val="24"/>
                <w:highlight w:val="none"/>
                <w:lang w:val="en-US" w:eastAsia="zh-CN"/>
              </w:rPr>
              <w:t>6</w:t>
            </w:r>
          </w:p>
          <w:p>
            <w:pPr>
              <w:snapToGrid w:val="0"/>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书面质疑接收地址：</w:t>
            </w:r>
            <w:r>
              <w:rPr>
                <w:rFonts w:hint="eastAsia" w:ascii="宋体" w:hAnsi="宋体"/>
                <w:color w:val="auto"/>
                <w:sz w:val="24"/>
                <w:szCs w:val="24"/>
                <w:highlight w:val="none"/>
                <w:lang w:eastAsia="zh-CN"/>
              </w:rPr>
              <w:t>浙江省台州市椒江区市府大道507号台州国际商务广场1幢</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ascii="宋体" w:hAnsi="宋体"/>
                <w:color w:val="auto"/>
                <w:sz w:val="24"/>
                <w:szCs w:val="24"/>
                <w:highlight w:val="none"/>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szCs w:val="24"/>
                <w:highlight w:val="none"/>
              </w:rPr>
            </w:pPr>
            <w:r>
              <w:rPr>
                <w:rFonts w:hint="eastAsia" w:ascii="宋体" w:hAnsi="宋体"/>
                <w:color w:val="auto"/>
                <w:sz w:val="24"/>
                <w:szCs w:val="24"/>
                <w:highlight w:val="none"/>
              </w:rPr>
              <w:t>投标文件组成：</w:t>
            </w:r>
            <w:r>
              <w:rPr>
                <w:rFonts w:hint="eastAsia" w:ascii="宋体" w:hAnsi="宋体"/>
                <w:color w:val="auto"/>
                <w:sz w:val="24"/>
                <w:szCs w:val="24"/>
                <w:highlight w:val="none"/>
                <w:lang w:val="en-US" w:eastAsia="zh-CN"/>
              </w:rPr>
              <w:t>资格证明文件、商务与</w:t>
            </w:r>
            <w:r>
              <w:rPr>
                <w:rFonts w:hint="eastAsia" w:ascii="宋体" w:hAnsi="宋体"/>
                <w:color w:val="auto"/>
                <w:sz w:val="24"/>
                <w:szCs w:val="24"/>
                <w:highlight w:val="none"/>
                <w:lang w:eastAsia="zh-CN"/>
              </w:rPr>
              <w:t>技术文件</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报价文件</w:t>
            </w:r>
            <w:r>
              <w:rPr>
                <w:rFonts w:hint="eastAsia" w:ascii="宋体" w:hAnsi="宋体"/>
                <w:color w:val="auto"/>
                <w:sz w:val="24"/>
                <w:szCs w:val="24"/>
                <w:highlight w:val="none"/>
              </w:rPr>
              <w:t>各需正本</w:t>
            </w:r>
            <w:r>
              <w:rPr>
                <w:rFonts w:hint="eastAsia" w:ascii="宋体" w:hAnsi="宋体"/>
                <w:color w:val="auto"/>
                <w:sz w:val="24"/>
                <w:szCs w:val="24"/>
                <w:highlight w:val="none"/>
                <w:u w:val="single"/>
              </w:rPr>
              <w:t xml:space="preserve"> </w:t>
            </w:r>
            <w:r>
              <w:rPr>
                <w:rFonts w:hint="eastAsia" w:ascii="宋体" w:hAnsi="宋体" w:cs="Arial"/>
                <w:color w:val="auto"/>
                <w:sz w:val="24"/>
                <w:szCs w:val="24"/>
                <w:highlight w:val="none"/>
                <w:u w:val="single"/>
              </w:rPr>
              <w:t>1</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份、副本</w:t>
            </w:r>
            <w:r>
              <w:rPr>
                <w:rFonts w:hint="eastAsia" w:ascii="宋体" w:hAnsi="宋体" w:cs="Arial"/>
                <w:color w:val="auto"/>
                <w:sz w:val="24"/>
                <w:szCs w:val="24"/>
                <w:highlight w:val="none"/>
                <w:u w:val="single"/>
              </w:rPr>
              <w:t xml:space="preserve"> 4 </w:t>
            </w:r>
            <w:r>
              <w:rPr>
                <w:rFonts w:hint="eastAsia" w:ascii="宋体" w:hAnsi="宋体"/>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ascii="宋体" w:hAnsi="宋体"/>
                <w:color w:val="auto"/>
                <w:sz w:val="24"/>
                <w:szCs w:val="24"/>
                <w:highlight w:val="none"/>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投标截止时间及地点：</w:t>
            </w:r>
            <w:r>
              <w:rPr>
                <w:rFonts w:hint="eastAsia" w:ascii="宋体" w:hAnsi="宋体" w:cs="Arial"/>
                <w:color w:val="auto"/>
                <w:sz w:val="24"/>
                <w:szCs w:val="24"/>
                <w:highlight w:val="none"/>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ascii="宋体" w:hAnsi="宋体"/>
                <w:color w:val="auto"/>
                <w:sz w:val="24"/>
                <w:szCs w:val="24"/>
                <w:highlight w:val="none"/>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开标时间及地点：</w:t>
            </w:r>
            <w:r>
              <w:rPr>
                <w:rFonts w:hint="eastAsia" w:ascii="宋体" w:hAnsi="宋体" w:cs="Arial"/>
                <w:color w:val="auto"/>
                <w:sz w:val="24"/>
                <w:szCs w:val="24"/>
                <w:highlight w:val="none"/>
                <w:u w:val="single"/>
              </w:rPr>
              <w:t>见招标公告；</w:t>
            </w:r>
            <w:r>
              <w:rPr>
                <w:rFonts w:ascii="宋体" w:hAnsi="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ascii="宋体" w:hAnsi="宋体"/>
                <w:color w:val="auto"/>
                <w:sz w:val="24"/>
                <w:szCs w:val="24"/>
                <w:highlight w:val="none"/>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szCs w:val="24"/>
                <w:highlight w:val="none"/>
              </w:rPr>
            </w:pPr>
            <w:r>
              <w:rPr>
                <w:rFonts w:hint="eastAsia" w:ascii="宋体" w:hAnsi="宋体"/>
                <w:color w:val="auto"/>
                <w:sz w:val="24"/>
                <w:szCs w:val="24"/>
                <w:highlight w:val="none"/>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ascii="宋体" w:hAnsi="宋体"/>
                <w:color w:val="auto"/>
                <w:sz w:val="24"/>
                <w:szCs w:val="24"/>
                <w:highlight w:val="none"/>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szCs w:val="24"/>
                <w:highlight w:val="none"/>
              </w:rPr>
            </w:pPr>
            <w:r>
              <w:rPr>
                <w:rFonts w:hint="eastAsia" w:ascii="宋体" w:hAnsi="宋体"/>
                <w:color w:val="auto"/>
                <w:sz w:val="24"/>
                <w:szCs w:val="24"/>
                <w:highlight w:val="none"/>
              </w:rPr>
              <w:t>中标公告：</w:t>
            </w:r>
            <w:r>
              <w:rPr>
                <w:rFonts w:hint="eastAsia" w:ascii="宋体" w:hAnsi="宋体"/>
                <w:color w:val="auto"/>
                <w:sz w:val="24"/>
                <w:szCs w:val="24"/>
                <w:highlight w:val="none"/>
                <w:lang w:val="en-US" w:eastAsia="zh-CN"/>
              </w:rPr>
              <w:t>采购人确认</w:t>
            </w:r>
            <w:r>
              <w:rPr>
                <w:rFonts w:hint="eastAsia" w:ascii="宋体" w:hAnsi="宋体"/>
                <w:color w:val="auto"/>
                <w:sz w:val="24"/>
                <w:szCs w:val="24"/>
                <w:highlight w:val="none"/>
              </w:rPr>
              <w:t>后</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个工作日内，中标公告发布于上述媒体。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ascii="宋体" w:hAnsi="宋体"/>
                <w:color w:val="auto"/>
                <w:sz w:val="24"/>
                <w:szCs w:val="24"/>
                <w:highlight w:val="none"/>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szCs w:val="24"/>
                <w:highlight w:val="none"/>
              </w:rPr>
            </w:pPr>
            <w:r>
              <w:rPr>
                <w:rFonts w:hint="eastAsia" w:ascii="宋体" w:hAnsi="宋体"/>
                <w:color w:val="auto"/>
                <w:sz w:val="24"/>
                <w:szCs w:val="24"/>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ascii="宋体" w:hAnsi="宋体"/>
                <w:color w:val="auto"/>
                <w:sz w:val="24"/>
                <w:szCs w:val="24"/>
                <w:highlight w:val="none"/>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szCs w:val="24"/>
                <w:highlight w:val="none"/>
              </w:rPr>
            </w:pPr>
            <w:r>
              <w:rPr>
                <w:rFonts w:hint="eastAsia" w:ascii="宋体" w:hAnsi="宋体"/>
                <w:color w:val="auto"/>
                <w:sz w:val="24"/>
                <w:szCs w:val="24"/>
                <w:highlight w:val="none"/>
              </w:rPr>
              <w:t>履约保证金</w:t>
            </w:r>
            <w:r>
              <w:rPr>
                <w:rFonts w:ascii="宋体" w:hAnsi="宋体"/>
                <w:color w:val="auto"/>
                <w:sz w:val="24"/>
                <w:szCs w:val="24"/>
                <w:highlight w:val="none"/>
              </w:rPr>
              <w:t>:</w:t>
            </w:r>
            <w:r>
              <w:rPr>
                <w:rFonts w:hint="eastAsia" w:ascii="宋体" w:hAnsi="宋体"/>
                <w:color w:val="auto"/>
                <w:sz w:val="24"/>
                <w:szCs w:val="24"/>
                <w:highlight w:val="none"/>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ascii="宋体" w:hAnsi="宋体"/>
                <w:color w:val="auto"/>
                <w:sz w:val="24"/>
                <w:szCs w:val="24"/>
                <w:highlight w:val="none"/>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szCs w:val="24"/>
                <w:highlight w:val="none"/>
              </w:rPr>
            </w:pPr>
            <w:r>
              <w:rPr>
                <w:rFonts w:hint="eastAsia" w:ascii="宋体" w:hAnsi="宋体"/>
                <w:color w:val="auto"/>
                <w:sz w:val="24"/>
                <w:szCs w:val="24"/>
                <w:highlight w:val="none"/>
              </w:rPr>
              <w:t>采购资金来源：</w:t>
            </w:r>
            <w:r>
              <w:rPr>
                <w:rFonts w:hint="eastAsia" w:ascii="宋体" w:hAnsi="宋体"/>
                <w:color w:val="auto"/>
                <w:sz w:val="24"/>
                <w:szCs w:val="24"/>
                <w:highlight w:val="none"/>
                <w:lang w:val="en-US" w:eastAsia="zh-CN"/>
              </w:rPr>
              <w:t>财政</w:t>
            </w:r>
            <w:r>
              <w:rPr>
                <w:rFonts w:hint="eastAsia" w:ascii="宋体" w:hAnsi="宋体"/>
                <w:color w:val="auto"/>
                <w:sz w:val="24"/>
                <w:szCs w:val="24"/>
                <w:highlight w:val="none"/>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4"/>
                <w:highlight w:val="none"/>
              </w:rPr>
            </w:pPr>
            <w:r>
              <w:rPr>
                <w:rFonts w:ascii="宋体" w:hAnsi="宋体"/>
                <w:color w:val="auto"/>
                <w:sz w:val="24"/>
                <w:szCs w:val="24"/>
                <w:highlight w:val="none"/>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szCs w:val="24"/>
                <w:highlight w:val="none"/>
              </w:rPr>
            </w:pPr>
            <w:r>
              <w:rPr>
                <w:rFonts w:hint="eastAsia" w:ascii="宋体" w:hAnsi="宋体"/>
                <w:color w:val="auto"/>
                <w:sz w:val="24"/>
                <w:szCs w:val="24"/>
                <w:highlight w:val="none"/>
              </w:rPr>
              <w:t>付款方式：详见合同条款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 w:val="24"/>
                <w:szCs w:val="24"/>
                <w:highlight w:val="none"/>
              </w:rPr>
            </w:pPr>
            <w:r>
              <w:rPr>
                <w:rFonts w:hint="eastAsia" w:ascii="宋体" w:hAnsi="宋体"/>
                <w:color w:val="auto"/>
                <w:sz w:val="24"/>
                <w:szCs w:val="24"/>
                <w:highlight w:val="none"/>
              </w:rPr>
              <w:t>投标文件递交要求：</w:t>
            </w:r>
          </w:p>
          <w:p>
            <w:pPr>
              <w:autoSpaceDE w:val="0"/>
              <w:autoSpaceDN w:val="0"/>
              <w:snapToGrid w:val="0"/>
              <w:spacing w:line="360" w:lineRule="auto"/>
              <w:textAlignment w:val="bottom"/>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下列人员经采购人（招标代理机构）确认身份后再签名报到，以证明其出席开标会议：</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法定代表人或委托代理人应持本人有效身份证原件</w:t>
            </w:r>
            <w:r>
              <w:rPr>
                <w:rFonts w:hint="eastAsia" w:ascii="宋体" w:hAnsi="宋体"/>
                <w:color w:val="auto"/>
                <w:sz w:val="24"/>
                <w:szCs w:val="24"/>
                <w:highlight w:val="none"/>
                <w:lang w:val="en-US" w:eastAsia="zh-CN"/>
              </w:rPr>
              <w:t>和本项目</w:t>
            </w:r>
            <w:r>
              <w:rPr>
                <w:rFonts w:hint="eastAsia" w:ascii="宋体" w:hAnsi="宋体"/>
                <w:color w:val="auto"/>
                <w:sz w:val="24"/>
                <w:szCs w:val="24"/>
                <w:highlight w:val="none"/>
              </w:rPr>
              <w:t>授权委托书原件参加开标会议</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如为法定代表人参加的无需本项目</w:t>
            </w:r>
            <w:r>
              <w:rPr>
                <w:rFonts w:hint="eastAsia" w:ascii="宋体" w:hAnsi="宋体"/>
                <w:color w:val="auto"/>
                <w:sz w:val="24"/>
                <w:szCs w:val="24"/>
                <w:highlight w:val="none"/>
              </w:rPr>
              <w:t>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1.项目属性： </w:t>
            </w:r>
            <w:r>
              <w:rPr>
                <w:rFonts w:hint="eastAsia" w:ascii="宋体" w:hAnsi="宋体" w:eastAsia="宋体" w:cs="Times New Roman"/>
                <w:color w:val="auto"/>
                <w:sz w:val="24"/>
                <w:szCs w:val="24"/>
                <w:highlight w:val="none"/>
                <w:u w:val="single"/>
              </w:rPr>
              <w:t>服务类</w:t>
            </w:r>
            <w:r>
              <w:rPr>
                <w:rFonts w:hint="eastAsia" w:ascii="宋体" w:hAnsi="宋体" w:eastAsia="宋体" w:cs="Times New Roman"/>
                <w:color w:val="auto"/>
                <w:sz w:val="24"/>
                <w:szCs w:val="24"/>
                <w:highlight w:val="none"/>
              </w:rPr>
              <w:t xml:space="preserve"> 。</w:t>
            </w:r>
          </w:p>
          <w:p>
            <w:pPr>
              <w:autoSpaceDE w:val="0"/>
              <w:autoSpaceDN w:val="0"/>
              <w:snapToGrid w:val="0"/>
              <w:spacing w:line="360" w:lineRule="auto"/>
              <w:textAlignment w:val="bottom"/>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2.中小企业划分标准所属行业（具体根据《中小企业划型标准规定》执行）：</w:t>
            </w:r>
          </w:p>
          <w:p>
            <w:pPr>
              <w:autoSpaceDE w:val="0"/>
              <w:autoSpaceDN w:val="0"/>
              <w:snapToGrid w:val="0"/>
              <w:spacing w:line="360" w:lineRule="auto"/>
              <w:textAlignment w:val="bottom"/>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采购标的：</w:t>
            </w:r>
            <w:r>
              <w:rPr>
                <w:rFonts w:hint="eastAsia" w:ascii="宋体" w:hAnsi="宋体" w:eastAsia="宋体" w:cs="Times New Roman"/>
                <w:color w:val="auto"/>
                <w:sz w:val="24"/>
                <w:szCs w:val="24"/>
                <w:highlight w:val="none"/>
                <w:u w:val="single"/>
                <w:lang w:eastAsia="zh-CN"/>
              </w:rPr>
              <w:t>自然资源和规划信息系统安全等保测评项目</w:t>
            </w:r>
            <w:r>
              <w:rPr>
                <w:rFonts w:hint="eastAsia" w:ascii="宋体" w:hAnsi="宋体" w:eastAsia="宋体" w:cs="Times New Roman"/>
                <w:color w:val="auto"/>
                <w:sz w:val="24"/>
                <w:szCs w:val="24"/>
                <w:highlight w:val="none"/>
              </w:rPr>
              <w:t>，所属行业：（十</w:t>
            </w:r>
            <w:r>
              <w:rPr>
                <w:rFonts w:hint="eastAsia" w:ascii="宋体" w:hAnsi="宋体" w:cs="Times New Roman"/>
                <w:color w:val="auto"/>
                <w:sz w:val="24"/>
                <w:szCs w:val="24"/>
                <w:highlight w:val="none"/>
                <w:lang w:val="en-US" w:eastAsia="zh-CN"/>
              </w:rPr>
              <w:t>二</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软件和信息技术服务业</w:t>
            </w:r>
            <w:r>
              <w:rPr>
                <w:rFonts w:hint="eastAsia" w:ascii="宋体" w:hAnsi="宋体" w:eastAsia="宋体" w:cs="Times New Roman"/>
                <w:color w:val="auto"/>
                <w:sz w:val="24"/>
                <w:szCs w:val="24"/>
                <w:highlight w:val="none"/>
              </w:rPr>
              <w:t>。</w:t>
            </w:r>
          </w:p>
          <w:p>
            <w:pPr>
              <w:autoSpaceDE w:val="0"/>
              <w:autoSpaceDN w:val="0"/>
              <w:snapToGrid w:val="0"/>
              <w:spacing w:line="360" w:lineRule="auto"/>
              <w:textAlignment w:val="bottom"/>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3.属于享受政府采购支持政策的残疾人福利性单位，应符合财库〔2017〕141号文件规定，视同小型、微型企业，在投标文件中提供《残疾人福利性单位声明函》（见附件）。</w:t>
            </w:r>
          </w:p>
          <w:p>
            <w:pPr>
              <w:autoSpaceDE w:val="0"/>
              <w:autoSpaceDN w:val="0"/>
              <w:snapToGrid w:val="0"/>
              <w:spacing w:line="360" w:lineRule="auto"/>
              <w:textAlignment w:val="bottom"/>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根据财库〔2014〕68号的相关规定，在政府采购活动中，监狱企业的视同小型、微型企业，并在投标文件中提供由省级以上监狱管理局、戒毒管理局（含新疆生产建设兵团）出具的属于监狱企业的证明文件（格式自拟）。</w:t>
            </w:r>
          </w:p>
          <w:p>
            <w:pPr>
              <w:autoSpaceDE w:val="0"/>
              <w:autoSpaceDN w:val="0"/>
              <w:snapToGrid w:val="0"/>
              <w:spacing w:line="360" w:lineRule="auto"/>
              <w:textAlignment w:val="bottom"/>
              <w:rPr>
                <w:rFonts w:hint="eastAsia" w:ascii="宋体" w:hAnsi="宋体"/>
                <w:color w:val="auto"/>
                <w:sz w:val="24"/>
                <w:szCs w:val="24"/>
                <w:highlight w:val="none"/>
              </w:rPr>
            </w:pPr>
            <w:r>
              <w:rPr>
                <w:rFonts w:hint="eastAsia" w:ascii="宋体" w:hAnsi="宋体" w:eastAsia="宋体" w:cs="Times New Roman"/>
                <w:color w:val="auto"/>
                <w:sz w:val="24"/>
                <w:szCs w:val="24"/>
                <w:highlight w:val="none"/>
              </w:rPr>
              <w:t>（注：未提供以上材料的，均不给予小微企业认定）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szCs w:val="24"/>
                <w:highlight w:val="none"/>
              </w:rPr>
            </w:pPr>
            <w:r>
              <w:rPr>
                <w:rFonts w:hint="eastAsia" w:ascii="宋体" w:hAnsi="宋体"/>
                <w:color w:val="auto"/>
                <w:sz w:val="24"/>
                <w:szCs w:val="24"/>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szCs w:val="24"/>
                <w:highlight w:val="none"/>
              </w:rPr>
            </w:pPr>
            <w:r>
              <w:rPr>
                <w:rFonts w:hint="eastAsia" w:ascii="宋体" w:hAnsi="宋体"/>
                <w:color w:val="auto"/>
                <w:sz w:val="24"/>
                <w:szCs w:val="24"/>
                <w:highlight w:val="none"/>
              </w:rPr>
              <w:t>解释：本招标文件的解释权属于采购</w:t>
            </w:r>
            <w:r>
              <w:rPr>
                <w:rFonts w:hint="eastAsia" w:ascii="宋体" w:hAnsi="宋体"/>
                <w:color w:val="auto"/>
                <w:sz w:val="24"/>
                <w:szCs w:val="24"/>
                <w:highlight w:val="none"/>
                <w:lang w:val="en-US" w:eastAsia="zh-CN"/>
              </w:rPr>
              <w:t>人和采购组织机构</w:t>
            </w:r>
            <w:r>
              <w:rPr>
                <w:rFonts w:hint="eastAsia" w:ascii="宋体" w:hAnsi="宋体"/>
                <w:color w:val="auto"/>
                <w:sz w:val="24"/>
                <w:szCs w:val="24"/>
                <w:highlight w:val="none"/>
              </w:rPr>
              <w:t>。</w:t>
            </w:r>
          </w:p>
        </w:tc>
      </w:tr>
    </w:tbl>
    <w:p>
      <w:pPr>
        <w:pStyle w:val="6"/>
        <w:snapToGrid w:val="0"/>
        <w:spacing w:before="156" w:after="156" w:line="360" w:lineRule="auto"/>
        <w:rPr>
          <w:rFonts w:hAnsi="宋体"/>
          <w:b/>
          <w:color w:val="auto"/>
          <w:sz w:val="30"/>
          <w:szCs w:val="30"/>
          <w:highlight w:val="none"/>
        </w:rPr>
      </w:pPr>
      <w:r>
        <w:rPr>
          <w:rFonts w:hAnsi="宋体"/>
          <w:b/>
          <w:color w:val="auto"/>
          <w:sz w:val="30"/>
          <w:szCs w:val="30"/>
          <w:highlight w:val="none"/>
        </w:rPr>
        <w:t>一、总  则</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 适用范围</w:t>
      </w:r>
    </w:p>
    <w:p>
      <w:pPr>
        <w:snapToGrid w:val="0"/>
        <w:spacing w:line="360" w:lineRule="auto"/>
        <w:ind w:firstLine="480" w:firstLineChars="200"/>
        <w:rPr>
          <w:rFonts w:ascii="宋体" w:hAnsi="宋体"/>
          <w:sz w:val="24"/>
          <w:szCs w:val="24"/>
        </w:rPr>
      </w:pPr>
      <w:r>
        <w:rPr>
          <w:rFonts w:hint="eastAsia" w:ascii="宋体" w:hAnsi="宋体"/>
          <w:sz w:val="24"/>
          <w:szCs w:val="24"/>
        </w:rPr>
        <w:t>本采购文件适用于</w:t>
      </w:r>
      <w:r>
        <w:rPr>
          <w:rFonts w:hint="eastAsia" w:ascii="宋体" w:hAnsi="宋体"/>
          <w:bCs/>
          <w:sz w:val="24"/>
          <w:szCs w:val="24"/>
        </w:rPr>
        <w:t>本次</w:t>
      </w:r>
      <w:r>
        <w:rPr>
          <w:rFonts w:hint="eastAsia" w:ascii="宋体" w:hAnsi="宋体"/>
          <w:sz w:val="24"/>
          <w:szCs w:val="24"/>
        </w:rPr>
        <w:t>项目的招标、投标、评标、定标、验收、合同履约、付款等行为（法律、法规另有规定的，从其规定）。</w:t>
      </w:r>
    </w:p>
    <w:p>
      <w:pPr>
        <w:pStyle w:val="14"/>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本采购文件仅适用于本次招标公告中所涉及的项目和内容。</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（二）定义</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val="zh-CN" w:eastAsia="zh-CN"/>
        </w:rPr>
        <w:t>采购组织机构：</w:t>
      </w:r>
      <w:r>
        <w:rPr>
          <w:rFonts w:hint="eastAsia" w:ascii="宋体" w:hAnsi="宋体" w:eastAsia="宋体" w:cs="Times New Roman"/>
          <w:sz w:val="24"/>
          <w:szCs w:val="24"/>
          <w:lang w:val="en-US" w:eastAsia="zh-CN"/>
        </w:rPr>
        <w:t>是</w:t>
      </w:r>
      <w:r>
        <w:rPr>
          <w:rFonts w:hint="eastAsia" w:ascii="宋体" w:hAnsi="宋体" w:eastAsia="宋体" w:cs="Times New Roman"/>
          <w:sz w:val="24"/>
          <w:szCs w:val="24"/>
          <w:lang w:val="zh-CN" w:eastAsia="zh-CN"/>
        </w:rPr>
        <w:t>指采购人委托组织招标的采购代理机构；</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2.采购人：是指依法进行政府采购的国家机关、事业单位和团体组织；</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3.供应商：是指响应招标、参加投标竞争的法人、其他组织或者自然人；</w:t>
      </w:r>
    </w:p>
    <w:p>
      <w:pPr>
        <w:snapToGrid w:val="0"/>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rPr>
        <w:t>4.</w:t>
      </w:r>
      <w:r>
        <w:rPr>
          <w:rFonts w:hint="eastAsia" w:ascii="宋体" w:hAnsi="宋体" w:eastAsia="宋体" w:cs="Times New Roman"/>
          <w:sz w:val="24"/>
          <w:szCs w:val="24"/>
          <w:lang w:val="zh-CN"/>
        </w:rPr>
        <w:t>成交供应商：是指经评</w:t>
      </w:r>
      <w:r>
        <w:rPr>
          <w:rFonts w:hint="eastAsia" w:ascii="宋体" w:hAnsi="宋体" w:eastAsia="宋体" w:cs="Times New Roman"/>
          <w:sz w:val="24"/>
          <w:szCs w:val="24"/>
        </w:rPr>
        <w:t>标</w:t>
      </w:r>
      <w:r>
        <w:rPr>
          <w:rFonts w:hint="eastAsia" w:ascii="宋体" w:hAnsi="宋体" w:eastAsia="宋体" w:cs="Times New Roman"/>
          <w:sz w:val="24"/>
          <w:szCs w:val="24"/>
          <w:lang w:val="zh-CN"/>
        </w:rPr>
        <w:t>委员会评审确定的对采购文件</w:t>
      </w:r>
      <w:r>
        <w:rPr>
          <w:rFonts w:hint="eastAsia" w:ascii="宋体" w:hAnsi="宋体" w:eastAsia="宋体" w:cs="Times New Roman"/>
          <w:sz w:val="24"/>
          <w:szCs w:val="24"/>
        </w:rPr>
        <w:t>作</w:t>
      </w:r>
      <w:r>
        <w:rPr>
          <w:rFonts w:hint="eastAsia" w:ascii="宋体" w:hAnsi="宋体" w:eastAsia="宋体" w:cs="Times New Roman"/>
          <w:sz w:val="24"/>
          <w:szCs w:val="24"/>
          <w:lang w:val="zh-CN"/>
        </w:rPr>
        <w:t>出实质性响应，经采购人按照规定在评</w:t>
      </w:r>
      <w:r>
        <w:rPr>
          <w:rFonts w:hint="eastAsia" w:ascii="宋体" w:hAnsi="宋体" w:eastAsia="宋体" w:cs="Times New Roman"/>
          <w:sz w:val="24"/>
          <w:szCs w:val="24"/>
        </w:rPr>
        <w:t>标</w:t>
      </w:r>
      <w:r>
        <w:rPr>
          <w:rFonts w:hint="eastAsia" w:ascii="宋体" w:hAnsi="宋体" w:eastAsia="宋体" w:cs="Times New Roman"/>
          <w:sz w:val="24"/>
          <w:szCs w:val="24"/>
          <w:lang w:val="zh-CN"/>
        </w:rPr>
        <w:t>委员会推荐的中标候选人中确定的或受采购人委托直接确认的，与采购人签订合同资格的供应商</w:t>
      </w:r>
      <w:r>
        <w:rPr>
          <w:rFonts w:hint="eastAsia" w:ascii="宋体" w:hAnsi="宋体" w:eastAsia="宋体" w:cs="Times New Roman"/>
          <w:sz w:val="24"/>
          <w:szCs w:val="24"/>
        </w:rPr>
        <w:t>；</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（三）招标方式</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本次招标采用公开招标方式进行。</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（四）投标委托</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代表须携带有效身份证件。如</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代表不是法定代表人，须有法定代表人出具的授权委托书。</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（五）投标费用</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不论投标结果如何，</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均应自行承担所有与投标有关的全部费用（招标文件有相关规定除外）。</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（六）联合体投标</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本项目不接受联合体投标。</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（七）转包与分包</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本项目不允许转包</w:t>
      </w:r>
      <w:r>
        <w:rPr>
          <w:rFonts w:hint="eastAsia" w:ascii="宋体" w:hAnsi="宋体" w:eastAsia="宋体" w:cs="Times New Roman"/>
          <w:sz w:val="24"/>
          <w:szCs w:val="24"/>
          <w:lang w:eastAsia="zh-CN"/>
        </w:rPr>
        <w:t>，</w:t>
      </w:r>
      <w:r>
        <w:rPr>
          <w:rFonts w:hint="eastAsia" w:ascii="宋体" w:hAnsi="宋体" w:eastAsia="宋体" w:cs="Times New Roman"/>
          <w:sz w:val="24"/>
          <w:szCs w:val="24"/>
        </w:rPr>
        <w:t>未经采购人同意</w:t>
      </w:r>
      <w:r>
        <w:rPr>
          <w:rFonts w:hint="eastAsia" w:ascii="宋体" w:hAnsi="宋体" w:eastAsia="宋体" w:cs="Times New Roman"/>
          <w:sz w:val="24"/>
          <w:szCs w:val="24"/>
          <w:lang w:val="en-US" w:eastAsia="zh-CN"/>
        </w:rPr>
        <w:t>本项目不允许分包</w:t>
      </w:r>
      <w:r>
        <w:rPr>
          <w:rFonts w:hint="eastAsia" w:ascii="宋体" w:hAnsi="宋体" w:eastAsia="宋体" w:cs="Times New Roman"/>
          <w:sz w:val="24"/>
          <w:szCs w:val="24"/>
        </w:rPr>
        <w:t>。</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（八）特别说明：</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投标所使用的资格、信誉、荣誉、业绩与企业认证</w:t>
      </w:r>
      <w:r>
        <w:rPr>
          <w:rFonts w:hint="eastAsia" w:ascii="宋体" w:hAnsi="宋体" w:eastAsia="宋体" w:cs="Times New Roman"/>
          <w:sz w:val="24"/>
          <w:szCs w:val="24"/>
          <w:lang w:val="en-US" w:eastAsia="zh-CN"/>
        </w:rPr>
        <w:t>等</w:t>
      </w:r>
      <w:r>
        <w:rPr>
          <w:rFonts w:hint="eastAsia" w:ascii="宋体" w:hAnsi="宋体" w:eastAsia="宋体" w:cs="Times New Roman"/>
          <w:sz w:val="24"/>
          <w:szCs w:val="24"/>
        </w:rPr>
        <w:t>必须为本法人所拥有，</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投标所使用的采购项目实施人员必须为本法人或控股公司正式员工（如有特别说明的除外）。</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应仔细阅读招标文件的所有内容，按照招标文件的要求提交投标文件，并对所提供的全部资料的真实性承担法律责任。</w:t>
      </w:r>
    </w:p>
    <w:p>
      <w:pPr>
        <w:pStyle w:val="6"/>
        <w:snapToGrid w:val="0"/>
        <w:spacing w:beforeLines="0" w:afterLines="0" w:line="360" w:lineRule="auto"/>
        <w:ind w:firstLine="472" w:firstLineChars="196"/>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（九）质疑和投诉</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认为招标文件、招标过程或中标结果使自己的合法权益受到损害的，应当在知道或者应知其权益受到损害之日起七个工作日内，以书面形式向采购人、采购代理机构提出质疑。</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6"/>
        <w:snapToGrid w:val="0"/>
        <w:spacing w:before="156" w:after="156" w:line="360" w:lineRule="auto"/>
        <w:rPr>
          <w:rFonts w:hAnsi="宋体"/>
          <w:b/>
          <w:color w:val="auto"/>
          <w:sz w:val="30"/>
          <w:szCs w:val="30"/>
          <w:highlight w:val="none"/>
        </w:rPr>
      </w:pPr>
      <w:r>
        <w:rPr>
          <w:rFonts w:hAnsi="宋体"/>
          <w:b/>
          <w:color w:val="auto"/>
          <w:sz w:val="30"/>
          <w:szCs w:val="30"/>
          <w:highlight w:val="none"/>
        </w:rPr>
        <w:t>二、招标文件</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（一）招标文件的构成。本招标文件由以下部份组成：</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1.招标公告</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2.招标需求</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须知</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4.评标办法及标准</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5.技术咨询合同</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6.投标文件格式</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7.本项目招标文件的澄清、答复、修改、补充的内容</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（二）供应商的风险</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没有按照招标文件要求提供全部资料，或者</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没有对招标文件在各方面作出实质性响应是</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的风险，并可能导致其投标被拒绝。</w:t>
      </w:r>
    </w:p>
    <w:p>
      <w:pPr>
        <w:pStyle w:val="9"/>
        <w:widowControl w:val="0"/>
        <w:tabs>
          <w:tab w:val="clear" w:pos="454"/>
          <w:tab w:val="clear" w:pos="900"/>
        </w:tabs>
        <w:snapToGrid w:val="0"/>
        <w:spacing w:before="156" w:beforeLines="50" w:afterLines="0" w:line="360" w:lineRule="auto"/>
        <w:ind w:left="0" w:firstLine="472" w:firstLineChars="196"/>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（三）招标文件的澄清与修改 </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应认真阅读本招标文件，发现其中有误或有不合理要求的，</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必须在前附表规定的时间内以书面形式要求招标采购单位澄清。采购代理机构对已发出的招标文件进行必要澄清、答复、修改或补充的，应当在招标文件要求提交投标文件截止时间五日前，在公告信息发布媒体上发布更正公告，并以书面形式通知所有招标文件收受人。</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2.采购代理机构必须以书面形式答复</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要求澄清的问题，并将不包含问题来源的答复书面通知所有购买招标文件的</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；除书面答复以外的其他澄清方式及澄清内容均无效。</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3.招标文件澄清、答复、修改、补充的内容为招标文件的组成部分。当招标文件与招标文件的答复、澄清、修改、补充通知就同一内容的表述不一致时，以最后发出的书面文件为准。</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4.招标文件的澄清、答复、修改或补充都应该通过本代理机构以法定形式发布，采购人非通过本机构，不得擅自澄清、答复、修改或补充招标文件。</w:t>
      </w:r>
    </w:p>
    <w:p>
      <w:pPr>
        <w:pStyle w:val="6"/>
        <w:snapToGrid w:val="0"/>
        <w:spacing w:before="156" w:after="156" w:line="360" w:lineRule="auto"/>
        <w:rPr>
          <w:rFonts w:hAnsi="宋体"/>
          <w:b/>
          <w:color w:val="auto"/>
          <w:sz w:val="30"/>
          <w:szCs w:val="30"/>
          <w:highlight w:val="none"/>
        </w:rPr>
      </w:pPr>
      <w:r>
        <w:rPr>
          <w:rFonts w:hAnsi="宋体"/>
          <w:b/>
          <w:color w:val="auto"/>
          <w:sz w:val="30"/>
          <w:szCs w:val="30"/>
          <w:highlight w:val="none"/>
        </w:rPr>
        <w:t>三、投标文件的编制</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（一）投标文件的要求</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1、</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应仔细阅读招标文件的所有内容，按照要求详细编制投标文件，并保证投标文件的正确性和真实性。</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2、不按招标文件的要求提供的投标文件将被拒绝。</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（二）投标文件的组成</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接到招标文件后，按照采购人的要求提供：</w:t>
      </w:r>
      <w:r>
        <w:rPr>
          <w:rFonts w:hint="eastAsia" w:ascii="宋体" w:hAnsi="宋体" w:eastAsia="宋体" w:cs="Times New Roman"/>
          <w:sz w:val="24"/>
          <w:szCs w:val="24"/>
          <w:lang w:val="en-US" w:eastAsia="zh-CN"/>
        </w:rPr>
        <w:t>资格证明文件、商务与技术文件和报价文件</w:t>
      </w:r>
      <w:r>
        <w:rPr>
          <w:rFonts w:hint="eastAsia" w:ascii="宋体" w:hAnsi="宋体" w:eastAsia="宋体" w:cs="Times New Roman"/>
          <w:sz w:val="24"/>
          <w:szCs w:val="24"/>
        </w:rPr>
        <w:t>。</w:t>
      </w:r>
    </w:p>
    <w:p>
      <w:pPr>
        <w:snapToGrid w:val="0"/>
        <w:spacing w:line="360" w:lineRule="auto"/>
        <w:ind w:firstLine="482" w:firstLineChars="200"/>
        <w:rPr>
          <w:rFonts w:hint="default" w:ascii="宋体" w:hAnsi="宋体"/>
          <w:b/>
          <w:color w:val="auto"/>
          <w:sz w:val="24"/>
          <w:szCs w:val="24"/>
          <w:highlight w:val="none"/>
          <w:lang w:val="en-US" w:eastAsia="zh-CN"/>
        </w:rPr>
      </w:pPr>
      <w:r>
        <w:rPr>
          <w:rFonts w:hint="eastAsia" w:ascii="宋体" w:hAnsi="宋体" w:cs="宋体"/>
          <w:b/>
          <w:color w:val="auto"/>
          <w:sz w:val="24"/>
          <w:szCs w:val="24"/>
          <w:highlight w:val="none"/>
        </w:rPr>
        <w:t>▲</w:t>
      </w:r>
      <w:r>
        <w:rPr>
          <w:rFonts w:hint="eastAsia" w:ascii="宋体" w:hAnsi="宋体"/>
          <w:b/>
          <w:color w:val="auto"/>
          <w:sz w:val="24"/>
          <w:szCs w:val="24"/>
          <w:highlight w:val="none"/>
          <w:lang w:val="en-US" w:eastAsia="zh-CN"/>
        </w:rPr>
        <w:t>1、资格证明文件组成</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（1）投标声明书（附件1）；</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（2）授权委托书（法定代表人亲自办理投标事宜的，则无需提交；附件2）；</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（3）法人或者其他组织的营业执照等证明文件，自然人的身份证明；</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（4）具有依法缴纳税收和社会保障资金证明的承诺函（附件3）；</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（5）具有良好的商业信誉和健全的财务会计制度的承诺函（附件4）；</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（6）具有履行合同所必须的设备和专业技术能力的承诺函（附件5）；</w:t>
      </w:r>
    </w:p>
    <w:p>
      <w:pPr>
        <w:snapToGrid w:val="0"/>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）中小企业、</w:t>
      </w:r>
      <w:r>
        <w:rPr>
          <w:rFonts w:hint="eastAsia" w:ascii="宋体" w:hAnsi="宋体" w:eastAsia="宋体" w:cs="Times New Roman"/>
          <w:sz w:val="24"/>
          <w:szCs w:val="24"/>
          <w:lang w:val="en-GB"/>
        </w:rPr>
        <w:t>残疾人福利性单位、监狱企业</w:t>
      </w:r>
      <w:r>
        <w:rPr>
          <w:rFonts w:hint="eastAsia" w:ascii="宋体" w:hAnsi="宋体" w:eastAsia="宋体" w:cs="Times New Roman"/>
          <w:sz w:val="24"/>
          <w:szCs w:val="24"/>
        </w:rPr>
        <w:t>等声明函（附件13）；</w:t>
      </w:r>
    </w:p>
    <w:p>
      <w:pPr>
        <w:snapToGrid w:val="0"/>
        <w:spacing w:line="360" w:lineRule="auto"/>
        <w:ind w:left="1196" w:leftChars="170" w:hanging="720" w:hangingChars="300"/>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8</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相关资质证明证书：</w:t>
      </w:r>
      <w:r>
        <w:rPr>
          <w:rFonts w:hint="eastAsia" w:ascii="宋体" w:hAnsi="宋体" w:eastAsia="宋体" w:cs="Arial"/>
          <w:b w:val="0"/>
          <w:bCs w:val="0"/>
          <w:color w:val="auto"/>
          <w:sz w:val="24"/>
          <w:szCs w:val="24"/>
          <w:highlight w:val="none"/>
          <w:lang w:eastAsia="zh-CN"/>
        </w:rPr>
        <w:t>具有公安部门颁发的网络安全等级评测与检测评估机构服务认证证书（DJCP）</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cs="Times New Roman"/>
          <w:sz w:val="24"/>
          <w:szCs w:val="24"/>
          <w:lang w:val="en-US" w:eastAsia="zh-CN"/>
        </w:rPr>
        <w:t>9</w:t>
      </w:r>
      <w:r>
        <w:rPr>
          <w:rFonts w:hint="eastAsia" w:ascii="宋体" w:hAnsi="宋体" w:eastAsia="宋体" w:cs="Times New Roman"/>
          <w:sz w:val="24"/>
          <w:szCs w:val="24"/>
        </w:rPr>
        <w:t>）需要说明的其他资料（如有）。</w:t>
      </w:r>
    </w:p>
    <w:p>
      <w:pPr>
        <w:snapToGrid w:val="0"/>
        <w:spacing w:line="360" w:lineRule="auto"/>
        <w:ind w:firstLine="482" w:firstLineChars="200"/>
        <w:rPr>
          <w:rFonts w:ascii="宋体" w:hAnsi="宋体" w:cs="宋体"/>
          <w:color w:val="auto"/>
          <w:sz w:val="24"/>
          <w:szCs w:val="24"/>
          <w:highlight w:val="none"/>
        </w:rPr>
      </w:pP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商务与技术文件</w:t>
      </w:r>
      <w:r>
        <w:rPr>
          <w:rFonts w:hint="eastAsia" w:ascii="宋体" w:hAnsi="宋体"/>
          <w:b/>
          <w:color w:val="auto"/>
          <w:sz w:val="24"/>
          <w:szCs w:val="24"/>
          <w:highlight w:val="none"/>
        </w:rPr>
        <w:t>的组成</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基本情况表（附件6）；</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）技术方案；</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）项目负责人资格情况表（附件7）；</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）项目实施人员一览表（附件8）；</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）服务条款响应表（附件9）；</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）证书一览表（与本项目相关的认证证书或文件；附件10）；</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）同类业绩证明（如有，需提供合同复印件；附件11）；</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）符合招标文件规定的其他证明文件及评分标准中涉及的其他材料（如有）。</w:t>
      </w:r>
    </w:p>
    <w:p>
      <w:pPr>
        <w:autoSpaceDE w:val="0"/>
        <w:autoSpaceDN w:val="0"/>
        <w:adjustRightInd w:val="0"/>
        <w:spacing w:line="360" w:lineRule="auto"/>
        <w:ind w:left="426" w:firstLine="65" w:firstLineChars="27"/>
        <w:rPr>
          <w:rFonts w:ascii="宋体" w:hAnsi="宋体"/>
          <w:b/>
          <w:color w:val="auto"/>
          <w:kern w:val="0"/>
          <w:sz w:val="24"/>
          <w:szCs w:val="24"/>
          <w:highlight w:val="none"/>
        </w:rPr>
      </w:pPr>
      <w:r>
        <w:rPr>
          <w:rFonts w:hint="eastAsia" w:ascii="宋体" w:hAnsi="宋体"/>
          <w:b/>
          <w:color w:val="auto"/>
          <w:kern w:val="0"/>
          <w:sz w:val="24"/>
          <w:szCs w:val="24"/>
          <w:highlight w:val="none"/>
          <w:lang w:val="en-US" w:eastAsia="zh-CN"/>
        </w:rPr>
        <w:t>3</w:t>
      </w:r>
      <w:r>
        <w:rPr>
          <w:rFonts w:hint="eastAsia" w:ascii="宋体" w:hAnsi="宋体"/>
          <w:b/>
          <w:color w:val="auto"/>
          <w:kern w:val="0"/>
          <w:sz w:val="24"/>
          <w:szCs w:val="24"/>
          <w:highlight w:val="none"/>
        </w:rPr>
        <w:t>、报价</w:t>
      </w:r>
      <w:r>
        <w:rPr>
          <w:rFonts w:hint="eastAsia" w:ascii="宋体" w:hAnsi="宋体"/>
          <w:b/>
          <w:color w:val="auto"/>
          <w:kern w:val="0"/>
          <w:sz w:val="24"/>
          <w:szCs w:val="24"/>
          <w:highlight w:val="none"/>
          <w:lang w:val="en-US" w:eastAsia="zh-CN"/>
        </w:rPr>
        <w:t>文件</w:t>
      </w:r>
      <w:r>
        <w:rPr>
          <w:rFonts w:hint="eastAsia" w:ascii="宋体" w:hAnsi="宋体"/>
          <w:b/>
          <w:color w:val="auto"/>
          <w:kern w:val="0"/>
          <w:sz w:val="24"/>
          <w:szCs w:val="24"/>
          <w:highlight w:val="none"/>
        </w:rPr>
        <w:t>的组成</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（1）开标一览表（附件12）；</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）针对报价</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认为其他需要说明的。</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（三）投标文件的语言及计量</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1、投标文件以及</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与采购人就有关投标事宜的所有来往函电，均应以中文汉语书写。除签名、盖章、专用名称等特殊情形外，以中文汉语以外的文字表述的投标文件视同未提供。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2、投标计量单位，招标文件已有明确规定的，使用招标文件规定的计量单位；招标文件没有规定的，应采用中华人民共和国法定计量单位（货币单位：人民币元），否则视同未响应。</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（四）投标报价</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1.投标报价应按招标文件中相关附表格式填写。</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bCs/>
          <w:kern w:val="0"/>
          <w:sz w:val="24"/>
        </w:rPr>
        <w:t>投标报价是履行合同的最终价格，本次报价为招标文件所确定的招标需求范围内和合同中要求完成的全部工作内容以及中标人服务承诺，包括但不限于本项目建设所需的安全控制测评费、系统整体测评费、招标代理服务费、风险费、保险、利润、规费、税金、工伤保险费、会务费、评审费、差旅费、政策性文件规定及合同包含的所有风险、责任等所有费用。各投标人应根据招标人提供的技术资料、工程量清单，以及本工程实际情况和自身的综合实力，竞报投标报价。总报价以人民币元计。知识产权等由投标人在投标报价时综合考虑，以后不作任何调整。</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▲3.投标文件只允许有一个报价，有选择的或有条件的报价将不予接受。</w:t>
      </w:r>
    </w:p>
    <w:p>
      <w:pPr>
        <w:pStyle w:val="9"/>
        <w:widowControl w:val="0"/>
        <w:tabs>
          <w:tab w:val="clear" w:pos="454"/>
          <w:tab w:val="clear" w:pos="900"/>
        </w:tabs>
        <w:snapToGrid w:val="0"/>
        <w:spacing w:before="156" w:beforeLines="50" w:afterLines="0" w:line="360" w:lineRule="auto"/>
        <w:ind w:left="0" w:firstLine="472" w:firstLineChars="196"/>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（五）投标文件的有效期</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▲1.自投标截止日起 90天投标文件应保持有效。</w:t>
      </w:r>
      <w:r>
        <w:rPr>
          <w:rFonts w:hint="eastAsia" w:ascii="宋体" w:hAnsi="宋体" w:eastAsia="宋体" w:cs="Times New Roman"/>
          <w:sz w:val="24"/>
          <w:szCs w:val="24"/>
          <w:lang w:eastAsia="zh-CN"/>
        </w:rPr>
        <w:t>成交供应商</w:t>
      </w:r>
      <w:r>
        <w:rPr>
          <w:rFonts w:hint="eastAsia" w:ascii="宋体" w:hAnsi="宋体" w:eastAsia="宋体" w:cs="Times New Roman"/>
          <w:sz w:val="24"/>
          <w:szCs w:val="24"/>
        </w:rPr>
        <w:t>投标文件有效期延长至合同有效期。有效期不足的投标文件将被拒绝。</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2.在特殊情况下，采购人可与</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协商延长投标书的有效期，这种要求和答复均以书面形式进行。</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可拒绝接受延期要求而不会导致投标保证金被没收。同意延长有效期的</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 xml:space="preserve">需要相应延长投标保证金的有效期，但不能修改投标文件。 </w:t>
      </w:r>
    </w:p>
    <w:p>
      <w:pPr>
        <w:snapToGrid w:val="0"/>
        <w:spacing w:line="360" w:lineRule="auto"/>
        <w:ind w:firstLine="480" w:firstLineChars="200"/>
        <w:rPr>
          <w:rFonts w:hint="eastAsia" w:ascii="宋体" w:hAnsi="宋体"/>
          <w:b/>
          <w:color w:val="auto"/>
          <w:sz w:val="24"/>
          <w:szCs w:val="24"/>
          <w:highlight w:val="none"/>
        </w:rPr>
      </w:pPr>
      <w:r>
        <w:rPr>
          <w:rFonts w:hint="eastAsia" w:ascii="宋体" w:hAnsi="宋体" w:eastAsia="宋体" w:cs="Times New Roman"/>
          <w:sz w:val="24"/>
          <w:szCs w:val="24"/>
        </w:rPr>
        <w:t>4.</w:t>
      </w:r>
      <w:r>
        <w:rPr>
          <w:rFonts w:hint="eastAsia" w:ascii="宋体" w:hAnsi="宋体" w:eastAsia="宋体" w:cs="Times New Roman"/>
          <w:sz w:val="24"/>
          <w:szCs w:val="24"/>
          <w:lang w:eastAsia="zh-CN"/>
        </w:rPr>
        <w:t>成交供应商</w:t>
      </w:r>
      <w:r>
        <w:rPr>
          <w:rFonts w:hint="eastAsia" w:ascii="宋体" w:hAnsi="宋体" w:eastAsia="宋体" w:cs="Times New Roman"/>
          <w:sz w:val="24"/>
          <w:szCs w:val="24"/>
        </w:rPr>
        <w:t>的投标文件自开标之日起至合同履行完毕止均应保持有效。</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（六）投标保证金</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本项目不设置投标保证金</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（七）投标文件的签署和份数</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应按本招标文件规定的格式和顺序编制、装订投标文件，投标文件内容不完整、编排混乱导致投标文件被误读、漏读或者查找不到相关内容的，是</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的责任。</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2. </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应按</w:t>
      </w:r>
      <w:r>
        <w:rPr>
          <w:rFonts w:hint="eastAsia" w:ascii="宋体" w:hAnsi="宋体" w:eastAsia="宋体" w:cs="Times New Roman"/>
          <w:sz w:val="24"/>
          <w:szCs w:val="24"/>
          <w:lang w:eastAsia="zh-CN"/>
        </w:rPr>
        <w:t>报价文件</w:t>
      </w:r>
      <w:r>
        <w:rPr>
          <w:rFonts w:hint="eastAsia" w:ascii="宋体" w:hAnsi="宋体" w:eastAsia="宋体" w:cs="Times New Roman"/>
          <w:sz w:val="24"/>
          <w:szCs w:val="24"/>
        </w:rPr>
        <w:t>、</w:t>
      </w:r>
      <w:r>
        <w:rPr>
          <w:rFonts w:hint="eastAsia" w:ascii="宋体" w:hAnsi="宋体" w:eastAsia="宋体" w:cs="Times New Roman"/>
          <w:sz w:val="24"/>
          <w:szCs w:val="24"/>
          <w:lang w:eastAsia="zh-CN"/>
        </w:rPr>
        <w:t>商务与技术文件、</w:t>
      </w:r>
      <w:r>
        <w:rPr>
          <w:rFonts w:hint="eastAsia" w:ascii="宋体" w:hAnsi="宋体" w:eastAsia="宋体" w:cs="Times New Roman"/>
          <w:sz w:val="24"/>
          <w:szCs w:val="24"/>
          <w:lang w:val="en-US" w:eastAsia="zh-CN"/>
        </w:rPr>
        <w:t>资格证明文件</w:t>
      </w:r>
      <w:r>
        <w:rPr>
          <w:rFonts w:hint="eastAsia" w:ascii="宋体" w:hAnsi="宋体" w:eastAsia="宋体" w:cs="Times New Roman"/>
          <w:sz w:val="24"/>
          <w:szCs w:val="24"/>
        </w:rPr>
        <w:t>分别编制并单独装订成册（各需正本一份，副本四份）。投标文件的封面应注明“正本”、“副本”字样。如投标文件封面未注明正副本，则由工作人员或评标委员会成员随机抽取一本作为正本。</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3.投标文件的正本需打印或用不褪色的墨水填写，投标文件正本除本《</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须知》中规定的可提供复印件外均须提供原件。副本为正本的复印件。</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4.投标文件须由</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在规定位置盖章并由法定代表人或法定代表人的授权委托人签署，</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应写全称。</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5.投标文件不得涂改，若有修改错漏处，须加盖单位公章或者法定代表人或授权委托人签字或盖章。投标文件因字迹潦草或表达不清所引起的后果由</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负责。</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（八）投标文件的递交、修改和撤回</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 投标文件的</w:t>
      </w:r>
      <w:r>
        <w:rPr>
          <w:rFonts w:hint="eastAsia" w:ascii="宋体" w:hAnsi="宋体" w:eastAsia="宋体" w:cs="Times New Roman"/>
          <w:sz w:val="24"/>
          <w:szCs w:val="24"/>
          <w:lang w:eastAsia="zh-CN"/>
        </w:rPr>
        <w:t>报价文件</w:t>
      </w:r>
      <w:r>
        <w:rPr>
          <w:rFonts w:hint="eastAsia" w:ascii="宋体" w:hAnsi="宋体" w:eastAsia="宋体" w:cs="Times New Roman"/>
          <w:sz w:val="24"/>
          <w:szCs w:val="24"/>
        </w:rPr>
        <w:t>、</w:t>
      </w:r>
      <w:r>
        <w:rPr>
          <w:rFonts w:hint="eastAsia" w:ascii="宋体" w:hAnsi="宋体" w:eastAsia="宋体" w:cs="Times New Roman"/>
          <w:sz w:val="24"/>
          <w:szCs w:val="24"/>
          <w:lang w:eastAsia="zh-CN"/>
        </w:rPr>
        <w:t>商务与技术文件、</w:t>
      </w:r>
      <w:r>
        <w:rPr>
          <w:rFonts w:hint="eastAsia" w:ascii="宋体" w:hAnsi="宋体" w:eastAsia="宋体" w:cs="Times New Roman"/>
          <w:sz w:val="24"/>
          <w:szCs w:val="24"/>
          <w:lang w:val="en-US" w:eastAsia="zh-CN"/>
        </w:rPr>
        <w:t>资格证明文件</w:t>
      </w:r>
      <w:r>
        <w:rPr>
          <w:rFonts w:hint="eastAsia" w:ascii="宋体" w:hAnsi="宋体" w:eastAsia="宋体" w:cs="Times New Roman"/>
          <w:sz w:val="24"/>
          <w:szCs w:val="24"/>
        </w:rPr>
        <w:t>应分开密封在不同的档案袋中。</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2.未按规定密封或标记的投标文件将被拒绝，由此造成投标文件被误投或提前拆封的风险由</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承担。</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在投标截止时间之前，可以对已提交的投标文件进行修改或撤回，并书面通知招标采购单位；投标截止时间后，</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不得撤回、修改投标文件。修改后重新递交的投标文件应当按本招标文件的要求签署、盖章和密封。</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（九）投标无效的情形</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实质上没有响应招标文件要求的投标将被视为无效投标。</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不得通过修正或撤消不合要求的偏离或保留从而使其投标成为实质上响应的投标，但经评标委员会认定属于</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修改、补正投标文件后，不影响评标委员会对其投标文件所作的评价和评分结果。</w:t>
      </w:r>
    </w:p>
    <w:p>
      <w:pPr>
        <w:snapToGrid w:val="0"/>
        <w:spacing w:line="360" w:lineRule="auto"/>
        <w:ind w:firstLine="472" w:firstLineChars="196"/>
        <w:rPr>
          <w:rFonts w:ascii="宋体" w:hAnsi="宋体"/>
          <w:b/>
          <w:bCs/>
          <w:color w:val="auto"/>
          <w:sz w:val="24"/>
          <w:szCs w:val="24"/>
          <w:highlight w:val="none"/>
        </w:rPr>
      </w:pPr>
      <w:r>
        <w:rPr>
          <w:rFonts w:ascii="宋体" w:hAnsi="宋体"/>
          <w:b/>
          <w:bCs/>
          <w:color w:val="auto"/>
          <w:sz w:val="24"/>
          <w:szCs w:val="24"/>
          <w:highlight w:val="none"/>
        </w:rPr>
        <w:t>1</w:t>
      </w:r>
      <w:r>
        <w:rPr>
          <w:rFonts w:hint="eastAsia" w:ascii="宋体" w:hAnsi="宋体"/>
          <w:b/>
          <w:bCs/>
          <w:color w:val="auto"/>
          <w:sz w:val="24"/>
          <w:szCs w:val="24"/>
          <w:highlight w:val="none"/>
        </w:rPr>
        <w:t>.</w:t>
      </w:r>
      <w:r>
        <w:rPr>
          <w:rFonts w:ascii="宋体" w:hAnsi="宋体"/>
          <w:b/>
          <w:bCs/>
          <w:color w:val="auto"/>
          <w:sz w:val="24"/>
          <w:szCs w:val="24"/>
          <w:highlight w:val="none"/>
        </w:rPr>
        <w:t>在符合性审查和</w:t>
      </w:r>
      <w:r>
        <w:rPr>
          <w:rFonts w:hint="eastAsia" w:ascii="宋体" w:hAnsi="宋体"/>
          <w:b/>
          <w:bCs/>
          <w:color w:val="auto"/>
          <w:sz w:val="24"/>
          <w:szCs w:val="24"/>
          <w:highlight w:val="none"/>
          <w:lang w:val="en-US" w:eastAsia="zh-CN"/>
        </w:rPr>
        <w:t>资格证明文件</w:t>
      </w:r>
      <w:r>
        <w:rPr>
          <w:rFonts w:ascii="宋体" w:hAnsi="宋体"/>
          <w:b/>
          <w:bCs/>
          <w:color w:val="auto"/>
          <w:sz w:val="24"/>
          <w:szCs w:val="24"/>
          <w:highlight w:val="none"/>
        </w:rPr>
        <w:t>评审时，如发现下列情形之一的，投标文件将被视为无效：</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（1）不具备招标文件中规定的资格要求的或</w:t>
      </w:r>
      <w:r>
        <w:rPr>
          <w:rFonts w:hint="eastAsia" w:ascii="宋体" w:hAnsi="宋体" w:eastAsia="宋体" w:cs="Times New Roman"/>
          <w:sz w:val="24"/>
          <w:szCs w:val="24"/>
          <w:lang w:val="en-US" w:eastAsia="zh-CN"/>
        </w:rPr>
        <w:t>资格证明</w:t>
      </w:r>
      <w:r>
        <w:rPr>
          <w:rFonts w:hint="eastAsia" w:ascii="宋体" w:hAnsi="宋体" w:eastAsia="宋体" w:cs="Times New Roman"/>
          <w:sz w:val="24"/>
          <w:szCs w:val="24"/>
          <w:lang w:eastAsia="zh-CN"/>
        </w:rPr>
        <w:t>文件</w:t>
      </w:r>
      <w:r>
        <w:rPr>
          <w:rFonts w:hint="eastAsia" w:ascii="宋体" w:hAnsi="宋体" w:eastAsia="宋体" w:cs="Times New Roman"/>
          <w:sz w:val="24"/>
          <w:szCs w:val="24"/>
        </w:rPr>
        <w:t>不全的；</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（2）投标文件未按招标文件要求签署、盖章的；</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（3）投标代表人未能出具身份证明或与法定代表人授权委托人身份不符的；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（4）投标文件组成不符合招标文件要求的；</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（5）投标文件份数不符合招标文件要求的；</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（7）投标有效期、服务时间等商务条款不能满足招标文件要求的；</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（8）未实质性响应招标文件要求或者投标文件有招标方不能接受的附加条件的；</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（9）法律法规或规章规定属无效标情形的。</w:t>
      </w:r>
    </w:p>
    <w:p>
      <w:pPr>
        <w:pStyle w:val="16"/>
        <w:snapToGrid w:val="0"/>
        <w:spacing w:line="360" w:lineRule="auto"/>
        <w:ind w:firstLine="457" w:firstLineChars="196"/>
        <w:rPr>
          <w:rFonts w:hAnsi="宋体"/>
          <w:b/>
          <w:bCs/>
          <w:color w:val="auto"/>
          <w:sz w:val="24"/>
          <w:szCs w:val="24"/>
          <w:highlight w:val="none"/>
        </w:rPr>
      </w:pPr>
      <w:r>
        <w:rPr>
          <w:rFonts w:hAnsi="宋体"/>
          <w:b/>
          <w:bCs/>
          <w:color w:val="auto"/>
          <w:sz w:val="24"/>
          <w:szCs w:val="24"/>
          <w:highlight w:val="none"/>
        </w:rPr>
        <w:t>2.在报价评审时，如发现下列情形之一的，投标文件将被视为无效：</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（1）未采用人民币报价或者未按照招标文件标明的币种报价的；</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（2）投标报价具有选择性，或者开标价格与投标文件承诺的优惠（折扣）价格不一致的；</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（3）投标报价高于采购最高限价的。</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（4）综合单价报价高于综合单价最高限价的。</w:t>
      </w:r>
    </w:p>
    <w:p>
      <w:pPr>
        <w:pStyle w:val="16"/>
        <w:snapToGrid w:val="0"/>
        <w:spacing w:line="360" w:lineRule="auto"/>
        <w:ind w:firstLine="466" w:firstLineChars="200"/>
        <w:rPr>
          <w:rFonts w:hAnsi="宋体"/>
          <w:color w:val="auto"/>
          <w:sz w:val="24"/>
          <w:szCs w:val="24"/>
          <w:highlight w:val="none"/>
        </w:rPr>
      </w:pPr>
      <w:r>
        <w:rPr>
          <w:rFonts w:hAnsi="宋体"/>
          <w:b/>
          <w:color w:val="auto"/>
          <w:sz w:val="24"/>
          <w:szCs w:val="24"/>
          <w:highlight w:val="none"/>
        </w:rPr>
        <w:t>（5）评标委员会认为</w:t>
      </w:r>
      <w:r>
        <w:rPr>
          <w:rFonts w:hint="eastAsia" w:hAnsi="宋体"/>
          <w:b/>
          <w:color w:val="auto"/>
          <w:sz w:val="24"/>
          <w:szCs w:val="24"/>
          <w:highlight w:val="none"/>
          <w:lang w:eastAsia="zh-CN"/>
        </w:rPr>
        <w:t>供应商</w:t>
      </w:r>
      <w:r>
        <w:rPr>
          <w:rFonts w:hAnsi="宋体"/>
          <w:b/>
          <w:color w:val="auto"/>
          <w:sz w:val="24"/>
          <w:szCs w:val="24"/>
          <w:highlight w:val="none"/>
        </w:rPr>
        <w:t>的报价明显低于其他通过符合性审查</w:t>
      </w:r>
      <w:r>
        <w:rPr>
          <w:rFonts w:hint="eastAsia" w:hAnsi="宋体"/>
          <w:b/>
          <w:color w:val="auto"/>
          <w:sz w:val="24"/>
          <w:szCs w:val="24"/>
          <w:highlight w:val="none"/>
          <w:lang w:eastAsia="zh-CN"/>
        </w:rPr>
        <w:t>供应商</w:t>
      </w:r>
      <w:r>
        <w:rPr>
          <w:rFonts w:hAnsi="宋体"/>
          <w:b/>
          <w:color w:val="auto"/>
          <w:sz w:val="24"/>
          <w:szCs w:val="24"/>
          <w:highlight w:val="none"/>
        </w:rPr>
        <w:t>的报价，有可能影响产品质量或者不能诚信履约的，应当要求其在评标现场合理的时间内提供书面说明，必要时提交相关证明材料;</w:t>
      </w:r>
      <w:r>
        <w:rPr>
          <w:rFonts w:hint="eastAsia" w:hAnsi="宋体"/>
          <w:b/>
          <w:color w:val="auto"/>
          <w:sz w:val="24"/>
          <w:szCs w:val="24"/>
          <w:highlight w:val="none"/>
          <w:lang w:eastAsia="zh-CN"/>
        </w:rPr>
        <w:t>供应商</w:t>
      </w:r>
      <w:r>
        <w:rPr>
          <w:rFonts w:hAnsi="宋体"/>
          <w:b/>
          <w:color w:val="auto"/>
          <w:sz w:val="24"/>
          <w:szCs w:val="24"/>
          <w:highlight w:val="none"/>
        </w:rPr>
        <w:t>不能证明其报价合理性的，评标委员会应当将其作为无效投标处理</w:t>
      </w:r>
      <w:r>
        <w:rPr>
          <w:rFonts w:hAnsi="宋体"/>
          <w:color w:val="auto"/>
          <w:sz w:val="24"/>
          <w:szCs w:val="24"/>
          <w:highlight w:val="none"/>
        </w:rPr>
        <w:t>。</w:t>
      </w:r>
    </w:p>
    <w:p>
      <w:pPr>
        <w:pStyle w:val="16"/>
        <w:snapToGrid w:val="0"/>
        <w:spacing w:line="360" w:lineRule="auto"/>
        <w:ind w:firstLine="457" w:firstLineChars="196"/>
        <w:rPr>
          <w:rFonts w:hAnsi="宋体"/>
          <w:b/>
          <w:color w:val="auto"/>
          <w:sz w:val="24"/>
          <w:szCs w:val="24"/>
          <w:highlight w:val="none"/>
        </w:rPr>
      </w:pPr>
      <w:r>
        <w:rPr>
          <w:rFonts w:hAnsi="宋体"/>
          <w:b/>
          <w:color w:val="auto"/>
          <w:sz w:val="24"/>
          <w:szCs w:val="24"/>
          <w:highlight w:val="none"/>
        </w:rPr>
        <w:t>3.被拒绝的投标文件为无效。</w:t>
      </w:r>
    </w:p>
    <w:p>
      <w:pPr>
        <w:pStyle w:val="6"/>
        <w:snapToGrid w:val="0"/>
        <w:spacing w:before="156" w:after="156" w:line="360" w:lineRule="auto"/>
        <w:rPr>
          <w:rFonts w:hAnsi="宋体"/>
          <w:b/>
          <w:color w:val="auto"/>
          <w:sz w:val="30"/>
          <w:szCs w:val="30"/>
          <w:highlight w:val="none"/>
        </w:rPr>
      </w:pPr>
      <w:r>
        <w:rPr>
          <w:rFonts w:hAnsi="宋体"/>
          <w:b/>
          <w:color w:val="auto"/>
          <w:sz w:val="30"/>
          <w:szCs w:val="30"/>
          <w:highlight w:val="none"/>
        </w:rPr>
        <w:t>四、开标</w:t>
      </w:r>
    </w:p>
    <w:p>
      <w:pPr>
        <w:pStyle w:val="6"/>
        <w:snapToGrid w:val="0"/>
        <w:spacing w:before="156" w:after="156" w:line="360" w:lineRule="auto"/>
        <w:ind w:firstLine="472" w:firstLineChars="196"/>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（一）开标</w:t>
      </w:r>
    </w:p>
    <w:p>
      <w:pPr>
        <w:snapToGrid w:val="0"/>
        <w:spacing w:line="360" w:lineRule="auto"/>
        <w:ind w:firstLine="480" w:firstLineChars="200"/>
        <w:rPr>
          <w:rFonts w:hint="eastAsia" w:hAnsi="宋体"/>
          <w:color w:val="auto"/>
          <w:sz w:val="24"/>
          <w:szCs w:val="24"/>
          <w:highlight w:val="none"/>
        </w:rPr>
      </w:pPr>
      <w:r>
        <w:rPr>
          <w:rFonts w:hint="eastAsia" w:ascii="宋体" w:hAnsi="宋体" w:eastAsia="宋体" w:cs="Times New Roman"/>
          <w:sz w:val="24"/>
          <w:szCs w:val="24"/>
        </w:rPr>
        <w:t>1、采购人在“招标公告”规定的时间和地点公开开标，</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的法定代表人或其授权代表应参加开标会并签到。</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的法定代表人或其授权代表未按时签到的，视同放弃开标监督权利、认可开标结果。</w:t>
      </w:r>
    </w:p>
    <w:p>
      <w:pPr>
        <w:pStyle w:val="6"/>
        <w:snapToGrid w:val="0"/>
        <w:spacing w:beforeLines="0" w:afterLines="0" w:line="360" w:lineRule="auto"/>
        <w:ind w:firstLine="472" w:firstLineChars="196"/>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 开标、评标及定标程序：</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1、开标会由招标项目负责人主持，主持人宣布开标会议开始；</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2、主持人介绍参加开标会的人员名单； </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3、主持人宣布评标期间的有关事项，告知应当回避的情形,提请有关人员回避；</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或其当场推荐的代表，检查投标文件密封的完整性；</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按</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签到的先后顺序当场拆封</w:t>
      </w:r>
      <w:r>
        <w:rPr>
          <w:rFonts w:hint="eastAsia" w:ascii="宋体" w:hAnsi="宋体" w:eastAsia="宋体" w:cs="Times New Roman"/>
          <w:sz w:val="24"/>
          <w:szCs w:val="24"/>
          <w:lang w:val="en-US" w:eastAsia="zh-CN"/>
        </w:rPr>
        <w:t>资格证明</w:t>
      </w:r>
      <w:r>
        <w:rPr>
          <w:rFonts w:hint="eastAsia" w:ascii="宋体" w:hAnsi="宋体" w:eastAsia="宋体" w:cs="Times New Roman"/>
          <w:sz w:val="24"/>
          <w:szCs w:val="24"/>
          <w:lang w:eastAsia="zh-CN"/>
        </w:rPr>
        <w:t>文件</w:t>
      </w:r>
      <w:r>
        <w:rPr>
          <w:rFonts w:hint="eastAsia" w:ascii="宋体" w:hAnsi="宋体" w:eastAsia="宋体" w:cs="Times New Roman"/>
          <w:sz w:val="24"/>
          <w:szCs w:val="24"/>
        </w:rPr>
        <w:t>，评标委员会先对</w:t>
      </w:r>
      <w:r>
        <w:rPr>
          <w:rFonts w:hint="eastAsia" w:ascii="宋体" w:hAnsi="宋体" w:eastAsia="宋体" w:cs="Times New Roman"/>
          <w:sz w:val="24"/>
          <w:szCs w:val="24"/>
          <w:lang w:val="en-US" w:eastAsia="zh-CN"/>
        </w:rPr>
        <w:t>资格证明</w:t>
      </w:r>
      <w:r>
        <w:rPr>
          <w:rFonts w:hint="eastAsia" w:ascii="宋体" w:hAnsi="宋体" w:eastAsia="宋体" w:cs="Times New Roman"/>
          <w:sz w:val="24"/>
          <w:szCs w:val="24"/>
          <w:lang w:eastAsia="zh-CN"/>
        </w:rPr>
        <w:t>文件</w:t>
      </w:r>
      <w:r>
        <w:rPr>
          <w:rFonts w:hint="eastAsia" w:ascii="宋体" w:hAnsi="宋体" w:eastAsia="宋体" w:cs="Times New Roman"/>
          <w:sz w:val="24"/>
          <w:szCs w:val="24"/>
        </w:rPr>
        <w:t>进行评审及必要的询标，结束后公布无效投标的</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名单、投标无效的原因；</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、按先后顺序当场拆封</w:t>
      </w:r>
      <w:r>
        <w:rPr>
          <w:rFonts w:hint="eastAsia" w:ascii="宋体" w:hAnsi="宋体" w:eastAsia="宋体" w:cs="Times New Roman"/>
          <w:sz w:val="24"/>
          <w:szCs w:val="24"/>
          <w:lang w:eastAsia="zh-CN"/>
        </w:rPr>
        <w:t>商务与技术文件</w:t>
      </w:r>
      <w:r>
        <w:rPr>
          <w:rFonts w:hint="eastAsia" w:ascii="宋体" w:hAnsi="宋体" w:eastAsia="宋体" w:cs="Times New Roman"/>
          <w:sz w:val="24"/>
          <w:szCs w:val="24"/>
        </w:rPr>
        <w:t>，评标委员会对</w:t>
      </w:r>
      <w:r>
        <w:rPr>
          <w:rFonts w:hint="eastAsia" w:ascii="宋体" w:hAnsi="宋体" w:eastAsia="宋体" w:cs="Times New Roman"/>
          <w:sz w:val="24"/>
          <w:szCs w:val="24"/>
          <w:lang w:eastAsia="zh-CN"/>
        </w:rPr>
        <w:t>商务与技术文件</w:t>
      </w:r>
      <w:r>
        <w:rPr>
          <w:rFonts w:hint="eastAsia" w:ascii="宋体" w:hAnsi="宋体" w:eastAsia="宋体" w:cs="Times New Roman"/>
          <w:sz w:val="24"/>
          <w:szCs w:val="24"/>
        </w:rPr>
        <w:t>进行评审及必要的询标，结束后公布无效投标的</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名单、投标无效的原因；</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、按顺序当场拆封</w:t>
      </w:r>
      <w:r>
        <w:rPr>
          <w:rFonts w:hint="eastAsia" w:ascii="宋体" w:hAnsi="宋体" w:eastAsia="宋体" w:cs="Times New Roman"/>
          <w:sz w:val="24"/>
          <w:szCs w:val="24"/>
          <w:lang w:eastAsia="zh-CN"/>
        </w:rPr>
        <w:t>报价文件</w:t>
      </w:r>
      <w:r>
        <w:rPr>
          <w:rFonts w:hint="eastAsia" w:ascii="宋体" w:hAnsi="宋体" w:eastAsia="宋体" w:cs="Times New Roman"/>
          <w:sz w:val="24"/>
          <w:szCs w:val="24"/>
        </w:rPr>
        <w:t>书，并现场宣读《开标一览表》中的投标报价，以及采购人认为有必要宣读的其他内容；</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 xml:space="preserve">、采购人做开标记录, </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代表对开标记录进行当场校核及勘误，并签字确认。同时由记录人、监督人当场签字确认。</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代表未到场签字确认或者拒绝签字确认的，不影响评标过程；</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、评标委员会对</w:t>
      </w:r>
      <w:r>
        <w:rPr>
          <w:rFonts w:hint="eastAsia" w:ascii="宋体" w:hAnsi="宋体" w:eastAsia="宋体" w:cs="Times New Roman"/>
          <w:sz w:val="24"/>
          <w:szCs w:val="24"/>
          <w:lang w:eastAsia="zh-CN"/>
        </w:rPr>
        <w:t>报价文件</w:t>
      </w:r>
      <w:r>
        <w:rPr>
          <w:rFonts w:hint="eastAsia" w:ascii="宋体" w:hAnsi="宋体" w:eastAsia="宋体" w:cs="Times New Roman"/>
          <w:sz w:val="24"/>
          <w:szCs w:val="24"/>
        </w:rPr>
        <w:t>书进行评审及必要的询标，计算价格分及总得分；</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、评标委员会进行资质后审，确定预中标供应商，编写评标报告；</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11</w:t>
      </w:r>
      <w:r>
        <w:rPr>
          <w:rFonts w:hint="eastAsia" w:ascii="宋体" w:hAnsi="宋体" w:eastAsia="宋体" w:cs="Times New Roman"/>
          <w:sz w:val="24"/>
          <w:szCs w:val="24"/>
        </w:rPr>
        <w:t>、宣布评标结果，开标会议结束。</w:t>
      </w:r>
    </w:p>
    <w:p>
      <w:pPr>
        <w:pStyle w:val="6"/>
        <w:snapToGrid w:val="0"/>
        <w:spacing w:before="156" w:after="156" w:line="360" w:lineRule="auto"/>
        <w:rPr>
          <w:rFonts w:hint="eastAsia" w:hAnsi="宋体" w:eastAsia="宋体" w:cs="Times New Roman"/>
          <w:b/>
          <w:color w:val="auto"/>
          <w:sz w:val="30"/>
          <w:szCs w:val="30"/>
          <w:highlight w:val="none"/>
          <w:lang w:eastAsia="zh-CN"/>
        </w:rPr>
      </w:pPr>
      <w:r>
        <w:rPr>
          <w:rFonts w:hAnsi="宋体" w:eastAsia="宋体" w:cs="Times New Roman"/>
          <w:b/>
          <w:color w:val="auto"/>
          <w:sz w:val="30"/>
          <w:szCs w:val="30"/>
          <w:highlight w:val="none"/>
        </w:rPr>
        <w:t>五、评标</w:t>
      </w:r>
      <w:r>
        <w:rPr>
          <w:rFonts w:hint="eastAsia" w:hAnsi="宋体" w:eastAsia="宋体" w:cs="Times New Roman"/>
          <w:b/>
          <w:color w:val="auto"/>
          <w:sz w:val="30"/>
          <w:szCs w:val="30"/>
          <w:highlight w:val="none"/>
          <w:lang w:eastAsia="zh-CN"/>
        </w:rPr>
        <w:t>（</w:t>
      </w:r>
      <w:r>
        <w:rPr>
          <w:rFonts w:hint="eastAsia" w:hAnsi="宋体" w:eastAsia="宋体" w:cs="Times New Roman"/>
          <w:b/>
          <w:color w:val="auto"/>
          <w:sz w:val="30"/>
          <w:szCs w:val="30"/>
          <w:highlight w:val="none"/>
          <w:lang w:val="en-US" w:eastAsia="zh-CN"/>
        </w:rPr>
        <w:t>详见第四章评标办法及评分标准</w:t>
      </w:r>
      <w:r>
        <w:rPr>
          <w:rFonts w:hint="eastAsia" w:hAnsi="宋体" w:eastAsia="宋体" w:cs="Times New Roman"/>
          <w:b/>
          <w:color w:val="auto"/>
          <w:sz w:val="30"/>
          <w:szCs w:val="30"/>
          <w:highlight w:val="none"/>
          <w:lang w:eastAsia="zh-CN"/>
        </w:rPr>
        <w:t>）</w:t>
      </w:r>
    </w:p>
    <w:p>
      <w:pPr>
        <w:pStyle w:val="6"/>
        <w:snapToGrid w:val="0"/>
        <w:spacing w:before="156" w:after="156" w:line="360" w:lineRule="auto"/>
        <w:rPr>
          <w:rFonts w:hAnsi="宋体" w:eastAsia="宋体" w:cs="Times New Roman"/>
          <w:b/>
          <w:color w:val="auto"/>
          <w:sz w:val="24"/>
          <w:szCs w:val="24"/>
          <w:highlight w:val="none"/>
        </w:rPr>
      </w:pPr>
      <w:r>
        <w:rPr>
          <w:rFonts w:hAnsi="宋体" w:eastAsia="宋体" w:cs="Times New Roman"/>
          <w:b/>
          <w:color w:val="auto"/>
          <w:sz w:val="30"/>
          <w:szCs w:val="30"/>
          <w:highlight w:val="none"/>
        </w:rPr>
        <w:t>六</w:t>
      </w:r>
      <w:r>
        <w:rPr>
          <w:rFonts w:hAnsi="宋体" w:eastAsia="宋体" w:cs="Times New Roman"/>
          <w:b/>
          <w:color w:val="auto"/>
          <w:sz w:val="24"/>
          <w:szCs w:val="24"/>
          <w:highlight w:val="none"/>
        </w:rPr>
        <w:t>、定标</w:t>
      </w:r>
    </w:p>
    <w:p>
      <w:pPr>
        <w:pStyle w:val="6"/>
        <w:snapToGrid w:val="0"/>
        <w:spacing w:beforeLines="0" w:afterLines="0" w:line="360" w:lineRule="auto"/>
        <w:ind w:firstLine="472" w:firstLineChars="196"/>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（一）确定成交供应商</w:t>
      </w:r>
    </w:p>
    <w:p>
      <w:pPr>
        <w:snapToGrid w:val="0"/>
        <w:spacing w:line="360" w:lineRule="auto"/>
        <w:ind w:firstLine="480" w:firstLineChars="200"/>
        <w:rPr>
          <w:rFonts w:hAnsi="宋体"/>
          <w:b/>
          <w:bCs/>
          <w:color w:val="auto"/>
          <w:sz w:val="24"/>
          <w:szCs w:val="24"/>
          <w:highlight w:val="none"/>
        </w:rPr>
      </w:pPr>
      <w:r>
        <w:rPr>
          <w:rFonts w:hint="eastAsia" w:ascii="宋体" w:hAnsi="宋体" w:eastAsia="宋体" w:cs="Times New Roman"/>
          <w:sz w:val="24"/>
          <w:szCs w:val="24"/>
          <w:lang w:val="en-US" w:eastAsia="zh-CN"/>
        </w:rPr>
        <w:t>本项目确定二名中标候选</w:t>
      </w:r>
      <w:r>
        <w:rPr>
          <w:rFonts w:hint="eastAsia" w:ascii="宋体" w:hAnsi="宋体" w:eastAsia="宋体" w:cs="Times New Roman"/>
          <w:sz w:val="24"/>
          <w:szCs w:val="24"/>
        </w:rPr>
        <w:t>供应商</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采购人应确定排名第一的中标候选供应商为</w:t>
      </w:r>
      <w:r>
        <w:rPr>
          <w:rFonts w:hint="eastAsia" w:ascii="宋体" w:hAnsi="宋体" w:eastAsia="宋体" w:cs="Times New Roman"/>
          <w:sz w:val="24"/>
          <w:szCs w:val="24"/>
          <w:lang w:val="en-US" w:eastAsia="zh-CN"/>
        </w:rPr>
        <w:t>成交</w:t>
      </w:r>
      <w:r>
        <w:rPr>
          <w:rFonts w:hint="eastAsia" w:ascii="宋体" w:hAnsi="宋体" w:eastAsia="宋体" w:cs="Times New Roman"/>
          <w:sz w:val="24"/>
          <w:szCs w:val="24"/>
        </w:rPr>
        <w:t>供应商，排名第一的中标候选供应商放弃成交；或因不可抗力或自身原因提出不能履行合同；或者谈判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w:t>
      </w:r>
      <w:r>
        <w:rPr>
          <w:rFonts w:hint="eastAsia" w:ascii="宋体" w:hAnsi="宋体" w:eastAsia="宋体" w:cs="Times New Roman"/>
          <w:sz w:val="24"/>
          <w:szCs w:val="24"/>
          <w:lang w:val="en-US" w:eastAsia="zh-CN"/>
        </w:rPr>
        <w:t>成交</w:t>
      </w:r>
      <w:r>
        <w:rPr>
          <w:rFonts w:hint="eastAsia" w:ascii="宋体" w:hAnsi="宋体" w:eastAsia="宋体" w:cs="Times New Roman"/>
          <w:sz w:val="24"/>
          <w:szCs w:val="24"/>
        </w:rPr>
        <w:t>供应商。</w:t>
      </w:r>
    </w:p>
    <w:p>
      <w:pPr>
        <w:pStyle w:val="6"/>
        <w:snapToGrid w:val="0"/>
        <w:spacing w:beforeLines="0" w:afterLines="0" w:line="360" w:lineRule="auto"/>
        <w:rPr>
          <w:rFonts w:hAnsi="宋体"/>
          <w:b/>
          <w:color w:val="auto"/>
          <w:sz w:val="30"/>
          <w:szCs w:val="30"/>
          <w:highlight w:val="none"/>
        </w:rPr>
      </w:pPr>
      <w:r>
        <w:rPr>
          <w:rFonts w:hAnsi="宋体"/>
          <w:b/>
          <w:color w:val="auto"/>
          <w:sz w:val="30"/>
          <w:szCs w:val="30"/>
          <w:highlight w:val="none"/>
        </w:rPr>
        <w:t>七、合同授予</w:t>
      </w:r>
    </w:p>
    <w:p>
      <w:pPr>
        <w:pageBreakBefore w:val="0"/>
        <w:kinsoku/>
        <w:wordWrap/>
        <w:overflowPunct/>
        <w:topLinePunct w:val="0"/>
        <w:bidi w:val="0"/>
        <w:snapToGrid w:val="0"/>
        <w:spacing w:line="30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（一）签订合同</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1.采购人与</w:t>
      </w:r>
      <w:r>
        <w:rPr>
          <w:rFonts w:hint="eastAsia" w:ascii="宋体" w:hAnsi="宋体" w:eastAsia="宋体" w:cs="Times New Roman"/>
          <w:sz w:val="24"/>
          <w:szCs w:val="24"/>
          <w:lang w:eastAsia="zh-CN"/>
        </w:rPr>
        <w:t>成交供应商</w:t>
      </w:r>
      <w:r>
        <w:rPr>
          <w:rFonts w:hint="eastAsia" w:ascii="宋体" w:hAnsi="宋体" w:eastAsia="宋体" w:cs="Times New Roman"/>
          <w:sz w:val="24"/>
          <w:szCs w:val="24"/>
        </w:rPr>
        <w:t>应当在《中标通知书》发出之日起30日内签订政府采购合同。同时，采购代理机构对合同内容进行审查，如发现与采购结果和投标承诺内容不一致的，应予以纠正。</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成交供应商</w:t>
      </w:r>
      <w:r>
        <w:rPr>
          <w:rFonts w:hint="eastAsia" w:ascii="宋体" w:hAnsi="宋体" w:eastAsia="宋体" w:cs="Times New Roman"/>
          <w:sz w:val="24"/>
          <w:szCs w:val="24"/>
        </w:rPr>
        <w:t>拖延、拒签合同的,将被取消中标资格。</w:t>
      </w:r>
    </w:p>
    <w:p>
      <w:pPr>
        <w:pStyle w:val="6"/>
        <w:snapToGrid w:val="0"/>
        <w:spacing w:before="156" w:after="156" w:line="360" w:lineRule="auto"/>
        <w:ind w:firstLine="480" w:firstLineChars="200"/>
        <w:jc w:val="center"/>
        <w:rPr>
          <w:rFonts w:hint="eastAsia" w:hAnsi="宋体"/>
          <w:b/>
          <w:color w:val="auto"/>
          <w:sz w:val="30"/>
          <w:szCs w:val="30"/>
          <w:highlight w:val="none"/>
        </w:rPr>
      </w:pPr>
      <w:r>
        <w:rPr>
          <w:rFonts w:hAnsi="宋体"/>
          <w:color w:val="auto"/>
          <w:highlight w:val="none"/>
        </w:rPr>
        <w:br w:type="page"/>
      </w:r>
      <w:r>
        <w:rPr>
          <w:rFonts w:hint="eastAsia" w:hAnsi="宋体"/>
          <w:color w:val="auto"/>
          <w:sz w:val="36"/>
          <w:szCs w:val="36"/>
          <w:highlight w:val="none"/>
        </w:rPr>
        <w:t xml:space="preserve"> </w:t>
      </w:r>
      <w:r>
        <w:rPr>
          <w:rFonts w:hAnsi="宋体"/>
          <w:b/>
          <w:color w:val="auto"/>
          <w:sz w:val="30"/>
          <w:szCs w:val="30"/>
          <w:highlight w:val="none"/>
        </w:rPr>
        <w:t>第四章  评标办法及评分标准</w:t>
      </w:r>
    </w:p>
    <w:p>
      <w:pPr>
        <w:pageBreakBefore w:val="0"/>
        <w:kinsoku/>
        <w:wordWrap/>
        <w:overflowPunct/>
        <w:topLinePunct w:val="0"/>
        <w:bidi w:val="0"/>
        <w:snapToGrid w:val="0"/>
        <w:spacing w:line="300" w:lineRule="auto"/>
        <w:ind w:firstLine="723" w:firstLineChars="3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一、评标原则</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（一）评标活动遵循公平、公正、科学和择优的原则，以采购文件和投标文件为评标的基本依据，并按照采购文件规定的评标方法和评标标准进行评标。</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（二）任何单位和个人不得干扰、影响评标的正常进行；评标委员会及有关工作人员应不带任何倾向性和启发性，不得向外界透露任何与评标有关的内容，不得私下与供应商接触。</w:t>
      </w:r>
    </w:p>
    <w:p>
      <w:pPr>
        <w:pageBreakBefore w:val="0"/>
        <w:kinsoku/>
        <w:wordWrap/>
        <w:overflowPunct/>
        <w:topLinePunct w:val="0"/>
        <w:bidi w:val="0"/>
        <w:snapToGrid w:val="0"/>
        <w:spacing w:line="300" w:lineRule="auto"/>
        <w:ind w:firstLine="723" w:firstLineChars="3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二、评标方法</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综合评分法，是指投标文件满足采购文件全部实质性要求，且按照评审因素的量化指标评审得分最高的供应商为中标候选人的评标方法。</w:t>
      </w:r>
    </w:p>
    <w:p>
      <w:pPr>
        <w:pStyle w:val="38"/>
        <w:spacing w:after="0" w:line="360" w:lineRule="auto"/>
        <w:ind w:left="0" w:leftChars="0" w:firstLine="699" w:firstLineChars="3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三、评标委员会</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（一）本项目评标委员会由采购人代表和评审专家组成。</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（二）评标委员会成员与参与投标的供应商有下列情形之一的，应当回避：</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1.参加采购活动前3年内与供应商存在劳动关系；</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2.参加采购活动前3年内担任供应商的董事、监事；</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3.参加采购活动前3年内是供应商的控股股东或者实际控制人；</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4.与供应商的法定代表人或者负责人有夫妻、直系血亲、三代以内旁系血亲或者近姻亲关系；</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5.与供应商有其他可能影响政府采购活动公平、公正进行的关系；</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6.法律法规规定的其他情形。</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（三）评标委员会负责具体评标事务，并独立履行下列职责：</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1.审查、评价投标文件是否符合采购文件的商务、技术等实质性要求；</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2.要求供应商对投标文件有关事项作出澄清或者说明；</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3.对投标文件进行比较和评价；</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4.确定中标候选人名单，以及根据采购人委托直接确定成交供应商；</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5.向采购人、采购组织机构或者有关部门报告评标中发现的违法行为；</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6.法律法规规定的其他职责。</w:t>
      </w:r>
    </w:p>
    <w:p>
      <w:pPr>
        <w:pStyle w:val="34"/>
        <w:spacing w:before="0" w:beforeAutospacing="0" w:after="0" w:afterAutospacing="0" w:line="360" w:lineRule="auto"/>
        <w:ind w:firstLine="699" w:firstLineChars="300"/>
        <w:jc w:val="both"/>
        <w:rPr>
          <w:rFonts w:hint="default" w:ascii="宋体" w:hAnsi="宋体" w:eastAsia="宋体" w:cs="宋体"/>
          <w:b/>
          <w:bCs/>
          <w:color w:val="auto"/>
          <w:spacing w:val="-4"/>
          <w:kern w:val="2"/>
          <w:sz w:val="24"/>
          <w:szCs w:val="24"/>
          <w:lang w:val="en-US" w:eastAsia="zh-CN" w:bidi="ar-SA"/>
        </w:rPr>
      </w:pPr>
      <w:r>
        <w:rPr>
          <w:rFonts w:hint="eastAsia" w:ascii="宋体" w:hAnsi="宋体" w:eastAsia="宋体" w:cs="宋体"/>
          <w:b/>
          <w:bCs/>
          <w:color w:val="auto"/>
          <w:spacing w:val="-4"/>
          <w:kern w:val="2"/>
          <w:sz w:val="24"/>
          <w:szCs w:val="24"/>
          <w:lang w:val="en-US" w:eastAsia="zh-CN" w:bidi="ar-SA"/>
        </w:rPr>
        <w:t>四、无效标情形</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（一）在</w:t>
      </w:r>
      <w:r>
        <w:rPr>
          <w:rFonts w:hint="eastAsia" w:ascii="宋体" w:hAnsi="宋体" w:eastAsia="宋体" w:cs="Times New Roman"/>
          <w:sz w:val="24"/>
          <w:szCs w:val="24"/>
          <w:lang w:val="en-US" w:eastAsia="zh-CN"/>
        </w:rPr>
        <w:t>商务与技术文件</w:t>
      </w:r>
      <w:r>
        <w:rPr>
          <w:rFonts w:hint="eastAsia" w:ascii="宋体" w:hAnsi="宋体" w:eastAsia="宋体" w:cs="Times New Roman"/>
          <w:sz w:val="24"/>
          <w:szCs w:val="24"/>
        </w:rPr>
        <w:t>中出现投标报价的，或者报价文件中报价的服务跟</w:t>
      </w:r>
      <w:r>
        <w:rPr>
          <w:rFonts w:hint="eastAsia" w:ascii="宋体" w:hAnsi="宋体" w:eastAsia="宋体" w:cs="Times New Roman"/>
          <w:sz w:val="24"/>
          <w:szCs w:val="24"/>
          <w:lang w:val="en-US" w:eastAsia="zh-CN"/>
        </w:rPr>
        <w:t>商务与技术文件</w:t>
      </w:r>
      <w:r>
        <w:rPr>
          <w:rFonts w:hint="eastAsia" w:ascii="宋体" w:hAnsi="宋体" w:eastAsia="宋体" w:cs="Times New Roman"/>
          <w:sz w:val="24"/>
          <w:szCs w:val="24"/>
        </w:rPr>
        <w:t>中的投标服务出现重大偏差的；</w:t>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（二）不具备采购文件中规定的资格要求的；</w:t>
      </w:r>
      <w:r>
        <w:rPr>
          <w:rFonts w:hint="default" w:ascii="宋体" w:hAnsi="宋体" w:eastAsia="宋体" w:cs="Times New Roman"/>
          <w:sz w:val="24"/>
          <w:szCs w:val="24"/>
        </w:rPr>
        <w:tab/>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（三）投标文件含有采购人不能接受的附加条件的；</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四）评标委员会认为供应商的报价明显低于其他通过符合性审查供应商的报价，有可能影响服务质量或者不能诚信履约的，供应商在限定的时间内不能证明其报价合理性的，评标委员会应当将其作为无效投标处理；</w:t>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 xml:space="preserve">（五）报价超过采购文件中规定的预算金额/最高限价或未填写投标报价的； </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（六）投标文件存在虚假材料的； </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（七）有中华人民共和国财政部令第87号《政府采购货物和服务招标投标管理办法》第三十七条情形之一的，视为供应商串通投标，其投标无效，并移送采购监管部门：</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1.不同供应商的投标文件由同一单位或者个人编制；</w:t>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2.不同供应商委托同一单位或者个人办理投标事宜；</w:t>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3.不同供应商的投标文件载明的项目管理成员或者联系人员为同一人；</w:t>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4.不同供应商的投标文件异常一致或者投标报价呈规律性差异；</w:t>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5.不同供应商的投标文件相互混装。</w:t>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（八）实质性要求（采购文件中打“▲”内容）不响应的；</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（九）商务条款不响应的；</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（十）投标文件有效期不足的；</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（十一）逾期或未按要求提交投标文件的；</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（十二）其他不符合法律法规相关规定的。</w:t>
      </w:r>
    </w:p>
    <w:p>
      <w:pPr>
        <w:autoSpaceDE w:val="0"/>
        <w:autoSpaceDN w:val="0"/>
        <w:adjustRightInd w:val="0"/>
        <w:spacing w:line="360" w:lineRule="auto"/>
        <w:ind w:firstLine="466" w:firstLineChars="200"/>
        <w:rPr>
          <w:rFonts w:hint="eastAsia" w:ascii="宋体" w:hAnsi="宋体" w:eastAsia="宋体" w:cs="宋体"/>
          <w:b/>
          <w:bCs/>
          <w:color w:val="auto"/>
          <w:spacing w:val="-4"/>
          <w:kern w:val="2"/>
          <w:sz w:val="24"/>
          <w:szCs w:val="24"/>
          <w:lang w:val="en-US" w:eastAsia="zh-CN" w:bidi="ar-SA"/>
        </w:rPr>
      </w:pPr>
      <w:r>
        <w:rPr>
          <w:rFonts w:hint="eastAsia" w:ascii="宋体" w:hAnsi="宋体" w:eastAsia="宋体" w:cs="宋体"/>
          <w:b/>
          <w:bCs/>
          <w:color w:val="auto"/>
          <w:spacing w:val="-4"/>
          <w:kern w:val="2"/>
          <w:sz w:val="24"/>
          <w:szCs w:val="24"/>
          <w:lang w:val="en-US" w:eastAsia="zh-CN" w:bidi="ar-SA"/>
        </w:rPr>
        <w:t>五、废标情形</w:t>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（一）出现影响采购公正的违法、违规行为的；</w:t>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（二）评标委员会发现采购文件存在歧义、重大缺陷导致评标工作无法进行，或者采购文件内容违反国家有关强制性规定的；</w:t>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（三）因重大变故，采购任务取消的；</w:t>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（四）法律、法规和采购文件规定的其他导致评标结果无效的。</w:t>
      </w:r>
    </w:p>
    <w:p>
      <w:pPr>
        <w:pStyle w:val="6"/>
        <w:snapToGrid w:val="0"/>
        <w:spacing w:line="360" w:lineRule="auto"/>
        <w:ind w:firstLine="466" w:firstLineChars="200"/>
        <w:rPr>
          <w:rFonts w:hint="eastAsia" w:ascii="宋体" w:hAnsi="宋体" w:eastAsia="宋体" w:cs="宋体"/>
          <w:b/>
          <w:bCs/>
          <w:color w:val="auto"/>
          <w:spacing w:val="-4"/>
          <w:kern w:val="2"/>
          <w:sz w:val="24"/>
          <w:szCs w:val="24"/>
          <w:lang w:val="en-US" w:eastAsia="zh-CN" w:bidi="ar-SA"/>
        </w:rPr>
      </w:pPr>
      <w:r>
        <w:rPr>
          <w:rFonts w:hint="eastAsia" w:ascii="宋体" w:hAnsi="宋体" w:eastAsia="宋体" w:cs="宋体"/>
          <w:b/>
          <w:bCs/>
          <w:color w:val="auto"/>
          <w:spacing w:val="-4"/>
          <w:kern w:val="2"/>
          <w:sz w:val="24"/>
          <w:szCs w:val="24"/>
          <w:lang w:val="en-US" w:eastAsia="zh-CN" w:bidi="ar-SA"/>
        </w:rPr>
        <w:t>六、评标过程的监控</w:t>
      </w:r>
    </w:p>
    <w:p>
      <w:pPr>
        <w:snapToGrid w:val="0"/>
        <w:spacing w:line="360" w:lineRule="auto"/>
        <w:ind w:firstLine="480" w:firstLineChars="200"/>
        <w:rPr>
          <w:rFonts w:hint="default" w:ascii="宋体" w:hAnsi="宋体" w:eastAsia="宋体" w:cs="Times New Roman"/>
          <w:sz w:val="24"/>
          <w:szCs w:val="24"/>
        </w:rPr>
      </w:pPr>
      <w:r>
        <w:rPr>
          <w:rFonts w:hint="eastAsia" w:ascii="宋体" w:hAnsi="宋体" w:eastAsia="宋体" w:cs="Times New Roman"/>
          <w:sz w:val="24"/>
          <w:szCs w:val="24"/>
        </w:rPr>
        <w:t>本项目评标过程实行全程录音、录像监控，政府采购监管部门视情进行现场监督，供应商在评标过程中所进行的试图影响评标结果的不公正活动，可能导致其投标被拒绝。</w:t>
      </w:r>
    </w:p>
    <w:p>
      <w:pPr>
        <w:pStyle w:val="6"/>
        <w:snapToGrid w:val="0"/>
        <w:spacing w:line="360" w:lineRule="auto"/>
        <w:ind w:firstLine="466" w:firstLineChars="200"/>
        <w:rPr>
          <w:rFonts w:hint="eastAsia" w:ascii="宋体" w:hAnsi="宋体" w:eastAsia="宋体" w:cs="宋体"/>
          <w:b/>
          <w:bCs/>
          <w:color w:val="auto"/>
          <w:spacing w:val="-4"/>
          <w:kern w:val="2"/>
          <w:sz w:val="24"/>
          <w:szCs w:val="24"/>
          <w:lang w:val="en-US" w:eastAsia="zh-CN" w:bidi="ar-SA"/>
        </w:rPr>
      </w:pPr>
      <w:r>
        <w:rPr>
          <w:rFonts w:hint="eastAsia" w:ascii="宋体" w:hAnsi="宋体" w:eastAsia="宋体" w:cs="宋体"/>
          <w:b/>
          <w:bCs/>
          <w:color w:val="auto"/>
          <w:spacing w:val="-4"/>
          <w:kern w:val="2"/>
          <w:sz w:val="24"/>
          <w:szCs w:val="24"/>
          <w:lang w:val="en-US" w:eastAsia="zh-CN" w:bidi="ar-SA"/>
        </w:rPr>
        <w:t>七、政府采购政策落实</w:t>
      </w:r>
    </w:p>
    <w:p>
      <w:pPr>
        <w:autoSpaceDE w:val="0"/>
        <w:autoSpaceDN w:val="0"/>
        <w:adjustRightInd w:val="0"/>
        <w:spacing w:line="360" w:lineRule="auto"/>
        <w:ind w:firstLine="466" w:firstLineChars="200"/>
        <w:rPr>
          <w:rFonts w:hint="eastAsia" w:ascii="宋体" w:hAnsi="宋体" w:eastAsia="宋体" w:cs="宋体"/>
          <w:b/>
          <w:bCs/>
          <w:color w:val="auto"/>
          <w:spacing w:val="-4"/>
          <w:kern w:val="2"/>
          <w:sz w:val="24"/>
          <w:szCs w:val="24"/>
          <w:lang w:val="zh-CN" w:eastAsia="zh-CN" w:bidi="ar-SA"/>
        </w:rPr>
      </w:pPr>
      <w:r>
        <w:rPr>
          <w:rFonts w:hint="eastAsia" w:ascii="宋体" w:hAnsi="宋体" w:eastAsia="宋体" w:cs="宋体"/>
          <w:b/>
          <w:bCs/>
          <w:color w:val="auto"/>
          <w:spacing w:val="-4"/>
          <w:kern w:val="2"/>
          <w:sz w:val="24"/>
          <w:szCs w:val="24"/>
          <w:lang w:val="en-US" w:eastAsia="zh-CN" w:bidi="ar-SA"/>
        </w:rPr>
        <w:t>（一）</w:t>
      </w:r>
      <w:r>
        <w:rPr>
          <w:rFonts w:hint="eastAsia" w:ascii="宋体" w:hAnsi="宋体" w:eastAsia="宋体" w:cs="宋体"/>
          <w:b/>
          <w:bCs/>
          <w:color w:val="auto"/>
          <w:spacing w:val="-4"/>
          <w:kern w:val="2"/>
          <w:sz w:val="24"/>
          <w:szCs w:val="24"/>
          <w:lang w:val="zh-CN" w:eastAsia="zh-CN" w:bidi="ar-SA"/>
        </w:rPr>
        <w:t>政府采购政策：</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关于小型、微型企业（简称小微企业）投标：小微企业投标是指符合《中小企业划型标准规定》的供应商，通过投标提供本企业制造的货物、承担的项目或者服务，或者提供其他小微企业制造的货物。本项所指货物不包括使用大、中型企业注册商标的货物。小微企业投标应提供、《</w:t>
      </w:r>
      <w:r>
        <w:rPr>
          <w:rFonts w:hint="eastAsia" w:ascii="宋体" w:hAnsi="宋体" w:eastAsia="宋体" w:cs="Times New Roman"/>
          <w:sz w:val="24"/>
          <w:szCs w:val="24"/>
        </w:rPr>
        <w:t>中</w:t>
      </w:r>
      <w:r>
        <w:rPr>
          <w:rFonts w:hint="eastAsia" w:ascii="宋体" w:hAnsi="宋体" w:eastAsia="宋体" w:cs="Times New Roman"/>
          <w:sz w:val="24"/>
          <w:szCs w:val="24"/>
          <w:lang w:val="zh-CN"/>
        </w:rPr>
        <w:t>小企业声明函》（</w:t>
      </w:r>
      <w:r>
        <w:rPr>
          <w:rFonts w:hint="eastAsia" w:ascii="宋体" w:hAnsi="宋体" w:eastAsia="宋体" w:cs="Times New Roman"/>
          <w:sz w:val="24"/>
          <w:szCs w:val="24"/>
        </w:rPr>
        <w:t>见附件13</w:t>
      </w:r>
      <w:r>
        <w:rPr>
          <w:rFonts w:hint="eastAsia" w:ascii="宋体" w:hAnsi="宋体" w:eastAsia="宋体" w:cs="Times New Roman"/>
          <w:sz w:val="24"/>
          <w:szCs w:val="24"/>
          <w:lang w:val="zh-CN"/>
        </w:rPr>
        <w:t>），</w:t>
      </w:r>
      <w:r>
        <w:rPr>
          <w:rFonts w:hint="eastAsia" w:ascii="宋体" w:hAnsi="宋体" w:eastAsia="宋体" w:cs="Times New Roman"/>
          <w:sz w:val="24"/>
          <w:szCs w:val="24"/>
        </w:rPr>
        <w:t>供应商未提供以上资料或者经</w:t>
      </w:r>
      <w:r>
        <w:rPr>
          <w:rFonts w:hint="eastAsia" w:ascii="宋体" w:hAnsi="宋体" w:eastAsia="宋体" w:cs="Times New Roman"/>
          <w:sz w:val="24"/>
          <w:szCs w:val="24"/>
          <w:lang w:val="zh-CN"/>
        </w:rPr>
        <w:t>评标委员会核查不符的</w:t>
      </w:r>
      <w:r>
        <w:rPr>
          <w:rFonts w:hint="eastAsia" w:ascii="宋体" w:hAnsi="宋体" w:eastAsia="宋体" w:cs="Times New Roman"/>
          <w:sz w:val="24"/>
          <w:szCs w:val="24"/>
        </w:rPr>
        <w:t>，将不能享受相应的小微企业采购政策。</w:t>
      </w:r>
    </w:p>
    <w:p>
      <w:pPr>
        <w:snapToGrid w:val="0"/>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rPr>
        <w:t>2.</w:t>
      </w:r>
      <w:r>
        <w:rPr>
          <w:rFonts w:hint="eastAsia" w:ascii="宋体" w:hAnsi="宋体" w:eastAsia="宋体" w:cs="Times New Roman"/>
          <w:sz w:val="24"/>
          <w:szCs w:val="24"/>
          <w:lang w:val="zh-CN"/>
        </w:rPr>
        <w:t>监狱企业参加政府采购活动时，应当提供由省级以上监狱管理局、戒毒管理局（含新疆生产建设兵团）出具的属于监狱企业的证明文件，视同小型、微型企业，享受小微企业政府采购</w:t>
      </w:r>
      <w:r>
        <w:rPr>
          <w:rFonts w:hint="eastAsia" w:ascii="宋体" w:hAnsi="宋体" w:eastAsia="宋体" w:cs="Times New Roman"/>
          <w:sz w:val="24"/>
          <w:szCs w:val="24"/>
        </w:rPr>
        <w:t>采购</w:t>
      </w:r>
      <w:r>
        <w:rPr>
          <w:rFonts w:hint="eastAsia" w:ascii="宋体" w:hAnsi="宋体" w:eastAsia="宋体" w:cs="Times New Roman"/>
          <w:sz w:val="24"/>
          <w:szCs w:val="24"/>
          <w:lang w:val="zh-CN"/>
        </w:rPr>
        <w:t>政策。</w:t>
      </w:r>
    </w:p>
    <w:p>
      <w:pPr>
        <w:snapToGrid w:val="0"/>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rPr>
        <w:t>3.</w:t>
      </w:r>
      <w:r>
        <w:rPr>
          <w:rFonts w:hint="eastAsia" w:ascii="宋体" w:hAnsi="宋体" w:eastAsia="宋体" w:cs="Times New Roman"/>
          <w:sz w:val="24"/>
          <w:szCs w:val="24"/>
          <w:lang w:val="zh-CN"/>
        </w:rPr>
        <w:t>残疾人福利性单位在参加政府采购活动时，应提供《残疾人福利性单位声明函》（见附件</w:t>
      </w:r>
      <w:r>
        <w:rPr>
          <w:rFonts w:hint="eastAsia" w:ascii="宋体" w:hAnsi="宋体" w:eastAsia="宋体" w:cs="Times New Roman"/>
          <w:sz w:val="24"/>
          <w:szCs w:val="24"/>
        </w:rPr>
        <w:t>13</w:t>
      </w:r>
      <w:r>
        <w:rPr>
          <w:rFonts w:hint="eastAsia" w:ascii="宋体" w:hAnsi="宋体" w:eastAsia="宋体" w:cs="Times New Roman"/>
          <w:sz w:val="24"/>
          <w:szCs w:val="24"/>
          <w:lang w:val="zh-CN"/>
        </w:rPr>
        <w:t>），视同小型、微型企业，享受小微企业政府采购政策。</w:t>
      </w:r>
    </w:p>
    <w:p>
      <w:pPr>
        <w:autoSpaceDE w:val="0"/>
        <w:autoSpaceDN w:val="0"/>
        <w:adjustRightInd w:val="0"/>
        <w:spacing w:line="360" w:lineRule="auto"/>
        <w:ind w:firstLine="466" w:firstLineChars="200"/>
        <w:rPr>
          <w:rFonts w:hint="eastAsia" w:ascii="宋体" w:hAnsi="宋体" w:eastAsia="宋体" w:cs="宋体"/>
          <w:b/>
          <w:bCs/>
          <w:color w:val="auto"/>
          <w:spacing w:val="-4"/>
          <w:kern w:val="2"/>
          <w:sz w:val="24"/>
          <w:szCs w:val="24"/>
          <w:lang w:val="zh-CN" w:eastAsia="zh-CN" w:bidi="ar-SA"/>
        </w:rPr>
      </w:pPr>
      <w:r>
        <w:rPr>
          <w:rFonts w:hint="eastAsia" w:ascii="宋体" w:hAnsi="宋体" w:eastAsia="宋体" w:cs="宋体"/>
          <w:b/>
          <w:bCs/>
          <w:color w:val="auto"/>
          <w:spacing w:val="-4"/>
          <w:kern w:val="2"/>
          <w:sz w:val="24"/>
          <w:szCs w:val="24"/>
          <w:lang w:val="en-US" w:eastAsia="zh-CN" w:bidi="ar-SA"/>
        </w:rPr>
        <w:t>（二）政府采购政策优惠措施：</w:t>
      </w:r>
    </w:p>
    <w:p>
      <w:pPr>
        <w:snapToGrid w:val="0"/>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lang w:val="zh-CN"/>
        </w:rPr>
        <w:t>经主管预算单位统筹后未预留份额专门面向中小企业采购的采购项目，以及预留份额项目中的非预留部分：</w:t>
      </w:r>
      <w:r>
        <w:rPr>
          <w:rFonts w:hint="eastAsia" w:ascii="宋体" w:hAnsi="宋体" w:eastAsia="宋体" w:cs="Times New Roman"/>
          <w:sz w:val="24"/>
          <w:szCs w:val="24"/>
        </w:rPr>
        <w:t>对</w:t>
      </w:r>
      <w:r>
        <w:rPr>
          <w:rFonts w:hint="eastAsia" w:ascii="宋体" w:hAnsi="宋体" w:eastAsia="宋体" w:cs="Times New Roman"/>
          <w:sz w:val="24"/>
          <w:szCs w:val="24"/>
          <w:lang w:val="zh-CN"/>
        </w:rPr>
        <w:t>小微企业</w:t>
      </w:r>
      <w:r>
        <w:rPr>
          <w:rFonts w:hint="eastAsia" w:ascii="宋体" w:hAnsi="宋体" w:eastAsia="宋体" w:cs="Times New Roman"/>
          <w:sz w:val="24"/>
          <w:szCs w:val="24"/>
        </w:rPr>
        <w:t>报价</w:t>
      </w:r>
      <w:r>
        <w:rPr>
          <w:rFonts w:hint="eastAsia" w:ascii="宋体" w:hAnsi="宋体" w:eastAsia="宋体" w:cs="Times New Roman"/>
          <w:sz w:val="24"/>
          <w:szCs w:val="24"/>
          <w:lang w:val="zh-CN"/>
        </w:rPr>
        <w:t>给予</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0</w:t>
      </w:r>
      <w:r>
        <w:rPr>
          <w:rFonts w:hint="eastAsia" w:ascii="宋体" w:hAnsi="宋体" w:eastAsia="宋体" w:cs="Times New Roman"/>
          <w:sz w:val="24"/>
          <w:szCs w:val="24"/>
          <w:lang w:val="zh-CN"/>
        </w:rPr>
        <w:t>%的扣除，用扣除后的价格计算评标基准价和投标报价。联合体各方均为小微企业的，联合体视同为小微企业，</w:t>
      </w:r>
      <w:r>
        <w:rPr>
          <w:rFonts w:hint="eastAsia" w:ascii="宋体" w:hAnsi="宋体" w:eastAsia="宋体" w:cs="Times New Roman"/>
          <w:sz w:val="24"/>
          <w:szCs w:val="24"/>
        </w:rPr>
        <w:t>对报价</w:t>
      </w:r>
      <w:r>
        <w:rPr>
          <w:rFonts w:hint="eastAsia" w:ascii="宋体" w:hAnsi="宋体" w:eastAsia="宋体" w:cs="Times New Roman"/>
          <w:sz w:val="24"/>
          <w:szCs w:val="24"/>
          <w:lang w:val="zh-CN"/>
        </w:rPr>
        <w:t>给予</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val="zh-CN"/>
        </w:rPr>
        <w:t>0%的扣除；联合协议或者分包意向协议约定小微企业的合同份额占到合同总金额30%以上的，</w:t>
      </w:r>
      <w:r>
        <w:rPr>
          <w:rFonts w:hint="eastAsia" w:ascii="宋体" w:hAnsi="宋体" w:eastAsia="宋体" w:cs="Times New Roman"/>
          <w:sz w:val="24"/>
          <w:szCs w:val="24"/>
        </w:rPr>
        <w:t>对报价</w:t>
      </w:r>
      <w:r>
        <w:rPr>
          <w:rFonts w:hint="eastAsia" w:ascii="宋体" w:hAnsi="宋体" w:eastAsia="宋体" w:cs="Times New Roman"/>
          <w:sz w:val="24"/>
          <w:szCs w:val="24"/>
          <w:lang w:val="zh-CN"/>
        </w:rPr>
        <w:t>给予</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w:t>
      </w:r>
      <w:r>
        <w:rPr>
          <w:rFonts w:hint="eastAsia" w:ascii="宋体" w:hAnsi="宋体" w:eastAsia="宋体" w:cs="Times New Roman"/>
          <w:sz w:val="24"/>
          <w:szCs w:val="24"/>
          <w:lang w:val="zh-CN"/>
        </w:rPr>
        <w:t>的价格扣除，用扣除后的价格计算评标基准价和响应报价。同一供应商（包括联合体），小微企业、监狱企业、残疾人福利性单位价格扣除优惠只享受一次，不得重复享受。</w:t>
      </w:r>
    </w:p>
    <w:p>
      <w:pPr>
        <w:pStyle w:val="6"/>
        <w:snapToGrid w:val="0"/>
        <w:spacing w:line="360" w:lineRule="auto"/>
        <w:ind w:firstLine="466" w:firstLineChars="200"/>
        <w:rPr>
          <w:rFonts w:hint="eastAsia" w:ascii="宋体" w:hAnsi="宋体" w:eastAsia="宋体" w:cs="宋体"/>
          <w:b/>
          <w:bCs/>
          <w:color w:val="auto"/>
          <w:spacing w:val="-4"/>
          <w:kern w:val="2"/>
          <w:sz w:val="24"/>
          <w:szCs w:val="24"/>
          <w:lang w:val="en-US" w:eastAsia="zh-CN" w:bidi="ar-SA"/>
        </w:rPr>
      </w:pPr>
      <w:r>
        <w:rPr>
          <w:rFonts w:hint="eastAsia" w:ascii="宋体" w:hAnsi="宋体" w:eastAsia="宋体" w:cs="宋体"/>
          <w:b/>
          <w:bCs/>
          <w:color w:val="auto"/>
          <w:spacing w:val="-4"/>
          <w:kern w:val="2"/>
          <w:sz w:val="24"/>
          <w:szCs w:val="24"/>
          <w:lang w:val="en-US" w:eastAsia="zh-CN" w:bidi="ar-SA"/>
        </w:rPr>
        <w:t>八、评标程序</w:t>
      </w:r>
    </w:p>
    <w:p>
      <w:pPr>
        <w:snapToGrid w:val="0"/>
        <w:spacing w:line="360" w:lineRule="auto"/>
        <w:ind w:firstLine="466" w:firstLineChars="200"/>
        <w:rPr>
          <w:rFonts w:hint="eastAsia" w:ascii="宋体" w:hAnsi="宋体" w:eastAsia="宋体" w:cs="宋体"/>
          <w:b/>
          <w:bCs/>
          <w:color w:val="auto"/>
          <w:spacing w:val="-4"/>
          <w:kern w:val="2"/>
          <w:sz w:val="24"/>
          <w:szCs w:val="24"/>
          <w:lang w:val="en-US" w:eastAsia="zh-CN" w:bidi="ar-SA"/>
        </w:rPr>
      </w:pPr>
      <w:r>
        <w:rPr>
          <w:rFonts w:hint="eastAsia" w:ascii="宋体" w:hAnsi="宋体" w:eastAsia="宋体" w:cs="宋体"/>
          <w:b/>
          <w:bCs/>
          <w:color w:val="auto"/>
          <w:spacing w:val="-4"/>
          <w:kern w:val="2"/>
          <w:sz w:val="24"/>
          <w:szCs w:val="24"/>
          <w:lang w:val="en-US" w:eastAsia="zh-CN" w:bidi="ar-SA"/>
        </w:rPr>
        <w:t>（一）资格审查</w:t>
      </w:r>
    </w:p>
    <w:p>
      <w:pPr>
        <w:pStyle w:val="12"/>
        <w:spacing w:line="360" w:lineRule="auto"/>
        <w:ind w:firstLine="480" w:firstLineChars="200"/>
        <w:jc w:val="both"/>
        <w:rPr>
          <w:rFonts w:ascii="宋体" w:hAnsi="宋体"/>
          <w:sz w:val="24"/>
          <w:szCs w:val="24"/>
        </w:rPr>
      </w:pPr>
      <w:r>
        <w:rPr>
          <w:rFonts w:hint="eastAsia" w:ascii="宋体" w:hAnsi="宋体" w:eastAsia="宋体" w:cs="Times New Roman"/>
          <w:kern w:val="2"/>
          <w:sz w:val="24"/>
          <w:szCs w:val="24"/>
          <w:lang w:val="en-US" w:eastAsia="zh-CN" w:bidi="ar-SA"/>
        </w:rPr>
        <w:t>投标文件拆封后，采购人或采购组织机构依法对供应商的资格进行审查，对审查发现无效的进行必要的询问，并公布无效投标的供应商名单、投标无效的原因。</w:t>
      </w:r>
    </w:p>
    <w:tbl>
      <w:tblPr>
        <w:tblStyle w:val="39"/>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pPr>
              <w:pStyle w:val="106"/>
              <w:spacing w:before="1" w:line="300" w:lineRule="auto"/>
              <w:ind w:right="3" w:hanging="1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具有独立承担民事责任的能力</w:t>
            </w:r>
          </w:p>
        </w:tc>
        <w:tc>
          <w:tcPr>
            <w:tcW w:w="7092" w:type="dxa"/>
            <w:noWrap w:val="0"/>
            <w:tcMar>
              <w:top w:w="57" w:type="dxa"/>
              <w:left w:w="108" w:type="dxa"/>
              <w:bottom w:w="0" w:type="dxa"/>
              <w:right w:w="108" w:type="dxa"/>
            </w:tcMar>
            <w:vAlign w:val="center"/>
          </w:tcPr>
          <w:p>
            <w:pPr>
              <w:pStyle w:val="106"/>
              <w:spacing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pPr>
              <w:pStyle w:val="106"/>
              <w:spacing w:before="1" w:line="300" w:lineRule="auto"/>
              <w:ind w:right="3" w:hanging="1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有依法缴纳税收和社会保障资金的良好记录</w:t>
            </w:r>
          </w:p>
        </w:tc>
        <w:tc>
          <w:tcPr>
            <w:tcW w:w="7092" w:type="dxa"/>
            <w:shd w:val="clear" w:color="auto" w:fill="F6F6F6"/>
            <w:noWrap w:val="0"/>
            <w:tcMar>
              <w:top w:w="57" w:type="dxa"/>
              <w:left w:w="108" w:type="dxa"/>
              <w:bottom w:w="0" w:type="dxa"/>
              <w:right w:w="108" w:type="dxa"/>
            </w:tcMar>
            <w:vAlign w:val="center"/>
          </w:tcPr>
          <w:p>
            <w:pPr>
              <w:pStyle w:val="106"/>
              <w:spacing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提供具有依法缴纳税收和社会保障资金证明的承诺函。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pPr>
              <w:pStyle w:val="106"/>
              <w:spacing w:before="1" w:line="300" w:lineRule="auto"/>
              <w:ind w:right="3" w:hanging="1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具有良好的商业信誉和健全的财务会计制度</w:t>
            </w:r>
          </w:p>
        </w:tc>
        <w:tc>
          <w:tcPr>
            <w:tcW w:w="7092" w:type="dxa"/>
            <w:noWrap w:val="0"/>
            <w:tcMar>
              <w:top w:w="57" w:type="dxa"/>
              <w:left w:w="108" w:type="dxa"/>
              <w:bottom w:w="0" w:type="dxa"/>
              <w:right w:w="108" w:type="dxa"/>
            </w:tcMar>
            <w:vAlign w:val="center"/>
          </w:tcPr>
          <w:p>
            <w:pPr>
              <w:pStyle w:val="106"/>
              <w:spacing w:before="117"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pPr>
              <w:pStyle w:val="106"/>
              <w:spacing w:before="1" w:line="300" w:lineRule="auto"/>
              <w:ind w:right="3" w:hanging="1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履行合同所必需的设备和专业技术能力</w:t>
            </w:r>
          </w:p>
        </w:tc>
        <w:tc>
          <w:tcPr>
            <w:tcW w:w="7092" w:type="dxa"/>
            <w:shd w:val="clear" w:color="auto" w:fill="F6F6F6"/>
            <w:noWrap w:val="0"/>
            <w:tcMar>
              <w:top w:w="57" w:type="dxa"/>
              <w:left w:w="108" w:type="dxa"/>
              <w:bottom w:w="0" w:type="dxa"/>
              <w:right w:w="108" w:type="dxa"/>
            </w:tcMar>
            <w:vAlign w:val="center"/>
          </w:tcPr>
          <w:p>
            <w:pPr>
              <w:pStyle w:val="106"/>
              <w:spacing w:before="1"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提供具有履行合同所必须的设备和专业技术能力的承诺函。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pPr>
              <w:pStyle w:val="106"/>
              <w:spacing w:line="300" w:lineRule="auto"/>
              <w:ind w:right="3" w:hanging="1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参加采购活动前3年内，在经营活动中没有重大违法记录</w:t>
            </w:r>
          </w:p>
        </w:tc>
        <w:tc>
          <w:tcPr>
            <w:tcW w:w="7092" w:type="dxa"/>
            <w:noWrap w:val="0"/>
            <w:tcMar>
              <w:top w:w="57" w:type="dxa"/>
              <w:left w:w="108" w:type="dxa"/>
              <w:bottom w:w="0" w:type="dxa"/>
              <w:right w:w="108" w:type="dxa"/>
            </w:tcMar>
            <w:vAlign w:val="center"/>
          </w:tcPr>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参照投标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pPr>
              <w:pStyle w:val="106"/>
              <w:spacing w:line="300" w:lineRule="auto"/>
              <w:ind w:right="3" w:hanging="1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信用记录</w:t>
            </w:r>
          </w:p>
        </w:tc>
        <w:tc>
          <w:tcPr>
            <w:tcW w:w="7092" w:type="dxa"/>
            <w:shd w:val="clear" w:color="auto" w:fill="F6F6F6"/>
            <w:noWrap w:val="0"/>
            <w:tcMar>
              <w:top w:w="57" w:type="dxa"/>
              <w:left w:w="108" w:type="dxa"/>
              <w:bottom w:w="0" w:type="dxa"/>
              <w:right w:w="108" w:type="dxa"/>
            </w:tcMar>
            <w:vAlign w:val="center"/>
          </w:tcPr>
          <w:p>
            <w:pPr>
              <w:spacing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1.截止时点：开标后评标前。</w:t>
            </w:r>
          </w:p>
          <w:p>
            <w:pPr>
              <w:spacing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2.信用信息查询记录和证据留存的具体方式：由采购组织机构在规定查询时间内打印信用信息查询记录并归入项目档案。</w:t>
            </w:r>
          </w:p>
          <w:p>
            <w:pPr>
              <w:spacing w:line="300" w:lineRule="auto"/>
              <w:ind w:left="0" w:leftChars="0" w:right="-22" w:rightChars="-8"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3.使用规则：供应商未被列入“信用中国”失信被执行人或重大税收违法案件当事人名单；未处于“中国政府采购网”政府采购严重违法失信行为信息记录中的禁止参加政府采购活动期间。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pPr>
              <w:pStyle w:val="106"/>
              <w:spacing w:line="300" w:lineRule="auto"/>
              <w:ind w:right="3" w:hanging="1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必须符合法律、行政法规规定的其他条件</w:t>
            </w:r>
          </w:p>
        </w:tc>
        <w:tc>
          <w:tcPr>
            <w:tcW w:w="7092" w:type="dxa"/>
            <w:noWrap w:val="0"/>
            <w:tcMar>
              <w:top w:w="57" w:type="dxa"/>
              <w:left w:w="108" w:type="dxa"/>
              <w:bottom w:w="0" w:type="dxa"/>
              <w:right w:w="108" w:type="dxa"/>
            </w:tcMar>
            <w:vAlign w:val="center"/>
          </w:tcPr>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1.单位负责人为同一人或者存在直接控股、管理关系的不同供应商，不得同时参加本项目投标。</w:t>
            </w:r>
          </w:p>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2.为本项目提供整体设计、规范编制或者项目管理、监理、检测等服务的供应商，不得再参与本项目投标。</w:t>
            </w:r>
          </w:p>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pPr>
              <w:pStyle w:val="106"/>
              <w:spacing w:before="48" w:line="300" w:lineRule="auto"/>
              <w:ind w:right="3" w:hanging="1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联合体投标</w:t>
            </w:r>
          </w:p>
        </w:tc>
        <w:tc>
          <w:tcPr>
            <w:tcW w:w="7092" w:type="dxa"/>
            <w:shd w:val="clear" w:color="auto" w:fill="F6F6F6"/>
            <w:noWrap w:val="0"/>
            <w:tcMar>
              <w:top w:w="57" w:type="dxa"/>
              <w:left w:w="108" w:type="dxa"/>
              <w:bottom w:w="0" w:type="dxa"/>
              <w:right w:w="108" w:type="dxa"/>
            </w:tcMar>
            <w:vAlign w:val="center"/>
          </w:tcPr>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本次不接受联合体投标。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1913" w:type="dxa"/>
            <w:noWrap w:val="0"/>
            <w:tcMar>
              <w:top w:w="57" w:type="dxa"/>
              <w:left w:w="108" w:type="dxa"/>
              <w:bottom w:w="0" w:type="dxa"/>
              <w:right w:w="108" w:type="dxa"/>
            </w:tcMar>
            <w:vAlign w:val="center"/>
          </w:tcPr>
          <w:p>
            <w:pPr>
              <w:pStyle w:val="106"/>
              <w:spacing w:line="300" w:lineRule="auto"/>
              <w:ind w:right="3" w:hanging="1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资质</w:t>
            </w:r>
          </w:p>
        </w:tc>
        <w:tc>
          <w:tcPr>
            <w:tcW w:w="7092" w:type="dxa"/>
            <w:noWrap w:val="0"/>
            <w:tcMar>
              <w:top w:w="57" w:type="dxa"/>
              <w:left w:w="108" w:type="dxa"/>
              <w:bottom w:w="0" w:type="dxa"/>
              <w:right w:w="108" w:type="dxa"/>
            </w:tcMar>
            <w:vAlign w:val="center"/>
          </w:tcPr>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pPr>
              <w:pStyle w:val="106"/>
              <w:spacing w:before="48" w:line="300" w:lineRule="auto"/>
              <w:ind w:right="-22" w:rightChars="-8"/>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落实政府采购政策需满足的资格要求</w:t>
            </w:r>
          </w:p>
        </w:tc>
        <w:tc>
          <w:tcPr>
            <w:tcW w:w="7092" w:type="dxa"/>
            <w:shd w:val="clear" w:color="auto" w:fill="F6F6F6"/>
            <w:noWrap w:val="0"/>
            <w:tcMar>
              <w:top w:w="57" w:type="dxa"/>
              <w:left w:w="108" w:type="dxa"/>
              <w:bottom w:w="0" w:type="dxa"/>
              <w:right w:w="108" w:type="dxa"/>
            </w:tcMar>
            <w:vAlign w:val="center"/>
          </w:tcPr>
          <w:p>
            <w:pPr>
              <w:pStyle w:val="106"/>
              <w:spacing w:before="48" w:line="300" w:lineRule="auto"/>
              <w:ind w:left="20" w:leftChars="7" w:right="-22" w:rightChars="-8" w:firstLine="460" w:firstLineChars="192"/>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专门面向中小企业</w:t>
            </w:r>
          </w:p>
        </w:tc>
      </w:tr>
    </w:tbl>
    <w:p>
      <w:pPr>
        <w:pStyle w:val="12"/>
        <w:spacing w:line="360" w:lineRule="auto"/>
        <w:ind w:firstLine="466" w:firstLineChars="200"/>
        <w:rPr>
          <w:rFonts w:hint="eastAsia" w:ascii="宋体" w:hAnsi="宋体" w:eastAsia="宋体" w:cs="宋体"/>
          <w:b/>
          <w:bCs/>
          <w:color w:val="auto"/>
          <w:spacing w:val="-4"/>
          <w:kern w:val="2"/>
          <w:sz w:val="24"/>
          <w:szCs w:val="24"/>
          <w:lang w:val="en-US" w:eastAsia="zh-CN" w:bidi="ar-SA"/>
        </w:rPr>
      </w:pPr>
      <w:r>
        <w:rPr>
          <w:rFonts w:hint="eastAsia" w:ascii="宋体" w:hAnsi="宋体" w:eastAsia="宋体" w:cs="宋体"/>
          <w:b/>
          <w:bCs/>
          <w:color w:val="auto"/>
          <w:spacing w:val="-4"/>
          <w:kern w:val="2"/>
          <w:sz w:val="24"/>
          <w:szCs w:val="24"/>
          <w:lang w:val="en-US" w:eastAsia="zh-CN" w:bidi="ar-SA"/>
        </w:rPr>
        <w:t>（二）符合性审查</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评标委员会应当对符合资格的供应商的投标文件进行符合性审查，以确定其是否满足采购文件的实质性要求，对审查发现无效的进行必要的询问，</w:t>
      </w:r>
      <w:r>
        <w:rPr>
          <w:rFonts w:hint="eastAsia" w:ascii="宋体" w:hAnsi="宋体" w:eastAsia="宋体" w:cs="Times New Roman"/>
          <w:sz w:val="24"/>
          <w:szCs w:val="24"/>
          <w:lang w:val="en-US" w:eastAsia="zh-CN"/>
        </w:rPr>
        <w:t>并</w:t>
      </w:r>
      <w:r>
        <w:rPr>
          <w:rFonts w:hint="eastAsia" w:ascii="宋体" w:hAnsi="宋体" w:eastAsia="宋体" w:cs="Times New Roman"/>
          <w:sz w:val="24"/>
          <w:szCs w:val="24"/>
        </w:rPr>
        <w:t>公布无效投标的供应商名单、投标无效的原因。</w:t>
      </w:r>
    </w:p>
    <w:tbl>
      <w:tblPr>
        <w:tblStyle w:val="39"/>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投标文件</w:t>
            </w:r>
          </w:p>
        </w:tc>
        <w:tc>
          <w:tcPr>
            <w:tcW w:w="7183" w:type="dxa"/>
            <w:noWrap w:val="0"/>
            <w:tcMar>
              <w:top w:w="57" w:type="dxa"/>
              <w:left w:w="108" w:type="dxa"/>
              <w:bottom w:w="0" w:type="dxa"/>
              <w:right w:w="108" w:type="dxa"/>
            </w:tcMar>
            <w:vAlign w:val="center"/>
          </w:tcPr>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法定代表人/负责人授权委托书</w:t>
            </w:r>
          </w:p>
        </w:tc>
        <w:tc>
          <w:tcPr>
            <w:tcW w:w="7183" w:type="dxa"/>
            <w:shd w:val="clear" w:color="auto" w:fill="F6F6F6"/>
            <w:noWrap w:val="0"/>
            <w:tcMar>
              <w:top w:w="57" w:type="dxa"/>
              <w:left w:w="108" w:type="dxa"/>
              <w:bottom w:w="0" w:type="dxa"/>
              <w:right w:w="108" w:type="dxa"/>
            </w:tcMar>
            <w:vAlign w:val="center"/>
          </w:tcPr>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“▲”实质性条款</w:t>
            </w:r>
          </w:p>
        </w:tc>
        <w:tc>
          <w:tcPr>
            <w:tcW w:w="7183" w:type="dxa"/>
            <w:noWrap w:val="0"/>
            <w:tcMar>
              <w:top w:w="57" w:type="dxa"/>
              <w:left w:w="108" w:type="dxa"/>
              <w:bottom w:w="0" w:type="dxa"/>
              <w:right w:w="108" w:type="dxa"/>
            </w:tcMar>
            <w:vAlign w:val="center"/>
          </w:tcPr>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“▲”实质性条款必须满足采购文件要求。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串通投标</w:t>
            </w:r>
          </w:p>
        </w:tc>
        <w:tc>
          <w:tcPr>
            <w:tcW w:w="7183" w:type="dxa"/>
            <w:shd w:val="clear" w:color="auto" w:fill="F6F6F6"/>
            <w:noWrap w:val="0"/>
            <w:tcMar>
              <w:top w:w="57" w:type="dxa"/>
              <w:left w:w="108" w:type="dxa"/>
              <w:bottom w:w="0" w:type="dxa"/>
              <w:right w:w="108" w:type="dxa"/>
            </w:tcMar>
            <w:vAlign w:val="center"/>
          </w:tcPr>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附加条件</w:t>
            </w:r>
          </w:p>
        </w:tc>
        <w:tc>
          <w:tcPr>
            <w:tcW w:w="7183" w:type="dxa"/>
            <w:noWrap w:val="0"/>
            <w:tcMar>
              <w:top w:w="57" w:type="dxa"/>
              <w:left w:w="108" w:type="dxa"/>
              <w:bottom w:w="0" w:type="dxa"/>
              <w:right w:w="108" w:type="dxa"/>
            </w:tcMar>
            <w:vAlign w:val="center"/>
          </w:tcPr>
          <w:p>
            <w:pPr>
              <w:pStyle w:val="106"/>
              <w:spacing w:before="48" w:line="300" w:lineRule="auto"/>
              <w:ind w:left="20" w:leftChars="7" w:right="-22" w:rightChars="-8" w:firstLine="460" w:firstLineChars="19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投标文件未含有采购人不可接受的附加条件。</w:t>
            </w:r>
          </w:p>
        </w:tc>
      </w:tr>
    </w:tbl>
    <w:p>
      <w:pPr>
        <w:pStyle w:val="14"/>
        <w:numPr>
          <w:ilvl w:val="0"/>
          <w:numId w:val="0"/>
        </w:numPr>
        <w:spacing w:line="360" w:lineRule="auto"/>
        <w:ind w:firstLine="466" w:firstLineChars="200"/>
        <w:rPr>
          <w:rFonts w:hint="eastAsia" w:ascii="宋体" w:hAnsi="宋体" w:eastAsia="宋体" w:cs="宋体"/>
          <w:b/>
          <w:bCs/>
          <w:color w:val="auto"/>
          <w:spacing w:val="-4"/>
          <w:kern w:val="2"/>
          <w:sz w:val="24"/>
          <w:szCs w:val="24"/>
          <w:lang w:val="en-US" w:eastAsia="zh-CN" w:bidi="ar-SA"/>
        </w:rPr>
      </w:pPr>
      <w:r>
        <w:rPr>
          <w:rFonts w:hint="eastAsia" w:ascii="宋体" w:hAnsi="宋体" w:eastAsia="宋体" w:cs="宋体"/>
          <w:b/>
          <w:bCs/>
          <w:color w:val="auto"/>
          <w:spacing w:val="-4"/>
          <w:kern w:val="2"/>
          <w:sz w:val="24"/>
          <w:szCs w:val="24"/>
          <w:lang w:val="en-US" w:eastAsia="zh-CN" w:bidi="ar-SA"/>
        </w:rPr>
        <w:t>（三）商务与技术及价格评审（100分）</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项目评标方法为综合评分法，总计100分，评标按以下标准及要求进行。评标委员会成员按</w:t>
      </w:r>
      <w:r>
        <w:rPr>
          <w:rFonts w:hint="eastAsia" w:ascii="宋体" w:hAnsi="宋体" w:eastAsia="宋体" w:cs="Times New Roman"/>
          <w:sz w:val="24"/>
          <w:szCs w:val="24"/>
          <w:lang w:val="en-US" w:eastAsia="zh-CN"/>
        </w:rPr>
        <w:t>商务与技术文件</w:t>
      </w:r>
      <w:r>
        <w:rPr>
          <w:rFonts w:hint="eastAsia" w:ascii="宋体" w:hAnsi="宋体" w:eastAsia="宋体" w:cs="Times New Roman"/>
          <w:sz w:val="24"/>
          <w:szCs w:val="24"/>
        </w:rPr>
        <w:t>的评分标准，在分值范围内各自打分。</w:t>
      </w:r>
      <w:r>
        <w:rPr>
          <w:rFonts w:hint="eastAsia" w:ascii="宋体" w:hAnsi="宋体" w:eastAsia="宋体" w:cs="Times New Roman"/>
          <w:sz w:val="24"/>
          <w:szCs w:val="24"/>
          <w:lang w:val="en-US" w:eastAsia="zh-CN"/>
        </w:rPr>
        <w:t>商务与技术文件</w:t>
      </w:r>
      <w:r>
        <w:rPr>
          <w:rFonts w:hint="eastAsia" w:ascii="宋体" w:hAnsi="宋体" w:eastAsia="宋体" w:cs="Times New Roman"/>
          <w:sz w:val="24"/>
          <w:szCs w:val="24"/>
        </w:rPr>
        <w:t>分按照评标委员会成员的评分结果取平均值，为供应商的</w:t>
      </w:r>
      <w:r>
        <w:rPr>
          <w:rFonts w:hint="eastAsia" w:ascii="宋体" w:hAnsi="宋体" w:eastAsia="宋体" w:cs="Times New Roman"/>
          <w:sz w:val="24"/>
          <w:szCs w:val="24"/>
          <w:lang w:val="en-US" w:eastAsia="zh-CN"/>
        </w:rPr>
        <w:t>商务与技术文件</w:t>
      </w:r>
      <w:r>
        <w:rPr>
          <w:rFonts w:hint="eastAsia" w:ascii="宋体" w:hAnsi="宋体" w:eastAsia="宋体" w:cs="Times New Roman"/>
          <w:sz w:val="24"/>
          <w:szCs w:val="24"/>
        </w:rPr>
        <w:t>得分。（评委评分结果每项保留1位小数，第2位四舍五入；平均值小数点后保留2位，第3位四舍五入）：</w:t>
      </w:r>
    </w:p>
    <w:p>
      <w:pPr>
        <w:numPr>
          <w:ilvl w:val="0"/>
          <w:numId w:val="6"/>
        </w:numPr>
        <w:autoSpaceDE w:val="0"/>
        <w:autoSpaceDN w:val="0"/>
        <w:adjustRightInd w:val="0"/>
        <w:spacing w:line="360" w:lineRule="auto"/>
        <w:ind w:right="85" w:firstLine="233" w:firstLineChars="100"/>
        <w:rPr>
          <w:rFonts w:hint="eastAsia" w:ascii="宋体" w:hAnsi="宋体" w:eastAsia="宋体" w:cs="宋体"/>
          <w:b/>
          <w:bCs/>
          <w:color w:val="auto"/>
          <w:spacing w:val="-4"/>
          <w:kern w:val="2"/>
          <w:sz w:val="24"/>
          <w:szCs w:val="24"/>
          <w:lang w:val="en-US" w:eastAsia="zh-CN" w:bidi="ar-SA"/>
        </w:rPr>
      </w:pPr>
      <w:r>
        <w:rPr>
          <w:rFonts w:hint="eastAsia" w:ascii="宋体" w:hAnsi="宋体" w:eastAsia="宋体" w:cs="宋体"/>
          <w:b/>
          <w:bCs/>
          <w:color w:val="auto"/>
          <w:spacing w:val="-4"/>
          <w:kern w:val="2"/>
          <w:sz w:val="24"/>
          <w:szCs w:val="24"/>
          <w:lang w:val="en-US" w:eastAsia="zh-CN" w:bidi="ar-SA"/>
        </w:rPr>
        <w:t>评分标准</w:t>
      </w:r>
    </w:p>
    <w:tbl>
      <w:tblPr>
        <w:tblStyle w:val="39"/>
        <w:tblW w:w="94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8"/>
        <w:gridCol w:w="7145"/>
        <w:gridCol w:w="8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508" w:type="dxa"/>
            <w:tcBorders>
              <w:top w:val="single" w:color="auto" w:sz="12" w:space="0"/>
              <w:bottom w:val="single" w:color="auto" w:sz="4" w:space="0"/>
            </w:tcBorders>
            <w:shd w:val="pct20" w:color="auto" w:fill="auto"/>
            <w:noWrap w:val="0"/>
            <w:vAlign w:val="center"/>
          </w:tcPr>
          <w:p>
            <w:pPr>
              <w:widowControl/>
              <w:spacing w:line="360" w:lineRule="auto"/>
              <w:jc w:val="left"/>
              <w:rPr>
                <w:rFonts w:ascii="Arial" w:hAnsi="Arial" w:cs="Arial"/>
                <w:b/>
                <w:bCs/>
                <w:color w:val="0C0C0C"/>
                <w:sz w:val="24"/>
                <w:szCs w:val="24"/>
              </w:rPr>
            </w:pPr>
            <w:r>
              <w:rPr>
                <w:rFonts w:hint="eastAsia"/>
                <w:b/>
                <w:color w:val="0C0C0C"/>
                <w:sz w:val="24"/>
                <w:szCs w:val="24"/>
              </w:rPr>
              <w:t>评分项目</w:t>
            </w:r>
          </w:p>
        </w:tc>
        <w:tc>
          <w:tcPr>
            <w:tcW w:w="7145" w:type="dxa"/>
            <w:tcBorders>
              <w:top w:val="single" w:color="auto" w:sz="12" w:space="0"/>
              <w:bottom w:val="single" w:color="auto" w:sz="4" w:space="0"/>
            </w:tcBorders>
            <w:shd w:val="pct20" w:color="auto" w:fill="auto"/>
            <w:noWrap w:val="0"/>
            <w:vAlign w:val="center"/>
          </w:tcPr>
          <w:p>
            <w:pPr>
              <w:widowControl/>
              <w:jc w:val="center"/>
              <w:rPr>
                <w:rFonts w:ascii="宋体"/>
                <w:color w:val="0C0C0C"/>
                <w:sz w:val="24"/>
                <w:szCs w:val="24"/>
              </w:rPr>
            </w:pPr>
            <w:r>
              <w:rPr>
                <w:rFonts w:hint="eastAsia"/>
                <w:b/>
                <w:color w:val="0C0C0C"/>
                <w:sz w:val="24"/>
                <w:szCs w:val="24"/>
              </w:rPr>
              <w:t>评分细则</w:t>
            </w:r>
          </w:p>
        </w:tc>
        <w:tc>
          <w:tcPr>
            <w:tcW w:w="802" w:type="dxa"/>
            <w:tcBorders>
              <w:top w:val="single" w:color="auto" w:sz="12" w:space="0"/>
              <w:bottom w:val="single" w:color="auto" w:sz="4" w:space="0"/>
            </w:tcBorders>
            <w:shd w:val="pct20" w:color="auto" w:fill="auto"/>
            <w:noWrap w:val="0"/>
            <w:vAlign w:val="center"/>
          </w:tcPr>
          <w:p>
            <w:pPr>
              <w:widowControl/>
              <w:jc w:val="center"/>
              <w:rPr>
                <w:rFonts w:ascii="Arial" w:hAnsi="Arial" w:cs="Arial"/>
                <w:bCs/>
                <w:color w:val="0C0C0C"/>
                <w:sz w:val="24"/>
                <w:szCs w:val="24"/>
              </w:rPr>
            </w:pPr>
            <w:r>
              <w:rPr>
                <w:rFonts w:hint="eastAsia" w:ascii="Arial" w:hAnsi="Arial" w:cs="Arial"/>
                <w:bCs/>
                <w:color w:val="0C0C0C"/>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1508" w:type="dxa"/>
            <w:vMerge w:val="restart"/>
            <w:noWrap w:val="0"/>
            <w:vAlign w:val="center"/>
          </w:tcPr>
          <w:p>
            <w:pPr>
              <w:spacing w:line="360" w:lineRule="auto"/>
              <w:jc w:val="left"/>
              <w:rPr>
                <w:rFonts w:ascii="Arial" w:hAnsi="Arial" w:cs="Arial"/>
                <w:b/>
                <w:bCs/>
                <w:color w:val="0C0C0C"/>
                <w:sz w:val="24"/>
                <w:szCs w:val="24"/>
              </w:rPr>
            </w:pPr>
            <w:r>
              <w:rPr>
                <w:rFonts w:hint="eastAsia" w:ascii="Arial" w:hAnsi="Arial" w:cs="Arial"/>
                <w:b/>
                <w:bCs/>
                <w:color w:val="0C0C0C"/>
                <w:sz w:val="24"/>
                <w:szCs w:val="24"/>
              </w:rPr>
              <w:t>技术性能6</w:t>
            </w:r>
            <w:r>
              <w:rPr>
                <w:rFonts w:hint="eastAsia" w:ascii="Arial" w:hAnsi="Arial" w:cs="Arial"/>
                <w:b/>
                <w:bCs/>
                <w:color w:val="0C0C0C"/>
                <w:sz w:val="24"/>
                <w:szCs w:val="24"/>
                <w:lang w:val="en-US" w:eastAsia="zh-CN"/>
              </w:rPr>
              <w:t>2</w:t>
            </w:r>
            <w:r>
              <w:rPr>
                <w:rFonts w:hint="eastAsia" w:ascii="Arial" w:hAnsi="Arial" w:cs="Arial"/>
                <w:b/>
                <w:bCs/>
                <w:color w:val="0C0C0C"/>
                <w:sz w:val="24"/>
                <w:szCs w:val="24"/>
              </w:rPr>
              <w:t>分</w:t>
            </w:r>
          </w:p>
        </w:tc>
        <w:tc>
          <w:tcPr>
            <w:tcW w:w="7145" w:type="dxa"/>
            <w:tcBorders>
              <w:top w:val="single" w:color="auto" w:sz="4" w:space="0"/>
            </w:tcBorders>
            <w:noWrap w:val="0"/>
            <w:vAlign w:val="center"/>
          </w:tcPr>
          <w:p>
            <w:pPr>
              <w:rPr>
                <w:rFonts w:ascii="宋体" w:hAnsi="宋体"/>
                <w:b/>
                <w:bCs/>
                <w:color w:val="0C0C0C"/>
                <w:sz w:val="24"/>
                <w:szCs w:val="24"/>
              </w:rPr>
            </w:pPr>
            <w:r>
              <w:rPr>
                <w:rFonts w:hint="eastAsia" w:cs="宋体"/>
                <w:color w:val="0C0C0C"/>
                <w:sz w:val="24"/>
                <w:szCs w:val="24"/>
              </w:rPr>
              <w:t>项目现状：根据投标人提出对本项目背景和结合项目实际针对项目现状进行分析，内容与用户需求吻合程度等情况，</w:t>
            </w:r>
            <w:r>
              <w:rPr>
                <w:rFonts w:hint="eastAsia" w:ascii="宋体" w:hAnsi="宋体" w:cs="宋体"/>
                <w:b/>
                <w:bCs/>
                <w:color w:val="0C0C0C"/>
                <w:sz w:val="24"/>
                <w:szCs w:val="24"/>
              </w:rPr>
              <w:t>由</w:t>
            </w:r>
            <w:r>
              <w:rPr>
                <w:rFonts w:hint="eastAsia" w:ascii="宋体" w:hAnsi="宋体"/>
                <w:b/>
                <w:bCs/>
                <w:color w:val="0C0C0C"/>
                <w:sz w:val="24"/>
                <w:szCs w:val="24"/>
              </w:rPr>
              <w:t>专家进行打分</w:t>
            </w:r>
            <w:r>
              <w:rPr>
                <w:rFonts w:hint="eastAsia" w:cs="宋体"/>
                <w:color w:val="0C0C0C"/>
                <w:sz w:val="24"/>
                <w:szCs w:val="24"/>
              </w:rPr>
              <w:t>，</w:t>
            </w:r>
            <w:r>
              <w:rPr>
                <w:rFonts w:cs="宋体"/>
                <w:color w:val="0C0C0C"/>
                <w:sz w:val="24"/>
                <w:szCs w:val="24"/>
              </w:rPr>
              <w:t>最高得</w:t>
            </w:r>
            <w:r>
              <w:rPr>
                <w:rFonts w:hint="eastAsia" w:cs="宋体"/>
                <w:color w:val="0C0C0C"/>
                <w:sz w:val="24"/>
                <w:szCs w:val="24"/>
                <w:lang w:val="en-US" w:eastAsia="zh-CN"/>
              </w:rPr>
              <w:t>5</w:t>
            </w:r>
            <w:r>
              <w:rPr>
                <w:rFonts w:hint="eastAsia" w:cs="宋体"/>
                <w:color w:val="0C0C0C"/>
                <w:sz w:val="24"/>
                <w:szCs w:val="24"/>
              </w:rPr>
              <w:t>分。</w:t>
            </w:r>
          </w:p>
          <w:p>
            <w:pPr>
              <w:rPr>
                <w:rFonts w:cs="宋体"/>
                <w:color w:val="0C0C0C"/>
                <w:sz w:val="24"/>
                <w:szCs w:val="24"/>
              </w:rPr>
            </w:pPr>
            <w:r>
              <w:rPr>
                <w:rFonts w:hint="eastAsia" w:cs="宋体"/>
                <w:color w:val="0C0C0C"/>
                <w:sz w:val="24"/>
                <w:szCs w:val="24"/>
              </w:rPr>
              <w:t>每提出内容思路明确、针对性强、方法科学合理、可操作性强、技术路线与需求分析精准的得</w:t>
            </w:r>
            <w:r>
              <w:rPr>
                <w:rFonts w:hint="eastAsia" w:cs="宋体"/>
                <w:color w:val="0C0C0C"/>
                <w:sz w:val="24"/>
                <w:szCs w:val="24"/>
                <w:lang w:val="en-US" w:eastAsia="zh-CN"/>
              </w:rPr>
              <w:t>5</w:t>
            </w:r>
            <w:r>
              <w:rPr>
                <w:rFonts w:hint="eastAsia" w:cs="宋体"/>
                <w:color w:val="0C0C0C"/>
                <w:sz w:val="24"/>
                <w:szCs w:val="24"/>
              </w:rPr>
              <w:t>分；</w:t>
            </w:r>
          </w:p>
          <w:p>
            <w:pPr>
              <w:rPr>
                <w:rFonts w:cs="宋体"/>
                <w:color w:val="0C0C0C"/>
                <w:sz w:val="24"/>
                <w:szCs w:val="24"/>
              </w:rPr>
            </w:pPr>
            <w:r>
              <w:rPr>
                <w:rFonts w:hint="eastAsia" w:cs="宋体"/>
                <w:color w:val="0C0C0C"/>
                <w:sz w:val="24"/>
                <w:szCs w:val="24"/>
              </w:rPr>
              <w:t>每提出内容思路较明确、针对性较强、方法较科学合理、可操作性较强、技术路线与需求分析较精准的得</w:t>
            </w:r>
            <w:r>
              <w:rPr>
                <w:rFonts w:hint="eastAsia" w:cs="宋体"/>
                <w:color w:val="0C0C0C"/>
                <w:sz w:val="24"/>
                <w:szCs w:val="24"/>
                <w:lang w:val="en-US" w:eastAsia="zh-CN"/>
              </w:rPr>
              <w:t>4</w:t>
            </w:r>
            <w:r>
              <w:rPr>
                <w:rFonts w:hint="eastAsia" w:cs="宋体"/>
                <w:color w:val="0C0C0C"/>
                <w:sz w:val="24"/>
                <w:szCs w:val="24"/>
              </w:rPr>
              <w:t>分</w:t>
            </w:r>
          </w:p>
          <w:p>
            <w:pPr>
              <w:rPr>
                <w:rFonts w:ascii="宋体" w:hAnsi="宋体"/>
                <w:color w:val="0C0C0C"/>
                <w:sz w:val="24"/>
                <w:szCs w:val="24"/>
              </w:rPr>
            </w:pPr>
            <w:r>
              <w:rPr>
                <w:rFonts w:hint="eastAsia" w:cs="宋体"/>
                <w:color w:val="0C0C0C"/>
                <w:sz w:val="24"/>
                <w:szCs w:val="24"/>
              </w:rPr>
              <w:t>每提出内容思路欠明确、针对性欠强、方法欠科学合理、可操作性欠强、技术路线与需求分析欠精准的得</w:t>
            </w:r>
            <w:r>
              <w:rPr>
                <w:rFonts w:hint="eastAsia" w:cs="宋体"/>
                <w:color w:val="0C0C0C"/>
                <w:sz w:val="24"/>
                <w:szCs w:val="24"/>
                <w:lang w:val="en-US" w:eastAsia="zh-CN"/>
              </w:rPr>
              <w:t>3</w:t>
            </w:r>
            <w:r>
              <w:rPr>
                <w:rFonts w:hint="eastAsia" w:cs="宋体"/>
                <w:color w:val="0C0C0C"/>
                <w:sz w:val="24"/>
                <w:szCs w:val="24"/>
              </w:rPr>
              <w:t>分；缺项得0分。</w:t>
            </w:r>
          </w:p>
        </w:tc>
        <w:tc>
          <w:tcPr>
            <w:tcW w:w="802" w:type="dxa"/>
            <w:tcBorders>
              <w:top w:val="single" w:color="auto" w:sz="4" w:space="0"/>
            </w:tcBorders>
            <w:noWrap w:val="0"/>
            <w:vAlign w:val="center"/>
          </w:tcPr>
          <w:p>
            <w:pPr>
              <w:jc w:val="center"/>
              <w:rPr>
                <w:rFonts w:hint="eastAsia" w:ascii="宋体" w:eastAsia="宋体"/>
                <w:color w:val="0C0C0C"/>
                <w:sz w:val="24"/>
                <w:szCs w:val="24"/>
                <w:lang w:eastAsia="zh-CN"/>
              </w:rPr>
            </w:pPr>
            <w:r>
              <w:rPr>
                <w:rFonts w:hint="eastAsia"/>
                <w:color w:val="auto"/>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8" w:hRule="atLeast"/>
          <w:jc w:val="center"/>
        </w:trPr>
        <w:tc>
          <w:tcPr>
            <w:tcW w:w="1508" w:type="dxa"/>
            <w:vMerge w:val="continue"/>
            <w:noWrap w:val="0"/>
            <w:vAlign w:val="center"/>
          </w:tcPr>
          <w:p>
            <w:pPr>
              <w:spacing w:line="360" w:lineRule="auto"/>
              <w:jc w:val="left"/>
              <w:rPr>
                <w:rFonts w:ascii="Arial" w:hAnsi="Arial" w:cs="Arial"/>
                <w:b/>
                <w:bCs/>
                <w:color w:val="0C0C0C"/>
                <w:sz w:val="24"/>
                <w:szCs w:val="24"/>
              </w:rPr>
            </w:pPr>
          </w:p>
        </w:tc>
        <w:tc>
          <w:tcPr>
            <w:tcW w:w="7145" w:type="dxa"/>
            <w:tcBorders>
              <w:top w:val="single" w:color="auto" w:sz="4" w:space="0"/>
            </w:tcBorders>
            <w:noWrap w:val="0"/>
            <w:vAlign w:val="center"/>
          </w:tcPr>
          <w:p>
            <w:pPr>
              <w:rPr>
                <w:rFonts w:ascii="宋体" w:hAnsi="宋体"/>
                <w:b/>
                <w:bCs/>
                <w:color w:val="0C0C0C"/>
                <w:sz w:val="24"/>
                <w:szCs w:val="24"/>
              </w:rPr>
            </w:pPr>
            <w:r>
              <w:rPr>
                <w:rFonts w:hint="eastAsia" w:cs="宋体"/>
                <w:color w:val="0C0C0C"/>
                <w:sz w:val="24"/>
                <w:szCs w:val="24"/>
              </w:rPr>
              <w:t>相关标准及规范运用：根据投标人提出对本项目背景和结合项目实际针对项目相关标准及规范运用分析，内容与用户需求吻合程度等情况，</w:t>
            </w:r>
            <w:r>
              <w:rPr>
                <w:rFonts w:hint="eastAsia" w:ascii="宋体" w:hAnsi="宋体" w:cs="宋体"/>
                <w:b/>
                <w:bCs/>
                <w:color w:val="0C0C0C"/>
                <w:sz w:val="24"/>
                <w:szCs w:val="24"/>
              </w:rPr>
              <w:t>由</w:t>
            </w:r>
            <w:r>
              <w:rPr>
                <w:rFonts w:hint="eastAsia" w:ascii="宋体" w:hAnsi="宋体"/>
                <w:b/>
                <w:bCs/>
                <w:color w:val="0C0C0C"/>
                <w:sz w:val="24"/>
                <w:szCs w:val="24"/>
              </w:rPr>
              <w:t>专家进行打分</w:t>
            </w:r>
            <w:r>
              <w:rPr>
                <w:rFonts w:hint="eastAsia" w:cs="宋体"/>
                <w:color w:val="0C0C0C"/>
                <w:sz w:val="24"/>
                <w:szCs w:val="24"/>
              </w:rPr>
              <w:t>，</w:t>
            </w:r>
            <w:r>
              <w:rPr>
                <w:rFonts w:cs="宋体"/>
                <w:color w:val="0C0C0C"/>
                <w:sz w:val="24"/>
                <w:szCs w:val="24"/>
              </w:rPr>
              <w:t>最高得</w:t>
            </w:r>
            <w:r>
              <w:rPr>
                <w:rFonts w:hint="eastAsia" w:cs="宋体"/>
                <w:color w:val="0C0C0C"/>
                <w:sz w:val="24"/>
                <w:szCs w:val="24"/>
              </w:rPr>
              <w:t>5分。</w:t>
            </w:r>
          </w:p>
          <w:p>
            <w:pPr>
              <w:rPr>
                <w:rFonts w:cs="宋体"/>
                <w:color w:val="0C0C0C"/>
                <w:sz w:val="24"/>
                <w:szCs w:val="24"/>
              </w:rPr>
            </w:pPr>
            <w:r>
              <w:rPr>
                <w:rFonts w:hint="eastAsia" w:cs="宋体"/>
                <w:color w:val="0C0C0C"/>
                <w:sz w:val="24"/>
                <w:szCs w:val="24"/>
              </w:rPr>
              <w:t>每提出内容思路明确、针对性强、方法科学合理、可操作性强、技术路线与需求分析精准的得5分；</w:t>
            </w:r>
          </w:p>
          <w:p>
            <w:pPr>
              <w:rPr>
                <w:rFonts w:cs="宋体"/>
                <w:color w:val="0C0C0C"/>
                <w:sz w:val="24"/>
                <w:szCs w:val="24"/>
              </w:rPr>
            </w:pPr>
            <w:r>
              <w:rPr>
                <w:rFonts w:hint="eastAsia" w:cs="宋体"/>
                <w:color w:val="0C0C0C"/>
                <w:sz w:val="24"/>
                <w:szCs w:val="24"/>
              </w:rPr>
              <w:t>每提出内容思路较明确、针对性较强、方法较科学合理、可操作性较强、技术路线与需求分析较精准的得4分</w:t>
            </w:r>
          </w:p>
          <w:p>
            <w:pPr>
              <w:rPr>
                <w:rFonts w:cs="宋体"/>
                <w:color w:val="0C0C0C"/>
                <w:sz w:val="24"/>
                <w:szCs w:val="24"/>
              </w:rPr>
            </w:pPr>
            <w:r>
              <w:rPr>
                <w:rFonts w:hint="eastAsia" w:cs="宋体"/>
                <w:color w:val="0C0C0C"/>
                <w:sz w:val="24"/>
                <w:szCs w:val="24"/>
              </w:rPr>
              <w:t>每提出内容思路欠明确、针对性欠强、方法欠科学合理、可操作性欠强、技术路线与需求分析欠精准的得3分；缺项得0分。</w:t>
            </w:r>
          </w:p>
        </w:tc>
        <w:tc>
          <w:tcPr>
            <w:tcW w:w="802" w:type="dxa"/>
            <w:tcBorders>
              <w:top w:val="single" w:color="auto" w:sz="4" w:space="0"/>
            </w:tcBorders>
            <w:noWrap w:val="0"/>
            <w:vAlign w:val="center"/>
          </w:tcPr>
          <w:p>
            <w:pPr>
              <w:jc w:val="center"/>
              <w:rPr>
                <w:color w:val="0C0C0C"/>
                <w:sz w:val="24"/>
                <w:szCs w:val="24"/>
              </w:rPr>
            </w:pPr>
            <w:r>
              <w:rPr>
                <w:rFonts w:hint="eastAsia"/>
                <w:color w:val="0C0C0C"/>
                <w:sz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508" w:type="dxa"/>
            <w:vMerge w:val="continue"/>
            <w:noWrap w:val="0"/>
            <w:vAlign w:val="center"/>
          </w:tcPr>
          <w:p>
            <w:pPr>
              <w:spacing w:line="360" w:lineRule="auto"/>
              <w:jc w:val="left"/>
              <w:rPr>
                <w:rFonts w:ascii="Arial" w:hAnsi="Arial" w:cs="Arial"/>
                <w:b/>
                <w:bCs/>
                <w:color w:val="0C0C0C"/>
                <w:sz w:val="24"/>
                <w:szCs w:val="24"/>
              </w:rPr>
            </w:pPr>
          </w:p>
        </w:tc>
        <w:tc>
          <w:tcPr>
            <w:tcW w:w="7145" w:type="dxa"/>
            <w:tcBorders>
              <w:top w:val="single" w:color="auto" w:sz="4" w:space="0"/>
            </w:tcBorders>
            <w:noWrap w:val="0"/>
            <w:vAlign w:val="center"/>
          </w:tcPr>
          <w:p>
            <w:pPr>
              <w:rPr>
                <w:rFonts w:ascii="宋体" w:hAnsi="宋体"/>
                <w:b/>
                <w:bCs/>
                <w:color w:val="0C0C0C"/>
                <w:sz w:val="24"/>
                <w:szCs w:val="24"/>
              </w:rPr>
            </w:pPr>
            <w:r>
              <w:rPr>
                <w:rFonts w:hint="eastAsia" w:cs="宋体"/>
                <w:color w:val="0C0C0C"/>
                <w:sz w:val="24"/>
                <w:szCs w:val="24"/>
              </w:rPr>
              <w:t>项目需求：根据投标人提出对本项目背景和结合项目实际针对项目需求分析，内容与用户需求吻合程度等情况，</w:t>
            </w:r>
            <w:r>
              <w:rPr>
                <w:rFonts w:hint="eastAsia" w:ascii="宋体" w:hAnsi="宋体" w:cs="宋体"/>
                <w:b/>
                <w:bCs/>
                <w:color w:val="0C0C0C"/>
                <w:sz w:val="24"/>
                <w:szCs w:val="24"/>
              </w:rPr>
              <w:t>由</w:t>
            </w:r>
            <w:r>
              <w:rPr>
                <w:rFonts w:hint="eastAsia" w:ascii="宋体" w:hAnsi="宋体"/>
                <w:b/>
                <w:bCs/>
                <w:color w:val="0C0C0C"/>
                <w:sz w:val="24"/>
                <w:szCs w:val="24"/>
              </w:rPr>
              <w:t>专家进行打分</w:t>
            </w:r>
            <w:r>
              <w:rPr>
                <w:rFonts w:hint="eastAsia" w:cs="宋体"/>
                <w:color w:val="0C0C0C"/>
                <w:sz w:val="24"/>
                <w:szCs w:val="24"/>
              </w:rPr>
              <w:t>，</w:t>
            </w:r>
            <w:r>
              <w:rPr>
                <w:rFonts w:cs="宋体"/>
                <w:color w:val="0C0C0C"/>
                <w:sz w:val="24"/>
                <w:szCs w:val="24"/>
              </w:rPr>
              <w:t>最高得</w:t>
            </w:r>
            <w:r>
              <w:rPr>
                <w:rFonts w:hint="eastAsia" w:cs="宋体"/>
                <w:color w:val="0C0C0C"/>
                <w:sz w:val="24"/>
                <w:szCs w:val="24"/>
              </w:rPr>
              <w:t>5分。</w:t>
            </w:r>
          </w:p>
          <w:p>
            <w:pPr>
              <w:rPr>
                <w:rFonts w:cs="宋体"/>
                <w:color w:val="0C0C0C"/>
                <w:sz w:val="24"/>
                <w:szCs w:val="24"/>
              </w:rPr>
            </w:pPr>
            <w:r>
              <w:rPr>
                <w:rFonts w:hint="eastAsia" w:cs="宋体"/>
                <w:color w:val="0C0C0C"/>
                <w:sz w:val="24"/>
                <w:szCs w:val="24"/>
              </w:rPr>
              <w:t>每提出内容思路明确、针对性强、方法科学合理、可操作性强、技术路线与需求分析精准的得5分；</w:t>
            </w:r>
          </w:p>
          <w:p>
            <w:pPr>
              <w:rPr>
                <w:rFonts w:cs="宋体"/>
                <w:color w:val="0C0C0C"/>
                <w:sz w:val="24"/>
                <w:szCs w:val="24"/>
              </w:rPr>
            </w:pPr>
            <w:r>
              <w:rPr>
                <w:rFonts w:hint="eastAsia" w:cs="宋体"/>
                <w:color w:val="0C0C0C"/>
                <w:sz w:val="24"/>
                <w:szCs w:val="24"/>
              </w:rPr>
              <w:t>每提出内容思路较明确、针对性较强、方法较科学合理、可操作性较强、技术路线与需求分析较精准的得4分</w:t>
            </w:r>
          </w:p>
          <w:p>
            <w:pPr>
              <w:rPr>
                <w:rFonts w:cs="宋体"/>
                <w:color w:val="0C0C0C"/>
                <w:sz w:val="24"/>
                <w:szCs w:val="24"/>
              </w:rPr>
            </w:pPr>
            <w:r>
              <w:rPr>
                <w:rFonts w:hint="eastAsia" w:cs="宋体"/>
                <w:color w:val="0C0C0C"/>
                <w:sz w:val="24"/>
                <w:szCs w:val="24"/>
              </w:rPr>
              <w:t>每提出内容思路欠明确、针对性欠强、方法欠科学合理、可操作性欠强、技术路线与需求分析欠精准的得3分；缺项得0分。</w:t>
            </w:r>
          </w:p>
        </w:tc>
        <w:tc>
          <w:tcPr>
            <w:tcW w:w="802" w:type="dxa"/>
            <w:tcBorders>
              <w:top w:val="single" w:color="auto" w:sz="4" w:space="0"/>
            </w:tcBorders>
            <w:noWrap w:val="0"/>
            <w:vAlign w:val="center"/>
          </w:tcPr>
          <w:p>
            <w:pPr>
              <w:jc w:val="center"/>
              <w:rPr>
                <w:color w:val="0C0C0C"/>
                <w:sz w:val="24"/>
                <w:szCs w:val="24"/>
              </w:rPr>
            </w:pPr>
            <w:r>
              <w:rPr>
                <w:rFonts w:hint="eastAsia"/>
                <w:color w:val="0C0C0C"/>
                <w:sz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8" w:hRule="atLeast"/>
          <w:jc w:val="center"/>
        </w:trPr>
        <w:tc>
          <w:tcPr>
            <w:tcW w:w="1508" w:type="dxa"/>
            <w:vMerge w:val="continue"/>
            <w:noWrap w:val="0"/>
            <w:vAlign w:val="center"/>
          </w:tcPr>
          <w:p>
            <w:pPr>
              <w:spacing w:line="360" w:lineRule="auto"/>
              <w:jc w:val="left"/>
              <w:rPr>
                <w:rFonts w:ascii="Arial" w:hAnsi="Arial" w:cs="Arial"/>
                <w:b/>
                <w:bCs/>
                <w:color w:val="0C0C0C"/>
                <w:sz w:val="24"/>
                <w:szCs w:val="24"/>
              </w:rPr>
            </w:pPr>
          </w:p>
        </w:tc>
        <w:tc>
          <w:tcPr>
            <w:tcW w:w="7145" w:type="dxa"/>
            <w:tcBorders>
              <w:top w:val="single" w:color="auto" w:sz="4" w:space="0"/>
            </w:tcBorders>
            <w:noWrap w:val="0"/>
            <w:vAlign w:val="center"/>
          </w:tcPr>
          <w:p>
            <w:pPr>
              <w:rPr>
                <w:rFonts w:ascii="宋体" w:hAnsi="宋体"/>
                <w:b/>
                <w:bCs/>
                <w:color w:val="0C0C0C"/>
                <w:sz w:val="24"/>
                <w:szCs w:val="24"/>
              </w:rPr>
            </w:pPr>
            <w:r>
              <w:rPr>
                <w:rFonts w:hint="eastAsia" w:cs="宋体"/>
                <w:color w:val="0C0C0C"/>
                <w:sz w:val="24"/>
                <w:szCs w:val="24"/>
              </w:rPr>
              <w:t>建设目标：根据投标人提出对本项目背景和结合项目实际针对建设目标分析，内容与用户需求吻合程度等情况，</w:t>
            </w:r>
            <w:r>
              <w:rPr>
                <w:rFonts w:hint="eastAsia" w:ascii="宋体" w:hAnsi="宋体" w:cs="宋体"/>
                <w:b/>
                <w:bCs/>
                <w:color w:val="0C0C0C"/>
                <w:sz w:val="24"/>
                <w:szCs w:val="24"/>
              </w:rPr>
              <w:t>由</w:t>
            </w:r>
            <w:r>
              <w:rPr>
                <w:rFonts w:hint="eastAsia" w:ascii="宋体" w:hAnsi="宋体"/>
                <w:b/>
                <w:bCs/>
                <w:color w:val="0C0C0C"/>
                <w:sz w:val="24"/>
                <w:szCs w:val="24"/>
              </w:rPr>
              <w:t>专家进行打分</w:t>
            </w:r>
            <w:r>
              <w:rPr>
                <w:rFonts w:hint="eastAsia" w:cs="宋体"/>
                <w:color w:val="0C0C0C"/>
                <w:sz w:val="24"/>
                <w:szCs w:val="24"/>
              </w:rPr>
              <w:t>，</w:t>
            </w:r>
            <w:r>
              <w:rPr>
                <w:rFonts w:cs="宋体"/>
                <w:color w:val="0C0C0C"/>
                <w:sz w:val="24"/>
                <w:szCs w:val="24"/>
              </w:rPr>
              <w:t>最高得</w:t>
            </w:r>
            <w:r>
              <w:rPr>
                <w:rFonts w:hint="eastAsia" w:cs="宋体"/>
                <w:color w:val="0C0C0C"/>
                <w:sz w:val="24"/>
                <w:szCs w:val="24"/>
                <w:lang w:val="en-US" w:eastAsia="zh-CN"/>
              </w:rPr>
              <w:t>5</w:t>
            </w:r>
            <w:r>
              <w:rPr>
                <w:rFonts w:hint="eastAsia" w:cs="宋体"/>
                <w:color w:val="0C0C0C"/>
                <w:sz w:val="24"/>
                <w:szCs w:val="24"/>
              </w:rPr>
              <w:t>分。</w:t>
            </w:r>
          </w:p>
          <w:p>
            <w:pPr>
              <w:rPr>
                <w:rFonts w:cs="宋体"/>
                <w:color w:val="0C0C0C"/>
                <w:sz w:val="24"/>
                <w:szCs w:val="24"/>
              </w:rPr>
            </w:pPr>
            <w:r>
              <w:rPr>
                <w:rFonts w:hint="eastAsia" w:cs="宋体"/>
                <w:color w:val="0C0C0C"/>
                <w:sz w:val="24"/>
                <w:szCs w:val="24"/>
              </w:rPr>
              <w:t>每提出内容思路明确、针对性强、方法科学合理、可操作性强、技术路线与需求分析精准的得</w:t>
            </w:r>
            <w:r>
              <w:rPr>
                <w:rFonts w:hint="eastAsia" w:cs="宋体"/>
                <w:color w:val="0C0C0C"/>
                <w:sz w:val="24"/>
                <w:szCs w:val="24"/>
                <w:lang w:val="en-US" w:eastAsia="zh-CN"/>
              </w:rPr>
              <w:t>5</w:t>
            </w:r>
            <w:r>
              <w:rPr>
                <w:rFonts w:hint="eastAsia" w:cs="宋体"/>
                <w:color w:val="0C0C0C"/>
                <w:sz w:val="24"/>
                <w:szCs w:val="24"/>
              </w:rPr>
              <w:t>分；</w:t>
            </w:r>
          </w:p>
          <w:p>
            <w:pPr>
              <w:rPr>
                <w:rFonts w:cs="宋体"/>
                <w:color w:val="0C0C0C"/>
                <w:sz w:val="24"/>
                <w:szCs w:val="24"/>
              </w:rPr>
            </w:pPr>
            <w:r>
              <w:rPr>
                <w:rFonts w:hint="eastAsia" w:cs="宋体"/>
                <w:color w:val="0C0C0C"/>
                <w:sz w:val="24"/>
                <w:szCs w:val="24"/>
              </w:rPr>
              <w:t>每提出内容思路较明确、针对性较强、方法较科学合理、可操作性较强、技术路线与需求分析较精准的得</w:t>
            </w:r>
            <w:r>
              <w:rPr>
                <w:rFonts w:hint="eastAsia" w:cs="宋体"/>
                <w:color w:val="0C0C0C"/>
                <w:sz w:val="24"/>
                <w:szCs w:val="24"/>
                <w:lang w:val="en-US" w:eastAsia="zh-CN"/>
              </w:rPr>
              <w:t>4</w:t>
            </w:r>
            <w:r>
              <w:rPr>
                <w:rFonts w:hint="eastAsia" w:cs="宋体"/>
                <w:color w:val="0C0C0C"/>
                <w:sz w:val="24"/>
                <w:szCs w:val="24"/>
              </w:rPr>
              <w:t>分</w:t>
            </w:r>
          </w:p>
          <w:p>
            <w:pPr>
              <w:rPr>
                <w:rFonts w:cs="宋体"/>
                <w:color w:val="0C0C0C"/>
                <w:sz w:val="24"/>
                <w:szCs w:val="24"/>
              </w:rPr>
            </w:pPr>
            <w:r>
              <w:rPr>
                <w:rFonts w:hint="eastAsia" w:cs="宋体"/>
                <w:color w:val="0C0C0C"/>
                <w:sz w:val="24"/>
                <w:szCs w:val="24"/>
              </w:rPr>
              <w:t>每提出内容思路欠明确、针对性欠强、方法欠科学合理、可操作性欠强、技术路线与需求分析欠精准的得</w:t>
            </w:r>
            <w:r>
              <w:rPr>
                <w:rFonts w:hint="eastAsia" w:cs="宋体"/>
                <w:color w:val="0C0C0C"/>
                <w:sz w:val="24"/>
                <w:szCs w:val="24"/>
                <w:lang w:val="en-US" w:eastAsia="zh-CN"/>
              </w:rPr>
              <w:t>3</w:t>
            </w:r>
            <w:r>
              <w:rPr>
                <w:rFonts w:hint="eastAsia" w:cs="宋体"/>
                <w:color w:val="0C0C0C"/>
                <w:sz w:val="24"/>
                <w:szCs w:val="24"/>
              </w:rPr>
              <w:t>分；缺项得0分。</w:t>
            </w:r>
          </w:p>
        </w:tc>
        <w:tc>
          <w:tcPr>
            <w:tcW w:w="802" w:type="dxa"/>
            <w:tcBorders>
              <w:top w:val="single" w:color="auto" w:sz="4" w:space="0"/>
            </w:tcBorders>
            <w:noWrap w:val="0"/>
            <w:vAlign w:val="center"/>
          </w:tcPr>
          <w:p>
            <w:pPr>
              <w:jc w:val="center"/>
              <w:rPr>
                <w:rFonts w:hint="eastAsia" w:eastAsia="宋体"/>
                <w:color w:val="0C0C0C"/>
                <w:sz w:val="24"/>
                <w:szCs w:val="24"/>
                <w:lang w:eastAsia="zh-CN"/>
              </w:rPr>
            </w:pPr>
            <w:r>
              <w:rPr>
                <w:rFonts w:hint="eastAsia"/>
                <w:color w:val="0C0C0C"/>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1" w:hRule="atLeast"/>
          <w:jc w:val="center"/>
        </w:trPr>
        <w:tc>
          <w:tcPr>
            <w:tcW w:w="1508" w:type="dxa"/>
            <w:vMerge w:val="continue"/>
            <w:noWrap w:val="0"/>
            <w:vAlign w:val="center"/>
          </w:tcPr>
          <w:p>
            <w:pPr>
              <w:spacing w:line="360" w:lineRule="auto"/>
              <w:jc w:val="left"/>
              <w:rPr>
                <w:rFonts w:ascii="Arial" w:hAnsi="Arial" w:cs="Arial"/>
                <w:b/>
                <w:bCs/>
                <w:color w:val="0C0C0C"/>
                <w:sz w:val="24"/>
                <w:szCs w:val="24"/>
              </w:rPr>
            </w:pPr>
          </w:p>
        </w:tc>
        <w:tc>
          <w:tcPr>
            <w:tcW w:w="7145" w:type="dxa"/>
            <w:tcBorders>
              <w:top w:val="single" w:color="auto" w:sz="4" w:space="0"/>
            </w:tcBorders>
            <w:noWrap w:val="0"/>
            <w:vAlign w:val="center"/>
          </w:tcPr>
          <w:p>
            <w:pPr>
              <w:rPr>
                <w:rFonts w:ascii="宋体" w:hAnsi="宋体"/>
                <w:b/>
                <w:bCs/>
                <w:color w:val="0C0C0C"/>
                <w:sz w:val="24"/>
                <w:szCs w:val="24"/>
              </w:rPr>
            </w:pPr>
            <w:r>
              <w:rPr>
                <w:rFonts w:hint="eastAsia" w:cs="宋体"/>
                <w:color w:val="0C0C0C"/>
                <w:sz w:val="24"/>
                <w:szCs w:val="24"/>
              </w:rPr>
              <w:t>技术方案：根据投标人提出对本项目背景和结合项目实际针对技术方案分析，内容与用户需求吻合程度等情况，</w:t>
            </w:r>
            <w:r>
              <w:rPr>
                <w:rFonts w:hint="eastAsia" w:ascii="宋体" w:hAnsi="宋体" w:cs="宋体"/>
                <w:b/>
                <w:bCs/>
                <w:color w:val="0C0C0C"/>
                <w:sz w:val="24"/>
                <w:szCs w:val="24"/>
              </w:rPr>
              <w:t>由</w:t>
            </w:r>
            <w:r>
              <w:rPr>
                <w:rFonts w:hint="eastAsia" w:ascii="宋体" w:hAnsi="宋体"/>
                <w:b/>
                <w:bCs/>
                <w:color w:val="0C0C0C"/>
                <w:sz w:val="24"/>
                <w:szCs w:val="24"/>
              </w:rPr>
              <w:t>专家进行打分</w:t>
            </w:r>
            <w:r>
              <w:rPr>
                <w:rFonts w:hint="eastAsia" w:cs="宋体"/>
                <w:color w:val="0C0C0C"/>
                <w:sz w:val="24"/>
                <w:szCs w:val="24"/>
              </w:rPr>
              <w:t>，</w:t>
            </w:r>
            <w:r>
              <w:rPr>
                <w:rFonts w:cs="宋体"/>
                <w:color w:val="0C0C0C"/>
                <w:sz w:val="24"/>
                <w:szCs w:val="24"/>
              </w:rPr>
              <w:t>最高得</w:t>
            </w:r>
            <w:r>
              <w:rPr>
                <w:rFonts w:hint="eastAsia" w:cs="宋体"/>
                <w:color w:val="0C0C0C"/>
                <w:sz w:val="24"/>
                <w:szCs w:val="24"/>
              </w:rPr>
              <w:t>6分。</w:t>
            </w:r>
          </w:p>
          <w:p>
            <w:pPr>
              <w:rPr>
                <w:rFonts w:cs="宋体"/>
                <w:color w:val="0C0C0C"/>
                <w:sz w:val="24"/>
                <w:szCs w:val="24"/>
              </w:rPr>
            </w:pPr>
            <w:r>
              <w:rPr>
                <w:rFonts w:hint="eastAsia" w:cs="宋体"/>
                <w:color w:val="0C0C0C"/>
                <w:sz w:val="24"/>
                <w:szCs w:val="24"/>
              </w:rPr>
              <w:t>提出内容思路明确、针对性强、方法科学合理、可操作性强、技术路线与需求分析精准的得6分；</w:t>
            </w:r>
          </w:p>
          <w:p>
            <w:pPr>
              <w:rPr>
                <w:rFonts w:cs="宋体"/>
                <w:color w:val="0C0C0C"/>
                <w:sz w:val="24"/>
                <w:szCs w:val="24"/>
              </w:rPr>
            </w:pPr>
            <w:r>
              <w:rPr>
                <w:rFonts w:hint="eastAsia" w:cs="宋体"/>
                <w:color w:val="0C0C0C"/>
                <w:sz w:val="24"/>
                <w:szCs w:val="24"/>
              </w:rPr>
              <w:t>提出内容思路较明确、针对性较强、方法较科学合理、可操作性较强、技术路线与需求分析较精准的得5分</w:t>
            </w:r>
          </w:p>
          <w:p>
            <w:pPr>
              <w:rPr>
                <w:rFonts w:cs="宋体"/>
                <w:color w:val="0C0C0C"/>
                <w:sz w:val="24"/>
                <w:szCs w:val="24"/>
              </w:rPr>
            </w:pPr>
            <w:r>
              <w:rPr>
                <w:rFonts w:hint="eastAsia" w:cs="宋体"/>
                <w:color w:val="0C0C0C"/>
                <w:sz w:val="24"/>
                <w:szCs w:val="24"/>
              </w:rPr>
              <w:t>提出内容思路欠明确、针对性欠强、方法欠科学合理、可操作性欠强、技术路线与需求分析欠精准的得4分；缺项得0分。</w:t>
            </w:r>
          </w:p>
        </w:tc>
        <w:tc>
          <w:tcPr>
            <w:tcW w:w="802" w:type="dxa"/>
            <w:tcBorders>
              <w:top w:val="single" w:color="auto" w:sz="4" w:space="0"/>
            </w:tcBorders>
            <w:noWrap w:val="0"/>
            <w:vAlign w:val="center"/>
          </w:tcPr>
          <w:p>
            <w:pPr>
              <w:jc w:val="center"/>
              <w:rPr>
                <w:color w:val="0C0C0C"/>
                <w:sz w:val="24"/>
                <w:szCs w:val="24"/>
              </w:rPr>
            </w:pPr>
            <w:r>
              <w:rPr>
                <w:rFonts w:hint="eastAsia"/>
                <w:color w:val="0C0C0C"/>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08" w:type="dxa"/>
            <w:vMerge w:val="continue"/>
            <w:noWrap w:val="0"/>
            <w:vAlign w:val="center"/>
          </w:tcPr>
          <w:p>
            <w:pPr>
              <w:widowControl/>
              <w:spacing w:line="360" w:lineRule="auto"/>
              <w:ind w:firstLine="480"/>
              <w:jc w:val="left"/>
              <w:rPr>
                <w:rFonts w:ascii="Arial" w:hAnsi="Arial" w:cs="Arial"/>
                <w:bCs/>
                <w:color w:val="0C0C0C"/>
                <w:sz w:val="24"/>
                <w:szCs w:val="24"/>
              </w:rPr>
            </w:pPr>
          </w:p>
        </w:tc>
        <w:tc>
          <w:tcPr>
            <w:tcW w:w="7145" w:type="dxa"/>
            <w:tcBorders>
              <w:top w:val="single" w:color="auto" w:sz="4" w:space="0"/>
              <w:bottom w:val="single" w:color="auto" w:sz="4" w:space="0"/>
            </w:tcBorders>
            <w:noWrap w:val="0"/>
            <w:vAlign w:val="center"/>
          </w:tcPr>
          <w:p>
            <w:pPr>
              <w:rPr>
                <w:rFonts w:cs="宋体"/>
                <w:color w:val="auto"/>
                <w:sz w:val="24"/>
                <w:szCs w:val="24"/>
              </w:rPr>
            </w:pPr>
            <w:r>
              <w:rPr>
                <w:rFonts w:hint="eastAsia" w:cs="宋体"/>
                <w:color w:val="auto"/>
                <w:sz w:val="24"/>
                <w:szCs w:val="24"/>
              </w:rPr>
              <w:t>根据投标人对项目实施有利的技术或项目优势等进行评分。</w:t>
            </w:r>
            <w:r>
              <w:rPr>
                <w:rFonts w:hint="eastAsia"/>
                <w:color w:val="auto"/>
                <w:sz w:val="24"/>
                <w:szCs w:val="24"/>
              </w:rPr>
              <w:t>最高得</w:t>
            </w:r>
            <w:r>
              <w:rPr>
                <w:rFonts w:hint="eastAsia"/>
                <w:color w:val="auto"/>
                <w:sz w:val="24"/>
                <w:szCs w:val="24"/>
                <w:lang w:val="en-US" w:eastAsia="zh-CN"/>
              </w:rPr>
              <w:t>6</w:t>
            </w:r>
            <w:r>
              <w:rPr>
                <w:rFonts w:hint="eastAsia"/>
                <w:color w:val="auto"/>
                <w:sz w:val="24"/>
                <w:szCs w:val="24"/>
              </w:rPr>
              <w:t>分。</w:t>
            </w:r>
          </w:p>
          <w:p>
            <w:pPr>
              <w:rPr>
                <w:color w:val="auto"/>
                <w:sz w:val="24"/>
                <w:szCs w:val="24"/>
              </w:rPr>
            </w:pPr>
            <w:r>
              <w:rPr>
                <w:rFonts w:hint="eastAsia"/>
                <w:color w:val="auto"/>
                <w:sz w:val="24"/>
                <w:szCs w:val="24"/>
              </w:rPr>
              <w:t>投标人对项目实施</w:t>
            </w:r>
            <w:r>
              <w:rPr>
                <w:rFonts w:hint="eastAsia"/>
                <w:color w:val="auto"/>
                <w:sz w:val="24"/>
                <w:szCs w:val="24"/>
                <w:lang w:eastAsia="zh-CN"/>
              </w:rPr>
              <w:t>列出多项</w:t>
            </w:r>
            <w:r>
              <w:rPr>
                <w:rFonts w:hint="eastAsia"/>
                <w:color w:val="auto"/>
                <w:sz w:val="24"/>
                <w:szCs w:val="24"/>
              </w:rPr>
              <w:t>有利的技术或项目优势</w:t>
            </w:r>
            <w:r>
              <w:rPr>
                <w:rFonts w:hint="eastAsia"/>
                <w:color w:val="auto"/>
                <w:sz w:val="24"/>
                <w:szCs w:val="24"/>
                <w:lang w:eastAsia="zh-CN"/>
              </w:rPr>
              <w:t>，</w:t>
            </w:r>
            <w:r>
              <w:rPr>
                <w:rFonts w:hint="eastAsia" w:cs="宋体"/>
                <w:color w:val="auto"/>
                <w:sz w:val="24"/>
                <w:szCs w:val="24"/>
              </w:rPr>
              <w:t>针对性强、方法科学合理、可操作性强</w:t>
            </w:r>
            <w:r>
              <w:rPr>
                <w:rFonts w:hint="eastAsia"/>
                <w:color w:val="auto"/>
                <w:sz w:val="24"/>
                <w:szCs w:val="24"/>
              </w:rPr>
              <w:t>的</w:t>
            </w:r>
            <w:r>
              <w:rPr>
                <w:rFonts w:hint="eastAsia"/>
                <w:color w:val="auto"/>
                <w:sz w:val="24"/>
                <w:szCs w:val="24"/>
                <w:lang w:eastAsia="zh-CN"/>
              </w:rPr>
              <w:t>，</w:t>
            </w:r>
            <w:r>
              <w:rPr>
                <w:rFonts w:hint="eastAsia"/>
                <w:color w:val="auto"/>
                <w:sz w:val="24"/>
                <w:szCs w:val="24"/>
              </w:rPr>
              <w:t>得</w:t>
            </w:r>
            <w:r>
              <w:rPr>
                <w:rFonts w:hint="eastAsia"/>
                <w:color w:val="auto"/>
                <w:sz w:val="24"/>
                <w:szCs w:val="24"/>
                <w:lang w:val="en-US" w:eastAsia="zh-CN"/>
              </w:rPr>
              <w:t>6</w:t>
            </w:r>
            <w:r>
              <w:rPr>
                <w:rFonts w:hint="eastAsia"/>
                <w:color w:val="auto"/>
                <w:sz w:val="24"/>
                <w:szCs w:val="24"/>
              </w:rPr>
              <w:t>分；</w:t>
            </w:r>
          </w:p>
          <w:p>
            <w:pPr>
              <w:rPr>
                <w:rFonts w:hint="eastAsia"/>
                <w:color w:val="auto"/>
                <w:sz w:val="24"/>
                <w:szCs w:val="24"/>
              </w:rPr>
            </w:pPr>
            <w:r>
              <w:rPr>
                <w:rFonts w:hint="eastAsia"/>
                <w:color w:val="auto"/>
                <w:sz w:val="24"/>
                <w:szCs w:val="24"/>
              </w:rPr>
              <w:t>投标人对项目实施</w:t>
            </w:r>
            <w:r>
              <w:rPr>
                <w:rFonts w:hint="eastAsia"/>
                <w:color w:val="auto"/>
                <w:sz w:val="24"/>
                <w:szCs w:val="24"/>
                <w:lang w:eastAsia="zh-CN"/>
              </w:rPr>
              <w:t>列出多项</w:t>
            </w:r>
            <w:r>
              <w:rPr>
                <w:rFonts w:hint="eastAsia"/>
                <w:color w:val="auto"/>
                <w:sz w:val="24"/>
                <w:szCs w:val="24"/>
              </w:rPr>
              <w:t>有利的技术或项目优势</w:t>
            </w:r>
            <w:r>
              <w:rPr>
                <w:rFonts w:hint="eastAsia"/>
                <w:color w:val="auto"/>
                <w:sz w:val="24"/>
                <w:szCs w:val="24"/>
                <w:lang w:eastAsia="zh-CN"/>
              </w:rPr>
              <w:t>，</w:t>
            </w:r>
            <w:r>
              <w:rPr>
                <w:rFonts w:hint="eastAsia" w:cs="宋体"/>
                <w:color w:val="auto"/>
                <w:sz w:val="24"/>
                <w:szCs w:val="24"/>
              </w:rPr>
              <w:t>针对性</w:t>
            </w:r>
            <w:r>
              <w:rPr>
                <w:rFonts w:hint="eastAsia" w:cs="宋体"/>
                <w:color w:val="auto"/>
                <w:sz w:val="24"/>
                <w:szCs w:val="24"/>
                <w:lang w:eastAsia="zh-CN"/>
              </w:rPr>
              <w:t>较</w:t>
            </w:r>
            <w:r>
              <w:rPr>
                <w:rFonts w:hint="eastAsia" w:cs="宋体"/>
                <w:color w:val="auto"/>
                <w:sz w:val="24"/>
                <w:szCs w:val="24"/>
              </w:rPr>
              <w:t>强、方法</w:t>
            </w:r>
            <w:r>
              <w:rPr>
                <w:rFonts w:hint="eastAsia" w:cs="宋体"/>
                <w:color w:val="auto"/>
                <w:sz w:val="24"/>
                <w:szCs w:val="24"/>
                <w:lang w:eastAsia="zh-CN"/>
              </w:rPr>
              <w:t>较</w:t>
            </w:r>
            <w:r>
              <w:rPr>
                <w:rFonts w:hint="eastAsia" w:cs="宋体"/>
                <w:color w:val="auto"/>
                <w:sz w:val="24"/>
                <w:szCs w:val="24"/>
              </w:rPr>
              <w:t>科学合理、可操作性</w:t>
            </w:r>
            <w:r>
              <w:rPr>
                <w:rFonts w:hint="eastAsia" w:cs="宋体"/>
                <w:color w:val="auto"/>
                <w:sz w:val="24"/>
                <w:szCs w:val="24"/>
                <w:lang w:eastAsia="zh-CN"/>
              </w:rPr>
              <w:t>较</w:t>
            </w:r>
            <w:r>
              <w:rPr>
                <w:rFonts w:hint="eastAsia" w:cs="宋体"/>
                <w:color w:val="auto"/>
                <w:sz w:val="24"/>
                <w:szCs w:val="24"/>
              </w:rPr>
              <w:t>强</w:t>
            </w:r>
            <w:r>
              <w:rPr>
                <w:rFonts w:hint="eastAsia"/>
                <w:color w:val="auto"/>
                <w:sz w:val="24"/>
                <w:szCs w:val="24"/>
              </w:rPr>
              <w:t>的</w:t>
            </w:r>
            <w:r>
              <w:rPr>
                <w:rFonts w:hint="eastAsia"/>
                <w:color w:val="auto"/>
                <w:sz w:val="24"/>
                <w:szCs w:val="24"/>
                <w:lang w:eastAsia="zh-CN"/>
              </w:rPr>
              <w:t>，</w:t>
            </w:r>
            <w:r>
              <w:rPr>
                <w:rFonts w:hint="eastAsia"/>
                <w:color w:val="auto"/>
                <w:sz w:val="24"/>
                <w:szCs w:val="24"/>
              </w:rPr>
              <w:t>得</w:t>
            </w:r>
            <w:r>
              <w:rPr>
                <w:rFonts w:hint="eastAsia"/>
                <w:color w:val="auto"/>
                <w:sz w:val="24"/>
                <w:szCs w:val="24"/>
                <w:lang w:val="en-US" w:eastAsia="zh-CN"/>
              </w:rPr>
              <w:t>5</w:t>
            </w:r>
            <w:r>
              <w:rPr>
                <w:rFonts w:hint="eastAsia"/>
                <w:color w:val="auto"/>
                <w:sz w:val="24"/>
                <w:szCs w:val="24"/>
              </w:rPr>
              <w:t>分；</w:t>
            </w:r>
          </w:p>
          <w:p>
            <w:pPr>
              <w:rPr>
                <w:rFonts w:hint="eastAsia"/>
                <w:color w:val="auto"/>
                <w:sz w:val="24"/>
                <w:szCs w:val="24"/>
              </w:rPr>
            </w:pPr>
            <w:r>
              <w:rPr>
                <w:rFonts w:hint="eastAsia"/>
                <w:color w:val="auto"/>
                <w:sz w:val="24"/>
                <w:szCs w:val="24"/>
              </w:rPr>
              <w:t>投标人对项目实施</w:t>
            </w:r>
            <w:r>
              <w:rPr>
                <w:rFonts w:hint="eastAsia"/>
                <w:color w:val="auto"/>
                <w:sz w:val="24"/>
                <w:szCs w:val="24"/>
                <w:lang w:eastAsia="zh-CN"/>
              </w:rPr>
              <w:t>列出</w:t>
            </w:r>
            <w:r>
              <w:rPr>
                <w:rFonts w:hint="eastAsia"/>
                <w:color w:val="auto"/>
                <w:sz w:val="24"/>
                <w:szCs w:val="24"/>
              </w:rPr>
              <w:t>有利的技术或项目优势</w:t>
            </w:r>
            <w:r>
              <w:rPr>
                <w:rFonts w:hint="eastAsia"/>
                <w:color w:val="auto"/>
                <w:sz w:val="24"/>
                <w:szCs w:val="24"/>
                <w:lang w:eastAsia="zh-CN"/>
              </w:rPr>
              <w:t>，</w:t>
            </w:r>
            <w:r>
              <w:rPr>
                <w:rFonts w:hint="eastAsia" w:cs="宋体"/>
                <w:color w:val="auto"/>
                <w:sz w:val="24"/>
                <w:szCs w:val="24"/>
              </w:rPr>
              <w:t>针对性</w:t>
            </w:r>
            <w:r>
              <w:rPr>
                <w:rFonts w:hint="eastAsia" w:cs="宋体"/>
                <w:color w:val="auto"/>
                <w:sz w:val="24"/>
                <w:szCs w:val="24"/>
                <w:lang w:eastAsia="zh-CN"/>
              </w:rPr>
              <w:t>欠</w:t>
            </w:r>
            <w:r>
              <w:rPr>
                <w:rFonts w:hint="eastAsia" w:cs="宋体"/>
                <w:color w:val="auto"/>
                <w:sz w:val="24"/>
                <w:szCs w:val="24"/>
              </w:rPr>
              <w:t>强、方法</w:t>
            </w:r>
            <w:r>
              <w:rPr>
                <w:rFonts w:hint="eastAsia" w:cs="宋体"/>
                <w:color w:val="auto"/>
                <w:sz w:val="24"/>
                <w:szCs w:val="24"/>
                <w:lang w:eastAsia="zh-CN"/>
              </w:rPr>
              <w:t>欠</w:t>
            </w:r>
            <w:r>
              <w:rPr>
                <w:rFonts w:hint="eastAsia" w:cs="宋体"/>
                <w:color w:val="auto"/>
                <w:sz w:val="24"/>
                <w:szCs w:val="24"/>
              </w:rPr>
              <w:t>科学合理、可操作性</w:t>
            </w:r>
            <w:r>
              <w:rPr>
                <w:rFonts w:hint="eastAsia" w:cs="宋体"/>
                <w:color w:val="auto"/>
                <w:sz w:val="24"/>
                <w:szCs w:val="24"/>
                <w:lang w:eastAsia="zh-CN"/>
              </w:rPr>
              <w:t>欠</w:t>
            </w:r>
            <w:r>
              <w:rPr>
                <w:rFonts w:hint="eastAsia" w:cs="宋体"/>
                <w:color w:val="auto"/>
                <w:sz w:val="24"/>
                <w:szCs w:val="24"/>
              </w:rPr>
              <w:t>强</w:t>
            </w:r>
            <w:r>
              <w:rPr>
                <w:rFonts w:hint="eastAsia"/>
                <w:color w:val="auto"/>
                <w:sz w:val="24"/>
                <w:szCs w:val="24"/>
              </w:rPr>
              <w:t>的</w:t>
            </w:r>
            <w:r>
              <w:rPr>
                <w:rFonts w:hint="eastAsia"/>
                <w:color w:val="auto"/>
                <w:sz w:val="24"/>
                <w:szCs w:val="24"/>
                <w:lang w:eastAsia="zh-CN"/>
              </w:rPr>
              <w:t>，</w:t>
            </w:r>
            <w:r>
              <w:rPr>
                <w:rFonts w:hint="eastAsia"/>
                <w:color w:val="auto"/>
                <w:sz w:val="24"/>
                <w:szCs w:val="24"/>
              </w:rPr>
              <w:t>得</w:t>
            </w:r>
            <w:r>
              <w:rPr>
                <w:rFonts w:hint="eastAsia"/>
                <w:color w:val="auto"/>
                <w:sz w:val="24"/>
                <w:szCs w:val="24"/>
                <w:lang w:val="en-US" w:eastAsia="zh-CN"/>
              </w:rPr>
              <w:t>4</w:t>
            </w:r>
            <w:r>
              <w:rPr>
                <w:rFonts w:hint="eastAsia"/>
                <w:color w:val="auto"/>
                <w:sz w:val="24"/>
                <w:szCs w:val="24"/>
              </w:rPr>
              <w:t>分；</w:t>
            </w:r>
          </w:p>
          <w:p>
            <w:pPr>
              <w:rPr>
                <w:rFonts w:ascii="宋体" w:hAnsi="宋体"/>
                <w:color w:val="auto"/>
                <w:sz w:val="24"/>
                <w:szCs w:val="24"/>
              </w:rPr>
            </w:pPr>
            <w:r>
              <w:rPr>
                <w:rFonts w:hint="eastAsia" w:cs="宋体"/>
                <w:color w:val="auto"/>
                <w:sz w:val="24"/>
                <w:szCs w:val="24"/>
              </w:rPr>
              <w:t>无</w:t>
            </w:r>
            <w:r>
              <w:rPr>
                <w:rFonts w:hint="eastAsia" w:cs="宋体"/>
                <w:color w:val="auto"/>
                <w:sz w:val="24"/>
                <w:szCs w:val="24"/>
                <w:lang w:eastAsia="zh-CN"/>
              </w:rPr>
              <w:t>列出</w:t>
            </w:r>
            <w:r>
              <w:rPr>
                <w:rFonts w:hint="eastAsia" w:cs="宋体"/>
                <w:color w:val="auto"/>
                <w:sz w:val="24"/>
                <w:szCs w:val="24"/>
              </w:rPr>
              <w:t>或缺项得0分。</w:t>
            </w:r>
          </w:p>
        </w:tc>
        <w:tc>
          <w:tcPr>
            <w:tcW w:w="802" w:type="dxa"/>
            <w:tcBorders>
              <w:top w:val="single" w:color="auto" w:sz="4" w:space="0"/>
              <w:bottom w:val="single" w:color="auto" w:sz="4" w:space="0"/>
            </w:tcBorders>
            <w:noWrap w:val="0"/>
            <w:vAlign w:val="center"/>
          </w:tcPr>
          <w:p>
            <w:pPr>
              <w:jc w:val="center"/>
              <w:rPr>
                <w:rFonts w:hint="eastAsia" w:ascii="宋体" w:eastAsia="宋体"/>
                <w:color w:val="auto"/>
                <w:sz w:val="24"/>
                <w:szCs w:val="24"/>
                <w:lang w:eastAsia="zh-CN"/>
              </w:rPr>
            </w:pPr>
            <w:r>
              <w:rPr>
                <w:rFonts w:hint="eastAsia"/>
                <w:color w:val="auto"/>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508" w:type="dxa"/>
            <w:vMerge w:val="continue"/>
            <w:noWrap w:val="0"/>
            <w:vAlign w:val="center"/>
          </w:tcPr>
          <w:p>
            <w:pPr>
              <w:widowControl/>
              <w:spacing w:line="360" w:lineRule="auto"/>
              <w:ind w:firstLine="480"/>
              <w:jc w:val="left"/>
              <w:rPr>
                <w:rFonts w:ascii="Arial" w:hAnsi="Arial" w:cs="Arial"/>
                <w:bCs/>
                <w:color w:val="0C0C0C"/>
                <w:sz w:val="24"/>
                <w:szCs w:val="24"/>
              </w:rPr>
            </w:pPr>
          </w:p>
        </w:tc>
        <w:tc>
          <w:tcPr>
            <w:tcW w:w="7145" w:type="dxa"/>
            <w:tcBorders>
              <w:top w:val="single" w:color="auto" w:sz="4" w:space="0"/>
            </w:tcBorders>
            <w:noWrap w:val="0"/>
            <w:vAlign w:val="center"/>
          </w:tcPr>
          <w:p>
            <w:pPr>
              <w:rPr>
                <w:rFonts w:cs="宋体"/>
                <w:color w:val="0C0C0C"/>
                <w:sz w:val="24"/>
                <w:szCs w:val="24"/>
              </w:rPr>
            </w:pPr>
            <w:r>
              <w:rPr>
                <w:rFonts w:hint="eastAsia" w:cs="宋体"/>
                <w:color w:val="0C0C0C"/>
                <w:sz w:val="24"/>
                <w:szCs w:val="24"/>
              </w:rPr>
              <w:t>工作措施：根据本项目的质量保证措施、安全技术措施、设备管理、保密管理等情况，</w:t>
            </w:r>
            <w:r>
              <w:rPr>
                <w:rFonts w:hint="eastAsia" w:ascii="宋体" w:hAnsi="宋体" w:cs="宋体"/>
                <w:b/>
                <w:bCs/>
                <w:color w:val="0C0C0C"/>
                <w:sz w:val="24"/>
                <w:szCs w:val="24"/>
              </w:rPr>
              <w:t>由</w:t>
            </w:r>
            <w:r>
              <w:rPr>
                <w:rFonts w:hint="eastAsia" w:ascii="宋体" w:hAnsi="宋体"/>
                <w:b/>
                <w:bCs/>
                <w:color w:val="0C0C0C"/>
                <w:sz w:val="24"/>
                <w:szCs w:val="24"/>
              </w:rPr>
              <w:t>专家进行打分。</w:t>
            </w:r>
          </w:p>
          <w:p>
            <w:pPr>
              <w:widowControl/>
              <w:spacing w:line="23" w:lineRule="atLeast"/>
              <w:jc w:val="left"/>
              <w:rPr>
                <w:rFonts w:ascii="宋体" w:hAnsi="宋体"/>
                <w:color w:val="0C0C0C"/>
                <w:sz w:val="24"/>
                <w:szCs w:val="24"/>
              </w:rPr>
            </w:pPr>
            <w:r>
              <w:rPr>
                <w:rFonts w:hint="eastAsia" w:ascii="宋体" w:hAnsi="宋体"/>
                <w:color w:val="0C0C0C"/>
                <w:sz w:val="24"/>
                <w:szCs w:val="24"/>
              </w:rPr>
              <w:t>对于思路明确、针对性强、方法科学合理、可操作性强、技术路线与需求分析精准的得6分；</w:t>
            </w:r>
          </w:p>
          <w:p>
            <w:pPr>
              <w:widowControl/>
              <w:spacing w:line="23" w:lineRule="atLeast"/>
              <w:jc w:val="left"/>
              <w:rPr>
                <w:rFonts w:ascii="宋体" w:hAnsi="宋体"/>
                <w:color w:val="0C0C0C"/>
                <w:sz w:val="24"/>
                <w:szCs w:val="24"/>
              </w:rPr>
            </w:pPr>
            <w:r>
              <w:rPr>
                <w:rFonts w:hint="eastAsia" w:ascii="宋体" w:hAnsi="宋体"/>
                <w:color w:val="0C0C0C"/>
                <w:sz w:val="24"/>
                <w:szCs w:val="24"/>
              </w:rPr>
              <w:t>对于思路较明确、针对性较强、方法较科学合理、可操作性较强、技术路线与需求分析较精准的得5分；</w:t>
            </w:r>
          </w:p>
          <w:p>
            <w:pPr>
              <w:widowControl/>
              <w:spacing w:line="23" w:lineRule="atLeast"/>
              <w:jc w:val="left"/>
              <w:rPr>
                <w:rFonts w:ascii="宋体" w:hAnsi="宋体"/>
                <w:color w:val="0C0C0C"/>
                <w:sz w:val="24"/>
                <w:szCs w:val="24"/>
              </w:rPr>
            </w:pPr>
            <w:r>
              <w:rPr>
                <w:rFonts w:hint="eastAsia" w:ascii="宋体" w:hAnsi="宋体"/>
                <w:color w:val="0C0C0C"/>
                <w:sz w:val="24"/>
                <w:szCs w:val="24"/>
              </w:rPr>
              <w:t>对于思路欠明确、针对性欠强、方法欠科学合理、可操作性欠强、技术路线与需求分析欠精准的得最高分4分；</w:t>
            </w:r>
          </w:p>
          <w:p>
            <w:pPr>
              <w:widowControl/>
              <w:spacing w:line="23" w:lineRule="atLeast"/>
              <w:jc w:val="left"/>
              <w:rPr>
                <w:rFonts w:ascii="宋体" w:hAnsi="宋体"/>
                <w:color w:val="0C0C0C"/>
                <w:sz w:val="24"/>
                <w:szCs w:val="24"/>
              </w:rPr>
            </w:pPr>
            <w:r>
              <w:rPr>
                <w:rFonts w:hint="eastAsia" w:cs="宋体"/>
                <w:color w:val="0C0C0C"/>
                <w:sz w:val="24"/>
                <w:szCs w:val="24"/>
              </w:rPr>
              <w:t>缺项得0分。</w:t>
            </w:r>
          </w:p>
        </w:tc>
        <w:tc>
          <w:tcPr>
            <w:tcW w:w="802" w:type="dxa"/>
            <w:tcBorders>
              <w:top w:val="single" w:color="auto" w:sz="4" w:space="0"/>
            </w:tcBorders>
            <w:noWrap w:val="0"/>
            <w:vAlign w:val="center"/>
          </w:tcPr>
          <w:p>
            <w:pPr>
              <w:widowControl/>
              <w:spacing w:line="23" w:lineRule="atLeast"/>
              <w:jc w:val="center"/>
              <w:rPr>
                <w:rFonts w:ascii="宋体"/>
                <w:color w:val="0C0C0C"/>
                <w:sz w:val="24"/>
                <w:szCs w:val="24"/>
              </w:rPr>
            </w:pPr>
            <w:r>
              <w:rPr>
                <w:rFonts w:hint="eastAsia"/>
                <w:color w:val="0C0C0C"/>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508" w:type="dxa"/>
            <w:vMerge w:val="continue"/>
            <w:noWrap w:val="0"/>
            <w:vAlign w:val="center"/>
          </w:tcPr>
          <w:p>
            <w:pPr>
              <w:widowControl/>
              <w:spacing w:line="360" w:lineRule="auto"/>
              <w:ind w:firstLine="480"/>
              <w:jc w:val="left"/>
              <w:rPr>
                <w:rFonts w:ascii="Arial" w:hAnsi="Arial" w:cs="Arial"/>
                <w:bCs/>
                <w:color w:val="0C0C0C"/>
                <w:sz w:val="24"/>
                <w:szCs w:val="24"/>
              </w:rPr>
            </w:pPr>
          </w:p>
        </w:tc>
        <w:tc>
          <w:tcPr>
            <w:tcW w:w="7145" w:type="dxa"/>
            <w:tcBorders>
              <w:top w:val="single" w:color="auto" w:sz="4" w:space="0"/>
              <w:bottom w:val="single" w:color="auto" w:sz="4" w:space="0"/>
            </w:tcBorders>
            <w:noWrap w:val="0"/>
            <w:vAlign w:val="center"/>
          </w:tcPr>
          <w:p>
            <w:pPr>
              <w:rPr>
                <w:rFonts w:cs="宋体"/>
                <w:color w:val="0C0C0C"/>
                <w:sz w:val="24"/>
                <w:szCs w:val="24"/>
              </w:rPr>
            </w:pPr>
            <w:r>
              <w:rPr>
                <w:rFonts w:hint="eastAsia" w:cs="宋体"/>
                <w:color w:val="0C0C0C"/>
                <w:sz w:val="24"/>
                <w:szCs w:val="24"/>
              </w:rPr>
              <w:t>合理化建议：对本项目重点难点进行分析论证，并提出对策和技术办法，以及对本项目的合理化建议是否具有较高实用价值等情况，</w:t>
            </w:r>
            <w:r>
              <w:rPr>
                <w:rFonts w:hint="eastAsia" w:ascii="宋体" w:hAnsi="宋体" w:cs="宋体"/>
                <w:b/>
                <w:bCs/>
                <w:color w:val="0C0C0C"/>
                <w:sz w:val="24"/>
                <w:szCs w:val="24"/>
              </w:rPr>
              <w:t>由</w:t>
            </w:r>
            <w:r>
              <w:rPr>
                <w:rFonts w:hint="eastAsia" w:ascii="宋体" w:hAnsi="宋体"/>
                <w:b/>
                <w:bCs/>
                <w:color w:val="0C0C0C"/>
                <w:sz w:val="24"/>
                <w:szCs w:val="24"/>
              </w:rPr>
              <w:t>专家进行打分。</w:t>
            </w:r>
          </w:p>
          <w:p>
            <w:pPr>
              <w:widowControl/>
              <w:spacing w:line="23" w:lineRule="atLeast"/>
              <w:jc w:val="left"/>
              <w:rPr>
                <w:rFonts w:ascii="宋体" w:hAnsi="宋体"/>
                <w:color w:val="0C0C0C"/>
                <w:sz w:val="24"/>
                <w:szCs w:val="24"/>
              </w:rPr>
            </w:pPr>
            <w:r>
              <w:rPr>
                <w:rFonts w:hint="eastAsia" w:ascii="宋体" w:hAnsi="宋体"/>
                <w:color w:val="0C0C0C"/>
                <w:sz w:val="24"/>
                <w:szCs w:val="24"/>
              </w:rPr>
              <w:t>对于思路明确、针对性强、方法科学合理、可操作性强、技术路线与需求分析精准的得6分；</w:t>
            </w:r>
          </w:p>
          <w:p>
            <w:pPr>
              <w:widowControl/>
              <w:spacing w:line="23" w:lineRule="atLeast"/>
              <w:jc w:val="left"/>
              <w:rPr>
                <w:rFonts w:ascii="宋体" w:hAnsi="宋体"/>
                <w:color w:val="0C0C0C"/>
                <w:sz w:val="24"/>
                <w:szCs w:val="24"/>
              </w:rPr>
            </w:pPr>
            <w:r>
              <w:rPr>
                <w:rFonts w:hint="eastAsia" w:ascii="宋体" w:hAnsi="宋体"/>
                <w:color w:val="0C0C0C"/>
                <w:sz w:val="24"/>
                <w:szCs w:val="24"/>
              </w:rPr>
              <w:t>对于思路较明确、针对性较强、方法较科学合理、可操作性较强、技术路线与需求分析较精准的得5分；</w:t>
            </w:r>
          </w:p>
          <w:p>
            <w:pPr>
              <w:widowControl/>
              <w:spacing w:line="23" w:lineRule="atLeast"/>
              <w:jc w:val="left"/>
              <w:rPr>
                <w:rFonts w:ascii="宋体" w:hAnsi="宋体"/>
                <w:color w:val="0C0C0C"/>
                <w:sz w:val="24"/>
                <w:szCs w:val="24"/>
              </w:rPr>
            </w:pPr>
            <w:r>
              <w:rPr>
                <w:rFonts w:hint="eastAsia" w:ascii="宋体" w:hAnsi="宋体"/>
                <w:color w:val="0C0C0C"/>
                <w:sz w:val="24"/>
                <w:szCs w:val="24"/>
              </w:rPr>
              <w:t>对于思路欠明确、针对性欠强、方法欠科学合理、可操作性欠强、技术路线与需求分析欠精准的得最高分4分；</w:t>
            </w:r>
          </w:p>
          <w:p>
            <w:pPr>
              <w:widowControl/>
              <w:spacing w:line="23" w:lineRule="atLeast"/>
              <w:jc w:val="left"/>
              <w:rPr>
                <w:rFonts w:ascii="宋体" w:hAnsi="宋体"/>
                <w:color w:val="0C0C0C"/>
                <w:sz w:val="24"/>
                <w:szCs w:val="24"/>
              </w:rPr>
            </w:pPr>
            <w:r>
              <w:rPr>
                <w:rFonts w:hint="eastAsia" w:cs="宋体"/>
                <w:color w:val="0C0C0C"/>
                <w:sz w:val="24"/>
                <w:szCs w:val="24"/>
              </w:rPr>
              <w:t>缺项得0分。</w:t>
            </w:r>
          </w:p>
        </w:tc>
        <w:tc>
          <w:tcPr>
            <w:tcW w:w="802" w:type="dxa"/>
            <w:tcBorders>
              <w:top w:val="single" w:color="auto" w:sz="4" w:space="0"/>
              <w:bottom w:val="single" w:color="auto" w:sz="4" w:space="0"/>
            </w:tcBorders>
            <w:noWrap w:val="0"/>
            <w:vAlign w:val="center"/>
          </w:tcPr>
          <w:p>
            <w:pPr>
              <w:jc w:val="center"/>
              <w:rPr>
                <w:rFonts w:ascii="宋体"/>
                <w:color w:val="0C0C0C"/>
                <w:sz w:val="24"/>
                <w:szCs w:val="24"/>
              </w:rPr>
            </w:pPr>
            <w:r>
              <w:rPr>
                <w:rFonts w:hint="eastAsia"/>
                <w:color w:val="0C0C0C"/>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508" w:type="dxa"/>
            <w:vMerge w:val="continue"/>
            <w:noWrap w:val="0"/>
            <w:vAlign w:val="center"/>
          </w:tcPr>
          <w:p>
            <w:pPr>
              <w:widowControl/>
              <w:spacing w:line="360" w:lineRule="auto"/>
              <w:ind w:firstLine="480"/>
              <w:jc w:val="left"/>
              <w:rPr>
                <w:rFonts w:ascii="Arial" w:hAnsi="Arial" w:cs="Arial"/>
                <w:bCs/>
                <w:color w:val="0C0C0C"/>
                <w:sz w:val="24"/>
                <w:szCs w:val="24"/>
              </w:rPr>
            </w:pPr>
          </w:p>
        </w:tc>
        <w:tc>
          <w:tcPr>
            <w:tcW w:w="7145" w:type="dxa"/>
            <w:tcBorders>
              <w:top w:val="single" w:color="auto" w:sz="4" w:space="0"/>
              <w:bottom w:val="single" w:color="auto" w:sz="4" w:space="0"/>
            </w:tcBorders>
            <w:noWrap w:val="0"/>
            <w:vAlign w:val="center"/>
          </w:tcPr>
          <w:p>
            <w:pPr>
              <w:rPr>
                <w:rFonts w:cs="宋体"/>
                <w:color w:val="0C0C0C"/>
                <w:sz w:val="24"/>
                <w:szCs w:val="24"/>
              </w:rPr>
            </w:pPr>
            <w:r>
              <w:rPr>
                <w:rFonts w:hint="eastAsia" w:cs="宋体"/>
                <w:color w:val="0C0C0C"/>
                <w:sz w:val="24"/>
                <w:szCs w:val="24"/>
              </w:rPr>
              <w:t>工期安排：根据项目工期进度计划及施工方案的安排合理性、科学性等情况，</w:t>
            </w:r>
            <w:r>
              <w:rPr>
                <w:rFonts w:hint="eastAsia" w:ascii="宋体" w:hAnsi="宋体" w:cs="宋体"/>
                <w:b/>
                <w:bCs/>
                <w:color w:val="0C0C0C"/>
                <w:sz w:val="24"/>
                <w:szCs w:val="24"/>
              </w:rPr>
              <w:t>由</w:t>
            </w:r>
            <w:r>
              <w:rPr>
                <w:rFonts w:hint="eastAsia" w:ascii="宋体" w:hAnsi="宋体"/>
                <w:b/>
                <w:bCs/>
                <w:color w:val="0C0C0C"/>
                <w:sz w:val="24"/>
                <w:szCs w:val="24"/>
              </w:rPr>
              <w:t>专家进行打分</w:t>
            </w:r>
            <w:r>
              <w:rPr>
                <w:rFonts w:hint="eastAsia"/>
                <w:b/>
                <w:bCs/>
                <w:color w:val="0C0C0C"/>
                <w:sz w:val="24"/>
                <w:szCs w:val="24"/>
              </w:rPr>
              <w:t>。</w:t>
            </w:r>
          </w:p>
          <w:p>
            <w:pPr>
              <w:rPr>
                <w:color w:val="0C0C0C"/>
                <w:sz w:val="24"/>
                <w:szCs w:val="24"/>
              </w:rPr>
            </w:pPr>
            <w:r>
              <w:rPr>
                <w:rFonts w:hint="eastAsia" w:ascii="宋体" w:hAnsi="宋体"/>
                <w:color w:val="0C0C0C"/>
                <w:sz w:val="24"/>
                <w:szCs w:val="24"/>
              </w:rPr>
              <w:t>对于</w:t>
            </w:r>
            <w:r>
              <w:rPr>
                <w:rFonts w:hint="eastAsia"/>
                <w:color w:val="0C0C0C"/>
                <w:sz w:val="24"/>
                <w:szCs w:val="24"/>
              </w:rPr>
              <w:t>方案明确、针对性强、方法科学合理、可操作性强的得</w:t>
            </w:r>
            <w:r>
              <w:rPr>
                <w:rFonts w:hint="eastAsia"/>
                <w:color w:val="0C0C0C"/>
                <w:sz w:val="24"/>
                <w:szCs w:val="24"/>
                <w:lang w:val="en-US" w:eastAsia="zh-CN"/>
              </w:rPr>
              <w:t>6</w:t>
            </w:r>
            <w:r>
              <w:rPr>
                <w:rFonts w:hint="eastAsia"/>
                <w:color w:val="0C0C0C"/>
                <w:sz w:val="24"/>
                <w:szCs w:val="24"/>
              </w:rPr>
              <w:t>分；</w:t>
            </w:r>
          </w:p>
          <w:p>
            <w:pPr>
              <w:rPr>
                <w:color w:val="0C0C0C"/>
                <w:sz w:val="24"/>
                <w:szCs w:val="24"/>
              </w:rPr>
            </w:pPr>
            <w:r>
              <w:rPr>
                <w:rFonts w:hint="eastAsia" w:ascii="宋体" w:hAnsi="宋体"/>
                <w:color w:val="0C0C0C"/>
                <w:sz w:val="24"/>
                <w:szCs w:val="24"/>
              </w:rPr>
              <w:t>对于</w:t>
            </w:r>
            <w:r>
              <w:rPr>
                <w:rFonts w:hint="eastAsia"/>
                <w:color w:val="0C0C0C"/>
                <w:sz w:val="24"/>
                <w:szCs w:val="24"/>
              </w:rPr>
              <w:t>方案较明确、针对性较强、方法较科学合理、可操作性较强的得</w:t>
            </w:r>
            <w:r>
              <w:rPr>
                <w:rFonts w:hint="eastAsia"/>
                <w:color w:val="0C0C0C"/>
                <w:sz w:val="24"/>
                <w:szCs w:val="24"/>
                <w:lang w:val="en-US" w:eastAsia="zh-CN"/>
              </w:rPr>
              <w:t>5</w:t>
            </w:r>
            <w:r>
              <w:rPr>
                <w:rFonts w:hint="eastAsia"/>
                <w:color w:val="0C0C0C"/>
                <w:sz w:val="24"/>
                <w:szCs w:val="24"/>
              </w:rPr>
              <w:t>分；</w:t>
            </w:r>
          </w:p>
          <w:p>
            <w:pPr>
              <w:rPr>
                <w:color w:val="0C0C0C"/>
                <w:sz w:val="24"/>
                <w:szCs w:val="24"/>
              </w:rPr>
            </w:pPr>
            <w:r>
              <w:rPr>
                <w:rFonts w:hint="eastAsia" w:ascii="宋体" w:hAnsi="宋体"/>
                <w:color w:val="0C0C0C"/>
                <w:sz w:val="24"/>
                <w:szCs w:val="24"/>
              </w:rPr>
              <w:t>对于</w:t>
            </w:r>
            <w:r>
              <w:rPr>
                <w:rFonts w:hint="eastAsia"/>
                <w:color w:val="0C0C0C"/>
                <w:sz w:val="24"/>
                <w:szCs w:val="24"/>
              </w:rPr>
              <w:t>方案欠明确、针对性欠强、方法欠科学合理、可操作性欠强的得</w:t>
            </w:r>
            <w:r>
              <w:rPr>
                <w:rFonts w:hint="eastAsia"/>
                <w:color w:val="0C0C0C"/>
                <w:sz w:val="24"/>
                <w:szCs w:val="24"/>
                <w:lang w:val="en-US" w:eastAsia="zh-CN"/>
              </w:rPr>
              <w:t>4</w:t>
            </w:r>
            <w:r>
              <w:rPr>
                <w:rFonts w:hint="eastAsia"/>
                <w:color w:val="0C0C0C"/>
                <w:sz w:val="24"/>
                <w:szCs w:val="24"/>
              </w:rPr>
              <w:t>分；</w:t>
            </w:r>
          </w:p>
          <w:p>
            <w:pPr>
              <w:rPr>
                <w:color w:val="0C0C0C"/>
                <w:sz w:val="24"/>
                <w:szCs w:val="24"/>
              </w:rPr>
            </w:pPr>
            <w:r>
              <w:rPr>
                <w:rFonts w:hint="eastAsia" w:cs="宋体"/>
                <w:color w:val="0C0C0C"/>
                <w:sz w:val="24"/>
                <w:szCs w:val="24"/>
              </w:rPr>
              <w:t>缺项得0分。</w:t>
            </w:r>
          </w:p>
        </w:tc>
        <w:tc>
          <w:tcPr>
            <w:tcW w:w="802" w:type="dxa"/>
            <w:tcBorders>
              <w:top w:val="single" w:color="auto" w:sz="4" w:space="0"/>
              <w:bottom w:val="single" w:color="auto" w:sz="4" w:space="0"/>
            </w:tcBorders>
            <w:noWrap w:val="0"/>
            <w:vAlign w:val="center"/>
          </w:tcPr>
          <w:p>
            <w:pPr>
              <w:jc w:val="center"/>
              <w:rPr>
                <w:rFonts w:hint="eastAsia" w:eastAsia="宋体"/>
                <w:color w:val="0C0C0C"/>
                <w:sz w:val="24"/>
                <w:szCs w:val="24"/>
                <w:lang w:eastAsia="zh-CN"/>
              </w:rPr>
            </w:pPr>
            <w:r>
              <w:rPr>
                <w:rFonts w:hint="eastAsia"/>
                <w:color w:val="auto"/>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508" w:type="dxa"/>
            <w:vMerge w:val="continue"/>
            <w:noWrap w:val="0"/>
            <w:vAlign w:val="center"/>
          </w:tcPr>
          <w:p>
            <w:pPr>
              <w:widowControl/>
              <w:spacing w:line="360" w:lineRule="auto"/>
              <w:ind w:firstLine="480"/>
              <w:jc w:val="left"/>
              <w:rPr>
                <w:rFonts w:ascii="Arial" w:hAnsi="Arial" w:cs="Arial"/>
                <w:bCs/>
                <w:color w:val="0C0C0C"/>
                <w:sz w:val="24"/>
                <w:szCs w:val="24"/>
              </w:rPr>
            </w:pPr>
          </w:p>
        </w:tc>
        <w:tc>
          <w:tcPr>
            <w:tcW w:w="7145" w:type="dxa"/>
            <w:tcBorders>
              <w:top w:val="single" w:color="auto" w:sz="4" w:space="0"/>
              <w:bottom w:val="single" w:color="auto" w:sz="4" w:space="0"/>
            </w:tcBorders>
            <w:noWrap w:val="0"/>
            <w:vAlign w:val="center"/>
          </w:tcPr>
          <w:p>
            <w:pPr>
              <w:rPr>
                <w:rFonts w:cs="宋体"/>
                <w:color w:val="0C0C0C"/>
                <w:sz w:val="24"/>
                <w:szCs w:val="24"/>
              </w:rPr>
            </w:pPr>
            <w:r>
              <w:rPr>
                <w:rFonts w:hint="eastAsia"/>
                <w:color w:val="0C0C0C"/>
                <w:sz w:val="24"/>
                <w:szCs w:val="24"/>
              </w:rPr>
              <w:t>对本项目中所采用的测评工具进行评价，测评所覆盖的各方面，需要符合信</w:t>
            </w:r>
            <w:r>
              <w:rPr>
                <w:rFonts w:hint="eastAsia"/>
                <w:color w:val="auto"/>
                <w:sz w:val="24"/>
                <w:szCs w:val="24"/>
              </w:rPr>
              <w:t>息安全等级保护主管部门要求，包括但不</w:t>
            </w:r>
            <w:r>
              <w:rPr>
                <w:rFonts w:hint="eastAsia"/>
                <w:color w:val="auto"/>
                <w:sz w:val="24"/>
                <w:szCs w:val="24"/>
                <w:lang w:eastAsia="zh-CN"/>
              </w:rPr>
              <w:t>限于</w:t>
            </w:r>
            <w:r>
              <w:rPr>
                <w:rFonts w:hint="eastAsia"/>
                <w:color w:val="auto"/>
                <w:sz w:val="24"/>
                <w:szCs w:val="24"/>
              </w:rPr>
              <w:t>网络隐患检测工具、漏洞检测</w:t>
            </w:r>
            <w:r>
              <w:rPr>
                <w:rFonts w:hint="eastAsia"/>
                <w:color w:val="auto"/>
                <w:sz w:val="24"/>
                <w:szCs w:val="24"/>
                <w:lang w:eastAsia="zh-CN"/>
              </w:rPr>
              <w:t>（扫描）</w:t>
            </w:r>
            <w:r>
              <w:rPr>
                <w:rFonts w:hint="eastAsia"/>
                <w:color w:val="auto"/>
                <w:sz w:val="24"/>
                <w:szCs w:val="24"/>
              </w:rPr>
              <w:t>工具、应用安全检测工具、网站安全检测工具</w:t>
            </w:r>
            <w:r>
              <w:rPr>
                <w:rFonts w:hint="eastAsia"/>
                <w:color w:val="auto"/>
                <w:sz w:val="24"/>
                <w:szCs w:val="24"/>
                <w:lang w:eastAsia="zh-CN"/>
              </w:rPr>
              <w:t>、源代码安全分析工具、移动应用合规检测软件</w:t>
            </w:r>
            <w:r>
              <w:rPr>
                <w:rFonts w:hint="eastAsia"/>
                <w:color w:val="auto"/>
                <w:sz w:val="24"/>
                <w:szCs w:val="24"/>
              </w:rPr>
              <w:t>等</w:t>
            </w:r>
            <w:r>
              <w:rPr>
                <w:rFonts w:hint="eastAsia" w:cs="宋体"/>
                <w:color w:val="auto"/>
                <w:sz w:val="24"/>
                <w:szCs w:val="24"/>
              </w:rPr>
              <w:t>，</w:t>
            </w:r>
            <w:r>
              <w:rPr>
                <w:rFonts w:hint="eastAsia" w:ascii="宋体" w:hAnsi="宋体" w:cs="宋体"/>
                <w:b/>
                <w:bCs/>
                <w:color w:val="auto"/>
                <w:sz w:val="24"/>
                <w:szCs w:val="24"/>
              </w:rPr>
              <w:t>由</w:t>
            </w:r>
            <w:r>
              <w:rPr>
                <w:rFonts w:hint="eastAsia"/>
                <w:b/>
                <w:bCs/>
                <w:color w:val="auto"/>
                <w:sz w:val="24"/>
                <w:szCs w:val="24"/>
              </w:rPr>
              <w:t>专家进行打分。</w:t>
            </w:r>
          </w:p>
          <w:p>
            <w:pPr>
              <w:rPr>
                <w:rFonts w:ascii="宋体" w:hAnsi="宋体" w:cs="宋体"/>
                <w:color w:val="0C0C0C"/>
                <w:sz w:val="24"/>
                <w:szCs w:val="24"/>
              </w:rPr>
            </w:pPr>
            <w:r>
              <w:rPr>
                <w:rFonts w:hint="eastAsia" w:ascii="宋体" w:hAnsi="宋体"/>
                <w:color w:val="0C0C0C"/>
                <w:sz w:val="24"/>
                <w:szCs w:val="24"/>
              </w:rPr>
              <w:t>对于测评</w:t>
            </w:r>
            <w:r>
              <w:rPr>
                <w:rFonts w:hint="eastAsia" w:ascii="宋体" w:hAnsi="宋体" w:cs="宋体"/>
                <w:color w:val="0C0C0C"/>
                <w:sz w:val="24"/>
                <w:szCs w:val="24"/>
              </w:rPr>
              <w:t>工具投入合理全面，运用得当，结合项目实际的</w:t>
            </w:r>
            <w:r>
              <w:rPr>
                <w:rFonts w:hint="eastAsia"/>
                <w:color w:val="0C0C0C"/>
                <w:sz w:val="24"/>
                <w:szCs w:val="24"/>
              </w:rPr>
              <w:t>得6分</w:t>
            </w:r>
            <w:r>
              <w:rPr>
                <w:rFonts w:hint="eastAsia" w:ascii="宋体" w:hAnsi="宋体" w:cs="宋体"/>
                <w:color w:val="0C0C0C"/>
                <w:sz w:val="24"/>
                <w:szCs w:val="24"/>
              </w:rPr>
              <w:t>；</w:t>
            </w:r>
          </w:p>
          <w:p>
            <w:pPr>
              <w:rPr>
                <w:rFonts w:ascii="宋体" w:hAnsi="宋体" w:cs="宋体"/>
                <w:color w:val="0C0C0C"/>
                <w:sz w:val="24"/>
                <w:szCs w:val="24"/>
              </w:rPr>
            </w:pPr>
            <w:r>
              <w:rPr>
                <w:rFonts w:hint="eastAsia" w:ascii="宋体" w:hAnsi="宋体"/>
                <w:color w:val="0C0C0C"/>
                <w:sz w:val="24"/>
                <w:szCs w:val="24"/>
              </w:rPr>
              <w:t>对于测评</w:t>
            </w:r>
            <w:r>
              <w:rPr>
                <w:rFonts w:hint="eastAsia" w:ascii="宋体" w:hAnsi="宋体" w:cs="宋体"/>
                <w:color w:val="0C0C0C"/>
                <w:sz w:val="24"/>
                <w:szCs w:val="24"/>
              </w:rPr>
              <w:t>工具投入较合理全面，运用较得当，结合项目较实际的</w:t>
            </w:r>
            <w:r>
              <w:rPr>
                <w:rFonts w:hint="eastAsia"/>
                <w:color w:val="0C0C0C"/>
                <w:sz w:val="24"/>
                <w:szCs w:val="24"/>
              </w:rPr>
              <w:t>得5分</w:t>
            </w:r>
            <w:r>
              <w:rPr>
                <w:rFonts w:hint="eastAsia" w:ascii="宋体" w:hAnsi="宋体" w:cs="宋体"/>
                <w:color w:val="0C0C0C"/>
                <w:sz w:val="24"/>
                <w:szCs w:val="24"/>
              </w:rPr>
              <w:t>；</w:t>
            </w:r>
          </w:p>
          <w:p>
            <w:pPr>
              <w:rPr>
                <w:rFonts w:ascii="宋体" w:hAnsi="宋体" w:cs="宋体"/>
                <w:color w:val="0C0C0C"/>
                <w:sz w:val="24"/>
                <w:szCs w:val="24"/>
              </w:rPr>
            </w:pPr>
            <w:r>
              <w:rPr>
                <w:rFonts w:hint="eastAsia" w:ascii="宋体" w:hAnsi="宋体"/>
                <w:color w:val="0C0C0C"/>
                <w:sz w:val="24"/>
                <w:szCs w:val="24"/>
              </w:rPr>
              <w:t>对于测评</w:t>
            </w:r>
            <w:r>
              <w:rPr>
                <w:rFonts w:hint="eastAsia" w:ascii="宋体" w:hAnsi="宋体" w:cs="宋体"/>
                <w:color w:val="0C0C0C"/>
                <w:sz w:val="24"/>
                <w:szCs w:val="24"/>
              </w:rPr>
              <w:t>工具投入欠合理全面，运用欠得当，结合项目欠实际的</w:t>
            </w:r>
            <w:r>
              <w:rPr>
                <w:rFonts w:hint="eastAsia"/>
                <w:color w:val="0C0C0C"/>
                <w:sz w:val="24"/>
                <w:szCs w:val="24"/>
              </w:rPr>
              <w:t>得4分</w:t>
            </w:r>
            <w:r>
              <w:rPr>
                <w:rFonts w:hint="eastAsia" w:ascii="宋体" w:hAnsi="宋体" w:cs="宋体"/>
                <w:color w:val="0C0C0C"/>
                <w:sz w:val="24"/>
                <w:szCs w:val="24"/>
              </w:rPr>
              <w:t>；</w:t>
            </w:r>
          </w:p>
          <w:p>
            <w:pPr>
              <w:rPr>
                <w:color w:val="0C0C0C"/>
                <w:sz w:val="24"/>
                <w:szCs w:val="24"/>
              </w:rPr>
            </w:pPr>
            <w:r>
              <w:rPr>
                <w:rFonts w:hint="eastAsia" w:cs="宋体"/>
                <w:color w:val="0C0C0C"/>
                <w:sz w:val="24"/>
                <w:szCs w:val="24"/>
              </w:rPr>
              <w:t>缺项得0分。</w:t>
            </w:r>
          </w:p>
        </w:tc>
        <w:tc>
          <w:tcPr>
            <w:tcW w:w="802" w:type="dxa"/>
            <w:tcBorders>
              <w:top w:val="single" w:color="auto" w:sz="4" w:space="0"/>
              <w:bottom w:val="single" w:color="auto" w:sz="4" w:space="0"/>
            </w:tcBorders>
            <w:noWrap w:val="0"/>
            <w:vAlign w:val="center"/>
          </w:tcPr>
          <w:p>
            <w:pPr>
              <w:jc w:val="center"/>
              <w:rPr>
                <w:color w:val="0C0C0C"/>
                <w:sz w:val="24"/>
                <w:szCs w:val="24"/>
              </w:rPr>
            </w:pPr>
            <w:r>
              <w:rPr>
                <w:color w:val="0C0C0C"/>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1508" w:type="dxa"/>
            <w:vMerge w:val="continue"/>
            <w:tcBorders>
              <w:bottom w:val="single" w:color="auto" w:sz="4" w:space="0"/>
            </w:tcBorders>
            <w:noWrap w:val="0"/>
            <w:vAlign w:val="center"/>
          </w:tcPr>
          <w:p>
            <w:pPr>
              <w:widowControl/>
              <w:spacing w:line="360" w:lineRule="auto"/>
              <w:ind w:firstLine="480"/>
              <w:jc w:val="left"/>
              <w:rPr>
                <w:rFonts w:ascii="Arial" w:hAnsi="Arial" w:cs="Arial"/>
                <w:bCs/>
                <w:color w:val="0C0C0C"/>
                <w:sz w:val="24"/>
                <w:szCs w:val="24"/>
              </w:rPr>
            </w:pPr>
          </w:p>
        </w:tc>
        <w:tc>
          <w:tcPr>
            <w:tcW w:w="7145" w:type="dxa"/>
            <w:tcBorders>
              <w:top w:val="single" w:color="auto" w:sz="4" w:space="0"/>
              <w:bottom w:val="single" w:color="auto" w:sz="4" w:space="0"/>
            </w:tcBorders>
            <w:noWrap w:val="0"/>
            <w:vAlign w:val="center"/>
          </w:tcPr>
          <w:p>
            <w:pPr>
              <w:rPr>
                <w:rFonts w:cs="宋体"/>
                <w:color w:val="0C0C0C"/>
                <w:sz w:val="24"/>
                <w:szCs w:val="24"/>
              </w:rPr>
            </w:pPr>
            <w:r>
              <w:rPr>
                <w:rFonts w:hint="eastAsia" w:cs="宋体"/>
                <w:color w:val="0C0C0C"/>
                <w:sz w:val="24"/>
                <w:szCs w:val="24"/>
              </w:rPr>
              <w:t>投入本项目的人员及机构配置：组织机构健全，职责明确，根据项目内容，承担单位配置的内外业人员合理得当等情况，</w:t>
            </w:r>
            <w:r>
              <w:rPr>
                <w:rFonts w:hint="eastAsia" w:ascii="宋体" w:hAnsi="宋体" w:cs="宋体"/>
                <w:b/>
                <w:bCs/>
                <w:color w:val="0C0C0C"/>
                <w:sz w:val="24"/>
                <w:szCs w:val="24"/>
              </w:rPr>
              <w:t>由专家进行打分。</w:t>
            </w:r>
          </w:p>
          <w:p>
            <w:pPr>
              <w:rPr>
                <w:rFonts w:ascii="宋体" w:hAnsi="宋体" w:cs="宋体"/>
                <w:color w:val="0C0C0C"/>
                <w:sz w:val="24"/>
                <w:szCs w:val="24"/>
              </w:rPr>
            </w:pPr>
            <w:r>
              <w:rPr>
                <w:rFonts w:hint="eastAsia" w:ascii="宋体" w:hAnsi="宋体"/>
                <w:color w:val="0C0C0C"/>
                <w:sz w:val="24"/>
                <w:szCs w:val="24"/>
              </w:rPr>
              <w:t>对于</w:t>
            </w:r>
            <w:r>
              <w:rPr>
                <w:rFonts w:hint="eastAsia" w:ascii="宋体" w:hAnsi="宋体" w:cs="宋体"/>
                <w:color w:val="0C0C0C"/>
                <w:sz w:val="24"/>
                <w:szCs w:val="24"/>
              </w:rPr>
              <w:t>项目组人员配备充足，专业齐全，结构合理得6分；</w:t>
            </w:r>
          </w:p>
          <w:p>
            <w:pPr>
              <w:rPr>
                <w:rFonts w:ascii="宋体" w:hAnsi="宋体" w:cs="宋体"/>
                <w:color w:val="0C0C0C"/>
                <w:sz w:val="24"/>
                <w:szCs w:val="24"/>
              </w:rPr>
            </w:pPr>
            <w:r>
              <w:rPr>
                <w:rFonts w:hint="eastAsia" w:ascii="宋体" w:hAnsi="宋体"/>
                <w:color w:val="0C0C0C"/>
                <w:sz w:val="24"/>
                <w:szCs w:val="24"/>
              </w:rPr>
              <w:t>对于</w:t>
            </w:r>
            <w:r>
              <w:rPr>
                <w:rFonts w:hint="eastAsia" w:ascii="宋体" w:hAnsi="宋体" w:cs="宋体"/>
                <w:color w:val="0C0C0C"/>
                <w:sz w:val="24"/>
                <w:szCs w:val="24"/>
              </w:rPr>
              <w:t>项目组人员配备较充足，专业较齐全，结构较合理得5分；</w:t>
            </w:r>
          </w:p>
          <w:p>
            <w:pPr>
              <w:rPr>
                <w:rFonts w:ascii="宋体" w:hAnsi="宋体" w:cs="宋体"/>
                <w:color w:val="0C0C0C"/>
                <w:sz w:val="24"/>
                <w:szCs w:val="24"/>
              </w:rPr>
            </w:pPr>
            <w:r>
              <w:rPr>
                <w:rFonts w:hint="eastAsia" w:ascii="宋体" w:hAnsi="宋体"/>
                <w:color w:val="0C0C0C"/>
                <w:sz w:val="24"/>
                <w:szCs w:val="24"/>
              </w:rPr>
              <w:t>对于</w:t>
            </w:r>
            <w:r>
              <w:rPr>
                <w:rFonts w:hint="eastAsia" w:ascii="宋体" w:hAnsi="宋体" w:cs="宋体"/>
                <w:color w:val="0C0C0C"/>
                <w:sz w:val="24"/>
                <w:szCs w:val="24"/>
              </w:rPr>
              <w:t>项目组人员配备欠充足，专业欠齐全，结构欠合理得4分；</w:t>
            </w:r>
          </w:p>
          <w:p>
            <w:pPr>
              <w:rPr>
                <w:color w:val="0C0C0C"/>
                <w:sz w:val="24"/>
                <w:szCs w:val="24"/>
              </w:rPr>
            </w:pPr>
            <w:r>
              <w:rPr>
                <w:rFonts w:hint="eastAsia" w:cs="宋体"/>
                <w:color w:val="0C0C0C"/>
                <w:sz w:val="24"/>
                <w:szCs w:val="24"/>
              </w:rPr>
              <w:t>缺项得0分。</w:t>
            </w:r>
          </w:p>
        </w:tc>
        <w:tc>
          <w:tcPr>
            <w:tcW w:w="802" w:type="dxa"/>
            <w:tcBorders>
              <w:top w:val="single" w:color="auto" w:sz="4" w:space="0"/>
              <w:bottom w:val="single" w:color="auto" w:sz="4" w:space="0"/>
            </w:tcBorders>
            <w:noWrap w:val="0"/>
            <w:vAlign w:val="center"/>
          </w:tcPr>
          <w:p>
            <w:pPr>
              <w:jc w:val="center"/>
              <w:rPr>
                <w:color w:val="0C0C0C"/>
                <w:sz w:val="24"/>
                <w:szCs w:val="24"/>
              </w:rPr>
            </w:pPr>
            <w:r>
              <w:rPr>
                <w:rFonts w:hint="eastAsia"/>
                <w:color w:val="0C0C0C"/>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508" w:type="dxa"/>
            <w:tcBorders>
              <w:top w:val="single" w:color="auto" w:sz="4" w:space="0"/>
            </w:tcBorders>
            <w:noWrap w:val="0"/>
            <w:vAlign w:val="center"/>
          </w:tcPr>
          <w:p>
            <w:pPr>
              <w:widowControl/>
              <w:spacing w:line="360" w:lineRule="auto"/>
              <w:jc w:val="left"/>
              <w:rPr>
                <w:rFonts w:ascii="Arial" w:hAnsi="Arial" w:cs="Arial"/>
                <w:bCs/>
                <w:color w:val="0C0C0C"/>
                <w:sz w:val="24"/>
                <w:szCs w:val="24"/>
              </w:rPr>
            </w:pPr>
            <w:r>
              <w:rPr>
                <w:rFonts w:hint="eastAsia" w:ascii="Arial" w:hAnsi="Arial" w:cs="Arial"/>
                <w:bCs/>
                <w:color w:val="0C0C0C"/>
                <w:sz w:val="24"/>
                <w:szCs w:val="24"/>
              </w:rPr>
              <w:t>项目实施团队人员配置情况</w:t>
            </w:r>
            <w:r>
              <w:rPr>
                <w:rFonts w:hint="eastAsia" w:ascii="Arial" w:hAnsi="Arial" w:cs="Arial"/>
                <w:bCs/>
                <w:color w:val="0C0C0C"/>
                <w:sz w:val="24"/>
                <w:szCs w:val="24"/>
                <w:lang w:val="en-US" w:eastAsia="zh-CN"/>
              </w:rPr>
              <w:t>10</w:t>
            </w:r>
            <w:r>
              <w:rPr>
                <w:rFonts w:hint="eastAsia" w:ascii="Arial" w:hAnsi="Arial" w:cs="Arial"/>
                <w:bCs/>
                <w:color w:val="0C0C0C"/>
                <w:sz w:val="24"/>
                <w:szCs w:val="24"/>
              </w:rPr>
              <w:t>分</w:t>
            </w:r>
          </w:p>
        </w:tc>
        <w:tc>
          <w:tcPr>
            <w:tcW w:w="7145" w:type="dxa"/>
            <w:tcBorders>
              <w:top w:val="single" w:color="auto" w:sz="4" w:space="0"/>
            </w:tcBorders>
            <w:noWrap w:val="0"/>
            <w:vAlign w:val="center"/>
          </w:tcPr>
          <w:p>
            <w:pPr>
              <w:numPr>
                <w:ilvl w:val="0"/>
                <w:numId w:val="7"/>
              </w:numPr>
              <w:rPr>
                <w:rFonts w:hint="eastAsia" w:ascii="宋体" w:hAnsi="宋体" w:cs="宋体"/>
                <w:color w:val="auto"/>
                <w:sz w:val="24"/>
                <w:szCs w:val="24"/>
                <w:lang w:val="en-US" w:eastAsia="zh-CN"/>
              </w:rPr>
            </w:pPr>
            <w:r>
              <w:rPr>
                <w:rFonts w:hint="eastAsia" w:ascii="宋体" w:hAnsi="宋体" w:cs="宋体"/>
                <w:color w:val="auto"/>
                <w:sz w:val="24"/>
                <w:szCs w:val="24"/>
              </w:rPr>
              <w:t>项目负责人具有</w:t>
            </w:r>
            <w:r>
              <w:rPr>
                <w:rFonts w:hint="eastAsia" w:ascii="宋体" w:hAnsi="宋体" w:cs="宋体"/>
                <w:color w:val="auto"/>
                <w:sz w:val="24"/>
                <w:szCs w:val="24"/>
                <w:lang w:eastAsia="zh-CN"/>
              </w:rPr>
              <w:t>信息技术相关的高级工程师职称证书的</w:t>
            </w:r>
            <w:r>
              <w:rPr>
                <w:rFonts w:hint="eastAsia" w:ascii="宋体" w:hAnsi="宋体" w:cs="宋体"/>
                <w:color w:val="auto"/>
                <w:sz w:val="24"/>
                <w:szCs w:val="24"/>
                <w:lang w:val="en-US" w:eastAsia="zh-CN"/>
              </w:rPr>
              <w:t>得1分，具有</w:t>
            </w:r>
            <w:r>
              <w:rPr>
                <w:rFonts w:hint="eastAsia" w:ascii="宋体" w:hAnsi="宋体" w:cs="宋体"/>
                <w:color w:val="auto"/>
                <w:sz w:val="24"/>
                <w:szCs w:val="24"/>
                <w:lang w:eastAsia="zh-CN"/>
              </w:rPr>
              <w:t>网络安全</w:t>
            </w:r>
            <w:r>
              <w:rPr>
                <w:rFonts w:hint="eastAsia" w:ascii="宋体" w:hAnsi="宋体" w:cs="宋体"/>
                <w:color w:val="auto"/>
                <w:sz w:val="24"/>
                <w:szCs w:val="24"/>
              </w:rPr>
              <w:t>高级测评师</w:t>
            </w:r>
            <w:r>
              <w:rPr>
                <w:rFonts w:hint="eastAsia" w:ascii="宋体" w:hAnsi="宋体" w:cs="宋体"/>
                <w:color w:val="auto"/>
                <w:sz w:val="24"/>
                <w:szCs w:val="24"/>
                <w:lang w:eastAsia="zh-CN"/>
              </w:rPr>
              <w:t>证书的</w:t>
            </w:r>
            <w:r>
              <w:rPr>
                <w:rFonts w:hint="eastAsia" w:ascii="宋体" w:hAnsi="宋体" w:cs="宋体"/>
                <w:color w:val="auto"/>
                <w:sz w:val="24"/>
                <w:szCs w:val="24"/>
                <w:lang w:val="en-US" w:eastAsia="zh-CN"/>
              </w:rPr>
              <w:t>1分，最高</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2分；</w:t>
            </w: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rPr>
              <w:t>2）项目</w:t>
            </w:r>
            <w:r>
              <w:rPr>
                <w:rFonts w:hint="eastAsia" w:ascii="宋体" w:hAnsi="宋体" w:cs="宋体"/>
                <w:color w:val="auto"/>
                <w:sz w:val="24"/>
                <w:szCs w:val="24"/>
                <w:lang w:eastAsia="zh-CN"/>
              </w:rPr>
              <w:t>审核人具有信息技术相关的工程师及以上职称证书的</w:t>
            </w:r>
            <w:r>
              <w:rPr>
                <w:rFonts w:hint="eastAsia" w:ascii="宋体" w:hAnsi="宋体" w:cs="宋体"/>
                <w:color w:val="auto"/>
                <w:sz w:val="24"/>
                <w:szCs w:val="24"/>
                <w:lang w:val="en-US" w:eastAsia="zh-CN"/>
              </w:rPr>
              <w:t>得1分，具有</w:t>
            </w:r>
            <w:r>
              <w:rPr>
                <w:rFonts w:hint="eastAsia" w:ascii="宋体" w:hAnsi="宋体" w:cs="宋体"/>
                <w:color w:val="auto"/>
                <w:sz w:val="24"/>
                <w:szCs w:val="24"/>
                <w:lang w:eastAsia="zh-CN"/>
              </w:rPr>
              <w:t>网络安全</w:t>
            </w:r>
            <w:r>
              <w:rPr>
                <w:rFonts w:hint="eastAsia" w:ascii="宋体" w:hAnsi="宋体" w:cs="宋体"/>
                <w:color w:val="auto"/>
                <w:sz w:val="24"/>
                <w:szCs w:val="24"/>
              </w:rPr>
              <w:t>高级测评师</w:t>
            </w:r>
            <w:r>
              <w:rPr>
                <w:rFonts w:hint="eastAsia" w:ascii="宋体" w:hAnsi="宋体" w:cs="宋体"/>
                <w:color w:val="auto"/>
                <w:sz w:val="24"/>
                <w:szCs w:val="24"/>
                <w:lang w:eastAsia="zh-CN"/>
              </w:rPr>
              <w:t>证书的</w:t>
            </w:r>
            <w:r>
              <w:rPr>
                <w:rFonts w:hint="eastAsia" w:ascii="宋体" w:hAnsi="宋体" w:cs="宋体"/>
                <w:color w:val="auto"/>
                <w:sz w:val="24"/>
                <w:szCs w:val="24"/>
                <w:lang w:val="en-US" w:eastAsia="zh-CN"/>
              </w:rPr>
              <w:t>得1分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最高</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2分；</w:t>
            </w:r>
          </w:p>
          <w:p>
            <w:pPr>
              <w:rPr>
                <w:rFonts w:hint="default" w:ascii="宋体" w:hAnsi="宋体" w:cs="宋体"/>
                <w:color w:val="auto"/>
                <w:sz w:val="24"/>
                <w:szCs w:val="24"/>
                <w:lang w:val="en-US"/>
              </w:rPr>
            </w:pPr>
            <w:r>
              <w:rPr>
                <w:rFonts w:hint="eastAsia" w:ascii="宋体" w:hAnsi="宋体" w:cs="宋体"/>
                <w:color w:val="auto"/>
                <w:sz w:val="24"/>
                <w:szCs w:val="24"/>
              </w:rPr>
              <w:t>3）</w:t>
            </w:r>
            <w:r>
              <w:rPr>
                <w:rFonts w:hint="eastAsia" w:ascii="宋体" w:hAnsi="宋体" w:cs="宋体"/>
                <w:color w:val="auto"/>
                <w:sz w:val="24"/>
                <w:szCs w:val="24"/>
                <w:lang w:eastAsia="zh-CN"/>
              </w:rPr>
              <w:t>其他</w:t>
            </w:r>
            <w:r>
              <w:rPr>
                <w:rFonts w:hint="eastAsia" w:ascii="宋体" w:hAnsi="宋体" w:cs="宋体"/>
                <w:color w:val="auto"/>
                <w:sz w:val="24"/>
                <w:szCs w:val="24"/>
              </w:rPr>
              <w:t>拟派项目人员中具有</w:t>
            </w:r>
            <w:r>
              <w:rPr>
                <w:rFonts w:hint="eastAsia" w:ascii="宋体" w:hAnsi="宋体" w:cs="宋体"/>
                <w:color w:val="auto"/>
                <w:sz w:val="24"/>
                <w:szCs w:val="24"/>
                <w:highlight w:val="none"/>
                <w:lang w:eastAsia="zh-CN"/>
              </w:rPr>
              <w:t>信息技术相关的工程师及以上职称证书、网络安全中级测评师、</w:t>
            </w:r>
            <w:r>
              <w:rPr>
                <w:rFonts w:hint="eastAsia" w:ascii="宋体" w:hAnsi="宋体" w:cs="宋体"/>
                <w:color w:val="auto"/>
                <w:sz w:val="24"/>
                <w:szCs w:val="24"/>
                <w:highlight w:val="none"/>
              </w:rPr>
              <w:t>注</w:t>
            </w:r>
            <w:r>
              <w:rPr>
                <w:rFonts w:hint="eastAsia" w:ascii="宋体" w:hAnsi="宋体" w:cs="宋体"/>
                <w:color w:val="auto"/>
                <w:sz w:val="24"/>
                <w:szCs w:val="24"/>
              </w:rPr>
              <w:t>册信息安全专业人员CISP证书</w:t>
            </w:r>
            <w:r>
              <w:rPr>
                <w:rFonts w:hint="eastAsia" w:ascii="宋体" w:hAnsi="宋体" w:cs="宋体"/>
                <w:color w:val="auto"/>
                <w:sz w:val="24"/>
                <w:szCs w:val="24"/>
                <w:lang w:eastAsia="zh-CN"/>
              </w:rPr>
              <w:t>、</w:t>
            </w:r>
            <w:r>
              <w:rPr>
                <w:rFonts w:hint="eastAsia" w:ascii="宋体" w:hAnsi="宋体" w:cs="宋体"/>
                <w:color w:val="auto"/>
                <w:sz w:val="24"/>
                <w:szCs w:val="24"/>
              </w:rPr>
              <w:t>注册网络安全渗透评估专业人员（NSATP-A）</w:t>
            </w:r>
            <w:r>
              <w:rPr>
                <w:rFonts w:hint="eastAsia" w:ascii="宋体" w:hAnsi="宋体" w:cs="宋体"/>
                <w:color w:val="auto"/>
                <w:sz w:val="24"/>
                <w:szCs w:val="24"/>
                <w:lang w:eastAsia="zh-CN"/>
              </w:rPr>
              <w:t>证书的，每个人员得</w:t>
            </w:r>
            <w:r>
              <w:rPr>
                <w:rFonts w:hint="eastAsia" w:ascii="宋体" w:hAnsi="宋体" w:cs="宋体"/>
                <w:color w:val="auto"/>
                <w:sz w:val="24"/>
                <w:szCs w:val="24"/>
                <w:lang w:val="en-US" w:eastAsia="zh-CN"/>
              </w:rPr>
              <w:t>1分，最高得3分。</w:t>
            </w:r>
          </w:p>
          <w:p>
            <w:pPr>
              <w:numPr>
                <w:ilvl w:val="0"/>
                <w:numId w:val="0"/>
              </w:numPr>
              <w:rPr>
                <w:rFonts w:hint="eastAsia" w:ascii="宋体" w:hAnsi="宋体" w:eastAsia="宋体" w:cs="宋体"/>
                <w:color w:val="FF0000"/>
                <w:sz w:val="24"/>
                <w:szCs w:val="24"/>
                <w:lang w:eastAsia="zh-CN"/>
              </w:rPr>
            </w:pPr>
            <w:r>
              <w:rPr>
                <w:rFonts w:hint="eastAsia" w:ascii="宋体" w:hAnsi="宋体" w:cs="宋体"/>
                <w:color w:val="auto"/>
                <w:sz w:val="24"/>
                <w:szCs w:val="24"/>
              </w:rPr>
              <w:t>4）</w:t>
            </w:r>
            <w:r>
              <w:rPr>
                <w:rFonts w:hint="eastAsia" w:ascii="宋体" w:hAnsi="宋体" w:cs="宋体"/>
                <w:color w:val="auto"/>
                <w:sz w:val="24"/>
                <w:szCs w:val="24"/>
                <w:lang w:eastAsia="zh-CN"/>
              </w:rPr>
              <w:t>其他</w:t>
            </w:r>
            <w:r>
              <w:rPr>
                <w:rFonts w:hint="eastAsia" w:ascii="宋体" w:hAnsi="宋体" w:cs="宋体"/>
                <w:color w:val="auto"/>
                <w:sz w:val="24"/>
                <w:szCs w:val="24"/>
              </w:rPr>
              <w:t>拟派项目人员中具</w:t>
            </w:r>
            <w:r>
              <w:rPr>
                <w:rFonts w:hint="eastAsia" w:ascii="宋体" w:hAnsi="宋体" w:cs="宋体"/>
                <w:color w:val="auto"/>
                <w:sz w:val="24"/>
                <w:szCs w:val="24"/>
                <w:lang w:eastAsia="zh-CN"/>
              </w:rPr>
              <w:t>有</w:t>
            </w:r>
            <w:r>
              <w:rPr>
                <w:rFonts w:hint="eastAsia" w:ascii="宋体" w:hAnsi="宋体" w:cs="宋体"/>
                <w:color w:val="auto"/>
                <w:sz w:val="24"/>
                <w:szCs w:val="24"/>
              </w:rPr>
              <w:t>注册网络安全源代码审计专业人员（NSATP-SCA）证书</w:t>
            </w:r>
            <w:r>
              <w:rPr>
                <w:rFonts w:hint="eastAsia" w:ascii="宋体" w:hAnsi="宋体" w:cs="宋体"/>
                <w:color w:val="auto"/>
                <w:sz w:val="24"/>
                <w:szCs w:val="24"/>
                <w:lang w:eastAsia="zh-CN"/>
              </w:rPr>
              <w:t>、系统集成项目管理师（中级）及以上证书、</w:t>
            </w:r>
            <w:r>
              <w:rPr>
                <w:rFonts w:hint="eastAsia" w:ascii="宋体" w:hAnsi="宋体" w:cs="宋体"/>
                <w:color w:val="auto"/>
                <w:sz w:val="24"/>
                <w:szCs w:val="24"/>
              </w:rPr>
              <w:t>信息安全管理体系审核员</w:t>
            </w:r>
            <w:r>
              <w:rPr>
                <w:rFonts w:hint="eastAsia" w:ascii="宋体" w:hAnsi="宋体" w:cs="宋体"/>
                <w:color w:val="auto"/>
                <w:sz w:val="24"/>
                <w:szCs w:val="24"/>
                <w:lang w:eastAsia="zh-CN"/>
              </w:rPr>
              <w:t>、</w:t>
            </w:r>
            <w:r>
              <w:rPr>
                <w:rFonts w:hint="eastAsia" w:ascii="宋体" w:hAnsi="宋体" w:cs="宋体"/>
                <w:color w:val="auto"/>
                <w:sz w:val="24"/>
                <w:szCs w:val="24"/>
              </w:rPr>
              <w:t>信息安全工程师（中级）证书，</w:t>
            </w:r>
            <w:r>
              <w:rPr>
                <w:rFonts w:hint="eastAsia" w:ascii="宋体" w:hAnsi="宋体" w:cs="宋体"/>
                <w:color w:val="auto"/>
                <w:sz w:val="24"/>
                <w:szCs w:val="24"/>
                <w:lang w:eastAsia="zh-CN"/>
              </w:rPr>
              <w:t>网络安全服务能力评价证书（</w:t>
            </w:r>
            <w:r>
              <w:rPr>
                <w:rFonts w:hint="eastAsia" w:ascii="宋体" w:hAnsi="宋体" w:cs="宋体"/>
                <w:color w:val="auto"/>
                <w:sz w:val="24"/>
                <w:szCs w:val="24"/>
                <w:lang w:val="en-US" w:eastAsia="zh-CN"/>
              </w:rPr>
              <w:t>CCSS</w:t>
            </w:r>
            <w:r>
              <w:rPr>
                <w:rFonts w:hint="eastAsia" w:ascii="宋体" w:hAnsi="宋体" w:cs="宋体"/>
                <w:color w:val="auto"/>
                <w:sz w:val="24"/>
                <w:szCs w:val="24"/>
                <w:lang w:eastAsia="zh-CN"/>
              </w:rPr>
              <w:t>）、高级数据安全评估师、</w:t>
            </w:r>
            <w:r>
              <w:rPr>
                <w:rFonts w:hint="eastAsia" w:ascii="宋体" w:hAnsi="宋体" w:cs="宋体"/>
                <w:color w:val="auto"/>
                <w:sz w:val="24"/>
                <w:szCs w:val="24"/>
                <w:highlight w:val="none"/>
                <w:shd w:val="clear"/>
                <w:lang w:eastAsia="zh-CN"/>
              </w:rPr>
              <w:t>软件</w:t>
            </w:r>
            <w:r>
              <w:rPr>
                <w:rFonts w:hint="eastAsia" w:ascii="宋体" w:hAnsi="宋体" w:cs="宋体"/>
                <w:color w:val="auto"/>
                <w:sz w:val="24"/>
                <w:szCs w:val="24"/>
                <w:highlight w:val="none"/>
                <w:shd w:val="clear"/>
                <w:lang w:val="en-US" w:eastAsia="zh-CN"/>
              </w:rPr>
              <w:t>评测</w:t>
            </w:r>
            <w:r>
              <w:rPr>
                <w:rFonts w:hint="eastAsia" w:ascii="宋体" w:hAnsi="宋体" w:cs="宋体"/>
                <w:color w:val="auto"/>
                <w:sz w:val="24"/>
                <w:szCs w:val="24"/>
                <w:highlight w:val="none"/>
                <w:shd w:val="clear"/>
                <w:lang w:eastAsia="zh-CN"/>
              </w:rPr>
              <w:t>师的</w:t>
            </w:r>
            <w:r>
              <w:rPr>
                <w:rFonts w:hint="eastAsia" w:ascii="宋体" w:hAnsi="宋体" w:cs="宋体"/>
                <w:color w:val="auto"/>
                <w:sz w:val="24"/>
                <w:szCs w:val="24"/>
                <w:lang w:eastAsia="zh-CN"/>
              </w:rPr>
              <w:t>，每个人员得</w:t>
            </w:r>
            <w:r>
              <w:rPr>
                <w:rFonts w:hint="eastAsia" w:ascii="宋体" w:hAnsi="宋体" w:cs="宋体"/>
                <w:color w:val="auto"/>
                <w:sz w:val="24"/>
                <w:szCs w:val="24"/>
                <w:lang w:val="en-US" w:eastAsia="zh-CN"/>
              </w:rPr>
              <w:t>0.5分，最高得3分。</w:t>
            </w:r>
          </w:p>
          <w:p>
            <w:pPr>
              <w:rPr>
                <w:rFonts w:ascii="宋体" w:hAnsi="宋体"/>
                <w:color w:val="0C0C0C"/>
                <w:sz w:val="24"/>
                <w:szCs w:val="24"/>
                <w:highlight w:val="red"/>
              </w:rPr>
            </w:pPr>
            <w:r>
              <w:rPr>
                <w:rFonts w:hint="eastAsia" w:ascii="宋体" w:hAnsi="宋体" w:cs="宋体"/>
                <w:b/>
                <w:color w:val="0C0C0C"/>
                <w:sz w:val="24"/>
                <w:szCs w:val="24"/>
              </w:rPr>
              <w:t>注：上述人员不得兼任，投标人须提供对应人员近三个月其中一个月的社保证明材料和证书复印件；没有提供或提供不全或提供不符合要求的不得分。</w:t>
            </w:r>
          </w:p>
        </w:tc>
        <w:tc>
          <w:tcPr>
            <w:tcW w:w="802" w:type="dxa"/>
            <w:tcBorders>
              <w:top w:val="single" w:color="auto" w:sz="4" w:space="0"/>
            </w:tcBorders>
            <w:noWrap w:val="0"/>
            <w:vAlign w:val="center"/>
          </w:tcPr>
          <w:p>
            <w:pPr>
              <w:jc w:val="center"/>
              <w:rPr>
                <w:rFonts w:hint="default" w:ascii="宋体" w:eastAsia="宋体"/>
                <w:color w:val="0C0C0C"/>
                <w:sz w:val="24"/>
                <w:szCs w:val="24"/>
                <w:highlight w:val="red"/>
                <w:lang w:val="en-US" w:eastAsia="zh-CN"/>
              </w:rPr>
            </w:pPr>
            <w:r>
              <w:rPr>
                <w:rFonts w:hint="eastAsia"/>
                <w:color w:val="0C0C0C"/>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3" w:hRule="atLeast"/>
          <w:jc w:val="center"/>
        </w:trPr>
        <w:tc>
          <w:tcPr>
            <w:tcW w:w="1508" w:type="dxa"/>
            <w:noWrap w:val="0"/>
            <w:vAlign w:val="center"/>
          </w:tcPr>
          <w:p>
            <w:pPr>
              <w:widowControl/>
              <w:spacing w:line="360" w:lineRule="auto"/>
              <w:jc w:val="left"/>
              <w:rPr>
                <w:rFonts w:ascii="Arial" w:hAnsi="Arial" w:cs="Arial"/>
                <w:bCs/>
                <w:color w:val="auto"/>
                <w:sz w:val="24"/>
                <w:szCs w:val="24"/>
                <w:highlight w:val="none"/>
              </w:rPr>
            </w:pPr>
            <w:r>
              <w:rPr>
                <w:rFonts w:hint="eastAsia" w:ascii="Arial" w:hAnsi="Arial" w:cs="Arial"/>
                <w:b/>
                <w:bCs/>
                <w:color w:val="auto"/>
                <w:sz w:val="24"/>
                <w:szCs w:val="24"/>
                <w:highlight w:val="none"/>
              </w:rPr>
              <w:t>服务承诺</w:t>
            </w:r>
            <w:r>
              <w:rPr>
                <w:rFonts w:hint="eastAsia" w:ascii="Arial" w:hAnsi="Arial" w:cs="Arial"/>
                <w:b/>
                <w:bCs/>
                <w:color w:val="auto"/>
                <w:sz w:val="24"/>
                <w:szCs w:val="24"/>
                <w:highlight w:val="none"/>
                <w:lang w:val="en-US" w:eastAsia="zh-CN"/>
              </w:rPr>
              <w:t>4</w:t>
            </w:r>
            <w:r>
              <w:rPr>
                <w:rFonts w:hint="eastAsia" w:ascii="Arial" w:hAnsi="Arial" w:cs="Arial"/>
                <w:b/>
                <w:bCs/>
                <w:color w:val="auto"/>
                <w:sz w:val="24"/>
                <w:szCs w:val="24"/>
                <w:highlight w:val="none"/>
              </w:rPr>
              <w:t>分</w:t>
            </w:r>
          </w:p>
        </w:tc>
        <w:tc>
          <w:tcPr>
            <w:tcW w:w="7145" w:type="dxa"/>
            <w:tcBorders>
              <w:top w:val="single" w:color="auto" w:sz="4" w:space="0"/>
            </w:tcBorders>
            <w:noWrap w:val="0"/>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应急服务响应：根据投标人到达招标人现场提供应急服务工作响应方式、时间进行综合评分。</w:t>
            </w:r>
          </w:p>
          <w:p>
            <w:pPr>
              <w:rPr>
                <w:rFonts w:ascii="宋体" w:hAnsi="宋体" w:cs="宋体"/>
                <w:color w:val="auto"/>
                <w:sz w:val="24"/>
                <w:szCs w:val="24"/>
                <w:highlight w:val="none"/>
              </w:rPr>
            </w:pPr>
            <w:r>
              <w:rPr>
                <w:rFonts w:hint="eastAsia" w:ascii="宋体" w:hAnsi="宋体" w:cs="宋体"/>
                <w:color w:val="auto"/>
                <w:sz w:val="24"/>
                <w:szCs w:val="24"/>
                <w:highlight w:val="none"/>
              </w:rPr>
              <w:t xml:space="preserve">（1）处置措施及响应时间≤2小时的，得 </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pPr>
              <w:rPr>
                <w:rFonts w:ascii="宋体" w:hAnsi="宋体" w:cs="宋体"/>
                <w:color w:val="auto"/>
                <w:sz w:val="24"/>
                <w:szCs w:val="24"/>
                <w:highlight w:val="none"/>
              </w:rPr>
            </w:pPr>
            <w:r>
              <w:rPr>
                <w:rFonts w:hint="eastAsia" w:ascii="宋体" w:hAnsi="宋体" w:cs="宋体"/>
                <w:color w:val="auto"/>
                <w:sz w:val="24"/>
                <w:szCs w:val="24"/>
                <w:highlight w:val="none"/>
              </w:rPr>
              <w:t xml:space="preserve">（2）处置措施及响应时间＞2小时≤4小时的，得 </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分； </w:t>
            </w:r>
          </w:p>
          <w:p>
            <w:pPr>
              <w:rPr>
                <w:rFonts w:ascii="宋体" w:hAnsi="宋体" w:cs="宋体"/>
                <w:color w:val="auto"/>
                <w:sz w:val="24"/>
                <w:szCs w:val="24"/>
                <w:highlight w:val="none"/>
              </w:rPr>
            </w:pPr>
            <w:r>
              <w:rPr>
                <w:rFonts w:hint="eastAsia" w:ascii="宋体" w:hAnsi="宋体" w:cs="宋体"/>
                <w:color w:val="auto"/>
                <w:sz w:val="24"/>
                <w:szCs w:val="24"/>
                <w:highlight w:val="none"/>
              </w:rPr>
              <w:t>（3）处置措施及响应时间＞4小时≤6小时的，得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xml:space="preserve">（4）处置措施及响应时间＞6小时以上的，得 </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 xml:space="preserve"> </w:t>
            </w:r>
          </w:p>
        </w:tc>
        <w:tc>
          <w:tcPr>
            <w:tcW w:w="802" w:type="dxa"/>
            <w:tcBorders>
              <w:top w:val="single" w:color="auto" w:sz="4" w:space="0"/>
            </w:tcBorders>
            <w:noWrap w:val="0"/>
            <w:vAlign w:val="center"/>
          </w:tcPr>
          <w:p>
            <w:pPr>
              <w:jc w:val="center"/>
              <w:rPr>
                <w:rFonts w:hint="eastAsia" w:eastAsia="宋体"/>
                <w:color w:val="auto"/>
                <w:sz w:val="24"/>
                <w:szCs w:val="24"/>
                <w:highlight w:val="none"/>
                <w:lang w:eastAsia="zh-CN"/>
              </w:rPr>
            </w:pPr>
            <w:r>
              <w:rPr>
                <w:rFonts w:hint="eastAsia"/>
                <w:color w:val="auto"/>
                <w:sz w:val="24"/>
                <w:szCs w:val="24"/>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9" w:hRule="atLeast"/>
          <w:jc w:val="center"/>
        </w:trPr>
        <w:tc>
          <w:tcPr>
            <w:tcW w:w="1508" w:type="dxa"/>
            <w:vMerge w:val="restart"/>
            <w:noWrap w:val="0"/>
            <w:vAlign w:val="center"/>
          </w:tcPr>
          <w:p>
            <w:pPr>
              <w:widowControl/>
              <w:spacing w:line="360" w:lineRule="auto"/>
              <w:jc w:val="left"/>
              <w:rPr>
                <w:rFonts w:ascii="Arial" w:hAnsi="Arial" w:cs="Arial"/>
                <w:b/>
                <w:bCs/>
                <w:color w:val="auto"/>
                <w:sz w:val="24"/>
                <w:szCs w:val="24"/>
              </w:rPr>
            </w:pPr>
            <w:r>
              <w:rPr>
                <w:rFonts w:hint="eastAsia" w:ascii="Arial" w:hAnsi="Arial" w:cs="宋体"/>
                <w:b/>
                <w:bCs/>
                <w:color w:val="auto"/>
                <w:sz w:val="24"/>
                <w:szCs w:val="24"/>
              </w:rPr>
              <w:t>企业实力及信誉</w:t>
            </w:r>
            <w:r>
              <w:rPr>
                <w:rFonts w:hint="eastAsia" w:ascii="Arial" w:hAnsi="Arial" w:cs="Arial"/>
                <w:b/>
                <w:bCs/>
                <w:color w:val="auto"/>
                <w:sz w:val="24"/>
                <w:szCs w:val="24"/>
                <w:lang w:val="en-US" w:eastAsia="zh-CN"/>
              </w:rPr>
              <w:t>14</w:t>
            </w:r>
            <w:r>
              <w:rPr>
                <w:rFonts w:hint="eastAsia" w:ascii="Arial" w:hAnsi="Arial" w:cs="宋体"/>
                <w:b/>
                <w:bCs/>
                <w:color w:val="auto"/>
                <w:sz w:val="24"/>
                <w:szCs w:val="24"/>
              </w:rPr>
              <w:t>分</w:t>
            </w:r>
          </w:p>
        </w:tc>
        <w:tc>
          <w:tcPr>
            <w:tcW w:w="7145" w:type="dxa"/>
            <w:tcBorders>
              <w:top w:val="single" w:color="auto" w:sz="4" w:space="0"/>
            </w:tcBorders>
            <w:noWrap w:val="0"/>
            <w:vAlign w:val="center"/>
          </w:tcPr>
          <w:p>
            <w:pPr>
              <w:rPr>
                <w:rFonts w:ascii="宋体"/>
                <w:color w:val="auto"/>
                <w:sz w:val="24"/>
                <w:szCs w:val="24"/>
              </w:rPr>
            </w:pPr>
            <w:r>
              <w:rPr>
                <w:rFonts w:hint="eastAsia" w:ascii="宋体"/>
                <w:color w:val="auto"/>
                <w:sz w:val="24"/>
                <w:szCs w:val="24"/>
              </w:rPr>
              <w:t>投标人自20</w:t>
            </w:r>
            <w:r>
              <w:rPr>
                <w:rFonts w:hint="eastAsia" w:ascii="宋体"/>
                <w:color w:val="auto"/>
                <w:sz w:val="24"/>
                <w:szCs w:val="24"/>
                <w:lang w:val="en-US" w:eastAsia="zh-CN"/>
              </w:rPr>
              <w:t>22</w:t>
            </w:r>
            <w:r>
              <w:rPr>
                <w:rFonts w:hint="eastAsia" w:ascii="宋体"/>
                <w:color w:val="auto"/>
                <w:sz w:val="24"/>
                <w:szCs w:val="24"/>
              </w:rPr>
              <w:t>年1月1日以来（以合同签订时间为准）完成过测评类似项目业绩的，每个得0.5分，最高得1分。</w:t>
            </w:r>
            <w:r>
              <w:rPr>
                <w:rFonts w:hint="eastAsia" w:ascii="宋体"/>
                <w:b/>
                <w:bCs/>
                <w:color w:val="auto"/>
                <w:sz w:val="24"/>
                <w:szCs w:val="24"/>
              </w:rPr>
              <w:t>（以合同签订时间为准，须提供合同复印件，没有提供或提供不全的不得分）。</w:t>
            </w:r>
          </w:p>
        </w:tc>
        <w:tc>
          <w:tcPr>
            <w:tcW w:w="802" w:type="dxa"/>
            <w:noWrap w:val="0"/>
            <w:vAlign w:val="center"/>
          </w:tcPr>
          <w:p>
            <w:pPr>
              <w:jc w:val="center"/>
              <w:rPr>
                <w:color w:val="auto"/>
                <w:sz w:val="24"/>
                <w:szCs w:val="24"/>
              </w:rPr>
            </w:pPr>
            <w:r>
              <w:rPr>
                <w:rFonts w:hint="eastAsia"/>
                <w:color w:val="auto"/>
                <w:sz w:val="24"/>
                <w:szCs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508" w:type="dxa"/>
            <w:vMerge w:val="continue"/>
            <w:noWrap w:val="0"/>
            <w:vAlign w:val="top"/>
          </w:tcPr>
          <w:p>
            <w:pPr>
              <w:rPr>
                <w:color w:val="auto"/>
                <w:sz w:val="24"/>
                <w:szCs w:val="24"/>
                <w:highlight w:val="none"/>
              </w:rPr>
            </w:pPr>
          </w:p>
        </w:tc>
        <w:tc>
          <w:tcPr>
            <w:tcW w:w="7145" w:type="dxa"/>
            <w:noWrap w:val="0"/>
            <w:vAlign w:val="center"/>
          </w:tcPr>
          <w:p>
            <w:pPr>
              <w:numPr>
                <w:ilvl w:val="-1"/>
                <w:numId w:val="0"/>
              </w:numPr>
              <w:rPr>
                <w:rFonts w:hint="eastAsia" w:ascii="宋体" w:hAnsi="宋体" w:eastAsia="宋体" w:cs="宋体"/>
                <w:color w:val="auto"/>
                <w:sz w:val="24"/>
                <w:szCs w:val="24"/>
                <w:highlight w:val="none"/>
              </w:rPr>
            </w:pPr>
            <w:r>
              <w:rPr>
                <w:rFonts w:hint="eastAsia" w:ascii="宋体"/>
                <w:color w:val="auto"/>
                <w:sz w:val="24"/>
                <w:szCs w:val="24"/>
                <w:highlight w:val="none"/>
                <w:lang w:val="en-US" w:eastAsia="zh-CN"/>
              </w:rPr>
              <w:t>1）</w:t>
            </w:r>
            <w:r>
              <w:rPr>
                <w:rFonts w:hint="eastAsia" w:ascii="宋体"/>
                <w:color w:val="auto"/>
                <w:sz w:val="24"/>
                <w:szCs w:val="24"/>
                <w:highlight w:val="none"/>
              </w:rPr>
              <w:t>投标人具有检验检测机构资质认定证书（CMA）</w:t>
            </w:r>
            <w:r>
              <w:rPr>
                <w:rFonts w:hint="eastAsia" w:ascii="宋体"/>
                <w:color w:val="auto"/>
                <w:sz w:val="24"/>
                <w:szCs w:val="24"/>
                <w:highlight w:val="none"/>
                <w:lang w:eastAsia="zh-CN"/>
              </w:rPr>
              <w:t>的</w:t>
            </w:r>
            <w:r>
              <w:rPr>
                <w:rFonts w:hint="eastAsia" w:ascii="宋体"/>
                <w:color w:val="auto"/>
                <w:sz w:val="24"/>
                <w:szCs w:val="24"/>
                <w:highlight w:val="none"/>
                <w:lang w:val="en-US" w:eastAsia="zh-CN"/>
              </w:rPr>
              <w:t>得1分，具有</w:t>
            </w:r>
            <w:r>
              <w:rPr>
                <w:rFonts w:hint="eastAsia" w:ascii="宋体"/>
                <w:color w:val="auto"/>
                <w:sz w:val="24"/>
                <w:szCs w:val="24"/>
                <w:highlight w:val="none"/>
              </w:rPr>
              <w:t>中国合格评定国家认可委员会颁发的实验室认可证书(CNAS)的</w:t>
            </w:r>
            <w:r>
              <w:rPr>
                <w:rFonts w:hint="eastAsia" w:ascii="宋体"/>
                <w:color w:val="auto"/>
                <w:sz w:val="24"/>
                <w:szCs w:val="24"/>
                <w:highlight w:val="none"/>
                <w:lang w:val="en-US" w:eastAsia="zh-CN"/>
              </w:rPr>
              <w:t>得1分</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最高</w:t>
            </w:r>
            <w:r>
              <w:rPr>
                <w:rFonts w:hint="eastAsia" w:ascii="宋体" w:hAnsi="宋体" w:eastAsia="宋体" w:cs="宋体"/>
                <w:color w:val="auto"/>
                <w:sz w:val="24"/>
                <w:szCs w:val="24"/>
                <w:highlight w:val="none"/>
              </w:rPr>
              <w:t>得</w:t>
            </w:r>
            <w:r>
              <w:rPr>
                <w:rFonts w:hint="default" w:ascii="宋体" w:hAnsi="宋体" w:cs="宋体"/>
                <w:color w:val="auto"/>
                <w:sz w:val="24"/>
                <w:szCs w:val="24"/>
                <w:highlight w:val="none"/>
              </w:rPr>
              <w:t>2</w:t>
            </w:r>
            <w:r>
              <w:rPr>
                <w:rFonts w:hint="eastAsia" w:ascii="宋体" w:hAnsi="宋体" w:eastAsia="宋体" w:cs="宋体"/>
                <w:color w:val="auto"/>
                <w:sz w:val="24"/>
                <w:szCs w:val="24"/>
                <w:highlight w:val="none"/>
              </w:rPr>
              <w:t>分。</w:t>
            </w:r>
          </w:p>
          <w:p>
            <w:pPr>
              <w:rPr>
                <w:rFonts w:hint="eastAsia" w:ascii="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color w:val="auto"/>
                <w:sz w:val="24"/>
                <w:szCs w:val="24"/>
                <w:highlight w:val="none"/>
              </w:rPr>
              <w:t>)投标人具有质量管理体系、信息安全管理体系、信息技术服务管理体系、环境管理体系、职业健康管理体系证书，且</w:t>
            </w:r>
            <w:r>
              <w:rPr>
                <w:rFonts w:hint="eastAsia" w:ascii="宋体"/>
                <w:color w:val="auto"/>
                <w:sz w:val="24"/>
                <w:szCs w:val="24"/>
                <w:highlight w:val="none"/>
                <w:lang w:val="en-US" w:eastAsia="zh-CN"/>
              </w:rPr>
              <w:t>以上证书的</w:t>
            </w:r>
            <w:r>
              <w:rPr>
                <w:rFonts w:hint="eastAsia" w:ascii="宋体"/>
                <w:color w:val="auto"/>
                <w:sz w:val="24"/>
                <w:szCs w:val="24"/>
                <w:highlight w:val="none"/>
              </w:rPr>
              <w:t>认证范围包含</w:t>
            </w:r>
            <w:r>
              <w:rPr>
                <w:rFonts w:hint="eastAsia" w:ascii="宋体"/>
                <w:color w:val="auto"/>
                <w:sz w:val="24"/>
                <w:szCs w:val="24"/>
                <w:highlight w:val="none"/>
                <w:lang w:val="en-US" w:eastAsia="zh-CN"/>
              </w:rPr>
              <w:t>或覆盖</w:t>
            </w:r>
            <w:r>
              <w:rPr>
                <w:rFonts w:hint="eastAsia" w:ascii="宋体"/>
                <w:color w:val="auto"/>
                <w:sz w:val="24"/>
                <w:szCs w:val="24"/>
                <w:highlight w:val="none"/>
              </w:rPr>
              <w:t>等级保护测评</w:t>
            </w:r>
            <w:r>
              <w:rPr>
                <w:rFonts w:hint="eastAsia" w:ascii="宋体"/>
                <w:color w:val="auto"/>
                <w:sz w:val="24"/>
                <w:szCs w:val="24"/>
                <w:highlight w:val="none"/>
                <w:lang w:val="en-US" w:eastAsia="zh-CN"/>
              </w:rPr>
              <w:t>和</w:t>
            </w:r>
            <w:r>
              <w:rPr>
                <w:rFonts w:hint="eastAsia" w:ascii="宋体"/>
                <w:color w:val="auto"/>
                <w:sz w:val="24"/>
                <w:szCs w:val="24"/>
                <w:highlight w:val="none"/>
              </w:rPr>
              <w:t>软件测试的</w:t>
            </w:r>
            <w:r>
              <w:rPr>
                <w:rFonts w:hint="eastAsia" w:ascii="宋体"/>
                <w:color w:val="auto"/>
                <w:sz w:val="24"/>
                <w:szCs w:val="24"/>
                <w:highlight w:val="none"/>
                <w:lang w:eastAsia="zh-CN"/>
              </w:rPr>
              <w:t>，每项</w:t>
            </w:r>
            <w:r>
              <w:rPr>
                <w:rFonts w:hint="eastAsia" w:ascii="宋体"/>
                <w:color w:val="auto"/>
                <w:sz w:val="24"/>
                <w:szCs w:val="24"/>
                <w:highlight w:val="none"/>
              </w:rPr>
              <w:t>得</w:t>
            </w:r>
            <w:r>
              <w:rPr>
                <w:rFonts w:hint="eastAsia" w:ascii="宋体"/>
                <w:color w:val="auto"/>
                <w:sz w:val="24"/>
                <w:szCs w:val="24"/>
                <w:highlight w:val="none"/>
                <w:lang w:val="en-US" w:eastAsia="zh-CN"/>
              </w:rPr>
              <w:t>1</w:t>
            </w:r>
            <w:r>
              <w:rPr>
                <w:rFonts w:hint="eastAsia" w:ascii="宋体"/>
                <w:color w:val="auto"/>
                <w:sz w:val="24"/>
                <w:szCs w:val="24"/>
                <w:highlight w:val="none"/>
              </w:rPr>
              <w:t>分，</w:t>
            </w:r>
            <w:r>
              <w:rPr>
                <w:rFonts w:hint="eastAsia" w:ascii="宋体"/>
                <w:color w:val="auto"/>
                <w:sz w:val="24"/>
                <w:szCs w:val="24"/>
                <w:highlight w:val="none"/>
                <w:lang w:eastAsia="zh-CN"/>
              </w:rPr>
              <w:t>最高得</w:t>
            </w:r>
            <w:r>
              <w:rPr>
                <w:rFonts w:hint="eastAsia" w:ascii="宋体"/>
                <w:color w:val="auto"/>
                <w:sz w:val="24"/>
                <w:szCs w:val="24"/>
                <w:highlight w:val="none"/>
                <w:lang w:val="en-US" w:eastAsia="zh-CN"/>
              </w:rPr>
              <w:t>5分。</w:t>
            </w:r>
          </w:p>
          <w:p>
            <w:pPr>
              <w:rPr>
                <w:rFonts w:hint="eastAsia" w:ascii="宋体"/>
                <w:color w:val="auto"/>
                <w:sz w:val="24"/>
                <w:szCs w:val="24"/>
                <w:highlight w:val="none"/>
                <w:lang w:eastAsia="zh-CN"/>
              </w:rPr>
            </w:pPr>
            <w:r>
              <w:rPr>
                <w:rFonts w:hint="eastAsia" w:ascii="宋体" w:hAnsi="宋体" w:eastAsia="宋体" w:cs="宋体"/>
                <w:color w:val="auto"/>
                <w:sz w:val="24"/>
                <w:szCs w:val="24"/>
                <w:highlight w:val="none"/>
              </w:rPr>
              <w:t xml:space="preserve">3) </w:t>
            </w:r>
            <w:r>
              <w:rPr>
                <w:rFonts w:hint="eastAsia" w:ascii="宋体"/>
                <w:color w:val="auto"/>
                <w:sz w:val="24"/>
                <w:szCs w:val="24"/>
                <w:highlight w:val="none"/>
              </w:rPr>
              <w:t>投标人具有中国网络安全审查技术与认证中心颁发的信息安全风险评估服务资质</w:t>
            </w:r>
            <w:r>
              <w:rPr>
                <w:rFonts w:hint="eastAsia" w:ascii="宋体"/>
                <w:color w:val="auto"/>
                <w:sz w:val="24"/>
                <w:szCs w:val="24"/>
                <w:highlight w:val="none"/>
                <w:lang w:eastAsia="zh-CN"/>
              </w:rPr>
              <w:t>的</w:t>
            </w:r>
            <w:r>
              <w:rPr>
                <w:rFonts w:hint="eastAsia" w:ascii="宋体"/>
                <w:color w:val="auto"/>
                <w:sz w:val="24"/>
                <w:szCs w:val="24"/>
                <w:highlight w:val="none"/>
                <w:lang w:val="en-US" w:eastAsia="zh-CN"/>
              </w:rPr>
              <w:t>得1分，具有</w:t>
            </w:r>
            <w:r>
              <w:rPr>
                <w:rFonts w:hint="eastAsia" w:ascii="宋体"/>
                <w:color w:val="auto"/>
                <w:sz w:val="24"/>
                <w:szCs w:val="24"/>
                <w:highlight w:val="none"/>
              </w:rPr>
              <w:t>信息系统安全运维资质认证证书</w:t>
            </w:r>
            <w:r>
              <w:rPr>
                <w:rFonts w:hint="eastAsia" w:ascii="宋体"/>
                <w:color w:val="auto"/>
                <w:sz w:val="24"/>
                <w:szCs w:val="24"/>
                <w:highlight w:val="none"/>
                <w:lang w:eastAsia="zh-CN"/>
              </w:rPr>
              <w:t>的</w:t>
            </w:r>
            <w:r>
              <w:rPr>
                <w:rFonts w:hint="eastAsia" w:ascii="宋体"/>
                <w:color w:val="auto"/>
                <w:sz w:val="24"/>
                <w:szCs w:val="24"/>
                <w:highlight w:val="none"/>
                <w:lang w:val="en-US" w:eastAsia="zh-CN"/>
              </w:rPr>
              <w:t>得1分</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最高</w:t>
            </w:r>
            <w:r>
              <w:rPr>
                <w:rFonts w:hint="eastAsia" w:ascii="宋体"/>
                <w:color w:val="auto"/>
                <w:sz w:val="24"/>
                <w:szCs w:val="24"/>
                <w:highlight w:val="none"/>
                <w:lang w:eastAsia="zh-CN"/>
              </w:rPr>
              <w:t>得</w:t>
            </w:r>
            <w:r>
              <w:rPr>
                <w:rFonts w:hint="eastAsia" w:ascii="宋体"/>
                <w:color w:val="auto"/>
                <w:sz w:val="24"/>
                <w:szCs w:val="24"/>
                <w:highlight w:val="none"/>
              </w:rPr>
              <w:t>2分</w:t>
            </w:r>
            <w:r>
              <w:rPr>
                <w:rFonts w:hint="eastAsia" w:ascii="宋体"/>
                <w:color w:val="auto"/>
                <w:sz w:val="24"/>
                <w:szCs w:val="24"/>
                <w:highlight w:val="none"/>
                <w:lang w:eastAsia="zh-CN"/>
              </w:rPr>
              <w:t>。</w:t>
            </w:r>
          </w:p>
          <w:p>
            <w:pPr>
              <w:rPr>
                <w:rFonts w:hint="eastAsia" w:ascii="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color w:val="auto"/>
                <w:sz w:val="24"/>
                <w:szCs w:val="24"/>
                <w:highlight w:val="none"/>
              </w:rPr>
              <w:t>投标人具有数据安全服务能力验证证书</w:t>
            </w:r>
            <w:r>
              <w:rPr>
                <w:rFonts w:hint="eastAsia" w:ascii="宋体"/>
                <w:color w:val="auto"/>
                <w:sz w:val="24"/>
                <w:szCs w:val="24"/>
                <w:highlight w:val="none"/>
                <w:lang w:val="en-US" w:eastAsia="zh-CN"/>
              </w:rPr>
              <w:t>得1分，具有</w:t>
            </w:r>
            <w:r>
              <w:rPr>
                <w:rFonts w:hint="eastAsia" w:ascii="宋体"/>
                <w:color w:val="auto"/>
                <w:sz w:val="24"/>
                <w:szCs w:val="24"/>
                <w:highlight w:val="none"/>
              </w:rPr>
              <w:t>数据安全服务能力评定资格证书</w:t>
            </w:r>
            <w:r>
              <w:rPr>
                <w:rFonts w:hint="eastAsia" w:ascii="宋体"/>
                <w:color w:val="auto"/>
                <w:sz w:val="24"/>
                <w:szCs w:val="24"/>
                <w:highlight w:val="none"/>
                <w:lang w:eastAsia="zh-CN"/>
              </w:rPr>
              <w:t>的</w:t>
            </w:r>
            <w:r>
              <w:rPr>
                <w:rFonts w:hint="eastAsia" w:ascii="宋体"/>
                <w:color w:val="auto"/>
                <w:sz w:val="24"/>
                <w:szCs w:val="24"/>
                <w:highlight w:val="none"/>
                <w:lang w:val="en-US" w:eastAsia="zh-CN"/>
              </w:rPr>
              <w:t>得1分</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最高</w:t>
            </w:r>
            <w:r>
              <w:rPr>
                <w:rFonts w:hint="eastAsia" w:ascii="宋体"/>
                <w:color w:val="auto"/>
                <w:sz w:val="24"/>
                <w:szCs w:val="24"/>
                <w:highlight w:val="none"/>
                <w:lang w:eastAsia="zh-CN"/>
              </w:rPr>
              <w:t>得</w:t>
            </w:r>
            <w:r>
              <w:rPr>
                <w:rFonts w:hint="eastAsia" w:ascii="宋体"/>
                <w:color w:val="auto"/>
                <w:sz w:val="24"/>
                <w:szCs w:val="24"/>
                <w:highlight w:val="none"/>
                <w:lang w:val="en-US" w:eastAsia="zh-CN"/>
              </w:rPr>
              <w:t>2分。</w:t>
            </w:r>
          </w:p>
          <w:p>
            <w:pPr>
              <w:rPr>
                <w:rFonts w:hint="default" w:ascii="宋体" w:hAnsi="宋体" w:eastAsia="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5）</w:t>
            </w:r>
            <w:r>
              <w:rPr>
                <w:rFonts w:hint="eastAsia" w:ascii="宋体" w:hAnsi="宋体" w:eastAsia="宋体" w:cs="Arial"/>
                <w:b w:val="0"/>
                <w:bCs w:val="0"/>
                <w:color w:val="auto"/>
                <w:sz w:val="24"/>
                <w:szCs w:val="24"/>
                <w:highlight w:val="none"/>
                <w:lang w:eastAsia="zh-CN"/>
              </w:rPr>
              <w:t>具有公安部门颁发的网络安全等级评测与检测评估机构服务认证证书（DJCP）</w:t>
            </w:r>
            <w:r>
              <w:rPr>
                <w:rFonts w:hint="eastAsia" w:ascii="宋体" w:hAnsi="宋体" w:cs="Arial"/>
                <w:b w:val="0"/>
                <w:bCs w:val="0"/>
                <w:color w:val="auto"/>
                <w:sz w:val="24"/>
                <w:szCs w:val="24"/>
                <w:highlight w:val="none"/>
                <w:lang w:eastAsia="zh-CN"/>
              </w:rPr>
              <w:t>的</w:t>
            </w:r>
            <w:r>
              <w:rPr>
                <w:rFonts w:hint="eastAsia" w:ascii="宋体" w:hAnsi="宋体" w:cs="Arial"/>
                <w:b w:val="0"/>
                <w:bCs w:val="0"/>
                <w:color w:val="auto"/>
                <w:sz w:val="24"/>
                <w:szCs w:val="24"/>
                <w:highlight w:val="none"/>
                <w:lang w:val="en-US" w:eastAsia="zh-CN"/>
              </w:rPr>
              <w:t>得1分。</w:t>
            </w:r>
          </w:p>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color w:val="auto"/>
                <w:sz w:val="24"/>
                <w:szCs w:val="24"/>
                <w:highlight w:val="none"/>
                <w:lang w:val="en-US" w:eastAsia="zh-CN"/>
              </w:rPr>
              <w:t>具备自主研发的数据安全检测工具系统</w:t>
            </w:r>
            <w:r>
              <w:rPr>
                <w:rFonts w:hint="eastAsia" w:ascii="宋体"/>
                <w:color w:val="auto"/>
                <w:sz w:val="24"/>
                <w:szCs w:val="24"/>
                <w:highlight w:val="none"/>
              </w:rPr>
              <w:t>的，</w:t>
            </w:r>
            <w:r>
              <w:rPr>
                <w:rFonts w:hint="eastAsia" w:ascii="宋体"/>
                <w:color w:val="auto"/>
                <w:sz w:val="24"/>
                <w:szCs w:val="24"/>
                <w:highlight w:val="none"/>
                <w:lang w:eastAsia="zh-CN"/>
              </w:rPr>
              <w:t>得</w:t>
            </w:r>
            <w:r>
              <w:rPr>
                <w:rFonts w:hint="eastAsia" w:ascii="宋体"/>
                <w:color w:val="auto"/>
                <w:sz w:val="24"/>
                <w:szCs w:val="24"/>
                <w:highlight w:val="none"/>
                <w:lang w:val="en-US" w:eastAsia="zh-CN"/>
              </w:rPr>
              <w:t>1分。</w:t>
            </w:r>
          </w:p>
          <w:p>
            <w:pPr>
              <w:rPr>
                <w:color w:val="auto"/>
                <w:sz w:val="24"/>
                <w:szCs w:val="24"/>
                <w:highlight w:val="none"/>
              </w:rPr>
            </w:pPr>
            <w:r>
              <w:rPr>
                <w:rFonts w:hint="eastAsia" w:ascii="宋体" w:hAnsi="宋体" w:eastAsia="宋体" w:cs="宋体"/>
                <w:b/>
                <w:color w:val="auto"/>
                <w:sz w:val="24"/>
                <w:szCs w:val="24"/>
                <w:highlight w:val="none"/>
              </w:rPr>
              <w:t>注：投标人须提供对应证书复印件</w:t>
            </w:r>
            <w:r>
              <w:rPr>
                <w:rFonts w:hint="eastAsia" w:ascii="宋体" w:hAnsi="宋体" w:eastAsia="宋体" w:cs="宋体"/>
                <w:b/>
                <w:color w:val="auto"/>
                <w:sz w:val="24"/>
                <w:szCs w:val="24"/>
                <w:highlight w:val="none"/>
                <w:lang w:eastAsia="zh-CN"/>
              </w:rPr>
              <w:t>和</w:t>
            </w:r>
            <w:r>
              <w:rPr>
                <w:rFonts w:hint="eastAsia" w:ascii="宋体" w:hAnsi="宋体" w:cs="宋体"/>
                <w:b/>
                <w:color w:val="auto"/>
                <w:sz w:val="24"/>
                <w:szCs w:val="24"/>
                <w:highlight w:val="none"/>
                <w:lang w:val="en-US" w:eastAsia="zh-CN"/>
              </w:rPr>
              <w:t>加盖公章的</w:t>
            </w:r>
            <w:r>
              <w:rPr>
                <w:rFonts w:hint="eastAsia" w:ascii="宋体" w:hAnsi="宋体" w:eastAsia="宋体" w:cs="宋体"/>
                <w:b/>
                <w:color w:val="auto"/>
                <w:sz w:val="24"/>
                <w:szCs w:val="24"/>
                <w:highlight w:val="none"/>
                <w:lang w:eastAsia="zh-CN"/>
              </w:rPr>
              <w:t>研发系统自主证明</w:t>
            </w:r>
            <w:r>
              <w:rPr>
                <w:rFonts w:hint="eastAsia" w:ascii="宋体" w:hAnsi="宋体" w:cs="宋体"/>
                <w:b/>
                <w:color w:val="auto"/>
                <w:sz w:val="24"/>
                <w:szCs w:val="24"/>
                <w:highlight w:val="none"/>
                <w:lang w:val="en-US" w:eastAsia="zh-CN"/>
              </w:rPr>
              <w:t>承诺函</w:t>
            </w:r>
            <w:r>
              <w:rPr>
                <w:rFonts w:hint="eastAsia" w:ascii="宋体" w:hAnsi="宋体" w:eastAsia="宋体" w:cs="宋体"/>
                <w:b/>
                <w:color w:val="auto"/>
                <w:sz w:val="24"/>
                <w:szCs w:val="24"/>
                <w:highlight w:val="none"/>
              </w:rPr>
              <w:t>；没有提供或提供不全或提供不符合要求的不得分。</w:t>
            </w:r>
            <w:r>
              <w:rPr>
                <w:rFonts w:hint="eastAsia" w:ascii="宋体" w:hAnsi="宋体" w:eastAsia="宋体" w:cs="宋体"/>
                <w:color w:val="auto"/>
                <w:sz w:val="24"/>
                <w:szCs w:val="24"/>
                <w:highlight w:val="none"/>
              </w:rPr>
              <w:t> </w:t>
            </w:r>
          </w:p>
        </w:tc>
        <w:tc>
          <w:tcPr>
            <w:tcW w:w="802" w:type="dxa"/>
            <w:noWrap w:val="0"/>
            <w:vAlign w:val="center"/>
          </w:tcPr>
          <w:p>
            <w:pPr>
              <w:jc w:val="center"/>
              <w:rPr>
                <w:rFonts w:hint="default" w:eastAsia="宋体"/>
                <w:color w:val="auto"/>
                <w:sz w:val="24"/>
                <w:szCs w:val="24"/>
                <w:highlight w:val="none"/>
                <w:lang w:eastAsia="zh-CN"/>
              </w:rPr>
            </w:pPr>
            <w:r>
              <w:rPr>
                <w:rFonts w:hint="eastAsia"/>
                <w:color w:val="auto"/>
                <w:sz w:val="24"/>
                <w:szCs w:val="24"/>
                <w:highlight w:val="none"/>
                <w:lang w:val="en-US" w:eastAsia="zh-CN"/>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508" w:type="dxa"/>
            <w:noWrap w:val="0"/>
            <w:vAlign w:val="center"/>
          </w:tcPr>
          <w:p>
            <w:pPr>
              <w:widowControl/>
              <w:jc w:val="center"/>
              <w:rPr>
                <w:color w:val="0C0C0C"/>
                <w:sz w:val="24"/>
                <w:szCs w:val="24"/>
              </w:rPr>
            </w:pPr>
            <w:r>
              <w:rPr>
                <w:rFonts w:hint="eastAsia" w:ascii="宋体" w:hAnsi="宋体" w:cs="Arial"/>
                <w:sz w:val="24"/>
                <w:szCs w:val="24"/>
              </w:rPr>
              <w:t>报价得分</w:t>
            </w:r>
          </w:p>
        </w:tc>
        <w:tc>
          <w:tcPr>
            <w:tcW w:w="7145" w:type="dxa"/>
            <w:noWrap w:val="0"/>
            <w:vAlign w:val="center"/>
          </w:tcPr>
          <w:p>
            <w:pPr>
              <w:jc w:val="left"/>
              <w:rPr>
                <w:rFonts w:ascii="宋体" w:hAnsi="宋体" w:cs="宋体"/>
                <w:b/>
                <w:color w:val="0C0C0C"/>
                <w:sz w:val="24"/>
                <w:szCs w:val="24"/>
              </w:rPr>
            </w:pPr>
            <w:r>
              <w:rPr>
                <w:rFonts w:hint="eastAsia" w:ascii="宋体" w:hAnsi="宋体" w:cs="宋体"/>
                <w:sz w:val="24"/>
                <w:szCs w:val="24"/>
              </w:rPr>
              <w:t>以合格供应商有效总报价中的最低价为基准价，基准价为10分。报价得分＝（评标基准价/最终投标报价）×10</w:t>
            </w:r>
            <w:r>
              <w:rPr>
                <w:rFonts w:hint="eastAsia" w:ascii="宋体" w:hAnsi="宋体" w:cs="宋体"/>
                <w:kern w:val="0"/>
                <w:sz w:val="24"/>
                <w:szCs w:val="24"/>
              </w:rPr>
              <w:t>%</w:t>
            </w:r>
            <w:r>
              <w:rPr>
                <w:rFonts w:hint="eastAsia" w:ascii="宋体" w:hAnsi="宋体" w:cs="宋体"/>
                <w:sz w:val="24"/>
                <w:szCs w:val="24"/>
              </w:rPr>
              <w:t>×</w:t>
            </w:r>
            <w:r>
              <w:rPr>
                <w:rFonts w:hint="eastAsia" w:ascii="宋体" w:hAnsi="宋体" w:cs="宋体"/>
                <w:kern w:val="0"/>
                <w:sz w:val="24"/>
                <w:szCs w:val="24"/>
              </w:rPr>
              <w:t>100</w:t>
            </w:r>
            <w:r>
              <w:rPr>
                <w:rFonts w:hint="eastAsia" w:ascii="宋体" w:hAnsi="宋体" w:eastAsia="宋体" w:cs="宋体"/>
                <w:sz w:val="24"/>
                <w:szCs w:val="24"/>
              </w:rPr>
              <w:t>（小数点后保留2位小数）。</w:t>
            </w:r>
          </w:p>
        </w:tc>
        <w:tc>
          <w:tcPr>
            <w:tcW w:w="802" w:type="dxa"/>
            <w:noWrap w:val="0"/>
            <w:vAlign w:val="center"/>
          </w:tcPr>
          <w:p>
            <w:pPr>
              <w:jc w:val="center"/>
              <w:rPr>
                <w:color w:val="0C0C0C"/>
                <w:sz w:val="24"/>
                <w:szCs w:val="24"/>
              </w:rPr>
            </w:pPr>
            <w:r>
              <w:rPr>
                <w:rFonts w:hint="eastAsia"/>
                <w:color w:val="0C0C0C"/>
                <w:sz w:val="24"/>
                <w:szCs w:val="24"/>
              </w:rPr>
              <w:t>0-10</w:t>
            </w:r>
          </w:p>
        </w:tc>
      </w:tr>
    </w:tbl>
    <w:p>
      <w:pPr>
        <w:adjustRightInd w:val="0"/>
        <w:spacing w:line="360" w:lineRule="auto"/>
        <w:ind w:firstLine="442" w:firstLineChars="200"/>
        <w:jc w:val="left"/>
        <w:rPr>
          <w:rFonts w:hint="eastAsia" w:ascii="宋体"/>
          <w:b/>
          <w:color w:val="auto"/>
          <w:kern w:val="0"/>
          <w:sz w:val="22"/>
          <w:szCs w:val="22"/>
          <w:highlight w:val="none"/>
        </w:rPr>
      </w:pPr>
      <w:r>
        <w:rPr>
          <w:rFonts w:hint="eastAsia" w:ascii="宋体"/>
          <w:b/>
          <w:color w:val="auto"/>
          <w:kern w:val="0"/>
          <w:sz w:val="22"/>
          <w:szCs w:val="22"/>
          <w:highlight w:val="none"/>
        </w:rPr>
        <w:t>注：1、</w:t>
      </w:r>
      <w:r>
        <w:rPr>
          <w:rFonts w:hint="eastAsia" w:ascii="宋体"/>
          <w:b/>
          <w:color w:val="auto"/>
          <w:kern w:val="0"/>
          <w:sz w:val="22"/>
          <w:szCs w:val="22"/>
          <w:highlight w:val="none"/>
          <w:lang w:eastAsia="zh-CN"/>
        </w:rPr>
        <w:t>商务与技术文件</w:t>
      </w:r>
      <w:r>
        <w:rPr>
          <w:rFonts w:hint="eastAsia" w:ascii="宋体"/>
          <w:b/>
          <w:color w:val="auto"/>
          <w:kern w:val="0"/>
          <w:sz w:val="22"/>
          <w:szCs w:val="22"/>
          <w:highlight w:val="none"/>
        </w:rPr>
        <w:t>内容缺项的，该项得0分。</w:t>
      </w:r>
    </w:p>
    <w:p>
      <w:pPr>
        <w:pStyle w:val="6"/>
        <w:snapToGrid w:val="0"/>
        <w:spacing w:line="360" w:lineRule="auto"/>
        <w:ind w:firstLine="482" w:firstLineChars="200"/>
        <w:rPr>
          <w:rFonts w:hAnsi="宋体"/>
          <w:b/>
          <w:sz w:val="24"/>
          <w:szCs w:val="24"/>
        </w:rPr>
      </w:pPr>
      <w:r>
        <w:rPr>
          <w:rFonts w:hint="eastAsia" w:hAnsi="宋体"/>
          <w:b/>
          <w:sz w:val="24"/>
          <w:szCs w:val="24"/>
        </w:rPr>
        <w:t>2.评审要求</w:t>
      </w:r>
    </w:p>
    <w:p>
      <w:pPr>
        <w:snapToGrid w:val="0"/>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rPr>
        <w:t>（1）评标委员会应当按照采购文件中规定的评标方法和标准，对符合性审查合格的投标文件的商务部分和技术部分进行综合比较与评价，其中</w:t>
      </w:r>
      <w:r>
        <w:rPr>
          <w:rFonts w:hint="eastAsia" w:ascii="宋体" w:hAnsi="宋体" w:eastAsia="宋体" w:cs="Times New Roman"/>
          <w:sz w:val="24"/>
          <w:szCs w:val="24"/>
          <w:lang w:val="zh-CN"/>
        </w:rPr>
        <w:t>客观</w:t>
      </w:r>
      <w:r>
        <w:rPr>
          <w:rFonts w:hint="eastAsia" w:ascii="宋体" w:hAnsi="宋体" w:eastAsia="宋体" w:cs="Times New Roman"/>
          <w:sz w:val="24"/>
          <w:szCs w:val="24"/>
        </w:rPr>
        <w:t>评分项的分值</w:t>
      </w:r>
      <w:r>
        <w:rPr>
          <w:rFonts w:hint="eastAsia" w:ascii="宋体" w:hAnsi="宋体" w:eastAsia="宋体" w:cs="Times New Roman"/>
          <w:sz w:val="24"/>
          <w:szCs w:val="24"/>
          <w:lang w:val="zh-CN"/>
        </w:rPr>
        <w:t>应当一致。</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（3）对于投标文件报价出现前后不一致的，除采购文件另有规定外，按照下列规定修正：</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①投标文件中开标一览表（报价表）内容与投标文件中相应内容不一致的，以开标一览表（报价表）为准；</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②大写金额和小写金额不一致的，以大写金额为准；</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③单价金额小数点或者百分比有明显错位的，以开标一览表的总价为准，并修改单价；</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④总价金额与按单价汇总金额不一致的，以单价金额计算结果为准。</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同时出现两种以上不一致的，按照前款规定的顺序修正。修正应当采用询标的形式，并加盖公章。</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（3）对于投标文件中含义不明确、同类问题表述不一致或者有明显文字和计算错误的内容，评标委员会应当要求供应商作出必要的澄清、说明或者补正。</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（4）供应商的澄清、说明或者补正采用书面形式，并加盖公章或者由法定代表人或授权代表签字，且不得超出投标文件的范围或者改变投标文件的实质性内容。</w:t>
      </w:r>
    </w:p>
    <w:p>
      <w:pPr>
        <w:spacing w:line="360" w:lineRule="auto"/>
        <w:ind w:firstLine="466" w:firstLineChars="200"/>
        <w:rPr>
          <w:rFonts w:hint="eastAsia" w:ascii="宋体" w:hAnsi="宋体" w:eastAsia="宋体" w:cs="宋体"/>
          <w:b/>
          <w:bCs/>
          <w:color w:val="auto"/>
          <w:spacing w:val="-4"/>
          <w:kern w:val="2"/>
          <w:sz w:val="24"/>
          <w:szCs w:val="24"/>
          <w:lang w:val="en-US" w:eastAsia="zh-CN" w:bidi="ar-SA"/>
        </w:rPr>
      </w:pPr>
      <w:r>
        <w:rPr>
          <w:rFonts w:hint="eastAsia" w:ascii="宋体" w:hAnsi="宋体" w:eastAsia="宋体" w:cs="宋体"/>
          <w:b/>
          <w:bCs/>
          <w:color w:val="auto"/>
          <w:spacing w:val="-4"/>
          <w:kern w:val="2"/>
          <w:sz w:val="24"/>
          <w:szCs w:val="24"/>
          <w:lang w:val="en-US" w:eastAsia="zh-CN" w:bidi="ar-SA"/>
        </w:rPr>
        <w:t>（四）结果汇总及排序</w:t>
      </w:r>
    </w:p>
    <w:p>
      <w:pPr>
        <w:spacing w:line="360" w:lineRule="auto"/>
        <w:ind w:left="420"/>
        <w:rPr>
          <w:rFonts w:ascii="宋体" w:hAnsi="宋体" w:cs="宋体"/>
          <w:bCs/>
          <w:sz w:val="24"/>
          <w:szCs w:val="24"/>
        </w:rPr>
      </w:pPr>
      <w:r>
        <w:rPr>
          <w:rFonts w:hint="eastAsia" w:ascii="宋体" w:hAnsi="宋体" w:cs="宋体"/>
          <w:b/>
          <w:sz w:val="24"/>
          <w:szCs w:val="24"/>
        </w:rPr>
        <w:t>评标总得分的确定：</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供应商的总得分＝</w:t>
      </w:r>
      <w:r>
        <w:rPr>
          <w:rFonts w:hint="eastAsia" w:ascii="宋体" w:hAnsi="宋体" w:eastAsia="宋体" w:cs="Times New Roman"/>
          <w:sz w:val="24"/>
          <w:szCs w:val="24"/>
          <w:lang w:val="en-US" w:eastAsia="zh-CN"/>
        </w:rPr>
        <w:t>商务与技术文件</w:t>
      </w:r>
      <w:r>
        <w:rPr>
          <w:rFonts w:hint="eastAsia" w:ascii="宋体" w:hAnsi="宋体" w:eastAsia="宋体" w:cs="Times New Roman"/>
          <w:sz w:val="24"/>
          <w:szCs w:val="24"/>
        </w:rPr>
        <w:t>得分+报价文件得分。</w:t>
      </w:r>
    </w:p>
    <w:p>
      <w:pPr>
        <w:spacing w:line="360" w:lineRule="auto"/>
        <w:ind w:left="420"/>
        <w:rPr>
          <w:rFonts w:ascii="宋体" w:hAnsi="宋体" w:cs="宋体"/>
          <w:b/>
          <w:sz w:val="24"/>
          <w:szCs w:val="24"/>
        </w:rPr>
      </w:pPr>
      <w:r>
        <w:rPr>
          <w:rFonts w:hint="eastAsia" w:ascii="宋体" w:hAnsi="宋体" w:cs="宋体"/>
          <w:b/>
          <w:sz w:val="24"/>
          <w:szCs w:val="24"/>
        </w:rPr>
        <w:t>中标候选人的确定：</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中标候选人的排名次序按供应商总得分从高到低顺序排列，即总得分最高者为第一中标候选人</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排名第二的为</w:t>
      </w:r>
      <w:r>
        <w:rPr>
          <w:rFonts w:hint="eastAsia" w:ascii="宋体" w:hAnsi="宋体" w:eastAsia="宋体" w:cs="Times New Roman"/>
          <w:sz w:val="24"/>
          <w:szCs w:val="24"/>
        </w:rPr>
        <w:t>第</w:t>
      </w:r>
      <w:r>
        <w:rPr>
          <w:rFonts w:hint="eastAsia" w:ascii="宋体" w:hAnsi="宋体" w:eastAsia="宋体" w:cs="Times New Roman"/>
          <w:sz w:val="24"/>
          <w:szCs w:val="24"/>
          <w:lang w:val="en-US" w:eastAsia="zh-CN"/>
        </w:rPr>
        <w:t>二</w:t>
      </w:r>
      <w:r>
        <w:rPr>
          <w:rFonts w:hint="eastAsia" w:ascii="宋体" w:hAnsi="宋体" w:eastAsia="宋体" w:cs="Times New Roman"/>
          <w:sz w:val="24"/>
          <w:szCs w:val="24"/>
        </w:rPr>
        <w:t>中标候选人。若出现总得分相同时，按</w:t>
      </w:r>
      <w:r>
        <w:rPr>
          <w:rFonts w:hint="eastAsia" w:ascii="宋体" w:hAnsi="宋体" w:eastAsia="宋体" w:cs="Times New Roman"/>
          <w:sz w:val="24"/>
          <w:szCs w:val="24"/>
          <w:lang w:val="en-US" w:eastAsia="zh-CN"/>
        </w:rPr>
        <w:t>商务与技术文件</w:t>
      </w:r>
      <w:r>
        <w:rPr>
          <w:rFonts w:hint="eastAsia" w:ascii="宋体" w:hAnsi="宋体" w:eastAsia="宋体" w:cs="Times New Roman"/>
          <w:sz w:val="24"/>
          <w:szCs w:val="24"/>
        </w:rPr>
        <w:t>得分由高到低顺序排列；若以上均相同的，则抽签确定。</w:t>
      </w:r>
    </w:p>
    <w:p>
      <w:pPr>
        <w:spacing w:line="360" w:lineRule="auto"/>
        <w:ind w:firstLine="466" w:firstLineChars="200"/>
        <w:rPr>
          <w:rFonts w:hint="eastAsia" w:ascii="宋体" w:hAnsi="宋体" w:eastAsia="宋体" w:cs="宋体"/>
          <w:b/>
          <w:bCs/>
          <w:color w:val="auto"/>
          <w:spacing w:val="-4"/>
          <w:kern w:val="2"/>
          <w:sz w:val="24"/>
          <w:szCs w:val="24"/>
          <w:lang w:val="en-US" w:eastAsia="zh-CN" w:bidi="ar-SA"/>
        </w:rPr>
      </w:pPr>
      <w:r>
        <w:rPr>
          <w:rFonts w:hint="eastAsia" w:ascii="宋体" w:hAnsi="宋体" w:eastAsia="宋体" w:cs="宋体"/>
          <w:b/>
          <w:bCs/>
          <w:color w:val="auto"/>
          <w:spacing w:val="-4"/>
          <w:kern w:val="2"/>
          <w:sz w:val="24"/>
          <w:szCs w:val="24"/>
          <w:lang w:val="en-US" w:eastAsia="zh-CN" w:bidi="ar-SA"/>
        </w:rPr>
        <w:t>（五）评标报告撰写</w:t>
      </w:r>
    </w:p>
    <w:p>
      <w:pPr>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评标委员会根据全体评标成员签字的原始评标记录和评标结果编写评标报告。</w:t>
      </w:r>
    </w:p>
    <w:p>
      <w:pPr>
        <w:adjustRightInd w:val="0"/>
        <w:spacing w:line="360" w:lineRule="auto"/>
        <w:jc w:val="center"/>
        <w:rPr>
          <w:rFonts w:hint="eastAsia"/>
          <w:color w:val="auto"/>
          <w:sz w:val="32"/>
          <w:highlight w:val="none"/>
        </w:rPr>
      </w:pPr>
      <w:r>
        <w:rPr>
          <w:color w:val="auto"/>
          <w:sz w:val="32"/>
          <w:highlight w:val="none"/>
        </w:rPr>
        <w:br w:type="page"/>
      </w:r>
      <w:r>
        <w:rPr>
          <w:rFonts w:hint="eastAsia"/>
          <w:color w:val="auto"/>
          <w:sz w:val="32"/>
          <w:highlight w:val="none"/>
        </w:rPr>
        <w:t>第五章 合同主要条款</w:t>
      </w:r>
    </w:p>
    <w:p>
      <w:pPr>
        <w:snapToGrid w:val="0"/>
        <w:spacing w:line="360" w:lineRule="auto"/>
        <w:ind w:firstLine="616" w:firstLineChars="257"/>
        <w:rPr>
          <w:rFonts w:ascii="宋体" w:hAnsi="宋体"/>
          <w:snapToGrid w:val="0"/>
          <w:sz w:val="24"/>
        </w:rPr>
      </w:pPr>
      <w:r>
        <w:rPr>
          <w:rFonts w:hint="eastAsia"/>
          <w:sz w:val="24"/>
        </w:rPr>
        <w:t>依据《中华人民共和国</w:t>
      </w:r>
      <w:r>
        <w:rPr>
          <w:rFonts w:hint="eastAsia" w:ascii="宋体" w:hAnsi="宋体" w:cs="宋体"/>
          <w:sz w:val="24"/>
        </w:rPr>
        <w:t>民法典</w:t>
      </w:r>
      <w:r>
        <w:rPr>
          <w:rFonts w:hint="eastAsia"/>
          <w:sz w:val="24"/>
        </w:rPr>
        <w:t>》等法律法规，甲乙双方本着平等互利的原则，在友好协商的基础上，就对甲方的信息系统开展安全等级保护测评签订本技术服务合同。</w:t>
      </w:r>
    </w:p>
    <w:p>
      <w:pPr>
        <w:numPr>
          <w:ilvl w:val="0"/>
          <w:numId w:val="8"/>
        </w:numPr>
        <w:tabs>
          <w:tab w:val="left" w:pos="720"/>
        </w:tabs>
        <w:spacing w:line="360" w:lineRule="auto"/>
        <w:ind w:left="840"/>
        <w:rPr>
          <w:b/>
          <w:sz w:val="24"/>
        </w:rPr>
      </w:pPr>
      <w:bookmarkStart w:id="11" w:name="_Toc195257058"/>
      <w:bookmarkStart w:id="12" w:name="_Toc185061982"/>
      <w:r>
        <w:rPr>
          <w:rFonts w:hint="eastAsia"/>
          <w:b/>
          <w:sz w:val="24"/>
        </w:rPr>
        <w:t>测评服务的</w:t>
      </w:r>
      <w:bookmarkEnd w:id="11"/>
      <w:bookmarkEnd w:id="12"/>
      <w:r>
        <w:rPr>
          <w:rFonts w:hint="eastAsia"/>
          <w:b/>
          <w:sz w:val="24"/>
        </w:rPr>
        <w:t>内容</w:t>
      </w:r>
    </w:p>
    <w:p>
      <w:pPr>
        <w:spacing w:line="360" w:lineRule="auto"/>
        <w:ind w:left="479" w:leftChars="171" w:right="238" w:rightChars="85" w:firstLine="463" w:firstLineChars="193"/>
        <w:rPr>
          <w:sz w:val="24"/>
        </w:rPr>
      </w:pPr>
      <w:r>
        <w:rPr>
          <w:rFonts w:hint="eastAsia"/>
          <w:sz w:val="24"/>
        </w:rPr>
        <w:t>根据甲方委托，乙方就甲方的信息系统（本合同第六条、第七条所列的信息系统）安全等级保护测评项目提供以下技术服务：</w:t>
      </w:r>
    </w:p>
    <w:p>
      <w:pPr>
        <w:tabs>
          <w:tab w:val="left" w:pos="840"/>
          <w:tab w:val="left" w:pos="2025"/>
        </w:tabs>
        <w:spacing w:line="360" w:lineRule="auto"/>
        <w:ind w:left="600" w:right="193" w:rightChars="69"/>
        <w:rPr>
          <w:sz w:val="24"/>
        </w:rPr>
      </w:pPr>
      <w:r>
        <w:rPr>
          <w:rFonts w:hint="eastAsia" w:ascii="宋体" w:hAnsi="宋体"/>
          <w:sz w:val="24"/>
          <w:highlight w:val="lightGray"/>
        </w:rPr>
        <w:t>√</w:t>
      </w:r>
      <w:r>
        <w:rPr>
          <w:rFonts w:hint="eastAsia"/>
          <w:sz w:val="24"/>
        </w:rPr>
        <w:t xml:space="preserve">  基于《信息安全技术 网络安全等级保护基本要求》（GB/T22239-2019）的等级保护测评服务（包括</w:t>
      </w:r>
      <w:r>
        <w:rPr>
          <w:sz w:val="24"/>
        </w:rPr>
        <w:t>安全物理</w:t>
      </w:r>
      <w:r>
        <w:rPr>
          <w:rFonts w:hint="eastAsia"/>
          <w:sz w:val="24"/>
        </w:rPr>
        <w:t>环境</w:t>
      </w:r>
      <w:r>
        <w:rPr>
          <w:sz w:val="24"/>
        </w:rPr>
        <w:t>、安全</w:t>
      </w:r>
      <w:r>
        <w:rPr>
          <w:rFonts w:hint="eastAsia"/>
          <w:sz w:val="24"/>
        </w:rPr>
        <w:t>通信</w:t>
      </w:r>
      <w:r>
        <w:rPr>
          <w:sz w:val="24"/>
        </w:rPr>
        <w:t>网络、</w:t>
      </w:r>
      <w:r>
        <w:rPr>
          <w:rFonts w:hint="eastAsia"/>
          <w:sz w:val="24"/>
        </w:rPr>
        <w:t>安全区域边界、安全计算环境、安全管理中心、安全管理制度、</w:t>
      </w:r>
      <w:r>
        <w:rPr>
          <w:sz w:val="24"/>
        </w:rPr>
        <w:t>安全管理机构、安全管理人员、</w:t>
      </w:r>
      <w:r>
        <w:rPr>
          <w:rFonts w:hint="eastAsia"/>
          <w:sz w:val="24"/>
        </w:rPr>
        <w:t>安全</w:t>
      </w:r>
      <w:r>
        <w:rPr>
          <w:sz w:val="24"/>
        </w:rPr>
        <w:t>建设管理和</w:t>
      </w:r>
      <w:r>
        <w:rPr>
          <w:rFonts w:hint="eastAsia"/>
          <w:sz w:val="24"/>
        </w:rPr>
        <w:t>安全</w:t>
      </w:r>
      <w:r>
        <w:rPr>
          <w:sz w:val="24"/>
        </w:rPr>
        <w:t>运维管理等</w:t>
      </w:r>
      <w:r>
        <w:rPr>
          <w:rFonts w:hint="eastAsia"/>
          <w:sz w:val="24"/>
        </w:rPr>
        <w:t>十</w:t>
      </w:r>
      <w:r>
        <w:rPr>
          <w:sz w:val="24"/>
        </w:rPr>
        <w:t>个</w:t>
      </w:r>
      <w:r>
        <w:rPr>
          <w:rFonts w:hint="eastAsia"/>
          <w:sz w:val="24"/>
        </w:rPr>
        <w:t>方面的安全</w:t>
      </w:r>
      <w:r>
        <w:rPr>
          <w:sz w:val="24"/>
        </w:rPr>
        <w:t>测评</w:t>
      </w:r>
      <w:r>
        <w:rPr>
          <w:rFonts w:hint="eastAsia"/>
          <w:sz w:val="24"/>
        </w:rPr>
        <w:t>），并</w:t>
      </w:r>
      <w:r>
        <w:rPr>
          <w:sz w:val="24"/>
        </w:rPr>
        <w:t>提交符合</w:t>
      </w:r>
      <w:r>
        <w:rPr>
          <w:rFonts w:hint="eastAsia"/>
          <w:sz w:val="24"/>
        </w:rPr>
        <w:t>等级保护主管单位要求的</w:t>
      </w:r>
      <w:r>
        <w:rPr>
          <w:sz w:val="24"/>
        </w:rPr>
        <w:t>系统安全保护等级测评报告；</w:t>
      </w:r>
      <w:r>
        <w:rPr>
          <w:rFonts w:hint="eastAsia" w:ascii="宋体" w:hAnsi="宋体" w:cs="宋体"/>
          <w:sz w:val="24"/>
        </w:rPr>
        <w:t>如果信息</w:t>
      </w:r>
      <w:r>
        <w:rPr>
          <w:rFonts w:ascii="宋体" w:hAnsi="宋体" w:cs="宋体"/>
          <w:sz w:val="24"/>
        </w:rPr>
        <w:t>系统</w:t>
      </w:r>
      <w:r>
        <w:rPr>
          <w:rFonts w:hint="eastAsia" w:ascii="宋体" w:hAnsi="宋体" w:cs="宋体"/>
          <w:sz w:val="24"/>
        </w:rPr>
        <w:t>有</w:t>
      </w:r>
      <w:r>
        <w:rPr>
          <w:rFonts w:ascii="宋体" w:hAnsi="宋体" w:cs="宋体"/>
          <w:sz w:val="24"/>
        </w:rPr>
        <w:t>不同版本</w:t>
      </w:r>
      <w:r>
        <w:rPr>
          <w:rFonts w:hint="eastAsia" w:ascii="宋体" w:hAnsi="宋体" w:cs="宋体"/>
          <w:sz w:val="24"/>
        </w:rPr>
        <w:t>（如信创云</w:t>
      </w:r>
      <w:r>
        <w:rPr>
          <w:rFonts w:ascii="宋体" w:hAnsi="宋体" w:cs="宋体"/>
          <w:sz w:val="24"/>
        </w:rPr>
        <w:t>版本</w:t>
      </w:r>
      <w:r>
        <w:rPr>
          <w:rFonts w:hint="eastAsia" w:ascii="宋体" w:hAnsi="宋体" w:cs="宋体"/>
          <w:sz w:val="24"/>
        </w:rPr>
        <w:t>）则需要出具对应</w:t>
      </w:r>
      <w:r>
        <w:rPr>
          <w:rFonts w:ascii="宋体" w:hAnsi="宋体" w:cs="宋体"/>
          <w:sz w:val="24"/>
        </w:rPr>
        <w:t>数量的</w:t>
      </w:r>
      <w:r>
        <w:rPr>
          <w:rFonts w:hint="eastAsia" w:ascii="宋体" w:hAnsi="宋体" w:cs="宋体"/>
          <w:sz w:val="24"/>
        </w:rPr>
        <w:t>各自</w:t>
      </w:r>
      <w:r>
        <w:rPr>
          <w:rFonts w:ascii="宋体" w:hAnsi="宋体" w:cs="宋体"/>
          <w:sz w:val="24"/>
        </w:rPr>
        <w:t>版本的</w:t>
      </w:r>
      <w:r>
        <w:rPr>
          <w:rFonts w:hint="eastAsia" w:ascii="宋体" w:hAnsi="宋体" w:cs="宋体"/>
          <w:sz w:val="24"/>
        </w:rPr>
        <w:t>测评</w:t>
      </w:r>
      <w:r>
        <w:rPr>
          <w:rFonts w:ascii="宋体" w:hAnsi="宋体" w:cs="宋体"/>
          <w:sz w:val="24"/>
        </w:rPr>
        <w:t>报告</w:t>
      </w:r>
      <w:r>
        <w:rPr>
          <w:rFonts w:hint="eastAsia" w:ascii="宋体" w:hAnsi="宋体" w:cs="宋体"/>
          <w:sz w:val="24"/>
        </w:rPr>
        <w:t>。</w:t>
      </w:r>
    </w:p>
    <w:p>
      <w:pPr>
        <w:tabs>
          <w:tab w:val="left" w:pos="840"/>
          <w:tab w:val="left" w:pos="2025"/>
        </w:tabs>
        <w:spacing w:line="360" w:lineRule="auto"/>
        <w:ind w:left="600" w:right="193" w:rightChars="69"/>
        <w:rPr>
          <w:sz w:val="24"/>
        </w:rPr>
      </w:pPr>
      <w:r>
        <w:rPr>
          <w:rFonts w:hint="eastAsia" w:ascii="宋体" w:hAnsi="宋体"/>
          <w:sz w:val="24"/>
          <w:highlight w:val="lightGray"/>
        </w:rPr>
        <w:t>√</w:t>
      </w:r>
      <w:r>
        <w:rPr>
          <w:rFonts w:hint="eastAsia"/>
          <w:sz w:val="24"/>
        </w:rPr>
        <w:t xml:space="preserve">  现场测评完成后的整改建议服务。</w:t>
      </w:r>
    </w:p>
    <w:p>
      <w:pPr>
        <w:numPr>
          <w:ilvl w:val="0"/>
          <w:numId w:val="8"/>
        </w:numPr>
        <w:tabs>
          <w:tab w:val="left" w:pos="720"/>
        </w:tabs>
        <w:spacing w:line="360" w:lineRule="auto"/>
        <w:ind w:left="840"/>
        <w:rPr>
          <w:b/>
          <w:sz w:val="24"/>
        </w:rPr>
      </w:pPr>
      <w:bookmarkStart w:id="13" w:name="_Toc217219799"/>
      <w:r>
        <w:rPr>
          <w:rFonts w:hint="eastAsia"/>
          <w:b/>
          <w:sz w:val="24"/>
        </w:rPr>
        <w:t>测评服务依据</w:t>
      </w:r>
      <w:bookmarkEnd w:id="13"/>
    </w:p>
    <w:p>
      <w:pPr>
        <w:spacing w:line="360" w:lineRule="auto"/>
        <w:ind w:firstLine="480" w:firstLineChars="200"/>
        <w:rPr>
          <w:color w:val="000000"/>
          <w:sz w:val="24"/>
        </w:rPr>
      </w:pPr>
      <w:r>
        <w:rPr>
          <w:rFonts w:hint="eastAsia"/>
          <w:color w:val="000000"/>
          <w:sz w:val="24"/>
        </w:rPr>
        <w:t>依据国家等级保护相关标准开展工作，依据标准包括但不限于如下国家标准：</w:t>
      </w:r>
    </w:p>
    <w:p>
      <w:pPr>
        <w:numPr>
          <w:ilvl w:val="0"/>
          <w:numId w:val="9"/>
        </w:numPr>
        <w:adjustRightInd w:val="0"/>
        <w:spacing w:before="120" w:beforeLines="50" w:after="120" w:afterLines="50"/>
        <w:textAlignment w:val="baseline"/>
        <w:rPr>
          <w:sz w:val="24"/>
        </w:rPr>
      </w:pPr>
      <w:r>
        <w:rPr>
          <w:rFonts w:hint="eastAsia"/>
          <w:sz w:val="24"/>
        </w:rPr>
        <w:t>《中华人民共和国网络安全法》（2017年6月1日）</w:t>
      </w:r>
    </w:p>
    <w:p>
      <w:pPr>
        <w:numPr>
          <w:ilvl w:val="0"/>
          <w:numId w:val="9"/>
        </w:numPr>
        <w:adjustRightInd w:val="0"/>
        <w:spacing w:before="120" w:beforeLines="50" w:after="120" w:afterLines="50"/>
        <w:textAlignment w:val="baseline"/>
        <w:rPr>
          <w:sz w:val="24"/>
        </w:rPr>
      </w:pPr>
      <w:r>
        <w:rPr>
          <w:rFonts w:hint="eastAsia"/>
          <w:sz w:val="24"/>
        </w:rPr>
        <w:t>《GB 17859-1999 计算机信息系统安全等级保护划分准则》</w:t>
      </w:r>
    </w:p>
    <w:p>
      <w:pPr>
        <w:numPr>
          <w:ilvl w:val="0"/>
          <w:numId w:val="9"/>
        </w:numPr>
        <w:adjustRightInd w:val="0"/>
        <w:spacing w:before="120" w:beforeLines="50" w:after="120" w:afterLines="50"/>
        <w:textAlignment w:val="baseline"/>
        <w:rPr>
          <w:sz w:val="24"/>
        </w:rPr>
      </w:pPr>
      <w:r>
        <w:rPr>
          <w:rFonts w:hint="eastAsia"/>
          <w:sz w:val="24"/>
        </w:rPr>
        <w:t>《GBT 22240-2020 信息安全技术 信息系统安全等级保护定级指南》</w:t>
      </w:r>
    </w:p>
    <w:p>
      <w:pPr>
        <w:numPr>
          <w:ilvl w:val="0"/>
          <w:numId w:val="9"/>
        </w:numPr>
        <w:adjustRightInd w:val="0"/>
        <w:spacing w:before="120" w:beforeLines="50" w:after="120" w:afterLines="50"/>
        <w:textAlignment w:val="baseline"/>
        <w:rPr>
          <w:sz w:val="24"/>
        </w:rPr>
      </w:pPr>
      <w:r>
        <w:rPr>
          <w:rFonts w:hint="eastAsia"/>
          <w:sz w:val="24"/>
        </w:rPr>
        <w:t>《GB/T 25058-2019信息安全技术 信息系统安全等级保护实施指南》</w:t>
      </w:r>
    </w:p>
    <w:p>
      <w:pPr>
        <w:numPr>
          <w:ilvl w:val="0"/>
          <w:numId w:val="9"/>
        </w:numPr>
        <w:adjustRightInd w:val="0"/>
        <w:spacing w:before="120" w:beforeLines="50" w:after="120" w:afterLines="50"/>
        <w:textAlignment w:val="baseline"/>
        <w:rPr>
          <w:sz w:val="24"/>
        </w:rPr>
      </w:pPr>
      <w:r>
        <w:rPr>
          <w:rFonts w:hint="eastAsia"/>
          <w:sz w:val="24"/>
        </w:rPr>
        <w:t>《GB/T 22239-2019信息安全技术 信息系统安全等级保护基本要求》</w:t>
      </w:r>
    </w:p>
    <w:p>
      <w:pPr>
        <w:numPr>
          <w:ilvl w:val="0"/>
          <w:numId w:val="9"/>
        </w:numPr>
        <w:adjustRightInd w:val="0"/>
        <w:spacing w:before="120" w:beforeLines="50" w:after="120" w:afterLines="50"/>
        <w:textAlignment w:val="baseline"/>
        <w:rPr>
          <w:sz w:val="24"/>
        </w:rPr>
      </w:pPr>
      <w:r>
        <w:rPr>
          <w:rFonts w:hint="eastAsia"/>
          <w:sz w:val="24"/>
        </w:rPr>
        <w:t>《GB/T 25070-2019网络安全等级保护安全设计技术要求》</w:t>
      </w:r>
    </w:p>
    <w:p>
      <w:pPr>
        <w:numPr>
          <w:ilvl w:val="0"/>
          <w:numId w:val="9"/>
        </w:numPr>
        <w:adjustRightInd w:val="0"/>
        <w:spacing w:before="120" w:beforeLines="50" w:after="120" w:afterLines="50"/>
        <w:textAlignment w:val="baseline"/>
        <w:rPr>
          <w:sz w:val="24"/>
        </w:rPr>
      </w:pPr>
      <w:r>
        <w:rPr>
          <w:rFonts w:hint="eastAsia"/>
          <w:sz w:val="24"/>
        </w:rPr>
        <w:t>《GB/T 28448-2019网络安全等级保护测评要求》</w:t>
      </w:r>
    </w:p>
    <w:p>
      <w:pPr>
        <w:numPr>
          <w:ilvl w:val="0"/>
          <w:numId w:val="9"/>
        </w:numPr>
        <w:adjustRightInd w:val="0"/>
        <w:spacing w:before="120" w:beforeLines="50" w:after="120" w:afterLines="50"/>
        <w:textAlignment w:val="baseline"/>
        <w:rPr>
          <w:sz w:val="24"/>
        </w:rPr>
      </w:pPr>
      <w:r>
        <w:rPr>
          <w:rFonts w:hint="eastAsia"/>
          <w:sz w:val="24"/>
        </w:rPr>
        <w:t>《GB/T 28449-2018 信息安全技术 信息系统安全等级保护测评过程指南》</w:t>
      </w:r>
    </w:p>
    <w:p>
      <w:pPr>
        <w:numPr>
          <w:ilvl w:val="0"/>
          <w:numId w:val="8"/>
        </w:numPr>
        <w:tabs>
          <w:tab w:val="left" w:pos="720"/>
        </w:tabs>
        <w:spacing w:line="360" w:lineRule="auto"/>
        <w:ind w:left="840"/>
        <w:rPr>
          <w:b/>
          <w:sz w:val="24"/>
        </w:rPr>
      </w:pPr>
      <w:bookmarkStart w:id="14" w:name="_Toc217219800"/>
      <w:r>
        <w:rPr>
          <w:rFonts w:hint="eastAsia"/>
          <w:b/>
          <w:sz w:val="24"/>
        </w:rPr>
        <w:t>测评服务原则</w:t>
      </w:r>
      <w:bookmarkEnd w:id="14"/>
    </w:p>
    <w:p>
      <w:pPr>
        <w:spacing w:line="360" w:lineRule="auto"/>
        <w:ind w:firstLine="480" w:firstLineChars="200"/>
        <w:rPr>
          <w:color w:val="000000"/>
          <w:sz w:val="24"/>
        </w:rPr>
      </w:pPr>
      <w:bookmarkStart w:id="15" w:name="_Hlt525572411"/>
      <w:bookmarkEnd w:id="15"/>
      <w:bookmarkStart w:id="16" w:name="_Toc35797353"/>
      <w:r>
        <w:rPr>
          <w:color w:val="000000"/>
          <w:sz w:val="24"/>
        </w:rPr>
        <w:t>本次</w:t>
      </w:r>
      <w:r>
        <w:rPr>
          <w:rFonts w:hint="eastAsia"/>
          <w:color w:val="000000"/>
          <w:sz w:val="24"/>
        </w:rPr>
        <w:t>信息系统</w:t>
      </w:r>
      <w:r>
        <w:rPr>
          <w:color w:val="000000"/>
          <w:sz w:val="24"/>
        </w:rPr>
        <w:t>等级保护测评</w:t>
      </w:r>
      <w:r>
        <w:rPr>
          <w:rFonts w:hint="eastAsia"/>
          <w:color w:val="000000"/>
          <w:sz w:val="24"/>
        </w:rPr>
        <w:t>服务的实施</w:t>
      </w:r>
      <w:r>
        <w:rPr>
          <w:color w:val="000000"/>
          <w:sz w:val="24"/>
        </w:rPr>
        <w:t>应满足以下原则：</w:t>
      </w:r>
    </w:p>
    <w:p>
      <w:pPr>
        <w:numPr>
          <w:ilvl w:val="0"/>
          <w:numId w:val="10"/>
        </w:numPr>
        <w:tabs>
          <w:tab w:val="left" w:pos="851"/>
          <w:tab w:val="clear" w:pos="2025"/>
        </w:tabs>
        <w:spacing w:line="360" w:lineRule="auto"/>
        <w:ind w:left="851" w:hanging="425"/>
        <w:rPr>
          <w:sz w:val="24"/>
        </w:rPr>
      </w:pPr>
      <w:r>
        <w:rPr>
          <w:rFonts w:hAnsi="宋体"/>
          <w:sz w:val="24"/>
        </w:rPr>
        <w:t>保密原则：对测评的过程数据和结果数据</w:t>
      </w:r>
      <w:r>
        <w:rPr>
          <w:rFonts w:hint="eastAsia" w:hAnsi="宋体"/>
          <w:sz w:val="24"/>
        </w:rPr>
        <w:t>以及签订或履行合同过程中了解、获取、形成的其他材料、信息</w:t>
      </w:r>
      <w:r>
        <w:rPr>
          <w:rFonts w:hAnsi="宋体"/>
          <w:sz w:val="24"/>
        </w:rPr>
        <w:t>严格保密，未经授权不得泄露给任何单位和个人，不得利用此数据进行任何侵害</w:t>
      </w:r>
      <w:r>
        <w:rPr>
          <w:rFonts w:hint="eastAsia" w:hAnsi="宋体"/>
          <w:sz w:val="24"/>
        </w:rPr>
        <w:t>甲方</w:t>
      </w:r>
      <w:r>
        <w:rPr>
          <w:rFonts w:hAnsi="宋体"/>
          <w:sz w:val="24"/>
        </w:rPr>
        <w:t>网络</w:t>
      </w:r>
      <w:r>
        <w:rPr>
          <w:rFonts w:hint="eastAsia" w:hAnsi="宋体"/>
          <w:sz w:val="24"/>
        </w:rPr>
        <w:t>或甲方利益</w:t>
      </w:r>
      <w:r>
        <w:rPr>
          <w:rFonts w:hAnsi="宋体"/>
          <w:sz w:val="24"/>
        </w:rPr>
        <w:t>的行为，否则</w:t>
      </w:r>
      <w:r>
        <w:rPr>
          <w:rFonts w:hint="eastAsia" w:hAnsi="宋体"/>
          <w:sz w:val="24"/>
        </w:rPr>
        <w:t>甲方</w:t>
      </w:r>
      <w:r>
        <w:rPr>
          <w:rFonts w:hAnsi="宋体"/>
          <w:sz w:val="24"/>
        </w:rPr>
        <w:t>有权追究</w:t>
      </w:r>
      <w:r>
        <w:rPr>
          <w:rFonts w:hint="eastAsia" w:hAnsi="宋体"/>
          <w:sz w:val="24"/>
        </w:rPr>
        <w:t>乙方</w:t>
      </w:r>
      <w:r>
        <w:rPr>
          <w:rFonts w:hAnsi="宋体"/>
          <w:sz w:val="24"/>
        </w:rPr>
        <w:t>的责任</w:t>
      </w:r>
      <w:r>
        <w:rPr>
          <w:rFonts w:hint="eastAsia" w:hAnsi="宋体"/>
          <w:sz w:val="24"/>
        </w:rPr>
        <w:t>，并且政府相关部门有权追究乙方法律责任</w:t>
      </w:r>
      <w:r>
        <w:rPr>
          <w:rFonts w:hAnsi="宋体"/>
          <w:sz w:val="24"/>
        </w:rPr>
        <w:t>。</w:t>
      </w:r>
    </w:p>
    <w:p>
      <w:pPr>
        <w:numPr>
          <w:ilvl w:val="0"/>
          <w:numId w:val="10"/>
        </w:numPr>
        <w:tabs>
          <w:tab w:val="left" w:pos="851"/>
          <w:tab w:val="clear" w:pos="2025"/>
        </w:tabs>
        <w:spacing w:line="360" w:lineRule="auto"/>
        <w:ind w:left="851" w:hanging="425"/>
        <w:rPr>
          <w:sz w:val="24"/>
        </w:rPr>
      </w:pPr>
      <w:r>
        <w:rPr>
          <w:rFonts w:hAnsi="宋体"/>
          <w:sz w:val="24"/>
        </w:rPr>
        <w:t>标准性原则：测评方案的设计与实施应依据等级保护的相关</w:t>
      </w:r>
      <w:r>
        <w:rPr>
          <w:rFonts w:hint="eastAsia" w:hAnsi="宋体"/>
          <w:sz w:val="24"/>
        </w:rPr>
        <w:t>国家</w:t>
      </w:r>
      <w:r>
        <w:rPr>
          <w:rFonts w:hAnsi="宋体"/>
          <w:sz w:val="24"/>
        </w:rPr>
        <w:t>标准</w:t>
      </w:r>
      <w:r>
        <w:rPr>
          <w:rFonts w:hint="eastAsia" w:hAnsi="宋体"/>
          <w:sz w:val="24"/>
        </w:rPr>
        <w:t>、地方标准、行业标准</w:t>
      </w:r>
      <w:r>
        <w:rPr>
          <w:rFonts w:hAnsi="宋体"/>
          <w:sz w:val="24"/>
        </w:rPr>
        <w:t>进行。</w:t>
      </w:r>
    </w:p>
    <w:p>
      <w:pPr>
        <w:numPr>
          <w:ilvl w:val="0"/>
          <w:numId w:val="10"/>
        </w:numPr>
        <w:tabs>
          <w:tab w:val="left" w:pos="851"/>
          <w:tab w:val="clear" w:pos="2025"/>
        </w:tabs>
        <w:spacing w:line="360" w:lineRule="auto"/>
        <w:ind w:left="851" w:hanging="425"/>
        <w:rPr>
          <w:sz w:val="24"/>
        </w:rPr>
      </w:pPr>
      <w:r>
        <w:rPr>
          <w:rFonts w:hAnsi="宋体"/>
          <w:sz w:val="24"/>
        </w:rPr>
        <w:t>规范性原则：工作过程</w:t>
      </w:r>
      <w:r>
        <w:rPr>
          <w:rFonts w:hint="eastAsia" w:hAnsi="宋体"/>
          <w:sz w:val="24"/>
        </w:rPr>
        <w:t>和相关</w:t>
      </w:r>
      <w:r>
        <w:rPr>
          <w:rFonts w:hAnsi="宋体"/>
          <w:sz w:val="24"/>
        </w:rPr>
        <w:t>文档</w:t>
      </w:r>
      <w:r>
        <w:rPr>
          <w:rFonts w:hint="eastAsia" w:hAnsi="宋体"/>
          <w:sz w:val="24"/>
        </w:rPr>
        <w:t>应</w:t>
      </w:r>
      <w:r>
        <w:rPr>
          <w:rFonts w:hAnsi="宋体"/>
          <w:sz w:val="24"/>
        </w:rPr>
        <w:t>具有很好的规范性，可以便于项目的跟踪和控制。</w:t>
      </w:r>
    </w:p>
    <w:p>
      <w:pPr>
        <w:numPr>
          <w:ilvl w:val="0"/>
          <w:numId w:val="10"/>
        </w:numPr>
        <w:tabs>
          <w:tab w:val="left" w:pos="851"/>
          <w:tab w:val="clear" w:pos="2025"/>
        </w:tabs>
        <w:spacing w:line="360" w:lineRule="auto"/>
        <w:ind w:left="851" w:hanging="425"/>
        <w:rPr>
          <w:sz w:val="24"/>
        </w:rPr>
      </w:pPr>
      <w:r>
        <w:rPr>
          <w:rFonts w:hAnsi="宋体"/>
          <w:sz w:val="24"/>
        </w:rPr>
        <w:t>可控性原则：测评服务的进度要跟上进度表的安排，保证</w:t>
      </w:r>
      <w:r>
        <w:rPr>
          <w:rFonts w:hint="eastAsia" w:hAnsi="宋体"/>
          <w:sz w:val="24"/>
        </w:rPr>
        <w:t>甲方</w:t>
      </w:r>
      <w:r>
        <w:rPr>
          <w:rFonts w:hAnsi="宋体"/>
          <w:sz w:val="24"/>
        </w:rPr>
        <w:t>对于测评工作的可控性。</w:t>
      </w:r>
    </w:p>
    <w:p>
      <w:pPr>
        <w:numPr>
          <w:ilvl w:val="0"/>
          <w:numId w:val="10"/>
        </w:numPr>
        <w:tabs>
          <w:tab w:val="left" w:pos="851"/>
          <w:tab w:val="left" w:pos="3822"/>
          <w:tab w:val="clear" w:pos="2025"/>
        </w:tabs>
        <w:spacing w:line="360" w:lineRule="auto"/>
        <w:ind w:left="851" w:hanging="425"/>
        <w:rPr>
          <w:sz w:val="24"/>
        </w:rPr>
      </w:pPr>
      <w:r>
        <w:rPr>
          <w:rFonts w:hAnsi="宋体"/>
          <w:sz w:val="24"/>
        </w:rPr>
        <w:t>整体性原则：测评的范围和内容应当整体全面，包括国家等级保护相关要求涉及的各个层面。</w:t>
      </w:r>
    </w:p>
    <w:p>
      <w:pPr>
        <w:numPr>
          <w:ilvl w:val="0"/>
          <w:numId w:val="10"/>
        </w:numPr>
        <w:tabs>
          <w:tab w:val="left" w:pos="851"/>
          <w:tab w:val="left" w:pos="3822"/>
          <w:tab w:val="clear" w:pos="2025"/>
        </w:tabs>
        <w:spacing w:line="360" w:lineRule="auto"/>
        <w:ind w:left="851" w:hanging="425"/>
        <w:rPr>
          <w:b/>
          <w:sz w:val="24"/>
        </w:rPr>
      </w:pPr>
      <w:r>
        <w:rPr>
          <w:rFonts w:hAnsi="宋体"/>
          <w:sz w:val="24"/>
        </w:rPr>
        <w:t>最小影响原则：测评工作应尽可能小</w:t>
      </w:r>
      <w:r>
        <w:rPr>
          <w:rFonts w:hint="eastAsia" w:hAnsi="宋体"/>
          <w:sz w:val="24"/>
        </w:rPr>
        <w:t>地</w:t>
      </w:r>
      <w:r>
        <w:rPr>
          <w:rFonts w:hAnsi="宋体"/>
          <w:sz w:val="24"/>
        </w:rPr>
        <w:t>影响系统和网络的正常运行，不能对现有网络的运行和业务的正常提供产生显著影响。</w:t>
      </w:r>
      <w:bookmarkEnd w:id="16"/>
    </w:p>
    <w:p>
      <w:pPr>
        <w:numPr>
          <w:ilvl w:val="0"/>
          <w:numId w:val="8"/>
        </w:numPr>
        <w:tabs>
          <w:tab w:val="left" w:pos="420"/>
          <w:tab w:val="left" w:pos="720"/>
        </w:tabs>
        <w:spacing w:line="360" w:lineRule="auto"/>
        <w:ind w:left="840"/>
        <w:rPr>
          <w:b/>
          <w:sz w:val="24"/>
        </w:rPr>
      </w:pPr>
      <w:bookmarkStart w:id="17" w:name="_Toc217219805"/>
      <w:r>
        <w:rPr>
          <w:rFonts w:hint="eastAsia"/>
          <w:b/>
          <w:sz w:val="24"/>
        </w:rPr>
        <w:t>工作质量要求</w:t>
      </w:r>
      <w:bookmarkEnd w:id="17"/>
    </w:p>
    <w:p>
      <w:pPr>
        <w:adjustRightInd w:val="0"/>
        <w:spacing w:line="360" w:lineRule="auto"/>
        <w:ind w:firstLine="424" w:firstLineChars="177"/>
        <w:textAlignment w:val="baseline"/>
        <w:rPr>
          <w:sz w:val="24"/>
        </w:rPr>
      </w:pPr>
      <w:r>
        <w:rPr>
          <w:rFonts w:hint="eastAsia"/>
          <w:sz w:val="24"/>
        </w:rPr>
        <w:t>为了保证本次项目的品质和质量，乙方承诺：</w:t>
      </w:r>
    </w:p>
    <w:p>
      <w:pPr>
        <w:numPr>
          <w:ilvl w:val="0"/>
          <w:numId w:val="11"/>
        </w:numPr>
        <w:suppressAutoHyphens/>
        <w:spacing w:line="360" w:lineRule="auto"/>
        <w:rPr>
          <w:sz w:val="24"/>
        </w:rPr>
      </w:pPr>
      <w:r>
        <w:rPr>
          <w:rFonts w:hint="eastAsia"/>
          <w:sz w:val="24"/>
        </w:rPr>
        <w:t>根据</w:t>
      </w:r>
      <w:r>
        <w:rPr>
          <w:sz w:val="24"/>
        </w:rPr>
        <w:t>标准性、规范性、可控性、整体性、最小影响性及保密性原则，做到守时、保质</w:t>
      </w:r>
      <w:r>
        <w:rPr>
          <w:rFonts w:hint="eastAsia"/>
          <w:sz w:val="24"/>
        </w:rPr>
        <w:t>；</w:t>
      </w:r>
    </w:p>
    <w:p>
      <w:pPr>
        <w:numPr>
          <w:ilvl w:val="0"/>
          <w:numId w:val="11"/>
        </w:numPr>
        <w:suppressAutoHyphens/>
        <w:spacing w:line="360" w:lineRule="auto"/>
        <w:rPr>
          <w:sz w:val="24"/>
        </w:rPr>
      </w:pPr>
      <w:r>
        <w:rPr>
          <w:rFonts w:hint="eastAsia"/>
          <w:sz w:val="24"/>
        </w:rPr>
        <w:t>指派工作经验丰富、技术实力雄厚的安全顾问，结合技术领先、结论可靠的</w:t>
      </w:r>
      <w:r>
        <w:rPr>
          <w:sz w:val="24"/>
        </w:rPr>
        <w:t>测评</w:t>
      </w:r>
      <w:r>
        <w:rPr>
          <w:rFonts w:hint="eastAsia"/>
          <w:sz w:val="24"/>
        </w:rPr>
        <w:t>工具为甲方作全面的</w:t>
      </w:r>
      <w:r>
        <w:rPr>
          <w:sz w:val="24"/>
        </w:rPr>
        <w:t>等级保护测评</w:t>
      </w:r>
      <w:r>
        <w:rPr>
          <w:rFonts w:hint="eastAsia"/>
          <w:sz w:val="24"/>
        </w:rPr>
        <w:t>。承诺咨询过程按照国际标准、国家标准、地方标准、行业标准等进行，并保证对客户的资料严格保密；</w:t>
      </w:r>
    </w:p>
    <w:p>
      <w:pPr>
        <w:numPr>
          <w:ilvl w:val="0"/>
          <w:numId w:val="11"/>
        </w:numPr>
        <w:suppressAutoHyphens/>
        <w:spacing w:line="360" w:lineRule="auto"/>
        <w:rPr>
          <w:sz w:val="24"/>
        </w:rPr>
      </w:pPr>
      <w:r>
        <w:rPr>
          <w:rFonts w:hint="eastAsia"/>
          <w:sz w:val="24"/>
        </w:rPr>
        <w:t>确保选派高级专家参与整个项目，保证项目质量；</w:t>
      </w:r>
    </w:p>
    <w:p>
      <w:pPr>
        <w:numPr>
          <w:ilvl w:val="0"/>
          <w:numId w:val="11"/>
        </w:numPr>
        <w:suppressAutoHyphens/>
        <w:spacing w:line="360" w:lineRule="auto"/>
        <w:rPr>
          <w:sz w:val="24"/>
        </w:rPr>
      </w:pPr>
      <w:r>
        <w:rPr>
          <w:rFonts w:hint="eastAsia"/>
          <w:sz w:val="24"/>
        </w:rPr>
        <w:t>在指定的地点进行</w:t>
      </w:r>
      <w:r>
        <w:rPr>
          <w:sz w:val="24"/>
        </w:rPr>
        <w:t>测评工作和等级</w:t>
      </w:r>
      <w:r>
        <w:rPr>
          <w:rFonts w:hint="eastAsia"/>
          <w:sz w:val="24"/>
        </w:rPr>
        <w:t>保护</w:t>
      </w:r>
      <w:r>
        <w:rPr>
          <w:sz w:val="24"/>
        </w:rPr>
        <w:t>测评报告的编写</w:t>
      </w:r>
      <w:r>
        <w:rPr>
          <w:rFonts w:hint="eastAsia"/>
          <w:sz w:val="24"/>
        </w:rPr>
        <w:t>，</w:t>
      </w:r>
      <w:r>
        <w:rPr>
          <w:sz w:val="24"/>
        </w:rPr>
        <w:t>在测评期间和测评结束后</w:t>
      </w:r>
      <w:r>
        <w:rPr>
          <w:rFonts w:hint="eastAsia"/>
          <w:sz w:val="24"/>
        </w:rPr>
        <w:t>，不带走</w:t>
      </w:r>
      <w:r>
        <w:rPr>
          <w:sz w:val="24"/>
        </w:rPr>
        <w:t>测评中的</w:t>
      </w:r>
      <w:r>
        <w:rPr>
          <w:rFonts w:hint="eastAsia"/>
          <w:sz w:val="24"/>
        </w:rPr>
        <w:t>资料</w:t>
      </w:r>
      <w:r>
        <w:rPr>
          <w:sz w:val="24"/>
        </w:rPr>
        <w:t>和结果</w:t>
      </w:r>
      <w:r>
        <w:rPr>
          <w:rFonts w:hint="eastAsia"/>
          <w:sz w:val="24"/>
        </w:rPr>
        <w:t>；</w:t>
      </w:r>
    </w:p>
    <w:p>
      <w:pPr>
        <w:numPr>
          <w:ilvl w:val="0"/>
          <w:numId w:val="11"/>
        </w:numPr>
        <w:suppressAutoHyphens/>
        <w:spacing w:line="360" w:lineRule="auto"/>
        <w:rPr>
          <w:sz w:val="24"/>
        </w:rPr>
      </w:pPr>
      <w:r>
        <w:rPr>
          <w:rFonts w:hint="eastAsia"/>
          <w:sz w:val="24"/>
        </w:rPr>
        <w:t>在关键测评内容实施前（如扫描或工具测试），应和甲方充分沟通和协商，并制定详细的实施方案，确保在项目实施过程中不对甲方的信息系统造成影响；</w:t>
      </w:r>
    </w:p>
    <w:p>
      <w:pPr>
        <w:numPr>
          <w:ilvl w:val="0"/>
          <w:numId w:val="11"/>
        </w:numPr>
        <w:suppressAutoHyphens/>
        <w:spacing w:line="360" w:lineRule="auto"/>
        <w:rPr>
          <w:sz w:val="24"/>
        </w:rPr>
      </w:pPr>
      <w:r>
        <w:rPr>
          <w:rFonts w:hint="eastAsia"/>
          <w:sz w:val="24"/>
        </w:rPr>
        <w:t>本项目不得转让、转包或者分包，乙方保证本次提供的服务不会侵犯其他第三人的知识产权等权益，如因此造成甲方的损失，由乙方负责赔偿，如由此产生相关纠纷，由乙方负责处理并承担责任。</w:t>
      </w:r>
    </w:p>
    <w:p>
      <w:pPr>
        <w:numPr>
          <w:ilvl w:val="0"/>
          <w:numId w:val="8"/>
        </w:numPr>
        <w:tabs>
          <w:tab w:val="left" w:pos="420"/>
          <w:tab w:val="left" w:pos="720"/>
        </w:tabs>
        <w:spacing w:line="360" w:lineRule="auto"/>
        <w:ind w:left="840"/>
        <w:rPr>
          <w:b/>
          <w:sz w:val="24"/>
        </w:rPr>
      </w:pPr>
      <w:r>
        <w:rPr>
          <w:rFonts w:hint="eastAsia"/>
          <w:b/>
          <w:sz w:val="24"/>
        </w:rPr>
        <w:t>服务期</w:t>
      </w:r>
    </w:p>
    <w:p>
      <w:pPr>
        <w:tabs>
          <w:tab w:val="left" w:pos="420"/>
          <w:tab w:val="left" w:pos="720"/>
        </w:tabs>
        <w:spacing w:line="360" w:lineRule="auto"/>
        <w:rPr>
          <w:rFonts w:hint="eastAsia" w:eastAsia="宋体"/>
          <w:b/>
          <w:sz w:val="24"/>
          <w:lang w:eastAsia="zh-CN"/>
        </w:rPr>
      </w:pPr>
      <w:r>
        <w:rPr>
          <w:b/>
          <w:sz w:val="24"/>
        </w:rPr>
        <w:tab/>
      </w:r>
      <w:r>
        <w:rPr>
          <w:b/>
          <w:sz w:val="24"/>
        </w:rPr>
        <w:tab/>
      </w:r>
      <w:r>
        <w:rPr>
          <w:b/>
          <w:sz w:val="24"/>
        </w:rPr>
        <w:tab/>
      </w:r>
      <w:r>
        <w:rPr>
          <w:rFonts w:hint="eastAsia" w:ascii="宋体" w:hAnsi="宋体" w:cs="宋体"/>
          <w:sz w:val="24"/>
        </w:rPr>
        <w:t>本项目</w:t>
      </w:r>
      <w:r>
        <w:rPr>
          <w:rFonts w:ascii="宋体" w:hAnsi="宋体" w:cs="宋体"/>
          <w:sz w:val="24"/>
        </w:rPr>
        <w:t>服务</w:t>
      </w:r>
      <w:r>
        <w:rPr>
          <w:rFonts w:hint="eastAsia" w:ascii="宋体" w:hAnsi="宋体" w:cs="宋体"/>
          <w:sz w:val="24"/>
        </w:rPr>
        <w:t>期</w:t>
      </w:r>
      <w:r>
        <w:rPr>
          <w:rFonts w:ascii="宋体" w:hAnsi="宋体" w:cs="宋体"/>
          <w:sz w:val="24"/>
        </w:rPr>
        <w:t>从合同签订之日起至</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年12月</w:t>
      </w:r>
      <w:r>
        <w:rPr>
          <w:rFonts w:hint="eastAsia" w:ascii="宋体" w:hAnsi="宋体" w:cs="宋体"/>
          <w:sz w:val="24"/>
          <w:lang w:val="en-US" w:eastAsia="zh-CN"/>
        </w:rPr>
        <w:t>5</w:t>
      </w:r>
      <w:r>
        <w:rPr>
          <w:rFonts w:hint="eastAsia" w:ascii="宋体" w:hAnsi="宋体" w:cs="宋体"/>
          <w:sz w:val="24"/>
        </w:rPr>
        <w:t>日</w:t>
      </w:r>
      <w:r>
        <w:rPr>
          <w:rFonts w:ascii="宋体" w:hAnsi="宋体" w:cs="宋体"/>
          <w:sz w:val="24"/>
        </w:rPr>
        <w:t>。</w:t>
      </w:r>
      <w:r>
        <w:rPr>
          <w:rFonts w:hint="eastAsia"/>
          <w:sz w:val="24"/>
        </w:rPr>
        <w:t>本合同工作</w:t>
      </w:r>
      <w:r>
        <w:rPr>
          <w:rFonts w:hint="eastAsia"/>
          <w:sz w:val="24"/>
          <w:lang w:eastAsia="zh-CN"/>
        </w:rPr>
        <w:t>需在服务期内完成。</w:t>
      </w:r>
    </w:p>
    <w:p>
      <w:pPr>
        <w:numPr>
          <w:ilvl w:val="0"/>
          <w:numId w:val="8"/>
        </w:numPr>
        <w:tabs>
          <w:tab w:val="left" w:pos="420"/>
          <w:tab w:val="left" w:pos="720"/>
        </w:tabs>
        <w:spacing w:line="360" w:lineRule="auto"/>
        <w:ind w:left="840"/>
        <w:rPr>
          <w:b/>
          <w:sz w:val="24"/>
        </w:rPr>
      </w:pPr>
      <w:r>
        <w:rPr>
          <w:rFonts w:hint="eastAsia"/>
          <w:b/>
          <w:sz w:val="24"/>
        </w:rPr>
        <w:t>工作条件和协作事项</w:t>
      </w:r>
    </w:p>
    <w:p>
      <w:pPr>
        <w:numPr>
          <w:ilvl w:val="0"/>
          <w:numId w:val="12"/>
        </w:numPr>
        <w:tabs>
          <w:tab w:val="left" w:pos="0"/>
          <w:tab w:val="clear" w:pos="420"/>
        </w:tabs>
        <w:spacing w:line="360" w:lineRule="auto"/>
        <w:ind w:left="0" w:right="198" w:firstLine="539"/>
        <w:rPr>
          <w:sz w:val="24"/>
        </w:rPr>
      </w:pPr>
      <w:r>
        <w:rPr>
          <w:rFonts w:hint="eastAsia"/>
          <w:sz w:val="24"/>
        </w:rPr>
        <w:t>甲方应根据乙方的履行本合同的需求予以项目上必要的配合，包括提供相关资料、协调相关人员、提供必要的工作环境等。</w:t>
      </w:r>
    </w:p>
    <w:p>
      <w:pPr>
        <w:numPr>
          <w:ilvl w:val="0"/>
          <w:numId w:val="12"/>
        </w:numPr>
        <w:tabs>
          <w:tab w:val="left" w:pos="0"/>
          <w:tab w:val="clear" w:pos="420"/>
        </w:tabs>
        <w:spacing w:line="360" w:lineRule="auto"/>
        <w:ind w:left="0" w:right="198" w:firstLine="539"/>
        <w:rPr>
          <w:sz w:val="24"/>
        </w:rPr>
      </w:pPr>
      <w:r>
        <w:rPr>
          <w:rFonts w:hint="eastAsia"/>
          <w:sz w:val="24"/>
        </w:rPr>
        <w:t>乙方应按照双方商定的工作要求（包括指定系统等级保护测评、进度、质量等）、以不低于本合同、招标文件、投标文件规定的标准或承诺完成本合同工作。</w:t>
      </w:r>
    </w:p>
    <w:p>
      <w:pPr>
        <w:numPr>
          <w:ilvl w:val="0"/>
          <w:numId w:val="12"/>
        </w:numPr>
        <w:tabs>
          <w:tab w:val="left" w:pos="0"/>
          <w:tab w:val="clear" w:pos="420"/>
        </w:tabs>
        <w:spacing w:line="360" w:lineRule="auto"/>
        <w:ind w:left="0" w:right="198" w:firstLine="539"/>
        <w:rPr>
          <w:sz w:val="24"/>
        </w:rPr>
      </w:pPr>
      <w:r>
        <w:rPr>
          <w:rFonts w:hint="eastAsia"/>
          <w:sz w:val="24"/>
        </w:rPr>
        <w:t>工作结束后，乙方不得利用工作中获取的信息、资料、资源从事有损于甲方名誉、利益的活动。</w:t>
      </w:r>
    </w:p>
    <w:p>
      <w:pPr>
        <w:numPr>
          <w:ilvl w:val="0"/>
          <w:numId w:val="8"/>
        </w:numPr>
        <w:tabs>
          <w:tab w:val="left" w:pos="420"/>
          <w:tab w:val="left" w:pos="720"/>
        </w:tabs>
        <w:spacing w:line="360" w:lineRule="auto"/>
        <w:ind w:left="840"/>
        <w:rPr>
          <w:b/>
          <w:sz w:val="24"/>
        </w:rPr>
      </w:pPr>
      <w:bookmarkStart w:id="18" w:name="_Toc185061984"/>
      <w:bookmarkStart w:id="19" w:name="_Toc195257060"/>
      <w:r>
        <w:rPr>
          <w:rFonts w:hint="eastAsia"/>
          <w:b/>
          <w:sz w:val="24"/>
        </w:rPr>
        <w:t>测评服务范围及合同价格</w:t>
      </w:r>
      <w:bookmarkEnd w:id="18"/>
      <w:bookmarkEnd w:id="19"/>
    </w:p>
    <w:tbl>
      <w:tblPr>
        <w:tblStyle w:val="39"/>
        <w:tblW w:w="9510" w:type="dxa"/>
        <w:tblInd w:w="0" w:type="dxa"/>
        <w:shd w:val="clear" w:color="auto" w:fill="auto"/>
        <w:tblLayout w:type="fixed"/>
        <w:tblCellMar>
          <w:top w:w="15" w:type="dxa"/>
          <w:left w:w="15" w:type="dxa"/>
          <w:bottom w:w="15" w:type="dxa"/>
          <w:right w:w="15" w:type="dxa"/>
        </w:tblCellMar>
      </w:tblPr>
      <w:tblGrid>
        <w:gridCol w:w="3015"/>
        <w:gridCol w:w="1770"/>
        <w:gridCol w:w="2040"/>
        <w:gridCol w:w="2685"/>
      </w:tblGrid>
      <w:tr>
        <w:tblPrEx>
          <w:shd w:val="clear" w:color="auto" w:fill="auto"/>
          <w:tblCellMar>
            <w:top w:w="15" w:type="dxa"/>
            <w:left w:w="15" w:type="dxa"/>
            <w:bottom w:w="15" w:type="dxa"/>
            <w:right w:w="15" w:type="dxa"/>
          </w:tblCellMar>
        </w:tblPrEx>
        <w:trPr>
          <w:trHeight w:val="571"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bottom"/>
              <w:rPr>
                <w:rFonts w:ascii="宋体" w:hAnsi="宋体" w:cs="宋体"/>
                <w:b/>
                <w:color w:val="000000"/>
                <w:sz w:val="24"/>
              </w:rPr>
            </w:pPr>
            <w:r>
              <w:rPr>
                <w:rFonts w:hint="eastAsia" w:ascii="宋体" w:hAnsi="宋体" w:cs="宋体"/>
                <w:b/>
                <w:color w:val="000000"/>
                <w:kern w:val="0"/>
                <w:sz w:val="24"/>
              </w:rPr>
              <w:t>系统名称</w:t>
            </w:r>
          </w:p>
        </w:tc>
        <w:tc>
          <w:tcPr>
            <w:tcW w:w="177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widowControl/>
              <w:spacing w:line="300" w:lineRule="exact"/>
              <w:jc w:val="center"/>
              <w:textAlignment w:val="bottom"/>
              <w:rPr>
                <w:rFonts w:ascii="宋体" w:hAnsi="宋体" w:cs="宋体"/>
                <w:b/>
                <w:color w:val="000000"/>
                <w:sz w:val="24"/>
              </w:rPr>
            </w:pPr>
            <w:r>
              <w:rPr>
                <w:rFonts w:hint="eastAsia" w:ascii="宋体" w:hAnsi="宋体" w:cs="宋体"/>
                <w:b/>
                <w:color w:val="000000"/>
                <w:sz w:val="24"/>
              </w:rPr>
              <w:t>标项内容</w:t>
            </w:r>
          </w:p>
        </w:tc>
        <w:tc>
          <w:tcPr>
            <w:tcW w:w="204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spacing w:line="300" w:lineRule="exact"/>
              <w:jc w:val="center"/>
              <w:textAlignment w:val="bottom"/>
              <w:rPr>
                <w:rFonts w:ascii="宋体" w:hAnsi="宋体" w:cs="宋体"/>
                <w:b/>
                <w:color w:val="000000"/>
                <w:sz w:val="24"/>
              </w:rPr>
            </w:pPr>
            <w:r>
              <w:rPr>
                <w:rFonts w:hint="eastAsia" w:ascii="宋体" w:hAnsi="宋体" w:cs="宋体"/>
                <w:b/>
                <w:color w:val="000000"/>
                <w:kern w:val="0"/>
                <w:sz w:val="24"/>
              </w:rPr>
              <w:t>安全等级</w:t>
            </w:r>
          </w:p>
        </w:tc>
        <w:tc>
          <w:tcPr>
            <w:tcW w:w="26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spacing w:line="300" w:lineRule="exact"/>
              <w:jc w:val="center"/>
              <w:textAlignment w:val="bottom"/>
              <w:rPr>
                <w:rFonts w:ascii="宋体" w:hAnsi="宋体" w:cs="宋体"/>
                <w:b/>
                <w:color w:val="000000"/>
                <w:kern w:val="0"/>
                <w:sz w:val="24"/>
              </w:rPr>
            </w:pPr>
            <w:r>
              <w:rPr>
                <w:rFonts w:hint="eastAsia" w:ascii="宋体" w:hAnsi="宋体" w:cs="宋体"/>
                <w:b/>
                <w:color w:val="000000"/>
                <w:kern w:val="0"/>
                <w:sz w:val="24"/>
              </w:rPr>
              <w:t>备注</w:t>
            </w:r>
          </w:p>
        </w:tc>
      </w:tr>
      <w:tr>
        <w:tblPrEx>
          <w:tblCellMar>
            <w:top w:w="15" w:type="dxa"/>
            <w:left w:w="15" w:type="dxa"/>
            <w:bottom w:w="15" w:type="dxa"/>
            <w:right w:w="15" w:type="dxa"/>
          </w:tblCellMar>
        </w:tblPrEx>
        <w:trPr>
          <w:trHeight w:val="9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一张图核心数据库及综合电子政务平台</w:t>
            </w:r>
          </w:p>
        </w:tc>
        <w:tc>
          <w:tcPr>
            <w:tcW w:w="177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204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三级</w:t>
            </w:r>
          </w:p>
        </w:tc>
        <w:tc>
          <w:tcPr>
            <w:tcW w:w="26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包含市局档案管理和县市区的一张图核心数据库及综合电子政务平台（除温岭外）以及信创云版本（含桌面端和移动端）。</w:t>
            </w:r>
          </w:p>
        </w:tc>
      </w:tr>
      <w:tr>
        <w:tblPrEx>
          <w:shd w:val="clear" w:color="auto" w:fill="auto"/>
          <w:tblCellMar>
            <w:top w:w="15" w:type="dxa"/>
            <w:left w:w="15" w:type="dxa"/>
            <w:bottom w:w="15" w:type="dxa"/>
            <w:right w:w="15" w:type="dxa"/>
          </w:tblCellMar>
        </w:tblPrEx>
        <w:trPr>
          <w:trHeight w:val="9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台州市国土空间基础信息平台（信创云版本）</w:t>
            </w:r>
          </w:p>
        </w:tc>
        <w:tc>
          <w:tcPr>
            <w:tcW w:w="177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204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三级</w:t>
            </w:r>
          </w:p>
        </w:tc>
        <w:tc>
          <w:tcPr>
            <w:tcW w:w="26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kern w:val="0"/>
                <w:sz w:val="24"/>
              </w:rPr>
            </w:pPr>
          </w:p>
        </w:tc>
      </w:tr>
      <w:tr>
        <w:tblPrEx>
          <w:shd w:val="clear" w:color="auto" w:fill="auto"/>
          <w:tblCellMar>
            <w:top w:w="15" w:type="dxa"/>
            <w:left w:w="15" w:type="dxa"/>
            <w:bottom w:w="15" w:type="dxa"/>
            <w:right w:w="15" w:type="dxa"/>
          </w:tblCellMar>
        </w:tblPrEx>
        <w:trPr>
          <w:trHeight w:val="23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不动产登记信息管理平台</w:t>
            </w:r>
          </w:p>
        </w:tc>
        <w:tc>
          <w:tcPr>
            <w:tcW w:w="177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204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三级</w:t>
            </w:r>
          </w:p>
        </w:tc>
        <w:tc>
          <w:tcPr>
            <w:tcW w:w="26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涉及到台州市不动产登记信息管理平台、台州市不动产登记网上办事大厅系统、台州市不动产登记掌上办APP系统、台州市不动产智治治理端应用等4个系统；以及信创云版本。</w:t>
            </w:r>
          </w:p>
        </w:tc>
      </w:tr>
      <w:tr>
        <w:tblPrEx>
          <w:tblCellMar>
            <w:top w:w="15" w:type="dxa"/>
            <w:left w:w="15" w:type="dxa"/>
            <w:bottom w:w="15" w:type="dxa"/>
            <w:right w:w="15" w:type="dxa"/>
          </w:tblCellMar>
        </w:tblPrEx>
        <w:trPr>
          <w:trHeight w:val="9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台州市“地信智服”场景应用系统（信创云版本）</w:t>
            </w:r>
          </w:p>
        </w:tc>
        <w:tc>
          <w:tcPr>
            <w:tcW w:w="177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204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三级</w:t>
            </w:r>
          </w:p>
        </w:tc>
        <w:tc>
          <w:tcPr>
            <w:tcW w:w="26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kern w:val="0"/>
                <w:sz w:val="24"/>
              </w:rPr>
            </w:pPr>
          </w:p>
        </w:tc>
      </w:tr>
      <w:tr>
        <w:tblPrEx>
          <w:tblCellMar>
            <w:top w:w="15" w:type="dxa"/>
            <w:left w:w="15" w:type="dxa"/>
            <w:bottom w:w="15" w:type="dxa"/>
            <w:right w:w="15" w:type="dxa"/>
          </w:tblCellMar>
        </w:tblPrEx>
        <w:trPr>
          <w:trHeight w:val="9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台州市空间规划地理数据库（信创云版本）</w:t>
            </w:r>
          </w:p>
        </w:tc>
        <w:tc>
          <w:tcPr>
            <w:tcW w:w="177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204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三级</w:t>
            </w:r>
          </w:p>
        </w:tc>
        <w:tc>
          <w:tcPr>
            <w:tcW w:w="26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kern w:val="0"/>
                <w:sz w:val="24"/>
              </w:rPr>
            </w:pPr>
          </w:p>
        </w:tc>
      </w:tr>
      <w:tr>
        <w:tblPrEx>
          <w:shd w:val="clear" w:color="auto" w:fill="auto"/>
          <w:tblCellMar>
            <w:top w:w="15" w:type="dxa"/>
            <w:left w:w="15" w:type="dxa"/>
            <w:bottom w:w="15" w:type="dxa"/>
            <w:right w:w="15" w:type="dxa"/>
          </w:tblCellMar>
        </w:tblPrEx>
        <w:trPr>
          <w:trHeight w:val="431"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台州市地理信息公共服务平台</w:t>
            </w:r>
          </w:p>
        </w:tc>
        <w:tc>
          <w:tcPr>
            <w:tcW w:w="177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204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三级</w:t>
            </w:r>
          </w:p>
        </w:tc>
        <w:tc>
          <w:tcPr>
            <w:tcW w:w="26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涉及政务版和互联网版。</w:t>
            </w:r>
          </w:p>
        </w:tc>
      </w:tr>
      <w:tr>
        <w:tblPrEx>
          <w:tblCellMar>
            <w:top w:w="15" w:type="dxa"/>
            <w:left w:w="15" w:type="dxa"/>
            <w:bottom w:w="15" w:type="dxa"/>
            <w:right w:w="15" w:type="dxa"/>
          </w:tblCellMar>
        </w:tblPrEx>
        <w:trPr>
          <w:trHeight w:val="749"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台州市国土空间规划“一张图”实施监督信息系统（信创云版本）</w:t>
            </w:r>
          </w:p>
        </w:tc>
        <w:tc>
          <w:tcPr>
            <w:tcW w:w="177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204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三级</w:t>
            </w:r>
          </w:p>
        </w:tc>
        <w:tc>
          <w:tcPr>
            <w:tcW w:w="26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kern w:val="0"/>
                <w:sz w:val="24"/>
              </w:rPr>
            </w:pPr>
          </w:p>
        </w:tc>
      </w:tr>
      <w:tr>
        <w:tblPrEx>
          <w:shd w:val="clear" w:color="auto" w:fill="auto"/>
          <w:tblCellMar>
            <w:top w:w="15" w:type="dxa"/>
            <w:left w:w="15" w:type="dxa"/>
            <w:bottom w:w="15" w:type="dxa"/>
            <w:right w:w="15" w:type="dxa"/>
          </w:tblCellMar>
        </w:tblPrEx>
        <w:trPr>
          <w:trHeight w:val="51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台州市“土地综合整治”应用场景系统（信创云版本）</w:t>
            </w:r>
          </w:p>
        </w:tc>
        <w:tc>
          <w:tcPr>
            <w:tcW w:w="177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204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二级</w:t>
            </w:r>
          </w:p>
        </w:tc>
        <w:tc>
          <w:tcPr>
            <w:tcW w:w="26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kern w:val="0"/>
                <w:sz w:val="24"/>
              </w:rPr>
            </w:pPr>
          </w:p>
        </w:tc>
      </w:tr>
      <w:tr>
        <w:tblPrEx>
          <w:tblCellMar>
            <w:top w:w="15" w:type="dxa"/>
            <w:left w:w="15" w:type="dxa"/>
            <w:bottom w:w="15" w:type="dxa"/>
            <w:right w:w="15" w:type="dxa"/>
          </w:tblCellMar>
        </w:tblPrEx>
        <w:trPr>
          <w:trHeight w:val="596"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bCs/>
                <w:color w:val="000000"/>
                <w:kern w:val="0"/>
                <w:sz w:val="24"/>
              </w:rPr>
            </w:pPr>
            <w:r>
              <w:rPr>
                <w:rFonts w:hint="eastAsia" w:ascii="宋体" w:hAnsi="宋体" w:eastAsia="宋体" w:cs="宋体"/>
                <w:i w:val="0"/>
                <w:iCs w:val="0"/>
                <w:color w:val="000000"/>
                <w:kern w:val="0"/>
                <w:sz w:val="22"/>
                <w:szCs w:val="22"/>
                <w:u w:val="none"/>
                <w:lang w:val="en-US" w:eastAsia="zh-CN" w:bidi="ar"/>
              </w:rPr>
              <w:t>台州市耕地智保（信创云版本）</w:t>
            </w:r>
          </w:p>
        </w:tc>
        <w:tc>
          <w:tcPr>
            <w:tcW w:w="177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rPr>
            </w:pPr>
            <w:r>
              <w:rPr>
                <w:rFonts w:hint="eastAsia" w:ascii="宋体" w:hAnsi="宋体" w:eastAsia="宋体" w:cs="宋体"/>
                <w:i w:val="0"/>
                <w:iCs w:val="0"/>
                <w:color w:val="000000"/>
                <w:kern w:val="0"/>
                <w:sz w:val="22"/>
                <w:szCs w:val="22"/>
                <w:u w:val="none"/>
                <w:lang w:val="en-US" w:eastAsia="zh-CN" w:bidi="ar"/>
              </w:rPr>
              <w:t>测评</w:t>
            </w:r>
          </w:p>
        </w:tc>
        <w:tc>
          <w:tcPr>
            <w:tcW w:w="204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二级</w:t>
            </w:r>
          </w:p>
        </w:tc>
        <w:tc>
          <w:tcPr>
            <w:tcW w:w="26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kern w:val="0"/>
                <w:sz w:val="24"/>
              </w:rPr>
            </w:pPr>
          </w:p>
        </w:tc>
      </w:tr>
    </w:tbl>
    <w:p>
      <w:pPr>
        <w:spacing w:line="360" w:lineRule="auto"/>
        <w:ind w:left="479" w:leftChars="171" w:right="238" w:rightChars="85" w:firstLine="463" w:firstLineChars="193"/>
        <w:rPr>
          <w:rFonts w:hint="eastAsia"/>
          <w:sz w:val="24"/>
        </w:rPr>
      </w:pPr>
    </w:p>
    <w:p>
      <w:pPr>
        <w:spacing w:line="360" w:lineRule="auto"/>
        <w:ind w:left="479" w:leftChars="171" w:right="238" w:rightChars="85" w:firstLine="463" w:firstLineChars="193"/>
        <w:rPr>
          <w:rFonts w:ascii="宋体" w:hAnsi="宋体"/>
          <w:sz w:val="24"/>
        </w:rPr>
      </w:pPr>
      <w:r>
        <w:rPr>
          <w:rFonts w:hint="eastAsia"/>
          <w:sz w:val="24"/>
        </w:rPr>
        <w:t>本合同总价为人民币</w:t>
      </w:r>
      <w:r>
        <w:rPr>
          <w:rFonts w:hint="eastAsia"/>
          <w:sz w:val="24"/>
          <w:u w:val="single"/>
        </w:rPr>
        <w:t xml:space="preserve">   </w:t>
      </w:r>
      <w:r>
        <w:rPr>
          <w:sz w:val="24"/>
          <w:u w:val="single"/>
        </w:rPr>
        <w:t xml:space="preserve">  </w:t>
      </w:r>
      <w:r>
        <w:rPr>
          <w:rFonts w:hint="eastAsia"/>
          <w:sz w:val="24"/>
        </w:rPr>
        <w:t>元（大写：</w:t>
      </w:r>
      <w:r>
        <w:rPr>
          <w:rFonts w:hint="eastAsia"/>
          <w:sz w:val="24"/>
          <w:u w:val="single"/>
        </w:rPr>
        <w:t xml:space="preserve">      </w:t>
      </w:r>
      <w:r>
        <w:rPr>
          <w:rFonts w:hint="eastAsia"/>
          <w:sz w:val="24"/>
        </w:rPr>
        <w:t>），包括乙方正确、完全地履行本合同服务所需的全部成本及税费。除本合同另有明确规定外，上述合同价格在本合同期间保持不变，甲方除此以外无需向乙方另行支付其他任何费用。</w:t>
      </w:r>
    </w:p>
    <w:p>
      <w:pPr>
        <w:numPr>
          <w:ilvl w:val="0"/>
          <w:numId w:val="8"/>
        </w:numPr>
        <w:tabs>
          <w:tab w:val="left" w:pos="420"/>
          <w:tab w:val="left" w:pos="720"/>
        </w:tabs>
        <w:spacing w:line="360" w:lineRule="auto"/>
        <w:ind w:left="840"/>
        <w:rPr>
          <w:b/>
          <w:sz w:val="24"/>
        </w:rPr>
      </w:pPr>
      <w:bookmarkStart w:id="20" w:name="_Toc185061985"/>
      <w:bookmarkStart w:id="21" w:name="_Toc195257061"/>
      <w:r>
        <w:rPr>
          <w:rFonts w:hint="eastAsia"/>
          <w:b/>
          <w:sz w:val="24"/>
        </w:rPr>
        <w:t>付款方式</w:t>
      </w:r>
      <w:bookmarkEnd w:id="20"/>
      <w:bookmarkEnd w:id="21"/>
    </w:p>
    <w:p>
      <w:pPr>
        <w:numPr>
          <w:ilvl w:val="0"/>
          <w:numId w:val="13"/>
        </w:numPr>
        <w:tabs>
          <w:tab w:val="left" w:pos="0"/>
          <w:tab w:val="clear" w:pos="420"/>
        </w:tabs>
        <w:spacing w:line="360" w:lineRule="auto"/>
        <w:ind w:left="0" w:right="198" w:firstLine="540"/>
        <w:rPr>
          <w:sz w:val="24"/>
        </w:rPr>
      </w:pPr>
      <w:r>
        <w:rPr>
          <w:rFonts w:hint="eastAsia"/>
          <w:sz w:val="24"/>
        </w:rPr>
        <w:t>甲方应以汇款方式（人民币为支付货币）向乙方支付合同价款。</w:t>
      </w:r>
    </w:p>
    <w:p>
      <w:pPr>
        <w:numPr>
          <w:ilvl w:val="0"/>
          <w:numId w:val="13"/>
        </w:numPr>
        <w:tabs>
          <w:tab w:val="left" w:pos="0"/>
          <w:tab w:val="clear" w:pos="420"/>
        </w:tabs>
        <w:spacing w:line="360" w:lineRule="auto"/>
        <w:ind w:left="0" w:right="198" w:firstLine="540"/>
        <w:rPr>
          <w:sz w:val="24"/>
        </w:rPr>
      </w:pPr>
      <w:r>
        <w:rPr>
          <w:rFonts w:hint="eastAsia"/>
          <w:sz w:val="24"/>
        </w:rPr>
        <w:t>甲方应按下述规定安排付款：</w:t>
      </w:r>
    </w:p>
    <w:p>
      <w:pPr>
        <w:spacing w:line="360" w:lineRule="auto"/>
        <w:ind w:left="560" w:leftChars="200" w:right="198" w:firstLine="480" w:firstLineChars="200"/>
        <w:rPr>
          <w:sz w:val="24"/>
        </w:rPr>
      </w:pPr>
      <w:r>
        <w:rPr>
          <w:rFonts w:hint="eastAsia"/>
          <w:sz w:val="24"/>
        </w:rPr>
        <w:t>合同签订并且</w:t>
      </w:r>
      <w:r>
        <w:rPr>
          <w:sz w:val="24"/>
        </w:rPr>
        <w:t>乙方安排人员驻场开始测评后</w:t>
      </w:r>
      <w:r>
        <w:rPr>
          <w:rFonts w:hint="eastAsia"/>
          <w:sz w:val="24"/>
        </w:rPr>
        <w:t>15个</w:t>
      </w:r>
      <w:r>
        <w:rPr>
          <w:sz w:val="24"/>
        </w:rPr>
        <w:t>工作</w:t>
      </w:r>
      <w:r>
        <w:rPr>
          <w:rFonts w:hint="eastAsia"/>
          <w:sz w:val="24"/>
        </w:rPr>
        <w:t>日内支付合同金额的50%，即人民币  元整（大写：  ）；完成测评定级及备案并且收到</w:t>
      </w:r>
      <w:r>
        <w:rPr>
          <w:sz w:val="24"/>
        </w:rPr>
        <w:t>乙方递交的测评报告</w:t>
      </w:r>
      <w:r>
        <w:rPr>
          <w:rFonts w:hint="eastAsia"/>
          <w:sz w:val="24"/>
        </w:rPr>
        <w:t>后15个工作日内支付合同金额的50%，即人民币</w:t>
      </w:r>
      <w:r>
        <w:rPr>
          <w:sz w:val="24"/>
        </w:rPr>
        <w:t xml:space="preserve">  </w:t>
      </w:r>
      <w:r>
        <w:rPr>
          <w:rFonts w:hint="eastAsia"/>
          <w:sz w:val="24"/>
        </w:rPr>
        <w:t xml:space="preserve">元整（大写： </w:t>
      </w:r>
      <w:r>
        <w:rPr>
          <w:sz w:val="24"/>
        </w:rPr>
        <w:t xml:space="preserve"> </w:t>
      </w:r>
      <w:r>
        <w:rPr>
          <w:rFonts w:hint="eastAsia"/>
          <w:sz w:val="24"/>
        </w:rPr>
        <w:t>）。</w:t>
      </w:r>
    </w:p>
    <w:p>
      <w:pPr>
        <w:numPr>
          <w:ilvl w:val="0"/>
          <w:numId w:val="13"/>
        </w:numPr>
        <w:tabs>
          <w:tab w:val="left" w:pos="0"/>
          <w:tab w:val="clear" w:pos="420"/>
        </w:tabs>
        <w:spacing w:line="360" w:lineRule="auto"/>
        <w:ind w:left="0" w:right="200" w:firstLine="540"/>
        <w:rPr>
          <w:sz w:val="24"/>
        </w:rPr>
      </w:pPr>
      <w:r>
        <w:rPr>
          <w:rFonts w:hint="eastAsia"/>
          <w:sz w:val="24"/>
        </w:rPr>
        <w:t>乙方应在付款前，开具等同付款金额的税务正式发票给甲方。</w:t>
      </w:r>
    </w:p>
    <w:p>
      <w:pPr>
        <w:numPr>
          <w:ilvl w:val="0"/>
          <w:numId w:val="8"/>
        </w:numPr>
        <w:tabs>
          <w:tab w:val="left" w:pos="420"/>
          <w:tab w:val="left" w:pos="720"/>
        </w:tabs>
        <w:spacing w:line="360" w:lineRule="auto"/>
        <w:ind w:left="840"/>
        <w:rPr>
          <w:b/>
          <w:sz w:val="24"/>
        </w:rPr>
      </w:pPr>
      <w:bookmarkStart w:id="22" w:name="_Toc185061986"/>
      <w:bookmarkStart w:id="23" w:name="_Toc195257062"/>
      <w:r>
        <w:rPr>
          <w:rFonts w:hint="eastAsia"/>
          <w:b/>
          <w:sz w:val="24"/>
        </w:rPr>
        <w:t>技术资料</w:t>
      </w:r>
      <w:bookmarkEnd w:id="22"/>
      <w:bookmarkEnd w:id="23"/>
      <w:r>
        <w:rPr>
          <w:rFonts w:hint="eastAsia"/>
          <w:b/>
          <w:sz w:val="24"/>
        </w:rPr>
        <w:t>或成果输出</w:t>
      </w:r>
    </w:p>
    <w:p>
      <w:pPr>
        <w:spacing w:line="360" w:lineRule="auto"/>
        <w:ind w:right="200" w:firstLine="480" w:firstLineChars="200"/>
        <w:rPr>
          <w:rFonts w:ascii="宋体" w:hAnsi="宋体"/>
          <w:sz w:val="24"/>
        </w:rPr>
      </w:pPr>
      <w:r>
        <w:rPr>
          <w:rFonts w:hint="eastAsia" w:ascii="宋体" w:hAnsi="宋体"/>
          <w:sz w:val="24"/>
        </w:rPr>
        <w:t>乙方应向甲方提供以下技术资料或成果。上述技术资料的费用应包括在合同总价中，如果技术资料不完整或丢失，乙方应在接到甲方通知后7个工作日内无偿补供。</w:t>
      </w:r>
    </w:p>
    <w:p>
      <w:pPr>
        <w:tabs>
          <w:tab w:val="left" w:pos="840"/>
          <w:tab w:val="left" w:pos="2025"/>
        </w:tabs>
        <w:spacing w:line="360" w:lineRule="auto"/>
        <w:ind w:left="600" w:right="193" w:rightChars="69"/>
        <w:rPr>
          <w:sz w:val="24"/>
        </w:rPr>
      </w:pPr>
      <w:r>
        <w:rPr>
          <w:rFonts w:hint="eastAsia" w:ascii="宋体" w:hAnsi="宋体"/>
          <w:sz w:val="24"/>
          <w:highlight w:val="lightGray"/>
        </w:rPr>
        <w:t>√</w:t>
      </w:r>
      <w:r>
        <w:rPr>
          <w:rFonts w:hint="eastAsia"/>
          <w:sz w:val="24"/>
        </w:rPr>
        <w:t xml:space="preserve">  信息系统等级保护测评方案</w:t>
      </w:r>
    </w:p>
    <w:p>
      <w:pPr>
        <w:tabs>
          <w:tab w:val="left" w:pos="840"/>
          <w:tab w:val="left" w:pos="2025"/>
        </w:tabs>
        <w:spacing w:line="360" w:lineRule="auto"/>
        <w:ind w:left="600" w:right="193" w:rightChars="69"/>
        <w:rPr>
          <w:sz w:val="24"/>
        </w:rPr>
      </w:pPr>
      <w:r>
        <w:rPr>
          <w:rFonts w:hint="eastAsia" w:ascii="宋体" w:hAnsi="宋体"/>
          <w:sz w:val="24"/>
          <w:highlight w:val="lightGray"/>
        </w:rPr>
        <w:t>√</w:t>
      </w:r>
      <w:r>
        <w:rPr>
          <w:rFonts w:hint="eastAsia"/>
          <w:sz w:val="24"/>
        </w:rPr>
        <w:t xml:space="preserve">  信息系统等级保护测评报告</w:t>
      </w:r>
    </w:p>
    <w:p>
      <w:pPr>
        <w:tabs>
          <w:tab w:val="left" w:pos="840"/>
          <w:tab w:val="left" w:pos="2025"/>
        </w:tabs>
        <w:spacing w:line="360" w:lineRule="auto"/>
        <w:ind w:left="600" w:right="193" w:rightChars="69"/>
        <w:rPr>
          <w:sz w:val="24"/>
        </w:rPr>
      </w:pPr>
      <w:r>
        <w:rPr>
          <w:rFonts w:hint="eastAsia" w:ascii="宋体" w:hAnsi="宋体"/>
          <w:sz w:val="24"/>
          <w:highlight w:val="lightGray"/>
        </w:rPr>
        <w:t>√</w:t>
      </w:r>
      <w:r>
        <w:rPr>
          <w:rFonts w:hint="eastAsia"/>
          <w:sz w:val="24"/>
        </w:rPr>
        <w:t xml:space="preserve">  信息系统等级保护测评过程文档</w:t>
      </w:r>
    </w:p>
    <w:p>
      <w:pPr>
        <w:tabs>
          <w:tab w:val="left" w:pos="840"/>
          <w:tab w:val="left" w:pos="2025"/>
        </w:tabs>
        <w:spacing w:line="360" w:lineRule="auto"/>
        <w:ind w:left="600" w:right="193" w:rightChars="69"/>
        <w:rPr>
          <w:sz w:val="24"/>
        </w:rPr>
      </w:pPr>
      <w:r>
        <w:rPr>
          <w:rFonts w:hint="eastAsia" w:ascii="宋体" w:hAnsi="宋体"/>
          <w:sz w:val="24"/>
          <w:highlight w:val="lightGray"/>
        </w:rPr>
        <w:t>√</w:t>
      </w:r>
      <w:r>
        <w:rPr>
          <w:rFonts w:hint="eastAsia" w:ascii="宋体" w:hAnsi="宋体"/>
          <w:sz w:val="24"/>
        </w:rPr>
        <w:t xml:space="preserve">  信息系统等级保护整改规划</w:t>
      </w:r>
    </w:p>
    <w:p>
      <w:pPr>
        <w:numPr>
          <w:ilvl w:val="0"/>
          <w:numId w:val="8"/>
        </w:numPr>
        <w:tabs>
          <w:tab w:val="left" w:pos="420"/>
          <w:tab w:val="left" w:pos="720"/>
        </w:tabs>
        <w:spacing w:line="360" w:lineRule="auto"/>
        <w:ind w:left="840"/>
        <w:rPr>
          <w:b/>
          <w:sz w:val="24"/>
        </w:rPr>
      </w:pPr>
      <w:bookmarkStart w:id="24" w:name="_Toc195257066"/>
      <w:bookmarkStart w:id="25" w:name="_Toc185061990"/>
      <w:r>
        <w:rPr>
          <w:rFonts w:hint="eastAsia"/>
          <w:b/>
          <w:sz w:val="24"/>
        </w:rPr>
        <w:t>不可抗力</w:t>
      </w:r>
      <w:bookmarkEnd w:id="24"/>
      <w:bookmarkEnd w:id="25"/>
    </w:p>
    <w:p>
      <w:pPr>
        <w:numPr>
          <w:ilvl w:val="0"/>
          <w:numId w:val="14"/>
        </w:numPr>
        <w:tabs>
          <w:tab w:val="left" w:pos="0"/>
          <w:tab w:val="clear" w:pos="420"/>
        </w:tabs>
        <w:spacing w:line="360" w:lineRule="auto"/>
        <w:ind w:left="0" w:right="200" w:firstLine="540"/>
        <w:rPr>
          <w:sz w:val="24"/>
        </w:rPr>
      </w:pPr>
      <w:r>
        <w:rPr>
          <w:rFonts w:hint="eastAsia"/>
          <w:sz w:val="24"/>
        </w:rPr>
        <w:t>本条所述的“不可抗力”是指那些买卖双方在订立合同时无法控制、不可预见，并且通常情况下不可避免和克服的事件，包括但不限于：战争、严重火灾、水灾、台风、地震以及买卖双方同意成为不可抗力的其他事件。如果由于不可抗力致使本合同任何一方无法按时履行合同义务，则在受不可抗力影响的时间和范围内该方有权中止对其义务的履行。</w:t>
      </w:r>
    </w:p>
    <w:p>
      <w:pPr>
        <w:numPr>
          <w:ilvl w:val="0"/>
          <w:numId w:val="14"/>
        </w:numPr>
        <w:tabs>
          <w:tab w:val="left" w:pos="0"/>
          <w:tab w:val="clear" w:pos="420"/>
        </w:tabs>
        <w:spacing w:line="360" w:lineRule="auto"/>
        <w:ind w:left="0" w:right="200" w:firstLine="540"/>
        <w:rPr>
          <w:sz w:val="24"/>
        </w:rPr>
      </w:pPr>
      <w:r>
        <w:rPr>
          <w:rFonts w:hint="eastAsia"/>
          <w:sz w:val="24"/>
        </w:rPr>
        <w:t>发生不可抗力事件时，受不可抗力影响的一方应尽快以书面形式将不可抗力的情况和原因通知另一方。同时必须在不可抗力发生后10日内，以挂号信形式递交有关公证机关的证明。在任何情况下，如果不可抗力事件持续超过90日，则任何一方有权在向对方发出终止通知后终止本合同。</w:t>
      </w:r>
    </w:p>
    <w:p>
      <w:pPr>
        <w:numPr>
          <w:ilvl w:val="0"/>
          <w:numId w:val="8"/>
        </w:numPr>
        <w:tabs>
          <w:tab w:val="left" w:pos="420"/>
          <w:tab w:val="left" w:pos="720"/>
        </w:tabs>
        <w:spacing w:line="360" w:lineRule="auto"/>
        <w:ind w:left="840"/>
        <w:rPr>
          <w:b/>
          <w:sz w:val="24"/>
        </w:rPr>
      </w:pPr>
      <w:bookmarkStart w:id="26" w:name="_Toc185061991"/>
      <w:bookmarkStart w:id="27" w:name="_Toc195257067"/>
      <w:r>
        <w:rPr>
          <w:rFonts w:hint="eastAsia"/>
          <w:b/>
          <w:sz w:val="24"/>
        </w:rPr>
        <w:t>提前终止</w:t>
      </w:r>
      <w:bookmarkEnd w:id="26"/>
      <w:bookmarkEnd w:id="27"/>
    </w:p>
    <w:p>
      <w:pPr>
        <w:numPr>
          <w:ilvl w:val="0"/>
          <w:numId w:val="15"/>
        </w:numPr>
        <w:tabs>
          <w:tab w:val="left" w:pos="0"/>
          <w:tab w:val="clear" w:pos="420"/>
        </w:tabs>
        <w:spacing w:line="360" w:lineRule="auto"/>
        <w:ind w:left="0" w:right="200" w:firstLine="460" w:firstLineChars="192"/>
        <w:rPr>
          <w:sz w:val="24"/>
        </w:rPr>
      </w:pPr>
      <w:r>
        <w:rPr>
          <w:rFonts w:hint="eastAsia"/>
          <w:sz w:val="24"/>
        </w:rPr>
        <w:t>除本合同另有规定外，在发生以下情况时，甲方有权书面通知乙方后终止合同：</w:t>
      </w:r>
    </w:p>
    <w:p>
      <w:pPr>
        <w:numPr>
          <w:ilvl w:val="1"/>
          <w:numId w:val="16"/>
        </w:numPr>
        <w:spacing w:line="360" w:lineRule="auto"/>
        <w:ind w:right="200"/>
        <w:rPr>
          <w:sz w:val="24"/>
        </w:rPr>
      </w:pPr>
      <w:r>
        <w:rPr>
          <w:rFonts w:hint="eastAsia"/>
          <w:sz w:val="24"/>
        </w:rPr>
        <w:t>乙方未履行合同规定的任何实质义务并且在接到甲方通知后30天内或甲方同意的更长一段时间内仍不予补救或补救未成；</w:t>
      </w:r>
    </w:p>
    <w:p>
      <w:pPr>
        <w:numPr>
          <w:ilvl w:val="0"/>
          <w:numId w:val="15"/>
        </w:numPr>
        <w:tabs>
          <w:tab w:val="left" w:pos="0"/>
          <w:tab w:val="clear" w:pos="420"/>
        </w:tabs>
        <w:spacing w:line="360" w:lineRule="auto"/>
        <w:ind w:left="0" w:right="200" w:firstLine="460" w:firstLineChars="192"/>
        <w:rPr>
          <w:sz w:val="24"/>
        </w:rPr>
      </w:pPr>
      <w:r>
        <w:rPr>
          <w:rFonts w:hint="eastAsia"/>
          <w:sz w:val="24"/>
        </w:rPr>
        <w:t>如果甲方根据第十一条第一款规定终止了合同，则甲方有权选择采取以下任一一种或几种措施：</w:t>
      </w:r>
    </w:p>
    <w:p>
      <w:pPr>
        <w:numPr>
          <w:ilvl w:val="1"/>
          <w:numId w:val="17"/>
        </w:numPr>
        <w:spacing w:line="360" w:lineRule="auto"/>
        <w:ind w:right="200"/>
        <w:rPr>
          <w:sz w:val="24"/>
        </w:rPr>
      </w:pPr>
      <w:r>
        <w:rPr>
          <w:rFonts w:hint="eastAsia"/>
          <w:sz w:val="24"/>
        </w:rPr>
        <w:t xml:space="preserve">要求乙方退还已支付的合同价款，并有权要求乙方支付因该终止给甲方造成的所有损失； </w:t>
      </w:r>
    </w:p>
    <w:p>
      <w:pPr>
        <w:numPr>
          <w:ilvl w:val="1"/>
          <w:numId w:val="17"/>
        </w:numPr>
        <w:spacing w:line="360" w:lineRule="auto"/>
        <w:ind w:right="200"/>
        <w:rPr>
          <w:sz w:val="24"/>
        </w:rPr>
      </w:pPr>
      <w:r>
        <w:rPr>
          <w:rFonts w:hint="eastAsia"/>
          <w:sz w:val="24"/>
        </w:rPr>
        <w:t>委托第三方完成乙方未履行的合同义务，由此而发生的所有费用由乙方承担。</w:t>
      </w:r>
    </w:p>
    <w:p>
      <w:pPr>
        <w:numPr>
          <w:ilvl w:val="0"/>
          <w:numId w:val="15"/>
        </w:numPr>
        <w:tabs>
          <w:tab w:val="left" w:pos="0"/>
          <w:tab w:val="clear" w:pos="420"/>
        </w:tabs>
        <w:spacing w:line="360" w:lineRule="auto"/>
        <w:ind w:left="0" w:right="200" w:firstLine="460" w:firstLineChars="192"/>
        <w:rPr>
          <w:sz w:val="24"/>
        </w:rPr>
      </w:pPr>
      <w:r>
        <w:rPr>
          <w:rFonts w:hint="eastAsia"/>
          <w:sz w:val="24"/>
        </w:rPr>
        <w:t>发生以下情况时，任何一方有权在书面通知另一方后终止合同：</w:t>
      </w:r>
    </w:p>
    <w:p>
      <w:pPr>
        <w:numPr>
          <w:ilvl w:val="1"/>
          <w:numId w:val="18"/>
        </w:numPr>
        <w:spacing w:line="360" w:lineRule="auto"/>
        <w:ind w:right="200"/>
        <w:rPr>
          <w:sz w:val="24"/>
        </w:rPr>
      </w:pPr>
      <w:r>
        <w:rPr>
          <w:rFonts w:hint="eastAsia"/>
          <w:sz w:val="24"/>
        </w:rPr>
        <w:t>一方破产或无清偿能力（为免疑义，此处指的是一方破产或无清偿能力，相对方有权在书面通知对方后终止合同）；</w:t>
      </w:r>
    </w:p>
    <w:p>
      <w:pPr>
        <w:numPr>
          <w:ilvl w:val="1"/>
          <w:numId w:val="18"/>
        </w:numPr>
        <w:spacing w:line="360" w:lineRule="auto"/>
        <w:ind w:right="200"/>
        <w:rPr>
          <w:b/>
          <w:color w:val="FF0000"/>
          <w:sz w:val="24"/>
        </w:rPr>
      </w:pPr>
      <w:r>
        <w:rPr>
          <w:rFonts w:hint="eastAsia"/>
          <w:sz w:val="24"/>
        </w:rPr>
        <w:t>不可抗力事件阻碍任何一方履行其合同义务持续超过90天。</w:t>
      </w:r>
    </w:p>
    <w:p>
      <w:pPr>
        <w:spacing w:line="360" w:lineRule="auto"/>
        <w:ind w:left="426" w:right="200" w:firstLine="295"/>
        <w:rPr>
          <w:sz w:val="24"/>
        </w:rPr>
      </w:pPr>
      <w:r>
        <w:rPr>
          <w:rFonts w:hint="eastAsia"/>
          <w:sz w:val="24"/>
        </w:rPr>
        <w:t>因本条而终止时，乙方仅有权就其在终止之前已履行的服务获得付款。如甲方已支付的合同款项超过乙方就已实际履行的服务应获得的价款，乙方应当就超过部分予以退还。</w:t>
      </w:r>
    </w:p>
    <w:p>
      <w:pPr>
        <w:numPr>
          <w:ilvl w:val="0"/>
          <w:numId w:val="15"/>
        </w:numPr>
        <w:tabs>
          <w:tab w:val="left" w:pos="0"/>
          <w:tab w:val="clear" w:pos="420"/>
        </w:tabs>
        <w:spacing w:line="360" w:lineRule="auto"/>
        <w:ind w:left="0" w:right="200" w:firstLine="460" w:firstLineChars="192"/>
        <w:rPr>
          <w:sz w:val="24"/>
        </w:rPr>
      </w:pPr>
      <w:r>
        <w:rPr>
          <w:rFonts w:hint="eastAsia"/>
          <w:sz w:val="24"/>
        </w:rPr>
        <w:t>不论本合同因何种原因而终止均不免除任何一方根据合同规定在终止后仍应履行的其他义务。</w:t>
      </w:r>
    </w:p>
    <w:p>
      <w:pPr>
        <w:numPr>
          <w:ilvl w:val="0"/>
          <w:numId w:val="15"/>
        </w:numPr>
        <w:tabs>
          <w:tab w:val="left" w:pos="0"/>
          <w:tab w:val="clear" w:pos="420"/>
        </w:tabs>
        <w:spacing w:line="360" w:lineRule="auto"/>
        <w:ind w:left="0" w:right="200" w:firstLine="460" w:firstLineChars="192"/>
        <w:rPr>
          <w:sz w:val="24"/>
        </w:rPr>
      </w:pPr>
      <w:r>
        <w:rPr>
          <w:rFonts w:hint="eastAsia"/>
          <w:sz w:val="24"/>
        </w:rPr>
        <w:t>无论本合同因何种原因终止，乙方</w:t>
      </w:r>
      <w:r>
        <w:rPr>
          <w:rFonts w:hint="eastAsia"/>
          <w:sz w:val="24"/>
          <w:lang w:eastAsia="zh-CN"/>
        </w:rPr>
        <w:t>应</w:t>
      </w:r>
      <w:r>
        <w:rPr>
          <w:rFonts w:hint="eastAsia"/>
          <w:sz w:val="24"/>
        </w:rPr>
        <w:t>始终履行保密义务</w:t>
      </w:r>
      <w:r>
        <w:rPr>
          <w:rFonts w:hint="eastAsia"/>
          <w:sz w:val="24"/>
          <w:lang w:eastAsia="zh-CN"/>
        </w:rPr>
        <w:t>。</w:t>
      </w:r>
    </w:p>
    <w:p>
      <w:pPr>
        <w:numPr>
          <w:ilvl w:val="0"/>
          <w:numId w:val="8"/>
        </w:numPr>
        <w:tabs>
          <w:tab w:val="left" w:pos="420"/>
          <w:tab w:val="left" w:pos="720"/>
        </w:tabs>
        <w:spacing w:line="360" w:lineRule="auto"/>
        <w:ind w:left="840"/>
        <w:rPr>
          <w:b/>
          <w:sz w:val="24"/>
        </w:rPr>
      </w:pPr>
      <w:r>
        <w:rPr>
          <w:rFonts w:hint="eastAsia"/>
          <w:b/>
          <w:sz w:val="24"/>
        </w:rPr>
        <w:t>违约责任</w:t>
      </w:r>
    </w:p>
    <w:p>
      <w:pPr>
        <w:spacing w:line="360" w:lineRule="auto"/>
        <w:ind w:left="780" w:right="200" w:firstLine="240" w:firstLineChars="100"/>
        <w:rPr>
          <w:rFonts w:ascii="宋体" w:hAnsi="宋体"/>
          <w:sz w:val="24"/>
        </w:rPr>
      </w:pPr>
      <w:r>
        <w:rPr>
          <w:rFonts w:hint="eastAsia" w:ascii="宋体" w:hAnsi="宋体"/>
          <w:sz w:val="24"/>
        </w:rPr>
        <w:t>双方确定，按以下约定承担各自的违约责任：</w:t>
      </w:r>
    </w:p>
    <w:p>
      <w:pPr>
        <w:spacing w:line="360" w:lineRule="auto"/>
        <w:ind w:left="426" w:right="200" w:firstLine="295"/>
        <w:rPr>
          <w:sz w:val="24"/>
        </w:rPr>
      </w:pPr>
      <w:r>
        <w:rPr>
          <w:rFonts w:hint="eastAsia"/>
          <w:sz w:val="24"/>
        </w:rPr>
        <w:t xml:space="preserve">  乙方违反本合同第一条约定，乙方向甲方按合同总价的</w:t>
      </w:r>
      <w:r>
        <w:rPr>
          <w:sz w:val="24"/>
        </w:rPr>
        <w:t>10</w:t>
      </w:r>
      <w:r>
        <w:rPr>
          <w:rFonts w:hint="eastAsia"/>
          <w:sz w:val="24"/>
        </w:rPr>
        <w:t>％支付违约金。针对乙方延期完成合同约定的义务的，可以约定每逾期一日，乙方应当承担0.1%违约金，上述违约金总额最多不超过合同总价的10%；针对服务质量问题，甲方可以选择扣减合同价款，合同价款不足赔偿甲方的部分甲方有权继续向乙方追偿，并视违约程度选择解除、终止合同；针对其他违约行为，甲方可以要求乙方赔偿甲方损失，并视违约程度选择解除、终止合同。</w:t>
      </w:r>
    </w:p>
    <w:p>
      <w:pPr>
        <w:spacing w:line="360" w:lineRule="auto"/>
        <w:ind w:left="426" w:right="200" w:firstLine="295"/>
        <w:rPr>
          <w:sz w:val="24"/>
        </w:rPr>
      </w:pPr>
      <w:r>
        <w:rPr>
          <w:rFonts w:hint="eastAsia"/>
          <w:sz w:val="24"/>
        </w:rPr>
        <w:t xml:space="preserve">  甲方违反本合同第八条约定，应当每延迟一天，甲方自逾期之日起向乙方按应付未付金额的0.</w:t>
      </w:r>
      <w:r>
        <w:rPr>
          <w:rFonts w:hint="eastAsia"/>
          <w:sz w:val="24"/>
          <w:lang w:val="en-US" w:eastAsia="zh-CN"/>
        </w:rPr>
        <w:t>01</w:t>
      </w:r>
      <w:r>
        <w:rPr>
          <w:rFonts w:hint="eastAsia"/>
          <w:sz w:val="24"/>
        </w:rPr>
        <w:t>％支付违约金，上述违约金总额最多不超过合同总价的10%。</w:t>
      </w:r>
    </w:p>
    <w:p>
      <w:pPr>
        <w:numPr>
          <w:ilvl w:val="0"/>
          <w:numId w:val="8"/>
        </w:numPr>
        <w:tabs>
          <w:tab w:val="left" w:pos="420"/>
          <w:tab w:val="left" w:pos="720"/>
        </w:tabs>
        <w:spacing w:line="360" w:lineRule="auto"/>
        <w:ind w:left="840"/>
        <w:rPr>
          <w:b/>
          <w:sz w:val="24"/>
        </w:rPr>
      </w:pPr>
      <w:bookmarkStart w:id="28" w:name="_Toc185061993"/>
      <w:bookmarkStart w:id="29" w:name="_Toc195257069"/>
      <w:r>
        <w:rPr>
          <w:rFonts w:hint="eastAsia"/>
          <w:b/>
          <w:sz w:val="24"/>
        </w:rPr>
        <w:t>合同文件的处理</w:t>
      </w:r>
      <w:bookmarkEnd w:id="28"/>
      <w:bookmarkEnd w:id="29"/>
    </w:p>
    <w:p>
      <w:pPr>
        <w:numPr>
          <w:ilvl w:val="0"/>
          <w:numId w:val="19"/>
        </w:numPr>
        <w:tabs>
          <w:tab w:val="left" w:pos="0"/>
          <w:tab w:val="clear" w:pos="420"/>
        </w:tabs>
        <w:spacing w:line="360" w:lineRule="auto"/>
        <w:ind w:left="0" w:right="200" w:firstLine="540"/>
        <w:rPr>
          <w:sz w:val="24"/>
        </w:rPr>
      </w:pPr>
      <w:r>
        <w:rPr>
          <w:rFonts w:hint="eastAsia"/>
          <w:sz w:val="24"/>
        </w:rPr>
        <w:t>任何一方不得将本合同、合同的有关条款或在履行本合同过程中所获得</w:t>
      </w:r>
      <w:r>
        <w:rPr>
          <w:sz w:val="24"/>
        </w:rPr>
        <w:t>的</w:t>
      </w:r>
      <w:r>
        <w:rPr>
          <w:rFonts w:hint="eastAsia"/>
          <w:sz w:val="24"/>
        </w:rPr>
        <w:t>其他有关信息透露给与本合同无关的第三方。</w:t>
      </w:r>
    </w:p>
    <w:p>
      <w:pPr>
        <w:numPr>
          <w:ilvl w:val="0"/>
          <w:numId w:val="19"/>
        </w:numPr>
        <w:tabs>
          <w:tab w:val="left" w:pos="0"/>
          <w:tab w:val="clear" w:pos="420"/>
        </w:tabs>
        <w:spacing w:line="360" w:lineRule="auto"/>
        <w:ind w:left="0" w:right="200" w:firstLine="540"/>
        <w:rPr>
          <w:sz w:val="24"/>
        </w:rPr>
      </w:pPr>
      <w:r>
        <w:rPr>
          <w:rFonts w:hint="eastAsia"/>
          <w:sz w:val="24"/>
        </w:rPr>
        <w:t>未经甲方事先同意，除非为履行本合同所用，乙方不得将在合同中涉及的信息、资料用作其他目的。</w:t>
      </w:r>
    </w:p>
    <w:p>
      <w:pPr>
        <w:numPr>
          <w:ilvl w:val="0"/>
          <w:numId w:val="8"/>
        </w:numPr>
        <w:tabs>
          <w:tab w:val="left" w:pos="420"/>
          <w:tab w:val="left" w:pos="720"/>
        </w:tabs>
        <w:spacing w:line="360" w:lineRule="auto"/>
        <w:ind w:left="840"/>
        <w:rPr>
          <w:b/>
          <w:sz w:val="24"/>
        </w:rPr>
      </w:pPr>
      <w:bookmarkStart w:id="30" w:name="_Toc185061994"/>
      <w:bookmarkStart w:id="31" w:name="_Toc195257070"/>
      <w:r>
        <w:rPr>
          <w:rFonts w:hint="eastAsia"/>
          <w:b/>
          <w:sz w:val="24"/>
        </w:rPr>
        <w:t>争议解决</w:t>
      </w:r>
      <w:bookmarkEnd w:id="30"/>
      <w:bookmarkEnd w:id="31"/>
    </w:p>
    <w:p>
      <w:pPr>
        <w:numPr>
          <w:ilvl w:val="0"/>
          <w:numId w:val="20"/>
        </w:numPr>
        <w:tabs>
          <w:tab w:val="left" w:pos="0"/>
          <w:tab w:val="clear" w:pos="420"/>
        </w:tabs>
        <w:spacing w:line="360" w:lineRule="auto"/>
        <w:ind w:left="0" w:right="200" w:firstLine="540"/>
        <w:rPr>
          <w:sz w:val="24"/>
        </w:rPr>
      </w:pPr>
      <w:r>
        <w:rPr>
          <w:rFonts w:hint="eastAsia"/>
          <w:sz w:val="24"/>
        </w:rPr>
        <w:t>与本合同有关的或在因本合同引起的一切争议应首先由双方通过友好协商解决。双方未能就争议问题达成协议，则任何一方可将争议向甲方所在地有管辖权的人民法院提起诉讼解决。</w:t>
      </w:r>
    </w:p>
    <w:p>
      <w:pPr>
        <w:numPr>
          <w:ilvl w:val="0"/>
          <w:numId w:val="20"/>
        </w:numPr>
        <w:tabs>
          <w:tab w:val="left" w:pos="0"/>
          <w:tab w:val="clear" w:pos="420"/>
        </w:tabs>
        <w:spacing w:line="360" w:lineRule="auto"/>
        <w:ind w:left="0" w:right="200" w:firstLine="540"/>
        <w:rPr>
          <w:sz w:val="24"/>
        </w:rPr>
      </w:pPr>
      <w:r>
        <w:rPr>
          <w:rFonts w:hint="eastAsia"/>
          <w:sz w:val="24"/>
        </w:rPr>
        <w:t>在争议解决期间，除争议事项外，双方应继续履行本合同下的义务。</w:t>
      </w:r>
    </w:p>
    <w:p>
      <w:pPr>
        <w:numPr>
          <w:ilvl w:val="0"/>
          <w:numId w:val="8"/>
        </w:numPr>
        <w:tabs>
          <w:tab w:val="left" w:pos="420"/>
          <w:tab w:val="left" w:pos="720"/>
        </w:tabs>
        <w:spacing w:line="360" w:lineRule="auto"/>
        <w:ind w:left="840"/>
        <w:rPr>
          <w:b/>
          <w:sz w:val="24"/>
        </w:rPr>
      </w:pPr>
      <w:bookmarkStart w:id="32" w:name="_Toc185061995"/>
      <w:bookmarkStart w:id="33" w:name="_Toc195257071"/>
      <w:r>
        <w:rPr>
          <w:rFonts w:hint="eastAsia"/>
          <w:b/>
          <w:sz w:val="24"/>
        </w:rPr>
        <w:t>其他</w:t>
      </w:r>
      <w:bookmarkEnd w:id="32"/>
      <w:bookmarkEnd w:id="33"/>
    </w:p>
    <w:p>
      <w:pPr>
        <w:numPr>
          <w:ilvl w:val="0"/>
          <w:numId w:val="21"/>
        </w:numPr>
        <w:tabs>
          <w:tab w:val="left" w:pos="0"/>
          <w:tab w:val="clear" w:pos="420"/>
        </w:tabs>
        <w:spacing w:line="360" w:lineRule="auto"/>
        <w:ind w:left="0" w:right="200" w:firstLine="460" w:firstLineChars="192"/>
        <w:rPr>
          <w:b/>
          <w:sz w:val="24"/>
        </w:rPr>
      </w:pPr>
      <w:r>
        <w:rPr>
          <w:rFonts w:hint="eastAsia"/>
          <w:sz w:val="24"/>
        </w:rPr>
        <w:t>除根据合同或法律的规定提前终止以外，本合同有效期为自合同生效日起两年内。</w:t>
      </w:r>
    </w:p>
    <w:p>
      <w:pPr>
        <w:numPr>
          <w:ilvl w:val="0"/>
          <w:numId w:val="21"/>
        </w:numPr>
        <w:tabs>
          <w:tab w:val="left" w:pos="0"/>
          <w:tab w:val="clear" w:pos="420"/>
        </w:tabs>
        <w:spacing w:line="360" w:lineRule="auto"/>
        <w:ind w:left="0" w:right="200" w:firstLine="460" w:firstLineChars="192"/>
        <w:rPr>
          <w:sz w:val="24"/>
        </w:rPr>
      </w:pPr>
      <w:r>
        <w:rPr>
          <w:rFonts w:hint="eastAsia"/>
          <w:sz w:val="24"/>
        </w:rPr>
        <w:t>合同未经双方同意不作修改，任何对合同条款的变更或修改均须以双方签订书面修改的形式进行。</w:t>
      </w:r>
    </w:p>
    <w:p>
      <w:pPr>
        <w:numPr>
          <w:ilvl w:val="0"/>
          <w:numId w:val="21"/>
        </w:numPr>
        <w:tabs>
          <w:tab w:val="left" w:pos="0"/>
          <w:tab w:val="clear" w:pos="420"/>
        </w:tabs>
        <w:spacing w:line="360" w:lineRule="auto"/>
        <w:ind w:left="0" w:right="200" w:firstLine="460" w:firstLineChars="192"/>
        <w:rPr>
          <w:sz w:val="24"/>
        </w:rPr>
      </w:pPr>
      <w:r>
        <w:rPr>
          <w:rFonts w:hint="eastAsia"/>
          <w:sz w:val="24"/>
        </w:rPr>
        <w:t>本合同受中国法律管辖并依其进行解释。</w:t>
      </w:r>
    </w:p>
    <w:p>
      <w:pPr>
        <w:numPr>
          <w:ilvl w:val="0"/>
          <w:numId w:val="21"/>
        </w:numPr>
        <w:tabs>
          <w:tab w:val="left" w:pos="0"/>
          <w:tab w:val="clear" w:pos="420"/>
        </w:tabs>
        <w:spacing w:line="360" w:lineRule="auto"/>
        <w:ind w:left="0" w:right="200" w:firstLine="460" w:firstLineChars="192"/>
        <w:rPr>
          <w:sz w:val="24"/>
        </w:rPr>
      </w:pPr>
      <w:r>
        <w:rPr>
          <w:rFonts w:hint="eastAsia"/>
          <w:sz w:val="24"/>
        </w:rPr>
        <w:t>未经对方同意，任何一方均不得将其在本合同下的权利和义务全部或部分转让给其他第三方。</w:t>
      </w:r>
    </w:p>
    <w:p>
      <w:pPr>
        <w:numPr>
          <w:ilvl w:val="0"/>
          <w:numId w:val="21"/>
        </w:numPr>
        <w:tabs>
          <w:tab w:val="left" w:pos="0"/>
          <w:tab w:val="clear" w:pos="420"/>
        </w:tabs>
        <w:spacing w:line="360" w:lineRule="auto"/>
        <w:ind w:left="0" w:right="200" w:firstLine="460" w:firstLineChars="192"/>
        <w:rPr>
          <w:sz w:val="24"/>
        </w:rPr>
      </w:pPr>
      <w:r>
        <w:rPr>
          <w:rFonts w:hint="eastAsia"/>
          <w:sz w:val="24"/>
        </w:rPr>
        <w:t>任何一方向对方提出的函电通知或要求，在取得对方人员和/或通讯设施接收确认后，即被认为已经被对方正式接受。</w:t>
      </w:r>
    </w:p>
    <w:p>
      <w:pPr>
        <w:numPr>
          <w:ilvl w:val="0"/>
          <w:numId w:val="21"/>
        </w:numPr>
        <w:tabs>
          <w:tab w:val="left" w:pos="0"/>
          <w:tab w:val="clear" w:pos="420"/>
        </w:tabs>
        <w:spacing w:line="360" w:lineRule="auto"/>
        <w:ind w:left="0" w:right="200" w:firstLine="460" w:firstLineChars="192"/>
        <w:rPr>
          <w:sz w:val="24"/>
        </w:rPr>
      </w:pPr>
      <w:r>
        <w:rPr>
          <w:rFonts w:hint="eastAsia" w:ascii="宋体" w:hAnsi="宋体" w:cs="宋体"/>
          <w:kern w:val="0"/>
          <w:sz w:val="24"/>
        </w:rPr>
        <w:t>招标文件、投标文件及评标过程中形成的文字资料、询标纪要均作为本合同的组成部分，具有同等效力。</w:t>
      </w:r>
    </w:p>
    <w:p>
      <w:pPr>
        <w:numPr>
          <w:ilvl w:val="0"/>
          <w:numId w:val="21"/>
        </w:numPr>
        <w:tabs>
          <w:tab w:val="left" w:pos="0"/>
          <w:tab w:val="clear" w:pos="420"/>
        </w:tabs>
        <w:spacing w:line="360" w:lineRule="auto"/>
        <w:ind w:left="0" w:right="200" w:firstLine="460" w:firstLineChars="192"/>
        <w:rPr>
          <w:sz w:val="24"/>
        </w:rPr>
      </w:pPr>
      <w:r>
        <w:rPr>
          <w:rFonts w:hint="eastAsia"/>
          <w:sz w:val="24"/>
        </w:rPr>
        <w:t>本合同的附件是本合同不可分割的一部分，具有与合同同等的法律效力。如果附件与合同条款有冲突，则应以合同条款为准。</w:t>
      </w:r>
    </w:p>
    <w:p>
      <w:pPr>
        <w:numPr>
          <w:ilvl w:val="0"/>
          <w:numId w:val="21"/>
        </w:numPr>
        <w:tabs>
          <w:tab w:val="left" w:pos="0"/>
          <w:tab w:val="clear" w:pos="420"/>
        </w:tabs>
        <w:spacing w:line="360" w:lineRule="auto"/>
        <w:ind w:left="0" w:right="200" w:firstLine="460" w:firstLineChars="192"/>
        <w:rPr>
          <w:sz w:val="24"/>
        </w:rPr>
      </w:pPr>
      <w:r>
        <w:rPr>
          <w:rFonts w:hint="eastAsia"/>
          <w:sz w:val="24"/>
        </w:rPr>
        <w:t>本合同经双方签字、盖章后生效：</w:t>
      </w:r>
    </w:p>
    <w:p>
      <w:pPr>
        <w:numPr>
          <w:ilvl w:val="0"/>
          <w:numId w:val="21"/>
        </w:numPr>
        <w:tabs>
          <w:tab w:val="left" w:pos="0"/>
          <w:tab w:val="clear" w:pos="420"/>
        </w:tabs>
        <w:spacing w:line="360" w:lineRule="auto"/>
        <w:ind w:left="0" w:right="200" w:firstLine="460" w:firstLineChars="192"/>
        <w:rPr>
          <w:sz w:val="24"/>
        </w:rPr>
      </w:pPr>
      <w:r>
        <w:rPr>
          <w:rFonts w:hint="eastAsia"/>
          <w:sz w:val="24"/>
        </w:rPr>
        <w:t>本合同正本一式肆份，双方各执贰份，具有同等的法律效力。</w:t>
      </w:r>
    </w:p>
    <w:p>
      <w:pPr>
        <w:tabs>
          <w:tab w:val="left" w:pos="0"/>
        </w:tabs>
        <w:spacing w:line="360" w:lineRule="auto"/>
        <w:ind w:right="200"/>
        <w:rPr>
          <w:sz w:val="24"/>
        </w:rPr>
      </w:pPr>
    </w:p>
    <w:p>
      <w:pPr>
        <w:tabs>
          <w:tab w:val="left" w:pos="0"/>
        </w:tabs>
        <w:spacing w:line="360" w:lineRule="auto"/>
        <w:ind w:right="200"/>
        <w:rPr>
          <w:sz w:val="24"/>
        </w:rPr>
      </w:pPr>
    </w:p>
    <w:p>
      <w:pPr>
        <w:tabs>
          <w:tab w:val="left" w:pos="0"/>
        </w:tabs>
        <w:spacing w:line="360" w:lineRule="auto"/>
        <w:ind w:right="200"/>
        <w:rPr>
          <w:sz w:val="24"/>
        </w:rPr>
      </w:pPr>
      <w:r>
        <w:rPr>
          <w:rFonts w:hint="eastAsia"/>
          <w:sz w:val="24"/>
        </w:rPr>
        <w:t>甲方（盖章）：                             乙方（盖章）：</w:t>
      </w:r>
    </w:p>
    <w:p>
      <w:pPr>
        <w:tabs>
          <w:tab w:val="left" w:pos="0"/>
        </w:tabs>
        <w:spacing w:line="360" w:lineRule="auto"/>
        <w:ind w:right="200"/>
        <w:rPr>
          <w:sz w:val="24"/>
        </w:rPr>
      </w:pPr>
    </w:p>
    <w:p>
      <w:pPr>
        <w:rPr>
          <w:sz w:val="24"/>
        </w:rPr>
      </w:pPr>
      <w:r>
        <w:rPr>
          <w:rFonts w:hint="eastAsia"/>
          <w:sz w:val="24"/>
        </w:rPr>
        <w:t>授权代表（签字）：                          授权代表（签字）：</w:t>
      </w:r>
    </w:p>
    <w:p>
      <w:pPr>
        <w:rPr>
          <w:sz w:val="24"/>
        </w:rPr>
      </w:pPr>
    </w:p>
    <w:p>
      <w:pPr>
        <w:rPr>
          <w:rFonts w:hAnsi="宋体" w:cs="宋体"/>
          <w:b/>
          <w:color w:val="000000"/>
          <w:sz w:val="32"/>
          <w:szCs w:val="32"/>
        </w:rPr>
      </w:pPr>
      <w:r>
        <w:rPr>
          <w:rFonts w:hint="eastAsia"/>
          <w:sz w:val="24"/>
        </w:rPr>
        <w:t>日期：                                     日期：</w:t>
      </w:r>
    </w:p>
    <w:p>
      <w:pPr>
        <w:jc w:val="center"/>
        <w:outlineLvl w:val="0"/>
        <w:rPr>
          <w:rFonts w:ascii="宋体" w:hAnsi="宋体"/>
          <w:b/>
          <w:sz w:val="32"/>
          <w:szCs w:val="32"/>
        </w:rPr>
      </w:pPr>
      <w:r>
        <w:rPr>
          <w:rFonts w:hint="eastAsia" w:ascii="宋体" w:hAnsi="宋体"/>
          <w:b/>
          <w:sz w:val="32"/>
          <w:szCs w:val="32"/>
        </w:rPr>
        <w:t>合同附件一 保密协议</w:t>
      </w:r>
    </w:p>
    <w:p>
      <w:pPr>
        <w:jc w:val="center"/>
        <w:outlineLvl w:val="0"/>
        <w:rPr>
          <w:rFonts w:ascii="华文细黑" w:hAnsi="华文细黑" w:eastAsia="华文细黑"/>
          <w:b/>
          <w:sz w:val="32"/>
        </w:rPr>
      </w:pPr>
    </w:p>
    <w:p>
      <w:pPr>
        <w:spacing w:line="480" w:lineRule="auto"/>
        <w:rPr>
          <w:rFonts w:ascii="宋体" w:hAnsi="宋体" w:eastAsia="宋体" w:cs="宋体"/>
          <w:sz w:val="24"/>
        </w:rPr>
      </w:pPr>
      <w:r>
        <w:rPr>
          <w:rFonts w:hint="eastAsia" w:ascii="宋体" w:hAnsi="宋体" w:eastAsia="宋体" w:cs="宋体"/>
          <w:sz w:val="24"/>
        </w:rPr>
        <w:t xml:space="preserve">甲方： </w:t>
      </w:r>
    </w:p>
    <w:p>
      <w:pPr>
        <w:spacing w:line="480" w:lineRule="auto"/>
        <w:rPr>
          <w:rFonts w:ascii="宋体" w:hAnsi="宋体" w:eastAsia="宋体" w:cs="宋体"/>
          <w:sz w:val="24"/>
        </w:rPr>
      </w:pPr>
      <w:r>
        <w:rPr>
          <w:rFonts w:hint="eastAsia" w:ascii="宋体" w:hAnsi="宋体" w:eastAsia="宋体" w:cs="宋体"/>
          <w:sz w:val="24"/>
        </w:rPr>
        <w:t>乙方：               　　　　　　　　　　　　　　</w:t>
      </w:r>
    </w:p>
    <w:p>
      <w:pPr>
        <w:spacing w:line="360" w:lineRule="auto"/>
        <w:rPr>
          <w:rFonts w:ascii="宋体" w:hAnsi="宋体" w:eastAsia="宋体" w:cs="宋体"/>
          <w:sz w:val="24"/>
        </w:rPr>
      </w:pPr>
    </w:p>
    <w:p>
      <w:pPr>
        <w:pStyle w:val="109"/>
        <w:ind w:left="0" w:leftChars="0" w:firstLine="420" w:firstLineChars="0"/>
        <w:rPr>
          <w:rFonts w:ascii="Arial" w:hAnsi="宋体"/>
          <w:kern w:val="0"/>
        </w:rPr>
      </w:pPr>
      <w:r>
        <w:rPr>
          <w:rFonts w:hint="eastAsia" w:ascii="Arial" w:hAnsi="宋体"/>
          <w:kern w:val="0"/>
        </w:rPr>
        <w:t>鉴于乙方为甲方提供的：</w:t>
      </w:r>
      <w:r>
        <w:rPr>
          <w:rFonts w:hint="eastAsia" w:ascii="Arial" w:hAnsi="宋体"/>
          <w:kern w:val="0"/>
          <w:u w:val="single"/>
          <w:lang w:val="en-US" w:eastAsia="zh-CN"/>
        </w:rPr>
        <w:t>自然资源和规划信息系统安全等保测评项目</w:t>
      </w:r>
      <w:r>
        <w:rPr>
          <w:rFonts w:hint="eastAsia" w:ascii="Arial" w:hAnsi="宋体"/>
          <w:kern w:val="0"/>
        </w:rPr>
        <w:t>（以下简称</w:t>
      </w:r>
      <w:r>
        <w:rPr>
          <w:rFonts w:hint="cs" w:ascii="Arial" w:hAnsi="宋体"/>
          <w:kern w:val="0"/>
          <w:cs/>
        </w:rPr>
        <w:t>“</w:t>
      </w:r>
      <w:r>
        <w:rPr>
          <w:rFonts w:hint="eastAsia" w:ascii="Arial" w:hAnsi="宋体"/>
          <w:kern w:val="0"/>
        </w:rPr>
        <w:t>本项目</w:t>
      </w:r>
      <w:r>
        <w:rPr>
          <w:rFonts w:hint="cs" w:ascii="Arial" w:hAnsi="宋体"/>
          <w:kern w:val="0"/>
          <w:cs/>
        </w:rPr>
        <w:t>”</w:t>
      </w:r>
      <w:r>
        <w:rPr>
          <w:rFonts w:hint="eastAsia" w:ascii="Arial" w:hAnsi="宋体"/>
          <w:kern w:val="0"/>
        </w:rPr>
        <w:t>）工作过程中，乙方能够接触或从甲方处获得资料、文档和相关业务数据等保密信息，可以访问相关软、硬件平台环境。为确保对甲方的业务应用系统、信息系统设备及软、硬件平台环境进行有效保护，保障各类信息安全，经双方协商，达成本协议。</w:t>
      </w:r>
    </w:p>
    <w:p>
      <w:pPr>
        <w:spacing w:line="480" w:lineRule="auto"/>
        <w:ind w:firstLine="480" w:firstLineChars="200"/>
        <w:rPr>
          <w:rFonts w:ascii="宋体" w:hAnsi="宋体"/>
          <w:sz w:val="24"/>
        </w:rPr>
      </w:pPr>
      <w:r>
        <w:rPr>
          <w:rFonts w:hint="eastAsia" w:ascii="宋体" w:hAnsi="宋体"/>
          <w:sz w:val="24"/>
        </w:rPr>
        <w:t>一、本协议所指保密信息</w:t>
      </w:r>
    </w:p>
    <w:p>
      <w:pPr>
        <w:pStyle w:val="109"/>
        <w:ind w:left="0" w:leftChars="0" w:firstLine="420" w:firstLineChars="0"/>
        <w:rPr>
          <w:rFonts w:ascii="Arial" w:hAnsi="宋体"/>
          <w:kern w:val="0"/>
        </w:rPr>
      </w:pPr>
      <w:r>
        <w:rPr>
          <w:rFonts w:hint="eastAsia" w:ascii="Arial" w:hAnsi="宋体"/>
          <w:kern w:val="0"/>
        </w:rPr>
        <w:t>在乙方为甲方提供服务过程中，由于工作需要从甲方获得或接触到的业务数据、连接方式及登录信息、工作过程中产生的各类具有保密要求的资料文档、以及工作过程中了解到的甲方单位工作信息等，无论以何种形式或载于何种载体，无论在披露时是否以口头、图像或以书面方式，均属于保密信息范围。</w:t>
      </w:r>
    </w:p>
    <w:p>
      <w:pPr>
        <w:spacing w:line="480" w:lineRule="auto"/>
        <w:ind w:firstLine="480" w:firstLineChars="200"/>
        <w:rPr>
          <w:rFonts w:ascii="宋体" w:hAnsi="宋体"/>
          <w:sz w:val="24"/>
        </w:rPr>
      </w:pPr>
      <w:r>
        <w:rPr>
          <w:rFonts w:hint="eastAsia" w:ascii="宋体" w:hAnsi="宋体"/>
          <w:sz w:val="24"/>
        </w:rPr>
        <w:t>二、双方权利与义务</w:t>
      </w:r>
    </w:p>
    <w:p>
      <w:pPr>
        <w:spacing w:line="360" w:lineRule="auto"/>
        <w:ind w:firstLine="480" w:firstLineChars="200"/>
        <w:rPr>
          <w:rFonts w:ascii="Arial" w:hAnsi="宋体"/>
          <w:kern w:val="0"/>
          <w:sz w:val="24"/>
        </w:rPr>
      </w:pPr>
      <w:r>
        <w:rPr>
          <w:rFonts w:hint="eastAsia" w:ascii="Arial" w:hAnsi="宋体"/>
          <w:kern w:val="0"/>
          <w:sz w:val="24"/>
        </w:rPr>
        <w:t>1、乙方保证保密信息仅用于与所参与本项目工作有关的用途或目的。</w:t>
      </w:r>
    </w:p>
    <w:p>
      <w:pPr>
        <w:spacing w:line="360" w:lineRule="auto"/>
        <w:ind w:firstLine="480" w:firstLineChars="200"/>
        <w:rPr>
          <w:rFonts w:ascii="Arial" w:hAnsi="宋体"/>
          <w:kern w:val="0"/>
          <w:sz w:val="24"/>
        </w:rPr>
      </w:pPr>
      <w:r>
        <w:rPr>
          <w:rFonts w:hint="eastAsia" w:ascii="Arial" w:hAnsi="宋体"/>
          <w:kern w:val="0"/>
          <w:sz w:val="24"/>
        </w:rPr>
        <w:t>2、乙方保证对甲方所提供的保密信息按本协议约定予以保密，并采取适用且完善的保护措施和审慎程度进行保密。如由于乙方保管不当或对员工教育不力而导致保密信息流失、泄露，造成的一切后果由乙方承担。</w:t>
      </w:r>
    </w:p>
    <w:p>
      <w:pPr>
        <w:spacing w:line="360" w:lineRule="auto"/>
        <w:ind w:firstLine="480" w:firstLineChars="200"/>
        <w:rPr>
          <w:rFonts w:ascii="Arial" w:hAnsi="宋体"/>
          <w:kern w:val="0"/>
          <w:sz w:val="24"/>
        </w:rPr>
      </w:pPr>
      <w:r>
        <w:rPr>
          <w:rFonts w:hint="eastAsia" w:ascii="Arial" w:hAnsi="宋体"/>
          <w:kern w:val="0"/>
          <w:sz w:val="24"/>
        </w:rPr>
        <w:t>3、乙方保证保密信息仅可在本方从事本项目工作的负责人和雇员范围内知悉。在上述人员知悉该保密信息前，乙方应向其提示保密信息的保密性和应承担的义务，确保上述人员承担保密责任的程度不低于本协议规定的程度。</w:t>
      </w:r>
    </w:p>
    <w:p>
      <w:pPr>
        <w:spacing w:line="360" w:lineRule="auto"/>
        <w:ind w:firstLine="480" w:firstLineChars="200"/>
        <w:rPr>
          <w:rFonts w:ascii="Arial" w:hAnsi="宋体"/>
          <w:kern w:val="0"/>
          <w:sz w:val="24"/>
        </w:rPr>
      </w:pPr>
      <w:r>
        <w:rPr>
          <w:rFonts w:hint="eastAsia" w:ascii="Arial" w:hAnsi="宋体"/>
          <w:kern w:val="0"/>
          <w:sz w:val="24"/>
        </w:rPr>
        <w:t>4、如果甲方提出要求，乙方应按照甲方的指示将含有保密信息的所有文件或其他资料归还给甲方，或者按照甲方的指示予以销毁。</w:t>
      </w:r>
    </w:p>
    <w:p>
      <w:pPr>
        <w:spacing w:line="360" w:lineRule="auto"/>
        <w:ind w:firstLine="480" w:firstLineChars="200"/>
        <w:rPr>
          <w:rFonts w:ascii="Arial" w:hAnsi="宋体"/>
          <w:kern w:val="0"/>
          <w:sz w:val="24"/>
        </w:rPr>
      </w:pPr>
      <w:r>
        <w:rPr>
          <w:rFonts w:hint="eastAsia" w:ascii="Arial" w:hAnsi="宋体"/>
          <w:kern w:val="0"/>
          <w:sz w:val="24"/>
        </w:rPr>
        <w:t>5、乙方人员在甲方所在地工作期间，应注意甲方所提供的办公环境的安全，避免个人办公设备被他人利用，进而破坏保密信息和系统安全。</w:t>
      </w:r>
    </w:p>
    <w:p>
      <w:pPr>
        <w:spacing w:line="360" w:lineRule="auto"/>
        <w:ind w:firstLine="480" w:firstLineChars="200"/>
        <w:rPr>
          <w:rFonts w:ascii="Arial" w:hAnsi="宋体"/>
          <w:kern w:val="0"/>
          <w:sz w:val="24"/>
        </w:rPr>
      </w:pPr>
      <w:r>
        <w:rPr>
          <w:rFonts w:hint="eastAsia" w:ascii="Arial" w:hAnsi="宋体"/>
          <w:kern w:val="0"/>
          <w:sz w:val="24"/>
        </w:rPr>
        <w:t>6、乙方人员如需对软、硬件平台及应用系统进行操作，需向甲方提交申请，甲方同意后在甲方的监督下方可进行。</w:t>
      </w:r>
    </w:p>
    <w:p>
      <w:pPr>
        <w:spacing w:line="480" w:lineRule="auto"/>
        <w:ind w:firstLine="480" w:firstLineChars="200"/>
        <w:rPr>
          <w:rFonts w:ascii="宋体" w:hAnsi="宋体"/>
          <w:sz w:val="24"/>
        </w:rPr>
      </w:pPr>
      <w:r>
        <w:rPr>
          <w:rFonts w:hint="eastAsia" w:ascii="宋体" w:hAnsi="宋体"/>
          <w:sz w:val="24"/>
        </w:rPr>
        <w:t>三、违约责任</w:t>
      </w:r>
    </w:p>
    <w:p>
      <w:pPr>
        <w:spacing w:line="360" w:lineRule="auto"/>
        <w:ind w:firstLine="480" w:firstLineChars="200"/>
        <w:rPr>
          <w:rFonts w:ascii="Arial" w:hAnsi="宋体"/>
          <w:kern w:val="0"/>
          <w:sz w:val="24"/>
        </w:rPr>
      </w:pPr>
      <w:r>
        <w:rPr>
          <w:rFonts w:hint="eastAsia" w:ascii="Arial" w:hAnsi="宋体"/>
          <w:kern w:val="0"/>
          <w:sz w:val="24"/>
        </w:rPr>
        <w:t>乙方</w:t>
      </w:r>
      <w:r>
        <w:rPr>
          <w:rFonts w:ascii="Arial" w:hAnsi="宋体"/>
          <w:kern w:val="0"/>
          <w:sz w:val="24"/>
        </w:rPr>
        <w:t>未履行本协议项下的条款均被视为违约</w:t>
      </w:r>
      <w:r>
        <w:rPr>
          <w:rFonts w:hint="eastAsia" w:ascii="Arial" w:hAnsi="宋体"/>
          <w:kern w:val="0"/>
          <w:sz w:val="24"/>
        </w:rPr>
        <w:t>，</w:t>
      </w:r>
      <w:r>
        <w:rPr>
          <w:rFonts w:ascii="Arial" w:hAnsi="宋体"/>
          <w:kern w:val="0"/>
          <w:sz w:val="24"/>
        </w:rPr>
        <w:t>应承担因自己的违约行为而给</w:t>
      </w:r>
      <w:r>
        <w:rPr>
          <w:rFonts w:hint="eastAsia" w:ascii="Arial" w:hAnsi="宋体"/>
          <w:kern w:val="0"/>
          <w:sz w:val="24"/>
        </w:rPr>
        <w:t>甲</w:t>
      </w:r>
      <w:r>
        <w:rPr>
          <w:rFonts w:ascii="Arial" w:hAnsi="宋体"/>
          <w:kern w:val="0"/>
          <w:sz w:val="24"/>
        </w:rPr>
        <w:t>方造成的损失</w:t>
      </w:r>
      <w:r>
        <w:rPr>
          <w:rFonts w:hint="eastAsia" w:ascii="Arial" w:hAnsi="宋体"/>
          <w:kern w:val="0"/>
          <w:sz w:val="24"/>
        </w:rPr>
        <w:t>，甲方发现一次乙方的违约行为，甲方将扣除乙方合同价款的10％，直至扣完为止，如合同价款不足以弥补的，甲方有权继续追偿。</w:t>
      </w:r>
    </w:p>
    <w:p>
      <w:pPr>
        <w:spacing w:line="480" w:lineRule="auto"/>
        <w:ind w:firstLine="480" w:firstLineChars="200"/>
        <w:rPr>
          <w:rFonts w:ascii="宋体" w:hAnsi="宋体"/>
          <w:sz w:val="24"/>
        </w:rPr>
      </w:pPr>
      <w:r>
        <w:rPr>
          <w:rFonts w:hint="eastAsia" w:ascii="宋体" w:hAnsi="宋体"/>
          <w:sz w:val="24"/>
        </w:rPr>
        <w:t>四、免责条款</w:t>
      </w:r>
    </w:p>
    <w:p>
      <w:pPr>
        <w:spacing w:line="360" w:lineRule="auto"/>
        <w:ind w:firstLine="480" w:firstLineChars="200"/>
        <w:rPr>
          <w:rFonts w:ascii="Arial" w:hAnsi="宋体"/>
          <w:kern w:val="0"/>
          <w:sz w:val="24"/>
        </w:rPr>
      </w:pPr>
      <w:r>
        <w:rPr>
          <w:rFonts w:hint="eastAsia" w:ascii="Arial" w:hAnsi="宋体"/>
          <w:kern w:val="0"/>
          <w:sz w:val="24"/>
        </w:rPr>
        <w:t>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spacing w:line="480" w:lineRule="auto"/>
        <w:ind w:firstLine="480" w:firstLineChars="200"/>
        <w:rPr>
          <w:rFonts w:ascii="宋体" w:hAnsi="宋体"/>
          <w:sz w:val="24"/>
        </w:rPr>
      </w:pPr>
      <w:r>
        <w:rPr>
          <w:rFonts w:hint="eastAsia" w:ascii="宋体" w:hAnsi="宋体"/>
          <w:sz w:val="24"/>
        </w:rPr>
        <w:t>五、争议的解决</w:t>
      </w:r>
    </w:p>
    <w:p>
      <w:pPr>
        <w:spacing w:line="360" w:lineRule="auto"/>
        <w:ind w:firstLine="480" w:firstLineChars="200"/>
        <w:rPr>
          <w:rFonts w:ascii="Arial" w:hAnsi="宋体"/>
          <w:kern w:val="0"/>
          <w:sz w:val="24"/>
        </w:rPr>
      </w:pPr>
      <w:r>
        <w:rPr>
          <w:rFonts w:hint="eastAsia" w:ascii="Arial" w:hAnsi="宋体"/>
          <w:kern w:val="0"/>
          <w:sz w:val="24"/>
        </w:rPr>
        <w:t>本协议受中华人民共和国（以下简称“中国”）的法律管辖并按照中国的法律进行解释。由于本协议的履行或解释而产生的或与之有关的任何争议，如双方无法协商解决，</w:t>
      </w:r>
      <w:r>
        <w:rPr>
          <w:rFonts w:hint="eastAsia"/>
          <w:sz w:val="24"/>
        </w:rPr>
        <w:t>则任何一方可将争议向甲方所在地有管辖权的人民法院提起诉讼解决</w:t>
      </w:r>
      <w:r>
        <w:rPr>
          <w:rFonts w:hint="eastAsia" w:ascii="Arial" w:hAnsi="宋体"/>
          <w:kern w:val="0"/>
          <w:sz w:val="24"/>
        </w:rPr>
        <w:t>。</w:t>
      </w:r>
    </w:p>
    <w:p>
      <w:pPr>
        <w:spacing w:line="480" w:lineRule="auto"/>
        <w:ind w:firstLine="480" w:firstLineChars="200"/>
        <w:rPr>
          <w:rFonts w:ascii="宋体" w:hAnsi="宋体"/>
          <w:sz w:val="24"/>
        </w:rPr>
      </w:pPr>
      <w:r>
        <w:rPr>
          <w:rFonts w:hint="eastAsia" w:ascii="宋体" w:hAnsi="宋体"/>
          <w:sz w:val="24"/>
        </w:rPr>
        <w:t>六、经双方书面确认，任何一方不得变更或修改本协议，国家另有规定的除外。</w:t>
      </w:r>
    </w:p>
    <w:p>
      <w:pPr>
        <w:spacing w:line="480" w:lineRule="auto"/>
        <w:ind w:firstLine="480" w:firstLineChars="200"/>
        <w:rPr>
          <w:rFonts w:ascii="宋体" w:hAnsi="宋体"/>
          <w:sz w:val="24"/>
        </w:rPr>
      </w:pPr>
      <w:r>
        <w:rPr>
          <w:rFonts w:hint="eastAsia" w:ascii="宋体" w:hAnsi="宋体"/>
          <w:sz w:val="24"/>
        </w:rPr>
        <w:t>七、本协议未尽事宜，双方可签订补充协议。本协议的补充协议为其不可分割的一部分，与本协议具有同等法律效力。</w:t>
      </w:r>
    </w:p>
    <w:p>
      <w:pPr>
        <w:spacing w:line="480" w:lineRule="auto"/>
        <w:ind w:firstLine="480" w:firstLineChars="200"/>
        <w:rPr>
          <w:rFonts w:ascii="宋体" w:hAnsi="宋体"/>
          <w:sz w:val="24"/>
        </w:rPr>
      </w:pPr>
      <w:r>
        <w:rPr>
          <w:rFonts w:hint="eastAsia" w:ascii="宋体" w:hAnsi="宋体"/>
          <w:sz w:val="24"/>
        </w:rPr>
        <w:t>八、本协议一式4份，双方各执2份，具有同等的法律效力。</w:t>
      </w:r>
    </w:p>
    <w:p>
      <w:pPr>
        <w:spacing w:line="480" w:lineRule="auto"/>
        <w:ind w:firstLine="480" w:firstLineChars="200"/>
        <w:rPr>
          <w:rFonts w:ascii="宋体" w:hAnsi="宋体"/>
          <w:sz w:val="24"/>
        </w:rPr>
      </w:pPr>
      <w:r>
        <w:rPr>
          <w:rFonts w:hint="eastAsia" w:ascii="宋体" w:hAnsi="宋体"/>
          <w:sz w:val="24"/>
        </w:rPr>
        <w:t>九、本协议自双方签字盖章之日起生效。</w:t>
      </w:r>
    </w:p>
    <w:p>
      <w:pPr>
        <w:spacing w:line="480" w:lineRule="auto"/>
        <w:rPr>
          <w:rFonts w:ascii="宋体" w:hAnsi="宋体" w:eastAsia="宋体"/>
          <w:sz w:val="24"/>
        </w:rPr>
      </w:pPr>
      <w:r>
        <w:rPr>
          <w:rFonts w:hint="eastAsia" w:ascii="宋体" w:hAnsi="宋体" w:eastAsia="宋体"/>
          <w:sz w:val="24"/>
        </w:rPr>
        <w:t>甲方（盖章）： 　　　　　　　　　　　　　　乙方（盖章）：</w:t>
      </w:r>
    </w:p>
    <w:p>
      <w:pPr>
        <w:spacing w:line="480" w:lineRule="auto"/>
        <w:rPr>
          <w:rFonts w:ascii="宋体" w:hAnsi="宋体" w:eastAsia="宋体"/>
          <w:sz w:val="24"/>
        </w:rPr>
      </w:pPr>
      <w:r>
        <w:rPr>
          <w:rFonts w:hint="eastAsia" w:ascii="宋体" w:hAnsi="宋体" w:eastAsia="宋体"/>
          <w:sz w:val="24"/>
        </w:rPr>
        <w:t>授权代表（签字）：                          授权代表（签字）：</w:t>
      </w:r>
    </w:p>
    <w:p>
      <w:pPr>
        <w:spacing w:line="480" w:lineRule="auto"/>
        <w:rPr>
          <w:rFonts w:ascii="宋体" w:hAnsi="宋体" w:eastAsia="宋体"/>
          <w:sz w:val="24"/>
        </w:rPr>
      </w:pPr>
      <w:r>
        <w:rPr>
          <w:rFonts w:hint="eastAsia" w:ascii="宋体" w:hAnsi="宋体" w:eastAsia="宋体"/>
          <w:sz w:val="24"/>
        </w:rPr>
        <w:t>日期：                                     日期：</w:t>
      </w:r>
    </w:p>
    <w:p>
      <w:pPr>
        <w:ind w:firstLine="480" w:firstLineChars="200"/>
        <w:rPr>
          <w:sz w:val="24"/>
          <w:u w:val="single"/>
        </w:rPr>
      </w:pPr>
    </w:p>
    <w:p>
      <w:pPr>
        <w:spacing w:line="360" w:lineRule="auto"/>
        <w:jc w:val="center"/>
        <w:rPr>
          <w:rFonts w:hint="eastAsia" w:ascii="宋体" w:hAnsi="宋体"/>
          <w:b/>
          <w:color w:val="auto"/>
          <w:sz w:val="36"/>
          <w:szCs w:val="36"/>
          <w:highlight w:val="none"/>
        </w:rPr>
      </w:pPr>
    </w:p>
    <w:p>
      <w:pPr>
        <w:spacing w:line="360" w:lineRule="auto"/>
        <w:jc w:val="center"/>
        <w:rPr>
          <w:rFonts w:hint="eastAsia" w:ascii="宋体" w:hAnsi="宋体"/>
          <w:b/>
          <w:color w:val="auto"/>
          <w:sz w:val="36"/>
          <w:szCs w:val="36"/>
          <w:highlight w:val="none"/>
        </w:rPr>
      </w:pPr>
    </w:p>
    <w:p>
      <w:pPr>
        <w:spacing w:line="360" w:lineRule="auto"/>
        <w:jc w:val="center"/>
        <w:rPr>
          <w:rFonts w:ascii="宋体" w:hAnsi="宋体"/>
          <w:b/>
          <w:color w:val="auto"/>
          <w:sz w:val="30"/>
          <w:szCs w:val="30"/>
          <w:highlight w:val="none"/>
        </w:rPr>
      </w:pPr>
      <w:r>
        <w:rPr>
          <w:rFonts w:hint="eastAsia" w:ascii="宋体" w:hAnsi="宋体"/>
          <w:b/>
          <w:color w:val="auto"/>
          <w:sz w:val="36"/>
          <w:szCs w:val="36"/>
          <w:highlight w:val="none"/>
        </w:rPr>
        <w:t>第六章 投标文件格式</w:t>
      </w:r>
    </w:p>
    <w:p>
      <w:pPr>
        <w:spacing w:line="360" w:lineRule="auto"/>
        <w:jc w:val="center"/>
        <w:rPr>
          <w:color w:val="auto"/>
          <w:sz w:val="52"/>
          <w:szCs w:val="52"/>
          <w:highlight w:val="none"/>
        </w:rPr>
      </w:pPr>
      <w:bookmarkStart w:id="34" w:name="_Toc32372_WPSOffice_Level1"/>
      <w:bookmarkStart w:id="35" w:name="_Toc19093_WPSOffice_Level1"/>
      <w:bookmarkStart w:id="36" w:name="_Toc4956_WPSOffice_Level1"/>
      <w:r>
        <w:rPr>
          <w:rFonts w:hint="eastAsia"/>
          <w:color w:val="auto"/>
          <w:sz w:val="52"/>
          <w:szCs w:val="52"/>
          <w:highlight w:val="none"/>
        </w:rPr>
        <w:t>项目名称</w:t>
      </w:r>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pPr>
        <w:pStyle w:val="38"/>
        <w:spacing w:line="360" w:lineRule="auto"/>
        <w:rPr>
          <w:color w:val="auto"/>
          <w:highlight w:val="none"/>
        </w:rPr>
      </w:pPr>
    </w:p>
    <w:p>
      <w:pPr>
        <w:spacing w:line="360" w:lineRule="auto"/>
        <w:jc w:val="center"/>
        <w:rPr>
          <w:color w:val="auto"/>
          <w:sz w:val="84"/>
          <w:szCs w:val="84"/>
          <w:highlight w:val="none"/>
          <w:lang w:val="zh-CN"/>
        </w:rPr>
      </w:pPr>
      <w:r>
        <w:rPr>
          <w:rFonts w:hint="eastAsia"/>
          <w:color w:val="auto"/>
          <w:sz w:val="84"/>
          <w:szCs w:val="84"/>
          <w:highlight w:val="none"/>
          <w:lang w:val="zh-CN"/>
        </w:rPr>
        <w:t>投</w:t>
      </w:r>
    </w:p>
    <w:p>
      <w:pPr>
        <w:spacing w:line="360" w:lineRule="auto"/>
        <w:jc w:val="center"/>
        <w:rPr>
          <w:color w:val="auto"/>
          <w:sz w:val="84"/>
          <w:szCs w:val="84"/>
          <w:highlight w:val="none"/>
          <w:lang w:val="zh-CN"/>
        </w:rPr>
      </w:pPr>
      <w:r>
        <w:rPr>
          <w:rFonts w:hint="eastAsia"/>
          <w:color w:val="auto"/>
          <w:sz w:val="84"/>
          <w:szCs w:val="84"/>
          <w:highlight w:val="none"/>
          <w:lang w:val="zh-CN"/>
        </w:rPr>
        <w:t>标</w:t>
      </w:r>
    </w:p>
    <w:p>
      <w:pPr>
        <w:spacing w:line="360" w:lineRule="auto"/>
        <w:jc w:val="center"/>
        <w:rPr>
          <w:color w:val="auto"/>
          <w:sz w:val="84"/>
          <w:szCs w:val="84"/>
          <w:highlight w:val="none"/>
        </w:rPr>
      </w:pPr>
      <w:r>
        <w:rPr>
          <w:rFonts w:hint="eastAsia"/>
          <w:color w:val="auto"/>
          <w:sz w:val="84"/>
          <w:szCs w:val="84"/>
          <w:highlight w:val="none"/>
          <w:lang w:val="zh-CN"/>
        </w:rPr>
        <w:t>文</w:t>
      </w:r>
    </w:p>
    <w:p>
      <w:pPr>
        <w:spacing w:line="360" w:lineRule="auto"/>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val="en-US" w:eastAsia="zh-CN"/>
        </w:rPr>
        <w:t>资格证明</w:t>
      </w:r>
      <w:r>
        <w:rPr>
          <w:rFonts w:hint="eastAsia" w:ascii="宋体" w:hAnsi="宋体"/>
          <w:b/>
          <w:color w:val="auto"/>
          <w:sz w:val="28"/>
          <w:szCs w:val="28"/>
          <w:highlight w:val="none"/>
          <w:lang w:eastAsia="zh-CN"/>
        </w:rPr>
        <w:t>文件</w:t>
      </w:r>
      <w:r>
        <w:rPr>
          <w:rFonts w:hint="eastAsia" w:ascii="宋体" w:hAnsi="宋体"/>
          <w:b/>
          <w:color w:val="auto"/>
          <w:sz w:val="28"/>
          <w:szCs w:val="28"/>
          <w:highlight w:val="none"/>
        </w:rPr>
        <w:t>）</w:t>
      </w:r>
    </w:p>
    <w:p>
      <w:pPr>
        <w:pStyle w:val="38"/>
        <w:spacing w:line="360" w:lineRule="auto"/>
        <w:rPr>
          <w:color w:val="auto"/>
          <w:highlight w:val="none"/>
        </w:rPr>
      </w:pPr>
    </w:p>
    <w:p>
      <w:pPr>
        <w:pStyle w:val="6"/>
        <w:snapToGrid w:val="0"/>
        <w:spacing w:before="120" w:after="120" w:line="360" w:lineRule="auto"/>
        <w:ind w:firstLine="440" w:firstLineChars="200"/>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供应商全称（公章）：</w:t>
      </w:r>
    </w:p>
    <w:p>
      <w:pPr>
        <w:pStyle w:val="6"/>
        <w:snapToGrid w:val="0"/>
        <w:spacing w:before="120" w:after="120" w:line="360" w:lineRule="auto"/>
        <w:ind w:firstLine="440" w:firstLineChars="200"/>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地    址：</w:t>
      </w:r>
    </w:p>
    <w:p>
      <w:pPr>
        <w:pStyle w:val="6"/>
        <w:snapToGrid w:val="0"/>
        <w:spacing w:before="120" w:after="120" w:line="360" w:lineRule="auto"/>
        <w:ind w:firstLine="440" w:firstLineChars="200"/>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时    间：</w:t>
      </w:r>
    </w:p>
    <w:p>
      <w:pPr>
        <w:pStyle w:val="10"/>
        <w:rPr>
          <w:rFonts w:hint="eastAsia"/>
          <w:lang w:val="en-US" w:eastAsia="zh-CN"/>
        </w:rPr>
      </w:pPr>
    </w:p>
    <w:p>
      <w:pPr>
        <w:spacing w:line="360" w:lineRule="auto"/>
        <w:jc w:val="center"/>
        <w:rPr>
          <w:b/>
          <w:bCs/>
          <w:sz w:val="36"/>
          <w:szCs w:val="36"/>
        </w:rPr>
      </w:pPr>
      <w:r>
        <w:rPr>
          <w:rFonts w:hint="eastAsia"/>
          <w:b/>
          <w:bCs/>
          <w:sz w:val="36"/>
          <w:szCs w:val="36"/>
        </w:rPr>
        <w:t>资格证明文件目录</w:t>
      </w:r>
    </w:p>
    <w:p>
      <w:pPr>
        <w:snapToGrid w:val="0"/>
        <w:spacing w:line="360" w:lineRule="auto"/>
        <w:ind w:firstLine="480" w:firstLineChars="200"/>
        <w:rPr>
          <w:rFonts w:hint="eastAsia" w:ascii="宋体" w:hAnsi="宋体" w:eastAsia="宋体" w:cs="Times New Roman"/>
          <w:kern w:val="0"/>
          <w:sz w:val="24"/>
        </w:rPr>
      </w:pPr>
    </w:p>
    <w:p>
      <w:pPr>
        <w:snapToGrid w:val="0"/>
        <w:spacing w:line="360" w:lineRule="auto"/>
        <w:ind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（1）投标声明书（附件1）；</w:t>
      </w:r>
    </w:p>
    <w:p>
      <w:pPr>
        <w:snapToGrid w:val="0"/>
        <w:spacing w:line="360" w:lineRule="auto"/>
        <w:ind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（2）授权委托书（法定代表人亲自办理投标事宜的，则无需提交；附件2）；</w:t>
      </w:r>
    </w:p>
    <w:p>
      <w:pPr>
        <w:snapToGrid w:val="0"/>
        <w:spacing w:line="360" w:lineRule="auto"/>
        <w:ind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（3）法人或者其他组织的营业执照等证明文件，自然人的身份证明；</w:t>
      </w:r>
    </w:p>
    <w:p>
      <w:pPr>
        <w:snapToGrid w:val="0"/>
        <w:spacing w:line="360" w:lineRule="auto"/>
        <w:ind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（4）具有依法缴纳税收和社会保障资金证明的承诺函（附件3）；</w:t>
      </w:r>
    </w:p>
    <w:p>
      <w:pPr>
        <w:snapToGrid w:val="0"/>
        <w:spacing w:line="360" w:lineRule="auto"/>
        <w:ind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（5）具有良好的商业信誉和健全的财务会计制度的承诺函（附件4）；</w:t>
      </w:r>
    </w:p>
    <w:p>
      <w:pPr>
        <w:snapToGrid w:val="0"/>
        <w:spacing w:line="360" w:lineRule="auto"/>
        <w:ind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（6）具有履行合同所必须的设备和专业技术能力的承诺函（附件5）；</w:t>
      </w:r>
    </w:p>
    <w:p>
      <w:pPr>
        <w:snapToGrid w:val="0"/>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（7）中小企业、</w:t>
      </w:r>
      <w:r>
        <w:rPr>
          <w:rFonts w:hint="eastAsia" w:ascii="宋体" w:hAnsi="宋体" w:eastAsia="宋体" w:cs="Times New Roman"/>
          <w:kern w:val="0"/>
          <w:sz w:val="24"/>
          <w:lang w:val="en-GB"/>
        </w:rPr>
        <w:t>残疾人福利性单位、监狱企业</w:t>
      </w:r>
      <w:r>
        <w:rPr>
          <w:rFonts w:hint="eastAsia" w:ascii="宋体" w:hAnsi="宋体" w:eastAsia="宋体" w:cs="Times New Roman"/>
          <w:kern w:val="0"/>
          <w:sz w:val="24"/>
        </w:rPr>
        <w:t>等声明函（如有，附件</w:t>
      </w:r>
      <w:r>
        <w:rPr>
          <w:rFonts w:hint="eastAsia" w:ascii="宋体" w:hAnsi="宋体" w:eastAsia="宋体" w:cs="Times New Roman"/>
          <w:kern w:val="0"/>
          <w:sz w:val="24"/>
          <w:lang w:val="en-US" w:eastAsia="zh-CN"/>
        </w:rPr>
        <w:t>13</w:t>
      </w:r>
      <w:r>
        <w:rPr>
          <w:rFonts w:hint="eastAsia" w:ascii="宋体" w:hAnsi="宋体" w:eastAsia="宋体" w:cs="Times New Roman"/>
          <w:kern w:val="0"/>
          <w:sz w:val="24"/>
        </w:rPr>
        <w:t>）；</w:t>
      </w:r>
    </w:p>
    <w:p>
      <w:pPr>
        <w:snapToGrid w:val="0"/>
        <w:spacing w:line="360" w:lineRule="auto"/>
        <w:ind w:left="1196" w:leftChars="170" w:hanging="720" w:hangingChars="300"/>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8</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相关资质证明证书：</w:t>
      </w:r>
      <w:r>
        <w:rPr>
          <w:rFonts w:hint="eastAsia" w:ascii="宋体" w:hAnsi="宋体" w:eastAsia="宋体" w:cs="Arial"/>
          <w:b w:val="0"/>
          <w:bCs w:val="0"/>
          <w:color w:val="auto"/>
          <w:sz w:val="24"/>
          <w:szCs w:val="24"/>
          <w:highlight w:val="none"/>
          <w:lang w:eastAsia="zh-CN"/>
        </w:rPr>
        <w:t>具有公安部门颁发的网络安全等级评测与检测评估机构服务认证证书（DJCP）</w:t>
      </w:r>
    </w:p>
    <w:p>
      <w:pPr>
        <w:snapToGrid w:val="0"/>
        <w:spacing w:line="360" w:lineRule="auto"/>
        <w:ind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w:t>
      </w:r>
      <w:r>
        <w:rPr>
          <w:rFonts w:hint="eastAsia" w:ascii="宋体" w:hAnsi="宋体" w:cs="Times New Roman"/>
          <w:kern w:val="0"/>
          <w:sz w:val="24"/>
          <w:lang w:val="en-US" w:eastAsia="zh-CN"/>
        </w:rPr>
        <w:t>9</w:t>
      </w:r>
      <w:r>
        <w:rPr>
          <w:rFonts w:hint="eastAsia" w:ascii="宋体" w:hAnsi="宋体" w:eastAsia="宋体" w:cs="Times New Roman"/>
          <w:kern w:val="0"/>
          <w:sz w:val="24"/>
          <w:lang w:val="en-US" w:eastAsia="zh-CN"/>
        </w:rPr>
        <w:t>）需要说明的其他资料（如有）。</w:t>
      </w:r>
    </w:p>
    <w:p>
      <w:pPr>
        <w:spacing w:line="360" w:lineRule="auto"/>
        <w:jc w:val="center"/>
        <w:rPr>
          <w:rFonts w:hint="eastAsia"/>
          <w:color w:val="auto"/>
          <w:sz w:val="52"/>
          <w:szCs w:val="52"/>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eastAsia="宋体" w:cs="Times New Roman"/>
          <w:b/>
          <w:color w:val="auto"/>
          <w:sz w:val="28"/>
          <w:highlight w:val="none"/>
        </w:rPr>
      </w:pPr>
      <w:r>
        <w:rPr>
          <w:rFonts w:hint="eastAsia" w:ascii="宋体" w:hAnsi="宋体" w:eastAsia="宋体" w:cs="Times New Roman"/>
          <w:b/>
          <w:color w:val="auto"/>
          <w:sz w:val="28"/>
          <w:highlight w:val="none"/>
        </w:rPr>
        <w:t>附件1</w:t>
      </w:r>
    </w:p>
    <w:p>
      <w:pPr>
        <w:adjustRightInd w:val="0"/>
        <w:snapToGrid w:val="0"/>
        <w:spacing w:line="360" w:lineRule="auto"/>
        <w:ind w:right="480"/>
        <w:jc w:val="center"/>
        <w:rPr>
          <w:rFonts w:ascii="宋体" w:hAnsi="宋体"/>
          <w:b/>
          <w:color w:val="auto"/>
          <w:kern w:val="0"/>
          <w:sz w:val="32"/>
          <w:szCs w:val="32"/>
          <w:highlight w:val="none"/>
          <w:lang w:val="zh-CN"/>
        </w:rPr>
      </w:pPr>
      <w:bookmarkStart w:id="37" w:name="_Toc31708_WPSOffice_Level1"/>
      <w:bookmarkStart w:id="38" w:name="_Toc30723_WPSOffice_Level1"/>
      <w:r>
        <w:rPr>
          <w:rFonts w:hint="eastAsia" w:ascii="宋体" w:hAnsi="宋体"/>
          <w:b/>
          <w:color w:val="auto"/>
          <w:kern w:val="0"/>
          <w:sz w:val="32"/>
          <w:szCs w:val="32"/>
          <w:highlight w:val="none"/>
          <w:lang w:val="zh-CN"/>
        </w:rPr>
        <w:t>投标声明书</w:t>
      </w:r>
      <w:bookmarkEnd w:id="37"/>
      <w:bookmarkEnd w:id="38"/>
    </w:p>
    <w:p>
      <w:pPr>
        <w:pStyle w:val="6"/>
        <w:snapToGrid w:val="0"/>
        <w:spacing w:before="120" w:after="120" w:line="360" w:lineRule="auto"/>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u w:val="single"/>
          <w:lang w:val="en-US" w:eastAsia="zh-CN" w:bidi="ar-SA"/>
        </w:rPr>
        <w:t>台州市自然资源和规划信息中心</w:t>
      </w:r>
      <w:r>
        <w:rPr>
          <w:rFonts w:hint="eastAsia" w:ascii="宋体" w:hAnsi="宋体" w:eastAsia="宋体" w:cs="Times New Roman"/>
          <w:kern w:val="2"/>
          <w:sz w:val="22"/>
          <w:szCs w:val="22"/>
          <w:lang w:val="en-US" w:eastAsia="zh-CN" w:bidi="ar-SA"/>
        </w:rPr>
        <w:t>：</w:t>
      </w:r>
    </w:p>
    <w:p>
      <w:pPr>
        <w:pStyle w:val="6"/>
        <w:snapToGrid w:val="0"/>
        <w:spacing w:before="120" w:after="120" w:line="360" w:lineRule="auto"/>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w:t>
      </w:r>
      <w:r>
        <w:rPr>
          <w:rFonts w:hint="eastAsia" w:ascii="宋体" w:hAnsi="宋体" w:eastAsia="宋体" w:cs="Times New Roman"/>
          <w:kern w:val="2"/>
          <w:sz w:val="22"/>
          <w:szCs w:val="22"/>
          <w:u w:val="single"/>
          <w:lang w:val="en-US" w:eastAsia="zh-CN" w:bidi="ar-SA"/>
        </w:rPr>
        <w:t>供应商名称</w:t>
      </w:r>
      <w:r>
        <w:rPr>
          <w:rFonts w:hint="eastAsia" w:ascii="宋体" w:hAnsi="宋体" w:eastAsia="宋体" w:cs="Times New Roman"/>
          <w:kern w:val="2"/>
          <w:sz w:val="22"/>
          <w:szCs w:val="22"/>
          <w:lang w:val="en-US" w:eastAsia="zh-CN" w:bidi="ar-SA"/>
        </w:rPr>
        <w:t>）系中华人民共和国合法企业，经营地址。</w:t>
      </w:r>
    </w:p>
    <w:p>
      <w:pPr>
        <w:pStyle w:val="6"/>
        <w:snapToGrid w:val="0"/>
        <w:spacing w:before="120" w:after="120" w:line="360" w:lineRule="auto"/>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我（</w:t>
      </w:r>
      <w:r>
        <w:rPr>
          <w:rFonts w:hint="eastAsia" w:ascii="宋体" w:hAnsi="宋体" w:eastAsia="宋体" w:cs="Times New Roman"/>
          <w:i w:val="0"/>
          <w:iCs w:val="0"/>
          <w:kern w:val="2"/>
          <w:sz w:val="22"/>
          <w:szCs w:val="22"/>
          <w:u w:val="single"/>
          <w:lang w:val="en-US" w:eastAsia="zh-CN" w:bidi="ar-SA"/>
        </w:rPr>
        <w:t xml:space="preserve"> 姓名</w:t>
      </w:r>
      <w:r>
        <w:rPr>
          <w:rFonts w:hint="eastAsia" w:ascii="宋体" w:hAnsi="宋体" w:eastAsia="宋体" w:cs="Times New Roman"/>
          <w:kern w:val="2"/>
          <w:sz w:val="22"/>
          <w:szCs w:val="22"/>
          <w:lang w:val="en-US" w:eastAsia="zh-CN" w:bidi="ar-SA"/>
        </w:rPr>
        <w:t xml:space="preserve"> ）系（ </w:t>
      </w:r>
      <w:r>
        <w:rPr>
          <w:rFonts w:hint="eastAsia" w:ascii="宋体" w:hAnsi="宋体" w:eastAsia="宋体" w:cs="Times New Roman"/>
          <w:kern w:val="2"/>
          <w:sz w:val="22"/>
          <w:szCs w:val="22"/>
          <w:u w:val="single"/>
          <w:lang w:val="en-US" w:eastAsia="zh-CN" w:bidi="ar-SA"/>
        </w:rPr>
        <w:t>供应商名称</w:t>
      </w:r>
      <w:r>
        <w:rPr>
          <w:rFonts w:hint="eastAsia" w:ascii="宋体" w:hAnsi="宋体" w:eastAsia="宋体" w:cs="Times New Roman"/>
          <w:kern w:val="2"/>
          <w:sz w:val="22"/>
          <w:szCs w:val="22"/>
          <w:lang w:val="en-US" w:eastAsia="zh-CN" w:bidi="ar-SA"/>
        </w:rPr>
        <w:t xml:space="preserve"> ）的法定代表人，我公司自愿参加贵方组织的（</w:t>
      </w:r>
      <w:r>
        <w:rPr>
          <w:rFonts w:hint="eastAsia" w:ascii="宋体" w:hAnsi="宋体" w:eastAsia="宋体" w:cs="Times New Roman"/>
          <w:kern w:val="2"/>
          <w:sz w:val="22"/>
          <w:szCs w:val="22"/>
          <w:u w:val="single"/>
          <w:lang w:val="en-US" w:eastAsia="zh-CN" w:bidi="ar-SA"/>
        </w:rPr>
        <w:t xml:space="preserve">              招标项目名称              </w:t>
      </w:r>
      <w:r>
        <w:rPr>
          <w:rFonts w:hint="eastAsia" w:ascii="宋体" w:hAnsi="宋体" w:eastAsia="宋体" w:cs="Times New Roman"/>
          <w:kern w:val="2"/>
          <w:sz w:val="22"/>
          <w:szCs w:val="22"/>
          <w:lang w:val="en-US" w:eastAsia="zh-CN" w:bidi="ar-SA"/>
        </w:rPr>
        <w:t xml:space="preserve">  ）（编号为</w:t>
      </w:r>
      <w:r>
        <w:rPr>
          <w:rFonts w:hint="eastAsia" w:ascii="宋体" w:hAnsi="宋体" w:eastAsia="宋体" w:cs="Times New Roman"/>
          <w:kern w:val="2"/>
          <w:sz w:val="22"/>
          <w:szCs w:val="22"/>
          <w:u w:val="single"/>
          <w:lang w:val="en-US" w:eastAsia="zh-CN" w:bidi="ar-SA"/>
        </w:rPr>
        <w:t xml:space="preserve">           </w:t>
      </w:r>
      <w:r>
        <w:rPr>
          <w:rFonts w:hint="eastAsia" w:ascii="宋体" w:hAnsi="宋体" w:eastAsia="宋体" w:cs="Times New Roman"/>
          <w:kern w:val="2"/>
          <w:sz w:val="22"/>
          <w:szCs w:val="22"/>
          <w:lang w:val="en-US" w:eastAsia="zh-CN" w:bidi="ar-SA"/>
        </w:rPr>
        <w:t>）的投标，为此，我公司就本次投标有关事项郑重声明如下：</w:t>
      </w:r>
    </w:p>
    <w:p>
      <w:pPr>
        <w:pStyle w:val="6"/>
        <w:snapToGrid w:val="0"/>
        <w:spacing w:before="120" w:after="120" w:line="360" w:lineRule="auto"/>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我公司声明截止投标时间近三年以来：未被列入失信被执行人、重大税收违法案件当事人名单、政府采购严重违法失信行为记录名单，以及不存在其他不符合《中华人民共和国政府采购法》第二十二条规定的条件【说明：供应商在截止投标时间近三年以来，如有上述所列情形，但限制期届满的，可按实陈述，并提供相应证明文件】。</w:t>
      </w:r>
    </w:p>
    <w:p>
      <w:pPr>
        <w:pStyle w:val="6"/>
        <w:snapToGrid w:val="0"/>
        <w:spacing w:before="120" w:after="120" w:line="360" w:lineRule="auto"/>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我公司在参与投标前已详细审查了招标文件和所有相关资料，我方完全知悉并认为此招标文件没有倾向性，也没有存在排斥潜在供应商的内容，我方对招标文件的所有内容没有任何异议，不申请澄清和质疑。</w:t>
      </w:r>
    </w:p>
    <w:p>
      <w:pPr>
        <w:pStyle w:val="6"/>
        <w:snapToGrid w:val="0"/>
        <w:spacing w:before="120" w:after="120" w:line="360" w:lineRule="auto"/>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我</w:t>
      </w:r>
      <w:r>
        <w:rPr>
          <w:rFonts w:hint="eastAsia" w:ascii="宋体" w:hAnsi="宋体" w:eastAsia="宋体" w:cs="Times New Roman"/>
          <w:kern w:val="2"/>
          <w:sz w:val="22"/>
          <w:szCs w:val="22"/>
          <w:lang w:val="zh-CN" w:eastAsia="zh-CN" w:bidi="ar-SA"/>
        </w:rPr>
        <w:t>公司</w:t>
      </w:r>
      <w:r>
        <w:rPr>
          <w:rFonts w:hint="eastAsia" w:ascii="宋体" w:hAnsi="宋体" w:eastAsia="宋体" w:cs="Times New Roman"/>
          <w:kern w:val="2"/>
          <w:sz w:val="22"/>
          <w:szCs w:val="22"/>
          <w:lang w:val="en-US" w:eastAsia="zh-CN" w:bidi="ar-SA"/>
        </w:rPr>
        <w:t>不是采购人的附属机构；在获知本项目采购信息后，与采购人聘请的为此项目提供咨询服务的公司及其附属机构没有任何联系。</w:t>
      </w:r>
    </w:p>
    <w:p>
      <w:pPr>
        <w:pStyle w:val="6"/>
        <w:snapToGrid w:val="0"/>
        <w:spacing w:before="120" w:after="120" w:line="360" w:lineRule="auto"/>
        <w:rPr>
          <w:rFonts w:hint="eastAsia" w:ascii="宋体" w:hAnsi="宋体" w:eastAsia="宋体" w:cs="Times New Roman"/>
          <w:kern w:val="2"/>
          <w:sz w:val="22"/>
          <w:szCs w:val="22"/>
          <w:lang w:val="af-ZA" w:eastAsia="zh-CN" w:bidi="ar-SA"/>
        </w:rPr>
      </w:pPr>
      <w:r>
        <w:rPr>
          <w:rFonts w:hint="eastAsia" w:ascii="宋体" w:hAnsi="宋体" w:eastAsia="宋体" w:cs="Times New Roman"/>
          <w:kern w:val="2"/>
          <w:sz w:val="22"/>
          <w:szCs w:val="22"/>
          <w:lang w:val="en-US" w:eastAsia="zh-CN" w:bidi="ar-SA"/>
        </w:rPr>
        <w:t>我</w:t>
      </w:r>
      <w:r>
        <w:rPr>
          <w:rFonts w:hint="eastAsia" w:ascii="宋体" w:hAnsi="宋体" w:eastAsia="宋体" w:cs="Times New Roman"/>
          <w:kern w:val="2"/>
          <w:sz w:val="22"/>
          <w:szCs w:val="22"/>
          <w:lang w:val="zh-CN" w:eastAsia="zh-CN" w:bidi="ar-SA"/>
        </w:rPr>
        <w:t>公司</w:t>
      </w:r>
      <w:r>
        <w:rPr>
          <w:rFonts w:hint="eastAsia" w:ascii="宋体" w:hAnsi="宋体" w:eastAsia="宋体" w:cs="Times New Roman"/>
          <w:kern w:val="2"/>
          <w:sz w:val="22"/>
          <w:szCs w:val="22"/>
          <w:lang w:val="en-US" w:eastAsia="zh-CN" w:bidi="ar-SA"/>
        </w:rPr>
        <w:t>保证，</w:t>
      </w:r>
      <w:r>
        <w:rPr>
          <w:rFonts w:hint="eastAsia" w:ascii="宋体" w:hAnsi="宋体" w:eastAsia="宋体" w:cs="Times New Roman"/>
          <w:kern w:val="2"/>
          <w:sz w:val="22"/>
          <w:szCs w:val="22"/>
          <w:lang w:val="af-ZA" w:eastAsia="zh-CN" w:bidi="ar-SA"/>
        </w:rPr>
        <w:t>采购人在中华人民共和国境内使用</w:t>
      </w:r>
      <w:r>
        <w:rPr>
          <w:rFonts w:hint="eastAsia" w:ascii="宋体" w:hAnsi="宋体" w:eastAsia="宋体" w:cs="Times New Roman"/>
          <w:kern w:val="2"/>
          <w:sz w:val="22"/>
          <w:szCs w:val="22"/>
          <w:lang w:val="en-US" w:eastAsia="zh-CN" w:bidi="ar-SA"/>
        </w:rPr>
        <w:t>我</w:t>
      </w:r>
      <w:r>
        <w:rPr>
          <w:rFonts w:hint="eastAsia" w:ascii="宋体" w:hAnsi="宋体" w:eastAsia="宋体" w:cs="Times New Roman"/>
          <w:kern w:val="2"/>
          <w:sz w:val="22"/>
          <w:szCs w:val="22"/>
          <w:lang w:val="zh-CN" w:eastAsia="zh-CN" w:bidi="ar-SA"/>
        </w:rPr>
        <w:t>公司</w:t>
      </w:r>
      <w:r>
        <w:rPr>
          <w:rFonts w:hint="eastAsia" w:ascii="宋体" w:hAnsi="宋体" w:eastAsia="宋体" w:cs="Times New Roman"/>
          <w:kern w:val="2"/>
          <w:sz w:val="22"/>
          <w:szCs w:val="22"/>
          <w:lang w:val="af-ZA" w:eastAsia="zh-CN" w:bidi="ar-S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pStyle w:val="6"/>
        <w:snapToGrid w:val="0"/>
        <w:spacing w:before="120" w:after="120" w:line="360" w:lineRule="auto"/>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af-ZA" w:eastAsia="zh-CN" w:bidi="ar-SA"/>
        </w:rPr>
        <w:t>我</w:t>
      </w:r>
      <w:r>
        <w:rPr>
          <w:rFonts w:hint="eastAsia" w:ascii="宋体" w:hAnsi="宋体" w:eastAsia="宋体" w:cs="Times New Roman"/>
          <w:kern w:val="2"/>
          <w:sz w:val="22"/>
          <w:szCs w:val="22"/>
          <w:lang w:val="zh-CN" w:eastAsia="zh-CN" w:bidi="ar-SA"/>
        </w:rPr>
        <w:t>公司</w:t>
      </w:r>
      <w:r>
        <w:rPr>
          <w:rFonts w:hint="eastAsia" w:ascii="宋体" w:hAnsi="宋体" w:eastAsia="宋体" w:cs="Times New Roman"/>
          <w:kern w:val="2"/>
          <w:sz w:val="22"/>
          <w:szCs w:val="22"/>
          <w:lang w:val="af-ZA" w:eastAsia="zh-CN" w:bidi="ar-SA"/>
        </w:rPr>
        <w:t>严格履行政府采购合同，不降低合同约定的产品质量和服务，不擅自变更、中止、终止合同，或拒绝履行合同义务。</w:t>
      </w:r>
    </w:p>
    <w:p>
      <w:pPr>
        <w:pStyle w:val="6"/>
        <w:snapToGrid w:val="0"/>
        <w:spacing w:before="120" w:after="120" w:line="360" w:lineRule="auto"/>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以上事项如有虚假或隐瞒，我</w:t>
      </w:r>
      <w:r>
        <w:rPr>
          <w:rFonts w:hint="eastAsia" w:ascii="宋体" w:hAnsi="宋体" w:eastAsia="宋体" w:cs="Times New Roman"/>
          <w:kern w:val="2"/>
          <w:sz w:val="22"/>
          <w:szCs w:val="22"/>
          <w:lang w:val="zh-CN" w:eastAsia="zh-CN" w:bidi="ar-SA"/>
        </w:rPr>
        <w:t>公司</w:t>
      </w:r>
      <w:r>
        <w:rPr>
          <w:rFonts w:hint="eastAsia" w:ascii="宋体" w:hAnsi="宋体" w:eastAsia="宋体" w:cs="Times New Roman"/>
          <w:kern w:val="2"/>
          <w:sz w:val="22"/>
          <w:szCs w:val="22"/>
          <w:lang w:val="en-US" w:eastAsia="zh-CN" w:bidi="ar-SA"/>
        </w:rPr>
        <w:t>愿意承担一切后果，并不再寻求任何旨在减轻或免除法律责任的辩解。</w:t>
      </w:r>
    </w:p>
    <w:p>
      <w:pPr>
        <w:pStyle w:val="6"/>
        <w:snapToGrid w:val="0"/>
        <w:spacing w:before="120" w:after="120" w:line="360" w:lineRule="auto"/>
        <w:rPr>
          <w:rFonts w:hint="eastAsia" w:ascii="宋体" w:hAnsi="宋体" w:eastAsia="宋体" w:cs="Times New Roman"/>
          <w:kern w:val="2"/>
          <w:sz w:val="22"/>
          <w:szCs w:val="22"/>
          <w:lang w:val="zh-CN" w:eastAsia="zh-CN" w:bidi="ar-SA"/>
        </w:rPr>
      </w:pPr>
      <w:r>
        <w:rPr>
          <w:rFonts w:hint="eastAsia" w:ascii="宋体" w:hAnsi="宋体" w:eastAsia="宋体" w:cs="Times New Roman"/>
          <w:kern w:val="2"/>
          <w:sz w:val="22"/>
          <w:szCs w:val="22"/>
          <w:lang w:val="zh-CN" w:eastAsia="zh-CN" w:bidi="ar-SA"/>
        </w:rPr>
        <w:t>供应商名称（公章）：</w:t>
      </w:r>
    </w:p>
    <w:p>
      <w:pPr>
        <w:pStyle w:val="6"/>
        <w:snapToGrid w:val="0"/>
        <w:spacing w:before="120" w:after="120" w:line="360" w:lineRule="auto"/>
        <w:rPr>
          <w:rFonts w:hint="eastAsia" w:ascii="宋体" w:hAnsi="宋体" w:eastAsia="宋体" w:cs="Times New Roman"/>
          <w:kern w:val="2"/>
          <w:sz w:val="22"/>
          <w:szCs w:val="22"/>
          <w:lang w:val="zh-CN" w:eastAsia="zh-CN" w:bidi="ar-SA"/>
        </w:rPr>
      </w:pPr>
      <w:r>
        <w:rPr>
          <w:rFonts w:hint="eastAsia" w:ascii="宋体" w:hAnsi="宋体" w:eastAsia="宋体" w:cs="Times New Roman"/>
          <w:kern w:val="2"/>
          <w:sz w:val="22"/>
          <w:szCs w:val="22"/>
          <w:lang w:val="zh-CN" w:eastAsia="zh-CN" w:bidi="ar-SA"/>
        </w:rPr>
        <w:t>法定代表人或授权委托人签字：</w:t>
      </w:r>
    </w:p>
    <w:p>
      <w:pPr>
        <w:pStyle w:val="6"/>
        <w:snapToGrid w:val="0"/>
        <w:spacing w:before="120" w:after="120" w:line="360" w:lineRule="auto"/>
        <w:rPr>
          <w:rFonts w:hint="eastAsia" w:ascii="宋体" w:hAnsi="宋体" w:eastAsia="宋体" w:cs="Times New Roman"/>
          <w:kern w:val="2"/>
          <w:sz w:val="22"/>
          <w:szCs w:val="22"/>
          <w:lang w:val="zh-CN" w:eastAsia="zh-CN" w:bidi="ar-SA"/>
        </w:rPr>
      </w:pPr>
      <w:r>
        <w:rPr>
          <w:rFonts w:hint="eastAsia" w:ascii="宋体" w:hAnsi="宋体" w:eastAsia="宋体" w:cs="Times New Roman"/>
          <w:kern w:val="2"/>
          <w:sz w:val="22"/>
          <w:szCs w:val="22"/>
          <w:lang w:val="zh-CN" w:eastAsia="zh-CN" w:bidi="ar-SA"/>
        </w:rPr>
        <w:t>日期：</w:t>
      </w:r>
      <w:r>
        <w:rPr>
          <w:rFonts w:hint="eastAsia" w:ascii="宋体" w:hAnsi="宋体" w:eastAsia="宋体" w:cs="Times New Roman"/>
          <w:kern w:val="2"/>
          <w:sz w:val="22"/>
          <w:szCs w:val="22"/>
          <w:lang w:val="en-US" w:eastAsia="zh-CN" w:bidi="ar-SA"/>
        </w:rPr>
        <w:t>××</w:t>
      </w:r>
      <w:r>
        <w:rPr>
          <w:rFonts w:hint="eastAsia" w:ascii="宋体" w:hAnsi="宋体" w:eastAsia="宋体" w:cs="Times New Roman"/>
          <w:kern w:val="2"/>
          <w:sz w:val="22"/>
          <w:szCs w:val="22"/>
          <w:lang w:val="zh-CN" w:eastAsia="zh-CN" w:bidi="ar-SA"/>
        </w:rPr>
        <w:t xml:space="preserve">年 </w:t>
      </w:r>
      <w:r>
        <w:rPr>
          <w:rFonts w:hint="eastAsia" w:ascii="宋体" w:hAnsi="宋体" w:eastAsia="宋体" w:cs="Times New Roman"/>
          <w:kern w:val="2"/>
          <w:sz w:val="22"/>
          <w:szCs w:val="22"/>
          <w:lang w:val="en-US" w:eastAsia="zh-CN" w:bidi="ar-SA"/>
        </w:rPr>
        <w:t>××</w:t>
      </w:r>
      <w:r>
        <w:rPr>
          <w:rFonts w:hint="eastAsia" w:ascii="宋体" w:hAnsi="宋体" w:eastAsia="宋体" w:cs="Times New Roman"/>
          <w:kern w:val="2"/>
          <w:sz w:val="22"/>
          <w:szCs w:val="22"/>
          <w:lang w:val="zh-CN" w:eastAsia="zh-CN" w:bidi="ar-SA"/>
        </w:rPr>
        <w:t xml:space="preserve"> 月 </w:t>
      </w:r>
      <w:r>
        <w:rPr>
          <w:rFonts w:hint="eastAsia" w:ascii="宋体" w:hAnsi="宋体" w:eastAsia="宋体" w:cs="Times New Roman"/>
          <w:kern w:val="2"/>
          <w:sz w:val="22"/>
          <w:szCs w:val="22"/>
          <w:lang w:val="en-US" w:eastAsia="zh-CN" w:bidi="ar-SA"/>
        </w:rPr>
        <w:t>××</w:t>
      </w:r>
      <w:r>
        <w:rPr>
          <w:rFonts w:hint="eastAsia" w:ascii="宋体" w:hAnsi="宋体" w:eastAsia="宋体" w:cs="Times New Roman"/>
          <w:kern w:val="2"/>
          <w:sz w:val="22"/>
          <w:szCs w:val="22"/>
          <w:lang w:val="zh-CN" w:eastAsia="zh-CN" w:bidi="ar-SA"/>
        </w:rPr>
        <w:t xml:space="preserve"> 日</w:t>
      </w:r>
    </w:p>
    <w:p>
      <w:pPr>
        <w:pStyle w:val="14"/>
        <w:rPr>
          <w:lang w:val="zh-CN"/>
        </w:rPr>
      </w:pPr>
    </w:p>
    <w:p>
      <w:pPr>
        <w:spacing w:line="360" w:lineRule="auto"/>
        <w:rPr>
          <w:rFonts w:hint="eastAsia" w:ascii="宋体" w:hAnsi="宋体" w:eastAsia="宋体" w:cs="Times New Roman"/>
          <w:b/>
          <w:color w:val="auto"/>
          <w:sz w:val="28"/>
          <w:highlight w:val="none"/>
        </w:rPr>
      </w:pPr>
      <w:r>
        <w:rPr>
          <w:rFonts w:hint="eastAsia" w:ascii="宋体" w:hAnsi="宋体" w:eastAsia="宋体" w:cs="Times New Roman"/>
          <w:b/>
          <w:color w:val="auto"/>
          <w:sz w:val="28"/>
          <w:highlight w:val="none"/>
        </w:rPr>
        <w:t>附件2</w:t>
      </w:r>
    </w:p>
    <w:p>
      <w:pPr>
        <w:spacing w:line="360" w:lineRule="auto"/>
        <w:ind w:firstLine="321" w:firstLineChars="100"/>
        <w:jc w:val="center"/>
        <w:rPr>
          <w:rFonts w:hAnsi="宋体"/>
          <w:b/>
          <w:color w:val="auto"/>
          <w:sz w:val="32"/>
          <w:szCs w:val="32"/>
          <w:highlight w:val="none"/>
          <w:u w:val="single"/>
        </w:rPr>
      </w:pPr>
      <w:bookmarkStart w:id="39" w:name="_Toc24373_WPSOffice_Level1"/>
      <w:bookmarkStart w:id="40"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39"/>
      <w:bookmarkEnd w:id="40"/>
    </w:p>
    <w:p>
      <w:pPr>
        <w:snapToGrid w:val="0"/>
        <w:spacing w:before="120" w:beforeLines="50" w:after="50" w:line="360" w:lineRule="auto"/>
        <w:rPr>
          <w:rFonts w:ascii="宋体" w:hAnsi="宋体" w:cs="宋体"/>
          <w:color w:val="auto"/>
          <w:kern w:val="0"/>
          <w:sz w:val="22"/>
          <w:szCs w:val="22"/>
          <w:highlight w:val="none"/>
        </w:rPr>
      </w:pPr>
      <w:r>
        <w:rPr>
          <w:rFonts w:hint="eastAsia" w:ascii="宋体" w:hAnsi="宋体"/>
          <w:color w:val="auto"/>
          <w:kern w:val="0"/>
          <w:sz w:val="22"/>
          <w:szCs w:val="22"/>
          <w:highlight w:val="none"/>
          <w:u w:val="single"/>
          <w:lang w:eastAsia="zh-CN"/>
        </w:rPr>
        <w:t>台州市自然资源和规划信息中心</w:t>
      </w:r>
      <w:r>
        <w:rPr>
          <w:rFonts w:hint="eastAsia" w:ascii="宋体" w:hAnsi="宋体" w:cs="宋体"/>
          <w:color w:val="auto"/>
          <w:kern w:val="0"/>
          <w:sz w:val="22"/>
          <w:szCs w:val="22"/>
          <w:highlight w:val="none"/>
        </w:rPr>
        <w:t>：</w:t>
      </w:r>
    </w:p>
    <w:p>
      <w:pPr>
        <w:pStyle w:val="6"/>
        <w:spacing w:line="360" w:lineRule="auto"/>
        <w:ind w:firstLine="440" w:firstLineChars="200"/>
        <w:rPr>
          <w:rFonts w:hAnsi="宋体"/>
          <w:color w:val="auto"/>
          <w:sz w:val="22"/>
          <w:szCs w:val="22"/>
          <w:highlight w:val="none"/>
        </w:rPr>
      </w:pPr>
      <w:r>
        <w:rPr>
          <w:rFonts w:hAnsi="宋体"/>
          <w:color w:val="auto"/>
          <w:sz w:val="22"/>
          <w:szCs w:val="22"/>
          <w:highlight w:val="none"/>
          <w:u w:val="single"/>
        </w:rPr>
        <w:t xml:space="preserve">  （</w:t>
      </w:r>
      <w:r>
        <w:rPr>
          <w:rFonts w:hint="eastAsia" w:hAnsi="宋体"/>
          <w:color w:val="auto"/>
          <w:sz w:val="22"/>
          <w:szCs w:val="22"/>
          <w:highlight w:val="none"/>
          <w:u w:val="single"/>
          <w:lang w:eastAsia="zh-CN"/>
        </w:rPr>
        <w:t>供应商</w:t>
      </w:r>
      <w:r>
        <w:rPr>
          <w:rFonts w:hAnsi="宋体"/>
          <w:color w:val="auto"/>
          <w:sz w:val="22"/>
          <w:szCs w:val="22"/>
          <w:highlight w:val="none"/>
          <w:u w:val="single"/>
        </w:rPr>
        <w:t xml:space="preserve">全称）  </w:t>
      </w:r>
      <w:r>
        <w:rPr>
          <w:rFonts w:hAnsi="宋体"/>
          <w:color w:val="auto"/>
          <w:sz w:val="22"/>
          <w:szCs w:val="22"/>
          <w:highlight w:val="none"/>
        </w:rPr>
        <w:t>法定代表人</w:t>
      </w:r>
      <w:r>
        <w:rPr>
          <w:rFonts w:hint="eastAsia" w:ascii="Arial" w:hAnsi="Arial" w:cs="Arial"/>
          <w:color w:val="auto"/>
          <w:sz w:val="22"/>
          <w:szCs w:val="22"/>
          <w:highlight w:val="none"/>
        </w:rPr>
        <w:t>（或营业执照中单位负责人）</w:t>
      </w:r>
      <w:r>
        <w:rPr>
          <w:rFonts w:hAnsi="宋体"/>
          <w:color w:val="auto"/>
          <w:sz w:val="22"/>
          <w:szCs w:val="22"/>
          <w:highlight w:val="none"/>
          <w:u w:val="single"/>
        </w:rPr>
        <w:tab/>
      </w:r>
      <w:r>
        <w:rPr>
          <w:rFonts w:hAnsi="宋体"/>
          <w:color w:val="auto"/>
          <w:sz w:val="22"/>
          <w:szCs w:val="22"/>
          <w:highlight w:val="none"/>
          <w:u w:val="single"/>
        </w:rPr>
        <w:t>（法定代表</w:t>
      </w:r>
      <w:r>
        <w:rPr>
          <w:rFonts w:hint="eastAsia" w:hAnsi="宋体"/>
          <w:color w:val="auto"/>
          <w:sz w:val="22"/>
          <w:szCs w:val="22"/>
          <w:highlight w:val="none"/>
          <w:u w:val="single"/>
        </w:rPr>
        <w:t>人</w:t>
      </w:r>
      <w:r>
        <w:rPr>
          <w:rFonts w:hint="eastAsia" w:ascii="Arial" w:hAnsi="Arial" w:cs="Arial"/>
          <w:color w:val="auto"/>
          <w:sz w:val="22"/>
          <w:szCs w:val="22"/>
          <w:highlight w:val="none"/>
          <w:u w:val="single"/>
        </w:rPr>
        <w:t>或营业执照中单位负责人</w:t>
      </w:r>
      <w:r>
        <w:rPr>
          <w:rFonts w:hAnsi="宋体"/>
          <w:color w:val="auto"/>
          <w:sz w:val="22"/>
          <w:szCs w:val="22"/>
          <w:highlight w:val="none"/>
          <w:u w:val="single"/>
        </w:rPr>
        <w:t xml:space="preserve">姓名） </w:t>
      </w:r>
      <w:r>
        <w:rPr>
          <w:rFonts w:hAnsi="宋体"/>
          <w:color w:val="auto"/>
          <w:sz w:val="22"/>
          <w:szCs w:val="22"/>
          <w:highlight w:val="none"/>
        </w:rPr>
        <w:t>授权</w:t>
      </w:r>
      <w:r>
        <w:rPr>
          <w:rFonts w:hint="eastAsia" w:hAnsi="宋体"/>
          <w:color w:val="auto"/>
          <w:sz w:val="22"/>
          <w:szCs w:val="22"/>
          <w:highlight w:val="none"/>
          <w:u w:val="single"/>
        </w:rPr>
        <w:t xml:space="preserve">   （全权代表</w:t>
      </w:r>
      <w:r>
        <w:rPr>
          <w:rFonts w:hAnsi="宋体"/>
          <w:color w:val="auto"/>
          <w:sz w:val="22"/>
          <w:szCs w:val="22"/>
          <w:highlight w:val="none"/>
          <w:u w:val="single"/>
        </w:rPr>
        <w:t>姓名</w:t>
      </w:r>
      <w:r>
        <w:rPr>
          <w:rFonts w:hint="eastAsia" w:hAnsi="宋体"/>
          <w:color w:val="auto"/>
          <w:sz w:val="22"/>
          <w:szCs w:val="22"/>
          <w:highlight w:val="none"/>
          <w:u w:val="single"/>
        </w:rPr>
        <w:t xml:space="preserve">） </w:t>
      </w:r>
      <w:r>
        <w:rPr>
          <w:rFonts w:hAnsi="宋体"/>
          <w:color w:val="auto"/>
          <w:sz w:val="22"/>
          <w:szCs w:val="22"/>
          <w:highlight w:val="none"/>
        </w:rPr>
        <w:t>为</w:t>
      </w:r>
      <w:r>
        <w:rPr>
          <w:rFonts w:hint="eastAsia" w:hAnsi="宋体"/>
          <w:color w:val="auto"/>
          <w:sz w:val="22"/>
          <w:szCs w:val="22"/>
          <w:highlight w:val="none"/>
        </w:rPr>
        <w:t>全权代表</w:t>
      </w:r>
      <w:r>
        <w:rPr>
          <w:rFonts w:hAnsi="宋体"/>
          <w:color w:val="auto"/>
          <w:sz w:val="22"/>
          <w:szCs w:val="22"/>
          <w:highlight w:val="none"/>
        </w:rPr>
        <w:t>，参加贵单位组织的</w:t>
      </w:r>
      <w:r>
        <w:rPr>
          <w:rFonts w:hAnsi="宋体"/>
          <w:color w:val="auto"/>
          <w:sz w:val="22"/>
          <w:szCs w:val="22"/>
          <w:highlight w:val="none"/>
          <w:u w:val="single"/>
        </w:rPr>
        <w:tab/>
      </w:r>
      <w:r>
        <w:rPr>
          <w:rFonts w:hint="eastAsia" w:hAnsi="宋体"/>
          <w:color w:val="auto"/>
          <w:sz w:val="22"/>
          <w:szCs w:val="22"/>
          <w:highlight w:val="none"/>
          <w:u w:val="single"/>
        </w:rPr>
        <w:t xml:space="preserve">                           </w:t>
      </w:r>
      <w:r>
        <w:rPr>
          <w:rFonts w:hAnsi="宋体"/>
          <w:color w:val="auto"/>
          <w:sz w:val="22"/>
          <w:szCs w:val="22"/>
          <w:highlight w:val="none"/>
        </w:rPr>
        <w:t>项目</w:t>
      </w:r>
      <w:r>
        <w:rPr>
          <w:rFonts w:hint="eastAsia" w:hAnsi="宋体"/>
          <w:color w:val="auto"/>
          <w:kern w:val="0"/>
          <w:sz w:val="22"/>
          <w:szCs w:val="22"/>
          <w:highlight w:val="none"/>
        </w:rPr>
        <w:t>（编号为</w:t>
      </w:r>
      <w:r>
        <w:rPr>
          <w:rFonts w:hint="eastAsia" w:hAnsi="宋体"/>
          <w:color w:val="auto"/>
          <w:kern w:val="0"/>
          <w:sz w:val="22"/>
          <w:szCs w:val="22"/>
          <w:highlight w:val="none"/>
          <w:u w:val="single"/>
        </w:rPr>
        <w:t xml:space="preserve">           </w:t>
      </w:r>
      <w:r>
        <w:rPr>
          <w:rFonts w:hint="eastAsia" w:hAnsi="宋体"/>
          <w:color w:val="auto"/>
          <w:kern w:val="0"/>
          <w:sz w:val="22"/>
          <w:szCs w:val="22"/>
          <w:highlight w:val="none"/>
        </w:rPr>
        <w:t>）</w:t>
      </w:r>
      <w:r>
        <w:rPr>
          <w:rFonts w:hAnsi="宋体"/>
          <w:color w:val="auto"/>
          <w:sz w:val="22"/>
          <w:szCs w:val="22"/>
          <w:highlight w:val="none"/>
        </w:rPr>
        <w:t>的采购活动，并代表我方全权办理针对上述项目的投标、开标、评标、签约等具体事务和签署相关文件。</w:t>
      </w:r>
      <w:r>
        <w:rPr>
          <w:rFonts w:hint="eastAsia" w:hAnsi="宋体"/>
          <w:color w:val="auto"/>
          <w:sz w:val="22"/>
          <w:szCs w:val="22"/>
          <w:highlight w:val="none"/>
        </w:rPr>
        <w:t>我方对全权代表的签字事项负全部责任。</w:t>
      </w:r>
    </w:p>
    <w:p>
      <w:pPr>
        <w:pStyle w:val="6"/>
        <w:spacing w:line="360" w:lineRule="auto"/>
        <w:ind w:firstLine="440" w:firstLineChars="200"/>
        <w:rPr>
          <w:rFonts w:hAnsi="宋体"/>
          <w:color w:val="auto"/>
          <w:sz w:val="22"/>
          <w:szCs w:val="22"/>
          <w:highlight w:val="none"/>
        </w:rPr>
      </w:pPr>
      <w:r>
        <w:rPr>
          <w:rFonts w:hint="eastAsia" w:hAnsi="宋体"/>
          <w:color w:val="auto"/>
          <w:sz w:val="22"/>
          <w:szCs w:val="22"/>
          <w:highlight w:val="none"/>
        </w:rPr>
        <w:t>在撤销授权的书面通知以前，本授权书一直有效。全权代表在授权委托书有效期内签署的所有文件不因授权的撤销而失效。</w:t>
      </w:r>
    </w:p>
    <w:p>
      <w:pPr>
        <w:pStyle w:val="6"/>
        <w:spacing w:line="360" w:lineRule="auto"/>
        <w:ind w:firstLine="440" w:firstLineChars="200"/>
        <w:rPr>
          <w:rFonts w:hAnsi="宋体"/>
          <w:color w:val="auto"/>
          <w:sz w:val="22"/>
          <w:szCs w:val="22"/>
          <w:highlight w:val="none"/>
        </w:rPr>
      </w:pPr>
      <w:r>
        <w:rPr>
          <w:rFonts w:hint="eastAsia" w:hAnsi="宋体"/>
          <w:color w:val="auto"/>
          <w:sz w:val="22"/>
          <w:szCs w:val="22"/>
          <w:highlight w:val="none"/>
        </w:rPr>
        <w:t>全权代表无转委托权，特此委托。</w:t>
      </w:r>
    </w:p>
    <w:p>
      <w:pPr>
        <w:spacing w:line="360" w:lineRule="auto"/>
        <w:rPr>
          <w:color w:val="auto"/>
          <w:sz w:val="22"/>
          <w:szCs w:val="22"/>
          <w:highlight w:val="none"/>
        </w:rPr>
      </w:pPr>
    </w:p>
    <w:p>
      <w:pPr>
        <w:spacing w:line="360" w:lineRule="auto"/>
        <w:rPr>
          <w:color w:val="auto"/>
          <w:sz w:val="22"/>
          <w:szCs w:val="22"/>
          <w:highlight w:val="none"/>
        </w:rPr>
      </w:pPr>
      <w:r>
        <w:rPr>
          <w:rFonts w:hint="eastAsia" w:ascii="宋体"/>
          <w:color w:val="auto"/>
          <w:sz w:val="22"/>
          <w:szCs w:val="22"/>
          <w:highlight w:val="none"/>
        </w:rPr>
        <w:t>法定代表人签字或盖章：</w:t>
      </w:r>
    </w:p>
    <w:p>
      <w:pPr>
        <w:spacing w:line="360" w:lineRule="auto"/>
        <w:rPr>
          <w:color w:val="auto"/>
          <w:sz w:val="22"/>
          <w:szCs w:val="22"/>
          <w:highlight w:val="none"/>
        </w:rPr>
      </w:pPr>
      <w:r>
        <w:rPr>
          <w:rFonts w:hint="eastAsia" w:ascii="宋体"/>
          <w:color w:val="auto"/>
          <w:sz w:val="22"/>
          <w:szCs w:val="22"/>
          <w:highlight w:val="none"/>
          <w:lang w:eastAsia="zh-CN"/>
        </w:rPr>
        <w:t>供应商</w:t>
      </w:r>
      <w:r>
        <w:rPr>
          <w:rFonts w:hint="eastAsia" w:ascii="宋体"/>
          <w:color w:val="auto"/>
          <w:sz w:val="22"/>
          <w:szCs w:val="22"/>
          <w:highlight w:val="none"/>
        </w:rPr>
        <w:t>全称（公章）：                              日期：</w:t>
      </w:r>
    </w:p>
    <w:p>
      <w:pPr>
        <w:spacing w:line="360" w:lineRule="auto"/>
        <w:rPr>
          <w:b/>
          <w:color w:val="auto"/>
          <w:sz w:val="22"/>
          <w:szCs w:val="22"/>
          <w:highlight w:val="none"/>
        </w:rPr>
      </w:pPr>
      <w:r>
        <w:rPr>
          <w:rFonts w:hint="eastAsia" w:ascii="宋体"/>
          <w:b/>
          <w:color w:val="auto"/>
          <w:sz w:val="22"/>
          <w:szCs w:val="22"/>
          <w:highlight w:val="none"/>
        </w:rPr>
        <w:t>附：</w:t>
      </w:r>
    </w:p>
    <w:tbl>
      <w:tblPr>
        <w:tblStyle w:val="3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color w:val="auto"/>
                <w:sz w:val="22"/>
                <w:szCs w:val="22"/>
                <w:highlight w:val="none"/>
              </w:rPr>
            </w:pPr>
          </w:p>
          <w:p>
            <w:pPr>
              <w:spacing w:line="360" w:lineRule="auto"/>
              <w:ind w:firstLine="331" w:firstLineChars="150"/>
              <w:rPr>
                <w:rFonts w:ascii="宋体"/>
                <w:b/>
                <w:color w:val="auto"/>
                <w:sz w:val="22"/>
                <w:szCs w:val="22"/>
                <w:highlight w:val="none"/>
              </w:rPr>
            </w:pPr>
            <w:r>
              <w:rPr>
                <w:rFonts w:hint="eastAsia" w:ascii="宋体"/>
                <w:b/>
                <w:color w:val="auto"/>
                <w:sz w:val="22"/>
                <w:szCs w:val="22"/>
                <w:highlight w:val="none"/>
              </w:rPr>
              <w:t>法定代表身份证</w:t>
            </w:r>
          </w:p>
        </w:tc>
      </w:tr>
    </w:tbl>
    <w:p>
      <w:pPr>
        <w:spacing w:line="360" w:lineRule="auto"/>
        <w:rPr>
          <w:color w:val="auto"/>
          <w:sz w:val="22"/>
          <w:szCs w:val="22"/>
          <w:highlight w:val="none"/>
        </w:rPr>
      </w:pPr>
      <w:r>
        <w:rPr>
          <w:rFonts w:hint="eastAsia" w:ascii="宋体"/>
          <w:color w:val="auto"/>
          <w:sz w:val="22"/>
          <w:szCs w:val="22"/>
          <w:highlight w:val="none"/>
        </w:rPr>
        <w:t xml:space="preserve">法定代表人姓名：                                 </w:t>
      </w:r>
    </w:p>
    <w:p>
      <w:pPr>
        <w:spacing w:line="360" w:lineRule="auto"/>
        <w:rPr>
          <w:color w:val="auto"/>
          <w:sz w:val="22"/>
          <w:szCs w:val="22"/>
          <w:highlight w:val="none"/>
        </w:rPr>
      </w:pPr>
      <w:r>
        <w:rPr>
          <w:rFonts w:hint="eastAsia" w:ascii="宋体"/>
          <w:color w:val="auto"/>
          <w:sz w:val="22"/>
          <w:szCs w:val="22"/>
          <w:highlight w:val="none"/>
        </w:rPr>
        <w:t>传真：</w:t>
      </w:r>
    </w:p>
    <w:p>
      <w:pPr>
        <w:spacing w:line="360" w:lineRule="auto"/>
        <w:rPr>
          <w:rFonts w:ascii="宋体"/>
          <w:color w:val="auto"/>
          <w:sz w:val="22"/>
          <w:szCs w:val="22"/>
          <w:highlight w:val="none"/>
        </w:rPr>
      </w:pPr>
      <w:r>
        <w:rPr>
          <w:rFonts w:hint="eastAsia" w:ascii="宋体"/>
          <w:color w:val="auto"/>
          <w:sz w:val="22"/>
          <w:szCs w:val="22"/>
          <w:highlight w:val="none"/>
        </w:rPr>
        <w:t>电话：</w:t>
      </w:r>
    </w:p>
    <w:p>
      <w:pPr>
        <w:spacing w:line="360" w:lineRule="auto"/>
        <w:rPr>
          <w:color w:val="auto"/>
          <w:sz w:val="22"/>
          <w:szCs w:val="22"/>
          <w:highlight w:val="none"/>
        </w:rPr>
      </w:pPr>
      <w:r>
        <w:rPr>
          <w:rFonts w:hint="eastAsia" w:ascii="宋体"/>
          <w:color w:val="auto"/>
          <w:sz w:val="22"/>
          <w:szCs w:val="22"/>
          <w:highlight w:val="none"/>
        </w:rPr>
        <w:t>详细通讯地址：</w:t>
      </w:r>
    </w:p>
    <w:p>
      <w:pPr>
        <w:spacing w:line="360" w:lineRule="auto"/>
        <w:rPr>
          <w:rFonts w:ascii="宋体"/>
          <w:color w:val="auto"/>
          <w:sz w:val="22"/>
          <w:szCs w:val="22"/>
          <w:highlight w:val="none"/>
        </w:rPr>
      </w:pPr>
      <w:r>
        <w:rPr>
          <w:rFonts w:hint="eastAsia" w:ascii="宋体"/>
          <w:color w:val="auto"/>
          <w:sz w:val="22"/>
          <w:szCs w:val="22"/>
          <w:highlight w:val="none"/>
        </w:rPr>
        <w:t>邮政编码：</w:t>
      </w:r>
    </w:p>
    <w:p>
      <w:pPr>
        <w:spacing w:line="360" w:lineRule="auto"/>
        <w:rPr>
          <w:b/>
          <w:color w:val="auto"/>
          <w:sz w:val="22"/>
          <w:szCs w:val="22"/>
          <w:highlight w:val="none"/>
        </w:rPr>
      </w:pPr>
    </w:p>
    <w:tbl>
      <w:tblPr>
        <w:tblStyle w:val="3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color w:val="auto"/>
                <w:sz w:val="22"/>
                <w:szCs w:val="22"/>
                <w:highlight w:val="none"/>
              </w:rPr>
            </w:pPr>
          </w:p>
          <w:p>
            <w:pPr>
              <w:spacing w:line="360" w:lineRule="auto"/>
              <w:ind w:firstLine="331" w:firstLineChars="150"/>
              <w:rPr>
                <w:rFonts w:ascii="宋体"/>
                <w:b/>
                <w:color w:val="auto"/>
                <w:sz w:val="22"/>
                <w:szCs w:val="22"/>
                <w:highlight w:val="none"/>
              </w:rPr>
            </w:pPr>
            <w:r>
              <w:rPr>
                <w:rFonts w:hint="eastAsia" w:ascii="宋体"/>
                <w:b/>
                <w:color w:val="auto"/>
                <w:sz w:val="22"/>
                <w:szCs w:val="22"/>
                <w:highlight w:val="none"/>
              </w:rPr>
              <w:t>全权代表身份证</w:t>
            </w:r>
          </w:p>
        </w:tc>
      </w:tr>
    </w:tbl>
    <w:p>
      <w:pPr>
        <w:spacing w:line="360" w:lineRule="auto"/>
        <w:rPr>
          <w:rFonts w:ascii="宋体"/>
          <w:color w:val="auto"/>
          <w:sz w:val="22"/>
          <w:szCs w:val="22"/>
          <w:highlight w:val="none"/>
        </w:rPr>
      </w:pPr>
      <w:r>
        <w:rPr>
          <w:rFonts w:hint="eastAsia" w:ascii="宋体"/>
          <w:color w:val="auto"/>
          <w:sz w:val="22"/>
          <w:szCs w:val="22"/>
          <w:highlight w:val="none"/>
        </w:rPr>
        <w:t xml:space="preserve">全权代表姓名：       </w:t>
      </w:r>
    </w:p>
    <w:p>
      <w:pPr>
        <w:spacing w:line="360" w:lineRule="auto"/>
        <w:rPr>
          <w:color w:val="auto"/>
          <w:sz w:val="22"/>
          <w:szCs w:val="22"/>
          <w:highlight w:val="none"/>
        </w:rPr>
      </w:pPr>
      <w:r>
        <w:rPr>
          <w:rFonts w:hint="eastAsia" w:ascii="宋体"/>
          <w:color w:val="auto"/>
          <w:sz w:val="22"/>
          <w:szCs w:val="22"/>
          <w:highlight w:val="none"/>
        </w:rPr>
        <w:t xml:space="preserve">职务：                           </w:t>
      </w:r>
    </w:p>
    <w:p>
      <w:pPr>
        <w:spacing w:line="360" w:lineRule="auto"/>
        <w:rPr>
          <w:color w:val="auto"/>
          <w:sz w:val="22"/>
          <w:szCs w:val="22"/>
          <w:highlight w:val="none"/>
        </w:rPr>
      </w:pPr>
      <w:r>
        <w:rPr>
          <w:rFonts w:hint="eastAsia" w:ascii="宋体"/>
          <w:color w:val="auto"/>
          <w:sz w:val="22"/>
          <w:szCs w:val="22"/>
          <w:highlight w:val="none"/>
        </w:rPr>
        <w:t>传真：</w:t>
      </w:r>
    </w:p>
    <w:p>
      <w:pPr>
        <w:spacing w:line="360" w:lineRule="auto"/>
        <w:rPr>
          <w:rFonts w:ascii="宋体"/>
          <w:color w:val="auto"/>
          <w:sz w:val="22"/>
          <w:szCs w:val="22"/>
          <w:highlight w:val="none"/>
        </w:rPr>
      </w:pPr>
      <w:r>
        <w:rPr>
          <w:rFonts w:hint="eastAsia" w:ascii="宋体"/>
          <w:color w:val="auto"/>
          <w:sz w:val="22"/>
          <w:szCs w:val="22"/>
          <w:highlight w:val="none"/>
        </w:rPr>
        <w:t>电话：</w:t>
      </w:r>
    </w:p>
    <w:p>
      <w:pPr>
        <w:spacing w:line="360" w:lineRule="auto"/>
        <w:rPr>
          <w:color w:val="auto"/>
          <w:sz w:val="22"/>
          <w:szCs w:val="22"/>
          <w:highlight w:val="none"/>
        </w:rPr>
      </w:pPr>
      <w:r>
        <w:rPr>
          <w:rFonts w:hint="eastAsia" w:ascii="宋体"/>
          <w:color w:val="auto"/>
          <w:sz w:val="22"/>
          <w:szCs w:val="22"/>
          <w:highlight w:val="none"/>
        </w:rPr>
        <w:t>详细通讯地址：</w:t>
      </w:r>
    </w:p>
    <w:p>
      <w:pPr>
        <w:spacing w:line="360" w:lineRule="auto"/>
        <w:rPr>
          <w:rFonts w:ascii="宋体"/>
          <w:color w:val="auto"/>
          <w:sz w:val="22"/>
          <w:szCs w:val="22"/>
          <w:highlight w:val="none"/>
        </w:rPr>
      </w:pPr>
      <w:r>
        <w:rPr>
          <w:rFonts w:hint="eastAsia" w:ascii="宋体"/>
          <w:color w:val="auto"/>
          <w:sz w:val="22"/>
          <w:szCs w:val="22"/>
          <w:highlight w:val="none"/>
        </w:rPr>
        <w:t>邮政编码：</w:t>
      </w:r>
    </w:p>
    <w:p>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eastAsia="宋体" w:cs="Times New Roman"/>
          <w:b/>
          <w:color w:val="auto"/>
          <w:sz w:val="28"/>
          <w:highlight w:val="none"/>
        </w:rPr>
        <w:t>附件3</w:t>
      </w:r>
    </w:p>
    <w:p>
      <w:pPr>
        <w:widowControl/>
        <w:adjustRightInd w:val="0"/>
        <w:snapToGrid w:val="0"/>
        <w:spacing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pPr>
        <w:widowControl/>
        <w:adjustRightInd w:val="0"/>
        <w:snapToGrid w:val="0"/>
        <w:spacing w:line="360" w:lineRule="auto"/>
        <w:jc w:val="center"/>
        <w:rPr>
          <w:rFonts w:ascii="宋体" w:hAnsi="宋体"/>
          <w:b/>
          <w:color w:val="auto"/>
          <w:kern w:val="0"/>
          <w:sz w:val="32"/>
          <w:szCs w:val="32"/>
          <w:highlight w:val="none"/>
        </w:rPr>
      </w:pPr>
    </w:p>
    <w:p>
      <w:pPr>
        <w:widowControl/>
        <w:adjustRightInd w:val="0"/>
        <w:snapToGrid w:val="0"/>
        <w:spacing w:line="360" w:lineRule="auto"/>
        <w:jc w:val="left"/>
        <w:rPr>
          <w:rFonts w:ascii="宋体" w:hAnsi="宋体"/>
          <w:color w:val="auto"/>
          <w:kern w:val="0"/>
          <w:sz w:val="22"/>
          <w:szCs w:val="22"/>
          <w:highlight w:val="none"/>
        </w:rPr>
      </w:pPr>
      <w:r>
        <w:rPr>
          <w:rFonts w:hint="eastAsia" w:ascii="宋体" w:hAnsi="宋体"/>
          <w:color w:val="auto"/>
          <w:kern w:val="0"/>
          <w:sz w:val="22"/>
          <w:szCs w:val="22"/>
          <w:highlight w:val="none"/>
        </w:rPr>
        <w:t>（如依法免税的，应提供相应文件证明其依法免税；如依法不需要缴纳社会保障资金的，应提供相应文件证明其依法不需要缴纳社会保障资金。）</w:t>
      </w:r>
    </w:p>
    <w:p>
      <w:pPr>
        <w:adjustRightInd w:val="0"/>
        <w:snapToGrid w:val="0"/>
        <w:spacing w:line="360" w:lineRule="auto"/>
        <w:jc w:val="left"/>
        <w:rPr>
          <w:rFonts w:ascii="宋体" w:hAnsi="宋体"/>
          <w:b/>
          <w:color w:val="auto"/>
          <w:kern w:val="0"/>
          <w:sz w:val="22"/>
          <w:szCs w:val="22"/>
          <w:highlight w:val="none"/>
        </w:rPr>
      </w:pPr>
    </w:p>
    <w:p>
      <w:pPr>
        <w:widowControl/>
        <w:shd w:val="clear" w:color="auto" w:fill="FFFFFF"/>
        <w:spacing w:before="100" w:beforeAutospacing="1" w:after="100" w:afterAutospacing="1" w:line="360" w:lineRule="auto"/>
        <w:jc w:val="left"/>
        <w:rPr>
          <w:rFonts w:ascii="宋体" w:hAnsi="宋体"/>
          <w:color w:val="auto"/>
          <w:kern w:val="0"/>
          <w:sz w:val="22"/>
          <w:szCs w:val="22"/>
          <w:highlight w:val="none"/>
        </w:rPr>
      </w:pPr>
      <w:r>
        <w:rPr>
          <w:rFonts w:hint="eastAsia" w:ascii="宋体" w:hAnsi="宋体"/>
          <w:color w:val="auto"/>
          <w:kern w:val="0"/>
          <w:sz w:val="22"/>
          <w:szCs w:val="22"/>
          <w:highlight w:val="none"/>
          <w:u w:val="single"/>
          <w:lang w:eastAsia="zh-CN"/>
        </w:rPr>
        <w:t>台州市自然资源和规划信息中心</w:t>
      </w:r>
      <w:r>
        <w:rPr>
          <w:rFonts w:ascii="宋体" w:hAnsi="宋体"/>
          <w:color w:val="auto"/>
          <w:kern w:val="0"/>
          <w:sz w:val="22"/>
          <w:szCs w:val="22"/>
          <w:highlight w:val="none"/>
        </w:rPr>
        <w:t>：</w:t>
      </w:r>
    </w:p>
    <w:p>
      <w:pPr>
        <w:widowControl/>
        <w:shd w:val="clear" w:color="auto" w:fill="FFFFFF"/>
        <w:spacing w:before="100" w:beforeAutospacing="1" w:after="100" w:afterAutospacing="1"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我单位</w:t>
      </w:r>
      <w:r>
        <w:rPr>
          <w:rFonts w:hint="eastAsia" w:ascii="宋体" w:hAnsi="宋体"/>
          <w:color w:val="auto"/>
          <w:kern w:val="0"/>
          <w:sz w:val="22"/>
          <w:szCs w:val="22"/>
          <w:highlight w:val="none"/>
        </w:rPr>
        <w:t>具有</w:t>
      </w:r>
      <w:r>
        <w:rPr>
          <w:rFonts w:ascii="宋体" w:hAnsi="宋体"/>
          <w:color w:val="auto"/>
          <w:kern w:val="0"/>
          <w:sz w:val="22"/>
          <w:szCs w:val="22"/>
          <w:highlight w:val="none"/>
        </w:rPr>
        <w:t>依法缴纳税收和</w:t>
      </w:r>
      <w:r>
        <w:rPr>
          <w:rFonts w:hint="eastAsia" w:ascii="宋体" w:hAnsi="宋体"/>
          <w:color w:val="auto"/>
          <w:kern w:val="0"/>
          <w:sz w:val="22"/>
          <w:szCs w:val="22"/>
          <w:highlight w:val="none"/>
        </w:rPr>
        <w:t>社会保障资金</w:t>
      </w:r>
      <w:r>
        <w:rPr>
          <w:rFonts w:ascii="宋体" w:hAnsi="宋体"/>
          <w:color w:val="auto"/>
          <w:kern w:val="0"/>
          <w:sz w:val="22"/>
          <w:szCs w:val="22"/>
          <w:highlight w:val="none"/>
        </w:rPr>
        <w:t>。如本声明失实，我单位自愿承担被取消成交资格等责任。</w:t>
      </w:r>
    </w:p>
    <w:p>
      <w:pPr>
        <w:widowControl/>
        <w:shd w:val="clear" w:color="auto" w:fill="FFFFFF"/>
        <w:spacing w:before="100" w:beforeAutospacing="1" w:after="100" w:afterAutospacing="1"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特此声明</w:t>
      </w:r>
      <w:r>
        <w:rPr>
          <w:rFonts w:hint="eastAsia" w:ascii="宋体" w:hAnsi="宋体"/>
          <w:color w:val="auto"/>
          <w:kern w:val="0"/>
          <w:sz w:val="22"/>
          <w:szCs w:val="22"/>
          <w:highlight w:val="none"/>
        </w:rPr>
        <w:t>。</w:t>
      </w:r>
    </w:p>
    <w:p>
      <w:pPr>
        <w:adjustRightInd w:val="0"/>
        <w:snapToGrid w:val="0"/>
        <w:spacing w:line="360" w:lineRule="auto"/>
        <w:ind w:firstLine="4435" w:firstLineChars="2016"/>
        <w:rPr>
          <w:rFonts w:ascii="宋体" w:hAnsi="宋体" w:cs="仿宋_GB2312"/>
          <w:color w:val="auto"/>
          <w:kern w:val="0"/>
          <w:sz w:val="22"/>
          <w:szCs w:val="22"/>
          <w:highlight w:val="none"/>
          <w:lang w:val="zh-CN"/>
        </w:rPr>
      </w:pPr>
      <w:r>
        <w:rPr>
          <w:rFonts w:hint="eastAsia" w:ascii="宋体" w:hAnsi="宋体" w:cs="仿宋_GB2312"/>
          <w:color w:val="auto"/>
          <w:kern w:val="0"/>
          <w:sz w:val="22"/>
          <w:szCs w:val="22"/>
          <w:highlight w:val="none"/>
          <w:lang w:val="zh-CN"/>
        </w:rPr>
        <w:t>供应商名称（公章）：</w:t>
      </w:r>
    </w:p>
    <w:p>
      <w:pPr>
        <w:adjustRightInd w:val="0"/>
        <w:snapToGrid w:val="0"/>
        <w:spacing w:line="360" w:lineRule="auto"/>
        <w:ind w:firstLine="4435" w:firstLineChars="2016"/>
        <w:rPr>
          <w:rFonts w:ascii="宋体" w:hAnsi="宋体" w:cs="仿宋_GB2312"/>
          <w:color w:val="auto"/>
          <w:kern w:val="0"/>
          <w:sz w:val="22"/>
          <w:szCs w:val="22"/>
          <w:highlight w:val="none"/>
          <w:lang w:val="zh-CN"/>
        </w:rPr>
      </w:pPr>
      <w:r>
        <w:rPr>
          <w:rFonts w:hint="eastAsia" w:ascii="宋体" w:hAnsi="宋体" w:cs="仿宋_GB2312"/>
          <w:color w:val="auto"/>
          <w:kern w:val="0"/>
          <w:sz w:val="22"/>
          <w:szCs w:val="22"/>
          <w:highlight w:val="none"/>
          <w:lang w:val="zh-CN"/>
        </w:rPr>
        <w:t>法定代表人或授权委托人签字：</w:t>
      </w:r>
    </w:p>
    <w:p>
      <w:pPr>
        <w:adjustRightInd w:val="0"/>
        <w:snapToGrid w:val="0"/>
        <w:spacing w:line="360" w:lineRule="auto"/>
        <w:ind w:firstLine="4435" w:firstLineChars="2016"/>
        <w:rPr>
          <w:rFonts w:ascii="宋体" w:hAnsi="宋体" w:cs="仿宋_GB2312"/>
          <w:color w:val="auto"/>
          <w:kern w:val="0"/>
          <w:sz w:val="22"/>
          <w:szCs w:val="22"/>
          <w:highlight w:val="none"/>
          <w:lang w:val="zh-CN"/>
        </w:rPr>
      </w:pPr>
      <w:r>
        <w:rPr>
          <w:rFonts w:hint="eastAsia" w:ascii="宋体" w:hAnsi="宋体" w:cs="仿宋_GB2312"/>
          <w:color w:val="auto"/>
          <w:kern w:val="0"/>
          <w:sz w:val="22"/>
          <w:szCs w:val="22"/>
          <w:highlight w:val="none"/>
          <w:lang w:val="zh-CN"/>
        </w:rPr>
        <w:t>日期：</w:t>
      </w:r>
      <w:r>
        <w:rPr>
          <w:rFonts w:hint="eastAsia" w:ascii="宋体" w:hAnsi="宋体" w:cs="宋体"/>
          <w:color w:val="auto"/>
          <w:sz w:val="22"/>
          <w:szCs w:val="22"/>
          <w:highlight w:val="none"/>
        </w:rPr>
        <w:t>××</w:t>
      </w:r>
      <w:r>
        <w:rPr>
          <w:rFonts w:hint="eastAsia" w:ascii="宋体" w:hAnsi="宋体" w:cs="仿宋_GB2312"/>
          <w:color w:val="auto"/>
          <w:kern w:val="0"/>
          <w:sz w:val="22"/>
          <w:szCs w:val="22"/>
          <w:highlight w:val="none"/>
          <w:lang w:val="zh-CN"/>
        </w:rPr>
        <w:t xml:space="preserve">年 </w:t>
      </w:r>
      <w:r>
        <w:rPr>
          <w:rFonts w:hint="eastAsia" w:ascii="宋体" w:hAnsi="宋体" w:cs="宋体"/>
          <w:color w:val="auto"/>
          <w:sz w:val="22"/>
          <w:szCs w:val="22"/>
          <w:highlight w:val="none"/>
        </w:rPr>
        <w:t>××</w:t>
      </w:r>
      <w:r>
        <w:rPr>
          <w:rFonts w:hint="eastAsia" w:ascii="宋体" w:hAnsi="宋体" w:cs="仿宋_GB2312"/>
          <w:color w:val="auto"/>
          <w:kern w:val="0"/>
          <w:sz w:val="22"/>
          <w:szCs w:val="22"/>
          <w:highlight w:val="none"/>
          <w:lang w:val="zh-CN"/>
        </w:rPr>
        <w:t xml:space="preserve"> 月 </w:t>
      </w:r>
      <w:r>
        <w:rPr>
          <w:rFonts w:hint="eastAsia" w:ascii="宋体" w:hAnsi="宋体" w:cs="宋体"/>
          <w:color w:val="auto"/>
          <w:sz w:val="22"/>
          <w:szCs w:val="22"/>
          <w:highlight w:val="none"/>
        </w:rPr>
        <w:t>××</w:t>
      </w:r>
      <w:r>
        <w:rPr>
          <w:rFonts w:hint="eastAsia" w:ascii="宋体" w:hAnsi="宋体" w:cs="仿宋_GB2312"/>
          <w:color w:val="auto"/>
          <w:kern w:val="0"/>
          <w:sz w:val="22"/>
          <w:szCs w:val="22"/>
          <w:highlight w:val="none"/>
          <w:lang w:val="zh-CN"/>
        </w:rPr>
        <w:t xml:space="preserve"> 日</w:t>
      </w:r>
    </w:p>
    <w:p>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eastAsia="宋体" w:cs="Times New Roman"/>
          <w:b/>
          <w:color w:val="auto"/>
          <w:sz w:val="28"/>
          <w:highlight w:val="none"/>
        </w:rPr>
        <w:t>附件4</w:t>
      </w:r>
    </w:p>
    <w:p>
      <w:pPr>
        <w:spacing w:line="360" w:lineRule="auto"/>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pPr>
        <w:spacing w:line="360" w:lineRule="auto"/>
        <w:jc w:val="center"/>
        <w:rPr>
          <w:rFonts w:ascii="宋体" w:hAnsi="宋体"/>
          <w:b/>
          <w:color w:val="auto"/>
          <w:kern w:val="0"/>
          <w:sz w:val="32"/>
          <w:szCs w:val="32"/>
          <w:highlight w:val="none"/>
        </w:rPr>
      </w:pPr>
    </w:p>
    <w:p>
      <w:pPr>
        <w:widowControl/>
        <w:shd w:val="clear" w:color="auto" w:fill="FFFFFF"/>
        <w:spacing w:before="100" w:beforeAutospacing="1" w:after="100" w:afterAutospacing="1" w:line="360" w:lineRule="auto"/>
        <w:jc w:val="left"/>
        <w:rPr>
          <w:rFonts w:ascii="宋体" w:hAnsi="宋体"/>
          <w:color w:val="auto"/>
          <w:kern w:val="0"/>
          <w:sz w:val="22"/>
          <w:szCs w:val="22"/>
          <w:highlight w:val="none"/>
        </w:rPr>
      </w:pPr>
      <w:r>
        <w:rPr>
          <w:rFonts w:hint="eastAsia" w:ascii="宋体" w:hAnsi="宋体"/>
          <w:color w:val="auto"/>
          <w:kern w:val="0"/>
          <w:sz w:val="22"/>
          <w:szCs w:val="22"/>
          <w:highlight w:val="none"/>
          <w:u w:val="single"/>
          <w:lang w:eastAsia="zh-CN"/>
        </w:rPr>
        <w:t>台州市自然资源和规划信息中心</w:t>
      </w:r>
      <w:r>
        <w:rPr>
          <w:rFonts w:ascii="宋体" w:hAnsi="宋体"/>
          <w:color w:val="auto"/>
          <w:kern w:val="0"/>
          <w:sz w:val="22"/>
          <w:szCs w:val="22"/>
          <w:highlight w:val="none"/>
        </w:rPr>
        <w:t>：</w:t>
      </w:r>
    </w:p>
    <w:p>
      <w:pPr>
        <w:widowControl/>
        <w:shd w:val="clear" w:color="auto" w:fill="FFFFFF"/>
        <w:spacing w:before="100" w:beforeAutospacing="1" w:after="100" w:afterAutospacing="1"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特此声明</w:t>
      </w:r>
      <w:r>
        <w:rPr>
          <w:rFonts w:hint="eastAsia" w:ascii="宋体" w:hAnsi="宋体"/>
          <w:color w:val="auto"/>
          <w:kern w:val="0"/>
          <w:sz w:val="22"/>
          <w:szCs w:val="22"/>
          <w:highlight w:val="none"/>
        </w:rPr>
        <w:t>。</w:t>
      </w:r>
    </w:p>
    <w:p>
      <w:pPr>
        <w:adjustRightInd w:val="0"/>
        <w:snapToGrid w:val="0"/>
        <w:spacing w:line="360" w:lineRule="auto"/>
        <w:ind w:firstLine="4435" w:firstLineChars="2016"/>
        <w:rPr>
          <w:rFonts w:ascii="宋体" w:hAnsi="宋体" w:cs="仿宋_GB2312"/>
          <w:color w:val="auto"/>
          <w:kern w:val="0"/>
          <w:sz w:val="22"/>
          <w:szCs w:val="22"/>
          <w:highlight w:val="none"/>
          <w:lang w:val="zh-CN"/>
        </w:rPr>
      </w:pPr>
      <w:r>
        <w:rPr>
          <w:rFonts w:hint="eastAsia" w:ascii="宋体" w:hAnsi="宋体" w:cs="仿宋_GB2312"/>
          <w:color w:val="auto"/>
          <w:kern w:val="0"/>
          <w:sz w:val="22"/>
          <w:szCs w:val="22"/>
          <w:highlight w:val="none"/>
          <w:lang w:val="zh-CN"/>
        </w:rPr>
        <w:t>供应商名称（公章）：</w:t>
      </w:r>
    </w:p>
    <w:p>
      <w:pPr>
        <w:adjustRightInd w:val="0"/>
        <w:snapToGrid w:val="0"/>
        <w:spacing w:line="360" w:lineRule="auto"/>
        <w:ind w:firstLine="4435" w:firstLineChars="2016"/>
        <w:rPr>
          <w:rFonts w:ascii="宋体" w:hAnsi="宋体" w:cs="仿宋_GB2312"/>
          <w:color w:val="auto"/>
          <w:kern w:val="0"/>
          <w:sz w:val="22"/>
          <w:szCs w:val="22"/>
          <w:highlight w:val="none"/>
          <w:lang w:val="zh-CN"/>
        </w:rPr>
      </w:pPr>
      <w:r>
        <w:rPr>
          <w:rFonts w:hint="eastAsia" w:ascii="宋体" w:hAnsi="宋体" w:cs="仿宋_GB2312"/>
          <w:color w:val="auto"/>
          <w:kern w:val="0"/>
          <w:sz w:val="22"/>
          <w:szCs w:val="22"/>
          <w:highlight w:val="none"/>
          <w:lang w:val="zh-CN"/>
        </w:rPr>
        <w:t>法定代表人或授权委托人签字：</w:t>
      </w:r>
    </w:p>
    <w:p>
      <w:pPr>
        <w:adjustRightInd w:val="0"/>
        <w:snapToGrid w:val="0"/>
        <w:spacing w:line="360" w:lineRule="auto"/>
        <w:ind w:firstLine="4435" w:firstLineChars="2016"/>
        <w:rPr>
          <w:rFonts w:ascii="宋体" w:hAnsi="宋体" w:cs="仿宋_GB2312"/>
          <w:color w:val="auto"/>
          <w:kern w:val="0"/>
          <w:sz w:val="22"/>
          <w:szCs w:val="22"/>
          <w:highlight w:val="none"/>
          <w:lang w:val="zh-CN"/>
        </w:rPr>
      </w:pPr>
      <w:r>
        <w:rPr>
          <w:rFonts w:hint="eastAsia" w:ascii="宋体" w:hAnsi="宋体" w:cs="仿宋_GB2312"/>
          <w:color w:val="auto"/>
          <w:kern w:val="0"/>
          <w:sz w:val="22"/>
          <w:szCs w:val="22"/>
          <w:highlight w:val="none"/>
          <w:lang w:val="zh-CN"/>
        </w:rPr>
        <w:t>日期：</w:t>
      </w:r>
      <w:r>
        <w:rPr>
          <w:rFonts w:hint="eastAsia" w:ascii="宋体" w:hAnsi="宋体" w:cs="宋体"/>
          <w:color w:val="auto"/>
          <w:sz w:val="22"/>
          <w:szCs w:val="22"/>
          <w:highlight w:val="none"/>
        </w:rPr>
        <w:t>××</w:t>
      </w:r>
      <w:r>
        <w:rPr>
          <w:rFonts w:hint="eastAsia" w:ascii="宋体" w:hAnsi="宋体" w:cs="仿宋_GB2312"/>
          <w:color w:val="auto"/>
          <w:kern w:val="0"/>
          <w:sz w:val="22"/>
          <w:szCs w:val="22"/>
          <w:highlight w:val="none"/>
          <w:lang w:val="zh-CN"/>
        </w:rPr>
        <w:t xml:space="preserve">年 </w:t>
      </w:r>
      <w:r>
        <w:rPr>
          <w:rFonts w:hint="eastAsia" w:ascii="宋体" w:hAnsi="宋体" w:cs="宋体"/>
          <w:color w:val="auto"/>
          <w:sz w:val="22"/>
          <w:szCs w:val="22"/>
          <w:highlight w:val="none"/>
        </w:rPr>
        <w:t>××</w:t>
      </w:r>
      <w:r>
        <w:rPr>
          <w:rFonts w:hint="eastAsia" w:ascii="宋体" w:hAnsi="宋体" w:cs="仿宋_GB2312"/>
          <w:color w:val="auto"/>
          <w:kern w:val="0"/>
          <w:sz w:val="22"/>
          <w:szCs w:val="22"/>
          <w:highlight w:val="none"/>
          <w:lang w:val="zh-CN"/>
        </w:rPr>
        <w:t xml:space="preserve"> 月 </w:t>
      </w:r>
      <w:r>
        <w:rPr>
          <w:rFonts w:hint="eastAsia" w:ascii="宋体" w:hAnsi="宋体" w:cs="宋体"/>
          <w:color w:val="auto"/>
          <w:sz w:val="22"/>
          <w:szCs w:val="22"/>
          <w:highlight w:val="none"/>
        </w:rPr>
        <w:t>××</w:t>
      </w:r>
      <w:r>
        <w:rPr>
          <w:rFonts w:hint="eastAsia" w:ascii="宋体" w:hAnsi="宋体" w:cs="仿宋_GB2312"/>
          <w:color w:val="auto"/>
          <w:kern w:val="0"/>
          <w:sz w:val="22"/>
          <w:szCs w:val="22"/>
          <w:highlight w:val="none"/>
          <w:lang w:val="zh-CN"/>
        </w:rPr>
        <w:t xml:space="preserve"> 日</w:t>
      </w:r>
    </w:p>
    <w:p>
      <w:pPr>
        <w:spacing w:line="360" w:lineRule="auto"/>
        <w:jc w:val="center"/>
        <w:rPr>
          <w:rFonts w:ascii="宋体" w:hAnsi="宋体"/>
          <w:b/>
          <w:color w:val="auto"/>
          <w:kern w:val="0"/>
          <w:sz w:val="32"/>
          <w:szCs w:val="32"/>
          <w:highlight w:val="none"/>
        </w:rPr>
      </w:pPr>
    </w:p>
    <w:p>
      <w:pPr>
        <w:spacing w:line="360" w:lineRule="auto"/>
        <w:jc w:val="center"/>
        <w:rPr>
          <w:rFonts w:ascii="宋体" w:hAnsi="宋体"/>
          <w:b/>
          <w:color w:val="auto"/>
          <w:kern w:val="0"/>
          <w:sz w:val="32"/>
          <w:szCs w:val="32"/>
          <w:highlight w:val="none"/>
        </w:rPr>
      </w:pPr>
    </w:p>
    <w:p>
      <w:pPr>
        <w:spacing w:line="360" w:lineRule="auto"/>
        <w:rPr>
          <w:rFonts w:ascii="宋体" w:hAnsi="宋体"/>
          <w:b/>
          <w:color w:val="auto"/>
          <w:kern w:val="0"/>
          <w:sz w:val="32"/>
          <w:szCs w:val="32"/>
          <w:highlight w:val="none"/>
        </w:rPr>
      </w:pPr>
      <w:r>
        <w:rPr>
          <w:rFonts w:ascii="宋体" w:hAnsi="宋体"/>
          <w:b/>
          <w:color w:val="auto"/>
          <w:kern w:val="0"/>
          <w:sz w:val="32"/>
          <w:szCs w:val="32"/>
          <w:highlight w:val="none"/>
        </w:rPr>
        <w:br w:type="page"/>
      </w:r>
      <w:r>
        <w:rPr>
          <w:rFonts w:hint="eastAsia" w:ascii="宋体" w:hAnsi="宋体" w:eastAsia="宋体" w:cs="Times New Roman"/>
          <w:b/>
          <w:color w:val="auto"/>
          <w:sz w:val="28"/>
          <w:highlight w:val="none"/>
        </w:rPr>
        <w:t>附件5</w:t>
      </w:r>
    </w:p>
    <w:p>
      <w:pPr>
        <w:spacing w:line="360" w:lineRule="auto"/>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pPr>
        <w:spacing w:line="360" w:lineRule="auto"/>
        <w:jc w:val="center"/>
        <w:rPr>
          <w:rFonts w:ascii="宋体" w:hAnsi="宋体"/>
          <w:b/>
          <w:color w:val="auto"/>
          <w:sz w:val="28"/>
          <w:highlight w:val="none"/>
        </w:rPr>
      </w:pPr>
    </w:p>
    <w:p>
      <w:pPr>
        <w:widowControl/>
        <w:shd w:val="clear" w:color="auto" w:fill="FFFFFF"/>
        <w:snapToGrid w:val="0"/>
        <w:spacing w:after="50" w:line="360" w:lineRule="auto"/>
        <w:jc w:val="left"/>
        <w:rPr>
          <w:rFonts w:ascii="宋体" w:hAnsi="宋体"/>
          <w:color w:val="auto"/>
          <w:kern w:val="0"/>
          <w:sz w:val="22"/>
          <w:szCs w:val="22"/>
          <w:highlight w:val="none"/>
        </w:rPr>
      </w:pPr>
      <w:r>
        <w:rPr>
          <w:rFonts w:hint="eastAsia" w:ascii="宋体" w:hAnsi="宋体"/>
          <w:color w:val="auto"/>
          <w:kern w:val="0"/>
          <w:sz w:val="22"/>
          <w:szCs w:val="22"/>
          <w:highlight w:val="none"/>
          <w:u w:val="single"/>
          <w:lang w:eastAsia="zh-CN"/>
        </w:rPr>
        <w:t>台州市自然资源和规划信息中心</w:t>
      </w:r>
      <w:r>
        <w:rPr>
          <w:rFonts w:ascii="宋体" w:hAnsi="宋体"/>
          <w:color w:val="auto"/>
          <w:kern w:val="0"/>
          <w:sz w:val="22"/>
          <w:szCs w:val="22"/>
          <w:highlight w:val="none"/>
        </w:rPr>
        <w:t>：</w:t>
      </w:r>
    </w:p>
    <w:p>
      <w:pPr>
        <w:widowControl/>
        <w:shd w:val="clear" w:color="auto" w:fill="FFFFFF"/>
        <w:spacing w:before="100" w:beforeAutospacing="1" w:after="100" w:afterAutospacing="1"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若我单位有幸成为</w:t>
      </w:r>
      <w:r>
        <w:rPr>
          <w:rFonts w:hint="eastAsia" w:ascii="宋体" w:hAnsi="宋体"/>
          <w:color w:val="auto"/>
          <w:sz w:val="22"/>
          <w:szCs w:val="22"/>
          <w:highlight w:val="none"/>
          <w:u w:val="single"/>
          <w:lang w:eastAsia="zh-CN"/>
        </w:rPr>
        <w:t>自然资源和规划信息系统安全等保测评项目</w:t>
      </w:r>
      <w:r>
        <w:rPr>
          <w:rFonts w:hint="eastAsia" w:hAnsi="宋体"/>
          <w:color w:val="auto"/>
          <w:sz w:val="22"/>
          <w:szCs w:val="22"/>
          <w:highlight w:val="none"/>
        </w:rPr>
        <w:t>（</w:t>
      </w:r>
      <w:r>
        <w:rPr>
          <w:rFonts w:hint="eastAsia" w:ascii="宋体" w:hAnsi="宋体" w:cs="宋体"/>
          <w:color w:val="auto"/>
          <w:kern w:val="0"/>
          <w:sz w:val="22"/>
          <w:szCs w:val="22"/>
          <w:highlight w:val="none"/>
        </w:rPr>
        <w:t>编号为</w:t>
      </w:r>
      <w:r>
        <w:rPr>
          <w:rFonts w:hint="eastAsia" w:ascii="宋体" w:hAnsi="宋体" w:cs="宋体"/>
          <w:color w:val="auto"/>
          <w:sz w:val="22"/>
          <w:szCs w:val="22"/>
          <w:highlight w:val="none"/>
          <w:u w:val="single"/>
          <w:lang w:eastAsia="zh-CN"/>
        </w:rPr>
        <w:t>TZCCC-【202</w:t>
      </w:r>
      <w:r>
        <w:rPr>
          <w:rFonts w:hint="eastAsia" w:ascii="宋体" w:hAnsi="宋体" w:cs="宋体"/>
          <w:color w:val="auto"/>
          <w:sz w:val="22"/>
          <w:szCs w:val="22"/>
          <w:highlight w:val="none"/>
          <w:u w:val="single"/>
          <w:lang w:val="en-US" w:eastAsia="zh-CN"/>
        </w:rPr>
        <w:t>5</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eastAsia="zh-CN"/>
        </w:rPr>
        <w:t>号</w:t>
      </w:r>
      <w:r>
        <w:rPr>
          <w:rFonts w:hint="eastAsia" w:hAnsi="宋体" w:cs="宋体"/>
          <w:color w:val="auto"/>
          <w:kern w:val="0"/>
          <w:sz w:val="22"/>
          <w:szCs w:val="22"/>
          <w:highlight w:val="none"/>
        </w:rPr>
        <w:t>）</w:t>
      </w:r>
      <w:r>
        <w:rPr>
          <w:rFonts w:ascii="宋体" w:hAnsi="宋体"/>
          <w:color w:val="auto"/>
          <w:kern w:val="0"/>
          <w:sz w:val="22"/>
          <w:szCs w:val="22"/>
          <w:highlight w:val="none"/>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40" w:firstLineChars="200"/>
        <w:jc w:val="left"/>
        <w:rPr>
          <w:rFonts w:ascii="宋体" w:hAnsi="宋体"/>
          <w:color w:val="auto"/>
          <w:kern w:val="0"/>
          <w:sz w:val="22"/>
          <w:szCs w:val="22"/>
          <w:highlight w:val="none"/>
        </w:rPr>
      </w:pPr>
    </w:p>
    <w:p>
      <w:pPr>
        <w:widowControl/>
        <w:shd w:val="clear" w:color="auto" w:fill="FFFFFF"/>
        <w:spacing w:before="100" w:beforeAutospacing="1" w:after="100" w:afterAutospacing="1"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特此声明</w:t>
      </w:r>
      <w:r>
        <w:rPr>
          <w:rFonts w:hint="eastAsia" w:ascii="宋体" w:hAnsi="宋体"/>
          <w:color w:val="auto"/>
          <w:kern w:val="0"/>
          <w:sz w:val="22"/>
          <w:szCs w:val="22"/>
          <w:highlight w:val="none"/>
        </w:rPr>
        <w:t>。</w:t>
      </w:r>
    </w:p>
    <w:p>
      <w:pPr>
        <w:adjustRightInd w:val="0"/>
        <w:snapToGrid w:val="0"/>
        <w:spacing w:line="360" w:lineRule="auto"/>
        <w:ind w:firstLine="4435" w:firstLineChars="2016"/>
        <w:rPr>
          <w:rFonts w:ascii="宋体" w:hAnsi="宋体" w:cs="仿宋_GB2312"/>
          <w:color w:val="auto"/>
          <w:kern w:val="0"/>
          <w:sz w:val="22"/>
          <w:szCs w:val="22"/>
          <w:highlight w:val="none"/>
          <w:lang w:val="zh-CN"/>
        </w:rPr>
      </w:pPr>
      <w:r>
        <w:rPr>
          <w:rFonts w:hint="eastAsia" w:ascii="宋体" w:hAnsi="宋体" w:cs="仿宋_GB2312"/>
          <w:color w:val="auto"/>
          <w:kern w:val="0"/>
          <w:sz w:val="22"/>
          <w:szCs w:val="22"/>
          <w:highlight w:val="none"/>
          <w:lang w:val="zh-CN"/>
        </w:rPr>
        <w:t>供应商名称（公章）：</w:t>
      </w:r>
    </w:p>
    <w:p>
      <w:pPr>
        <w:adjustRightInd w:val="0"/>
        <w:snapToGrid w:val="0"/>
        <w:spacing w:line="360" w:lineRule="auto"/>
        <w:ind w:firstLine="4435" w:firstLineChars="2016"/>
        <w:rPr>
          <w:rFonts w:ascii="宋体" w:hAnsi="宋体" w:cs="仿宋_GB2312"/>
          <w:color w:val="auto"/>
          <w:kern w:val="0"/>
          <w:sz w:val="22"/>
          <w:szCs w:val="22"/>
          <w:highlight w:val="none"/>
          <w:lang w:val="zh-CN"/>
        </w:rPr>
      </w:pPr>
      <w:r>
        <w:rPr>
          <w:rFonts w:hint="eastAsia" w:ascii="宋体" w:hAnsi="宋体" w:cs="仿宋_GB2312"/>
          <w:color w:val="auto"/>
          <w:kern w:val="0"/>
          <w:sz w:val="22"/>
          <w:szCs w:val="22"/>
          <w:highlight w:val="none"/>
          <w:lang w:val="zh-CN"/>
        </w:rPr>
        <w:t>法定代表人或授权委托人签字：</w:t>
      </w:r>
    </w:p>
    <w:p>
      <w:pPr>
        <w:adjustRightInd w:val="0"/>
        <w:snapToGrid w:val="0"/>
        <w:spacing w:line="360" w:lineRule="auto"/>
        <w:ind w:firstLine="4435" w:firstLineChars="2016"/>
        <w:rPr>
          <w:rFonts w:ascii="宋体" w:hAnsi="宋体" w:cs="仿宋_GB2312"/>
          <w:color w:val="auto"/>
          <w:kern w:val="0"/>
          <w:sz w:val="22"/>
          <w:szCs w:val="22"/>
          <w:highlight w:val="none"/>
          <w:lang w:val="zh-CN"/>
        </w:rPr>
      </w:pPr>
      <w:r>
        <w:rPr>
          <w:rFonts w:hint="eastAsia" w:ascii="宋体" w:hAnsi="宋体" w:cs="仿宋_GB2312"/>
          <w:color w:val="auto"/>
          <w:kern w:val="0"/>
          <w:sz w:val="22"/>
          <w:szCs w:val="22"/>
          <w:highlight w:val="none"/>
          <w:lang w:val="zh-CN"/>
        </w:rPr>
        <w:t>日期：</w:t>
      </w:r>
      <w:r>
        <w:rPr>
          <w:rFonts w:hint="eastAsia" w:ascii="宋体" w:hAnsi="宋体" w:cs="宋体"/>
          <w:color w:val="auto"/>
          <w:sz w:val="22"/>
          <w:szCs w:val="22"/>
          <w:highlight w:val="none"/>
        </w:rPr>
        <w:t>××</w:t>
      </w:r>
      <w:r>
        <w:rPr>
          <w:rFonts w:hint="eastAsia" w:ascii="宋体" w:hAnsi="宋体" w:cs="仿宋_GB2312"/>
          <w:color w:val="auto"/>
          <w:kern w:val="0"/>
          <w:sz w:val="22"/>
          <w:szCs w:val="22"/>
          <w:highlight w:val="none"/>
          <w:lang w:val="zh-CN"/>
        </w:rPr>
        <w:t xml:space="preserve">年 </w:t>
      </w:r>
      <w:r>
        <w:rPr>
          <w:rFonts w:hint="eastAsia" w:ascii="宋体" w:hAnsi="宋体" w:cs="宋体"/>
          <w:color w:val="auto"/>
          <w:sz w:val="22"/>
          <w:szCs w:val="22"/>
          <w:highlight w:val="none"/>
        </w:rPr>
        <w:t>××</w:t>
      </w:r>
      <w:r>
        <w:rPr>
          <w:rFonts w:hint="eastAsia" w:ascii="宋体" w:hAnsi="宋体" w:cs="仿宋_GB2312"/>
          <w:color w:val="auto"/>
          <w:kern w:val="0"/>
          <w:sz w:val="22"/>
          <w:szCs w:val="22"/>
          <w:highlight w:val="none"/>
          <w:lang w:val="zh-CN"/>
        </w:rPr>
        <w:t xml:space="preserve"> 月 </w:t>
      </w:r>
      <w:r>
        <w:rPr>
          <w:rFonts w:hint="eastAsia" w:ascii="宋体" w:hAnsi="宋体" w:cs="宋体"/>
          <w:color w:val="auto"/>
          <w:sz w:val="22"/>
          <w:szCs w:val="22"/>
          <w:highlight w:val="none"/>
        </w:rPr>
        <w:t>××</w:t>
      </w:r>
      <w:r>
        <w:rPr>
          <w:rFonts w:hint="eastAsia" w:ascii="宋体" w:hAnsi="宋体" w:cs="仿宋_GB2312"/>
          <w:color w:val="auto"/>
          <w:kern w:val="0"/>
          <w:sz w:val="22"/>
          <w:szCs w:val="22"/>
          <w:highlight w:val="none"/>
          <w:lang w:val="zh-CN"/>
        </w:rPr>
        <w:t xml:space="preserve"> 日</w:t>
      </w:r>
    </w:p>
    <w:p>
      <w:pPr>
        <w:spacing w:line="360" w:lineRule="auto"/>
        <w:jc w:val="center"/>
        <w:rPr>
          <w:rFonts w:hint="eastAsia"/>
          <w:color w:val="auto"/>
          <w:sz w:val="22"/>
          <w:szCs w:val="22"/>
          <w:highlight w:val="none"/>
        </w:rPr>
      </w:pPr>
    </w:p>
    <w:p>
      <w:pPr>
        <w:spacing w:line="360" w:lineRule="auto"/>
        <w:jc w:val="center"/>
        <w:rPr>
          <w:rFonts w:hint="eastAsia"/>
          <w:color w:val="auto"/>
          <w:sz w:val="52"/>
          <w:szCs w:val="52"/>
          <w:highlight w:val="none"/>
        </w:rPr>
      </w:pPr>
    </w:p>
    <w:p>
      <w:pPr>
        <w:spacing w:line="360" w:lineRule="auto"/>
        <w:jc w:val="center"/>
        <w:rPr>
          <w:rFonts w:hint="eastAsia"/>
          <w:color w:val="auto"/>
          <w:sz w:val="52"/>
          <w:szCs w:val="52"/>
          <w:highlight w:val="none"/>
        </w:rPr>
      </w:pPr>
    </w:p>
    <w:p>
      <w:pPr>
        <w:spacing w:line="360" w:lineRule="auto"/>
        <w:jc w:val="center"/>
        <w:rPr>
          <w:rFonts w:hint="eastAsia"/>
          <w:color w:val="auto"/>
          <w:sz w:val="52"/>
          <w:szCs w:val="52"/>
          <w:highlight w:val="none"/>
        </w:rPr>
      </w:pPr>
    </w:p>
    <w:p>
      <w:pPr>
        <w:spacing w:line="360" w:lineRule="auto"/>
        <w:jc w:val="center"/>
        <w:rPr>
          <w:rFonts w:hint="eastAsia"/>
          <w:color w:val="auto"/>
          <w:sz w:val="52"/>
          <w:szCs w:val="52"/>
          <w:highlight w:val="none"/>
        </w:rPr>
      </w:pPr>
    </w:p>
    <w:p>
      <w:pPr>
        <w:spacing w:line="360" w:lineRule="auto"/>
        <w:jc w:val="center"/>
        <w:rPr>
          <w:rFonts w:hint="eastAsia"/>
          <w:color w:val="auto"/>
          <w:sz w:val="52"/>
          <w:szCs w:val="52"/>
          <w:highlight w:val="none"/>
        </w:rPr>
      </w:pPr>
    </w:p>
    <w:p>
      <w:pPr>
        <w:spacing w:line="360" w:lineRule="auto"/>
        <w:jc w:val="center"/>
        <w:rPr>
          <w:rFonts w:hint="eastAsia"/>
          <w:color w:val="auto"/>
          <w:sz w:val="52"/>
          <w:szCs w:val="52"/>
          <w:highlight w:val="none"/>
        </w:rPr>
      </w:pPr>
    </w:p>
    <w:p>
      <w:pPr>
        <w:spacing w:line="360" w:lineRule="auto"/>
        <w:jc w:val="both"/>
        <w:rPr>
          <w:rFonts w:hint="eastAsia"/>
          <w:color w:val="auto"/>
          <w:sz w:val="52"/>
          <w:szCs w:val="52"/>
          <w:highlight w:val="none"/>
        </w:rPr>
      </w:pPr>
    </w:p>
    <w:p>
      <w:pPr>
        <w:spacing w:line="360" w:lineRule="auto"/>
        <w:jc w:val="center"/>
        <w:rPr>
          <w:color w:val="auto"/>
          <w:sz w:val="52"/>
          <w:szCs w:val="52"/>
          <w:highlight w:val="none"/>
        </w:rPr>
      </w:pPr>
      <w:r>
        <w:rPr>
          <w:rFonts w:hint="eastAsia"/>
          <w:color w:val="auto"/>
          <w:sz w:val="52"/>
          <w:szCs w:val="52"/>
          <w:highlight w:val="none"/>
        </w:rPr>
        <w:t>项目名称</w:t>
      </w:r>
      <w:bookmarkEnd w:id="34"/>
      <w:bookmarkEnd w:id="35"/>
      <w:bookmarkEnd w:id="36"/>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pPr>
        <w:pStyle w:val="38"/>
        <w:spacing w:line="360" w:lineRule="auto"/>
        <w:rPr>
          <w:color w:val="auto"/>
          <w:highlight w:val="none"/>
        </w:rPr>
      </w:pPr>
    </w:p>
    <w:p>
      <w:pPr>
        <w:spacing w:line="360" w:lineRule="auto"/>
        <w:jc w:val="center"/>
        <w:rPr>
          <w:color w:val="auto"/>
          <w:sz w:val="84"/>
          <w:szCs w:val="84"/>
          <w:highlight w:val="none"/>
          <w:lang w:val="zh-CN"/>
        </w:rPr>
      </w:pPr>
      <w:r>
        <w:rPr>
          <w:rFonts w:hint="eastAsia"/>
          <w:color w:val="auto"/>
          <w:sz w:val="84"/>
          <w:szCs w:val="84"/>
          <w:highlight w:val="none"/>
          <w:lang w:val="zh-CN"/>
        </w:rPr>
        <w:t>投</w:t>
      </w:r>
    </w:p>
    <w:p>
      <w:pPr>
        <w:spacing w:line="360" w:lineRule="auto"/>
        <w:jc w:val="center"/>
        <w:rPr>
          <w:color w:val="auto"/>
          <w:sz w:val="84"/>
          <w:szCs w:val="84"/>
          <w:highlight w:val="none"/>
          <w:lang w:val="zh-CN"/>
        </w:rPr>
      </w:pPr>
      <w:r>
        <w:rPr>
          <w:rFonts w:hint="eastAsia"/>
          <w:color w:val="auto"/>
          <w:sz w:val="84"/>
          <w:szCs w:val="84"/>
          <w:highlight w:val="none"/>
          <w:lang w:val="zh-CN"/>
        </w:rPr>
        <w:t>标</w:t>
      </w:r>
    </w:p>
    <w:p>
      <w:pPr>
        <w:spacing w:line="360" w:lineRule="auto"/>
        <w:jc w:val="center"/>
        <w:rPr>
          <w:color w:val="auto"/>
          <w:sz w:val="84"/>
          <w:szCs w:val="84"/>
          <w:highlight w:val="none"/>
        </w:rPr>
      </w:pPr>
      <w:r>
        <w:rPr>
          <w:rFonts w:hint="eastAsia"/>
          <w:color w:val="auto"/>
          <w:sz w:val="84"/>
          <w:szCs w:val="84"/>
          <w:highlight w:val="none"/>
          <w:lang w:val="zh-CN"/>
        </w:rPr>
        <w:t>文</w:t>
      </w:r>
    </w:p>
    <w:p>
      <w:pPr>
        <w:spacing w:line="360" w:lineRule="auto"/>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eastAsia="zh-CN"/>
        </w:rPr>
        <w:t>商务与技术文件</w:t>
      </w:r>
      <w:r>
        <w:rPr>
          <w:rFonts w:hint="eastAsia" w:ascii="宋体" w:hAnsi="宋体"/>
          <w:b/>
          <w:color w:val="auto"/>
          <w:sz w:val="28"/>
          <w:szCs w:val="28"/>
          <w:highlight w:val="none"/>
        </w:rPr>
        <w:t>）</w:t>
      </w:r>
    </w:p>
    <w:p>
      <w:pPr>
        <w:pStyle w:val="38"/>
        <w:spacing w:line="360" w:lineRule="auto"/>
        <w:rPr>
          <w:color w:val="auto"/>
          <w:highlight w:val="none"/>
        </w:rPr>
      </w:pPr>
    </w:p>
    <w:p>
      <w:pPr>
        <w:spacing w:line="360" w:lineRule="auto"/>
        <w:ind w:right="532" w:firstLine="880" w:firstLineChars="400"/>
        <w:rPr>
          <w:rFonts w:ascii="宋体" w:hAnsi="宋体"/>
          <w:color w:val="auto"/>
          <w:sz w:val="22"/>
          <w:szCs w:val="22"/>
          <w:highlight w:val="non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全称（公章）：</w:t>
      </w:r>
    </w:p>
    <w:p>
      <w:pPr>
        <w:spacing w:line="360" w:lineRule="auto"/>
        <w:ind w:right="532" w:firstLine="880" w:firstLineChars="400"/>
        <w:rPr>
          <w:rFonts w:ascii="宋体" w:hAnsi="宋体"/>
          <w:color w:val="auto"/>
          <w:sz w:val="22"/>
          <w:szCs w:val="22"/>
          <w:highlight w:val="none"/>
        </w:rPr>
      </w:pPr>
      <w:r>
        <w:rPr>
          <w:rFonts w:hint="eastAsia" w:ascii="宋体" w:hAnsi="宋体"/>
          <w:color w:val="auto"/>
          <w:sz w:val="22"/>
          <w:szCs w:val="22"/>
          <w:highlight w:val="none"/>
        </w:rPr>
        <w:t>地    址：</w:t>
      </w:r>
    </w:p>
    <w:p>
      <w:pPr>
        <w:spacing w:line="360" w:lineRule="auto"/>
        <w:ind w:right="532"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时    间：</w:t>
      </w:r>
    </w:p>
    <w:p>
      <w:pPr>
        <w:pStyle w:val="37"/>
        <w:rPr>
          <w:rFonts w:hint="eastAsia" w:ascii="宋体" w:hAnsi="宋体"/>
          <w:color w:val="auto"/>
          <w:sz w:val="32"/>
          <w:szCs w:val="32"/>
          <w:highlight w:val="none"/>
        </w:rPr>
      </w:pPr>
    </w:p>
    <w:p>
      <w:pPr>
        <w:pStyle w:val="29"/>
      </w:pPr>
    </w:p>
    <w:p/>
    <w:p>
      <w:pPr>
        <w:pStyle w:val="14"/>
      </w:pPr>
    </w:p>
    <w:p>
      <w:pPr>
        <w:spacing w:line="360" w:lineRule="auto"/>
        <w:jc w:val="center"/>
        <w:rPr>
          <w:b/>
          <w:bCs/>
          <w:color w:val="auto"/>
          <w:sz w:val="36"/>
          <w:szCs w:val="36"/>
          <w:highlight w:val="none"/>
        </w:rPr>
      </w:pPr>
      <w:r>
        <w:rPr>
          <w:rFonts w:hint="eastAsia"/>
          <w:b/>
          <w:bCs/>
          <w:color w:val="auto"/>
          <w:sz w:val="36"/>
          <w:szCs w:val="36"/>
          <w:highlight w:val="none"/>
          <w:lang w:val="en-US" w:eastAsia="zh-CN"/>
        </w:rPr>
        <w:t>商务与技术文件</w:t>
      </w:r>
      <w:r>
        <w:rPr>
          <w:rFonts w:hint="eastAsia"/>
          <w:b/>
          <w:bCs/>
          <w:color w:val="auto"/>
          <w:sz w:val="36"/>
          <w:szCs w:val="36"/>
          <w:highlight w:val="none"/>
        </w:rPr>
        <w:t>目录</w:t>
      </w:r>
    </w:p>
    <w:p>
      <w:pPr>
        <w:spacing w:line="360" w:lineRule="auto"/>
        <w:ind w:firstLine="560" w:firstLineChars="200"/>
        <w:rPr>
          <w:color w:val="auto"/>
          <w:sz w:val="28"/>
          <w:szCs w:val="36"/>
          <w:highlight w:val="none"/>
        </w:rPr>
      </w:pP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基本情况表（附件6）；</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）技术方案；</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）项目负责人资格情况表（附件7）；</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）项目实施人员一览表（附件8）；</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服务条款响应表（附件9）；</w:t>
      </w:r>
    </w:p>
    <w:p>
      <w:pPr>
        <w:pStyle w:val="10"/>
        <w:widowControl/>
        <w:numPr>
          <w:ilvl w:val="0"/>
          <w:numId w:val="0"/>
        </w:num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）证书一览表（与本项目相关的认证证书或文件；附件10）；</w:t>
      </w:r>
    </w:p>
    <w:p>
      <w:pPr>
        <w:pStyle w:val="10"/>
        <w:widowControl/>
        <w:numPr>
          <w:ilvl w:val="0"/>
          <w:numId w:val="0"/>
        </w:num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）同类业绩证明（如有，需提供合同复印件；附件11）；</w:t>
      </w:r>
    </w:p>
    <w:p>
      <w:pPr>
        <w:pStyle w:val="10"/>
        <w:widowControl/>
        <w:numPr>
          <w:ilvl w:val="0"/>
          <w:numId w:val="0"/>
        </w:num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）符合招标文件规定的其他证明文件及评分标准中涉及的其他材料</w:t>
      </w:r>
      <w:r>
        <w:rPr>
          <w:rFonts w:hint="eastAsia" w:ascii="宋体" w:hAnsi="宋体" w:eastAsia="宋体" w:cs="宋体"/>
          <w:kern w:val="0"/>
          <w:sz w:val="24"/>
          <w:szCs w:val="24"/>
        </w:rPr>
        <w:t>（如有）</w:t>
      </w:r>
      <w:r>
        <w:rPr>
          <w:rFonts w:hint="eastAsia" w:ascii="宋体" w:hAnsi="宋体" w:eastAsia="宋体" w:cs="宋体"/>
          <w:bCs/>
          <w:color w:val="auto"/>
          <w:sz w:val="24"/>
          <w:szCs w:val="24"/>
          <w:highlight w:val="none"/>
        </w:rPr>
        <w:t>。</w:t>
      </w:r>
    </w:p>
    <w:p>
      <w:pPr>
        <w:snapToGrid w:val="0"/>
        <w:spacing w:line="360" w:lineRule="auto"/>
        <w:ind w:firstLine="480" w:firstLineChars="200"/>
        <w:rPr>
          <w:rFonts w:ascii="宋体" w:hAnsi="宋体" w:cs="宋体"/>
          <w:color w:val="auto"/>
          <w:sz w:val="24"/>
          <w:highlight w:val="none"/>
        </w:rPr>
      </w:pP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pStyle w:val="103"/>
        <w:spacing w:line="360" w:lineRule="auto"/>
        <w:rPr>
          <w:rFonts w:ascii="宋体" w:hAnsi="宋体"/>
          <w:b/>
          <w:color w:val="auto"/>
          <w:sz w:val="28"/>
          <w:highlight w:val="none"/>
        </w:rPr>
      </w:pPr>
    </w:p>
    <w:p>
      <w:pPr>
        <w:pStyle w:val="103"/>
        <w:spacing w:line="360" w:lineRule="auto"/>
        <w:rPr>
          <w:rFonts w:ascii="宋体" w:hAnsi="宋体"/>
          <w:b/>
          <w:color w:val="auto"/>
          <w:sz w:val="28"/>
          <w:highlight w:val="none"/>
        </w:rPr>
      </w:pPr>
    </w:p>
    <w:p>
      <w:pPr>
        <w:pStyle w:val="103"/>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pStyle w:val="10"/>
        <w:spacing w:line="360" w:lineRule="auto"/>
        <w:ind w:firstLine="0"/>
        <w:rPr>
          <w:rFonts w:ascii="宋体" w:hAnsi="宋体"/>
          <w:bCs/>
          <w:color w:val="auto"/>
          <w:sz w:val="24"/>
          <w:highlight w:val="none"/>
        </w:rPr>
      </w:pPr>
    </w:p>
    <w:p/>
    <w:p>
      <w:pPr>
        <w:pStyle w:val="14"/>
      </w:pPr>
    </w:p>
    <w:p>
      <w:pPr>
        <w:pStyle w:val="15"/>
      </w:pPr>
    </w:p>
    <w:p/>
    <w:p>
      <w:pPr>
        <w:pStyle w:val="14"/>
      </w:pPr>
    </w:p>
    <w:p>
      <w:pPr>
        <w:pStyle w:val="91"/>
        <w:shd w:val="clear" w:color="auto" w:fill="FFFFFF"/>
        <w:spacing w:before="0" w:beforeAutospacing="0" w:after="0" w:afterAutospacing="0" w:line="360" w:lineRule="auto"/>
        <w:rPr>
          <w:rFonts w:hint="eastAsia" w:ascii="宋体" w:hAnsi="宋体" w:eastAsia="宋体" w:cs="Times New Roman"/>
          <w:b/>
          <w:color w:val="auto"/>
          <w:kern w:val="2"/>
          <w:sz w:val="28"/>
          <w:szCs w:val="24"/>
          <w:highlight w:val="none"/>
          <w:lang w:val="en-US" w:eastAsia="zh-CN" w:bidi="ar-SA"/>
        </w:rPr>
      </w:pPr>
      <w:r>
        <w:rPr>
          <w:rFonts w:hint="eastAsia" w:ascii="宋体" w:hAnsi="宋体" w:eastAsia="宋体" w:cs="Times New Roman"/>
          <w:b/>
          <w:color w:val="auto"/>
          <w:kern w:val="2"/>
          <w:sz w:val="28"/>
          <w:szCs w:val="24"/>
          <w:highlight w:val="none"/>
          <w:lang w:val="en-US" w:eastAsia="zh-CN" w:bidi="ar-SA"/>
        </w:rPr>
        <w:t xml:space="preserve">附件6  </w:t>
      </w:r>
      <w:bookmarkStart w:id="41" w:name="_Toc13307_WPSOffice_Level1"/>
      <w:bookmarkStart w:id="42" w:name="_Toc14261_WPSOffice_Level1"/>
    </w:p>
    <w:p>
      <w:pPr>
        <w:pStyle w:val="91"/>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lang w:eastAsia="zh-CN"/>
        </w:rPr>
        <w:t>供应商</w:t>
      </w:r>
      <w:r>
        <w:rPr>
          <w:rFonts w:hint="eastAsia"/>
          <w:b/>
          <w:bCs/>
          <w:color w:val="auto"/>
          <w:sz w:val="32"/>
          <w:szCs w:val="32"/>
          <w:highlight w:val="none"/>
        </w:rPr>
        <w:t>基本情况表</w:t>
      </w:r>
      <w:bookmarkEnd w:id="41"/>
      <w:bookmarkEnd w:id="42"/>
    </w:p>
    <w:tbl>
      <w:tblPr>
        <w:tblStyle w:val="39"/>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3" w:type="dxa"/>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企业名称</w:t>
            </w:r>
          </w:p>
        </w:tc>
        <w:tc>
          <w:tcPr>
            <w:tcW w:w="3979" w:type="dxa"/>
            <w:gridSpan w:val="6"/>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2001" w:type="dxa"/>
            <w:gridSpan w:val="3"/>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法人代表</w:t>
            </w:r>
          </w:p>
        </w:tc>
        <w:tc>
          <w:tcPr>
            <w:tcW w:w="2151" w:type="dxa"/>
            <w:gridSpan w:val="2"/>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3" w:type="dxa"/>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地址</w:t>
            </w:r>
          </w:p>
        </w:tc>
        <w:tc>
          <w:tcPr>
            <w:tcW w:w="3979" w:type="dxa"/>
            <w:gridSpan w:val="6"/>
            <w:tcBorders>
              <w:bottom w:val="single" w:color="auto" w:sz="4" w:space="0"/>
            </w:tcBorders>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2001" w:type="dxa"/>
            <w:gridSpan w:val="3"/>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企业性质</w:t>
            </w:r>
          </w:p>
        </w:tc>
        <w:tc>
          <w:tcPr>
            <w:tcW w:w="2151" w:type="dxa"/>
            <w:gridSpan w:val="2"/>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23" w:type="dxa"/>
            <w:tcBorders>
              <w:bottom w:val="single" w:color="auto" w:sz="4" w:space="0"/>
            </w:tcBorders>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股东姓名</w:t>
            </w:r>
          </w:p>
        </w:tc>
        <w:tc>
          <w:tcPr>
            <w:tcW w:w="701" w:type="dxa"/>
            <w:tcBorders>
              <w:bottom w:val="single" w:color="auto" w:sz="4" w:space="0"/>
            </w:tcBorders>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股权结构（%）</w:t>
            </w:r>
          </w:p>
        </w:tc>
        <w:tc>
          <w:tcPr>
            <w:tcW w:w="2368" w:type="dxa"/>
            <w:gridSpan w:val="3"/>
            <w:tcBorders>
              <w:bottom w:val="single" w:color="auto" w:sz="4" w:space="0"/>
            </w:tcBorders>
            <w:noWrap w:val="0"/>
            <w:tcMar>
              <w:top w:w="57" w:type="dxa"/>
              <w:left w:w="85" w:type="dxa"/>
              <w:bottom w:w="0" w:type="dxa"/>
              <w:right w:w="85" w:type="dxa"/>
            </w:tcMar>
            <w:vAlign w:val="center"/>
          </w:tcPr>
          <w:p>
            <w:pPr>
              <w:widowControl/>
              <w:spacing w:line="240" w:lineRule="auto"/>
              <w:jc w:val="center"/>
              <w:rPr>
                <w:rFonts w:hint="eastAsia" w:ascii="宋体" w:hAnsi="宋体" w:eastAsia="宋体" w:cs="宋体"/>
                <w:bCs/>
                <w:color w:val="auto"/>
                <w:kern w:val="0"/>
                <w:sz w:val="22"/>
                <w:szCs w:val="22"/>
                <w:highlight w:val="none"/>
              </w:rPr>
            </w:pPr>
          </w:p>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2001" w:type="dxa"/>
            <w:gridSpan w:val="3"/>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股东关系</w:t>
            </w:r>
          </w:p>
        </w:tc>
        <w:tc>
          <w:tcPr>
            <w:tcW w:w="2151" w:type="dxa"/>
            <w:gridSpan w:val="2"/>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3" w:type="dxa"/>
            <w:vMerge w:val="restart"/>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联系人姓名</w:t>
            </w:r>
          </w:p>
        </w:tc>
        <w:tc>
          <w:tcPr>
            <w:tcW w:w="701" w:type="dxa"/>
            <w:vMerge w:val="restart"/>
            <w:tcBorders>
              <w:top w:val="nil"/>
            </w:tcBorders>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910" w:type="dxa"/>
            <w:gridSpan w:val="2"/>
            <w:tcBorders>
              <w:top w:val="nil"/>
              <w:bottom w:val="single" w:color="auto" w:sz="4" w:space="0"/>
            </w:tcBorders>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固定电话</w:t>
            </w:r>
          </w:p>
        </w:tc>
        <w:tc>
          <w:tcPr>
            <w:tcW w:w="2368" w:type="dxa"/>
            <w:gridSpan w:val="3"/>
            <w:tcBorders>
              <w:top w:val="nil"/>
              <w:bottom w:val="single" w:color="auto" w:sz="4" w:space="0"/>
            </w:tcBorders>
            <w:noWrap w:val="0"/>
            <w:tcMar>
              <w:top w:w="57" w:type="dxa"/>
              <w:left w:w="85" w:type="dxa"/>
              <w:bottom w:w="0" w:type="dxa"/>
              <w:right w:w="85" w:type="dxa"/>
            </w:tcMar>
            <w:vAlign w:val="center"/>
          </w:tcPr>
          <w:p>
            <w:pPr>
              <w:widowControl/>
              <w:spacing w:line="240" w:lineRule="auto"/>
              <w:jc w:val="center"/>
              <w:rPr>
                <w:rFonts w:hint="eastAsia" w:ascii="宋体" w:hAnsi="宋体" w:eastAsia="宋体" w:cs="宋体"/>
                <w:bCs/>
                <w:color w:val="auto"/>
                <w:kern w:val="0"/>
                <w:sz w:val="22"/>
                <w:szCs w:val="22"/>
                <w:highlight w:val="none"/>
              </w:rPr>
            </w:pPr>
          </w:p>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2001" w:type="dxa"/>
            <w:gridSpan w:val="3"/>
            <w:vMerge w:val="restart"/>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传真</w:t>
            </w:r>
          </w:p>
        </w:tc>
        <w:tc>
          <w:tcPr>
            <w:tcW w:w="2151" w:type="dxa"/>
            <w:gridSpan w:val="2"/>
            <w:vMerge w:val="restart"/>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3" w:type="dxa"/>
            <w:vMerge w:val="continue"/>
            <w:tcBorders>
              <w:bottom w:val="single" w:color="auto" w:sz="4" w:space="0"/>
            </w:tcBorders>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701" w:type="dxa"/>
            <w:vMerge w:val="continue"/>
            <w:tcBorders>
              <w:bottom w:val="single" w:color="auto" w:sz="4" w:space="0"/>
            </w:tcBorders>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手机</w:t>
            </w:r>
          </w:p>
        </w:tc>
        <w:tc>
          <w:tcPr>
            <w:tcW w:w="2368" w:type="dxa"/>
            <w:gridSpan w:val="3"/>
            <w:tcBorders>
              <w:bottom w:val="single" w:color="auto" w:sz="4" w:space="0"/>
            </w:tcBorders>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2001" w:type="dxa"/>
            <w:gridSpan w:val="3"/>
            <w:vMerge w:val="continue"/>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2151" w:type="dxa"/>
            <w:gridSpan w:val="2"/>
            <w:vMerge w:val="continue"/>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3" w:type="dxa"/>
            <w:vMerge w:val="restart"/>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企</w:t>
            </w:r>
          </w:p>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业</w:t>
            </w:r>
          </w:p>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概</w:t>
            </w:r>
          </w:p>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况</w:t>
            </w:r>
          </w:p>
        </w:tc>
        <w:tc>
          <w:tcPr>
            <w:tcW w:w="701" w:type="dxa"/>
            <w:tcBorders>
              <w:top w:val="nil"/>
            </w:tcBorders>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职工人数</w:t>
            </w:r>
          </w:p>
        </w:tc>
        <w:tc>
          <w:tcPr>
            <w:tcW w:w="910" w:type="dxa"/>
            <w:gridSpan w:val="2"/>
            <w:tcBorders>
              <w:top w:val="nil"/>
            </w:tcBorders>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1163" w:type="dxa"/>
            <w:tcBorders>
              <w:top w:val="nil"/>
            </w:tcBorders>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具备大专以上学历人数</w:t>
            </w:r>
          </w:p>
        </w:tc>
        <w:tc>
          <w:tcPr>
            <w:tcW w:w="1205" w:type="dxa"/>
            <w:gridSpan w:val="2"/>
            <w:tcBorders>
              <w:top w:val="nil"/>
            </w:tcBorders>
            <w:noWrap w:val="0"/>
            <w:tcMar>
              <w:top w:w="57" w:type="dxa"/>
              <w:left w:w="85" w:type="dxa"/>
              <w:bottom w:w="0" w:type="dxa"/>
              <w:right w:w="85" w:type="dxa"/>
            </w:tcMar>
            <w:vAlign w:val="center"/>
          </w:tcPr>
          <w:p>
            <w:pPr>
              <w:widowControl/>
              <w:spacing w:line="240" w:lineRule="auto"/>
              <w:jc w:val="center"/>
              <w:rPr>
                <w:rFonts w:hint="eastAsia" w:ascii="宋体" w:hAnsi="宋体" w:eastAsia="宋体" w:cs="宋体"/>
                <w:bCs/>
                <w:color w:val="auto"/>
                <w:kern w:val="0"/>
                <w:sz w:val="22"/>
                <w:szCs w:val="22"/>
                <w:highlight w:val="none"/>
              </w:rPr>
            </w:pPr>
          </w:p>
          <w:p>
            <w:pPr>
              <w:widowControl/>
              <w:spacing w:line="240" w:lineRule="auto"/>
              <w:jc w:val="center"/>
              <w:rPr>
                <w:rFonts w:hint="eastAsia" w:ascii="宋体" w:hAnsi="宋体" w:eastAsia="宋体" w:cs="宋体"/>
                <w:bCs/>
                <w:color w:val="auto"/>
                <w:kern w:val="0"/>
                <w:sz w:val="22"/>
                <w:szCs w:val="22"/>
                <w:highlight w:val="none"/>
              </w:rPr>
            </w:pPr>
          </w:p>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2001" w:type="dxa"/>
            <w:gridSpan w:val="3"/>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国家授予技术职称人数</w:t>
            </w:r>
          </w:p>
        </w:tc>
        <w:tc>
          <w:tcPr>
            <w:tcW w:w="2151" w:type="dxa"/>
            <w:gridSpan w:val="2"/>
            <w:noWrap w:val="0"/>
            <w:tcMar>
              <w:top w:w="57" w:type="dxa"/>
              <w:left w:w="85" w:type="dxa"/>
              <w:bottom w:w="0" w:type="dxa"/>
              <w:right w:w="85" w:type="dxa"/>
            </w:tcMar>
            <w:vAlign w:val="center"/>
          </w:tcPr>
          <w:p>
            <w:pPr>
              <w:widowControl/>
              <w:spacing w:line="240" w:lineRule="auto"/>
              <w:jc w:val="center"/>
              <w:rPr>
                <w:rFonts w:hint="eastAsia" w:ascii="宋体" w:hAnsi="宋体" w:eastAsia="宋体" w:cs="宋体"/>
                <w:bCs/>
                <w:color w:val="auto"/>
                <w:kern w:val="0"/>
                <w:sz w:val="22"/>
                <w:szCs w:val="22"/>
                <w:highlight w:val="none"/>
              </w:rPr>
            </w:pPr>
          </w:p>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3" w:type="dxa"/>
            <w:vMerge w:val="continue"/>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701" w:type="dxa"/>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占地面积</w:t>
            </w:r>
          </w:p>
        </w:tc>
        <w:tc>
          <w:tcPr>
            <w:tcW w:w="910" w:type="dxa"/>
            <w:gridSpan w:val="2"/>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1163" w:type="dxa"/>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建筑面积</w:t>
            </w:r>
          </w:p>
        </w:tc>
        <w:tc>
          <w:tcPr>
            <w:tcW w:w="1205" w:type="dxa"/>
            <w:gridSpan w:val="2"/>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平方米</w:t>
            </w:r>
          </w:p>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□自有</w:t>
            </w:r>
          </w:p>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□租赁</w:t>
            </w:r>
          </w:p>
        </w:tc>
        <w:tc>
          <w:tcPr>
            <w:tcW w:w="2001" w:type="dxa"/>
            <w:gridSpan w:val="3"/>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生产经营场所及场所的设施与设备</w:t>
            </w:r>
          </w:p>
        </w:tc>
        <w:tc>
          <w:tcPr>
            <w:tcW w:w="2151" w:type="dxa"/>
            <w:gridSpan w:val="2"/>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Merge w:val="continue"/>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701" w:type="dxa"/>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注册资金</w:t>
            </w:r>
          </w:p>
        </w:tc>
        <w:tc>
          <w:tcPr>
            <w:tcW w:w="910" w:type="dxa"/>
            <w:gridSpan w:val="2"/>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1163" w:type="dxa"/>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注册发证机关</w:t>
            </w:r>
          </w:p>
        </w:tc>
        <w:tc>
          <w:tcPr>
            <w:tcW w:w="3206" w:type="dxa"/>
            <w:gridSpan w:val="5"/>
            <w:noWrap w:val="0"/>
            <w:tcMar>
              <w:top w:w="57" w:type="dxa"/>
              <w:left w:w="85" w:type="dxa"/>
              <w:bottom w:w="0" w:type="dxa"/>
              <w:right w:w="85" w:type="dxa"/>
            </w:tcMar>
            <w:vAlign w:val="center"/>
          </w:tcPr>
          <w:p>
            <w:pPr>
              <w:widowControl/>
              <w:spacing w:line="240" w:lineRule="auto"/>
              <w:jc w:val="center"/>
              <w:rPr>
                <w:rFonts w:hint="eastAsia" w:ascii="宋体" w:hAnsi="宋体" w:eastAsia="宋体" w:cs="宋体"/>
                <w:bCs/>
                <w:color w:val="auto"/>
                <w:kern w:val="0"/>
                <w:sz w:val="22"/>
                <w:szCs w:val="22"/>
                <w:highlight w:val="none"/>
              </w:rPr>
            </w:pPr>
          </w:p>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1218" w:type="dxa"/>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公司成立时间</w:t>
            </w:r>
          </w:p>
        </w:tc>
        <w:tc>
          <w:tcPr>
            <w:tcW w:w="933" w:type="dxa"/>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23" w:type="dxa"/>
            <w:vMerge w:val="continue"/>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701" w:type="dxa"/>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核准经营范围</w:t>
            </w:r>
          </w:p>
        </w:tc>
        <w:tc>
          <w:tcPr>
            <w:tcW w:w="7430" w:type="dxa"/>
            <w:gridSpan w:val="10"/>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 w:type="dxa"/>
            <w:vMerge w:val="continue"/>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8131" w:type="dxa"/>
            <w:gridSpan w:val="11"/>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3" w:type="dxa"/>
            <w:vMerge w:val="restart"/>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企业有关资质获证情况</w:t>
            </w:r>
          </w:p>
        </w:tc>
        <w:tc>
          <w:tcPr>
            <w:tcW w:w="1553" w:type="dxa"/>
            <w:gridSpan w:val="2"/>
            <w:vMerge w:val="restart"/>
            <w:noWrap w:val="0"/>
            <w:tcMar>
              <w:top w:w="57" w:type="dxa"/>
              <w:left w:w="85" w:type="dxa"/>
              <w:bottom w:w="0" w:type="dxa"/>
              <w:right w:w="85" w:type="dxa"/>
            </w:tcMar>
            <w:vAlign w:val="center"/>
          </w:tcPr>
          <w:p>
            <w:pPr>
              <w:pStyle w:val="91"/>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pacing w:val="41"/>
                <w:sz w:val="22"/>
                <w:szCs w:val="22"/>
                <w:highlight w:val="none"/>
              </w:rPr>
              <w:t>企业获得其他资质</w:t>
            </w:r>
            <w:r>
              <w:rPr>
                <w:rFonts w:hint="eastAsia" w:ascii="宋体" w:hAnsi="宋体" w:eastAsia="宋体" w:cs="宋体"/>
                <w:bCs/>
                <w:color w:val="auto"/>
                <w:spacing w:val="11"/>
                <w:sz w:val="22"/>
                <w:szCs w:val="22"/>
                <w:highlight w:val="none"/>
              </w:rPr>
              <w:t>认证情况</w:t>
            </w:r>
          </w:p>
        </w:tc>
        <w:tc>
          <w:tcPr>
            <w:tcW w:w="1333" w:type="dxa"/>
            <w:gridSpan w:val="3"/>
            <w:noWrap w:val="0"/>
            <w:tcMar>
              <w:top w:w="57" w:type="dxa"/>
              <w:left w:w="85" w:type="dxa"/>
              <w:bottom w:w="0" w:type="dxa"/>
              <w:right w:w="85" w:type="dxa"/>
            </w:tcMar>
            <w:vAlign w:val="center"/>
          </w:tcPr>
          <w:p>
            <w:pPr>
              <w:pStyle w:val="91"/>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pacing w:val="16"/>
                <w:sz w:val="22"/>
                <w:szCs w:val="22"/>
                <w:highlight w:val="none"/>
              </w:rPr>
              <w:t>资质名称</w:t>
            </w:r>
          </w:p>
        </w:tc>
        <w:tc>
          <w:tcPr>
            <w:tcW w:w="1418" w:type="dxa"/>
            <w:gridSpan w:val="2"/>
            <w:noWrap w:val="0"/>
            <w:tcMar>
              <w:top w:w="57" w:type="dxa"/>
              <w:left w:w="85" w:type="dxa"/>
              <w:bottom w:w="0" w:type="dxa"/>
              <w:right w:w="85" w:type="dxa"/>
            </w:tcMar>
            <w:vAlign w:val="center"/>
          </w:tcPr>
          <w:p>
            <w:pPr>
              <w:pStyle w:val="91"/>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pacing w:val="16"/>
                <w:sz w:val="22"/>
                <w:szCs w:val="22"/>
                <w:highlight w:val="none"/>
              </w:rPr>
              <w:t>发证机关</w:t>
            </w:r>
          </w:p>
        </w:tc>
        <w:tc>
          <w:tcPr>
            <w:tcW w:w="1276" w:type="dxa"/>
            <w:noWrap w:val="0"/>
            <w:tcMar>
              <w:top w:w="57" w:type="dxa"/>
              <w:left w:w="85" w:type="dxa"/>
              <w:bottom w:w="0" w:type="dxa"/>
              <w:right w:w="85" w:type="dxa"/>
            </w:tcMar>
            <w:vAlign w:val="center"/>
          </w:tcPr>
          <w:p>
            <w:pPr>
              <w:pStyle w:val="91"/>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pacing w:val="27"/>
                <w:sz w:val="22"/>
                <w:szCs w:val="22"/>
                <w:highlight w:val="none"/>
              </w:rPr>
              <w:t>编号</w:t>
            </w:r>
          </w:p>
        </w:tc>
        <w:tc>
          <w:tcPr>
            <w:tcW w:w="1618" w:type="dxa"/>
            <w:gridSpan w:val="2"/>
            <w:noWrap w:val="0"/>
            <w:tcMar>
              <w:top w:w="57" w:type="dxa"/>
              <w:left w:w="85" w:type="dxa"/>
              <w:bottom w:w="0" w:type="dxa"/>
              <w:right w:w="85" w:type="dxa"/>
            </w:tcMar>
            <w:vAlign w:val="center"/>
          </w:tcPr>
          <w:p>
            <w:pPr>
              <w:pStyle w:val="91"/>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pacing w:val="16"/>
                <w:sz w:val="22"/>
                <w:szCs w:val="22"/>
                <w:highlight w:val="none"/>
              </w:rPr>
              <w:t>发证时间</w:t>
            </w:r>
          </w:p>
        </w:tc>
        <w:tc>
          <w:tcPr>
            <w:tcW w:w="933" w:type="dxa"/>
            <w:noWrap w:val="0"/>
            <w:tcMar>
              <w:top w:w="57" w:type="dxa"/>
              <w:left w:w="85" w:type="dxa"/>
              <w:bottom w:w="0" w:type="dxa"/>
              <w:right w:w="85" w:type="dxa"/>
            </w:tcMar>
            <w:vAlign w:val="center"/>
          </w:tcPr>
          <w:p>
            <w:pPr>
              <w:pStyle w:val="91"/>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pacing w:val="27"/>
                <w:sz w:val="22"/>
                <w:szCs w:val="22"/>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823" w:type="dxa"/>
            <w:vMerge w:val="continue"/>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1553" w:type="dxa"/>
            <w:gridSpan w:val="2"/>
            <w:vMerge w:val="continue"/>
            <w:noWrap w:val="0"/>
            <w:tcMar>
              <w:top w:w="57" w:type="dxa"/>
              <w:left w:w="85" w:type="dxa"/>
              <w:bottom w:w="0" w:type="dxa"/>
              <w:right w:w="85" w:type="dxa"/>
            </w:tcMar>
            <w:vAlign w:val="center"/>
          </w:tcPr>
          <w:p>
            <w:pPr>
              <w:pStyle w:val="91"/>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1333" w:type="dxa"/>
            <w:gridSpan w:val="3"/>
            <w:noWrap w:val="0"/>
            <w:tcMar>
              <w:top w:w="57" w:type="dxa"/>
              <w:left w:w="85" w:type="dxa"/>
              <w:bottom w:w="0" w:type="dxa"/>
              <w:right w:w="85" w:type="dxa"/>
            </w:tcMar>
            <w:vAlign w:val="center"/>
          </w:tcPr>
          <w:p>
            <w:pPr>
              <w:pStyle w:val="91"/>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1418" w:type="dxa"/>
            <w:gridSpan w:val="2"/>
            <w:noWrap w:val="0"/>
            <w:tcMar>
              <w:top w:w="57" w:type="dxa"/>
              <w:left w:w="85" w:type="dxa"/>
              <w:bottom w:w="0" w:type="dxa"/>
              <w:right w:w="85" w:type="dxa"/>
            </w:tcMar>
            <w:vAlign w:val="center"/>
          </w:tcPr>
          <w:p>
            <w:pPr>
              <w:pStyle w:val="91"/>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1276" w:type="dxa"/>
            <w:noWrap w:val="0"/>
            <w:tcMar>
              <w:top w:w="57" w:type="dxa"/>
              <w:left w:w="85" w:type="dxa"/>
              <w:bottom w:w="0" w:type="dxa"/>
              <w:right w:w="85" w:type="dxa"/>
            </w:tcMar>
            <w:vAlign w:val="center"/>
          </w:tcPr>
          <w:p>
            <w:pPr>
              <w:pStyle w:val="91"/>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1618" w:type="dxa"/>
            <w:gridSpan w:val="2"/>
            <w:noWrap w:val="0"/>
            <w:tcMar>
              <w:top w:w="57" w:type="dxa"/>
              <w:left w:w="85" w:type="dxa"/>
              <w:bottom w:w="0" w:type="dxa"/>
              <w:right w:w="85" w:type="dxa"/>
            </w:tcMar>
            <w:vAlign w:val="center"/>
          </w:tcPr>
          <w:p>
            <w:pPr>
              <w:pStyle w:val="91"/>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933" w:type="dxa"/>
            <w:noWrap w:val="0"/>
            <w:tcMar>
              <w:top w:w="57" w:type="dxa"/>
              <w:left w:w="85" w:type="dxa"/>
              <w:bottom w:w="0" w:type="dxa"/>
              <w:right w:w="85" w:type="dxa"/>
            </w:tcMar>
            <w:vAlign w:val="center"/>
          </w:tcPr>
          <w:p>
            <w:pPr>
              <w:pStyle w:val="91"/>
              <w:spacing w:before="0" w:beforeAutospacing="0" w:after="0" w:afterAutospacing="0" w:line="24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23" w:type="dxa"/>
            <w:vMerge w:val="continue"/>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c>
          <w:tcPr>
            <w:tcW w:w="1553" w:type="dxa"/>
            <w:gridSpan w:val="2"/>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企业获得专利情况</w:t>
            </w:r>
          </w:p>
        </w:tc>
        <w:tc>
          <w:tcPr>
            <w:tcW w:w="6578" w:type="dxa"/>
            <w:gridSpan w:val="9"/>
            <w:noWrap w:val="0"/>
            <w:tcMar>
              <w:top w:w="57" w:type="dxa"/>
              <w:left w:w="85" w:type="dxa"/>
              <w:bottom w:w="0" w:type="dxa"/>
              <w:right w:w="85" w:type="dxa"/>
            </w:tcMar>
            <w:vAlign w:val="center"/>
          </w:tcPr>
          <w:p>
            <w:pPr>
              <w:pStyle w:val="91"/>
              <w:shd w:val="clear" w:color="auto" w:fill="FFFFFF"/>
              <w:spacing w:before="0" w:beforeAutospacing="0" w:after="0" w:afterAutospacing="0" w:line="240" w:lineRule="auto"/>
              <w:jc w:val="center"/>
              <w:rPr>
                <w:rFonts w:hint="eastAsia" w:ascii="宋体" w:hAnsi="宋体" w:eastAsia="宋体" w:cs="宋体"/>
                <w:bCs/>
                <w:color w:val="auto"/>
                <w:sz w:val="22"/>
                <w:szCs w:val="22"/>
                <w:highlight w:val="none"/>
              </w:rPr>
            </w:pPr>
          </w:p>
        </w:tc>
      </w:tr>
    </w:tbl>
    <w:p>
      <w:pPr>
        <w:pStyle w:val="91"/>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91"/>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ind w:firstLine="424" w:firstLineChars="177"/>
        <w:rPr>
          <w:rFonts w:hint="eastAsia" w:ascii="宋体" w:hAnsi="宋体"/>
          <w:color w:val="auto"/>
          <w:sz w:val="24"/>
          <w:highlight w:val="none"/>
        </w:rPr>
      </w:pPr>
    </w:p>
    <w:p>
      <w:pPr>
        <w:spacing w:line="360" w:lineRule="auto"/>
        <w:ind w:firstLine="389" w:firstLineChars="177"/>
        <w:rPr>
          <w:rFonts w:ascii="宋体" w:hAnsi="宋体"/>
          <w:color w:val="auto"/>
          <w:sz w:val="22"/>
          <w:szCs w:val="22"/>
          <w:highlight w:val="none"/>
          <w:u w:val="singl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名称（公章）：</w:t>
      </w:r>
    </w:p>
    <w:p>
      <w:pPr>
        <w:spacing w:line="360" w:lineRule="auto"/>
        <w:ind w:firstLine="389" w:firstLineChars="177"/>
        <w:rPr>
          <w:rFonts w:ascii="宋体" w:hAnsi="宋体"/>
          <w:color w:val="auto"/>
          <w:sz w:val="22"/>
          <w:szCs w:val="22"/>
          <w:highlight w:val="non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代表签字：</w:t>
      </w:r>
    </w:p>
    <w:p>
      <w:pPr>
        <w:spacing w:line="360" w:lineRule="auto"/>
        <w:ind w:firstLine="389" w:firstLineChars="177"/>
        <w:rPr>
          <w:rFonts w:ascii="宋体" w:hAnsi="宋体"/>
          <w:color w:val="auto"/>
          <w:sz w:val="22"/>
          <w:szCs w:val="22"/>
          <w:highlight w:val="none"/>
          <w:u w:val="single"/>
        </w:rPr>
      </w:pPr>
      <w:r>
        <w:rPr>
          <w:rFonts w:hint="eastAsia" w:ascii="宋体" w:hAnsi="宋体"/>
          <w:color w:val="auto"/>
          <w:sz w:val="22"/>
          <w:szCs w:val="22"/>
          <w:highlight w:val="none"/>
        </w:rPr>
        <w:t>职        务：</w:t>
      </w:r>
    </w:p>
    <w:p>
      <w:pPr>
        <w:pStyle w:val="91"/>
        <w:shd w:val="clear" w:color="auto" w:fill="FFFFFF"/>
        <w:spacing w:before="0" w:beforeAutospacing="0" w:after="0" w:afterAutospacing="0" w:line="360" w:lineRule="auto"/>
        <w:ind w:firstLine="389" w:firstLineChars="177"/>
        <w:rPr>
          <w:b/>
          <w:bCs/>
          <w:color w:val="auto"/>
          <w:sz w:val="22"/>
          <w:szCs w:val="22"/>
          <w:highlight w:val="none"/>
        </w:rPr>
      </w:pPr>
      <w:r>
        <w:rPr>
          <w:rFonts w:hint="eastAsia"/>
          <w:color w:val="auto"/>
          <w:sz w:val="22"/>
          <w:szCs w:val="22"/>
          <w:highlight w:val="none"/>
        </w:rPr>
        <w:t>日        期：</w:t>
      </w:r>
    </w:p>
    <w:p>
      <w:pPr>
        <w:spacing w:line="360" w:lineRule="auto"/>
        <w:rPr>
          <w:rFonts w:hint="eastAsia"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附件7</w:t>
      </w:r>
    </w:p>
    <w:p>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39"/>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sz w:val="22"/>
                <w:szCs w:val="22"/>
                <w:highlight w:val="none"/>
                <w:lang w:val="zh-CN"/>
              </w:rPr>
            </w:pPr>
            <w:r>
              <w:rPr>
                <w:rFonts w:hint="eastAsia" w:ascii="宋体" w:hAnsi="宋体"/>
                <w:b/>
                <w:bCs/>
                <w:color w:val="auto"/>
                <w:sz w:val="22"/>
                <w:szCs w:val="22"/>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lang w:val="zh-CN"/>
              </w:rPr>
            </w:pPr>
          </w:p>
        </w:tc>
        <w:tc>
          <w:tcPr>
            <w:tcW w:w="4097" w:type="dxa"/>
            <w:tcBorders>
              <w:top w:val="single" w:color="auto" w:sz="12"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sz w:val="22"/>
                <w:szCs w:val="22"/>
                <w:highlight w:val="none"/>
                <w:lang w:val="zh-CN"/>
              </w:rPr>
            </w:pPr>
            <w:r>
              <w:rPr>
                <w:rFonts w:hint="eastAsia" w:ascii="宋体" w:hAnsi="宋体"/>
                <w:b/>
                <w:bCs/>
                <w:color w:val="auto"/>
                <w:sz w:val="22"/>
                <w:szCs w:val="22"/>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sz w:val="22"/>
                <w:szCs w:val="22"/>
                <w:highlight w:val="none"/>
                <w:lang w:val="zh-CN"/>
              </w:rPr>
            </w:pPr>
            <w:r>
              <w:rPr>
                <w:rFonts w:hint="eastAsia" w:ascii="宋体" w:hAnsi="宋体"/>
                <w:b/>
                <w:bCs/>
                <w:color w:val="auto"/>
                <w:sz w:val="22"/>
                <w:szCs w:val="22"/>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注：业绩证明应提供旁证材料</w:t>
            </w:r>
          </w:p>
          <w:p>
            <w:pPr>
              <w:autoSpaceDE w:val="0"/>
              <w:autoSpaceDN w:val="0"/>
              <w:adjustRightInd w:val="0"/>
              <w:snapToGrid w:val="0"/>
              <w:spacing w:line="360" w:lineRule="auto"/>
              <w:jc w:val="center"/>
              <w:rPr>
                <w:rFonts w:ascii="宋体" w:hAnsi="宋体"/>
                <w:color w:val="auto"/>
                <w:sz w:val="22"/>
                <w:szCs w:val="22"/>
                <w:highlight w:val="none"/>
                <w:lang w:val="zh-CN"/>
              </w:rPr>
            </w:pPr>
            <w:r>
              <w:rPr>
                <w:rFonts w:hint="eastAsia" w:ascii="宋体" w:hAnsi="宋体"/>
                <w:color w:val="auto"/>
                <w:sz w:val="22"/>
                <w:szCs w:val="22"/>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sz w:val="22"/>
                <w:szCs w:val="22"/>
                <w:highlight w:val="none"/>
                <w:lang w:val="zh-CN"/>
              </w:rPr>
            </w:pPr>
            <w:r>
              <w:rPr>
                <w:rFonts w:hint="eastAsia" w:ascii="宋体" w:hAnsi="宋体"/>
                <w:b/>
                <w:bCs/>
                <w:color w:val="auto"/>
                <w:sz w:val="22"/>
                <w:szCs w:val="22"/>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sz w:val="22"/>
                <w:szCs w:val="22"/>
                <w:highlight w:val="none"/>
                <w:lang w:val="zh-CN"/>
              </w:rPr>
            </w:pPr>
            <w:r>
              <w:rPr>
                <w:rFonts w:hint="eastAsia" w:ascii="宋体" w:hAnsi="宋体"/>
                <w:b/>
                <w:bCs/>
                <w:color w:val="auto"/>
                <w:sz w:val="22"/>
                <w:szCs w:val="22"/>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sz w:val="22"/>
                <w:szCs w:val="22"/>
                <w:highlight w:val="none"/>
                <w:lang w:val="zh-CN"/>
              </w:rPr>
            </w:pPr>
            <w:r>
              <w:rPr>
                <w:rFonts w:hint="eastAsia" w:ascii="宋体" w:hAnsi="宋体"/>
                <w:b/>
                <w:bCs/>
                <w:color w:val="auto"/>
                <w:sz w:val="22"/>
                <w:szCs w:val="22"/>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sz w:val="22"/>
                <w:szCs w:val="22"/>
                <w:highlight w:val="none"/>
                <w:lang w:val="zh-CN"/>
              </w:rPr>
            </w:pPr>
            <w:r>
              <w:rPr>
                <w:rFonts w:hint="eastAsia" w:ascii="宋体" w:hAnsi="宋体"/>
                <w:b/>
                <w:bCs/>
                <w:color w:val="auto"/>
                <w:sz w:val="22"/>
                <w:szCs w:val="22"/>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sz w:val="22"/>
                <w:szCs w:val="22"/>
                <w:highlight w:val="none"/>
                <w:lang w:val="zh-CN"/>
              </w:rPr>
            </w:pPr>
            <w:r>
              <w:rPr>
                <w:rFonts w:hint="eastAsia" w:ascii="宋体" w:hAnsi="宋体"/>
                <w:b/>
                <w:bCs/>
                <w:color w:val="auto"/>
                <w:sz w:val="22"/>
                <w:szCs w:val="22"/>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sz w:val="22"/>
                <w:szCs w:val="22"/>
                <w:highlight w:val="none"/>
                <w:lang w:val="zh-CN"/>
              </w:rPr>
            </w:pPr>
            <w:r>
              <w:rPr>
                <w:rFonts w:hint="eastAsia" w:ascii="宋体" w:hAnsi="宋体"/>
                <w:b/>
                <w:bCs/>
                <w:color w:val="auto"/>
                <w:sz w:val="22"/>
                <w:szCs w:val="22"/>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sz w:val="22"/>
                <w:szCs w:val="22"/>
                <w:highlight w:val="none"/>
                <w:lang w:val="zh-CN"/>
              </w:rPr>
            </w:pPr>
            <w:r>
              <w:rPr>
                <w:rFonts w:hint="eastAsia" w:ascii="宋体" w:hAnsi="宋体"/>
                <w:b/>
                <w:bCs/>
                <w:color w:val="auto"/>
                <w:sz w:val="22"/>
                <w:szCs w:val="22"/>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noWrap w:val="0"/>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sz w:val="22"/>
                <w:szCs w:val="22"/>
                <w:highlight w:val="none"/>
                <w:lang w:val="zh-CN"/>
              </w:rPr>
            </w:pPr>
          </w:p>
        </w:tc>
      </w:tr>
    </w:tbl>
    <w:p>
      <w:pPr>
        <w:spacing w:line="360" w:lineRule="auto"/>
        <w:ind w:left="420"/>
        <w:rPr>
          <w:rFonts w:ascii="宋体" w:hAnsi="宋体"/>
          <w:color w:val="auto"/>
          <w:sz w:val="24"/>
          <w:highlight w:val="none"/>
        </w:rPr>
      </w:pPr>
    </w:p>
    <w:p>
      <w:pPr>
        <w:spacing w:line="360" w:lineRule="auto"/>
        <w:ind w:firstLine="440" w:firstLineChars="200"/>
        <w:rPr>
          <w:rFonts w:ascii="宋体" w:hAnsi="宋体"/>
          <w:color w:val="auto"/>
          <w:sz w:val="22"/>
          <w:szCs w:val="22"/>
          <w:highlight w:val="none"/>
          <w:u w:val="singl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名称（公章）：</w:t>
      </w:r>
    </w:p>
    <w:p>
      <w:pPr>
        <w:spacing w:line="360" w:lineRule="auto"/>
        <w:ind w:left="420"/>
        <w:rPr>
          <w:rFonts w:ascii="宋体" w:hAnsi="宋体"/>
          <w:color w:val="auto"/>
          <w:sz w:val="22"/>
          <w:szCs w:val="22"/>
          <w:highlight w:val="none"/>
        </w:rPr>
      </w:pPr>
    </w:p>
    <w:p>
      <w:pPr>
        <w:spacing w:line="360" w:lineRule="auto"/>
        <w:ind w:firstLine="435"/>
        <w:rPr>
          <w:rFonts w:ascii="宋体" w:hAnsi="宋体"/>
          <w:color w:val="auto"/>
          <w:sz w:val="22"/>
          <w:szCs w:val="22"/>
          <w:highlight w:val="non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代表签字：</w:t>
      </w:r>
    </w:p>
    <w:p>
      <w:pPr>
        <w:spacing w:line="360" w:lineRule="auto"/>
        <w:ind w:firstLine="435"/>
        <w:rPr>
          <w:rFonts w:ascii="宋体" w:hAnsi="宋体"/>
          <w:color w:val="auto"/>
          <w:sz w:val="22"/>
          <w:szCs w:val="22"/>
          <w:highlight w:val="none"/>
        </w:rPr>
      </w:pPr>
      <w:r>
        <w:rPr>
          <w:rFonts w:hint="eastAsia" w:ascii="宋体" w:hAnsi="宋体"/>
          <w:color w:val="auto"/>
          <w:sz w:val="22"/>
          <w:szCs w:val="22"/>
          <w:highlight w:val="none"/>
        </w:rPr>
        <w:t>职        务：</w:t>
      </w:r>
    </w:p>
    <w:p>
      <w:pPr>
        <w:spacing w:line="360" w:lineRule="auto"/>
        <w:ind w:firstLine="435"/>
        <w:rPr>
          <w:rFonts w:ascii="宋体" w:hAnsi="宋体"/>
          <w:color w:val="auto"/>
          <w:sz w:val="22"/>
          <w:szCs w:val="22"/>
          <w:highlight w:val="none"/>
        </w:rPr>
      </w:pPr>
    </w:p>
    <w:p>
      <w:pPr>
        <w:spacing w:line="360" w:lineRule="auto"/>
        <w:ind w:firstLine="435"/>
        <w:jc w:val="left"/>
        <w:rPr>
          <w:rFonts w:hint="eastAsia" w:ascii="宋体" w:hAnsi="宋体"/>
          <w:b/>
          <w:bCs/>
          <w:color w:val="auto"/>
          <w:kern w:val="0"/>
          <w:sz w:val="22"/>
          <w:szCs w:val="22"/>
          <w:highlight w:val="none"/>
        </w:rPr>
      </w:pPr>
      <w:r>
        <w:rPr>
          <w:rFonts w:hint="eastAsia" w:ascii="宋体" w:hAnsi="宋体"/>
          <w:color w:val="auto"/>
          <w:sz w:val="22"/>
          <w:szCs w:val="22"/>
          <w:highlight w:val="none"/>
        </w:rPr>
        <w:t>日        期：</w:t>
      </w:r>
      <w:bookmarkStart w:id="43" w:name="_Toc12856_WPSOffice_Level1"/>
      <w:bookmarkStart w:id="44" w:name="_Toc26601_WPSOffice_Level1"/>
    </w:p>
    <w:p>
      <w:pPr>
        <w:spacing w:line="360" w:lineRule="auto"/>
        <w:jc w:val="left"/>
        <w:rPr>
          <w:rFonts w:hint="eastAsia" w:ascii="宋体" w:hAnsi="宋体"/>
          <w:b/>
          <w:bCs/>
          <w:color w:val="auto"/>
          <w:kern w:val="0"/>
          <w:sz w:val="32"/>
          <w:szCs w:val="32"/>
          <w:highlight w:val="none"/>
        </w:rPr>
      </w:pPr>
    </w:p>
    <w:p>
      <w:pPr>
        <w:spacing w:line="360" w:lineRule="auto"/>
        <w:jc w:val="left"/>
        <w:rPr>
          <w:rFonts w:hint="eastAsia" w:ascii="宋体" w:hAnsi="宋体"/>
          <w:b/>
          <w:bCs/>
          <w:color w:val="auto"/>
          <w:kern w:val="0"/>
          <w:sz w:val="32"/>
          <w:szCs w:val="32"/>
          <w:highlight w:val="none"/>
        </w:rPr>
      </w:pPr>
    </w:p>
    <w:p>
      <w:pPr>
        <w:spacing w:line="360" w:lineRule="auto"/>
        <w:rPr>
          <w:rFonts w:hint="eastAsia" w:ascii="宋体" w:hAnsi="宋体" w:eastAsia="宋体" w:cs="Times New Roman"/>
          <w:b/>
          <w:color w:val="auto"/>
          <w:sz w:val="28"/>
          <w:highlight w:val="none"/>
        </w:rPr>
      </w:pPr>
      <w:r>
        <w:rPr>
          <w:rFonts w:hint="eastAsia" w:ascii="宋体" w:hAnsi="宋体" w:eastAsia="宋体" w:cs="Times New Roman"/>
          <w:b/>
          <w:color w:val="auto"/>
          <w:sz w:val="28"/>
          <w:highlight w:val="none"/>
        </w:rPr>
        <w:t>附件8</w:t>
      </w:r>
    </w:p>
    <w:p>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39"/>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line="360" w:lineRule="auto"/>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line="360" w:lineRule="auto"/>
              <w:jc w:val="center"/>
              <w:rPr>
                <w:rFonts w:ascii="宋体" w:hAnsi="宋体"/>
                <w:b/>
                <w:color w:val="auto"/>
                <w:sz w:val="22"/>
                <w:szCs w:val="22"/>
                <w:highlight w:val="none"/>
              </w:rPr>
            </w:pPr>
            <w:r>
              <w:rPr>
                <w:rFonts w:hint="eastAsia" w:ascii="宋体" w:hAnsi="宋体"/>
                <w:b/>
                <w:color w:val="auto"/>
                <w:sz w:val="22"/>
                <w:szCs w:val="22"/>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line="360" w:lineRule="auto"/>
              <w:jc w:val="center"/>
              <w:rPr>
                <w:rFonts w:ascii="宋体" w:hAnsi="宋体"/>
                <w:b/>
                <w:color w:val="auto"/>
                <w:sz w:val="22"/>
                <w:szCs w:val="22"/>
                <w:highlight w:val="none"/>
              </w:rPr>
            </w:pPr>
            <w:r>
              <w:rPr>
                <w:rFonts w:hint="eastAsia" w:ascii="宋体" w:hAnsi="宋体"/>
                <w:b/>
                <w:color w:val="auto"/>
                <w:sz w:val="22"/>
                <w:szCs w:val="22"/>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line="360" w:lineRule="auto"/>
              <w:jc w:val="center"/>
              <w:rPr>
                <w:rFonts w:ascii="宋体" w:hAnsi="宋体"/>
                <w:b/>
                <w:color w:val="auto"/>
                <w:sz w:val="22"/>
                <w:szCs w:val="22"/>
                <w:highlight w:val="none"/>
              </w:rPr>
            </w:pPr>
            <w:r>
              <w:rPr>
                <w:rFonts w:hint="eastAsia" w:ascii="宋体" w:hAnsi="宋体"/>
                <w:b/>
                <w:color w:val="auto"/>
                <w:sz w:val="22"/>
                <w:szCs w:val="22"/>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line="360" w:lineRule="auto"/>
              <w:jc w:val="center"/>
              <w:rPr>
                <w:rFonts w:ascii="宋体" w:hAnsi="宋体"/>
                <w:b/>
                <w:color w:val="auto"/>
                <w:sz w:val="22"/>
                <w:szCs w:val="22"/>
                <w:highlight w:val="none"/>
              </w:rPr>
            </w:pPr>
            <w:r>
              <w:rPr>
                <w:rFonts w:hint="eastAsia" w:ascii="宋体" w:hAnsi="宋体"/>
                <w:b/>
                <w:color w:val="auto"/>
                <w:sz w:val="22"/>
                <w:szCs w:val="22"/>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line="360" w:lineRule="auto"/>
              <w:jc w:val="center"/>
              <w:rPr>
                <w:rFonts w:ascii="宋体" w:hAnsi="宋体"/>
                <w:b/>
                <w:color w:val="auto"/>
                <w:sz w:val="22"/>
                <w:szCs w:val="22"/>
                <w:highlight w:val="none"/>
              </w:rPr>
            </w:pPr>
            <w:r>
              <w:rPr>
                <w:rFonts w:hint="eastAsia" w:ascii="宋体" w:hAnsi="宋体"/>
                <w:b/>
                <w:color w:val="auto"/>
                <w:sz w:val="22"/>
                <w:szCs w:val="22"/>
                <w:highlight w:val="none"/>
              </w:rPr>
              <w:t>证书编号</w:t>
            </w: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line="360" w:lineRule="auto"/>
              <w:jc w:val="center"/>
              <w:rPr>
                <w:rFonts w:ascii="宋体" w:hAnsi="宋体"/>
                <w:b/>
                <w:bCs/>
                <w:color w:val="auto"/>
                <w:sz w:val="22"/>
                <w:szCs w:val="22"/>
                <w:highlight w:val="none"/>
              </w:rPr>
            </w:pPr>
            <w:r>
              <w:rPr>
                <w:rFonts w:hint="eastAsia" w:ascii="宋体" w:hAnsi="宋体"/>
                <w:b/>
                <w:bCs/>
                <w:color w:val="auto"/>
                <w:sz w:val="22"/>
                <w:szCs w:val="22"/>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napToGrid w:val="0"/>
              <w:spacing w:line="360" w:lineRule="auto"/>
              <w:jc w:val="center"/>
              <w:rPr>
                <w:rFonts w:ascii="宋体" w:hAnsi="宋体"/>
                <w:b/>
                <w:bCs/>
                <w:color w:val="auto"/>
                <w:sz w:val="22"/>
                <w:szCs w:val="22"/>
                <w:highlight w:val="none"/>
              </w:rPr>
            </w:pPr>
            <w:r>
              <w:rPr>
                <w:rFonts w:hint="eastAsia" w:ascii="宋体" w:hAnsi="宋体"/>
                <w:b/>
                <w:color w:val="auto"/>
                <w:sz w:val="22"/>
                <w:szCs w:val="22"/>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color w:val="auto"/>
                <w:sz w:val="22"/>
                <w:szCs w:val="22"/>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color w:val="auto"/>
                <w:sz w:val="22"/>
                <w:szCs w:val="22"/>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color w:val="auto"/>
                <w:sz w:val="22"/>
                <w:szCs w:val="22"/>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0"/>
              <w:snapToGrid w:val="0"/>
              <w:spacing w:before="120" w:beforeLines="50" w:after="50" w:line="360" w:lineRule="auto"/>
              <w:ind w:left="5250"/>
              <w:rPr>
                <w:rFonts w:ascii="宋体" w:hAnsi="宋体" w:eastAsia="宋体"/>
                <w:b/>
                <w:color w:val="auto"/>
                <w:kern w:val="44"/>
                <w:sz w:val="22"/>
                <w:szCs w:val="22"/>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0"/>
              <w:snapToGrid w:val="0"/>
              <w:spacing w:before="120" w:beforeLines="50" w:after="50" w:line="360" w:lineRule="auto"/>
              <w:ind w:left="5250"/>
              <w:rPr>
                <w:rFonts w:ascii="宋体" w:hAnsi="宋体" w:eastAsia="宋体"/>
                <w:b/>
                <w:color w:val="auto"/>
                <w:kern w:val="44"/>
                <w:sz w:val="22"/>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0"/>
              <w:spacing w:line="360" w:lineRule="auto"/>
              <w:ind w:left="5250"/>
              <w:rPr>
                <w:rFonts w:ascii="宋体" w:hAnsi="宋体"/>
                <w:color w:val="auto"/>
                <w:sz w:val="22"/>
                <w:szCs w:val="22"/>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color w:val="auto"/>
                <w:sz w:val="22"/>
                <w:szCs w:val="22"/>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color w:val="auto"/>
                <w:sz w:val="22"/>
                <w:szCs w:val="22"/>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color w:val="auto"/>
                <w:sz w:val="22"/>
                <w:szCs w:val="22"/>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napToGrid w:val="0"/>
              <w:spacing w:before="120" w:beforeLines="50" w:after="50" w:line="360" w:lineRule="auto"/>
              <w:rPr>
                <w:rFonts w:ascii="宋体" w:hAnsi="宋体"/>
                <w:b/>
                <w:color w:val="auto"/>
                <w:kern w:val="44"/>
                <w:sz w:val="22"/>
                <w:szCs w:val="22"/>
                <w:highlight w:val="none"/>
              </w:rPr>
            </w:pPr>
          </w:p>
        </w:tc>
      </w:tr>
    </w:tbl>
    <w:p>
      <w:pPr>
        <w:spacing w:line="360" w:lineRule="auto"/>
        <w:rPr>
          <w:rFonts w:ascii="宋体" w:hAnsi="宋体"/>
          <w:b/>
          <w:color w:val="auto"/>
          <w:sz w:val="22"/>
          <w:szCs w:val="18"/>
          <w:highlight w:val="none"/>
        </w:rPr>
      </w:pPr>
      <w:r>
        <w:rPr>
          <w:rFonts w:hint="eastAsia" w:ascii="宋体" w:hAnsi="宋体"/>
          <w:b/>
          <w:color w:val="auto"/>
          <w:sz w:val="22"/>
          <w:szCs w:val="18"/>
          <w:highlight w:val="none"/>
        </w:rPr>
        <w:t>要求：</w:t>
      </w:r>
    </w:p>
    <w:p>
      <w:pPr>
        <w:spacing w:line="360" w:lineRule="auto"/>
        <w:ind w:left="437"/>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1.在填写时，如本表格不适合投标单位的实际情况，可根据本表格式自行划表填写。</w:t>
      </w:r>
    </w:p>
    <w:p>
      <w:pPr>
        <w:pStyle w:val="76"/>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2.附人员证书。</w:t>
      </w:r>
    </w:p>
    <w:p>
      <w:pPr>
        <w:pStyle w:val="76"/>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3.出具上述人员在本单位服务的外部证明，如：须提供对应人员近三个月其中一个月的社保证明材料和证书复印件等。</w:t>
      </w:r>
    </w:p>
    <w:p>
      <w:pPr>
        <w:snapToGrid w:val="0"/>
        <w:spacing w:before="50" w:after="120" w:afterLines="50" w:line="360" w:lineRule="auto"/>
        <w:jc w:val="left"/>
        <w:rPr>
          <w:rFonts w:ascii="宋体" w:hAnsi="宋体"/>
          <w:color w:val="auto"/>
          <w:sz w:val="24"/>
          <w:szCs w:val="20"/>
          <w:highlight w:val="none"/>
        </w:rPr>
      </w:pPr>
    </w:p>
    <w:p>
      <w:pPr>
        <w:spacing w:line="360" w:lineRule="auto"/>
        <w:ind w:left="420"/>
        <w:rPr>
          <w:rFonts w:ascii="宋体" w:hAnsi="宋体"/>
          <w:color w:val="auto"/>
          <w:sz w:val="22"/>
          <w:szCs w:val="22"/>
          <w:highlight w:val="none"/>
          <w:u w:val="singl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名称（公章）：</w:t>
      </w:r>
    </w:p>
    <w:p>
      <w:pPr>
        <w:spacing w:line="360" w:lineRule="auto"/>
        <w:ind w:left="420"/>
        <w:rPr>
          <w:rFonts w:ascii="宋体" w:hAnsi="宋体"/>
          <w:color w:val="auto"/>
          <w:sz w:val="22"/>
          <w:szCs w:val="22"/>
          <w:highlight w:val="none"/>
        </w:rPr>
      </w:pPr>
    </w:p>
    <w:p>
      <w:pPr>
        <w:spacing w:line="360" w:lineRule="auto"/>
        <w:ind w:firstLine="435"/>
        <w:rPr>
          <w:rFonts w:ascii="宋体" w:hAnsi="宋体"/>
          <w:color w:val="auto"/>
          <w:sz w:val="22"/>
          <w:szCs w:val="22"/>
          <w:highlight w:val="non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代表签字：</w:t>
      </w:r>
    </w:p>
    <w:p>
      <w:pPr>
        <w:spacing w:line="360" w:lineRule="auto"/>
        <w:ind w:firstLine="435"/>
        <w:rPr>
          <w:rFonts w:ascii="宋体" w:hAnsi="宋体"/>
          <w:color w:val="auto"/>
          <w:sz w:val="22"/>
          <w:szCs w:val="22"/>
          <w:highlight w:val="none"/>
        </w:rPr>
      </w:pPr>
    </w:p>
    <w:p>
      <w:pPr>
        <w:spacing w:line="360" w:lineRule="auto"/>
        <w:ind w:firstLine="435"/>
        <w:rPr>
          <w:rFonts w:ascii="宋体" w:hAnsi="宋体"/>
          <w:color w:val="auto"/>
          <w:sz w:val="22"/>
          <w:szCs w:val="22"/>
          <w:highlight w:val="none"/>
        </w:rPr>
      </w:pPr>
      <w:r>
        <w:rPr>
          <w:rFonts w:hint="eastAsia" w:ascii="宋体" w:hAnsi="宋体"/>
          <w:color w:val="auto"/>
          <w:sz w:val="22"/>
          <w:szCs w:val="22"/>
          <w:highlight w:val="none"/>
        </w:rPr>
        <w:t>职        务：</w:t>
      </w:r>
    </w:p>
    <w:p>
      <w:pPr>
        <w:spacing w:line="360" w:lineRule="auto"/>
        <w:ind w:firstLine="435"/>
        <w:rPr>
          <w:rFonts w:ascii="宋体" w:hAnsi="宋体"/>
          <w:color w:val="auto"/>
          <w:sz w:val="22"/>
          <w:szCs w:val="22"/>
          <w:highlight w:val="none"/>
        </w:rPr>
      </w:pPr>
    </w:p>
    <w:p>
      <w:pPr>
        <w:spacing w:line="360" w:lineRule="auto"/>
        <w:ind w:firstLine="435"/>
        <w:rPr>
          <w:rFonts w:ascii="宋体" w:hAnsi="宋体"/>
          <w:color w:val="auto"/>
          <w:sz w:val="22"/>
          <w:szCs w:val="22"/>
          <w:highlight w:val="none"/>
        </w:rPr>
      </w:pPr>
      <w:r>
        <w:rPr>
          <w:rFonts w:hint="eastAsia" w:ascii="宋体" w:hAnsi="宋体"/>
          <w:color w:val="auto"/>
          <w:sz w:val="22"/>
          <w:szCs w:val="22"/>
          <w:highlight w:val="none"/>
        </w:rPr>
        <w:t>日        期：</w:t>
      </w:r>
    </w:p>
    <w:p>
      <w:pPr>
        <w:spacing w:line="360" w:lineRule="auto"/>
        <w:jc w:val="left"/>
        <w:rPr>
          <w:rFonts w:hint="eastAsia" w:ascii="宋体" w:hAnsi="宋体"/>
          <w:b/>
          <w:bCs/>
          <w:color w:val="auto"/>
          <w:kern w:val="0"/>
          <w:sz w:val="32"/>
          <w:szCs w:val="32"/>
          <w:highlight w:val="none"/>
        </w:rPr>
      </w:pPr>
    </w:p>
    <w:p>
      <w:pPr>
        <w:spacing w:line="360" w:lineRule="auto"/>
        <w:jc w:val="left"/>
        <w:rPr>
          <w:rFonts w:hint="eastAsia" w:ascii="宋体" w:hAnsi="宋体"/>
          <w:b/>
          <w:bCs/>
          <w:color w:val="auto"/>
          <w:kern w:val="0"/>
          <w:sz w:val="32"/>
          <w:szCs w:val="32"/>
          <w:highlight w:val="none"/>
        </w:rPr>
      </w:pPr>
    </w:p>
    <w:p>
      <w:pPr>
        <w:spacing w:line="360" w:lineRule="auto"/>
        <w:rPr>
          <w:rFonts w:hint="eastAsia" w:ascii="宋体" w:hAnsi="宋体" w:eastAsia="宋体" w:cs="Times New Roman"/>
          <w:b/>
          <w:color w:val="auto"/>
          <w:sz w:val="28"/>
          <w:highlight w:val="none"/>
        </w:rPr>
      </w:pPr>
    </w:p>
    <w:p>
      <w:pPr>
        <w:spacing w:line="360" w:lineRule="auto"/>
        <w:rPr>
          <w:rFonts w:hint="eastAsia" w:ascii="宋体" w:hAnsi="宋体" w:eastAsia="宋体" w:cs="Times New Roman"/>
          <w:b/>
          <w:color w:val="auto"/>
          <w:sz w:val="28"/>
          <w:highlight w:val="none"/>
        </w:rPr>
      </w:pPr>
      <w:r>
        <w:rPr>
          <w:rFonts w:hint="eastAsia" w:ascii="宋体" w:hAnsi="宋体" w:eastAsia="宋体" w:cs="Times New Roman"/>
          <w:b/>
          <w:color w:val="auto"/>
          <w:sz w:val="28"/>
          <w:highlight w:val="none"/>
        </w:rPr>
        <w:t>附件9</w:t>
      </w:r>
    </w:p>
    <w:p>
      <w:pPr>
        <w:adjustRightInd w:val="0"/>
        <w:snapToGrid w:val="0"/>
        <w:spacing w:line="360" w:lineRule="auto"/>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pPr>
        <w:adjustRightInd w:val="0"/>
        <w:snapToGrid w:val="0"/>
        <w:spacing w:line="360" w:lineRule="auto"/>
        <w:ind w:firstLine="828" w:firstLineChars="375"/>
        <w:jc w:val="center"/>
        <w:rPr>
          <w:rFonts w:ascii="宋体" w:hAnsi="宋体"/>
          <w:b/>
          <w:color w:val="auto"/>
          <w:kern w:val="0"/>
          <w:sz w:val="22"/>
          <w:szCs w:val="22"/>
          <w:highlight w:val="none"/>
        </w:rPr>
      </w:pPr>
    </w:p>
    <w:tbl>
      <w:tblPr>
        <w:tblStyle w:val="39"/>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r>
              <w:rPr>
                <w:rFonts w:ascii="宋体" w:hAnsi="宋体"/>
                <w:color w:val="auto"/>
                <w:sz w:val="22"/>
                <w:szCs w:val="22"/>
                <w:highlight w:val="none"/>
              </w:rPr>
              <w:t>序号</w:t>
            </w:r>
          </w:p>
        </w:tc>
        <w:tc>
          <w:tcPr>
            <w:tcW w:w="3870"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r>
              <w:rPr>
                <w:rFonts w:ascii="宋体" w:hAnsi="宋体"/>
                <w:color w:val="auto"/>
                <w:sz w:val="22"/>
                <w:szCs w:val="22"/>
                <w:highlight w:val="none"/>
                <w:u w:val="thick" w:color="FFFFFF"/>
              </w:rPr>
              <w:t>招标文件</w:t>
            </w:r>
            <w:r>
              <w:rPr>
                <w:rFonts w:ascii="宋体" w:hAnsi="宋体"/>
                <w:color w:val="auto"/>
                <w:sz w:val="22"/>
                <w:szCs w:val="22"/>
                <w:highlight w:val="none"/>
              </w:rPr>
              <w:t>要求</w:t>
            </w:r>
          </w:p>
        </w:tc>
        <w:tc>
          <w:tcPr>
            <w:tcW w:w="2707"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r>
              <w:rPr>
                <w:rFonts w:ascii="宋体" w:hAnsi="宋体"/>
                <w:color w:val="auto"/>
                <w:sz w:val="22"/>
                <w:szCs w:val="22"/>
                <w:highlight w:val="none"/>
              </w:rPr>
              <w:t>投标响应内容</w:t>
            </w:r>
          </w:p>
        </w:tc>
        <w:tc>
          <w:tcPr>
            <w:tcW w:w="1349"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r>
              <w:rPr>
                <w:rFonts w:ascii="宋体" w:hAnsi="宋体"/>
                <w:color w:val="auto"/>
                <w:sz w:val="22"/>
                <w:szCs w:val="22"/>
                <w:highlight w:val="none"/>
              </w:rPr>
              <w:t>响应情况</w:t>
            </w:r>
          </w:p>
        </w:tc>
        <w:tc>
          <w:tcPr>
            <w:tcW w:w="771"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r>
              <w:rPr>
                <w:rFonts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r>
              <w:rPr>
                <w:rFonts w:ascii="宋体" w:hAnsi="宋体"/>
                <w:color w:val="auto"/>
                <w:sz w:val="22"/>
                <w:szCs w:val="22"/>
                <w:highlight w:val="none"/>
              </w:rPr>
              <w:t>1</w:t>
            </w:r>
          </w:p>
        </w:tc>
        <w:tc>
          <w:tcPr>
            <w:tcW w:w="3870"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r>
              <w:rPr>
                <w:rFonts w:ascii="宋体" w:hAnsi="宋体"/>
                <w:color w:val="auto"/>
                <w:sz w:val="22"/>
                <w:szCs w:val="22"/>
                <w:highlight w:val="none"/>
              </w:rPr>
              <w:t>（服务期）</w:t>
            </w:r>
          </w:p>
        </w:tc>
        <w:tc>
          <w:tcPr>
            <w:tcW w:w="2707"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1349"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p>
        </w:tc>
        <w:tc>
          <w:tcPr>
            <w:tcW w:w="771"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r>
              <w:rPr>
                <w:rFonts w:ascii="宋体" w:hAnsi="宋体"/>
                <w:color w:val="auto"/>
                <w:sz w:val="22"/>
                <w:szCs w:val="22"/>
                <w:highlight w:val="none"/>
              </w:rPr>
              <w:t>2</w:t>
            </w:r>
          </w:p>
        </w:tc>
        <w:tc>
          <w:tcPr>
            <w:tcW w:w="3870"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r>
              <w:rPr>
                <w:rFonts w:ascii="宋体" w:hAnsi="宋体"/>
                <w:color w:val="auto"/>
                <w:sz w:val="22"/>
                <w:szCs w:val="22"/>
                <w:highlight w:val="none"/>
              </w:rPr>
              <w:t>（付款方式）</w:t>
            </w:r>
          </w:p>
        </w:tc>
        <w:tc>
          <w:tcPr>
            <w:tcW w:w="2707"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1349"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p>
        </w:tc>
        <w:tc>
          <w:tcPr>
            <w:tcW w:w="771"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r>
              <w:rPr>
                <w:rFonts w:ascii="宋体" w:hAnsi="宋体"/>
                <w:color w:val="auto"/>
                <w:sz w:val="22"/>
                <w:szCs w:val="22"/>
                <w:highlight w:val="none"/>
              </w:rPr>
              <w:t>3</w:t>
            </w:r>
          </w:p>
        </w:tc>
        <w:tc>
          <w:tcPr>
            <w:tcW w:w="3870" w:type="dxa"/>
            <w:noWrap w:val="0"/>
            <w:vAlign w:val="center"/>
          </w:tcPr>
          <w:p>
            <w:pPr>
              <w:adjustRightInd w:val="0"/>
              <w:snapToGrid w:val="0"/>
              <w:spacing w:before="100" w:beforeAutospacing="1" w:after="100" w:afterAutospacing="1" w:line="360" w:lineRule="auto"/>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知识产权</w:t>
            </w:r>
            <w:r>
              <w:rPr>
                <w:rFonts w:hint="eastAsia" w:ascii="宋体" w:hAnsi="宋体"/>
                <w:color w:val="auto"/>
                <w:sz w:val="22"/>
                <w:szCs w:val="22"/>
                <w:highlight w:val="none"/>
                <w:lang w:eastAsia="zh-CN"/>
              </w:rPr>
              <w:t>）</w:t>
            </w:r>
          </w:p>
        </w:tc>
        <w:tc>
          <w:tcPr>
            <w:tcW w:w="2707"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1349"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771"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r>
              <w:rPr>
                <w:rFonts w:ascii="宋体" w:hAnsi="宋体"/>
                <w:color w:val="auto"/>
                <w:sz w:val="22"/>
                <w:szCs w:val="22"/>
                <w:highlight w:val="none"/>
              </w:rPr>
              <w:t>4</w:t>
            </w:r>
          </w:p>
        </w:tc>
        <w:tc>
          <w:tcPr>
            <w:tcW w:w="3870"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p>
        </w:tc>
        <w:tc>
          <w:tcPr>
            <w:tcW w:w="2707"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1349"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771"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r>
              <w:rPr>
                <w:rFonts w:ascii="宋体" w:hAnsi="宋体"/>
                <w:color w:val="auto"/>
                <w:sz w:val="22"/>
                <w:szCs w:val="22"/>
                <w:highlight w:val="none"/>
              </w:rPr>
              <w:t>5</w:t>
            </w:r>
          </w:p>
        </w:tc>
        <w:tc>
          <w:tcPr>
            <w:tcW w:w="3870"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p>
        </w:tc>
        <w:tc>
          <w:tcPr>
            <w:tcW w:w="2707"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1349"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771"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r>
              <w:rPr>
                <w:rFonts w:ascii="宋体" w:hAnsi="宋体"/>
                <w:color w:val="auto"/>
                <w:sz w:val="22"/>
                <w:szCs w:val="22"/>
                <w:highlight w:val="none"/>
              </w:rPr>
              <w:t>6</w:t>
            </w:r>
          </w:p>
        </w:tc>
        <w:tc>
          <w:tcPr>
            <w:tcW w:w="3870"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p>
        </w:tc>
        <w:tc>
          <w:tcPr>
            <w:tcW w:w="2707"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1349"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771"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r>
              <w:rPr>
                <w:rFonts w:ascii="宋体" w:hAnsi="宋体"/>
                <w:color w:val="auto"/>
                <w:sz w:val="22"/>
                <w:szCs w:val="22"/>
                <w:highlight w:val="none"/>
              </w:rPr>
              <w:t>7</w:t>
            </w:r>
          </w:p>
        </w:tc>
        <w:tc>
          <w:tcPr>
            <w:tcW w:w="3870"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p>
        </w:tc>
        <w:tc>
          <w:tcPr>
            <w:tcW w:w="2707"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1349"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771"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p>
        </w:tc>
        <w:tc>
          <w:tcPr>
            <w:tcW w:w="3870"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2707"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1349"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771"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pPr>
              <w:adjustRightInd w:val="0"/>
              <w:snapToGrid w:val="0"/>
              <w:spacing w:before="100" w:beforeAutospacing="1" w:after="100" w:afterAutospacing="1" w:line="360" w:lineRule="auto"/>
              <w:jc w:val="center"/>
              <w:rPr>
                <w:rFonts w:ascii="宋体" w:hAnsi="宋体"/>
                <w:color w:val="auto"/>
                <w:sz w:val="22"/>
                <w:szCs w:val="22"/>
                <w:highlight w:val="none"/>
              </w:rPr>
            </w:pPr>
          </w:p>
        </w:tc>
        <w:tc>
          <w:tcPr>
            <w:tcW w:w="3870"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2707"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1349"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c>
          <w:tcPr>
            <w:tcW w:w="771" w:type="dxa"/>
            <w:noWrap w:val="0"/>
            <w:vAlign w:val="center"/>
          </w:tcPr>
          <w:p>
            <w:pPr>
              <w:adjustRightInd w:val="0"/>
              <w:snapToGrid w:val="0"/>
              <w:spacing w:before="100" w:beforeAutospacing="1" w:after="100" w:afterAutospacing="1" w:line="360" w:lineRule="auto"/>
              <w:rPr>
                <w:rFonts w:ascii="宋体" w:hAnsi="宋体"/>
                <w:color w:val="auto"/>
                <w:sz w:val="22"/>
                <w:szCs w:val="22"/>
                <w:highlight w:val="none"/>
              </w:rPr>
            </w:pPr>
          </w:p>
        </w:tc>
      </w:tr>
    </w:tbl>
    <w:p>
      <w:pPr>
        <w:pStyle w:val="6"/>
        <w:adjustRightInd w:val="0"/>
        <w:snapToGrid w:val="0"/>
        <w:spacing w:line="360" w:lineRule="auto"/>
        <w:rPr>
          <w:rFonts w:hAnsi="宋体"/>
          <w:b/>
          <w:color w:val="auto"/>
          <w:sz w:val="22"/>
          <w:szCs w:val="22"/>
          <w:highlight w:val="none"/>
        </w:rPr>
      </w:pPr>
      <w:r>
        <w:rPr>
          <w:rFonts w:hAnsi="宋体"/>
          <w:b/>
          <w:color w:val="auto"/>
          <w:sz w:val="22"/>
          <w:szCs w:val="22"/>
          <w:highlight w:val="none"/>
        </w:rPr>
        <w:t>说明：1</w:t>
      </w:r>
      <w:r>
        <w:rPr>
          <w:rFonts w:hint="eastAsia" w:hAnsi="宋体"/>
          <w:b/>
          <w:color w:val="auto"/>
          <w:sz w:val="22"/>
          <w:szCs w:val="22"/>
          <w:highlight w:val="none"/>
        </w:rPr>
        <w:t>、</w:t>
      </w:r>
      <w:r>
        <w:rPr>
          <w:rFonts w:hint="eastAsia" w:hAnsi="宋体"/>
          <w:b/>
          <w:color w:val="auto"/>
          <w:sz w:val="22"/>
          <w:szCs w:val="22"/>
          <w:highlight w:val="none"/>
          <w:lang w:eastAsia="zh-CN"/>
        </w:rPr>
        <w:t>供应商</w:t>
      </w:r>
      <w:r>
        <w:rPr>
          <w:rFonts w:hAnsi="宋体"/>
          <w:b/>
          <w:color w:val="auto"/>
          <w:sz w:val="22"/>
          <w:szCs w:val="22"/>
          <w:highlight w:val="none"/>
        </w:rPr>
        <w:t>若不填写</w:t>
      </w:r>
      <w:r>
        <w:rPr>
          <w:rFonts w:hint="eastAsia" w:hAnsi="宋体"/>
          <w:b/>
          <w:color w:val="auto"/>
          <w:sz w:val="22"/>
          <w:szCs w:val="22"/>
          <w:highlight w:val="none"/>
        </w:rPr>
        <w:t>此表</w:t>
      </w:r>
      <w:r>
        <w:rPr>
          <w:rFonts w:hAnsi="宋体"/>
          <w:b/>
          <w:color w:val="auto"/>
          <w:sz w:val="22"/>
          <w:szCs w:val="22"/>
          <w:highlight w:val="none"/>
        </w:rPr>
        <w:t>，则视为完全响应</w:t>
      </w:r>
      <w:r>
        <w:rPr>
          <w:rFonts w:hint="eastAsia" w:hAnsi="宋体"/>
          <w:b/>
          <w:color w:val="auto"/>
          <w:sz w:val="22"/>
          <w:szCs w:val="22"/>
          <w:highlight w:val="none"/>
        </w:rPr>
        <w:t>招标</w:t>
      </w:r>
      <w:r>
        <w:rPr>
          <w:rFonts w:hAnsi="宋体"/>
          <w:b/>
          <w:color w:val="auto"/>
          <w:sz w:val="22"/>
          <w:szCs w:val="22"/>
          <w:highlight w:val="none"/>
        </w:rPr>
        <w:t>文件要求</w:t>
      </w:r>
      <w:r>
        <w:rPr>
          <w:rFonts w:hint="eastAsia" w:hAnsi="宋体"/>
          <w:b/>
          <w:color w:val="auto"/>
          <w:sz w:val="22"/>
          <w:szCs w:val="22"/>
          <w:highlight w:val="none"/>
        </w:rPr>
        <w:t>。</w:t>
      </w:r>
    </w:p>
    <w:p>
      <w:pPr>
        <w:pStyle w:val="6"/>
        <w:adjustRightInd w:val="0"/>
        <w:snapToGrid w:val="0"/>
        <w:spacing w:line="360" w:lineRule="auto"/>
        <w:rPr>
          <w:rFonts w:hAnsi="宋体"/>
          <w:b/>
          <w:color w:val="auto"/>
          <w:sz w:val="22"/>
          <w:szCs w:val="22"/>
          <w:highlight w:val="none"/>
        </w:rPr>
      </w:pPr>
      <w:r>
        <w:rPr>
          <w:rFonts w:hint="eastAsia" w:hAnsi="宋体"/>
          <w:b/>
          <w:color w:val="auto"/>
          <w:sz w:val="22"/>
          <w:szCs w:val="22"/>
          <w:highlight w:val="none"/>
        </w:rPr>
        <w:t xml:space="preserve">       2、</w:t>
      </w:r>
      <w:r>
        <w:rPr>
          <w:rFonts w:hint="eastAsia" w:hAnsi="宋体"/>
          <w:b/>
          <w:color w:val="auto"/>
          <w:sz w:val="22"/>
          <w:szCs w:val="22"/>
          <w:highlight w:val="none"/>
          <w:lang w:eastAsia="zh-CN"/>
        </w:rPr>
        <w:t>供应商</w:t>
      </w:r>
      <w:r>
        <w:rPr>
          <w:rFonts w:hAnsi="宋体"/>
          <w:b/>
          <w:color w:val="auto"/>
          <w:sz w:val="22"/>
          <w:szCs w:val="22"/>
          <w:highlight w:val="none"/>
        </w:rPr>
        <w:t>拟提供的服务承诺与招标文件中的要求不一致时，则必须在</w:t>
      </w:r>
      <w:r>
        <w:rPr>
          <w:rFonts w:hint="eastAsia" w:hAnsi="宋体"/>
          <w:b/>
          <w:color w:val="auto"/>
          <w:sz w:val="22"/>
          <w:szCs w:val="22"/>
          <w:highlight w:val="none"/>
          <w:lang w:val="en-US" w:eastAsia="zh-CN"/>
        </w:rPr>
        <w:t>商务与</w:t>
      </w:r>
      <w:r>
        <w:rPr>
          <w:rFonts w:hAnsi="宋体"/>
          <w:b/>
          <w:color w:val="auto"/>
          <w:sz w:val="22"/>
          <w:szCs w:val="22"/>
          <w:highlight w:val="none"/>
        </w:rPr>
        <w:t xml:space="preserve">技术标《服务条款响应表》中予以明确。 </w:t>
      </w:r>
    </w:p>
    <w:p>
      <w:pPr>
        <w:adjustRightInd w:val="0"/>
        <w:snapToGrid w:val="0"/>
        <w:spacing w:line="360" w:lineRule="auto"/>
        <w:jc w:val="left"/>
        <w:rPr>
          <w:rFonts w:ascii="宋体" w:hAnsi="宋体"/>
          <w:b/>
          <w:color w:val="auto"/>
          <w:kern w:val="0"/>
          <w:sz w:val="22"/>
          <w:szCs w:val="22"/>
          <w:highlight w:val="none"/>
        </w:rPr>
      </w:pPr>
      <w:r>
        <w:rPr>
          <w:rFonts w:hint="eastAsia" w:ascii="宋体" w:hAnsi="宋体"/>
          <w:b/>
          <w:color w:val="auto"/>
          <w:sz w:val="22"/>
          <w:szCs w:val="22"/>
          <w:highlight w:val="none"/>
        </w:rPr>
        <w:t xml:space="preserve">       3</w:t>
      </w:r>
      <w:r>
        <w:rPr>
          <w:rFonts w:ascii="宋体" w:hAnsi="宋体"/>
          <w:b/>
          <w:color w:val="auto"/>
          <w:sz w:val="22"/>
          <w:szCs w:val="22"/>
          <w:highlight w:val="none"/>
        </w:rPr>
        <w:t>、响应情况分别为：正偏离、响应或负偏离。</w:t>
      </w:r>
      <w:r>
        <w:rPr>
          <w:rFonts w:hint="eastAsia" w:ascii="宋体" w:hAnsi="宋体"/>
          <w:b/>
          <w:color w:val="auto"/>
          <w:sz w:val="22"/>
          <w:szCs w:val="22"/>
          <w:highlight w:val="none"/>
          <w:lang w:eastAsia="zh-CN"/>
        </w:rPr>
        <w:t>供应商</w:t>
      </w:r>
      <w:r>
        <w:rPr>
          <w:rFonts w:ascii="宋体" w:hAnsi="宋体"/>
          <w:b/>
          <w:color w:val="auto"/>
          <w:sz w:val="22"/>
          <w:szCs w:val="22"/>
          <w:highlight w:val="none"/>
        </w:rPr>
        <w:t>可在备注栏内就偏离原因进行简要说明。</w:t>
      </w:r>
    </w:p>
    <w:bookmarkEnd w:id="43"/>
    <w:bookmarkEnd w:id="44"/>
    <w:p>
      <w:pPr>
        <w:spacing w:line="360" w:lineRule="auto"/>
        <w:ind w:left="420"/>
        <w:rPr>
          <w:rFonts w:ascii="宋体" w:hAnsi="宋体"/>
          <w:color w:val="auto"/>
          <w:sz w:val="22"/>
          <w:szCs w:val="22"/>
          <w:highlight w:val="none"/>
          <w:u w:val="singl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名称（公章）：</w:t>
      </w:r>
    </w:p>
    <w:p>
      <w:pPr>
        <w:spacing w:line="360" w:lineRule="auto"/>
        <w:ind w:firstLine="435"/>
        <w:rPr>
          <w:rFonts w:ascii="宋体" w:hAnsi="宋体"/>
          <w:color w:val="auto"/>
          <w:sz w:val="22"/>
          <w:szCs w:val="22"/>
          <w:highlight w:val="non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代表签字：</w:t>
      </w:r>
    </w:p>
    <w:p>
      <w:pPr>
        <w:spacing w:line="360" w:lineRule="auto"/>
        <w:ind w:firstLine="435"/>
        <w:rPr>
          <w:rFonts w:ascii="宋体" w:hAnsi="宋体"/>
          <w:color w:val="auto"/>
          <w:sz w:val="22"/>
          <w:szCs w:val="22"/>
          <w:highlight w:val="none"/>
          <w:u w:val="single"/>
        </w:rPr>
      </w:pPr>
      <w:r>
        <w:rPr>
          <w:rFonts w:hint="eastAsia" w:ascii="宋体" w:hAnsi="宋体"/>
          <w:color w:val="auto"/>
          <w:sz w:val="22"/>
          <w:szCs w:val="22"/>
          <w:highlight w:val="none"/>
        </w:rPr>
        <w:t>职        务：</w:t>
      </w:r>
    </w:p>
    <w:p>
      <w:pPr>
        <w:spacing w:line="360" w:lineRule="auto"/>
        <w:ind w:firstLine="435"/>
        <w:rPr>
          <w:rFonts w:ascii="宋体" w:hAnsi="宋体"/>
          <w:color w:val="auto"/>
          <w:sz w:val="22"/>
          <w:szCs w:val="22"/>
          <w:highlight w:val="none"/>
        </w:rPr>
      </w:pPr>
      <w:r>
        <w:rPr>
          <w:rFonts w:hint="eastAsia" w:ascii="宋体" w:hAnsi="宋体"/>
          <w:color w:val="auto"/>
          <w:sz w:val="22"/>
          <w:szCs w:val="22"/>
          <w:highlight w:val="none"/>
        </w:rPr>
        <w:t>日        期：</w:t>
      </w:r>
    </w:p>
    <w:p>
      <w:pPr>
        <w:pStyle w:val="77"/>
        <w:spacing w:line="360" w:lineRule="auto"/>
        <w:jc w:val="left"/>
        <w:rPr>
          <w:rFonts w:hint="eastAsia" w:ascii="宋体" w:hAnsi="宋体"/>
          <w:b/>
          <w:color w:val="auto"/>
          <w:sz w:val="28"/>
          <w:highlight w:val="none"/>
        </w:rPr>
      </w:pPr>
    </w:p>
    <w:p>
      <w:pPr>
        <w:pStyle w:val="77"/>
        <w:spacing w:line="360" w:lineRule="auto"/>
        <w:jc w:val="left"/>
        <w:rPr>
          <w:rFonts w:hint="eastAsia" w:ascii="宋体" w:hAnsi="宋体" w:eastAsia="宋体" w:cs="Times New Roman"/>
          <w:b/>
          <w:color w:val="auto"/>
          <w:kern w:val="2"/>
          <w:sz w:val="28"/>
          <w:szCs w:val="24"/>
          <w:highlight w:val="none"/>
          <w:lang w:val="en-US" w:eastAsia="zh-CN" w:bidi="ar-SA"/>
        </w:rPr>
      </w:pPr>
      <w:r>
        <w:rPr>
          <w:rFonts w:hint="eastAsia" w:ascii="宋体" w:hAnsi="宋体" w:eastAsia="宋体" w:cs="Times New Roman"/>
          <w:b/>
          <w:color w:val="auto"/>
          <w:kern w:val="2"/>
          <w:sz w:val="28"/>
          <w:szCs w:val="24"/>
          <w:highlight w:val="none"/>
          <w:lang w:val="en-US" w:eastAsia="zh-CN" w:bidi="ar-SA"/>
        </w:rPr>
        <w:t>附件10</w:t>
      </w:r>
    </w:p>
    <w:p>
      <w:pPr>
        <w:pStyle w:val="89"/>
        <w:spacing w:line="360" w:lineRule="auto"/>
        <w:jc w:val="center"/>
        <w:rPr>
          <w:rFonts w:ascii="宋体" w:hAnsi="宋体" w:cs="Arial"/>
          <w:color w:val="auto"/>
          <w:sz w:val="28"/>
          <w:szCs w:val="28"/>
          <w:highlight w:val="none"/>
        </w:rPr>
      </w:pPr>
      <w:bookmarkStart w:id="45" w:name="_Toc11030_WPSOffice_Level1"/>
      <w:bookmarkStart w:id="46" w:name="_Toc17604_WPSOffice_Level1"/>
      <w:r>
        <w:rPr>
          <w:rFonts w:hint="eastAsia" w:ascii="宋体" w:hAnsi="宋体"/>
          <w:b/>
          <w:color w:val="auto"/>
          <w:sz w:val="32"/>
          <w:szCs w:val="32"/>
          <w:highlight w:val="none"/>
        </w:rPr>
        <w:t>证书一览表</w:t>
      </w:r>
      <w:bookmarkEnd w:id="45"/>
      <w:bookmarkEnd w:id="46"/>
    </w:p>
    <w:tbl>
      <w:tblPr>
        <w:tblStyle w:val="39"/>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58" w:type="dxa"/>
            <w:tcBorders>
              <w:top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60" w:type="dxa"/>
            <w:tcBorders>
              <w:top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58" w:type="dxa"/>
            <w:tcBorders>
              <w:bottom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60" w:type="dxa"/>
            <w:tcBorders>
              <w:bottom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noWrap w:val="0"/>
            <w:tcMar>
              <w:top w:w="57" w:type="dxa"/>
              <w:left w:w="85" w:type="dxa"/>
              <w:bottom w:w="0" w:type="dxa"/>
              <w:right w:w="85" w:type="dxa"/>
            </w:tcMar>
            <w:vAlign w:val="top"/>
          </w:tcPr>
          <w:p>
            <w:pPr>
              <w:pStyle w:val="89"/>
              <w:spacing w:line="360" w:lineRule="auto"/>
              <w:jc w:val="center"/>
              <w:rPr>
                <w:rFonts w:ascii="宋体" w:hAnsi="宋体" w:cs="Arial"/>
                <w:color w:val="auto"/>
                <w:szCs w:val="21"/>
                <w:highlight w:val="none"/>
              </w:rPr>
            </w:pPr>
          </w:p>
        </w:tc>
      </w:tr>
    </w:tbl>
    <w:p>
      <w:pPr>
        <w:pStyle w:val="89"/>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89"/>
        <w:tabs>
          <w:tab w:val="left" w:pos="1050"/>
        </w:tabs>
        <w:spacing w:line="360" w:lineRule="auto"/>
        <w:ind w:firstLine="444" w:firstLineChars="202"/>
        <w:rPr>
          <w:rFonts w:ascii="宋体" w:hAnsi="宋体"/>
          <w:color w:val="auto"/>
          <w:sz w:val="22"/>
          <w:szCs w:val="22"/>
          <w:highlight w:val="none"/>
        </w:rPr>
      </w:pPr>
      <w:r>
        <w:rPr>
          <w:rFonts w:hint="eastAsia" w:ascii="宋体" w:hAnsi="宋体"/>
          <w:color w:val="auto"/>
          <w:sz w:val="22"/>
          <w:szCs w:val="22"/>
          <w:highlight w:val="none"/>
        </w:rPr>
        <w:t>1.填写</w:t>
      </w: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获得资质、认证或企业信誉证书。</w:t>
      </w:r>
    </w:p>
    <w:p>
      <w:pPr>
        <w:pStyle w:val="89"/>
        <w:tabs>
          <w:tab w:val="left" w:pos="1050"/>
        </w:tabs>
        <w:spacing w:line="360" w:lineRule="auto"/>
        <w:ind w:firstLine="444" w:firstLineChars="202"/>
        <w:rPr>
          <w:rFonts w:ascii="宋体" w:hAnsi="宋体"/>
          <w:color w:val="auto"/>
          <w:sz w:val="22"/>
          <w:szCs w:val="22"/>
          <w:highlight w:val="none"/>
        </w:rPr>
      </w:pPr>
      <w:r>
        <w:rPr>
          <w:rFonts w:hint="eastAsia" w:ascii="宋体" w:hAnsi="宋体"/>
          <w:color w:val="auto"/>
          <w:sz w:val="22"/>
          <w:szCs w:val="22"/>
          <w:highlight w:val="none"/>
        </w:rPr>
        <w:t>2.附所列证书或其他证明材料。</w:t>
      </w:r>
    </w:p>
    <w:p>
      <w:pPr>
        <w:pStyle w:val="89"/>
        <w:tabs>
          <w:tab w:val="left" w:pos="1050"/>
        </w:tabs>
        <w:spacing w:line="360" w:lineRule="auto"/>
        <w:rPr>
          <w:rFonts w:ascii="仿宋_GB2312" w:hAnsi="宋体" w:eastAsia="仿宋_GB2312"/>
          <w:color w:val="auto"/>
          <w:sz w:val="22"/>
          <w:szCs w:val="22"/>
          <w:highlight w:val="none"/>
        </w:rPr>
      </w:pPr>
    </w:p>
    <w:p>
      <w:pPr>
        <w:pStyle w:val="89"/>
        <w:tabs>
          <w:tab w:val="left" w:pos="1050"/>
        </w:tabs>
        <w:spacing w:line="360" w:lineRule="auto"/>
        <w:ind w:firstLine="660" w:firstLineChars="300"/>
        <w:rPr>
          <w:rFonts w:ascii="仿宋_GB2312" w:hAnsi="宋体" w:eastAsia="仿宋_GB2312"/>
          <w:color w:val="auto"/>
          <w:sz w:val="22"/>
          <w:szCs w:val="22"/>
          <w:highlight w:val="none"/>
        </w:rPr>
      </w:pPr>
    </w:p>
    <w:p>
      <w:pPr>
        <w:spacing w:line="360" w:lineRule="auto"/>
        <w:ind w:firstLine="389" w:firstLineChars="177"/>
        <w:rPr>
          <w:rFonts w:ascii="宋体" w:hAnsi="宋体"/>
          <w:color w:val="auto"/>
          <w:sz w:val="22"/>
          <w:szCs w:val="22"/>
          <w:highlight w:val="none"/>
          <w:u w:val="singl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名称（公章）：</w:t>
      </w:r>
    </w:p>
    <w:p>
      <w:pPr>
        <w:spacing w:line="360" w:lineRule="auto"/>
        <w:ind w:left="420"/>
        <w:rPr>
          <w:rFonts w:ascii="宋体" w:hAnsi="宋体"/>
          <w:color w:val="auto"/>
          <w:sz w:val="22"/>
          <w:szCs w:val="22"/>
          <w:highlight w:val="none"/>
        </w:rPr>
      </w:pPr>
    </w:p>
    <w:p>
      <w:pPr>
        <w:spacing w:line="360" w:lineRule="auto"/>
        <w:ind w:firstLine="389" w:firstLineChars="177"/>
        <w:rPr>
          <w:rFonts w:ascii="宋体" w:hAnsi="宋体"/>
          <w:color w:val="auto"/>
          <w:sz w:val="22"/>
          <w:szCs w:val="22"/>
          <w:highlight w:val="non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代表签字：</w:t>
      </w:r>
    </w:p>
    <w:p>
      <w:pPr>
        <w:spacing w:line="360" w:lineRule="auto"/>
        <w:ind w:firstLine="435"/>
        <w:rPr>
          <w:rFonts w:ascii="宋体" w:hAnsi="宋体"/>
          <w:color w:val="auto"/>
          <w:sz w:val="22"/>
          <w:szCs w:val="22"/>
          <w:highlight w:val="none"/>
        </w:rPr>
      </w:pPr>
    </w:p>
    <w:p>
      <w:pPr>
        <w:spacing w:line="360" w:lineRule="auto"/>
        <w:ind w:firstLine="389" w:firstLineChars="177"/>
        <w:rPr>
          <w:rFonts w:ascii="宋体" w:hAnsi="宋体"/>
          <w:color w:val="auto"/>
          <w:sz w:val="22"/>
          <w:szCs w:val="22"/>
          <w:highlight w:val="none"/>
          <w:u w:val="single"/>
        </w:rPr>
      </w:pPr>
      <w:r>
        <w:rPr>
          <w:rFonts w:hint="eastAsia" w:ascii="宋体" w:hAnsi="宋体"/>
          <w:color w:val="auto"/>
          <w:sz w:val="22"/>
          <w:szCs w:val="22"/>
          <w:highlight w:val="none"/>
        </w:rPr>
        <w:t>职        务：</w:t>
      </w:r>
    </w:p>
    <w:p>
      <w:pPr>
        <w:spacing w:line="360" w:lineRule="auto"/>
        <w:rPr>
          <w:rFonts w:ascii="宋体" w:hAnsi="宋体"/>
          <w:color w:val="auto"/>
          <w:sz w:val="22"/>
          <w:szCs w:val="22"/>
          <w:highlight w:val="none"/>
        </w:rPr>
      </w:pPr>
    </w:p>
    <w:p>
      <w:pPr>
        <w:pStyle w:val="91"/>
        <w:shd w:val="clear" w:color="auto" w:fill="FFFFFF"/>
        <w:ind w:firstLine="389" w:firstLineChars="177"/>
        <w:rPr>
          <w:rFonts w:hint="eastAsia" w:ascii="宋体" w:hAnsi="宋体"/>
          <w:b/>
          <w:color w:val="auto"/>
          <w:sz w:val="22"/>
          <w:szCs w:val="22"/>
          <w:highlight w:val="none"/>
        </w:rPr>
      </w:pPr>
      <w:r>
        <w:rPr>
          <w:rFonts w:hint="eastAsia"/>
          <w:color w:val="auto"/>
          <w:sz w:val="22"/>
          <w:szCs w:val="22"/>
          <w:highlight w:val="none"/>
        </w:rPr>
        <w:t>日        期：：</w:t>
      </w: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eastAsia="宋体" w:cs="Times New Roman"/>
          <w:b/>
          <w:color w:val="auto"/>
          <w:sz w:val="28"/>
          <w:highlight w:val="none"/>
        </w:rPr>
      </w:pPr>
      <w:r>
        <w:rPr>
          <w:rFonts w:hint="eastAsia" w:ascii="宋体" w:hAnsi="宋体" w:eastAsia="宋体" w:cs="Times New Roman"/>
          <w:b/>
          <w:color w:val="auto"/>
          <w:sz w:val="28"/>
          <w:highlight w:val="none"/>
        </w:rPr>
        <w:t>附件11</w:t>
      </w:r>
    </w:p>
    <w:p>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39"/>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pPr>
              <w:pStyle w:val="77"/>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pPr>
              <w:pStyle w:val="77"/>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pPr>
              <w:pStyle w:val="77"/>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项目</w:t>
            </w:r>
            <w:r>
              <w:rPr>
                <w:rFonts w:hint="eastAsia" w:ascii="宋体" w:hAnsi="宋体" w:cs="宋体"/>
                <w:b/>
                <w:bCs/>
                <w:color w:val="auto"/>
                <w:sz w:val="22"/>
                <w:szCs w:val="22"/>
                <w:highlight w:val="none"/>
                <w:lang w:val="en-US" w:eastAsia="zh-CN"/>
              </w:rPr>
              <w:t>类型</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pPr>
              <w:pStyle w:val="77"/>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合同总价</w:t>
            </w: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pPr>
              <w:pStyle w:val="77"/>
              <w:spacing w:line="360" w:lineRule="auto"/>
              <w:jc w:val="cente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合同签订</w:t>
            </w:r>
          </w:p>
          <w:p>
            <w:pPr>
              <w:pStyle w:val="77"/>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时间</w:t>
            </w: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pPr>
              <w:pStyle w:val="77"/>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项目质量</w:t>
            </w: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pPr>
              <w:pStyle w:val="77"/>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pPr>
              <w:pStyle w:val="77"/>
              <w:spacing w:line="360" w:lineRule="auto"/>
              <w:rPr>
                <w:rFonts w:ascii="宋体" w:hAnsi="宋体" w:cs="宋体"/>
                <w:color w:val="auto"/>
                <w:sz w:val="22"/>
                <w:szCs w:val="22"/>
                <w:highlight w:val="none"/>
              </w:rPr>
            </w:pPr>
          </w:p>
        </w:tc>
      </w:tr>
    </w:tbl>
    <w:p>
      <w:pPr>
        <w:autoSpaceDE w:val="0"/>
        <w:autoSpaceDN w:val="0"/>
        <w:adjustRightInd w:val="0"/>
        <w:spacing w:before="120" w:beforeLines="50" w:line="360" w:lineRule="auto"/>
        <w:ind w:firstLine="440" w:firstLineChars="200"/>
        <w:rPr>
          <w:rFonts w:ascii="宋体" w:hAnsi="宋体" w:eastAsia="宋体" w:cs="Arial"/>
          <w:color w:val="auto"/>
          <w:sz w:val="22"/>
          <w:szCs w:val="22"/>
          <w:highlight w:val="none"/>
        </w:rPr>
      </w:pPr>
      <w:r>
        <w:rPr>
          <w:rFonts w:hint="eastAsia" w:ascii="宋体" w:hAnsi="宋体" w:eastAsia="宋体" w:cs="Arial"/>
          <w:color w:val="auto"/>
          <w:sz w:val="22"/>
          <w:szCs w:val="22"/>
          <w:highlight w:val="none"/>
        </w:rPr>
        <w:t>要求</w:t>
      </w:r>
      <w:r>
        <w:rPr>
          <w:rFonts w:ascii="宋体" w:hAnsi="宋体" w:eastAsia="宋体" w:cs="Arial"/>
          <w:color w:val="auto"/>
          <w:sz w:val="22"/>
          <w:szCs w:val="22"/>
          <w:highlight w:val="none"/>
        </w:rPr>
        <w:t>：</w:t>
      </w:r>
    </w:p>
    <w:p>
      <w:pPr>
        <w:autoSpaceDE w:val="0"/>
        <w:autoSpaceDN w:val="0"/>
        <w:adjustRightInd w:val="0"/>
        <w:spacing w:before="120" w:beforeLines="50" w:line="360" w:lineRule="auto"/>
        <w:ind w:firstLine="440" w:firstLineChars="200"/>
        <w:rPr>
          <w:rFonts w:ascii="宋体" w:hAnsi="宋体" w:cs="Arial"/>
          <w:b/>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w:t>
      </w:r>
      <w:r>
        <w:rPr>
          <w:rFonts w:ascii="宋体" w:hAnsi="宋体" w:cs="Arial"/>
          <w:color w:val="auto"/>
          <w:sz w:val="22"/>
          <w:szCs w:val="22"/>
          <w:highlight w:val="none"/>
        </w:rPr>
        <w:t>业绩证明应提供证明材料（合同</w:t>
      </w:r>
      <w:r>
        <w:rPr>
          <w:rFonts w:hint="eastAsia" w:ascii="宋体" w:hAnsi="宋体" w:cs="Arial"/>
          <w:color w:val="auto"/>
          <w:sz w:val="22"/>
          <w:szCs w:val="22"/>
          <w:highlight w:val="none"/>
        </w:rPr>
        <w:t>可只提供首页、含金额页、盖章页并加盖</w:t>
      </w:r>
      <w:r>
        <w:rPr>
          <w:rFonts w:hint="eastAsia" w:ascii="宋体" w:hAnsi="宋体" w:cs="Arial"/>
          <w:color w:val="auto"/>
          <w:sz w:val="22"/>
          <w:szCs w:val="22"/>
          <w:highlight w:val="none"/>
          <w:lang w:eastAsia="zh-CN"/>
        </w:rPr>
        <w:t>供应商</w:t>
      </w:r>
      <w:r>
        <w:rPr>
          <w:rFonts w:hint="eastAsia" w:ascii="宋体" w:hAnsi="宋体" w:cs="Arial"/>
          <w:color w:val="auto"/>
          <w:sz w:val="22"/>
          <w:szCs w:val="22"/>
          <w:highlight w:val="none"/>
        </w:rPr>
        <w:t>公章</w:t>
      </w:r>
      <w:r>
        <w:rPr>
          <w:rFonts w:ascii="宋体" w:hAnsi="宋体" w:cs="Arial"/>
          <w:color w:val="auto"/>
          <w:sz w:val="22"/>
          <w:szCs w:val="22"/>
          <w:highlight w:val="none"/>
        </w:rPr>
        <w:t>）</w:t>
      </w:r>
      <w:r>
        <w:rPr>
          <w:rFonts w:hint="eastAsia" w:ascii="宋体" w:hAnsi="宋体" w:cs="Arial"/>
          <w:color w:val="auto"/>
          <w:sz w:val="22"/>
          <w:szCs w:val="22"/>
          <w:highlight w:val="none"/>
        </w:rPr>
        <w:t>。</w:t>
      </w:r>
    </w:p>
    <w:p>
      <w:pPr>
        <w:spacing w:line="360" w:lineRule="auto"/>
        <w:ind w:firstLine="444" w:firstLineChars="202"/>
        <w:jc w:val="left"/>
        <w:rPr>
          <w:rFonts w:ascii="宋体" w:hAns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w:t>
      </w:r>
      <w:r>
        <w:rPr>
          <w:rFonts w:hint="eastAsia" w:ascii="宋体" w:hAnsi="宋体" w:cs="Arial"/>
          <w:color w:val="auto"/>
          <w:sz w:val="22"/>
          <w:szCs w:val="22"/>
          <w:highlight w:val="none"/>
          <w:lang w:eastAsia="zh-CN"/>
        </w:rPr>
        <w:t>供应商</w:t>
      </w:r>
      <w:r>
        <w:rPr>
          <w:rFonts w:ascii="宋体" w:hAnsi="宋体" w:cs="Arial"/>
          <w:color w:val="auto"/>
          <w:sz w:val="22"/>
          <w:szCs w:val="22"/>
          <w:highlight w:val="none"/>
        </w:rPr>
        <w:t>可按此表格式复制</w:t>
      </w:r>
      <w:r>
        <w:rPr>
          <w:rFonts w:hint="eastAsia" w:ascii="宋体" w:hAnsi="宋体" w:cs="Arial"/>
          <w:color w:val="auto"/>
          <w:sz w:val="22"/>
          <w:szCs w:val="22"/>
          <w:highlight w:val="none"/>
        </w:rPr>
        <w:t>。</w:t>
      </w:r>
    </w:p>
    <w:p>
      <w:pPr>
        <w:spacing w:line="360" w:lineRule="auto"/>
        <w:rPr>
          <w:rFonts w:ascii="宋体" w:hAnsi="宋体"/>
          <w:color w:val="auto"/>
          <w:sz w:val="22"/>
          <w:szCs w:val="22"/>
          <w:highlight w:val="none"/>
        </w:rPr>
      </w:pPr>
    </w:p>
    <w:p>
      <w:pPr>
        <w:pStyle w:val="38"/>
        <w:spacing w:line="360" w:lineRule="auto"/>
        <w:rPr>
          <w:color w:val="auto"/>
          <w:sz w:val="22"/>
          <w:szCs w:val="22"/>
          <w:highlight w:val="none"/>
        </w:rPr>
      </w:pPr>
    </w:p>
    <w:p>
      <w:pPr>
        <w:spacing w:line="360" w:lineRule="auto"/>
        <w:ind w:left="420"/>
        <w:rPr>
          <w:rFonts w:ascii="宋体" w:hAnsi="宋体"/>
          <w:color w:val="auto"/>
          <w:sz w:val="22"/>
          <w:szCs w:val="22"/>
          <w:highlight w:val="none"/>
          <w:u w:val="singl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名称（公章）：</w:t>
      </w:r>
    </w:p>
    <w:p>
      <w:pPr>
        <w:spacing w:line="360" w:lineRule="auto"/>
        <w:ind w:left="420"/>
        <w:rPr>
          <w:rFonts w:ascii="宋体" w:hAnsi="宋体"/>
          <w:color w:val="auto"/>
          <w:sz w:val="22"/>
          <w:szCs w:val="22"/>
          <w:highlight w:val="none"/>
        </w:rPr>
      </w:pPr>
    </w:p>
    <w:p>
      <w:pPr>
        <w:spacing w:line="360" w:lineRule="auto"/>
        <w:ind w:firstLine="435"/>
        <w:rPr>
          <w:rFonts w:ascii="宋体" w:hAnsi="宋体"/>
          <w:color w:val="auto"/>
          <w:sz w:val="22"/>
          <w:szCs w:val="22"/>
          <w:highlight w:val="non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代表签字：</w:t>
      </w:r>
    </w:p>
    <w:p>
      <w:pPr>
        <w:spacing w:line="360" w:lineRule="auto"/>
        <w:ind w:firstLine="435"/>
        <w:rPr>
          <w:rFonts w:ascii="宋体" w:hAnsi="宋体"/>
          <w:color w:val="auto"/>
          <w:sz w:val="22"/>
          <w:szCs w:val="22"/>
          <w:highlight w:val="none"/>
        </w:rPr>
      </w:pPr>
    </w:p>
    <w:p>
      <w:pPr>
        <w:spacing w:line="360" w:lineRule="auto"/>
        <w:ind w:firstLine="435"/>
        <w:rPr>
          <w:rFonts w:ascii="宋体" w:hAnsi="宋体"/>
          <w:color w:val="auto"/>
          <w:sz w:val="22"/>
          <w:szCs w:val="22"/>
          <w:highlight w:val="none"/>
          <w:u w:val="single"/>
        </w:rPr>
      </w:pPr>
      <w:r>
        <w:rPr>
          <w:rFonts w:hint="eastAsia" w:ascii="宋体" w:hAnsi="宋体"/>
          <w:color w:val="auto"/>
          <w:sz w:val="22"/>
          <w:szCs w:val="22"/>
          <w:highlight w:val="none"/>
        </w:rPr>
        <w:t>职        务：</w:t>
      </w:r>
    </w:p>
    <w:p>
      <w:pPr>
        <w:spacing w:line="360" w:lineRule="auto"/>
        <w:rPr>
          <w:rFonts w:ascii="宋体" w:hAnsi="宋体"/>
          <w:color w:val="auto"/>
          <w:sz w:val="22"/>
          <w:szCs w:val="22"/>
          <w:highlight w:val="none"/>
        </w:rPr>
      </w:pPr>
    </w:p>
    <w:p>
      <w:pPr>
        <w:spacing w:line="360" w:lineRule="auto"/>
        <w:ind w:firstLine="435"/>
        <w:rPr>
          <w:rFonts w:hint="eastAsia" w:ascii="宋体" w:hAnsi="宋体"/>
          <w:color w:val="auto"/>
          <w:sz w:val="22"/>
          <w:szCs w:val="22"/>
          <w:highlight w:val="none"/>
        </w:rPr>
      </w:pPr>
      <w:r>
        <w:rPr>
          <w:rFonts w:hint="eastAsia" w:ascii="宋体" w:hAnsi="宋体"/>
          <w:color w:val="auto"/>
          <w:sz w:val="22"/>
          <w:szCs w:val="22"/>
          <w:highlight w:val="none"/>
        </w:rPr>
        <w:t>日        期：</w:t>
      </w:r>
    </w:p>
    <w:p>
      <w:pPr>
        <w:pStyle w:val="37"/>
      </w:pPr>
    </w:p>
    <w:p>
      <w:pPr>
        <w:spacing w:line="360" w:lineRule="auto"/>
        <w:jc w:val="center"/>
        <w:rPr>
          <w:rFonts w:hint="eastAsia"/>
          <w:color w:val="auto"/>
          <w:sz w:val="52"/>
          <w:szCs w:val="52"/>
          <w:highlight w:val="none"/>
        </w:rPr>
      </w:pPr>
      <w:bookmarkStart w:id="47" w:name="_Toc4615_WPSOffice_Level1"/>
      <w:bookmarkStart w:id="48" w:name="_Toc30468_WPSOffice_Level1"/>
      <w:bookmarkStart w:id="49" w:name="_Toc21322_WPSOffice_Level1"/>
    </w:p>
    <w:p>
      <w:pPr>
        <w:spacing w:line="360" w:lineRule="auto"/>
        <w:jc w:val="center"/>
        <w:rPr>
          <w:color w:val="auto"/>
          <w:sz w:val="52"/>
          <w:szCs w:val="52"/>
          <w:highlight w:val="none"/>
        </w:rPr>
      </w:pPr>
      <w:r>
        <w:rPr>
          <w:rFonts w:hint="eastAsia"/>
          <w:color w:val="auto"/>
          <w:sz w:val="52"/>
          <w:szCs w:val="52"/>
          <w:highlight w:val="none"/>
        </w:rPr>
        <w:t>项目名称</w:t>
      </w:r>
      <w:bookmarkEnd w:id="47"/>
      <w:bookmarkEnd w:id="48"/>
      <w:bookmarkEnd w:id="49"/>
    </w:p>
    <w:p>
      <w:pPr>
        <w:spacing w:before="240" w:beforeLines="100" w:line="360" w:lineRule="auto"/>
        <w:ind w:right="-108"/>
        <w:jc w:val="center"/>
        <w:rPr>
          <w:color w:val="auto"/>
          <w:highlight w:val="none"/>
        </w:rPr>
      </w:pPr>
      <w:r>
        <w:rPr>
          <w:rFonts w:hint="eastAsia" w:ascii="宋体" w:hAnsi="宋体"/>
          <w:color w:val="auto"/>
          <w:sz w:val="36"/>
          <w:szCs w:val="36"/>
          <w:highlight w:val="none"/>
        </w:rPr>
        <w:t>项目编号：</w:t>
      </w:r>
    </w:p>
    <w:p>
      <w:pPr>
        <w:spacing w:line="360" w:lineRule="auto"/>
        <w:jc w:val="center"/>
        <w:rPr>
          <w:rFonts w:hint="eastAsia"/>
          <w:color w:val="auto"/>
          <w:sz w:val="84"/>
          <w:szCs w:val="84"/>
          <w:highlight w:val="none"/>
          <w:lang w:val="en-US" w:eastAsia="zh-CN"/>
        </w:rPr>
      </w:pPr>
      <w:bookmarkStart w:id="50" w:name="_Toc7485_WPSOffice_Level1"/>
      <w:bookmarkStart w:id="51" w:name="_Toc10910_WPSOffice_Level1"/>
      <w:r>
        <w:rPr>
          <w:rFonts w:hint="eastAsia"/>
          <w:color w:val="auto"/>
          <w:sz w:val="84"/>
          <w:szCs w:val="84"/>
          <w:highlight w:val="none"/>
          <w:lang w:val="en-US" w:eastAsia="zh-CN"/>
        </w:rPr>
        <w:t>投</w:t>
      </w:r>
    </w:p>
    <w:p>
      <w:pPr>
        <w:spacing w:line="360" w:lineRule="auto"/>
        <w:jc w:val="center"/>
        <w:rPr>
          <w:color w:val="auto"/>
          <w:sz w:val="84"/>
          <w:szCs w:val="84"/>
          <w:highlight w:val="none"/>
        </w:rPr>
      </w:pPr>
      <w:r>
        <w:rPr>
          <w:rFonts w:hint="eastAsia"/>
          <w:color w:val="auto"/>
          <w:sz w:val="84"/>
          <w:szCs w:val="84"/>
          <w:highlight w:val="none"/>
          <w:lang w:val="en-US" w:eastAsia="zh-CN"/>
        </w:rPr>
        <w:t>标</w:t>
      </w:r>
      <w:bookmarkEnd w:id="50"/>
      <w:bookmarkEnd w:id="51"/>
    </w:p>
    <w:p>
      <w:pPr>
        <w:spacing w:line="360" w:lineRule="auto"/>
        <w:jc w:val="center"/>
        <w:rPr>
          <w:color w:val="auto"/>
          <w:sz w:val="84"/>
          <w:szCs w:val="84"/>
          <w:highlight w:val="none"/>
        </w:rPr>
      </w:pPr>
      <w:bookmarkStart w:id="52" w:name="_Toc14572_WPSOffice_Level1"/>
      <w:bookmarkStart w:id="53" w:name="_Toc3932_WPSOffice_Level1"/>
      <w:r>
        <w:rPr>
          <w:rFonts w:hint="eastAsia"/>
          <w:color w:val="auto"/>
          <w:sz w:val="84"/>
          <w:szCs w:val="84"/>
          <w:highlight w:val="none"/>
        </w:rPr>
        <w:t>文</w:t>
      </w:r>
      <w:bookmarkEnd w:id="52"/>
      <w:bookmarkEnd w:id="53"/>
    </w:p>
    <w:p>
      <w:pPr>
        <w:spacing w:line="360" w:lineRule="auto"/>
        <w:jc w:val="center"/>
        <w:rPr>
          <w:rFonts w:hint="eastAsia"/>
          <w:color w:val="auto"/>
          <w:sz w:val="84"/>
          <w:szCs w:val="84"/>
          <w:highlight w:val="none"/>
        </w:rPr>
      </w:pPr>
      <w:bookmarkStart w:id="54" w:name="_Toc7562_WPSOffice_Level1"/>
      <w:bookmarkStart w:id="55" w:name="_Toc16973_WPSOffice_Level1"/>
      <w:r>
        <w:rPr>
          <w:rFonts w:hint="eastAsia"/>
          <w:color w:val="auto"/>
          <w:sz w:val="84"/>
          <w:szCs w:val="84"/>
          <w:highlight w:val="none"/>
        </w:rPr>
        <w:t>件</w:t>
      </w:r>
      <w:bookmarkEnd w:id="54"/>
      <w:bookmarkEnd w:id="55"/>
    </w:p>
    <w:p>
      <w:pPr>
        <w:spacing w:after="100" w:afterAutospacing="1" w:line="360" w:lineRule="auto"/>
        <w:ind w:right="-108"/>
        <w:jc w:val="center"/>
      </w:pPr>
      <w:r>
        <w:rPr>
          <w:rFonts w:hint="eastAsia" w:ascii="宋体" w:hAnsi="宋体" w:cs="宋体"/>
          <w:sz w:val="28"/>
          <w:szCs w:val="28"/>
          <w:lang w:val="zh-CN"/>
        </w:rPr>
        <w:t>（</w:t>
      </w:r>
      <w:r>
        <w:rPr>
          <w:rFonts w:hint="eastAsia" w:ascii="宋体" w:hAnsi="宋体"/>
          <w:bCs/>
          <w:sz w:val="24"/>
          <w:lang w:val="en-US" w:eastAsia="zh-CN"/>
        </w:rPr>
        <w:t>报价</w:t>
      </w:r>
      <w:r>
        <w:rPr>
          <w:rFonts w:hint="eastAsia" w:ascii="宋体" w:hAnsi="宋体"/>
          <w:bCs/>
          <w:sz w:val="24"/>
          <w:lang w:val="zh-CN"/>
        </w:rPr>
        <w:t>文件</w:t>
      </w:r>
      <w:r>
        <w:rPr>
          <w:rFonts w:hint="eastAsia" w:ascii="宋体" w:hAnsi="宋体"/>
          <w:b/>
          <w:sz w:val="28"/>
          <w:szCs w:val="28"/>
        </w:rPr>
        <w:t>）</w:t>
      </w:r>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880" w:firstLineChars="400"/>
        <w:rPr>
          <w:rFonts w:ascii="宋体" w:hAnsi="宋体"/>
          <w:color w:val="auto"/>
          <w:sz w:val="22"/>
          <w:szCs w:val="22"/>
          <w:highlight w:val="none"/>
        </w:rPr>
      </w:pPr>
      <w:bookmarkStart w:id="56" w:name="_Toc26700_WPSOffice_Level1"/>
      <w:bookmarkStart w:id="57" w:name="_Toc4603_WPSOffice_Level1"/>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全称（公章）：</w:t>
      </w:r>
      <w:bookmarkEnd w:id="56"/>
      <w:bookmarkEnd w:id="57"/>
    </w:p>
    <w:p>
      <w:pPr>
        <w:spacing w:line="360" w:lineRule="auto"/>
        <w:ind w:right="-108" w:firstLine="880" w:firstLineChars="400"/>
        <w:rPr>
          <w:rFonts w:ascii="宋体" w:hAnsi="宋体"/>
          <w:color w:val="auto"/>
          <w:sz w:val="22"/>
          <w:szCs w:val="22"/>
          <w:highlight w:val="none"/>
        </w:rPr>
      </w:pPr>
      <w:bookmarkStart w:id="58" w:name="_Toc32593_WPSOffice_Level1"/>
      <w:bookmarkStart w:id="59" w:name="_Toc1391_WPSOffice_Level1"/>
      <w:r>
        <w:rPr>
          <w:rFonts w:hint="eastAsia" w:ascii="宋体" w:hAnsi="宋体"/>
          <w:color w:val="auto"/>
          <w:sz w:val="22"/>
          <w:szCs w:val="22"/>
          <w:highlight w:val="none"/>
        </w:rPr>
        <w:t>地    址：</w:t>
      </w:r>
      <w:bookmarkEnd w:id="58"/>
      <w:bookmarkEnd w:id="59"/>
    </w:p>
    <w:p>
      <w:pPr>
        <w:spacing w:line="360" w:lineRule="auto"/>
        <w:ind w:right="-108" w:firstLine="880" w:firstLineChars="400"/>
        <w:rPr>
          <w:rFonts w:ascii="宋体" w:hAnsi="宋体"/>
          <w:color w:val="auto"/>
          <w:sz w:val="22"/>
          <w:szCs w:val="22"/>
          <w:highlight w:val="none"/>
        </w:rPr>
      </w:pPr>
      <w:bookmarkStart w:id="60" w:name="_Toc20938_WPSOffice_Level1"/>
      <w:bookmarkStart w:id="61" w:name="_Toc3791_WPSOffice_Level1"/>
      <w:r>
        <w:rPr>
          <w:rFonts w:hint="eastAsia" w:ascii="宋体" w:hAnsi="宋体"/>
          <w:color w:val="auto"/>
          <w:sz w:val="22"/>
          <w:szCs w:val="22"/>
          <w:highlight w:val="none"/>
        </w:rPr>
        <w:t>时    间：</w:t>
      </w:r>
      <w:bookmarkEnd w:id="60"/>
      <w:bookmarkEnd w:id="61"/>
    </w:p>
    <w:p>
      <w:pPr>
        <w:spacing w:line="360" w:lineRule="auto"/>
        <w:ind w:right="-108"/>
        <w:jc w:val="center"/>
        <w:rPr>
          <w:rFonts w:ascii="仿宋_GB2312" w:hAnsi="宋体" w:eastAsia="仿宋_GB2312"/>
          <w:b/>
          <w:color w:val="auto"/>
          <w:sz w:val="36"/>
          <w:szCs w:val="36"/>
          <w:highlight w:val="none"/>
        </w:rPr>
      </w:pPr>
    </w:p>
    <w:p>
      <w:pPr>
        <w:pStyle w:val="37"/>
      </w:pPr>
    </w:p>
    <w:p>
      <w:pPr>
        <w:spacing w:line="360" w:lineRule="auto"/>
        <w:jc w:val="center"/>
        <w:rPr>
          <w:rFonts w:hint="eastAsia" w:ascii="宋体" w:hAnsi="宋体"/>
          <w:b/>
          <w:bCs/>
          <w:color w:val="auto"/>
          <w:sz w:val="36"/>
          <w:szCs w:val="36"/>
          <w:highlight w:val="none"/>
        </w:rPr>
      </w:pPr>
      <w:bookmarkStart w:id="62" w:name="_Toc19972_WPSOffice_Level1"/>
      <w:bookmarkStart w:id="63" w:name="_Toc29537_WPSOffice_Level1"/>
    </w:p>
    <w:p>
      <w:pPr>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62"/>
      <w:bookmarkEnd w:id="63"/>
    </w:p>
    <w:p>
      <w:pPr>
        <w:pStyle w:val="38"/>
        <w:spacing w:line="360" w:lineRule="auto"/>
        <w:rPr>
          <w:color w:val="auto"/>
          <w:highlight w:val="none"/>
        </w:rPr>
      </w:pPr>
    </w:p>
    <w:p>
      <w:pPr>
        <w:spacing w:line="360" w:lineRule="auto"/>
        <w:rPr>
          <w:rFonts w:ascii="宋体" w:hAnsi="宋体" w:cs="宋体"/>
          <w:color w:val="auto"/>
          <w:sz w:val="22"/>
          <w:szCs w:val="22"/>
          <w:highlight w:val="none"/>
        </w:rPr>
      </w:pPr>
    </w:p>
    <w:p>
      <w:pPr>
        <w:autoSpaceDE w:val="0"/>
        <w:autoSpaceDN w:val="0"/>
        <w:adjustRightInd w:val="0"/>
        <w:spacing w:line="360" w:lineRule="auto"/>
        <w:ind w:firstLine="440" w:firstLineChars="200"/>
        <w:rPr>
          <w:rFonts w:ascii="宋体" w:hAnsi="宋体"/>
          <w:color w:val="auto"/>
          <w:kern w:val="0"/>
          <w:sz w:val="22"/>
          <w:szCs w:val="22"/>
          <w:highlight w:val="none"/>
        </w:rPr>
      </w:pPr>
      <w:bookmarkStart w:id="64" w:name="_Toc6778_WPSOffice_Level1"/>
      <w:bookmarkStart w:id="65" w:name="_Toc29988_WPSOffice_Level1"/>
      <w:r>
        <w:rPr>
          <w:rFonts w:hint="eastAsia" w:ascii="宋体" w:hAnsi="宋体"/>
          <w:color w:val="auto"/>
          <w:kern w:val="0"/>
          <w:sz w:val="22"/>
          <w:szCs w:val="22"/>
          <w:highlight w:val="none"/>
        </w:rPr>
        <w:t>（1）开标一览表（附件12）；</w:t>
      </w:r>
    </w:p>
    <w:p>
      <w:pPr>
        <w:pStyle w:val="32"/>
        <w:spacing w:after="156" w:line="360" w:lineRule="auto"/>
        <w:ind w:firstLine="480"/>
        <w:rPr>
          <w:b/>
          <w:bCs/>
          <w:color w:val="auto"/>
          <w:sz w:val="22"/>
          <w:szCs w:val="22"/>
          <w:highlight w:val="none"/>
        </w:rPr>
      </w:pPr>
      <w:r>
        <w:rPr>
          <w:rFonts w:hint="eastAsia" w:ascii="宋体" w:hAnsi="宋体"/>
          <w:color w:val="auto"/>
          <w:kern w:val="0"/>
          <w:sz w:val="22"/>
          <w:szCs w:val="22"/>
          <w:highlight w:val="none"/>
        </w:rPr>
        <w:t>（</w:t>
      </w:r>
      <w:r>
        <w:rPr>
          <w:rFonts w:hint="eastAsia"/>
          <w:color w:val="auto"/>
          <w:kern w:val="0"/>
          <w:sz w:val="22"/>
          <w:szCs w:val="22"/>
          <w:highlight w:val="none"/>
          <w:lang w:val="en-US" w:eastAsia="zh-CN"/>
        </w:rPr>
        <w:t>2</w:t>
      </w:r>
      <w:r>
        <w:rPr>
          <w:rFonts w:hint="eastAsia" w:ascii="宋体" w:hAnsi="宋体"/>
          <w:color w:val="auto"/>
          <w:kern w:val="0"/>
          <w:sz w:val="22"/>
          <w:szCs w:val="22"/>
          <w:highlight w:val="none"/>
        </w:rPr>
        <w:t>）针对报价</w:t>
      </w:r>
      <w:r>
        <w:rPr>
          <w:rFonts w:hint="eastAsia"/>
          <w:color w:val="auto"/>
          <w:kern w:val="0"/>
          <w:sz w:val="22"/>
          <w:szCs w:val="22"/>
          <w:highlight w:val="none"/>
          <w:lang w:eastAsia="zh-CN"/>
        </w:rPr>
        <w:t>供应商</w:t>
      </w:r>
      <w:r>
        <w:rPr>
          <w:rFonts w:hint="eastAsia" w:ascii="宋体" w:hAnsi="宋体"/>
          <w:color w:val="auto"/>
          <w:kern w:val="0"/>
          <w:sz w:val="22"/>
          <w:szCs w:val="22"/>
          <w:highlight w:val="none"/>
        </w:rPr>
        <w:t>认为其他需要说明的</w:t>
      </w:r>
      <w:r>
        <w:rPr>
          <w:b/>
          <w:bCs/>
          <w:color w:val="auto"/>
          <w:sz w:val="22"/>
          <w:szCs w:val="22"/>
          <w:highlight w:val="none"/>
        </w:rPr>
        <w:t>。</w:t>
      </w:r>
    </w:p>
    <w:bookmarkEnd w:id="64"/>
    <w:bookmarkEnd w:id="65"/>
    <w:p>
      <w:pPr>
        <w:spacing w:line="360" w:lineRule="auto"/>
        <w:ind w:firstLine="480" w:firstLineChars="200"/>
        <w:rPr>
          <w:color w:val="auto"/>
          <w:sz w:val="24"/>
          <w:highlight w:val="none"/>
        </w:rPr>
      </w:pPr>
    </w:p>
    <w:p>
      <w:pPr>
        <w:spacing w:line="360" w:lineRule="auto"/>
        <w:ind w:firstLine="482" w:firstLineChars="200"/>
        <w:rPr>
          <w:rFonts w:ascii="宋体" w:hAnsi="宋体"/>
          <w:b/>
          <w:color w:val="auto"/>
          <w:sz w:val="24"/>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eastAsia="宋体" w:cs="Times New Roman"/>
          <w:b/>
          <w:color w:val="auto"/>
          <w:sz w:val="28"/>
          <w:highlight w:val="none"/>
        </w:rPr>
        <w:t>附件12</w:t>
      </w:r>
    </w:p>
    <w:p>
      <w:pPr>
        <w:spacing w:line="360" w:lineRule="auto"/>
        <w:ind w:left="-2" w:hanging="2"/>
        <w:jc w:val="center"/>
        <w:rPr>
          <w:rFonts w:ascii="宋体" w:hAnsi="宋体"/>
          <w:b/>
          <w:color w:val="auto"/>
          <w:sz w:val="32"/>
          <w:szCs w:val="32"/>
          <w:highlight w:val="none"/>
        </w:rPr>
      </w:pPr>
      <w:bookmarkStart w:id="66" w:name="_Toc30363_WPSOffice_Level1"/>
      <w:bookmarkStart w:id="67" w:name="_Toc16144_WPSOffice_Level1"/>
      <w:r>
        <w:rPr>
          <w:rFonts w:hint="eastAsia" w:ascii="宋体" w:hAnsi="宋体"/>
          <w:b/>
          <w:color w:val="auto"/>
          <w:sz w:val="32"/>
          <w:szCs w:val="32"/>
          <w:highlight w:val="none"/>
        </w:rPr>
        <w:t xml:space="preserve">开标一览表 </w:t>
      </w:r>
      <w:bookmarkEnd w:id="66"/>
      <w:bookmarkEnd w:id="67"/>
    </w:p>
    <w:p>
      <w:pPr>
        <w:spacing w:line="360" w:lineRule="auto"/>
        <w:ind w:left="-2" w:hanging="2"/>
        <w:jc w:val="center"/>
        <w:rPr>
          <w:rFonts w:ascii="宋体" w:hAnsi="宋体"/>
          <w:b/>
          <w:color w:val="auto"/>
          <w:sz w:val="32"/>
          <w:szCs w:val="32"/>
          <w:highlight w:val="none"/>
        </w:rPr>
      </w:pPr>
    </w:p>
    <w:p>
      <w:pPr>
        <w:pStyle w:val="6"/>
        <w:spacing w:line="360" w:lineRule="auto"/>
        <w:ind w:firstLine="442" w:firstLineChars="200"/>
        <w:rPr>
          <w:rFonts w:hAnsi="宋体"/>
          <w:b/>
          <w:color w:val="auto"/>
          <w:sz w:val="22"/>
          <w:szCs w:val="22"/>
          <w:highlight w:val="none"/>
        </w:rPr>
      </w:pPr>
      <w:r>
        <w:rPr>
          <w:rFonts w:hAnsi="宋体"/>
          <w:b/>
          <w:color w:val="auto"/>
          <w:sz w:val="22"/>
          <w:szCs w:val="22"/>
          <w:highlight w:val="none"/>
        </w:rPr>
        <w:t>项目编号：</w:t>
      </w:r>
    </w:p>
    <w:p>
      <w:pPr>
        <w:pStyle w:val="82"/>
        <w:spacing w:line="360" w:lineRule="auto"/>
        <w:ind w:right="480" w:firstLine="442" w:firstLineChars="200"/>
        <w:jc w:val="left"/>
        <w:rPr>
          <w:rFonts w:hAnsi="宋体"/>
          <w:color w:val="auto"/>
          <w:sz w:val="22"/>
          <w:szCs w:val="22"/>
          <w:highlight w:val="none"/>
        </w:rPr>
      </w:pPr>
      <w:r>
        <w:rPr>
          <w:rFonts w:hAnsi="宋体"/>
          <w:b/>
          <w:color w:val="auto"/>
          <w:sz w:val="22"/>
          <w:szCs w:val="22"/>
          <w:highlight w:val="none"/>
        </w:rPr>
        <w:t>项目名称：</w:t>
      </w:r>
      <w:r>
        <w:rPr>
          <w:rFonts w:hint="eastAsia" w:ascii="宋体" w:hAnsi="宋体"/>
          <w:color w:val="auto"/>
          <w:sz w:val="22"/>
          <w:szCs w:val="22"/>
          <w:highlight w:val="none"/>
        </w:rPr>
        <w:t xml:space="preserve">                                     [货币单位：人民币元]</w:t>
      </w:r>
    </w:p>
    <w:tbl>
      <w:tblPr>
        <w:tblStyle w:val="39"/>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line="360" w:lineRule="auto"/>
              <w:jc w:val="center"/>
              <w:textAlignment w:val="bottom"/>
              <w:rPr>
                <w:rFonts w:ascii="宋体" w:hAnsi="宋体"/>
                <w:color w:val="auto"/>
                <w:sz w:val="22"/>
                <w:szCs w:val="22"/>
                <w:highlight w:val="none"/>
              </w:rPr>
            </w:pPr>
            <w:r>
              <w:rPr>
                <w:rFonts w:hint="eastAsia" w:ascii="宋体" w:hAnsi="宋体"/>
                <w:color w:val="auto"/>
                <w:sz w:val="22"/>
                <w:szCs w:val="22"/>
                <w:highlight w:val="none"/>
              </w:rPr>
              <w:t>投标总报价</w:t>
            </w:r>
          </w:p>
        </w:tc>
        <w:tc>
          <w:tcPr>
            <w:tcW w:w="1349"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ascii="宋体" w:hAnsi="宋体"/>
                <w:color w:val="auto"/>
                <w:sz w:val="22"/>
                <w:szCs w:val="22"/>
                <w:highlight w:val="none"/>
              </w:rPr>
            </w:pPr>
            <w:r>
              <w:rPr>
                <w:rFonts w:hint="eastAsia" w:ascii="宋体" w:hAnsi="宋体"/>
                <w:color w:val="auto"/>
                <w:sz w:val="22"/>
                <w:szCs w:val="22"/>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spacing w:line="360" w:lineRule="auto"/>
              <w:jc w:val="center"/>
              <w:textAlignment w:val="bottom"/>
              <w:rPr>
                <w:rFonts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pPr>
              <w:spacing w:line="360" w:lineRule="auto"/>
              <w:rPr>
                <w:rFonts w:ascii="宋体" w:hAnsi="宋体"/>
                <w:color w:val="auto"/>
                <w:sz w:val="22"/>
                <w:szCs w:val="22"/>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ascii="宋体" w:hAnsi="宋体"/>
                <w:color w:val="auto"/>
                <w:sz w:val="22"/>
                <w:szCs w:val="22"/>
                <w:highlight w:val="none"/>
              </w:rPr>
            </w:pPr>
            <w:r>
              <w:rPr>
                <w:rFonts w:hint="eastAsia" w:ascii="宋体" w:hAnsi="宋体"/>
                <w:color w:val="auto"/>
                <w:sz w:val="22"/>
                <w:szCs w:val="22"/>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360" w:lineRule="auto"/>
              <w:jc w:val="center"/>
              <w:textAlignment w:val="bottom"/>
              <w:rPr>
                <w:rFonts w:ascii="宋体" w:hAnsi="宋体"/>
                <w:color w:val="auto"/>
                <w:sz w:val="22"/>
                <w:szCs w:val="22"/>
                <w:highlight w:val="none"/>
              </w:rPr>
            </w:pPr>
          </w:p>
        </w:tc>
      </w:tr>
    </w:tbl>
    <w:p>
      <w:pPr>
        <w:spacing w:line="360" w:lineRule="auto"/>
        <w:ind w:left="420"/>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填报要求：投标报价是履行合同的最终价格，本次报价为招标文件所确定的招标需求范围内和合同中要求完成的全部工作内容以及中标人服务承诺，包括但不限于本项目建设所需的安全控制测评费、系统整体测评费、招标代理服务费、风险费、保险、利润、规费、税金、工伤保险费、会务费、评审费、差旅费、政策性文件规定及合同包含的所有风险、责任等所有费用。各投标人应根据招标人提供的技术资料、工程量清单，以及本工程实际情况和自身的综合实力，竞报投标报价。总报价以人民币元计。知识产权等由投标人在投标报价时综合考虑，以后不作任何调整。</w:t>
      </w:r>
    </w:p>
    <w:p>
      <w:pPr>
        <w:spacing w:line="360" w:lineRule="auto"/>
        <w:ind w:left="420"/>
        <w:rPr>
          <w:rFonts w:ascii="宋体" w:hAnsi="宋体"/>
          <w:color w:val="auto"/>
          <w:sz w:val="22"/>
          <w:szCs w:val="22"/>
          <w:highlight w:val="none"/>
          <w:u w:val="singl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名称（公章）：</w:t>
      </w:r>
    </w:p>
    <w:p>
      <w:pPr>
        <w:spacing w:line="360" w:lineRule="auto"/>
        <w:ind w:left="420"/>
        <w:rPr>
          <w:rFonts w:ascii="宋体" w:hAnsi="宋体"/>
          <w:color w:val="auto"/>
          <w:sz w:val="22"/>
          <w:szCs w:val="22"/>
          <w:highlight w:val="none"/>
        </w:rPr>
      </w:pPr>
    </w:p>
    <w:p>
      <w:pPr>
        <w:spacing w:line="360" w:lineRule="auto"/>
        <w:ind w:firstLine="435"/>
        <w:rPr>
          <w:rFonts w:ascii="宋体" w:hAnsi="宋体"/>
          <w:color w:val="auto"/>
          <w:sz w:val="22"/>
          <w:szCs w:val="22"/>
          <w:highlight w:val="non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代表签字：</w:t>
      </w:r>
    </w:p>
    <w:p>
      <w:pPr>
        <w:spacing w:line="360" w:lineRule="auto"/>
        <w:ind w:firstLine="435"/>
        <w:rPr>
          <w:rFonts w:ascii="宋体" w:hAnsi="宋体"/>
          <w:color w:val="auto"/>
          <w:sz w:val="22"/>
          <w:szCs w:val="22"/>
          <w:highlight w:val="none"/>
        </w:rPr>
      </w:pPr>
    </w:p>
    <w:p>
      <w:pPr>
        <w:spacing w:line="360" w:lineRule="auto"/>
        <w:ind w:firstLine="435"/>
        <w:rPr>
          <w:rFonts w:ascii="宋体" w:hAnsi="宋体"/>
          <w:color w:val="auto"/>
          <w:sz w:val="22"/>
          <w:szCs w:val="22"/>
          <w:highlight w:val="none"/>
        </w:rPr>
      </w:pPr>
      <w:r>
        <w:rPr>
          <w:rFonts w:hint="eastAsia" w:ascii="宋体" w:hAnsi="宋体"/>
          <w:color w:val="auto"/>
          <w:sz w:val="22"/>
          <w:szCs w:val="22"/>
          <w:highlight w:val="none"/>
        </w:rPr>
        <w:t>职        务：</w:t>
      </w:r>
    </w:p>
    <w:p>
      <w:pPr>
        <w:spacing w:line="360" w:lineRule="auto"/>
        <w:rPr>
          <w:rFonts w:ascii="宋体" w:hAnsi="宋体"/>
          <w:color w:val="auto"/>
          <w:sz w:val="22"/>
          <w:szCs w:val="22"/>
          <w:highlight w:val="none"/>
        </w:rPr>
      </w:pPr>
    </w:p>
    <w:p>
      <w:pPr>
        <w:spacing w:line="360" w:lineRule="auto"/>
        <w:ind w:firstLine="435"/>
        <w:rPr>
          <w:rFonts w:ascii="宋体" w:hAnsi="宋体"/>
          <w:color w:val="auto"/>
          <w:sz w:val="22"/>
          <w:szCs w:val="22"/>
          <w:highlight w:val="none"/>
        </w:rPr>
      </w:pPr>
      <w:r>
        <w:rPr>
          <w:rFonts w:hint="eastAsia" w:ascii="宋体" w:hAnsi="宋体"/>
          <w:color w:val="auto"/>
          <w:sz w:val="22"/>
          <w:szCs w:val="22"/>
          <w:highlight w:val="none"/>
        </w:rPr>
        <w:t>日        期：</w:t>
      </w:r>
    </w:p>
    <w:p>
      <w:pPr>
        <w:snapToGrid w:val="0"/>
        <w:spacing w:beforeLines="50" w:after="50" w:line="360" w:lineRule="auto"/>
        <w:rPr>
          <w:rFonts w:hint="eastAsia" w:ascii="宋体" w:hAnsi="宋体"/>
          <w:b/>
          <w:color w:val="auto"/>
          <w:sz w:val="28"/>
          <w:highlight w:val="none"/>
        </w:rPr>
      </w:pPr>
    </w:p>
    <w:p>
      <w:pPr>
        <w:snapToGrid w:val="0"/>
        <w:spacing w:beforeLines="50" w:after="50" w:line="360" w:lineRule="auto"/>
        <w:rPr>
          <w:rFonts w:hint="eastAsia" w:ascii="宋体" w:hAnsi="宋体"/>
          <w:b/>
          <w:color w:val="auto"/>
          <w:sz w:val="28"/>
          <w:highlight w:val="none"/>
        </w:rPr>
      </w:pPr>
    </w:p>
    <w:p>
      <w:pPr>
        <w:snapToGrid w:val="0"/>
        <w:spacing w:beforeLines="50" w:after="50" w:line="360" w:lineRule="auto"/>
        <w:rPr>
          <w:rFonts w:hint="eastAsia" w:ascii="宋体" w:hAnsi="宋体"/>
          <w:b/>
          <w:color w:val="auto"/>
          <w:sz w:val="28"/>
          <w:highlight w:val="none"/>
        </w:rPr>
      </w:pPr>
    </w:p>
    <w:p>
      <w:pPr>
        <w:spacing w:line="360" w:lineRule="auto"/>
        <w:rPr>
          <w:rFonts w:hint="eastAsia" w:ascii="宋体" w:hAnsi="宋体" w:eastAsia="宋体" w:cs="Times New Roman"/>
          <w:b/>
          <w:color w:val="auto"/>
          <w:sz w:val="28"/>
          <w:highlight w:val="none"/>
        </w:rPr>
      </w:pPr>
      <w:r>
        <w:rPr>
          <w:rFonts w:hint="eastAsia" w:ascii="宋体" w:hAnsi="宋体" w:eastAsia="宋体" w:cs="Times New Roman"/>
          <w:b/>
          <w:color w:val="auto"/>
          <w:sz w:val="28"/>
          <w:highlight w:val="none"/>
        </w:rPr>
        <w:t>附件13</w:t>
      </w:r>
    </w:p>
    <w:p>
      <w:pPr>
        <w:pStyle w:val="99"/>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pPr>
        <w:pStyle w:val="99"/>
        <w:spacing w:line="360" w:lineRule="auto"/>
        <w:jc w:val="center"/>
        <w:rPr>
          <w:rFonts w:ascii="宋体" w:hAnsi="宋体"/>
          <w:b/>
          <w:color w:val="auto"/>
          <w:sz w:val="24"/>
          <w:highlight w:val="none"/>
          <w:lang w:val="en-GB"/>
        </w:rPr>
      </w:pPr>
    </w:p>
    <w:p>
      <w:pPr>
        <w:pStyle w:val="99"/>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本公司（联合体）郑重声明，根据《政府采购促进中小企业发展管理办法》（财库﹝2020﹞46号）的规定，本公司（联合体）参加</w:t>
      </w:r>
      <w:r>
        <w:rPr>
          <w:rFonts w:hint="eastAsia" w:ascii="宋体" w:hAnsi="宋体"/>
          <w:color w:val="auto"/>
          <w:sz w:val="22"/>
          <w:szCs w:val="22"/>
          <w:highlight w:val="none"/>
          <w:lang w:eastAsia="zh-CN"/>
        </w:rPr>
        <w:t>台州市自然资源和规划信息中心</w:t>
      </w:r>
      <w:r>
        <w:rPr>
          <w:rFonts w:hint="eastAsia" w:ascii="宋体" w:hAnsi="宋体"/>
          <w:color w:val="auto"/>
          <w:sz w:val="22"/>
          <w:szCs w:val="22"/>
          <w:highlight w:val="none"/>
        </w:rPr>
        <w:t>的</w:t>
      </w:r>
      <w:r>
        <w:rPr>
          <w:rFonts w:hint="eastAsia" w:ascii="宋体" w:hAnsi="宋体" w:cs="宋体"/>
          <w:color w:val="auto"/>
          <w:sz w:val="22"/>
          <w:szCs w:val="22"/>
          <w:highlight w:val="none"/>
          <w:u w:val="single"/>
          <w:lang w:eastAsia="zh-CN"/>
        </w:rPr>
        <w:t>自然资源和规划信息系统安全等保测评项目</w:t>
      </w:r>
      <w:r>
        <w:rPr>
          <w:rFonts w:hint="eastAsia" w:hAnsi="宋体"/>
          <w:color w:val="auto"/>
          <w:sz w:val="22"/>
          <w:szCs w:val="22"/>
          <w:highlight w:val="none"/>
        </w:rPr>
        <w:t>（</w:t>
      </w:r>
      <w:r>
        <w:rPr>
          <w:rFonts w:hint="eastAsia" w:ascii="宋体" w:hAnsi="宋体" w:cs="宋体"/>
          <w:color w:val="auto"/>
          <w:kern w:val="0"/>
          <w:sz w:val="22"/>
          <w:szCs w:val="22"/>
          <w:highlight w:val="none"/>
        </w:rPr>
        <w:t>编号为</w:t>
      </w:r>
      <w:r>
        <w:rPr>
          <w:rFonts w:hint="eastAsia" w:ascii="宋体" w:hAnsi="宋体" w:cs="宋体"/>
          <w:color w:val="auto"/>
          <w:kern w:val="0"/>
          <w:sz w:val="22"/>
          <w:szCs w:val="22"/>
          <w:highlight w:val="none"/>
          <w:u w:val="single"/>
          <w:lang w:eastAsia="zh-CN"/>
        </w:rPr>
        <w:t>TZCCC-【202</w:t>
      </w:r>
      <w:r>
        <w:rPr>
          <w:rFonts w:hint="eastAsia" w:ascii="宋体" w:hAnsi="宋体" w:cs="宋体"/>
          <w:color w:val="auto"/>
          <w:kern w:val="0"/>
          <w:sz w:val="22"/>
          <w:szCs w:val="22"/>
          <w:highlight w:val="none"/>
          <w:u w:val="single"/>
          <w:lang w:val="en-US" w:eastAsia="zh-CN"/>
        </w:rPr>
        <w:t>5</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u w:val="single"/>
          <w:lang w:eastAsia="zh-CN"/>
        </w:rPr>
        <w:t>号</w:t>
      </w:r>
      <w:r>
        <w:rPr>
          <w:rFonts w:hint="eastAsia" w:hAnsi="宋体" w:cs="宋体"/>
          <w:color w:val="auto"/>
          <w:kern w:val="0"/>
          <w:sz w:val="22"/>
          <w:szCs w:val="22"/>
          <w:highlight w:val="none"/>
          <w:u w:val="single"/>
        </w:rPr>
        <w:t>）</w:t>
      </w:r>
      <w:r>
        <w:rPr>
          <w:rFonts w:hint="eastAsia" w:ascii="宋体" w:hAnsi="宋体"/>
          <w:color w:val="auto"/>
          <w:sz w:val="22"/>
          <w:szCs w:val="22"/>
          <w:highlight w:val="none"/>
        </w:rPr>
        <w:t>采购活动，服务全部由符合政策要求的中小企业承接。相关企业（含联合体中的中小企业、签订分包意向协议的中小企业）的具体情况如下：</w:t>
      </w:r>
    </w:p>
    <w:p>
      <w:pPr>
        <w:pStyle w:val="99"/>
        <w:numPr>
          <w:ilvl w:val="0"/>
          <w:numId w:val="22"/>
        </w:num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u w:val="single"/>
        </w:rPr>
        <w:t>（</w:t>
      </w:r>
      <w:r>
        <w:rPr>
          <w:rFonts w:hint="eastAsia" w:ascii="宋体" w:hAnsi="宋体" w:cs="宋体"/>
          <w:color w:val="auto"/>
          <w:sz w:val="22"/>
          <w:szCs w:val="22"/>
          <w:highlight w:val="none"/>
          <w:u w:val="single"/>
          <w:lang w:eastAsia="zh-CN"/>
        </w:rPr>
        <w:t>自然资源和规划信息系统安全等保测评项目</w:t>
      </w:r>
      <w:r>
        <w:rPr>
          <w:rFonts w:hint="eastAsia" w:ascii="宋体" w:hAnsi="宋体"/>
          <w:color w:val="auto"/>
          <w:sz w:val="22"/>
          <w:szCs w:val="22"/>
          <w:highlight w:val="none"/>
          <w:u w:val="single"/>
        </w:rPr>
        <w:t>）</w:t>
      </w:r>
      <w:r>
        <w:rPr>
          <w:rFonts w:hint="eastAsia" w:ascii="宋体" w:hAnsi="宋体"/>
          <w:color w:val="auto"/>
          <w:sz w:val="22"/>
          <w:szCs w:val="22"/>
          <w:highlight w:val="none"/>
        </w:rPr>
        <w:t>，属于</w:t>
      </w:r>
      <w:r>
        <w:rPr>
          <w:rFonts w:hint="eastAsia" w:ascii="宋体" w:hAnsi="宋体"/>
          <w:color w:val="auto"/>
          <w:sz w:val="22"/>
          <w:szCs w:val="22"/>
          <w:highlight w:val="none"/>
          <w:u w:val="single"/>
        </w:rPr>
        <w:t>（招标文件中明确的所属行业）</w:t>
      </w:r>
      <w:r>
        <w:rPr>
          <w:rFonts w:hint="eastAsia" w:ascii="宋体" w:hAnsi="宋体"/>
          <w:color w:val="auto"/>
          <w:sz w:val="22"/>
          <w:szCs w:val="22"/>
          <w:highlight w:val="none"/>
        </w:rPr>
        <w:t>；承建（承接）企业为</w:t>
      </w:r>
      <w:r>
        <w:rPr>
          <w:rFonts w:hint="eastAsia" w:ascii="宋体" w:hAnsi="宋体"/>
          <w:color w:val="auto"/>
          <w:sz w:val="22"/>
          <w:szCs w:val="22"/>
          <w:highlight w:val="none"/>
          <w:u w:val="single"/>
        </w:rPr>
        <w:t>（企业名称）</w:t>
      </w:r>
      <w:r>
        <w:rPr>
          <w:rFonts w:hint="eastAsia" w:ascii="宋体" w:hAnsi="宋体"/>
          <w:color w:val="auto"/>
          <w:sz w:val="22"/>
          <w:szCs w:val="22"/>
          <w:highlight w:val="none"/>
        </w:rPr>
        <w:t>，从业人员</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 1 \* GB3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①</w:t>
      </w:r>
      <w:r>
        <w:rPr>
          <w:rFonts w:hint="eastAsia" w:ascii="宋体" w:hAnsi="宋体" w:cs="宋体"/>
          <w:color w:val="auto"/>
          <w:sz w:val="22"/>
          <w:szCs w:val="22"/>
          <w:highlight w:val="none"/>
        </w:rPr>
        <w:fldChar w:fldCharType="end"/>
      </w:r>
      <w:r>
        <w:rPr>
          <w:rFonts w:hint="eastAsia" w:ascii="宋体" w:hAnsi="宋体"/>
          <w:color w:val="auto"/>
          <w:sz w:val="22"/>
          <w:szCs w:val="22"/>
          <w:highlight w:val="none"/>
        </w:rPr>
        <w:t>，属于（中型企业、小型企业、微型企业）；</w:t>
      </w:r>
    </w:p>
    <w:p>
      <w:pPr>
        <w:pStyle w:val="99"/>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……以上企业，不属于大企业的分支机构，不存在控股股东为大企业的情形，也不存在与大企业的负责人为同一人的情形。</w:t>
      </w:r>
    </w:p>
    <w:p>
      <w:pPr>
        <w:pStyle w:val="99"/>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本企业对上述声明内容的真实性负责。如有虚假，将依法承担相应责任。</w:t>
      </w:r>
    </w:p>
    <w:p>
      <w:pPr>
        <w:spacing w:line="360" w:lineRule="auto"/>
        <w:rPr>
          <w:rFonts w:ascii="宋体" w:hAnsi="宋体"/>
          <w:color w:val="auto"/>
          <w:spacing w:val="6"/>
          <w:sz w:val="22"/>
          <w:szCs w:val="22"/>
          <w:highlight w:val="none"/>
        </w:rPr>
      </w:pPr>
    </w:p>
    <w:p>
      <w:pPr>
        <w:pStyle w:val="38"/>
        <w:rPr>
          <w:sz w:val="22"/>
          <w:szCs w:val="22"/>
        </w:rPr>
      </w:pPr>
    </w:p>
    <w:p>
      <w:pPr>
        <w:pStyle w:val="99"/>
        <w:spacing w:line="360" w:lineRule="auto"/>
        <w:ind w:firstLine="440" w:firstLineChars="200"/>
        <w:rPr>
          <w:rFonts w:ascii="宋体" w:hAnsi="宋体" w:cs="Arial"/>
          <w:bCs/>
          <w:color w:val="auto"/>
          <w:sz w:val="22"/>
          <w:szCs w:val="22"/>
          <w:highlight w:val="none"/>
        </w:rPr>
      </w:pPr>
    </w:p>
    <w:p>
      <w:pPr>
        <w:pStyle w:val="99"/>
        <w:spacing w:line="360" w:lineRule="auto"/>
        <w:rPr>
          <w:rFonts w:ascii="宋体" w:hAnsi="宋体"/>
          <w:color w:val="auto"/>
          <w:sz w:val="22"/>
          <w:szCs w:val="22"/>
          <w:highlight w:val="none"/>
        </w:rPr>
      </w:pPr>
    </w:p>
    <w:p>
      <w:pPr>
        <w:pStyle w:val="99"/>
        <w:spacing w:line="360" w:lineRule="auto"/>
        <w:ind w:firstLine="4400" w:firstLineChars="2000"/>
        <w:rPr>
          <w:rFonts w:ascii="宋体" w:hAnsi="宋体"/>
          <w:color w:val="auto"/>
          <w:sz w:val="22"/>
          <w:szCs w:val="22"/>
          <w:highlight w:val="none"/>
        </w:rPr>
      </w:pPr>
      <w:r>
        <w:rPr>
          <w:rFonts w:hint="eastAsia" w:ascii="宋体" w:hAnsi="宋体"/>
          <w:color w:val="auto"/>
          <w:sz w:val="22"/>
          <w:szCs w:val="22"/>
          <w:highlight w:val="none"/>
        </w:rPr>
        <w:t xml:space="preserve">企业名称（公章）：              </w:t>
      </w:r>
    </w:p>
    <w:p>
      <w:pPr>
        <w:pStyle w:val="99"/>
        <w:spacing w:line="360" w:lineRule="auto"/>
        <w:ind w:firstLine="4400" w:firstLineChars="2000"/>
        <w:rPr>
          <w:rFonts w:ascii="宋体" w:hAnsi="宋体"/>
          <w:color w:val="auto"/>
          <w:sz w:val="22"/>
          <w:szCs w:val="22"/>
          <w:highlight w:val="none"/>
        </w:rPr>
      </w:pPr>
      <w:r>
        <w:rPr>
          <w:rFonts w:hint="eastAsia" w:ascii="宋体" w:hAnsi="宋体"/>
          <w:color w:val="auto"/>
          <w:sz w:val="22"/>
          <w:szCs w:val="22"/>
          <w:highlight w:val="none"/>
        </w:rPr>
        <w:t>日 期：</w:t>
      </w:r>
    </w:p>
    <w:p>
      <w:pPr>
        <w:pStyle w:val="10"/>
        <w:rPr>
          <w:rFonts w:ascii="宋体" w:hAnsi="宋体" w:cs="宋体"/>
          <w:color w:val="auto"/>
          <w:sz w:val="22"/>
          <w:szCs w:val="22"/>
          <w:highlight w:val="none"/>
        </w:rPr>
      </w:pPr>
    </w:p>
    <w:p>
      <w:pPr>
        <w:pStyle w:val="10"/>
        <w:rPr>
          <w:rFonts w:ascii="宋体" w:hAnsi="宋体" w:cs="宋体"/>
          <w:color w:val="auto"/>
          <w:sz w:val="22"/>
          <w:szCs w:val="22"/>
          <w:highlight w:val="none"/>
        </w:rPr>
      </w:pPr>
    </w:p>
    <w:p>
      <w:pPr>
        <w:spacing w:line="360" w:lineRule="auto"/>
        <w:rPr>
          <w:rFonts w:ascii="宋体" w:hAnsi="宋体" w:cs="宋体"/>
          <w:color w:val="auto"/>
          <w:sz w:val="22"/>
          <w:szCs w:val="22"/>
          <w:highlight w:val="none"/>
        </w:rPr>
      </w:pPr>
      <w:r>
        <w:rPr>
          <w:rFonts w:ascii="宋体" w:hAnsi="宋体" w:cs="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1030"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wps:wsp>
                  </a:graphicData>
                </a:graphic>
              </wp:anchor>
            </w:drawing>
          </mc:Choice>
          <mc:Fallback>
            <w:pict>
              <v:line id="直接连接符 3"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NFKqV0wAAAAYBAAAPAAAAAAAA&#10;AAEAIAAAACIAAABkcnMvZG93bnJldi54bWxQSwECFAAUAAAACACHTuJAZTw1594BAACmAwAADgAA&#10;AAAAAAABACAAAAAiAQAAZHJzL2Uyb0RvYy54bWxQSwUGAAAAAAYABgBZAQAAcgUAAAAA&#10;">
                <v:fill on="f" focussize="0,0"/>
                <v:stroke weight="1.25pt" color="#000000" joinstyle="miter"/>
                <v:imagedata o:title=""/>
                <o:lock v:ext="edit" aspectratio="f"/>
              </v:line>
            </w:pict>
          </mc:Fallback>
        </mc:AlternateConten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 1 \* GB3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①</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从业人员、营业收入、资产总额填报上一年度数据，无上一年度数据的新成立企业可不填报。</w:t>
      </w:r>
    </w:p>
    <w:p>
      <w:pPr>
        <w:rPr>
          <w:rFonts w:ascii="宋体" w:hAnsi="宋体" w:cs="宋体"/>
          <w:color w:val="auto"/>
          <w:sz w:val="22"/>
          <w:szCs w:val="22"/>
          <w:highlight w:val="none"/>
        </w:rPr>
        <w:sectPr>
          <w:footerReference r:id="rId3" w:type="default"/>
          <w:pgSz w:w="11906" w:h="16838"/>
          <w:pgMar w:top="1701" w:right="1448" w:bottom="1531" w:left="1418" w:header="851" w:footer="851" w:gutter="0"/>
          <w:cols w:space="720" w:num="1"/>
          <w:docGrid w:linePitch="312" w:charSpace="0"/>
        </w:sectPr>
      </w:pPr>
      <w:r>
        <w:rPr>
          <w:rFonts w:hint="eastAsia" w:ascii="宋体" w:hAnsi="宋体" w:cs="宋体"/>
          <w:color w:val="auto"/>
          <w:sz w:val="22"/>
          <w:szCs w:val="22"/>
          <w:highlight w:val="none"/>
        </w:rPr>
        <w:t>②本声明函将随中标结果公开，接受社会监督。</w:t>
      </w:r>
    </w:p>
    <w:p>
      <w:pPr>
        <w:pStyle w:val="6"/>
        <w:spacing w:line="360" w:lineRule="auto"/>
        <w:jc w:val="center"/>
        <w:rPr>
          <w:rFonts w:hAnsi="宋体"/>
          <w:b/>
          <w:color w:val="auto"/>
          <w:sz w:val="32"/>
          <w:szCs w:val="32"/>
          <w:highlight w:val="none"/>
          <w:lang w:val="en-GB"/>
        </w:rPr>
      </w:pPr>
      <w:bookmarkStart w:id="68" w:name="_Toc27483_WPSOffice_Level1"/>
      <w:bookmarkStart w:id="69" w:name="_Toc17646_WPSOffice_Level1"/>
      <w:r>
        <w:rPr>
          <w:rFonts w:hint="eastAsia" w:hAnsi="宋体"/>
          <w:b/>
          <w:color w:val="auto"/>
          <w:sz w:val="32"/>
          <w:szCs w:val="32"/>
          <w:highlight w:val="none"/>
          <w:lang w:val="en-GB"/>
        </w:rPr>
        <w:t>残疾人福利性单位声明函</w:t>
      </w:r>
      <w:bookmarkEnd w:id="68"/>
      <w:bookmarkEnd w:id="69"/>
    </w:p>
    <w:p>
      <w:pPr>
        <w:spacing w:line="360" w:lineRule="auto"/>
        <w:ind w:firstLine="480" w:firstLineChars="200"/>
        <w:rPr>
          <w:rFonts w:ascii="宋体" w:hAnsi="宋体" w:cs="宋体"/>
          <w:color w:val="auto"/>
          <w:sz w:val="24"/>
          <w:highlight w:val="none"/>
        </w:rPr>
      </w:pPr>
    </w:p>
    <w:p>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highlight w:val="none"/>
          <w:lang w:eastAsia="zh-CN"/>
        </w:rPr>
        <w:t>台州市自然资源和规划信息中心</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自然资源和规划信息系统安全等保测评项目</w:t>
      </w:r>
      <w:r>
        <w:rPr>
          <w:rFonts w:hint="eastAsia" w:ascii="宋体" w:hAnsi="宋体" w:cs="宋体"/>
          <w:color w:val="auto"/>
          <w:sz w:val="22"/>
          <w:szCs w:val="22"/>
          <w:highlight w:val="none"/>
          <w:u w:val="single"/>
        </w:rPr>
        <w:t xml:space="preserve">  </w:t>
      </w:r>
      <w:r>
        <w:rPr>
          <w:rFonts w:hint="eastAsia" w:hAnsi="宋体"/>
          <w:color w:val="auto"/>
          <w:sz w:val="22"/>
          <w:szCs w:val="22"/>
          <w:highlight w:val="none"/>
        </w:rPr>
        <w:t>（</w:t>
      </w:r>
      <w:r>
        <w:rPr>
          <w:rFonts w:hint="eastAsia" w:ascii="宋体" w:hAnsi="宋体" w:cs="宋体"/>
          <w:color w:val="auto"/>
          <w:kern w:val="0"/>
          <w:sz w:val="22"/>
          <w:szCs w:val="22"/>
          <w:highlight w:val="none"/>
        </w:rPr>
        <w:t>编号为</w:t>
      </w:r>
      <w:r>
        <w:rPr>
          <w:rFonts w:hint="eastAsia" w:ascii="宋体" w:hAnsi="宋体" w:cs="宋体"/>
          <w:color w:val="auto"/>
          <w:kern w:val="0"/>
          <w:sz w:val="22"/>
          <w:szCs w:val="22"/>
          <w:highlight w:val="none"/>
          <w:u w:val="single"/>
          <w:lang w:eastAsia="zh-CN"/>
        </w:rPr>
        <w:t>TZCCC-【202</w:t>
      </w:r>
      <w:r>
        <w:rPr>
          <w:rFonts w:hint="eastAsia" w:ascii="宋体" w:hAnsi="宋体" w:cs="宋体"/>
          <w:color w:val="auto"/>
          <w:kern w:val="0"/>
          <w:sz w:val="22"/>
          <w:szCs w:val="22"/>
          <w:highlight w:val="none"/>
          <w:u w:val="single"/>
          <w:lang w:val="en-US" w:eastAsia="zh-CN"/>
        </w:rPr>
        <w:t>5</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u w:val="single"/>
          <w:lang w:eastAsia="zh-CN"/>
        </w:rPr>
        <w:t>号</w:t>
      </w:r>
      <w:r>
        <w:rPr>
          <w:rFonts w:hint="eastAsia" w:hAnsi="宋体" w:cs="宋体"/>
          <w:color w:val="auto"/>
          <w:kern w:val="0"/>
          <w:sz w:val="22"/>
          <w:szCs w:val="22"/>
          <w:highlight w:val="none"/>
          <w:u w:val="single"/>
        </w:rPr>
        <w:t>）</w:t>
      </w:r>
      <w:r>
        <w:rPr>
          <w:rFonts w:hint="eastAsia" w:ascii="宋体" w:hAnsi="宋体" w:cs="宋体"/>
          <w:color w:val="auto"/>
          <w:sz w:val="22"/>
          <w:szCs w:val="22"/>
          <w:highlight w:val="none"/>
        </w:rPr>
        <w:t>采购活动提供本单位制造的货物（由本单位承担工程/提供服务），或者提供其他残疾人福利性单位制造的货物（不包括使用非残疾人福利性单位注册商标的货物）。</w:t>
      </w:r>
    </w:p>
    <w:p>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pPr>
        <w:pStyle w:val="38"/>
        <w:rPr>
          <w:color w:val="auto"/>
          <w:sz w:val="22"/>
          <w:szCs w:val="22"/>
          <w:highlight w:val="none"/>
        </w:rPr>
      </w:pPr>
    </w:p>
    <w:p>
      <w:pPr>
        <w:tabs>
          <w:tab w:val="left" w:pos="4860"/>
        </w:tabs>
        <w:spacing w:line="588" w:lineRule="exact"/>
        <w:ind w:right="1560"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pPr>
        <w:pStyle w:val="99"/>
        <w:spacing w:line="360" w:lineRule="auto"/>
        <w:ind w:left="6384" w:leftChars="228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pPr>
        <w:pStyle w:val="99"/>
        <w:spacing w:line="360" w:lineRule="auto"/>
        <w:ind w:left="6384" w:leftChars="2280"/>
        <w:rPr>
          <w:rFonts w:ascii="宋体" w:hAnsi="宋体"/>
          <w:color w:val="auto"/>
          <w:sz w:val="22"/>
          <w:szCs w:val="22"/>
          <w:highlight w:val="none"/>
        </w:rPr>
      </w:pPr>
      <w:r>
        <w:rPr>
          <w:rFonts w:hint="eastAsia" w:ascii="宋体" w:hAnsi="宋体"/>
          <w:color w:val="auto"/>
          <w:sz w:val="22"/>
          <w:szCs w:val="22"/>
          <w:highlight w:val="none"/>
        </w:rPr>
        <w:t>单位名称（公章）：</w:t>
      </w:r>
    </w:p>
    <w:p>
      <w:pPr>
        <w:pStyle w:val="99"/>
        <w:spacing w:line="360" w:lineRule="auto"/>
        <w:ind w:left="4788" w:leftChars="1710" w:firstLine="1760" w:firstLineChars="800"/>
        <w:rPr>
          <w:rFonts w:ascii="宋体" w:hAnsi="宋体"/>
          <w:color w:val="auto"/>
          <w:sz w:val="22"/>
          <w:szCs w:val="22"/>
          <w:highlight w:val="none"/>
        </w:rPr>
      </w:pPr>
      <w:r>
        <w:rPr>
          <w:rFonts w:hint="eastAsia" w:ascii="宋体" w:hAnsi="宋体"/>
          <w:color w:val="auto"/>
          <w:sz w:val="22"/>
          <w:szCs w:val="22"/>
          <w:highlight w:val="none"/>
        </w:rPr>
        <w:t>日  期  ：</w:t>
      </w:r>
    </w:p>
    <w:p>
      <w:pPr>
        <w:snapToGrid w:val="0"/>
        <w:spacing w:before="50" w:after="50" w:line="360" w:lineRule="auto"/>
        <w:ind w:firstLine="600" w:firstLineChars="200"/>
        <w:rPr>
          <w:color w:val="auto"/>
          <w:sz w:val="30"/>
          <w:szCs w:val="30"/>
          <w:highlight w:val="none"/>
        </w:rPr>
      </w:pPr>
    </w:p>
    <w:p>
      <w:pPr>
        <w:snapToGrid w:val="0"/>
        <w:spacing w:before="50" w:after="50" w:line="360" w:lineRule="auto"/>
        <w:ind w:firstLine="600" w:firstLineChars="200"/>
        <w:rPr>
          <w:color w:val="auto"/>
          <w:sz w:val="30"/>
          <w:szCs w:val="30"/>
          <w:highlight w:val="none"/>
        </w:rPr>
      </w:pPr>
    </w:p>
    <w:p>
      <w:pPr>
        <w:snapToGrid w:val="0"/>
        <w:spacing w:before="50" w:after="50" w:line="360" w:lineRule="auto"/>
        <w:ind w:firstLine="600" w:firstLineChars="200"/>
        <w:rPr>
          <w:color w:val="auto"/>
          <w:sz w:val="30"/>
          <w:szCs w:val="30"/>
          <w:highlight w:val="none"/>
        </w:rPr>
      </w:pPr>
    </w:p>
    <w:p>
      <w:pPr>
        <w:snapToGrid w:val="0"/>
        <w:spacing w:before="50" w:after="50" w:line="360" w:lineRule="auto"/>
        <w:ind w:firstLine="600" w:firstLineChars="200"/>
        <w:rPr>
          <w:color w:val="auto"/>
          <w:sz w:val="30"/>
          <w:szCs w:val="30"/>
          <w:highlight w:val="none"/>
        </w:rPr>
      </w:pPr>
    </w:p>
    <w:p>
      <w:pPr>
        <w:snapToGrid w:val="0"/>
        <w:spacing w:before="50" w:after="50" w:line="360" w:lineRule="auto"/>
        <w:ind w:firstLine="600" w:firstLineChars="200"/>
        <w:rPr>
          <w:color w:val="auto"/>
          <w:sz w:val="30"/>
          <w:szCs w:val="30"/>
          <w:highlight w:val="none"/>
        </w:rPr>
      </w:pPr>
    </w:p>
    <w:p>
      <w:pPr>
        <w:snapToGrid w:val="0"/>
        <w:spacing w:before="50" w:after="50" w:line="360" w:lineRule="auto"/>
        <w:ind w:firstLine="600" w:firstLineChars="200"/>
        <w:rPr>
          <w:color w:val="auto"/>
          <w:sz w:val="30"/>
          <w:szCs w:val="30"/>
          <w:highlight w:val="none"/>
        </w:rPr>
      </w:pPr>
    </w:p>
    <w:p>
      <w:pPr>
        <w:snapToGrid w:val="0"/>
        <w:spacing w:before="50" w:after="50" w:line="360" w:lineRule="auto"/>
        <w:ind w:firstLine="600" w:firstLineChars="200"/>
        <w:rPr>
          <w:color w:val="auto"/>
          <w:sz w:val="30"/>
          <w:szCs w:val="30"/>
          <w:highlight w:val="none"/>
        </w:rPr>
      </w:pPr>
    </w:p>
    <w:p>
      <w:pPr>
        <w:snapToGrid w:val="0"/>
        <w:spacing w:before="50" w:after="50" w:line="360" w:lineRule="auto"/>
        <w:ind w:firstLine="600" w:firstLineChars="200"/>
        <w:rPr>
          <w:color w:val="auto"/>
          <w:sz w:val="30"/>
          <w:szCs w:val="30"/>
          <w:highlight w:val="none"/>
        </w:rPr>
      </w:pPr>
    </w:p>
    <w:p>
      <w:pPr>
        <w:snapToGrid w:val="0"/>
        <w:spacing w:before="50" w:after="50" w:line="360" w:lineRule="auto"/>
        <w:ind w:firstLine="600" w:firstLineChars="200"/>
        <w:rPr>
          <w:color w:val="auto"/>
          <w:sz w:val="30"/>
          <w:szCs w:val="30"/>
          <w:highlight w:val="none"/>
        </w:rPr>
      </w:pPr>
    </w:p>
    <w:p>
      <w:pPr>
        <w:snapToGrid w:val="0"/>
        <w:spacing w:before="50" w:after="50" w:line="360" w:lineRule="auto"/>
        <w:ind w:firstLine="600" w:firstLineChars="200"/>
        <w:rPr>
          <w:color w:val="auto"/>
          <w:sz w:val="30"/>
          <w:szCs w:val="30"/>
          <w:highlight w:val="none"/>
        </w:rPr>
      </w:pPr>
    </w:p>
    <w:p>
      <w:pPr>
        <w:snapToGrid w:val="0"/>
        <w:spacing w:before="50" w:after="50" w:line="360" w:lineRule="auto"/>
        <w:ind w:firstLine="600" w:firstLineChars="200"/>
        <w:rPr>
          <w:color w:val="auto"/>
          <w:sz w:val="30"/>
          <w:szCs w:val="30"/>
          <w:highlight w:val="none"/>
        </w:rPr>
      </w:pPr>
    </w:p>
    <w:p>
      <w:pPr>
        <w:snapToGrid w:val="0"/>
        <w:spacing w:before="50" w:after="50" w:line="360" w:lineRule="auto"/>
        <w:ind w:firstLine="600" w:firstLineChars="200"/>
        <w:rPr>
          <w:color w:val="auto"/>
          <w:sz w:val="30"/>
          <w:szCs w:val="30"/>
          <w:highlight w:val="none"/>
        </w:rPr>
      </w:pPr>
    </w:p>
    <w:p>
      <w:pPr>
        <w:snapToGrid w:val="0"/>
        <w:spacing w:before="50" w:after="50" w:line="360" w:lineRule="auto"/>
        <w:rPr>
          <w:rFonts w:hint="eastAsia" w:ascii="宋体" w:hAnsi="宋体" w:eastAsia="宋体" w:cs="Times New Roman"/>
          <w:color w:val="auto"/>
          <w:sz w:val="24"/>
          <w:szCs w:val="24"/>
          <w:highlight w:val="none"/>
        </w:rPr>
      </w:pPr>
    </w:p>
    <w:p>
      <w:pPr>
        <w:snapToGrid w:val="0"/>
        <w:spacing w:before="50" w:after="50" w:line="360" w:lineRule="auto"/>
        <w:jc w:val="center"/>
        <w:rPr>
          <w:rFonts w:hint="eastAsia" w:ascii="宋体" w:hAnsi="宋体" w:eastAsia="宋体" w:cs="Times New Roman"/>
          <w:b/>
          <w:color w:val="auto"/>
          <w:kern w:val="2"/>
          <w:sz w:val="32"/>
          <w:szCs w:val="32"/>
          <w:highlight w:val="none"/>
          <w:lang w:val="en-GB" w:eastAsia="zh-CN" w:bidi="ar-SA"/>
        </w:rPr>
      </w:pPr>
      <w:r>
        <w:rPr>
          <w:rFonts w:hint="eastAsia" w:ascii="宋体" w:hAnsi="宋体" w:eastAsia="宋体" w:cs="Times New Roman"/>
          <w:b/>
          <w:color w:val="auto"/>
          <w:kern w:val="2"/>
          <w:sz w:val="32"/>
          <w:szCs w:val="32"/>
          <w:highlight w:val="none"/>
          <w:lang w:val="en-GB" w:eastAsia="zh-CN" w:bidi="ar-SA"/>
        </w:rPr>
        <w:t>监狱企业证明文件（格式自拟）</w:t>
      </w:r>
    </w:p>
    <w:sectPr>
      <w:headerReference r:id="rId4" w:type="default"/>
      <w:footerReference r:id="rId5" w:type="default"/>
      <w:pgSz w:w="11907" w:h="16840"/>
      <w:pgMar w:top="1361" w:right="1247" w:bottom="1247" w:left="1304"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xM5IBywEAAHoDAAAOAAAAAAAAAAEAIAAAACIBAABkcnMv&#10;ZTJvRG9jLnhtbFBLBQYAAAAABgAGAFkBAABfBQ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vJ96DMAQAAegMAAA4AAABkcnMvZTJvRG9jLnhtbK1TwY7TMBC9&#10;I/EPlu802aK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SUljltc0fHnj+OvP8ff38n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K8n3oMwBAAB6AwAADgAAAAAAAAABACAAAAAiAQAAZHJz&#10;L2Uyb0RvYy54bWxQSwUGAAAAAAYABgBZAQAAYAU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b/>
        <w:color w:val="808080"/>
        <w:w w:val="66"/>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C08AD"/>
    <w:multiLevelType w:val="singleLevel"/>
    <w:tmpl w:val="8FBC08AD"/>
    <w:lvl w:ilvl="0" w:tentative="0">
      <w:start w:val="4"/>
      <w:numFmt w:val="decimal"/>
      <w:suff w:val="nothing"/>
      <w:lvlText w:val="%1、"/>
      <w:lvlJc w:val="left"/>
    </w:lvl>
  </w:abstractNum>
  <w:abstractNum w:abstractNumId="1">
    <w:nsid w:val="A5C4FC50"/>
    <w:multiLevelType w:val="singleLevel"/>
    <w:tmpl w:val="A5C4FC50"/>
    <w:lvl w:ilvl="0" w:tentative="0">
      <w:start w:val="1"/>
      <w:numFmt w:val="decimal"/>
      <w:suff w:val="nothing"/>
      <w:lvlText w:val="%1、"/>
      <w:lvlJc w:val="left"/>
    </w:lvl>
  </w:abstractNum>
  <w:abstractNum w:abstractNumId="2">
    <w:nsid w:val="AEB7019C"/>
    <w:multiLevelType w:val="singleLevel"/>
    <w:tmpl w:val="AEB7019C"/>
    <w:lvl w:ilvl="0" w:tentative="0">
      <w:start w:val="1"/>
      <w:numFmt w:val="decimal"/>
      <w:suff w:val="nothing"/>
      <w:lvlText w:val="%1）"/>
      <w:lvlJc w:val="left"/>
    </w:lvl>
  </w:abstractNum>
  <w:abstractNum w:abstractNumId="3">
    <w:nsid w:val="F2CA2CBC"/>
    <w:multiLevelType w:val="singleLevel"/>
    <w:tmpl w:val="F2CA2CBC"/>
    <w:lvl w:ilvl="0" w:tentative="0">
      <w:start w:val="1"/>
      <w:numFmt w:val="chineseCounting"/>
      <w:suff w:val="nothing"/>
      <w:lvlText w:val="%1、"/>
      <w:lvlJc w:val="left"/>
      <w:rPr>
        <w:rFonts w:hint="eastAsia"/>
      </w:rPr>
    </w:lvl>
  </w:abstractNum>
  <w:abstractNum w:abstractNumId="4">
    <w:nsid w:val="FE1D1B33"/>
    <w:multiLevelType w:val="singleLevel"/>
    <w:tmpl w:val="FE1D1B33"/>
    <w:lvl w:ilvl="0" w:tentative="0">
      <w:start w:val="2"/>
      <w:numFmt w:val="decimal"/>
      <w:suff w:val="nothing"/>
      <w:lvlText w:val="%1、"/>
      <w:lvlJc w:val="left"/>
    </w:lvl>
  </w:abstractNum>
  <w:abstractNum w:abstractNumId="5">
    <w:nsid w:val="00000003"/>
    <w:multiLevelType w:val="singleLevel"/>
    <w:tmpl w:val="00000003"/>
    <w:lvl w:ilvl="0" w:tentative="0">
      <w:start w:val="1"/>
      <w:numFmt w:val="decimal"/>
      <w:lvlText w:val="%1."/>
      <w:lvlJc w:val="left"/>
      <w:pPr>
        <w:tabs>
          <w:tab w:val="left" w:pos="312"/>
        </w:tabs>
      </w:pPr>
    </w:lvl>
  </w:abstractNum>
  <w:abstractNum w:abstractNumId="6">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multilevel"/>
    <w:tmpl w:val="00000009"/>
    <w:lvl w:ilvl="0" w:tentative="0">
      <w:start w:val="1"/>
      <w:numFmt w:val="bullet"/>
      <w:lvlText w:val=""/>
      <w:lvlJc w:val="left"/>
      <w:pPr>
        <w:tabs>
          <w:tab w:val="left" w:pos="840"/>
        </w:tabs>
        <w:ind w:left="840" w:hanging="420"/>
      </w:pPr>
      <w:rPr>
        <w:rFonts w:hint="default" w:ascii="Wingdings" w:hAnsi="Wingdings"/>
        <w:sz w:val="1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0"/>
    <w:multiLevelType w:val="multilevel"/>
    <w:tmpl w:val="00000010"/>
    <w:lvl w:ilvl="0" w:tentative="0">
      <w:start w:val="1"/>
      <w:numFmt w:val="decimal"/>
      <w:lvlText w:val="%1)"/>
      <w:lvlJc w:val="left"/>
      <w:pPr>
        <w:tabs>
          <w:tab w:val="left" w:pos="2025"/>
        </w:tabs>
        <w:ind w:left="2025" w:hanging="420"/>
      </w:pPr>
      <w:rPr>
        <w:b w:val="0"/>
      </w:rPr>
    </w:lvl>
    <w:lvl w:ilvl="1" w:tentative="0">
      <w:start w:val="1"/>
      <w:numFmt w:val="lowerLetter"/>
      <w:lvlText w:val="%2)"/>
      <w:lvlJc w:val="left"/>
      <w:pPr>
        <w:tabs>
          <w:tab w:val="left" w:pos="2445"/>
        </w:tabs>
        <w:ind w:left="2445" w:hanging="420"/>
      </w:pPr>
    </w:lvl>
    <w:lvl w:ilvl="2" w:tentative="0">
      <w:start w:val="1"/>
      <w:numFmt w:val="lowerRoman"/>
      <w:lvlText w:val="%3."/>
      <w:lvlJc w:val="right"/>
      <w:pPr>
        <w:tabs>
          <w:tab w:val="left" w:pos="2865"/>
        </w:tabs>
        <w:ind w:left="2865" w:hanging="420"/>
      </w:pPr>
    </w:lvl>
    <w:lvl w:ilvl="3" w:tentative="0">
      <w:start w:val="1"/>
      <w:numFmt w:val="decimal"/>
      <w:lvlText w:val="%4."/>
      <w:lvlJc w:val="left"/>
      <w:pPr>
        <w:tabs>
          <w:tab w:val="left" w:pos="3285"/>
        </w:tabs>
        <w:ind w:left="3285" w:hanging="420"/>
      </w:pPr>
    </w:lvl>
    <w:lvl w:ilvl="4" w:tentative="0">
      <w:start w:val="1"/>
      <w:numFmt w:val="lowerLetter"/>
      <w:lvlText w:val="%5)"/>
      <w:lvlJc w:val="left"/>
      <w:pPr>
        <w:tabs>
          <w:tab w:val="left" w:pos="3705"/>
        </w:tabs>
        <w:ind w:left="3705" w:hanging="420"/>
      </w:pPr>
    </w:lvl>
    <w:lvl w:ilvl="5" w:tentative="0">
      <w:start w:val="1"/>
      <w:numFmt w:val="lowerRoman"/>
      <w:lvlText w:val="%6."/>
      <w:lvlJc w:val="right"/>
      <w:pPr>
        <w:tabs>
          <w:tab w:val="left" w:pos="4125"/>
        </w:tabs>
        <w:ind w:left="4125" w:hanging="420"/>
      </w:pPr>
    </w:lvl>
    <w:lvl w:ilvl="6" w:tentative="0">
      <w:start w:val="1"/>
      <w:numFmt w:val="decimal"/>
      <w:lvlText w:val="%7."/>
      <w:lvlJc w:val="left"/>
      <w:pPr>
        <w:tabs>
          <w:tab w:val="left" w:pos="4545"/>
        </w:tabs>
        <w:ind w:left="4545" w:hanging="420"/>
      </w:pPr>
    </w:lvl>
    <w:lvl w:ilvl="7" w:tentative="0">
      <w:start w:val="1"/>
      <w:numFmt w:val="lowerLetter"/>
      <w:lvlText w:val="%8)"/>
      <w:lvlJc w:val="left"/>
      <w:pPr>
        <w:tabs>
          <w:tab w:val="left" w:pos="4965"/>
        </w:tabs>
        <w:ind w:left="4965" w:hanging="420"/>
      </w:pPr>
    </w:lvl>
    <w:lvl w:ilvl="8" w:tentative="0">
      <w:start w:val="1"/>
      <w:numFmt w:val="lowerRoman"/>
      <w:lvlText w:val="%9."/>
      <w:lvlJc w:val="right"/>
      <w:pPr>
        <w:tabs>
          <w:tab w:val="left" w:pos="5385"/>
        </w:tabs>
        <w:ind w:left="5385" w:hanging="420"/>
      </w:pPr>
    </w:lvl>
  </w:abstractNum>
  <w:abstractNum w:abstractNumId="10">
    <w:nsid w:val="00000011"/>
    <w:multiLevelType w:val="multilevel"/>
    <w:tmpl w:val="0000001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4"/>
    <w:multiLevelType w:val="multilevel"/>
    <w:tmpl w:val="00000014"/>
    <w:lvl w:ilvl="0" w:tentative="0">
      <w:start w:val="1"/>
      <w:numFmt w:val="decimal"/>
      <w:pStyle w:val="17"/>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A"/>
    <w:multiLevelType w:val="multilevel"/>
    <w:tmpl w:val="0000001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B"/>
    <w:multiLevelType w:val="multilevel"/>
    <w:tmpl w:val="0000001B"/>
    <w:lvl w:ilvl="0" w:tentative="0">
      <w:start w:val="1"/>
      <w:numFmt w:val="japaneseCounting"/>
      <w:lvlText w:val="%1、"/>
      <w:lvlJc w:val="left"/>
      <w:pPr>
        <w:tabs>
          <w:tab w:val="left" w:pos="780"/>
        </w:tabs>
        <w:ind w:left="780" w:hanging="420"/>
      </w:pPr>
      <w:rPr>
        <w:rFonts w:hint="eastAsia"/>
        <w:b/>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E"/>
    <w:multiLevelType w:val="multilevel"/>
    <w:tmpl w:val="0000001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2"/>
    <w:multiLevelType w:val="multilevel"/>
    <w:tmpl w:val="0000002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23"/>
    <w:multiLevelType w:val="multilevel"/>
    <w:tmpl w:val="00000023"/>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8">
    <w:nsid w:val="1D3F33C5"/>
    <w:multiLevelType w:val="multilevel"/>
    <w:tmpl w:val="1D3F33C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rPr>
        <w:b w:val="0"/>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3635225"/>
    <w:multiLevelType w:val="multilevel"/>
    <w:tmpl w:val="5363522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78CFB24"/>
    <w:multiLevelType w:val="singleLevel"/>
    <w:tmpl w:val="678CFB24"/>
    <w:lvl w:ilvl="0" w:tentative="0">
      <w:start w:val="1"/>
      <w:numFmt w:val="chineseCounting"/>
      <w:suff w:val="nothing"/>
      <w:lvlText w:val="%1、"/>
      <w:lvlJc w:val="left"/>
      <w:rPr>
        <w:rFonts w:hint="eastAsia"/>
      </w:rPr>
    </w:lvl>
  </w:abstractNum>
  <w:abstractNum w:abstractNumId="21">
    <w:nsid w:val="7F2D3DC0"/>
    <w:multiLevelType w:val="multilevel"/>
    <w:tmpl w:val="7F2D3DC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3"/>
  </w:num>
  <w:num w:numId="3">
    <w:abstractNumId w:val="20"/>
  </w:num>
  <w:num w:numId="4">
    <w:abstractNumId w:val="0"/>
  </w:num>
  <w:num w:numId="5">
    <w:abstractNumId w:val="4"/>
  </w:num>
  <w:num w:numId="6">
    <w:abstractNumId w:val="1"/>
  </w:num>
  <w:num w:numId="7">
    <w:abstractNumId w:val="2"/>
  </w:num>
  <w:num w:numId="8">
    <w:abstractNumId w:val="13"/>
  </w:num>
  <w:num w:numId="9">
    <w:abstractNumId w:val="7"/>
  </w:num>
  <w:num w:numId="10">
    <w:abstractNumId w:val="9"/>
  </w:num>
  <w:num w:numId="11">
    <w:abstractNumId w:val="17"/>
  </w:num>
  <w:num w:numId="12">
    <w:abstractNumId w:val="10"/>
  </w:num>
  <w:num w:numId="13">
    <w:abstractNumId w:val="6"/>
  </w:num>
  <w:num w:numId="14">
    <w:abstractNumId w:val="14"/>
  </w:num>
  <w:num w:numId="15">
    <w:abstractNumId w:val="8"/>
  </w:num>
  <w:num w:numId="16">
    <w:abstractNumId w:val="21"/>
  </w:num>
  <w:num w:numId="17">
    <w:abstractNumId w:val="19"/>
  </w:num>
  <w:num w:numId="18">
    <w:abstractNumId w:val="18"/>
  </w:num>
  <w:num w:numId="19">
    <w:abstractNumId w:val="15"/>
  </w:num>
  <w:num w:numId="20">
    <w:abstractNumId w:val="12"/>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NWFhMDczZmVkNzcwYzVlMDEyNzc1YjUyMmQxMWQifQ=="/>
    <w:docVar w:name="KSO_WPS_MARK_KEY" w:val="900f0eb7-a162-4603-bf47-6170335a5ebe"/>
  </w:docVars>
  <w:rsids>
    <w:rsidRoot w:val="0085243A"/>
    <w:rsid w:val="0000044C"/>
    <w:rsid w:val="0000113A"/>
    <w:rsid w:val="00001A62"/>
    <w:rsid w:val="000025E8"/>
    <w:rsid w:val="00002763"/>
    <w:rsid w:val="00003AFC"/>
    <w:rsid w:val="000045AB"/>
    <w:rsid w:val="0000567C"/>
    <w:rsid w:val="00005C2B"/>
    <w:rsid w:val="00006418"/>
    <w:rsid w:val="0000678E"/>
    <w:rsid w:val="000075B3"/>
    <w:rsid w:val="00007962"/>
    <w:rsid w:val="000121E9"/>
    <w:rsid w:val="000142AF"/>
    <w:rsid w:val="000143B7"/>
    <w:rsid w:val="0001441A"/>
    <w:rsid w:val="0001568D"/>
    <w:rsid w:val="00015B99"/>
    <w:rsid w:val="000161E3"/>
    <w:rsid w:val="000167FE"/>
    <w:rsid w:val="00016EAC"/>
    <w:rsid w:val="000212CE"/>
    <w:rsid w:val="000214F5"/>
    <w:rsid w:val="00023349"/>
    <w:rsid w:val="0002410C"/>
    <w:rsid w:val="00025EE3"/>
    <w:rsid w:val="00026F23"/>
    <w:rsid w:val="000312BF"/>
    <w:rsid w:val="00032197"/>
    <w:rsid w:val="00035176"/>
    <w:rsid w:val="0003531E"/>
    <w:rsid w:val="00035EC0"/>
    <w:rsid w:val="00035F52"/>
    <w:rsid w:val="000367DC"/>
    <w:rsid w:val="00036813"/>
    <w:rsid w:val="00040590"/>
    <w:rsid w:val="000407FE"/>
    <w:rsid w:val="00040F4B"/>
    <w:rsid w:val="0004133A"/>
    <w:rsid w:val="0004148F"/>
    <w:rsid w:val="000418A6"/>
    <w:rsid w:val="00041A5A"/>
    <w:rsid w:val="00042046"/>
    <w:rsid w:val="0004332C"/>
    <w:rsid w:val="00044B76"/>
    <w:rsid w:val="000504C8"/>
    <w:rsid w:val="000508C8"/>
    <w:rsid w:val="00053171"/>
    <w:rsid w:val="00053B42"/>
    <w:rsid w:val="00053C32"/>
    <w:rsid w:val="000551B1"/>
    <w:rsid w:val="00055216"/>
    <w:rsid w:val="0005648A"/>
    <w:rsid w:val="00057B2B"/>
    <w:rsid w:val="00057E55"/>
    <w:rsid w:val="00061C13"/>
    <w:rsid w:val="00062D1D"/>
    <w:rsid w:val="0006523C"/>
    <w:rsid w:val="000714A2"/>
    <w:rsid w:val="000731B6"/>
    <w:rsid w:val="0007380A"/>
    <w:rsid w:val="0007387A"/>
    <w:rsid w:val="000743DF"/>
    <w:rsid w:val="000743FE"/>
    <w:rsid w:val="00074766"/>
    <w:rsid w:val="00074BB9"/>
    <w:rsid w:val="00074D1B"/>
    <w:rsid w:val="0007563E"/>
    <w:rsid w:val="000757FF"/>
    <w:rsid w:val="00076511"/>
    <w:rsid w:val="00076B66"/>
    <w:rsid w:val="00080343"/>
    <w:rsid w:val="00081F4C"/>
    <w:rsid w:val="00082F7A"/>
    <w:rsid w:val="00083406"/>
    <w:rsid w:val="0008414C"/>
    <w:rsid w:val="000850FC"/>
    <w:rsid w:val="00090CA9"/>
    <w:rsid w:val="00091AA9"/>
    <w:rsid w:val="00093F98"/>
    <w:rsid w:val="00093FAF"/>
    <w:rsid w:val="00094929"/>
    <w:rsid w:val="00094BE4"/>
    <w:rsid w:val="00094C5E"/>
    <w:rsid w:val="00097D71"/>
    <w:rsid w:val="000A0EC9"/>
    <w:rsid w:val="000A2E50"/>
    <w:rsid w:val="000A36BA"/>
    <w:rsid w:val="000A67EA"/>
    <w:rsid w:val="000A6F43"/>
    <w:rsid w:val="000A6FE0"/>
    <w:rsid w:val="000A7849"/>
    <w:rsid w:val="000B014A"/>
    <w:rsid w:val="000B110F"/>
    <w:rsid w:val="000B1D40"/>
    <w:rsid w:val="000B2944"/>
    <w:rsid w:val="000B2DF9"/>
    <w:rsid w:val="000B3776"/>
    <w:rsid w:val="000B39B3"/>
    <w:rsid w:val="000B4FDC"/>
    <w:rsid w:val="000B5117"/>
    <w:rsid w:val="000B57BF"/>
    <w:rsid w:val="000B7333"/>
    <w:rsid w:val="000C0416"/>
    <w:rsid w:val="000C22E9"/>
    <w:rsid w:val="000C255C"/>
    <w:rsid w:val="000C3C97"/>
    <w:rsid w:val="000C4918"/>
    <w:rsid w:val="000C4B62"/>
    <w:rsid w:val="000C5428"/>
    <w:rsid w:val="000C741B"/>
    <w:rsid w:val="000C74BC"/>
    <w:rsid w:val="000D0466"/>
    <w:rsid w:val="000D09A8"/>
    <w:rsid w:val="000D1143"/>
    <w:rsid w:val="000D17CB"/>
    <w:rsid w:val="000D25C6"/>
    <w:rsid w:val="000D270E"/>
    <w:rsid w:val="000D2C0B"/>
    <w:rsid w:val="000D394A"/>
    <w:rsid w:val="000D3AC1"/>
    <w:rsid w:val="000D3D20"/>
    <w:rsid w:val="000D3E17"/>
    <w:rsid w:val="000D5447"/>
    <w:rsid w:val="000D6614"/>
    <w:rsid w:val="000D694C"/>
    <w:rsid w:val="000D6958"/>
    <w:rsid w:val="000D76C9"/>
    <w:rsid w:val="000E1EBE"/>
    <w:rsid w:val="000E5B35"/>
    <w:rsid w:val="000E6401"/>
    <w:rsid w:val="000E694A"/>
    <w:rsid w:val="000F0421"/>
    <w:rsid w:val="000F0A1E"/>
    <w:rsid w:val="000F0B61"/>
    <w:rsid w:val="000F233E"/>
    <w:rsid w:val="000F364F"/>
    <w:rsid w:val="000F36C7"/>
    <w:rsid w:val="000F39C9"/>
    <w:rsid w:val="000F49D5"/>
    <w:rsid w:val="000F4CED"/>
    <w:rsid w:val="000F679E"/>
    <w:rsid w:val="000F6B72"/>
    <w:rsid w:val="001010C5"/>
    <w:rsid w:val="00101BC7"/>
    <w:rsid w:val="00101C39"/>
    <w:rsid w:val="001025FE"/>
    <w:rsid w:val="001028B9"/>
    <w:rsid w:val="00104347"/>
    <w:rsid w:val="001059B3"/>
    <w:rsid w:val="00107100"/>
    <w:rsid w:val="00110431"/>
    <w:rsid w:val="00110E07"/>
    <w:rsid w:val="001110AB"/>
    <w:rsid w:val="00111297"/>
    <w:rsid w:val="001116CA"/>
    <w:rsid w:val="001127DB"/>
    <w:rsid w:val="00112E09"/>
    <w:rsid w:val="00116A8B"/>
    <w:rsid w:val="00116AC6"/>
    <w:rsid w:val="001177EE"/>
    <w:rsid w:val="001212A5"/>
    <w:rsid w:val="001212F4"/>
    <w:rsid w:val="00121E27"/>
    <w:rsid w:val="00122592"/>
    <w:rsid w:val="0012314B"/>
    <w:rsid w:val="0012330C"/>
    <w:rsid w:val="00123D2D"/>
    <w:rsid w:val="001240BD"/>
    <w:rsid w:val="00130680"/>
    <w:rsid w:val="00131856"/>
    <w:rsid w:val="00131ADF"/>
    <w:rsid w:val="00131E55"/>
    <w:rsid w:val="00131FF8"/>
    <w:rsid w:val="00132A0D"/>
    <w:rsid w:val="00132C01"/>
    <w:rsid w:val="00132EC2"/>
    <w:rsid w:val="00137AC8"/>
    <w:rsid w:val="00137B24"/>
    <w:rsid w:val="001406C6"/>
    <w:rsid w:val="00141735"/>
    <w:rsid w:val="00142DF3"/>
    <w:rsid w:val="001444CA"/>
    <w:rsid w:val="00144795"/>
    <w:rsid w:val="00145694"/>
    <w:rsid w:val="00146779"/>
    <w:rsid w:val="001478F5"/>
    <w:rsid w:val="00150533"/>
    <w:rsid w:val="00151628"/>
    <w:rsid w:val="0015206B"/>
    <w:rsid w:val="00152693"/>
    <w:rsid w:val="00153FE4"/>
    <w:rsid w:val="00154FF6"/>
    <w:rsid w:val="00155DC2"/>
    <w:rsid w:val="001566EE"/>
    <w:rsid w:val="00156912"/>
    <w:rsid w:val="00156D2F"/>
    <w:rsid w:val="0015703D"/>
    <w:rsid w:val="00157AA4"/>
    <w:rsid w:val="00161F65"/>
    <w:rsid w:val="001634EA"/>
    <w:rsid w:val="00165249"/>
    <w:rsid w:val="0016547A"/>
    <w:rsid w:val="00165665"/>
    <w:rsid w:val="001666A3"/>
    <w:rsid w:val="00167450"/>
    <w:rsid w:val="00167574"/>
    <w:rsid w:val="00167936"/>
    <w:rsid w:val="00167BA3"/>
    <w:rsid w:val="001701BD"/>
    <w:rsid w:val="00170D55"/>
    <w:rsid w:val="0017117D"/>
    <w:rsid w:val="001735E4"/>
    <w:rsid w:val="00173E61"/>
    <w:rsid w:val="001741A7"/>
    <w:rsid w:val="001751A9"/>
    <w:rsid w:val="00176E80"/>
    <w:rsid w:val="00176FBF"/>
    <w:rsid w:val="00177171"/>
    <w:rsid w:val="00181917"/>
    <w:rsid w:val="00181990"/>
    <w:rsid w:val="00182399"/>
    <w:rsid w:val="0018285C"/>
    <w:rsid w:val="00182F61"/>
    <w:rsid w:val="0018352A"/>
    <w:rsid w:val="00183CD2"/>
    <w:rsid w:val="00185079"/>
    <w:rsid w:val="0018556A"/>
    <w:rsid w:val="001869DB"/>
    <w:rsid w:val="00186A82"/>
    <w:rsid w:val="00187707"/>
    <w:rsid w:val="001906A0"/>
    <w:rsid w:val="001918E7"/>
    <w:rsid w:val="001922AD"/>
    <w:rsid w:val="001932C0"/>
    <w:rsid w:val="001932E2"/>
    <w:rsid w:val="0019488B"/>
    <w:rsid w:val="001952D0"/>
    <w:rsid w:val="0019597A"/>
    <w:rsid w:val="001A0318"/>
    <w:rsid w:val="001A2147"/>
    <w:rsid w:val="001A48D0"/>
    <w:rsid w:val="001A506F"/>
    <w:rsid w:val="001A5E89"/>
    <w:rsid w:val="001A645F"/>
    <w:rsid w:val="001A71E1"/>
    <w:rsid w:val="001A7D47"/>
    <w:rsid w:val="001B0033"/>
    <w:rsid w:val="001B18DA"/>
    <w:rsid w:val="001B3BE7"/>
    <w:rsid w:val="001B3E56"/>
    <w:rsid w:val="001B537B"/>
    <w:rsid w:val="001B5F43"/>
    <w:rsid w:val="001B6F58"/>
    <w:rsid w:val="001B7523"/>
    <w:rsid w:val="001C0C95"/>
    <w:rsid w:val="001C150E"/>
    <w:rsid w:val="001C1799"/>
    <w:rsid w:val="001C1A66"/>
    <w:rsid w:val="001C2A1B"/>
    <w:rsid w:val="001C6CD3"/>
    <w:rsid w:val="001C7123"/>
    <w:rsid w:val="001C73F9"/>
    <w:rsid w:val="001D0B98"/>
    <w:rsid w:val="001D3ECD"/>
    <w:rsid w:val="001D49E5"/>
    <w:rsid w:val="001D4F2E"/>
    <w:rsid w:val="001D51A6"/>
    <w:rsid w:val="001D56C0"/>
    <w:rsid w:val="001D5A1C"/>
    <w:rsid w:val="001D65E5"/>
    <w:rsid w:val="001D7B59"/>
    <w:rsid w:val="001D7DA7"/>
    <w:rsid w:val="001E0E07"/>
    <w:rsid w:val="001E138A"/>
    <w:rsid w:val="001E4D2C"/>
    <w:rsid w:val="001E4DEB"/>
    <w:rsid w:val="001E545A"/>
    <w:rsid w:val="001E72F1"/>
    <w:rsid w:val="001E736E"/>
    <w:rsid w:val="001E745A"/>
    <w:rsid w:val="001F2BF9"/>
    <w:rsid w:val="001F63E5"/>
    <w:rsid w:val="001F6A4A"/>
    <w:rsid w:val="001F7655"/>
    <w:rsid w:val="00201047"/>
    <w:rsid w:val="002010BB"/>
    <w:rsid w:val="00201546"/>
    <w:rsid w:val="0020204C"/>
    <w:rsid w:val="0020209A"/>
    <w:rsid w:val="00203655"/>
    <w:rsid w:val="00203C02"/>
    <w:rsid w:val="00203FAA"/>
    <w:rsid w:val="002040EA"/>
    <w:rsid w:val="00204B95"/>
    <w:rsid w:val="002063E8"/>
    <w:rsid w:val="00207010"/>
    <w:rsid w:val="00207DBB"/>
    <w:rsid w:val="002127FA"/>
    <w:rsid w:val="00212FEA"/>
    <w:rsid w:val="002157EB"/>
    <w:rsid w:val="002169EE"/>
    <w:rsid w:val="002170F9"/>
    <w:rsid w:val="00221097"/>
    <w:rsid w:val="00221922"/>
    <w:rsid w:val="00223A82"/>
    <w:rsid w:val="00223BC1"/>
    <w:rsid w:val="00224355"/>
    <w:rsid w:val="002244F4"/>
    <w:rsid w:val="0022758F"/>
    <w:rsid w:val="002307E7"/>
    <w:rsid w:val="00231475"/>
    <w:rsid w:val="00232E66"/>
    <w:rsid w:val="00233262"/>
    <w:rsid w:val="00233537"/>
    <w:rsid w:val="00233D21"/>
    <w:rsid w:val="0023536C"/>
    <w:rsid w:val="00235AA4"/>
    <w:rsid w:val="002364F0"/>
    <w:rsid w:val="00237011"/>
    <w:rsid w:val="00237E67"/>
    <w:rsid w:val="00240EFE"/>
    <w:rsid w:val="002419F2"/>
    <w:rsid w:val="00242628"/>
    <w:rsid w:val="00242F89"/>
    <w:rsid w:val="00243674"/>
    <w:rsid w:val="002447D0"/>
    <w:rsid w:val="002455C3"/>
    <w:rsid w:val="00250723"/>
    <w:rsid w:val="002513F1"/>
    <w:rsid w:val="00252AAF"/>
    <w:rsid w:val="002530A7"/>
    <w:rsid w:val="00253ADA"/>
    <w:rsid w:val="00254191"/>
    <w:rsid w:val="002557C9"/>
    <w:rsid w:val="00256407"/>
    <w:rsid w:val="00257D71"/>
    <w:rsid w:val="00260476"/>
    <w:rsid w:val="0026069B"/>
    <w:rsid w:val="00260A21"/>
    <w:rsid w:val="00261603"/>
    <w:rsid w:val="00262099"/>
    <w:rsid w:val="00263321"/>
    <w:rsid w:val="002636CA"/>
    <w:rsid w:val="00263E94"/>
    <w:rsid w:val="002651E0"/>
    <w:rsid w:val="00265F4F"/>
    <w:rsid w:val="002663D3"/>
    <w:rsid w:val="0027015F"/>
    <w:rsid w:val="00270B40"/>
    <w:rsid w:val="00270E92"/>
    <w:rsid w:val="002712DF"/>
    <w:rsid w:val="00271594"/>
    <w:rsid w:val="00272A58"/>
    <w:rsid w:val="00272E02"/>
    <w:rsid w:val="00274DE1"/>
    <w:rsid w:val="00275502"/>
    <w:rsid w:val="0027562F"/>
    <w:rsid w:val="00275AB8"/>
    <w:rsid w:val="00276045"/>
    <w:rsid w:val="00276190"/>
    <w:rsid w:val="00276678"/>
    <w:rsid w:val="00276E91"/>
    <w:rsid w:val="00277A2C"/>
    <w:rsid w:val="00281326"/>
    <w:rsid w:val="00281913"/>
    <w:rsid w:val="00282680"/>
    <w:rsid w:val="00282EEB"/>
    <w:rsid w:val="00282F6F"/>
    <w:rsid w:val="00283C5D"/>
    <w:rsid w:val="0028467F"/>
    <w:rsid w:val="00285932"/>
    <w:rsid w:val="00285989"/>
    <w:rsid w:val="002862EC"/>
    <w:rsid w:val="00286331"/>
    <w:rsid w:val="00286CD4"/>
    <w:rsid w:val="002870EA"/>
    <w:rsid w:val="00287352"/>
    <w:rsid w:val="00290CCD"/>
    <w:rsid w:val="0029158D"/>
    <w:rsid w:val="00291DA2"/>
    <w:rsid w:val="0029202D"/>
    <w:rsid w:val="00292B0C"/>
    <w:rsid w:val="00292F49"/>
    <w:rsid w:val="00294F30"/>
    <w:rsid w:val="00296426"/>
    <w:rsid w:val="002970AD"/>
    <w:rsid w:val="00297BCD"/>
    <w:rsid w:val="002A0956"/>
    <w:rsid w:val="002A12AB"/>
    <w:rsid w:val="002A1F0B"/>
    <w:rsid w:val="002A2462"/>
    <w:rsid w:val="002A278C"/>
    <w:rsid w:val="002A4F23"/>
    <w:rsid w:val="002A4F5F"/>
    <w:rsid w:val="002A5A45"/>
    <w:rsid w:val="002A6EF6"/>
    <w:rsid w:val="002A7D65"/>
    <w:rsid w:val="002B0F78"/>
    <w:rsid w:val="002B1905"/>
    <w:rsid w:val="002B3519"/>
    <w:rsid w:val="002B4B48"/>
    <w:rsid w:val="002C1912"/>
    <w:rsid w:val="002C2C9E"/>
    <w:rsid w:val="002C32C5"/>
    <w:rsid w:val="002C3A64"/>
    <w:rsid w:val="002C3CDD"/>
    <w:rsid w:val="002C4BCC"/>
    <w:rsid w:val="002C4C1B"/>
    <w:rsid w:val="002C58E1"/>
    <w:rsid w:val="002C63A2"/>
    <w:rsid w:val="002D02DD"/>
    <w:rsid w:val="002D2F04"/>
    <w:rsid w:val="002D375E"/>
    <w:rsid w:val="002D4007"/>
    <w:rsid w:val="002D5869"/>
    <w:rsid w:val="002D622B"/>
    <w:rsid w:val="002E123B"/>
    <w:rsid w:val="002E2C7E"/>
    <w:rsid w:val="002E3126"/>
    <w:rsid w:val="002E3634"/>
    <w:rsid w:val="002E4903"/>
    <w:rsid w:val="002E4AC5"/>
    <w:rsid w:val="002E526E"/>
    <w:rsid w:val="002E7683"/>
    <w:rsid w:val="002E7FDB"/>
    <w:rsid w:val="002F09A5"/>
    <w:rsid w:val="002F0B97"/>
    <w:rsid w:val="002F1CBC"/>
    <w:rsid w:val="002F3416"/>
    <w:rsid w:val="002F659A"/>
    <w:rsid w:val="002F7754"/>
    <w:rsid w:val="00301565"/>
    <w:rsid w:val="00301A6C"/>
    <w:rsid w:val="00301FDD"/>
    <w:rsid w:val="00302585"/>
    <w:rsid w:val="0030259E"/>
    <w:rsid w:val="003035C0"/>
    <w:rsid w:val="00305386"/>
    <w:rsid w:val="003058CE"/>
    <w:rsid w:val="00305EFE"/>
    <w:rsid w:val="00310B1F"/>
    <w:rsid w:val="003113C0"/>
    <w:rsid w:val="003115C7"/>
    <w:rsid w:val="00312D6E"/>
    <w:rsid w:val="003151B5"/>
    <w:rsid w:val="00316631"/>
    <w:rsid w:val="00316EE6"/>
    <w:rsid w:val="0031709E"/>
    <w:rsid w:val="00320D12"/>
    <w:rsid w:val="003221C5"/>
    <w:rsid w:val="00322300"/>
    <w:rsid w:val="0032268C"/>
    <w:rsid w:val="00325797"/>
    <w:rsid w:val="00325A56"/>
    <w:rsid w:val="00325C77"/>
    <w:rsid w:val="0032679E"/>
    <w:rsid w:val="00326B20"/>
    <w:rsid w:val="00327034"/>
    <w:rsid w:val="003271A7"/>
    <w:rsid w:val="003311B7"/>
    <w:rsid w:val="00332464"/>
    <w:rsid w:val="0033255E"/>
    <w:rsid w:val="00332FC8"/>
    <w:rsid w:val="00333174"/>
    <w:rsid w:val="003334F4"/>
    <w:rsid w:val="0033483A"/>
    <w:rsid w:val="00335B37"/>
    <w:rsid w:val="00336A7A"/>
    <w:rsid w:val="00336C0D"/>
    <w:rsid w:val="00337078"/>
    <w:rsid w:val="00337ACF"/>
    <w:rsid w:val="00341050"/>
    <w:rsid w:val="003428A8"/>
    <w:rsid w:val="003428B3"/>
    <w:rsid w:val="00342916"/>
    <w:rsid w:val="00342FDD"/>
    <w:rsid w:val="00344967"/>
    <w:rsid w:val="00344D35"/>
    <w:rsid w:val="003454C3"/>
    <w:rsid w:val="00345DFB"/>
    <w:rsid w:val="00345F40"/>
    <w:rsid w:val="003500DE"/>
    <w:rsid w:val="00350BD5"/>
    <w:rsid w:val="0035196B"/>
    <w:rsid w:val="003519F8"/>
    <w:rsid w:val="00351F40"/>
    <w:rsid w:val="003521C4"/>
    <w:rsid w:val="00352909"/>
    <w:rsid w:val="003536B3"/>
    <w:rsid w:val="00353965"/>
    <w:rsid w:val="00353F6A"/>
    <w:rsid w:val="003540FD"/>
    <w:rsid w:val="00354B19"/>
    <w:rsid w:val="0035517E"/>
    <w:rsid w:val="0035604A"/>
    <w:rsid w:val="0035617B"/>
    <w:rsid w:val="003565B7"/>
    <w:rsid w:val="00357878"/>
    <w:rsid w:val="003579CD"/>
    <w:rsid w:val="003603D1"/>
    <w:rsid w:val="00361B21"/>
    <w:rsid w:val="0036386C"/>
    <w:rsid w:val="00364E31"/>
    <w:rsid w:val="0036634A"/>
    <w:rsid w:val="0036635A"/>
    <w:rsid w:val="00366452"/>
    <w:rsid w:val="003667E9"/>
    <w:rsid w:val="00366B58"/>
    <w:rsid w:val="00366C20"/>
    <w:rsid w:val="003711DD"/>
    <w:rsid w:val="00371A3E"/>
    <w:rsid w:val="00372C96"/>
    <w:rsid w:val="0037303F"/>
    <w:rsid w:val="003733D0"/>
    <w:rsid w:val="00374234"/>
    <w:rsid w:val="003764D2"/>
    <w:rsid w:val="00381D5F"/>
    <w:rsid w:val="003821B3"/>
    <w:rsid w:val="00382A0A"/>
    <w:rsid w:val="00386CB1"/>
    <w:rsid w:val="003877EA"/>
    <w:rsid w:val="0038783D"/>
    <w:rsid w:val="00387F9C"/>
    <w:rsid w:val="00392A1E"/>
    <w:rsid w:val="00394FC9"/>
    <w:rsid w:val="0039570A"/>
    <w:rsid w:val="003A5FA6"/>
    <w:rsid w:val="003B043C"/>
    <w:rsid w:val="003B0E6A"/>
    <w:rsid w:val="003B1615"/>
    <w:rsid w:val="003B3D08"/>
    <w:rsid w:val="003B4EC9"/>
    <w:rsid w:val="003B5A21"/>
    <w:rsid w:val="003B60D0"/>
    <w:rsid w:val="003B6450"/>
    <w:rsid w:val="003B662C"/>
    <w:rsid w:val="003B6736"/>
    <w:rsid w:val="003B6B3F"/>
    <w:rsid w:val="003B79EC"/>
    <w:rsid w:val="003C0041"/>
    <w:rsid w:val="003C0344"/>
    <w:rsid w:val="003C1067"/>
    <w:rsid w:val="003C1A75"/>
    <w:rsid w:val="003C3885"/>
    <w:rsid w:val="003C5DBC"/>
    <w:rsid w:val="003C6393"/>
    <w:rsid w:val="003D08A9"/>
    <w:rsid w:val="003D0BDC"/>
    <w:rsid w:val="003D1915"/>
    <w:rsid w:val="003D3C5F"/>
    <w:rsid w:val="003D4AF0"/>
    <w:rsid w:val="003D4C27"/>
    <w:rsid w:val="003D6F3E"/>
    <w:rsid w:val="003D7443"/>
    <w:rsid w:val="003D7920"/>
    <w:rsid w:val="003E167B"/>
    <w:rsid w:val="003E2860"/>
    <w:rsid w:val="003E309F"/>
    <w:rsid w:val="003E4530"/>
    <w:rsid w:val="003E473D"/>
    <w:rsid w:val="003E5907"/>
    <w:rsid w:val="003E61CD"/>
    <w:rsid w:val="003E63BA"/>
    <w:rsid w:val="003E7145"/>
    <w:rsid w:val="003E794D"/>
    <w:rsid w:val="003F1AAC"/>
    <w:rsid w:val="003F38D2"/>
    <w:rsid w:val="003F3BAF"/>
    <w:rsid w:val="003F505B"/>
    <w:rsid w:val="003F5485"/>
    <w:rsid w:val="003F57C2"/>
    <w:rsid w:val="003F6440"/>
    <w:rsid w:val="003F6747"/>
    <w:rsid w:val="003F6ED1"/>
    <w:rsid w:val="003F7544"/>
    <w:rsid w:val="003F7976"/>
    <w:rsid w:val="00400694"/>
    <w:rsid w:val="004008B9"/>
    <w:rsid w:val="0040120F"/>
    <w:rsid w:val="00402130"/>
    <w:rsid w:val="00402CE8"/>
    <w:rsid w:val="00402DD3"/>
    <w:rsid w:val="00403A51"/>
    <w:rsid w:val="00403B14"/>
    <w:rsid w:val="00405754"/>
    <w:rsid w:val="00405CE2"/>
    <w:rsid w:val="00405E3F"/>
    <w:rsid w:val="00406E6A"/>
    <w:rsid w:val="00407404"/>
    <w:rsid w:val="00407560"/>
    <w:rsid w:val="00407598"/>
    <w:rsid w:val="0041060C"/>
    <w:rsid w:val="004124B4"/>
    <w:rsid w:val="00412EA6"/>
    <w:rsid w:val="00413497"/>
    <w:rsid w:val="00414564"/>
    <w:rsid w:val="004147FD"/>
    <w:rsid w:val="00414932"/>
    <w:rsid w:val="004156F1"/>
    <w:rsid w:val="0041640A"/>
    <w:rsid w:val="00416AA1"/>
    <w:rsid w:val="00416B52"/>
    <w:rsid w:val="00416BE1"/>
    <w:rsid w:val="0041740B"/>
    <w:rsid w:val="00421327"/>
    <w:rsid w:val="00421540"/>
    <w:rsid w:val="00421807"/>
    <w:rsid w:val="00422689"/>
    <w:rsid w:val="00423701"/>
    <w:rsid w:val="0042480A"/>
    <w:rsid w:val="004273E5"/>
    <w:rsid w:val="00427AAE"/>
    <w:rsid w:val="00427C70"/>
    <w:rsid w:val="0043032A"/>
    <w:rsid w:val="00431BC8"/>
    <w:rsid w:val="00433821"/>
    <w:rsid w:val="00437041"/>
    <w:rsid w:val="004377A1"/>
    <w:rsid w:val="00441FF9"/>
    <w:rsid w:val="004440FB"/>
    <w:rsid w:val="004445E9"/>
    <w:rsid w:val="004460C8"/>
    <w:rsid w:val="0044639A"/>
    <w:rsid w:val="004467BE"/>
    <w:rsid w:val="00446880"/>
    <w:rsid w:val="00447423"/>
    <w:rsid w:val="00447A2B"/>
    <w:rsid w:val="0045063D"/>
    <w:rsid w:val="00450B07"/>
    <w:rsid w:val="00450EE0"/>
    <w:rsid w:val="00451143"/>
    <w:rsid w:val="004526CE"/>
    <w:rsid w:val="0045293A"/>
    <w:rsid w:val="00452D00"/>
    <w:rsid w:val="004530BA"/>
    <w:rsid w:val="00453A78"/>
    <w:rsid w:val="00454920"/>
    <w:rsid w:val="00454FDB"/>
    <w:rsid w:val="004560F4"/>
    <w:rsid w:val="004562A3"/>
    <w:rsid w:val="00460642"/>
    <w:rsid w:val="0046127E"/>
    <w:rsid w:val="00461AAF"/>
    <w:rsid w:val="00461D30"/>
    <w:rsid w:val="00462386"/>
    <w:rsid w:val="0046264A"/>
    <w:rsid w:val="00462BB9"/>
    <w:rsid w:val="00462CAD"/>
    <w:rsid w:val="004631BF"/>
    <w:rsid w:val="004631EE"/>
    <w:rsid w:val="00463D37"/>
    <w:rsid w:val="00464326"/>
    <w:rsid w:val="00464B7B"/>
    <w:rsid w:val="0046580C"/>
    <w:rsid w:val="00465ACA"/>
    <w:rsid w:val="004672FF"/>
    <w:rsid w:val="00467B1D"/>
    <w:rsid w:val="00470268"/>
    <w:rsid w:val="00472167"/>
    <w:rsid w:val="004721F0"/>
    <w:rsid w:val="004737A9"/>
    <w:rsid w:val="00473E86"/>
    <w:rsid w:val="00474741"/>
    <w:rsid w:val="00474B23"/>
    <w:rsid w:val="00474F8A"/>
    <w:rsid w:val="004751F2"/>
    <w:rsid w:val="00476E46"/>
    <w:rsid w:val="0047763F"/>
    <w:rsid w:val="00480FD6"/>
    <w:rsid w:val="00481A95"/>
    <w:rsid w:val="00481B90"/>
    <w:rsid w:val="00482356"/>
    <w:rsid w:val="00482AFB"/>
    <w:rsid w:val="00482F93"/>
    <w:rsid w:val="00483B68"/>
    <w:rsid w:val="00484391"/>
    <w:rsid w:val="004845BA"/>
    <w:rsid w:val="004859BD"/>
    <w:rsid w:val="004906BD"/>
    <w:rsid w:val="0049170A"/>
    <w:rsid w:val="004921A4"/>
    <w:rsid w:val="0049334A"/>
    <w:rsid w:val="00493E43"/>
    <w:rsid w:val="00494814"/>
    <w:rsid w:val="00494FE1"/>
    <w:rsid w:val="004959CE"/>
    <w:rsid w:val="00495C4E"/>
    <w:rsid w:val="00495FCC"/>
    <w:rsid w:val="00496090"/>
    <w:rsid w:val="0049681F"/>
    <w:rsid w:val="00497E88"/>
    <w:rsid w:val="004A050D"/>
    <w:rsid w:val="004A146B"/>
    <w:rsid w:val="004A1723"/>
    <w:rsid w:val="004A182D"/>
    <w:rsid w:val="004A1E4C"/>
    <w:rsid w:val="004A2234"/>
    <w:rsid w:val="004A22EE"/>
    <w:rsid w:val="004A2C03"/>
    <w:rsid w:val="004A5960"/>
    <w:rsid w:val="004A5DA9"/>
    <w:rsid w:val="004A66F0"/>
    <w:rsid w:val="004A7260"/>
    <w:rsid w:val="004B108E"/>
    <w:rsid w:val="004B111A"/>
    <w:rsid w:val="004B2FA9"/>
    <w:rsid w:val="004B4169"/>
    <w:rsid w:val="004B41AC"/>
    <w:rsid w:val="004B4CEA"/>
    <w:rsid w:val="004C0896"/>
    <w:rsid w:val="004C20A0"/>
    <w:rsid w:val="004C21BD"/>
    <w:rsid w:val="004C3EB0"/>
    <w:rsid w:val="004C483B"/>
    <w:rsid w:val="004C5B3F"/>
    <w:rsid w:val="004C5FD8"/>
    <w:rsid w:val="004C63B1"/>
    <w:rsid w:val="004D054B"/>
    <w:rsid w:val="004D180E"/>
    <w:rsid w:val="004D1CA9"/>
    <w:rsid w:val="004D23CD"/>
    <w:rsid w:val="004D6427"/>
    <w:rsid w:val="004E0269"/>
    <w:rsid w:val="004E0581"/>
    <w:rsid w:val="004E0B40"/>
    <w:rsid w:val="004E1F80"/>
    <w:rsid w:val="004E31B0"/>
    <w:rsid w:val="004E3BC7"/>
    <w:rsid w:val="004E4D2C"/>
    <w:rsid w:val="004E5AAE"/>
    <w:rsid w:val="004E6161"/>
    <w:rsid w:val="004E6B2E"/>
    <w:rsid w:val="004F0191"/>
    <w:rsid w:val="004F1035"/>
    <w:rsid w:val="004F3561"/>
    <w:rsid w:val="004F3573"/>
    <w:rsid w:val="004F4779"/>
    <w:rsid w:val="004F4FD9"/>
    <w:rsid w:val="004F5674"/>
    <w:rsid w:val="004F5999"/>
    <w:rsid w:val="004F62C9"/>
    <w:rsid w:val="004F7196"/>
    <w:rsid w:val="00500505"/>
    <w:rsid w:val="00501255"/>
    <w:rsid w:val="005018E2"/>
    <w:rsid w:val="005023E2"/>
    <w:rsid w:val="005023E5"/>
    <w:rsid w:val="00503807"/>
    <w:rsid w:val="00504DA6"/>
    <w:rsid w:val="00504F9C"/>
    <w:rsid w:val="0050551C"/>
    <w:rsid w:val="0050619B"/>
    <w:rsid w:val="005062EC"/>
    <w:rsid w:val="00506587"/>
    <w:rsid w:val="00506E4E"/>
    <w:rsid w:val="0050750C"/>
    <w:rsid w:val="00510799"/>
    <w:rsid w:val="00510C8D"/>
    <w:rsid w:val="00512D71"/>
    <w:rsid w:val="0051355D"/>
    <w:rsid w:val="00513FD3"/>
    <w:rsid w:val="0051419A"/>
    <w:rsid w:val="00514556"/>
    <w:rsid w:val="005154FB"/>
    <w:rsid w:val="005157D8"/>
    <w:rsid w:val="00516A43"/>
    <w:rsid w:val="00516D30"/>
    <w:rsid w:val="00517263"/>
    <w:rsid w:val="00517642"/>
    <w:rsid w:val="00517BE8"/>
    <w:rsid w:val="00517CB4"/>
    <w:rsid w:val="005213CB"/>
    <w:rsid w:val="0052294B"/>
    <w:rsid w:val="005233E0"/>
    <w:rsid w:val="005234A5"/>
    <w:rsid w:val="00523862"/>
    <w:rsid w:val="005258F8"/>
    <w:rsid w:val="00526054"/>
    <w:rsid w:val="00526874"/>
    <w:rsid w:val="00526C2D"/>
    <w:rsid w:val="0052705A"/>
    <w:rsid w:val="00527BD2"/>
    <w:rsid w:val="0053094A"/>
    <w:rsid w:val="005314FC"/>
    <w:rsid w:val="005332F6"/>
    <w:rsid w:val="00533565"/>
    <w:rsid w:val="005340FD"/>
    <w:rsid w:val="00536932"/>
    <w:rsid w:val="0054109B"/>
    <w:rsid w:val="00541549"/>
    <w:rsid w:val="00541F42"/>
    <w:rsid w:val="00542708"/>
    <w:rsid w:val="00542B4F"/>
    <w:rsid w:val="00543151"/>
    <w:rsid w:val="005440E8"/>
    <w:rsid w:val="00544AD1"/>
    <w:rsid w:val="00544B60"/>
    <w:rsid w:val="005455FA"/>
    <w:rsid w:val="00545984"/>
    <w:rsid w:val="005464CF"/>
    <w:rsid w:val="005479CF"/>
    <w:rsid w:val="00551DDF"/>
    <w:rsid w:val="00551ED7"/>
    <w:rsid w:val="00552F49"/>
    <w:rsid w:val="00554B1B"/>
    <w:rsid w:val="0055520B"/>
    <w:rsid w:val="00555310"/>
    <w:rsid w:val="00555450"/>
    <w:rsid w:val="00556F85"/>
    <w:rsid w:val="0055707A"/>
    <w:rsid w:val="005570B3"/>
    <w:rsid w:val="00557DBF"/>
    <w:rsid w:val="00560661"/>
    <w:rsid w:val="005606E2"/>
    <w:rsid w:val="005607B2"/>
    <w:rsid w:val="00560B59"/>
    <w:rsid w:val="00560FEB"/>
    <w:rsid w:val="005610BF"/>
    <w:rsid w:val="00562774"/>
    <w:rsid w:val="005637C9"/>
    <w:rsid w:val="00565FD5"/>
    <w:rsid w:val="005721E8"/>
    <w:rsid w:val="005729EB"/>
    <w:rsid w:val="00573023"/>
    <w:rsid w:val="00573BDB"/>
    <w:rsid w:val="005740C0"/>
    <w:rsid w:val="005745CA"/>
    <w:rsid w:val="005751E3"/>
    <w:rsid w:val="00576103"/>
    <w:rsid w:val="0057729A"/>
    <w:rsid w:val="00580F04"/>
    <w:rsid w:val="005844BE"/>
    <w:rsid w:val="00584B90"/>
    <w:rsid w:val="00584C85"/>
    <w:rsid w:val="0058566D"/>
    <w:rsid w:val="0058571D"/>
    <w:rsid w:val="005863BD"/>
    <w:rsid w:val="00586F23"/>
    <w:rsid w:val="00587246"/>
    <w:rsid w:val="00587F53"/>
    <w:rsid w:val="0059126F"/>
    <w:rsid w:val="00591D00"/>
    <w:rsid w:val="00596A53"/>
    <w:rsid w:val="00597492"/>
    <w:rsid w:val="00597D16"/>
    <w:rsid w:val="005A19B7"/>
    <w:rsid w:val="005A2058"/>
    <w:rsid w:val="005A336F"/>
    <w:rsid w:val="005A47D8"/>
    <w:rsid w:val="005A57B3"/>
    <w:rsid w:val="005A5C21"/>
    <w:rsid w:val="005A617C"/>
    <w:rsid w:val="005A6DA3"/>
    <w:rsid w:val="005A75E5"/>
    <w:rsid w:val="005B0923"/>
    <w:rsid w:val="005B21E5"/>
    <w:rsid w:val="005B2726"/>
    <w:rsid w:val="005B2B14"/>
    <w:rsid w:val="005B3430"/>
    <w:rsid w:val="005B43F7"/>
    <w:rsid w:val="005C0A66"/>
    <w:rsid w:val="005C1F6A"/>
    <w:rsid w:val="005C4D2E"/>
    <w:rsid w:val="005C513A"/>
    <w:rsid w:val="005C5616"/>
    <w:rsid w:val="005C7BBB"/>
    <w:rsid w:val="005D0823"/>
    <w:rsid w:val="005D1123"/>
    <w:rsid w:val="005D173E"/>
    <w:rsid w:val="005D252E"/>
    <w:rsid w:val="005D3841"/>
    <w:rsid w:val="005D5505"/>
    <w:rsid w:val="005D5740"/>
    <w:rsid w:val="005D580A"/>
    <w:rsid w:val="005D5CA3"/>
    <w:rsid w:val="005D5FC8"/>
    <w:rsid w:val="005E0024"/>
    <w:rsid w:val="005E15F8"/>
    <w:rsid w:val="005E2579"/>
    <w:rsid w:val="005E2FFE"/>
    <w:rsid w:val="005E45B1"/>
    <w:rsid w:val="005E5313"/>
    <w:rsid w:val="005E5629"/>
    <w:rsid w:val="005E5AA1"/>
    <w:rsid w:val="005E70C8"/>
    <w:rsid w:val="005E7376"/>
    <w:rsid w:val="005F1924"/>
    <w:rsid w:val="005F1EB0"/>
    <w:rsid w:val="005F2A3A"/>
    <w:rsid w:val="005F307A"/>
    <w:rsid w:val="005F324E"/>
    <w:rsid w:val="005F3BEF"/>
    <w:rsid w:val="005F4318"/>
    <w:rsid w:val="005F6369"/>
    <w:rsid w:val="005F6572"/>
    <w:rsid w:val="005F697D"/>
    <w:rsid w:val="00601369"/>
    <w:rsid w:val="006026A5"/>
    <w:rsid w:val="0060377D"/>
    <w:rsid w:val="006039ED"/>
    <w:rsid w:val="006047D3"/>
    <w:rsid w:val="00604900"/>
    <w:rsid w:val="0060494C"/>
    <w:rsid w:val="00604FE4"/>
    <w:rsid w:val="00605029"/>
    <w:rsid w:val="0061090E"/>
    <w:rsid w:val="00611387"/>
    <w:rsid w:val="006117F1"/>
    <w:rsid w:val="00611819"/>
    <w:rsid w:val="0061258F"/>
    <w:rsid w:val="006157BA"/>
    <w:rsid w:val="006167B7"/>
    <w:rsid w:val="006167D9"/>
    <w:rsid w:val="00616ACB"/>
    <w:rsid w:val="00616C46"/>
    <w:rsid w:val="00617B0F"/>
    <w:rsid w:val="00617B75"/>
    <w:rsid w:val="006201F3"/>
    <w:rsid w:val="006223AC"/>
    <w:rsid w:val="00622A19"/>
    <w:rsid w:val="00623CD5"/>
    <w:rsid w:val="0062488E"/>
    <w:rsid w:val="006264F1"/>
    <w:rsid w:val="0062700D"/>
    <w:rsid w:val="0063038A"/>
    <w:rsid w:val="0063155E"/>
    <w:rsid w:val="0063172B"/>
    <w:rsid w:val="006332DF"/>
    <w:rsid w:val="00633CCF"/>
    <w:rsid w:val="006348EE"/>
    <w:rsid w:val="00635881"/>
    <w:rsid w:val="0063591C"/>
    <w:rsid w:val="00637225"/>
    <w:rsid w:val="00637B9E"/>
    <w:rsid w:val="00637F9C"/>
    <w:rsid w:val="006407FF"/>
    <w:rsid w:val="00641CB2"/>
    <w:rsid w:val="006423C7"/>
    <w:rsid w:val="00642A3A"/>
    <w:rsid w:val="006443C1"/>
    <w:rsid w:val="00644B80"/>
    <w:rsid w:val="006454EF"/>
    <w:rsid w:val="00645A8D"/>
    <w:rsid w:val="00645BAF"/>
    <w:rsid w:val="0064656B"/>
    <w:rsid w:val="00646832"/>
    <w:rsid w:val="006478C6"/>
    <w:rsid w:val="0065225F"/>
    <w:rsid w:val="00654BDD"/>
    <w:rsid w:val="00655666"/>
    <w:rsid w:val="006557D4"/>
    <w:rsid w:val="00656EA0"/>
    <w:rsid w:val="00656EBC"/>
    <w:rsid w:val="006570FC"/>
    <w:rsid w:val="00657DCC"/>
    <w:rsid w:val="006609B0"/>
    <w:rsid w:val="006609B3"/>
    <w:rsid w:val="00662094"/>
    <w:rsid w:val="00662A4F"/>
    <w:rsid w:val="00662C9A"/>
    <w:rsid w:val="00663817"/>
    <w:rsid w:val="00663F52"/>
    <w:rsid w:val="006652C8"/>
    <w:rsid w:val="006670E5"/>
    <w:rsid w:val="006676D3"/>
    <w:rsid w:val="006706E5"/>
    <w:rsid w:val="00670F0B"/>
    <w:rsid w:val="0067132A"/>
    <w:rsid w:val="0067279F"/>
    <w:rsid w:val="006759D7"/>
    <w:rsid w:val="00675CE6"/>
    <w:rsid w:val="006766C0"/>
    <w:rsid w:val="00680C05"/>
    <w:rsid w:val="0068161F"/>
    <w:rsid w:val="00681BA9"/>
    <w:rsid w:val="00683111"/>
    <w:rsid w:val="00683C98"/>
    <w:rsid w:val="0068452E"/>
    <w:rsid w:val="00685F0B"/>
    <w:rsid w:val="00686A75"/>
    <w:rsid w:val="00686B7A"/>
    <w:rsid w:val="00687D5D"/>
    <w:rsid w:val="00690546"/>
    <w:rsid w:val="006912BD"/>
    <w:rsid w:val="00691F92"/>
    <w:rsid w:val="00692589"/>
    <w:rsid w:val="00692825"/>
    <w:rsid w:val="00692A85"/>
    <w:rsid w:val="00693775"/>
    <w:rsid w:val="00693E34"/>
    <w:rsid w:val="00694878"/>
    <w:rsid w:val="00694960"/>
    <w:rsid w:val="006951E1"/>
    <w:rsid w:val="006957BA"/>
    <w:rsid w:val="006959C4"/>
    <w:rsid w:val="006961E6"/>
    <w:rsid w:val="0069626C"/>
    <w:rsid w:val="006977CC"/>
    <w:rsid w:val="00697B5B"/>
    <w:rsid w:val="006A1160"/>
    <w:rsid w:val="006A25E3"/>
    <w:rsid w:val="006A2A6B"/>
    <w:rsid w:val="006A309E"/>
    <w:rsid w:val="006A40BC"/>
    <w:rsid w:val="006A420B"/>
    <w:rsid w:val="006A4349"/>
    <w:rsid w:val="006A51D9"/>
    <w:rsid w:val="006A7306"/>
    <w:rsid w:val="006A7E66"/>
    <w:rsid w:val="006B0425"/>
    <w:rsid w:val="006B0CCC"/>
    <w:rsid w:val="006B16CE"/>
    <w:rsid w:val="006B180A"/>
    <w:rsid w:val="006B1979"/>
    <w:rsid w:val="006B1E82"/>
    <w:rsid w:val="006B3221"/>
    <w:rsid w:val="006B3CD0"/>
    <w:rsid w:val="006B3FA7"/>
    <w:rsid w:val="006B500F"/>
    <w:rsid w:val="006B5A13"/>
    <w:rsid w:val="006B79A5"/>
    <w:rsid w:val="006C0469"/>
    <w:rsid w:val="006C0A50"/>
    <w:rsid w:val="006C0B0B"/>
    <w:rsid w:val="006C0D1A"/>
    <w:rsid w:val="006C28B3"/>
    <w:rsid w:val="006C373B"/>
    <w:rsid w:val="006C418A"/>
    <w:rsid w:val="006C5533"/>
    <w:rsid w:val="006C60FC"/>
    <w:rsid w:val="006C648E"/>
    <w:rsid w:val="006C6FFA"/>
    <w:rsid w:val="006C754C"/>
    <w:rsid w:val="006D035D"/>
    <w:rsid w:val="006D15A9"/>
    <w:rsid w:val="006D176A"/>
    <w:rsid w:val="006D2D3D"/>
    <w:rsid w:val="006D3BD1"/>
    <w:rsid w:val="006D42AE"/>
    <w:rsid w:val="006D4AFF"/>
    <w:rsid w:val="006D50D0"/>
    <w:rsid w:val="006D58FD"/>
    <w:rsid w:val="006D5A4A"/>
    <w:rsid w:val="006D7507"/>
    <w:rsid w:val="006D7C10"/>
    <w:rsid w:val="006E049F"/>
    <w:rsid w:val="006E1E3B"/>
    <w:rsid w:val="006E27E4"/>
    <w:rsid w:val="006E3B15"/>
    <w:rsid w:val="006E5609"/>
    <w:rsid w:val="006E60C7"/>
    <w:rsid w:val="006E6814"/>
    <w:rsid w:val="006E6F09"/>
    <w:rsid w:val="006E7FF1"/>
    <w:rsid w:val="006F157E"/>
    <w:rsid w:val="006F23B1"/>
    <w:rsid w:val="006F2698"/>
    <w:rsid w:val="006F2E9F"/>
    <w:rsid w:val="006F30E5"/>
    <w:rsid w:val="006F37C7"/>
    <w:rsid w:val="006F601C"/>
    <w:rsid w:val="006F6BC9"/>
    <w:rsid w:val="006F716F"/>
    <w:rsid w:val="006F72E3"/>
    <w:rsid w:val="006F7470"/>
    <w:rsid w:val="006F77AE"/>
    <w:rsid w:val="00700D65"/>
    <w:rsid w:val="00701070"/>
    <w:rsid w:val="007019AD"/>
    <w:rsid w:val="00701C8C"/>
    <w:rsid w:val="0070290A"/>
    <w:rsid w:val="0070582B"/>
    <w:rsid w:val="00705A53"/>
    <w:rsid w:val="007064AF"/>
    <w:rsid w:val="00706B23"/>
    <w:rsid w:val="00707AE5"/>
    <w:rsid w:val="00707EAE"/>
    <w:rsid w:val="00707F6D"/>
    <w:rsid w:val="007107EF"/>
    <w:rsid w:val="00711901"/>
    <w:rsid w:val="007119FD"/>
    <w:rsid w:val="007129EC"/>
    <w:rsid w:val="007138E6"/>
    <w:rsid w:val="00713E14"/>
    <w:rsid w:val="00714139"/>
    <w:rsid w:val="00715FDA"/>
    <w:rsid w:val="007174AA"/>
    <w:rsid w:val="007174AB"/>
    <w:rsid w:val="007200AB"/>
    <w:rsid w:val="007202EB"/>
    <w:rsid w:val="007211A8"/>
    <w:rsid w:val="00721D23"/>
    <w:rsid w:val="0072281B"/>
    <w:rsid w:val="00722EFB"/>
    <w:rsid w:val="007246B3"/>
    <w:rsid w:val="007252D2"/>
    <w:rsid w:val="007255A2"/>
    <w:rsid w:val="00725B9B"/>
    <w:rsid w:val="007260C4"/>
    <w:rsid w:val="00730F6F"/>
    <w:rsid w:val="007330CF"/>
    <w:rsid w:val="007357FA"/>
    <w:rsid w:val="0073596F"/>
    <w:rsid w:val="00736927"/>
    <w:rsid w:val="00736ED5"/>
    <w:rsid w:val="0073744D"/>
    <w:rsid w:val="00737F91"/>
    <w:rsid w:val="0074003F"/>
    <w:rsid w:val="00740312"/>
    <w:rsid w:val="007409B3"/>
    <w:rsid w:val="00740B92"/>
    <w:rsid w:val="00740CEA"/>
    <w:rsid w:val="00741EED"/>
    <w:rsid w:val="007422C9"/>
    <w:rsid w:val="007432BB"/>
    <w:rsid w:val="00744021"/>
    <w:rsid w:val="00745801"/>
    <w:rsid w:val="00746462"/>
    <w:rsid w:val="007466D4"/>
    <w:rsid w:val="007476EE"/>
    <w:rsid w:val="00747F06"/>
    <w:rsid w:val="00750D8C"/>
    <w:rsid w:val="00751E58"/>
    <w:rsid w:val="00753FDC"/>
    <w:rsid w:val="007549BE"/>
    <w:rsid w:val="0075502E"/>
    <w:rsid w:val="00755933"/>
    <w:rsid w:val="00755D17"/>
    <w:rsid w:val="0075667E"/>
    <w:rsid w:val="0075694B"/>
    <w:rsid w:val="00760616"/>
    <w:rsid w:val="00760E04"/>
    <w:rsid w:val="0076161D"/>
    <w:rsid w:val="00762A9B"/>
    <w:rsid w:val="00763082"/>
    <w:rsid w:val="007637EB"/>
    <w:rsid w:val="00763C4A"/>
    <w:rsid w:val="00764075"/>
    <w:rsid w:val="00770F65"/>
    <w:rsid w:val="007725EF"/>
    <w:rsid w:val="00772B7D"/>
    <w:rsid w:val="00773089"/>
    <w:rsid w:val="00775500"/>
    <w:rsid w:val="00775DDD"/>
    <w:rsid w:val="00781D2F"/>
    <w:rsid w:val="00783533"/>
    <w:rsid w:val="007850B6"/>
    <w:rsid w:val="007852F7"/>
    <w:rsid w:val="007853D5"/>
    <w:rsid w:val="00787607"/>
    <w:rsid w:val="00787A35"/>
    <w:rsid w:val="00790EF9"/>
    <w:rsid w:val="00792D21"/>
    <w:rsid w:val="00792F64"/>
    <w:rsid w:val="007940B9"/>
    <w:rsid w:val="007941C3"/>
    <w:rsid w:val="0079425F"/>
    <w:rsid w:val="00794B67"/>
    <w:rsid w:val="00795159"/>
    <w:rsid w:val="007A12E8"/>
    <w:rsid w:val="007A1618"/>
    <w:rsid w:val="007A357A"/>
    <w:rsid w:val="007A375B"/>
    <w:rsid w:val="007A5C49"/>
    <w:rsid w:val="007A62D2"/>
    <w:rsid w:val="007A7AAF"/>
    <w:rsid w:val="007B16E8"/>
    <w:rsid w:val="007B214E"/>
    <w:rsid w:val="007B2249"/>
    <w:rsid w:val="007B2671"/>
    <w:rsid w:val="007B31DA"/>
    <w:rsid w:val="007B323C"/>
    <w:rsid w:val="007B35DF"/>
    <w:rsid w:val="007B38BA"/>
    <w:rsid w:val="007B3A7F"/>
    <w:rsid w:val="007B3CD4"/>
    <w:rsid w:val="007B69DA"/>
    <w:rsid w:val="007B74F4"/>
    <w:rsid w:val="007B7930"/>
    <w:rsid w:val="007C1D75"/>
    <w:rsid w:val="007C26AF"/>
    <w:rsid w:val="007C2F12"/>
    <w:rsid w:val="007C382B"/>
    <w:rsid w:val="007C4781"/>
    <w:rsid w:val="007C4E02"/>
    <w:rsid w:val="007C51EF"/>
    <w:rsid w:val="007C5740"/>
    <w:rsid w:val="007C67C3"/>
    <w:rsid w:val="007D240C"/>
    <w:rsid w:val="007D2844"/>
    <w:rsid w:val="007D4A1F"/>
    <w:rsid w:val="007D5A96"/>
    <w:rsid w:val="007D6272"/>
    <w:rsid w:val="007D6C6A"/>
    <w:rsid w:val="007E0097"/>
    <w:rsid w:val="007E0EF3"/>
    <w:rsid w:val="007E2ACC"/>
    <w:rsid w:val="007E2CE7"/>
    <w:rsid w:val="007E324E"/>
    <w:rsid w:val="007E3335"/>
    <w:rsid w:val="007E34F0"/>
    <w:rsid w:val="007E60CB"/>
    <w:rsid w:val="007E66A3"/>
    <w:rsid w:val="007E7391"/>
    <w:rsid w:val="007F073E"/>
    <w:rsid w:val="007F0B73"/>
    <w:rsid w:val="007F13EF"/>
    <w:rsid w:val="007F1AF7"/>
    <w:rsid w:val="007F22D3"/>
    <w:rsid w:val="007F3587"/>
    <w:rsid w:val="007F3C02"/>
    <w:rsid w:val="007F3F2B"/>
    <w:rsid w:val="007F52E6"/>
    <w:rsid w:val="007F55AC"/>
    <w:rsid w:val="007F5B23"/>
    <w:rsid w:val="007F6024"/>
    <w:rsid w:val="007F6297"/>
    <w:rsid w:val="007F63DA"/>
    <w:rsid w:val="007F72E3"/>
    <w:rsid w:val="00800F87"/>
    <w:rsid w:val="00802421"/>
    <w:rsid w:val="008024FC"/>
    <w:rsid w:val="00802F1F"/>
    <w:rsid w:val="00803621"/>
    <w:rsid w:val="008039D1"/>
    <w:rsid w:val="00804350"/>
    <w:rsid w:val="00804CC3"/>
    <w:rsid w:val="0081100F"/>
    <w:rsid w:val="00811EF0"/>
    <w:rsid w:val="0081270B"/>
    <w:rsid w:val="00812B75"/>
    <w:rsid w:val="0081330B"/>
    <w:rsid w:val="008138A0"/>
    <w:rsid w:val="00813EC8"/>
    <w:rsid w:val="00815662"/>
    <w:rsid w:val="00815ACF"/>
    <w:rsid w:val="0081618F"/>
    <w:rsid w:val="0081675B"/>
    <w:rsid w:val="00816B57"/>
    <w:rsid w:val="00816CCE"/>
    <w:rsid w:val="00816D63"/>
    <w:rsid w:val="0082083F"/>
    <w:rsid w:val="00821933"/>
    <w:rsid w:val="00822760"/>
    <w:rsid w:val="00822D43"/>
    <w:rsid w:val="00823D56"/>
    <w:rsid w:val="00825874"/>
    <w:rsid w:val="00826073"/>
    <w:rsid w:val="00826BF8"/>
    <w:rsid w:val="00831C21"/>
    <w:rsid w:val="008328FA"/>
    <w:rsid w:val="00832C7A"/>
    <w:rsid w:val="008334E8"/>
    <w:rsid w:val="00833580"/>
    <w:rsid w:val="008335D4"/>
    <w:rsid w:val="00833EB4"/>
    <w:rsid w:val="0083487C"/>
    <w:rsid w:val="008349B7"/>
    <w:rsid w:val="00834E9B"/>
    <w:rsid w:val="00834FF1"/>
    <w:rsid w:val="008361FD"/>
    <w:rsid w:val="008362A7"/>
    <w:rsid w:val="0083656F"/>
    <w:rsid w:val="008367C3"/>
    <w:rsid w:val="00840008"/>
    <w:rsid w:val="008405BA"/>
    <w:rsid w:val="0084064F"/>
    <w:rsid w:val="00840B36"/>
    <w:rsid w:val="00840DB6"/>
    <w:rsid w:val="00842205"/>
    <w:rsid w:val="008426B6"/>
    <w:rsid w:val="0084307B"/>
    <w:rsid w:val="00843579"/>
    <w:rsid w:val="00843C32"/>
    <w:rsid w:val="00844581"/>
    <w:rsid w:val="008446E5"/>
    <w:rsid w:val="00844905"/>
    <w:rsid w:val="0084494D"/>
    <w:rsid w:val="00844F92"/>
    <w:rsid w:val="00845ACD"/>
    <w:rsid w:val="00846C38"/>
    <w:rsid w:val="0084709D"/>
    <w:rsid w:val="008474F4"/>
    <w:rsid w:val="00847F7B"/>
    <w:rsid w:val="008521A3"/>
    <w:rsid w:val="008522F7"/>
    <w:rsid w:val="0085243A"/>
    <w:rsid w:val="00855EB1"/>
    <w:rsid w:val="00857BCF"/>
    <w:rsid w:val="00860E13"/>
    <w:rsid w:val="008615D5"/>
    <w:rsid w:val="008632EF"/>
    <w:rsid w:val="00863507"/>
    <w:rsid w:val="0086396B"/>
    <w:rsid w:val="00865366"/>
    <w:rsid w:val="00866D9D"/>
    <w:rsid w:val="00867494"/>
    <w:rsid w:val="00867F01"/>
    <w:rsid w:val="008701F8"/>
    <w:rsid w:val="008704FF"/>
    <w:rsid w:val="00870663"/>
    <w:rsid w:val="00870CF2"/>
    <w:rsid w:val="00871672"/>
    <w:rsid w:val="00871767"/>
    <w:rsid w:val="0087178D"/>
    <w:rsid w:val="00871F74"/>
    <w:rsid w:val="00872C5E"/>
    <w:rsid w:val="00872E6F"/>
    <w:rsid w:val="008769F7"/>
    <w:rsid w:val="00876F62"/>
    <w:rsid w:val="008773A5"/>
    <w:rsid w:val="00877B21"/>
    <w:rsid w:val="00877B9B"/>
    <w:rsid w:val="00877EAD"/>
    <w:rsid w:val="008813F6"/>
    <w:rsid w:val="0088336D"/>
    <w:rsid w:val="00883791"/>
    <w:rsid w:val="00885049"/>
    <w:rsid w:val="008854B9"/>
    <w:rsid w:val="00886E72"/>
    <w:rsid w:val="00892242"/>
    <w:rsid w:val="008930F2"/>
    <w:rsid w:val="0089334C"/>
    <w:rsid w:val="00893795"/>
    <w:rsid w:val="00894082"/>
    <w:rsid w:val="008945FA"/>
    <w:rsid w:val="0089667C"/>
    <w:rsid w:val="00897B49"/>
    <w:rsid w:val="008A0C97"/>
    <w:rsid w:val="008A0E64"/>
    <w:rsid w:val="008A0F71"/>
    <w:rsid w:val="008A2F5B"/>
    <w:rsid w:val="008A2FBC"/>
    <w:rsid w:val="008A397A"/>
    <w:rsid w:val="008A5088"/>
    <w:rsid w:val="008A5CE5"/>
    <w:rsid w:val="008A5E9F"/>
    <w:rsid w:val="008A7A30"/>
    <w:rsid w:val="008B0B13"/>
    <w:rsid w:val="008B0BE5"/>
    <w:rsid w:val="008B0D47"/>
    <w:rsid w:val="008B3497"/>
    <w:rsid w:val="008B58B0"/>
    <w:rsid w:val="008B64CD"/>
    <w:rsid w:val="008C160F"/>
    <w:rsid w:val="008C4297"/>
    <w:rsid w:val="008C4975"/>
    <w:rsid w:val="008C5C63"/>
    <w:rsid w:val="008C5EC0"/>
    <w:rsid w:val="008C6EB8"/>
    <w:rsid w:val="008D3131"/>
    <w:rsid w:val="008D35EB"/>
    <w:rsid w:val="008D4002"/>
    <w:rsid w:val="008D4435"/>
    <w:rsid w:val="008D64D7"/>
    <w:rsid w:val="008D677A"/>
    <w:rsid w:val="008D6913"/>
    <w:rsid w:val="008D6A81"/>
    <w:rsid w:val="008D6D09"/>
    <w:rsid w:val="008E037D"/>
    <w:rsid w:val="008E0AC7"/>
    <w:rsid w:val="008E0FD0"/>
    <w:rsid w:val="008E2CA0"/>
    <w:rsid w:val="008E532F"/>
    <w:rsid w:val="008E5CAE"/>
    <w:rsid w:val="008E6165"/>
    <w:rsid w:val="008E6761"/>
    <w:rsid w:val="008E6F0F"/>
    <w:rsid w:val="008E7FE0"/>
    <w:rsid w:val="008F08A9"/>
    <w:rsid w:val="008F0C5F"/>
    <w:rsid w:val="008F24FF"/>
    <w:rsid w:val="008F274D"/>
    <w:rsid w:val="008F2B49"/>
    <w:rsid w:val="008F2C1E"/>
    <w:rsid w:val="008F3BEA"/>
    <w:rsid w:val="008F5439"/>
    <w:rsid w:val="008F5769"/>
    <w:rsid w:val="008F5EE6"/>
    <w:rsid w:val="008F64F2"/>
    <w:rsid w:val="00900BFC"/>
    <w:rsid w:val="009021D7"/>
    <w:rsid w:val="00902601"/>
    <w:rsid w:val="009029C7"/>
    <w:rsid w:val="00903199"/>
    <w:rsid w:val="00903408"/>
    <w:rsid w:val="00904CCF"/>
    <w:rsid w:val="0090557F"/>
    <w:rsid w:val="00905CCE"/>
    <w:rsid w:val="0090682E"/>
    <w:rsid w:val="00907235"/>
    <w:rsid w:val="00907BA5"/>
    <w:rsid w:val="0091017C"/>
    <w:rsid w:val="00912B53"/>
    <w:rsid w:val="00912CB4"/>
    <w:rsid w:val="0091337D"/>
    <w:rsid w:val="009137B2"/>
    <w:rsid w:val="00913E5D"/>
    <w:rsid w:val="00913FFA"/>
    <w:rsid w:val="0091450C"/>
    <w:rsid w:val="00917299"/>
    <w:rsid w:val="00917BDB"/>
    <w:rsid w:val="0092005B"/>
    <w:rsid w:val="009202E3"/>
    <w:rsid w:val="0092044D"/>
    <w:rsid w:val="00920453"/>
    <w:rsid w:val="00920D8B"/>
    <w:rsid w:val="00920DA8"/>
    <w:rsid w:val="0092166A"/>
    <w:rsid w:val="00922D15"/>
    <w:rsid w:val="00925247"/>
    <w:rsid w:val="00925CD5"/>
    <w:rsid w:val="00925ED6"/>
    <w:rsid w:val="00926E70"/>
    <w:rsid w:val="00927B57"/>
    <w:rsid w:val="00931BE4"/>
    <w:rsid w:val="00932005"/>
    <w:rsid w:val="00932638"/>
    <w:rsid w:val="00933DB6"/>
    <w:rsid w:val="00934C32"/>
    <w:rsid w:val="009354D4"/>
    <w:rsid w:val="00935642"/>
    <w:rsid w:val="00936EF2"/>
    <w:rsid w:val="00940528"/>
    <w:rsid w:val="00940FB0"/>
    <w:rsid w:val="00942703"/>
    <w:rsid w:val="0094280A"/>
    <w:rsid w:val="009428DE"/>
    <w:rsid w:val="00943701"/>
    <w:rsid w:val="009437EC"/>
    <w:rsid w:val="00943F2E"/>
    <w:rsid w:val="00944DF0"/>
    <w:rsid w:val="0094552D"/>
    <w:rsid w:val="00945937"/>
    <w:rsid w:val="0095182F"/>
    <w:rsid w:val="00953397"/>
    <w:rsid w:val="00953D49"/>
    <w:rsid w:val="00954F7E"/>
    <w:rsid w:val="0095509F"/>
    <w:rsid w:val="009567F1"/>
    <w:rsid w:val="00956DF5"/>
    <w:rsid w:val="00956E1E"/>
    <w:rsid w:val="00956F0E"/>
    <w:rsid w:val="009603D9"/>
    <w:rsid w:val="00960553"/>
    <w:rsid w:val="0096176D"/>
    <w:rsid w:val="00961788"/>
    <w:rsid w:val="009619BB"/>
    <w:rsid w:val="00962A07"/>
    <w:rsid w:val="00962BFA"/>
    <w:rsid w:val="00962CB5"/>
    <w:rsid w:val="00963585"/>
    <w:rsid w:val="00963864"/>
    <w:rsid w:val="009643C8"/>
    <w:rsid w:val="00966D4F"/>
    <w:rsid w:val="009670C2"/>
    <w:rsid w:val="0096718F"/>
    <w:rsid w:val="0097094E"/>
    <w:rsid w:val="00970FFB"/>
    <w:rsid w:val="00971C8A"/>
    <w:rsid w:val="00973321"/>
    <w:rsid w:val="00973950"/>
    <w:rsid w:val="00974C35"/>
    <w:rsid w:val="009752D6"/>
    <w:rsid w:val="00975B0C"/>
    <w:rsid w:val="009762CE"/>
    <w:rsid w:val="00976EFC"/>
    <w:rsid w:val="00977883"/>
    <w:rsid w:val="009813B3"/>
    <w:rsid w:val="00981478"/>
    <w:rsid w:val="00982E5A"/>
    <w:rsid w:val="00982EA5"/>
    <w:rsid w:val="00985CFE"/>
    <w:rsid w:val="00985E8B"/>
    <w:rsid w:val="009862B0"/>
    <w:rsid w:val="00987584"/>
    <w:rsid w:val="0099002A"/>
    <w:rsid w:val="00991A31"/>
    <w:rsid w:val="0099269E"/>
    <w:rsid w:val="00992AFC"/>
    <w:rsid w:val="00995472"/>
    <w:rsid w:val="00995AA1"/>
    <w:rsid w:val="00997928"/>
    <w:rsid w:val="009A011D"/>
    <w:rsid w:val="009A0304"/>
    <w:rsid w:val="009A2555"/>
    <w:rsid w:val="009A25E2"/>
    <w:rsid w:val="009A2F42"/>
    <w:rsid w:val="009A3201"/>
    <w:rsid w:val="009A35AF"/>
    <w:rsid w:val="009A37E2"/>
    <w:rsid w:val="009A3860"/>
    <w:rsid w:val="009A3BB4"/>
    <w:rsid w:val="009A3EDF"/>
    <w:rsid w:val="009A423E"/>
    <w:rsid w:val="009A4569"/>
    <w:rsid w:val="009A562A"/>
    <w:rsid w:val="009A5CF1"/>
    <w:rsid w:val="009A74B9"/>
    <w:rsid w:val="009A7504"/>
    <w:rsid w:val="009A7DC7"/>
    <w:rsid w:val="009B165E"/>
    <w:rsid w:val="009B18D3"/>
    <w:rsid w:val="009B292B"/>
    <w:rsid w:val="009B302B"/>
    <w:rsid w:val="009B3A7E"/>
    <w:rsid w:val="009B410F"/>
    <w:rsid w:val="009B46B9"/>
    <w:rsid w:val="009B57D5"/>
    <w:rsid w:val="009B5DBE"/>
    <w:rsid w:val="009B61B6"/>
    <w:rsid w:val="009B6578"/>
    <w:rsid w:val="009B7F03"/>
    <w:rsid w:val="009B7F1E"/>
    <w:rsid w:val="009C15D2"/>
    <w:rsid w:val="009C1979"/>
    <w:rsid w:val="009C22A0"/>
    <w:rsid w:val="009C29A1"/>
    <w:rsid w:val="009C307A"/>
    <w:rsid w:val="009C3834"/>
    <w:rsid w:val="009C3871"/>
    <w:rsid w:val="009C458E"/>
    <w:rsid w:val="009C565F"/>
    <w:rsid w:val="009C589D"/>
    <w:rsid w:val="009C6C30"/>
    <w:rsid w:val="009C6EC1"/>
    <w:rsid w:val="009C793D"/>
    <w:rsid w:val="009C7B17"/>
    <w:rsid w:val="009C7ED1"/>
    <w:rsid w:val="009D0430"/>
    <w:rsid w:val="009D0F55"/>
    <w:rsid w:val="009D161E"/>
    <w:rsid w:val="009D1DD5"/>
    <w:rsid w:val="009D2415"/>
    <w:rsid w:val="009D31CD"/>
    <w:rsid w:val="009D3743"/>
    <w:rsid w:val="009D4EE3"/>
    <w:rsid w:val="009D54BC"/>
    <w:rsid w:val="009D568A"/>
    <w:rsid w:val="009D715B"/>
    <w:rsid w:val="009D7E58"/>
    <w:rsid w:val="009E0D11"/>
    <w:rsid w:val="009E1442"/>
    <w:rsid w:val="009E1706"/>
    <w:rsid w:val="009E2719"/>
    <w:rsid w:val="009E2B21"/>
    <w:rsid w:val="009E3A38"/>
    <w:rsid w:val="009E4500"/>
    <w:rsid w:val="009E5A4B"/>
    <w:rsid w:val="009E5B72"/>
    <w:rsid w:val="009E63E9"/>
    <w:rsid w:val="009E6F0B"/>
    <w:rsid w:val="009F278A"/>
    <w:rsid w:val="009F4265"/>
    <w:rsid w:val="009F5E53"/>
    <w:rsid w:val="009F5ED5"/>
    <w:rsid w:val="009F62BA"/>
    <w:rsid w:val="009F671C"/>
    <w:rsid w:val="00A00DBD"/>
    <w:rsid w:val="00A02BB4"/>
    <w:rsid w:val="00A0371D"/>
    <w:rsid w:val="00A03C75"/>
    <w:rsid w:val="00A05499"/>
    <w:rsid w:val="00A122D5"/>
    <w:rsid w:val="00A12DD1"/>
    <w:rsid w:val="00A155B4"/>
    <w:rsid w:val="00A15670"/>
    <w:rsid w:val="00A17212"/>
    <w:rsid w:val="00A206BE"/>
    <w:rsid w:val="00A21272"/>
    <w:rsid w:val="00A213E6"/>
    <w:rsid w:val="00A21C2D"/>
    <w:rsid w:val="00A23D79"/>
    <w:rsid w:val="00A24A4C"/>
    <w:rsid w:val="00A24B43"/>
    <w:rsid w:val="00A2552E"/>
    <w:rsid w:val="00A2588F"/>
    <w:rsid w:val="00A259F4"/>
    <w:rsid w:val="00A2685E"/>
    <w:rsid w:val="00A304F2"/>
    <w:rsid w:val="00A31999"/>
    <w:rsid w:val="00A329CA"/>
    <w:rsid w:val="00A32AE4"/>
    <w:rsid w:val="00A32C1C"/>
    <w:rsid w:val="00A3305E"/>
    <w:rsid w:val="00A34F54"/>
    <w:rsid w:val="00A358C8"/>
    <w:rsid w:val="00A3607F"/>
    <w:rsid w:val="00A36B12"/>
    <w:rsid w:val="00A36B84"/>
    <w:rsid w:val="00A40127"/>
    <w:rsid w:val="00A40A39"/>
    <w:rsid w:val="00A41730"/>
    <w:rsid w:val="00A438E7"/>
    <w:rsid w:val="00A43C30"/>
    <w:rsid w:val="00A4436F"/>
    <w:rsid w:val="00A509C9"/>
    <w:rsid w:val="00A532EC"/>
    <w:rsid w:val="00A53601"/>
    <w:rsid w:val="00A5590C"/>
    <w:rsid w:val="00A56386"/>
    <w:rsid w:val="00A6001D"/>
    <w:rsid w:val="00A60900"/>
    <w:rsid w:val="00A60F4C"/>
    <w:rsid w:val="00A628B2"/>
    <w:rsid w:val="00A640D4"/>
    <w:rsid w:val="00A6434D"/>
    <w:rsid w:val="00A6509D"/>
    <w:rsid w:val="00A65154"/>
    <w:rsid w:val="00A66252"/>
    <w:rsid w:val="00A6682E"/>
    <w:rsid w:val="00A67DAE"/>
    <w:rsid w:val="00A67DC1"/>
    <w:rsid w:val="00A70D8E"/>
    <w:rsid w:val="00A714D1"/>
    <w:rsid w:val="00A71531"/>
    <w:rsid w:val="00A71A4C"/>
    <w:rsid w:val="00A71E8E"/>
    <w:rsid w:val="00A71FBA"/>
    <w:rsid w:val="00A739E2"/>
    <w:rsid w:val="00A7463F"/>
    <w:rsid w:val="00A763AE"/>
    <w:rsid w:val="00A775C7"/>
    <w:rsid w:val="00A778C6"/>
    <w:rsid w:val="00A801A5"/>
    <w:rsid w:val="00A816C5"/>
    <w:rsid w:val="00A83951"/>
    <w:rsid w:val="00A873BD"/>
    <w:rsid w:val="00A87A69"/>
    <w:rsid w:val="00A9016B"/>
    <w:rsid w:val="00A90FAF"/>
    <w:rsid w:val="00A92AF1"/>
    <w:rsid w:val="00A92B9C"/>
    <w:rsid w:val="00A9381C"/>
    <w:rsid w:val="00A94D96"/>
    <w:rsid w:val="00A95FB6"/>
    <w:rsid w:val="00A963E3"/>
    <w:rsid w:val="00A96758"/>
    <w:rsid w:val="00AA0F1D"/>
    <w:rsid w:val="00AA12D2"/>
    <w:rsid w:val="00AA4DA0"/>
    <w:rsid w:val="00AA5264"/>
    <w:rsid w:val="00AA549B"/>
    <w:rsid w:val="00AA5BE8"/>
    <w:rsid w:val="00AA64A9"/>
    <w:rsid w:val="00AA7331"/>
    <w:rsid w:val="00AA736D"/>
    <w:rsid w:val="00AB0040"/>
    <w:rsid w:val="00AB01A7"/>
    <w:rsid w:val="00AB0DFC"/>
    <w:rsid w:val="00AB22FB"/>
    <w:rsid w:val="00AB2D4B"/>
    <w:rsid w:val="00AB39EC"/>
    <w:rsid w:val="00AB3AEA"/>
    <w:rsid w:val="00AB3CB5"/>
    <w:rsid w:val="00AB4DD6"/>
    <w:rsid w:val="00AB6CE6"/>
    <w:rsid w:val="00AB72E0"/>
    <w:rsid w:val="00AC097C"/>
    <w:rsid w:val="00AC1390"/>
    <w:rsid w:val="00AC27CB"/>
    <w:rsid w:val="00AC2DA3"/>
    <w:rsid w:val="00AC6DBF"/>
    <w:rsid w:val="00AD01E3"/>
    <w:rsid w:val="00AD1F5C"/>
    <w:rsid w:val="00AD25EC"/>
    <w:rsid w:val="00AD4506"/>
    <w:rsid w:val="00AD4A15"/>
    <w:rsid w:val="00AD4E32"/>
    <w:rsid w:val="00AD4EEA"/>
    <w:rsid w:val="00AD6762"/>
    <w:rsid w:val="00AD747A"/>
    <w:rsid w:val="00AD7696"/>
    <w:rsid w:val="00AE0410"/>
    <w:rsid w:val="00AE10D6"/>
    <w:rsid w:val="00AE116F"/>
    <w:rsid w:val="00AE1F78"/>
    <w:rsid w:val="00AE29FC"/>
    <w:rsid w:val="00AE3CE5"/>
    <w:rsid w:val="00AE3F68"/>
    <w:rsid w:val="00AE63AA"/>
    <w:rsid w:val="00AE746B"/>
    <w:rsid w:val="00AE777D"/>
    <w:rsid w:val="00AE7B27"/>
    <w:rsid w:val="00AE7D6E"/>
    <w:rsid w:val="00AF1658"/>
    <w:rsid w:val="00AF19CB"/>
    <w:rsid w:val="00AF1C20"/>
    <w:rsid w:val="00AF2402"/>
    <w:rsid w:val="00AF3FDB"/>
    <w:rsid w:val="00AF47FA"/>
    <w:rsid w:val="00AF582D"/>
    <w:rsid w:val="00AF606C"/>
    <w:rsid w:val="00AF7007"/>
    <w:rsid w:val="00AF7593"/>
    <w:rsid w:val="00AF7D99"/>
    <w:rsid w:val="00B016BE"/>
    <w:rsid w:val="00B019B8"/>
    <w:rsid w:val="00B02358"/>
    <w:rsid w:val="00B0292A"/>
    <w:rsid w:val="00B02F7C"/>
    <w:rsid w:val="00B03349"/>
    <w:rsid w:val="00B03BC6"/>
    <w:rsid w:val="00B04036"/>
    <w:rsid w:val="00B04AD0"/>
    <w:rsid w:val="00B06A72"/>
    <w:rsid w:val="00B104E0"/>
    <w:rsid w:val="00B10A97"/>
    <w:rsid w:val="00B10DC5"/>
    <w:rsid w:val="00B122E2"/>
    <w:rsid w:val="00B12774"/>
    <w:rsid w:val="00B133CD"/>
    <w:rsid w:val="00B136BD"/>
    <w:rsid w:val="00B13F97"/>
    <w:rsid w:val="00B1440F"/>
    <w:rsid w:val="00B14BBA"/>
    <w:rsid w:val="00B156B0"/>
    <w:rsid w:val="00B16719"/>
    <w:rsid w:val="00B17897"/>
    <w:rsid w:val="00B20289"/>
    <w:rsid w:val="00B20324"/>
    <w:rsid w:val="00B20D50"/>
    <w:rsid w:val="00B20DEA"/>
    <w:rsid w:val="00B218D2"/>
    <w:rsid w:val="00B21921"/>
    <w:rsid w:val="00B219F4"/>
    <w:rsid w:val="00B21B42"/>
    <w:rsid w:val="00B225BD"/>
    <w:rsid w:val="00B22FD3"/>
    <w:rsid w:val="00B2416D"/>
    <w:rsid w:val="00B26A1D"/>
    <w:rsid w:val="00B31071"/>
    <w:rsid w:val="00B313D8"/>
    <w:rsid w:val="00B34808"/>
    <w:rsid w:val="00B35E3A"/>
    <w:rsid w:val="00B37807"/>
    <w:rsid w:val="00B41B25"/>
    <w:rsid w:val="00B41C1E"/>
    <w:rsid w:val="00B42DDB"/>
    <w:rsid w:val="00B42DF9"/>
    <w:rsid w:val="00B430FF"/>
    <w:rsid w:val="00B43B31"/>
    <w:rsid w:val="00B44E7D"/>
    <w:rsid w:val="00B450D5"/>
    <w:rsid w:val="00B45914"/>
    <w:rsid w:val="00B4592F"/>
    <w:rsid w:val="00B47FF4"/>
    <w:rsid w:val="00B50A05"/>
    <w:rsid w:val="00B53E5E"/>
    <w:rsid w:val="00B54305"/>
    <w:rsid w:val="00B55104"/>
    <w:rsid w:val="00B554C9"/>
    <w:rsid w:val="00B55900"/>
    <w:rsid w:val="00B5599B"/>
    <w:rsid w:val="00B55B67"/>
    <w:rsid w:val="00B5678A"/>
    <w:rsid w:val="00B57192"/>
    <w:rsid w:val="00B6051D"/>
    <w:rsid w:val="00B611AF"/>
    <w:rsid w:val="00B614B3"/>
    <w:rsid w:val="00B61CE8"/>
    <w:rsid w:val="00B62315"/>
    <w:rsid w:val="00B63376"/>
    <w:rsid w:val="00B63A2E"/>
    <w:rsid w:val="00B63D6A"/>
    <w:rsid w:val="00B64082"/>
    <w:rsid w:val="00B6481C"/>
    <w:rsid w:val="00B64F90"/>
    <w:rsid w:val="00B65BA6"/>
    <w:rsid w:val="00B6780E"/>
    <w:rsid w:val="00B707CB"/>
    <w:rsid w:val="00B714F8"/>
    <w:rsid w:val="00B7273E"/>
    <w:rsid w:val="00B72A86"/>
    <w:rsid w:val="00B72AB8"/>
    <w:rsid w:val="00B72F88"/>
    <w:rsid w:val="00B7326C"/>
    <w:rsid w:val="00B7336D"/>
    <w:rsid w:val="00B73B47"/>
    <w:rsid w:val="00B75AA1"/>
    <w:rsid w:val="00B75B3B"/>
    <w:rsid w:val="00B76A5A"/>
    <w:rsid w:val="00B81006"/>
    <w:rsid w:val="00B81E69"/>
    <w:rsid w:val="00B82866"/>
    <w:rsid w:val="00B83E3A"/>
    <w:rsid w:val="00B8428D"/>
    <w:rsid w:val="00B85153"/>
    <w:rsid w:val="00B86709"/>
    <w:rsid w:val="00B86AF7"/>
    <w:rsid w:val="00B86E04"/>
    <w:rsid w:val="00B91B86"/>
    <w:rsid w:val="00B92A91"/>
    <w:rsid w:val="00B94184"/>
    <w:rsid w:val="00B9425E"/>
    <w:rsid w:val="00B94D3C"/>
    <w:rsid w:val="00B95A98"/>
    <w:rsid w:val="00B9634C"/>
    <w:rsid w:val="00B96849"/>
    <w:rsid w:val="00B971AD"/>
    <w:rsid w:val="00B976ED"/>
    <w:rsid w:val="00BA0010"/>
    <w:rsid w:val="00BA0E93"/>
    <w:rsid w:val="00BA1AAA"/>
    <w:rsid w:val="00BA1F5F"/>
    <w:rsid w:val="00BA2FF6"/>
    <w:rsid w:val="00BA3A9A"/>
    <w:rsid w:val="00BA44DC"/>
    <w:rsid w:val="00BA4B7F"/>
    <w:rsid w:val="00BA55F6"/>
    <w:rsid w:val="00BA63DA"/>
    <w:rsid w:val="00BA66DB"/>
    <w:rsid w:val="00BA763A"/>
    <w:rsid w:val="00BB3185"/>
    <w:rsid w:val="00BB3BD0"/>
    <w:rsid w:val="00BB491F"/>
    <w:rsid w:val="00BB5C48"/>
    <w:rsid w:val="00BB691A"/>
    <w:rsid w:val="00BB79C7"/>
    <w:rsid w:val="00BB7F32"/>
    <w:rsid w:val="00BC1812"/>
    <w:rsid w:val="00BC354D"/>
    <w:rsid w:val="00BC44BC"/>
    <w:rsid w:val="00BC5DF8"/>
    <w:rsid w:val="00BC6E23"/>
    <w:rsid w:val="00BC7ACA"/>
    <w:rsid w:val="00BD24F9"/>
    <w:rsid w:val="00BD504F"/>
    <w:rsid w:val="00BD5365"/>
    <w:rsid w:val="00BD53EB"/>
    <w:rsid w:val="00BD55D0"/>
    <w:rsid w:val="00BD6811"/>
    <w:rsid w:val="00BD6CBD"/>
    <w:rsid w:val="00BD6E23"/>
    <w:rsid w:val="00BD7130"/>
    <w:rsid w:val="00BE0C0E"/>
    <w:rsid w:val="00BE0D5E"/>
    <w:rsid w:val="00BE118F"/>
    <w:rsid w:val="00BE1378"/>
    <w:rsid w:val="00BE2160"/>
    <w:rsid w:val="00BE22FF"/>
    <w:rsid w:val="00BE2F5A"/>
    <w:rsid w:val="00BE33E6"/>
    <w:rsid w:val="00BE35EE"/>
    <w:rsid w:val="00BE3CA8"/>
    <w:rsid w:val="00BE4100"/>
    <w:rsid w:val="00BE46AD"/>
    <w:rsid w:val="00BE4C65"/>
    <w:rsid w:val="00BE6DBE"/>
    <w:rsid w:val="00BE6ECF"/>
    <w:rsid w:val="00BE722F"/>
    <w:rsid w:val="00BF072E"/>
    <w:rsid w:val="00BF0B6E"/>
    <w:rsid w:val="00BF2A8B"/>
    <w:rsid w:val="00BF2F73"/>
    <w:rsid w:val="00BF3CEF"/>
    <w:rsid w:val="00BF40F8"/>
    <w:rsid w:val="00BF425B"/>
    <w:rsid w:val="00BF47A0"/>
    <w:rsid w:val="00BF48FF"/>
    <w:rsid w:val="00BF7BFB"/>
    <w:rsid w:val="00BF7FAB"/>
    <w:rsid w:val="00C00092"/>
    <w:rsid w:val="00C000D4"/>
    <w:rsid w:val="00C01642"/>
    <w:rsid w:val="00C01D4F"/>
    <w:rsid w:val="00C026D0"/>
    <w:rsid w:val="00C0279A"/>
    <w:rsid w:val="00C02A78"/>
    <w:rsid w:val="00C0431B"/>
    <w:rsid w:val="00C04749"/>
    <w:rsid w:val="00C04B49"/>
    <w:rsid w:val="00C068AF"/>
    <w:rsid w:val="00C068B4"/>
    <w:rsid w:val="00C07A60"/>
    <w:rsid w:val="00C1040B"/>
    <w:rsid w:val="00C10477"/>
    <w:rsid w:val="00C10AA6"/>
    <w:rsid w:val="00C12136"/>
    <w:rsid w:val="00C1377D"/>
    <w:rsid w:val="00C13D94"/>
    <w:rsid w:val="00C151AF"/>
    <w:rsid w:val="00C2110A"/>
    <w:rsid w:val="00C21D49"/>
    <w:rsid w:val="00C24B3C"/>
    <w:rsid w:val="00C25781"/>
    <w:rsid w:val="00C263CD"/>
    <w:rsid w:val="00C26C0B"/>
    <w:rsid w:val="00C33FA2"/>
    <w:rsid w:val="00C345CF"/>
    <w:rsid w:val="00C36BE4"/>
    <w:rsid w:val="00C40979"/>
    <w:rsid w:val="00C41F89"/>
    <w:rsid w:val="00C420BD"/>
    <w:rsid w:val="00C43177"/>
    <w:rsid w:val="00C44449"/>
    <w:rsid w:val="00C469D4"/>
    <w:rsid w:val="00C50188"/>
    <w:rsid w:val="00C51073"/>
    <w:rsid w:val="00C51CA5"/>
    <w:rsid w:val="00C521D6"/>
    <w:rsid w:val="00C52E4D"/>
    <w:rsid w:val="00C5416D"/>
    <w:rsid w:val="00C544B1"/>
    <w:rsid w:val="00C54739"/>
    <w:rsid w:val="00C56723"/>
    <w:rsid w:val="00C56805"/>
    <w:rsid w:val="00C56A7D"/>
    <w:rsid w:val="00C57C87"/>
    <w:rsid w:val="00C61FFF"/>
    <w:rsid w:val="00C62162"/>
    <w:rsid w:val="00C63B69"/>
    <w:rsid w:val="00C63BF7"/>
    <w:rsid w:val="00C63EC0"/>
    <w:rsid w:val="00C655B7"/>
    <w:rsid w:val="00C66E25"/>
    <w:rsid w:val="00C709D6"/>
    <w:rsid w:val="00C72267"/>
    <w:rsid w:val="00C7253A"/>
    <w:rsid w:val="00C72745"/>
    <w:rsid w:val="00C749AD"/>
    <w:rsid w:val="00C8460A"/>
    <w:rsid w:val="00C86060"/>
    <w:rsid w:val="00C924DA"/>
    <w:rsid w:val="00C93E85"/>
    <w:rsid w:val="00C93EA7"/>
    <w:rsid w:val="00C94677"/>
    <w:rsid w:val="00C9621B"/>
    <w:rsid w:val="00C96D73"/>
    <w:rsid w:val="00C9791C"/>
    <w:rsid w:val="00CA00F4"/>
    <w:rsid w:val="00CA046A"/>
    <w:rsid w:val="00CA0B32"/>
    <w:rsid w:val="00CA0BC7"/>
    <w:rsid w:val="00CA1745"/>
    <w:rsid w:val="00CA1C53"/>
    <w:rsid w:val="00CA25AC"/>
    <w:rsid w:val="00CA423C"/>
    <w:rsid w:val="00CA562A"/>
    <w:rsid w:val="00CA64BF"/>
    <w:rsid w:val="00CA666E"/>
    <w:rsid w:val="00CA7384"/>
    <w:rsid w:val="00CA7AE3"/>
    <w:rsid w:val="00CA7FC1"/>
    <w:rsid w:val="00CB1A8E"/>
    <w:rsid w:val="00CB3A03"/>
    <w:rsid w:val="00CB3C05"/>
    <w:rsid w:val="00CB6331"/>
    <w:rsid w:val="00CC0591"/>
    <w:rsid w:val="00CC0F7A"/>
    <w:rsid w:val="00CC1108"/>
    <w:rsid w:val="00CC3486"/>
    <w:rsid w:val="00CC43C5"/>
    <w:rsid w:val="00CC6FC2"/>
    <w:rsid w:val="00CD06D1"/>
    <w:rsid w:val="00CD07EA"/>
    <w:rsid w:val="00CD0AE3"/>
    <w:rsid w:val="00CD0FFB"/>
    <w:rsid w:val="00CD194A"/>
    <w:rsid w:val="00CD19C3"/>
    <w:rsid w:val="00CD1A46"/>
    <w:rsid w:val="00CD212C"/>
    <w:rsid w:val="00CD307E"/>
    <w:rsid w:val="00CD3E85"/>
    <w:rsid w:val="00CD439A"/>
    <w:rsid w:val="00CD4E78"/>
    <w:rsid w:val="00CD67A6"/>
    <w:rsid w:val="00CD6910"/>
    <w:rsid w:val="00CD751D"/>
    <w:rsid w:val="00CE0362"/>
    <w:rsid w:val="00CE205D"/>
    <w:rsid w:val="00CE3418"/>
    <w:rsid w:val="00CE39CE"/>
    <w:rsid w:val="00CE3A1B"/>
    <w:rsid w:val="00CE4427"/>
    <w:rsid w:val="00CE66B6"/>
    <w:rsid w:val="00CE67C0"/>
    <w:rsid w:val="00CE74F5"/>
    <w:rsid w:val="00CF0AED"/>
    <w:rsid w:val="00CF1D1E"/>
    <w:rsid w:val="00CF25B7"/>
    <w:rsid w:val="00CF2F12"/>
    <w:rsid w:val="00CF5941"/>
    <w:rsid w:val="00CF5B44"/>
    <w:rsid w:val="00CF6618"/>
    <w:rsid w:val="00CF6F20"/>
    <w:rsid w:val="00CF7246"/>
    <w:rsid w:val="00D00285"/>
    <w:rsid w:val="00D00B3B"/>
    <w:rsid w:val="00D00EE0"/>
    <w:rsid w:val="00D01CDD"/>
    <w:rsid w:val="00D023F4"/>
    <w:rsid w:val="00D05BB6"/>
    <w:rsid w:val="00D05EE9"/>
    <w:rsid w:val="00D067C7"/>
    <w:rsid w:val="00D10AA1"/>
    <w:rsid w:val="00D10D2F"/>
    <w:rsid w:val="00D112C0"/>
    <w:rsid w:val="00D138B0"/>
    <w:rsid w:val="00D14656"/>
    <w:rsid w:val="00D15272"/>
    <w:rsid w:val="00D159DF"/>
    <w:rsid w:val="00D160AB"/>
    <w:rsid w:val="00D1675F"/>
    <w:rsid w:val="00D171C8"/>
    <w:rsid w:val="00D17707"/>
    <w:rsid w:val="00D2024E"/>
    <w:rsid w:val="00D213E0"/>
    <w:rsid w:val="00D21A40"/>
    <w:rsid w:val="00D21BDA"/>
    <w:rsid w:val="00D21EA8"/>
    <w:rsid w:val="00D23745"/>
    <w:rsid w:val="00D25CD7"/>
    <w:rsid w:val="00D25D37"/>
    <w:rsid w:val="00D26307"/>
    <w:rsid w:val="00D30827"/>
    <w:rsid w:val="00D31E27"/>
    <w:rsid w:val="00D32A1E"/>
    <w:rsid w:val="00D333CD"/>
    <w:rsid w:val="00D33D35"/>
    <w:rsid w:val="00D367B4"/>
    <w:rsid w:val="00D37245"/>
    <w:rsid w:val="00D40A82"/>
    <w:rsid w:val="00D4249E"/>
    <w:rsid w:val="00D42D55"/>
    <w:rsid w:val="00D42D57"/>
    <w:rsid w:val="00D45D92"/>
    <w:rsid w:val="00D462C6"/>
    <w:rsid w:val="00D46D96"/>
    <w:rsid w:val="00D47780"/>
    <w:rsid w:val="00D51218"/>
    <w:rsid w:val="00D52F70"/>
    <w:rsid w:val="00D5431B"/>
    <w:rsid w:val="00D60948"/>
    <w:rsid w:val="00D6143A"/>
    <w:rsid w:val="00D617ED"/>
    <w:rsid w:val="00D625D8"/>
    <w:rsid w:val="00D6294C"/>
    <w:rsid w:val="00D62DDB"/>
    <w:rsid w:val="00D64E43"/>
    <w:rsid w:val="00D67BC5"/>
    <w:rsid w:val="00D724F9"/>
    <w:rsid w:val="00D72E92"/>
    <w:rsid w:val="00D7350C"/>
    <w:rsid w:val="00D73D14"/>
    <w:rsid w:val="00D743DD"/>
    <w:rsid w:val="00D7497A"/>
    <w:rsid w:val="00D7607E"/>
    <w:rsid w:val="00D76970"/>
    <w:rsid w:val="00D77359"/>
    <w:rsid w:val="00D776A8"/>
    <w:rsid w:val="00D8175C"/>
    <w:rsid w:val="00D82593"/>
    <w:rsid w:val="00D83112"/>
    <w:rsid w:val="00D84090"/>
    <w:rsid w:val="00D84C97"/>
    <w:rsid w:val="00D8565B"/>
    <w:rsid w:val="00D86353"/>
    <w:rsid w:val="00D87A89"/>
    <w:rsid w:val="00D87C3E"/>
    <w:rsid w:val="00D90120"/>
    <w:rsid w:val="00D90990"/>
    <w:rsid w:val="00D90E6B"/>
    <w:rsid w:val="00D9351A"/>
    <w:rsid w:val="00D9377A"/>
    <w:rsid w:val="00D952C6"/>
    <w:rsid w:val="00D95C75"/>
    <w:rsid w:val="00D96919"/>
    <w:rsid w:val="00D9723D"/>
    <w:rsid w:val="00DA0535"/>
    <w:rsid w:val="00DA0A5B"/>
    <w:rsid w:val="00DA0C3F"/>
    <w:rsid w:val="00DA2182"/>
    <w:rsid w:val="00DA302C"/>
    <w:rsid w:val="00DA3C3E"/>
    <w:rsid w:val="00DA4A6B"/>
    <w:rsid w:val="00DA53FE"/>
    <w:rsid w:val="00DA5D11"/>
    <w:rsid w:val="00DB002A"/>
    <w:rsid w:val="00DB0786"/>
    <w:rsid w:val="00DB0D92"/>
    <w:rsid w:val="00DB122A"/>
    <w:rsid w:val="00DB1C91"/>
    <w:rsid w:val="00DB2B34"/>
    <w:rsid w:val="00DB3286"/>
    <w:rsid w:val="00DB4E10"/>
    <w:rsid w:val="00DB526D"/>
    <w:rsid w:val="00DB60B4"/>
    <w:rsid w:val="00DB6799"/>
    <w:rsid w:val="00DB6902"/>
    <w:rsid w:val="00DB76D1"/>
    <w:rsid w:val="00DB7C4E"/>
    <w:rsid w:val="00DC120D"/>
    <w:rsid w:val="00DC1D90"/>
    <w:rsid w:val="00DC23D1"/>
    <w:rsid w:val="00DC2ED0"/>
    <w:rsid w:val="00DC4447"/>
    <w:rsid w:val="00DC5A85"/>
    <w:rsid w:val="00DC5D44"/>
    <w:rsid w:val="00DC7146"/>
    <w:rsid w:val="00DC79C7"/>
    <w:rsid w:val="00DD0169"/>
    <w:rsid w:val="00DD058E"/>
    <w:rsid w:val="00DD087B"/>
    <w:rsid w:val="00DD0D17"/>
    <w:rsid w:val="00DD0F36"/>
    <w:rsid w:val="00DD303E"/>
    <w:rsid w:val="00DD5178"/>
    <w:rsid w:val="00DD5AC4"/>
    <w:rsid w:val="00DD5AEE"/>
    <w:rsid w:val="00DD5FA5"/>
    <w:rsid w:val="00DE0267"/>
    <w:rsid w:val="00DE339C"/>
    <w:rsid w:val="00DE4E12"/>
    <w:rsid w:val="00DE57E6"/>
    <w:rsid w:val="00DE5FD1"/>
    <w:rsid w:val="00DE7054"/>
    <w:rsid w:val="00DE74D5"/>
    <w:rsid w:val="00DE7990"/>
    <w:rsid w:val="00DF331D"/>
    <w:rsid w:val="00DF3E2E"/>
    <w:rsid w:val="00DF4ECE"/>
    <w:rsid w:val="00DF4F6C"/>
    <w:rsid w:val="00DF5785"/>
    <w:rsid w:val="00DF60E9"/>
    <w:rsid w:val="00DF6FB4"/>
    <w:rsid w:val="00E01A72"/>
    <w:rsid w:val="00E02673"/>
    <w:rsid w:val="00E02839"/>
    <w:rsid w:val="00E03814"/>
    <w:rsid w:val="00E03B3E"/>
    <w:rsid w:val="00E03D05"/>
    <w:rsid w:val="00E04352"/>
    <w:rsid w:val="00E0498D"/>
    <w:rsid w:val="00E05653"/>
    <w:rsid w:val="00E05C0F"/>
    <w:rsid w:val="00E0642A"/>
    <w:rsid w:val="00E10586"/>
    <w:rsid w:val="00E1185A"/>
    <w:rsid w:val="00E121FD"/>
    <w:rsid w:val="00E12794"/>
    <w:rsid w:val="00E13A18"/>
    <w:rsid w:val="00E13AC2"/>
    <w:rsid w:val="00E150C4"/>
    <w:rsid w:val="00E15BAA"/>
    <w:rsid w:val="00E1655D"/>
    <w:rsid w:val="00E165EA"/>
    <w:rsid w:val="00E16ECF"/>
    <w:rsid w:val="00E17037"/>
    <w:rsid w:val="00E2091A"/>
    <w:rsid w:val="00E24B4B"/>
    <w:rsid w:val="00E24CB4"/>
    <w:rsid w:val="00E25E18"/>
    <w:rsid w:val="00E2603F"/>
    <w:rsid w:val="00E27867"/>
    <w:rsid w:val="00E310E1"/>
    <w:rsid w:val="00E31D5F"/>
    <w:rsid w:val="00E321BD"/>
    <w:rsid w:val="00E324BA"/>
    <w:rsid w:val="00E32552"/>
    <w:rsid w:val="00E3256D"/>
    <w:rsid w:val="00E338F7"/>
    <w:rsid w:val="00E34B6F"/>
    <w:rsid w:val="00E35D2B"/>
    <w:rsid w:val="00E41023"/>
    <w:rsid w:val="00E41694"/>
    <w:rsid w:val="00E419E3"/>
    <w:rsid w:val="00E421A3"/>
    <w:rsid w:val="00E42B41"/>
    <w:rsid w:val="00E434D3"/>
    <w:rsid w:val="00E44B99"/>
    <w:rsid w:val="00E46DA7"/>
    <w:rsid w:val="00E50602"/>
    <w:rsid w:val="00E50B29"/>
    <w:rsid w:val="00E51B40"/>
    <w:rsid w:val="00E521F9"/>
    <w:rsid w:val="00E5245A"/>
    <w:rsid w:val="00E53FD9"/>
    <w:rsid w:val="00E555CF"/>
    <w:rsid w:val="00E56939"/>
    <w:rsid w:val="00E604CA"/>
    <w:rsid w:val="00E61C18"/>
    <w:rsid w:val="00E63031"/>
    <w:rsid w:val="00E63959"/>
    <w:rsid w:val="00E6397B"/>
    <w:rsid w:val="00E65F55"/>
    <w:rsid w:val="00E6670B"/>
    <w:rsid w:val="00E727DC"/>
    <w:rsid w:val="00E73543"/>
    <w:rsid w:val="00E81CD9"/>
    <w:rsid w:val="00E82E1D"/>
    <w:rsid w:val="00E83543"/>
    <w:rsid w:val="00E84934"/>
    <w:rsid w:val="00E84A09"/>
    <w:rsid w:val="00E84CA1"/>
    <w:rsid w:val="00E85163"/>
    <w:rsid w:val="00E85F3A"/>
    <w:rsid w:val="00E8742A"/>
    <w:rsid w:val="00E87911"/>
    <w:rsid w:val="00E87CA9"/>
    <w:rsid w:val="00E9119A"/>
    <w:rsid w:val="00E914F8"/>
    <w:rsid w:val="00E91B79"/>
    <w:rsid w:val="00E921FA"/>
    <w:rsid w:val="00E92893"/>
    <w:rsid w:val="00E928E6"/>
    <w:rsid w:val="00E92B22"/>
    <w:rsid w:val="00E92D9F"/>
    <w:rsid w:val="00E93897"/>
    <w:rsid w:val="00E938B2"/>
    <w:rsid w:val="00E93E7C"/>
    <w:rsid w:val="00E95342"/>
    <w:rsid w:val="00E959D4"/>
    <w:rsid w:val="00E95B33"/>
    <w:rsid w:val="00E960BE"/>
    <w:rsid w:val="00E96258"/>
    <w:rsid w:val="00E96766"/>
    <w:rsid w:val="00EA0088"/>
    <w:rsid w:val="00EA0460"/>
    <w:rsid w:val="00EA0942"/>
    <w:rsid w:val="00EA0D0E"/>
    <w:rsid w:val="00EA16F5"/>
    <w:rsid w:val="00EA191E"/>
    <w:rsid w:val="00EA1E37"/>
    <w:rsid w:val="00EA2019"/>
    <w:rsid w:val="00EA20B2"/>
    <w:rsid w:val="00EA2904"/>
    <w:rsid w:val="00EA2F00"/>
    <w:rsid w:val="00EA3249"/>
    <w:rsid w:val="00EA32CC"/>
    <w:rsid w:val="00EA3DA1"/>
    <w:rsid w:val="00EA4723"/>
    <w:rsid w:val="00EA4BA3"/>
    <w:rsid w:val="00EA6E73"/>
    <w:rsid w:val="00EA73FE"/>
    <w:rsid w:val="00EB19DD"/>
    <w:rsid w:val="00EB20AE"/>
    <w:rsid w:val="00EB5D6E"/>
    <w:rsid w:val="00EB5E60"/>
    <w:rsid w:val="00EB6FDA"/>
    <w:rsid w:val="00EC01BA"/>
    <w:rsid w:val="00EC06DC"/>
    <w:rsid w:val="00EC0AA8"/>
    <w:rsid w:val="00EC115C"/>
    <w:rsid w:val="00EC1921"/>
    <w:rsid w:val="00EC199F"/>
    <w:rsid w:val="00EC2538"/>
    <w:rsid w:val="00EC2CD9"/>
    <w:rsid w:val="00EC2ED9"/>
    <w:rsid w:val="00EC2EFC"/>
    <w:rsid w:val="00EC378F"/>
    <w:rsid w:val="00EC4A11"/>
    <w:rsid w:val="00EC587D"/>
    <w:rsid w:val="00EC7F9C"/>
    <w:rsid w:val="00ED0424"/>
    <w:rsid w:val="00ED0608"/>
    <w:rsid w:val="00ED08CB"/>
    <w:rsid w:val="00ED1119"/>
    <w:rsid w:val="00ED1749"/>
    <w:rsid w:val="00ED259F"/>
    <w:rsid w:val="00ED33A8"/>
    <w:rsid w:val="00ED5157"/>
    <w:rsid w:val="00ED5934"/>
    <w:rsid w:val="00ED7A48"/>
    <w:rsid w:val="00EE00EB"/>
    <w:rsid w:val="00EE09B0"/>
    <w:rsid w:val="00EE0AAA"/>
    <w:rsid w:val="00EE101B"/>
    <w:rsid w:val="00EE1899"/>
    <w:rsid w:val="00EE24A3"/>
    <w:rsid w:val="00EE33A4"/>
    <w:rsid w:val="00EE3EB0"/>
    <w:rsid w:val="00EE460F"/>
    <w:rsid w:val="00EE534B"/>
    <w:rsid w:val="00EE642B"/>
    <w:rsid w:val="00EE6530"/>
    <w:rsid w:val="00EE7990"/>
    <w:rsid w:val="00EE7FE6"/>
    <w:rsid w:val="00EF0CD3"/>
    <w:rsid w:val="00EF14C3"/>
    <w:rsid w:val="00EF1ADF"/>
    <w:rsid w:val="00EF2431"/>
    <w:rsid w:val="00EF4124"/>
    <w:rsid w:val="00EF51BB"/>
    <w:rsid w:val="00EF5981"/>
    <w:rsid w:val="00EF5CC3"/>
    <w:rsid w:val="00EF6638"/>
    <w:rsid w:val="00EF6722"/>
    <w:rsid w:val="00EF74B6"/>
    <w:rsid w:val="00F0029F"/>
    <w:rsid w:val="00F017B3"/>
    <w:rsid w:val="00F01B87"/>
    <w:rsid w:val="00F02B5E"/>
    <w:rsid w:val="00F04445"/>
    <w:rsid w:val="00F05ADF"/>
    <w:rsid w:val="00F05D1C"/>
    <w:rsid w:val="00F07BE4"/>
    <w:rsid w:val="00F07C7D"/>
    <w:rsid w:val="00F10048"/>
    <w:rsid w:val="00F101E5"/>
    <w:rsid w:val="00F12401"/>
    <w:rsid w:val="00F1250C"/>
    <w:rsid w:val="00F12946"/>
    <w:rsid w:val="00F138F8"/>
    <w:rsid w:val="00F13ACB"/>
    <w:rsid w:val="00F16842"/>
    <w:rsid w:val="00F17AAA"/>
    <w:rsid w:val="00F17ED9"/>
    <w:rsid w:val="00F21418"/>
    <w:rsid w:val="00F21F75"/>
    <w:rsid w:val="00F24564"/>
    <w:rsid w:val="00F25291"/>
    <w:rsid w:val="00F25CC6"/>
    <w:rsid w:val="00F2669F"/>
    <w:rsid w:val="00F27B2E"/>
    <w:rsid w:val="00F3035A"/>
    <w:rsid w:val="00F32024"/>
    <w:rsid w:val="00F3205B"/>
    <w:rsid w:val="00F327E6"/>
    <w:rsid w:val="00F33937"/>
    <w:rsid w:val="00F33B68"/>
    <w:rsid w:val="00F36A1D"/>
    <w:rsid w:val="00F40C8A"/>
    <w:rsid w:val="00F4124B"/>
    <w:rsid w:val="00F412F0"/>
    <w:rsid w:val="00F41AFD"/>
    <w:rsid w:val="00F43808"/>
    <w:rsid w:val="00F43997"/>
    <w:rsid w:val="00F44974"/>
    <w:rsid w:val="00F452FD"/>
    <w:rsid w:val="00F4544A"/>
    <w:rsid w:val="00F46A5B"/>
    <w:rsid w:val="00F46BB5"/>
    <w:rsid w:val="00F50A1F"/>
    <w:rsid w:val="00F5181A"/>
    <w:rsid w:val="00F51D9F"/>
    <w:rsid w:val="00F52C93"/>
    <w:rsid w:val="00F5457B"/>
    <w:rsid w:val="00F54DE5"/>
    <w:rsid w:val="00F55645"/>
    <w:rsid w:val="00F55EE3"/>
    <w:rsid w:val="00F56575"/>
    <w:rsid w:val="00F572AC"/>
    <w:rsid w:val="00F57AB7"/>
    <w:rsid w:val="00F604D1"/>
    <w:rsid w:val="00F6270F"/>
    <w:rsid w:val="00F632E9"/>
    <w:rsid w:val="00F6359A"/>
    <w:rsid w:val="00F6391C"/>
    <w:rsid w:val="00F64A06"/>
    <w:rsid w:val="00F65165"/>
    <w:rsid w:val="00F66634"/>
    <w:rsid w:val="00F66779"/>
    <w:rsid w:val="00F67740"/>
    <w:rsid w:val="00F67B5D"/>
    <w:rsid w:val="00F731A7"/>
    <w:rsid w:val="00F73511"/>
    <w:rsid w:val="00F73517"/>
    <w:rsid w:val="00F7378F"/>
    <w:rsid w:val="00F751E8"/>
    <w:rsid w:val="00F764AE"/>
    <w:rsid w:val="00F767F3"/>
    <w:rsid w:val="00F777F9"/>
    <w:rsid w:val="00F778AF"/>
    <w:rsid w:val="00F77CF3"/>
    <w:rsid w:val="00F81773"/>
    <w:rsid w:val="00F81AF2"/>
    <w:rsid w:val="00F81B0A"/>
    <w:rsid w:val="00F8431D"/>
    <w:rsid w:val="00F84844"/>
    <w:rsid w:val="00F849B9"/>
    <w:rsid w:val="00F878A9"/>
    <w:rsid w:val="00F90156"/>
    <w:rsid w:val="00F903B8"/>
    <w:rsid w:val="00F90918"/>
    <w:rsid w:val="00F90978"/>
    <w:rsid w:val="00F92241"/>
    <w:rsid w:val="00F93791"/>
    <w:rsid w:val="00F939D3"/>
    <w:rsid w:val="00F94599"/>
    <w:rsid w:val="00F95C43"/>
    <w:rsid w:val="00F96516"/>
    <w:rsid w:val="00F97F33"/>
    <w:rsid w:val="00FA078F"/>
    <w:rsid w:val="00FA0BD4"/>
    <w:rsid w:val="00FA0FD8"/>
    <w:rsid w:val="00FA1B40"/>
    <w:rsid w:val="00FA2B3B"/>
    <w:rsid w:val="00FA2C1A"/>
    <w:rsid w:val="00FA3156"/>
    <w:rsid w:val="00FA58FA"/>
    <w:rsid w:val="00FA65ED"/>
    <w:rsid w:val="00FA703D"/>
    <w:rsid w:val="00FA73D6"/>
    <w:rsid w:val="00FA7D11"/>
    <w:rsid w:val="00FB08C9"/>
    <w:rsid w:val="00FB0B0A"/>
    <w:rsid w:val="00FB0B80"/>
    <w:rsid w:val="00FB545B"/>
    <w:rsid w:val="00FB5BFF"/>
    <w:rsid w:val="00FB7F08"/>
    <w:rsid w:val="00FC15BF"/>
    <w:rsid w:val="00FC3632"/>
    <w:rsid w:val="00FC5DD0"/>
    <w:rsid w:val="00FC6209"/>
    <w:rsid w:val="00FD1185"/>
    <w:rsid w:val="00FD14DA"/>
    <w:rsid w:val="00FD27E7"/>
    <w:rsid w:val="00FD40A4"/>
    <w:rsid w:val="00FD50CD"/>
    <w:rsid w:val="00FD5858"/>
    <w:rsid w:val="00FD63B1"/>
    <w:rsid w:val="00FD6E2A"/>
    <w:rsid w:val="00FD758B"/>
    <w:rsid w:val="00FD7788"/>
    <w:rsid w:val="00FD7B73"/>
    <w:rsid w:val="00FD7EBB"/>
    <w:rsid w:val="00FE0153"/>
    <w:rsid w:val="00FE07DC"/>
    <w:rsid w:val="00FE0F57"/>
    <w:rsid w:val="00FE1216"/>
    <w:rsid w:val="00FE15FF"/>
    <w:rsid w:val="00FE1A22"/>
    <w:rsid w:val="00FE3205"/>
    <w:rsid w:val="00FE3353"/>
    <w:rsid w:val="00FE38AE"/>
    <w:rsid w:val="00FE5E44"/>
    <w:rsid w:val="00FE6130"/>
    <w:rsid w:val="00FE629A"/>
    <w:rsid w:val="00FE73C2"/>
    <w:rsid w:val="00FF09D1"/>
    <w:rsid w:val="00FF1959"/>
    <w:rsid w:val="00FF475D"/>
    <w:rsid w:val="00FF5878"/>
    <w:rsid w:val="00FF593B"/>
    <w:rsid w:val="00FF6216"/>
    <w:rsid w:val="00FF75B7"/>
    <w:rsid w:val="00FF78E8"/>
    <w:rsid w:val="00FF7A7E"/>
    <w:rsid w:val="016546BA"/>
    <w:rsid w:val="048C387C"/>
    <w:rsid w:val="04BA40F0"/>
    <w:rsid w:val="04EC15FA"/>
    <w:rsid w:val="057552D3"/>
    <w:rsid w:val="062C3117"/>
    <w:rsid w:val="07104316"/>
    <w:rsid w:val="073C1F02"/>
    <w:rsid w:val="07AA612D"/>
    <w:rsid w:val="08D15B4B"/>
    <w:rsid w:val="0A0C1EA1"/>
    <w:rsid w:val="0A8C3061"/>
    <w:rsid w:val="0AD078CB"/>
    <w:rsid w:val="0B536FB3"/>
    <w:rsid w:val="0BDD7A94"/>
    <w:rsid w:val="0BEF464D"/>
    <w:rsid w:val="0C191D25"/>
    <w:rsid w:val="0C68157F"/>
    <w:rsid w:val="0C732D51"/>
    <w:rsid w:val="0D505A2A"/>
    <w:rsid w:val="0D7160DB"/>
    <w:rsid w:val="0DD71E98"/>
    <w:rsid w:val="0E0E6042"/>
    <w:rsid w:val="0E5B7556"/>
    <w:rsid w:val="0ED5633B"/>
    <w:rsid w:val="0F0A11A8"/>
    <w:rsid w:val="10F82852"/>
    <w:rsid w:val="110A0185"/>
    <w:rsid w:val="12040D82"/>
    <w:rsid w:val="12CD386A"/>
    <w:rsid w:val="13580163"/>
    <w:rsid w:val="13E56988"/>
    <w:rsid w:val="13F174FA"/>
    <w:rsid w:val="14E74A71"/>
    <w:rsid w:val="15EF213E"/>
    <w:rsid w:val="162E1CE5"/>
    <w:rsid w:val="16696AFA"/>
    <w:rsid w:val="179E57D5"/>
    <w:rsid w:val="17BE07F9"/>
    <w:rsid w:val="188C4BDC"/>
    <w:rsid w:val="18F55BD8"/>
    <w:rsid w:val="19E5630E"/>
    <w:rsid w:val="1A1A7D0B"/>
    <w:rsid w:val="1A4268EB"/>
    <w:rsid w:val="1C320799"/>
    <w:rsid w:val="1C3F340C"/>
    <w:rsid w:val="1CA573D3"/>
    <w:rsid w:val="1D110528"/>
    <w:rsid w:val="1D712E88"/>
    <w:rsid w:val="1D8B6A06"/>
    <w:rsid w:val="1DCF493A"/>
    <w:rsid w:val="1EFD5A15"/>
    <w:rsid w:val="1F305A57"/>
    <w:rsid w:val="1FFA5A30"/>
    <w:rsid w:val="20823CD1"/>
    <w:rsid w:val="2084257A"/>
    <w:rsid w:val="2145002C"/>
    <w:rsid w:val="21584F77"/>
    <w:rsid w:val="248A5117"/>
    <w:rsid w:val="256D18D4"/>
    <w:rsid w:val="25A63ED4"/>
    <w:rsid w:val="25E7722E"/>
    <w:rsid w:val="26C44BA7"/>
    <w:rsid w:val="280B4211"/>
    <w:rsid w:val="28314E03"/>
    <w:rsid w:val="29331A6A"/>
    <w:rsid w:val="29895F44"/>
    <w:rsid w:val="2A264C33"/>
    <w:rsid w:val="2AC5793B"/>
    <w:rsid w:val="2BBB64FD"/>
    <w:rsid w:val="2BEC4D7F"/>
    <w:rsid w:val="2C1C54D8"/>
    <w:rsid w:val="2D000F47"/>
    <w:rsid w:val="2D0C411E"/>
    <w:rsid w:val="2D154993"/>
    <w:rsid w:val="2D6B4423"/>
    <w:rsid w:val="2DFF2F48"/>
    <w:rsid w:val="2EF23292"/>
    <w:rsid w:val="2F461DCA"/>
    <w:rsid w:val="2F5F7BD3"/>
    <w:rsid w:val="2FDF0C2C"/>
    <w:rsid w:val="317FC418"/>
    <w:rsid w:val="31EE372F"/>
    <w:rsid w:val="33B41152"/>
    <w:rsid w:val="33E767E9"/>
    <w:rsid w:val="33E94732"/>
    <w:rsid w:val="34BA68C6"/>
    <w:rsid w:val="35FFAB15"/>
    <w:rsid w:val="36230B15"/>
    <w:rsid w:val="36CF6ABE"/>
    <w:rsid w:val="371F3654"/>
    <w:rsid w:val="372404CA"/>
    <w:rsid w:val="3773F964"/>
    <w:rsid w:val="37F6C4AC"/>
    <w:rsid w:val="396B3A4D"/>
    <w:rsid w:val="3A8F28E2"/>
    <w:rsid w:val="3B774C39"/>
    <w:rsid w:val="3BBD0E9F"/>
    <w:rsid w:val="3C406F08"/>
    <w:rsid w:val="3D8E06C3"/>
    <w:rsid w:val="3D950488"/>
    <w:rsid w:val="3E931D4F"/>
    <w:rsid w:val="3F566811"/>
    <w:rsid w:val="3F567162"/>
    <w:rsid w:val="3FB12AEB"/>
    <w:rsid w:val="3FE44DB8"/>
    <w:rsid w:val="40582115"/>
    <w:rsid w:val="41742CA1"/>
    <w:rsid w:val="41EA7B80"/>
    <w:rsid w:val="42024A2E"/>
    <w:rsid w:val="422E57F5"/>
    <w:rsid w:val="42F006C0"/>
    <w:rsid w:val="44510744"/>
    <w:rsid w:val="445A42B3"/>
    <w:rsid w:val="44DE22C0"/>
    <w:rsid w:val="44FE7E68"/>
    <w:rsid w:val="475A037B"/>
    <w:rsid w:val="47F3112F"/>
    <w:rsid w:val="48316685"/>
    <w:rsid w:val="48803523"/>
    <w:rsid w:val="48D60E9F"/>
    <w:rsid w:val="491148B9"/>
    <w:rsid w:val="4B9F50B7"/>
    <w:rsid w:val="4BC44B03"/>
    <w:rsid w:val="4C29225D"/>
    <w:rsid w:val="4D9425C4"/>
    <w:rsid w:val="4DDEDC03"/>
    <w:rsid w:val="4E1A4D18"/>
    <w:rsid w:val="4E28254E"/>
    <w:rsid w:val="4E473EF5"/>
    <w:rsid w:val="4F17479D"/>
    <w:rsid w:val="4F4B4829"/>
    <w:rsid w:val="4FED621A"/>
    <w:rsid w:val="4FFF550A"/>
    <w:rsid w:val="51083017"/>
    <w:rsid w:val="512B0287"/>
    <w:rsid w:val="53B7A554"/>
    <w:rsid w:val="542858BF"/>
    <w:rsid w:val="54B12746"/>
    <w:rsid w:val="55C220B3"/>
    <w:rsid w:val="56091BBA"/>
    <w:rsid w:val="5624677D"/>
    <w:rsid w:val="568B4B9B"/>
    <w:rsid w:val="57032C5A"/>
    <w:rsid w:val="575B456D"/>
    <w:rsid w:val="57BCCBB3"/>
    <w:rsid w:val="594A78BF"/>
    <w:rsid w:val="59D75954"/>
    <w:rsid w:val="5A911857"/>
    <w:rsid w:val="5A9B1482"/>
    <w:rsid w:val="5AB7692A"/>
    <w:rsid w:val="5B6D2320"/>
    <w:rsid w:val="5BCF64F4"/>
    <w:rsid w:val="5CC67901"/>
    <w:rsid w:val="5E094708"/>
    <w:rsid w:val="5E0A1DB8"/>
    <w:rsid w:val="5EA01587"/>
    <w:rsid w:val="5F8F502A"/>
    <w:rsid w:val="5FF2615B"/>
    <w:rsid w:val="5FFFC44F"/>
    <w:rsid w:val="609B5F57"/>
    <w:rsid w:val="611C637F"/>
    <w:rsid w:val="615B20A8"/>
    <w:rsid w:val="62ED793C"/>
    <w:rsid w:val="6375583C"/>
    <w:rsid w:val="646A253A"/>
    <w:rsid w:val="64A15589"/>
    <w:rsid w:val="64BC172F"/>
    <w:rsid w:val="655FC5EF"/>
    <w:rsid w:val="669A58CB"/>
    <w:rsid w:val="67DC173C"/>
    <w:rsid w:val="67F90A83"/>
    <w:rsid w:val="67FA7756"/>
    <w:rsid w:val="68120C78"/>
    <w:rsid w:val="68A015B4"/>
    <w:rsid w:val="697B5E1C"/>
    <w:rsid w:val="6AF27C31"/>
    <w:rsid w:val="6B1010C4"/>
    <w:rsid w:val="6B216EA2"/>
    <w:rsid w:val="6BF81BF0"/>
    <w:rsid w:val="6C1D05F6"/>
    <w:rsid w:val="6C5C6579"/>
    <w:rsid w:val="6D2F1BBB"/>
    <w:rsid w:val="6D6E79D1"/>
    <w:rsid w:val="6D7700B5"/>
    <w:rsid w:val="6E023FA8"/>
    <w:rsid w:val="6E26547D"/>
    <w:rsid w:val="6F064A7F"/>
    <w:rsid w:val="6FBE840D"/>
    <w:rsid w:val="6FEF3F3D"/>
    <w:rsid w:val="6FF7017E"/>
    <w:rsid w:val="70AE11B9"/>
    <w:rsid w:val="723A5FEA"/>
    <w:rsid w:val="728E35F1"/>
    <w:rsid w:val="72D66590"/>
    <w:rsid w:val="72EE43FA"/>
    <w:rsid w:val="73595FEB"/>
    <w:rsid w:val="7371406F"/>
    <w:rsid w:val="739879DB"/>
    <w:rsid w:val="73AB5845"/>
    <w:rsid w:val="74310D8D"/>
    <w:rsid w:val="751050F0"/>
    <w:rsid w:val="759E8AA8"/>
    <w:rsid w:val="75E71E35"/>
    <w:rsid w:val="760E692A"/>
    <w:rsid w:val="76F70F89"/>
    <w:rsid w:val="775D56D4"/>
    <w:rsid w:val="77FDEB90"/>
    <w:rsid w:val="7864574C"/>
    <w:rsid w:val="78A23E9E"/>
    <w:rsid w:val="79C45F83"/>
    <w:rsid w:val="7B395D50"/>
    <w:rsid w:val="7C7ABF40"/>
    <w:rsid w:val="7CFF475B"/>
    <w:rsid w:val="7D55A9A8"/>
    <w:rsid w:val="7D6457C7"/>
    <w:rsid w:val="7D6FDEEB"/>
    <w:rsid w:val="7DB63A10"/>
    <w:rsid w:val="7DCF3867"/>
    <w:rsid w:val="7E7FFEE7"/>
    <w:rsid w:val="7EFF0EC6"/>
    <w:rsid w:val="7F5F4C45"/>
    <w:rsid w:val="7F7EC6F2"/>
    <w:rsid w:val="7FBFED3C"/>
    <w:rsid w:val="7FEC7F4A"/>
    <w:rsid w:val="7FEF016D"/>
    <w:rsid w:val="7FEF513B"/>
    <w:rsid w:val="7FF2256B"/>
    <w:rsid w:val="7FF3F146"/>
    <w:rsid w:val="7FF7352A"/>
    <w:rsid w:val="7FFD8F85"/>
    <w:rsid w:val="7FFF9D06"/>
    <w:rsid w:val="9AE7BF84"/>
    <w:rsid w:val="9F793739"/>
    <w:rsid w:val="BA9DA454"/>
    <w:rsid w:val="BBEE8D59"/>
    <w:rsid w:val="BDB65377"/>
    <w:rsid w:val="BE9FEDDE"/>
    <w:rsid w:val="BFB37408"/>
    <w:rsid w:val="C6D39AC8"/>
    <w:rsid w:val="C6FFFF74"/>
    <w:rsid w:val="C7FB8686"/>
    <w:rsid w:val="CE28A72D"/>
    <w:rsid w:val="D5DDDA21"/>
    <w:rsid w:val="DB7F0C75"/>
    <w:rsid w:val="DCDFCF5B"/>
    <w:rsid w:val="DDFA9E1A"/>
    <w:rsid w:val="DE4BDAC1"/>
    <w:rsid w:val="DFFF8200"/>
    <w:rsid w:val="E7797129"/>
    <w:rsid w:val="EAFFBC6A"/>
    <w:rsid w:val="ED7FF851"/>
    <w:rsid w:val="ED9B6869"/>
    <w:rsid w:val="EDFAEF74"/>
    <w:rsid w:val="EF9FF6B9"/>
    <w:rsid w:val="EFD220D7"/>
    <w:rsid w:val="F2FA5F1D"/>
    <w:rsid w:val="F7FDFD94"/>
    <w:rsid w:val="FB738174"/>
    <w:rsid w:val="FBD32283"/>
    <w:rsid w:val="FBD5B39C"/>
    <w:rsid w:val="FC9F6B02"/>
    <w:rsid w:val="FD9FA183"/>
    <w:rsid w:val="FDBBDDD3"/>
    <w:rsid w:val="FEF58669"/>
    <w:rsid w:val="FEF7FE6D"/>
    <w:rsid w:val="FF6D0BED"/>
    <w:rsid w:val="FF735748"/>
    <w:rsid w:val="FF7E42ED"/>
    <w:rsid w:val="FFA69950"/>
    <w:rsid w:val="FFB6669F"/>
    <w:rsid w:val="FFF39E84"/>
    <w:rsid w:val="FFFE2D0E"/>
    <w:rsid w:val="FFFF570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qFormat="1" w:unhideWhenUsed="0" w:uiPriority="99" w:name="toc 4"/>
    <w:lsdException w:qFormat="1"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62"/>
    <w:qFormat/>
    <w:uiPriority w:val="0"/>
    <w:pPr>
      <w:keepNext/>
      <w:keepLines/>
      <w:spacing w:before="260" w:after="260" w:line="416" w:lineRule="auto"/>
      <w:outlineLvl w:val="2"/>
    </w:pPr>
    <w:rPr>
      <w:b/>
      <w:bCs/>
      <w:sz w:val="32"/>
      <w:szCs w:val="32"/>
    </w:rPr>
  </w:style>
  <w:style w:type="paragraph" w:styleId="5">
    <w:name w:val="heading 4"/>
    <w:basedOn w:val="1"/>
    <w:next w:val="6"/>
    <w:link w:val="67"/>
    <w:qFormat/>
    <w:uiPriority w:val="0"/>
    <w:pPr>
      <w:keepNext/>
      <w:keepLines/>
      <w:spacing w:before="280" w:after="290" w:line="376" w:lineRule="auto"/>
      <w:outlineLvl w:val="3"/>
    </w:pPr>
    <w:rPr>
      <w:rFonts w:ascii="Cambria" w:hAnsi="Cambria"/>
      <w:b/>
      <w:bCs/>
      <w:szCs w:val="28"/>
    </w:rPr>
  </w:style>
  <w:style w:type="paragraph" w:styleId="7">
    <w:name w:val="heading 5"/>
    <w:basedOn w:val="1"/>
    <w:next w:val="1"/>
    <w:link w:val="60"/>
    <w:qFormat/>
    <w:uiPriority w:val="0"/>
    <w:pPr>
      <w:keepNext/>
      <w:keepLines/>
      <w:spacing w:before="280" w:after="290" w:line="376" w:lineRule="auto"/>
      <w:outlineLvl w:val="4"/>
    </w:pPr>
    <w:rPr>
      <w:b/>
      <w:bCs/>
      <w:szCs w:val="28"/>
    </w:rPr>
  </w:style>
  <w:style w:type="paragraph" w:styleId="8">
    <w:name w:val="heading 6"/>
    <w:basedOn w:val="1"/>
    <w:next w:val="1"/>
    <w:link w:val="59"/>
    <w:qFormat/>
    <w:uiPriority w:val="0"/>
    <w:pPr>
      <w:keepNext/>
      <w:keepLines/>
      <w:spacing w:before="240" w:after="64" w:line="320" w:lineRule="auto"/>
      <w:outlineLvl w:val="5"/>
    </w:pPr>
    <w:rPr>
      <w:rFonts w:ascii="Cambria" w:hAnsi="Cambria"/>
      <w:b/>
      <w:bCs/>
      <w:sz w:val="24"/>
    </w:rPr>
  </w:style>
  <w:style w:type="character" w:default="1" w:styleId="41">
    <w:name w:val="Default Paragraph Font"/>
    <w:semiHidden/>
    <w:qFormat/>
    <w:uiPriority w:val="0"/>
  </w:style>
  <w:style w:type="table" w:default="1" w:styleId="39">
    <w:name w:val="Normal Table"/>
    <w:semiHidden/>
    <w:qFormat/>
    <w:uiPriority w:val="0"/>
    <w:tblPr>
      <w:tblCellMar>
        <w:top w:w="0" w:type="dxa"/>
        <w:left w:w="108" w:type="dxa"/>
        <w:bottom w:w="0" w:type="dxa"/>
        <w:right w:w="108" w:type="dxa"/>
      </w:tblCellMar>
    </w:tblPr>
  </w:style>
  <w:style w:type="paragraph" w:styleId="6">
    <w:name w:val="Plain Text"/>
    <w:basedOn w:val="1"/>
    <w:next w:val="1"/>
    <w:link w:val="61"/>
    <w:qFormat/>
    <w:uiPriority w:val="0"/>
    <w:pPr>
      <w:spacing w:beforeLines="50" w:afterLines="50" w:line="400" w:lineRule="atLeast"/>
    </w:pPr>
    <w:rPr>
      <w:rFonts w:ascii="宋体" w:hAnsi="Courier New"/>
      <w:sz w:val="24"/>
    </w:rPr>
  </w:style>
  <w:style w:type="paragraph" w:styleId="9">
    <w:name w:val="List Number"/>
    <w:basedOn w:val="1"/>
    <w:qFormat/>
    <w:uiPriority w:val="0"/>
    <w:pPr>
      <w:widowControl/>
      <w:tabs>
        <w:tab w:val="left" w:pos="454"/>
        <w:tab w:val="left" w:pos="720"/>
        <w:tab w:val="left" w:pos="900"/>
      </w:tabs>
      <w:spacing w:afterLines="50"/>
      <w:ind w:left="454" w:hanging="284"/>
      <w:jc w:val="left"/>
    </w:pPr>
    <w:rPr>
      <w:kern w:val="0"/>
      <w:sz w:val="24"/>
      <w:szCs w:val="20"/>
    </w:rPr>
  </w:style>
  <w:style w:type="paragraph" w:styleId="10">
    <w:name w:val="Normal Indent"/>
    <w:basedOn w:val="1"/>
    <w:next w:val="1"/>
    <w:qFormat/>
    <w:uiPriority w:val="0"/>
    <w:pPr>
      <w:ind w:firstLine="420"/>
    </w:pPr>
    <w:rPr>
      <w:sz w:val="21"/>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annotation text"/>
    <w:basedOn w:val="1"/>
    <w:link w:val="70"/>
    <w:qFormat/>
    <w:uiPriority w:val="0"/>
    <w:rPr>
      <w:sz w:val="20"/>
      <w:szCs w:val="20"/>
    </w:rPr>
  </w:style>
  <w:style w:type="paragraph" w:styleId="13">
    <w:name w:val="Body Text 3"/>
    <w:basedOn w:val="1"/>
    <w:qFormat/>
    <w:uiPriority w:val="0"/>
    <w:pPr>
      <w:snapToGrid w:val="0"/>
      <w:spacing w:before="50" w:after="50"/>
    </w:pPr>
    <w:rPr>
      <w:rFonts w:hAnsi="宋体" w:eastAsia="仿宋_GB2312"/>
      <w:b/>
      <w:bCs/>
      <w:sz w:val="24"/>
      <w:szCs w:val="20"/>
    </w:rPr>
  </w:style>
  <w:style w:type="paragraph" w:styleId="14">
    <w:name w:val="Body Text"/>
    <w:basedOn w:val="1"/>
    <w:next w:val="15"/>
    <w:qFormat/>
    <w:uiPriority w:val="0"/>
    <w:pPr>
      <w:spacing w:after="120"/>
    </w:pPr>
  </w:style>
  <w:style w:type="paragraph" w:styleId="15">
    <w:name w:val="toc 5"/>
    <w:basedOn w:val="1"/>
    <w:next w:val="1"/>
    <w:qFormat/>
    <w:uiPriority w:val="0"/>
    <w:pPr>
      <w:ind w:left="1680" w:leftChars="800"/>
    </w:pPr>
  </w:style>
  <w:style w:type="paragraph" w:styleId="16">
    <w:name w:val="Body Text Indent"/>
    <w:basedOn w:val="1"/>
    <w:next w:val="1"/>
    <w:link w:val="58"/>
    <w:qFormat/>
    <w:uiPriority w:val="0"/>
    <w:pPr>
      <w:spacing w:line="200" w:lineRule="atLeast"/>
      <w:ind w:firstLine="301"/>
    </w:pPr>
    <w:rPr>
      <w:rFonts w:ascii="宋体" w:hAnsi="Courier New"/>
      <w:spacing w:val="-4"/>
      <w:sz w:val="18"/>
      <w:szCs w:val="20"/>
    </w:rPr>
  </w:style>
  <w:style w:type="paragraph" w:styleId="17">
    <w:name w:val="List Number 3"/>
    <w:basedOn w:val="1"/>
    <w:qFormat/>
    <w:uiPriority w:val="0"/>
    <w:pPr>
      <w:numPr>
        <w:ilvl w:val="0"/>
        <w:numId w:val="1"/>
      </w:numPr>
      <w:tabs>
        <w:tab w:val="left" w:pos="1200"/>
      </w:tabs>
      <w:ind w:left="720"/>
    </w:pPr>
    <w:rPr>
      <w:sz w:val="21"/>
    </w:rPr>
  </w:style>
  <w:style w:type="paragraph" w:styleId="18">
    <w:name w:val="List 2"/>
    <w:basedOn w:val="1"/>
    <w:qFormat/>
    <w:uiPriority w:val="0"/>
    <w:pPr>
      <w:ind w:leftChars="200" w:hanging="200" w:hangingChars="200"/>
    </w:pPr>
  </w:style>
  <w:style w:type="paragraph" w:styleId="19">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0">
    <w:name w:val="Date"/>
    <w:basedOn w:val="1"/>
    <w:next w:val="1"/>
    <w:link w:val="64"/>
    <w:qFormat/>
    <w:uiPriority w:val="0"/>
    <w:pPr>
      <w:ind w:leftChars="2500"/>
    </w:pPr>
    <w:rPr>
      <w:rFonts w:eastAsia="楷体_GB2312"/>
      <w:sz w:val="32"/>
      <w:szCs w:val="20"/>
    </w:rPr>
  </w:style>
  <w:style w:type="paragraph" w:styleId="21">
    <w:name w:val="Body Text Indent 2"/>
    <w:basedOn w:val="1"/>
    <w:link w:val="57"/>
    <w:qFormat/>
    <w:uiPriority w:val="0"/>
    <w:pPr>
      <w:snapToGrid w:val="0"/>
      <w:ind w:firstLine="542" w:firstLineChars="225"/>
    </w:pPr>
    <w:rPr>
      <w:rFonts w:ascii="仿宋_GB2312" w:hAnsi="宋体"/>
      <w:b/>
      <w:bCs/>
      <w:color w:val="000000"/>
      <w:sz w:val="24"/>
    </w:rPr>
  </w:style>
  <w:style w:type="paragraph" w:styleId="22">
    <w:name w:val="Balloon Text"/>
    <w:basedOn w:val="1"/>
    <w:link w:val="56"/>
    <w:qFormat/>
    <w:uiPriority w:val="0"/>
    <w:rPr>
      <w:sz w:val="18"/>
      <w:szCs w:val="18"/>
    </w:rPr>
  </w:style>
  <w:style w:type="paragraph" w:styleId="23">
    <w:name w:val="footer"/>
    <w:basedOn w:val="1"/>
    <w:link w:val="69"/>
    <w:qFormat/>
    <w:uiPriority w:val="99"/>
    <w:pPr>
      <w:tabs>
        <w:tab w:val="center" w:pos="4153"/>
        <w:tab w:val="right" w:pos="8306"/>
      </w:tabs>
      <w:snapToGrid w:val="0"/>
      <w:jc w:val="left"/>
    </w:pPr>
    <w:rPr>
      <w:sz w:val="18"/>
      <w:szCs w:val="18"/>
    </w:rPr>
  </w:style>
  <w:style w:type="paragraph" w:styleId="24">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rPr>
      <w:sz w:val="21"/>
    </w:rPr>
  </w:style>
  <w:style w:type="paragraph" w:styleId="26">
    <w:name w:val="toc 4"/>
    <w:basedOn w:val="1"/>
    <w:next w:val="1"/>
    <w:semiHidden/>
    <w:qFormat/>
    <w:uiPriority w:val="99"/>
    <w:pPr>
      <w:ind w:left="630"/>
      <w:jc w:val="left"/>
    </w:pPr>
    <w:rPr>
      <w:sz w:val="18"/>
      <w:szCs w:val="18"/>
    </w:rPr>
  </w:style>
  <w:style w:type="paragraph" w:styleId="27">
    <w:name w:val="List"/>
    <w:basedOn w:val="1"/>
    <w:qFormat/>
    <w:uiPriority w:val="0"/>
    <w:pPr>
      <w:ind w:left="200" w:hanging="200" w:hangingChars="200"/>
    </w:pPr>
  </w:style>
  <w:style w:type="paragraph" w:styleId="28">
    <w:name w:val="footnote text"/>
    <w:basedOn w:val="1"/>
    <w:qFormat/>
    <w:uiPriority w:val="0"/>
    <w:pPr>
      <w:snapToGrid w:val="0"/>
      <w:jc w:val="left"/>
    </w:pPr>
    <w:rPr>
      <w:rFonts w:eastAsia="仿宋_GB2312"/>
      <w:sz w:val="18"/>
      <w:szCs w:val="20"/>
    </w:rPr>
  </w:style>
  <w:style w:type="paragraph" w:styleId="29">
    <w:name w:val="toc 6"/>
    <w:basedOn w:val="1"/>
    <w:next w:val="1"/>
    <w:qFormat/>
    <w:uiPriority w:val="39"/>
    <w:pPr>
      <w:ind w:left="2100" w:leftChars="1000"/>
    </w:pPr>
    <w:rPr>
      <w:rFonts w:ascii="Calibri" w:hAnsi="Calibri"/>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33">
    <w:name w:val="HTML Preformatted"/>
    <w:basedOn w:val="1"/>
    <w:link w:val="6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5">
    <w:name w:val="Title"/>
    <w:basedOn w:val="1"/>
    <w:next w:val="1"/>
    <w:link w:val="54"/>
    <w:qFormat/>
    <w:uiPriority w:val="0"/>
    <w:pPr>
      <w:spacing w:before="240" w:after="60"/>
      <w:jc w:val="center"/>
      <w:outlineLvl w:val="0"/>
    </w:pPr>
    <w:rPr>
      <w:rFonts w:ascii="Arial" w:hAnsi="Arial" w:cs="Arial"/>
      <w:b/>
      <w:bCs/>
      <w:sz w:val="32"/>
      <w:szCs w:val="32"/>
    </w:rPr>
  </w:style>
  <w:style w:type="paragraph" w:styleId="36">
    <w:name w:val="annotation subject"/>
    <w:basedOn w:val="12"/>
    <w:next w:val="12"/>
    <w:link w:val="53"/>
    <w:qFormat/>
    <w:uiPriority w:val="0"/>
    <w:rPr>
      <w:b/>
      <w:bCs/>
    </w:rPr>
  </w:style>
  <w:style w:type="paragraph" w:styleId="37">
    <w:name w:val="Body Text First Indent"/>
    <w:basedOn w:val="14"/>
    <w:next w:val="29"/>
    <w:unhideWhenUsed/>
    <w:qFormat/>
    <w:uiPriority w:val="99"/>
    <w:pPr>
      <w:spacing w:after="120" w:line="240" w:lineRule="auto"/>
      <w:ind w:firstLine="420" w:firstLineChars="100"/>
    </w:pPr>
    <w:rPr>
      <w:rFonts w:cs="Times New Roman"/>
    </w:rPr>
  </w:style>
  <w:style w:type="paragraph" w:styleId="38">
    <w:name w:val="Body Text First Indent 2"/>
    <w:basedOn w:val="16"/>
    <w:next w:val="1"/>
    <w:link w:val="52"/>
    <w:qFormat/>
    <w:uiPriority w:val="0"/>
    <w:pPr>
      <w:spacing w:after="120" w:line="240" w:lineRule="auto"/>
      <w:ind w:left="420" w:leftChars="200" w:firstLine="420" w:firstLineChars="200"/>
    </w:pPr>
    <w:rPr>
      <w:sz w:val="28"/>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qFormat/>
    <w:uiPriority w:val="0"/>
    <w:rPr>
      <w:sz w:val="16"/>
      <w:szCs w:val="16"/>
    </w:rPr>
  </w:style>
  <w:style w:type="character" w:styleId="47">
    <w:name w:val="footnote reference"/>
    <w:qFormat/>
    <w:uiPriority w:val="0"/>
    <w:rPr>
      <w:vertAlign w:val="superscript"/>
    </w:rPr>
  </w:style>
  <w:style w:type="character" w:customStyle="1" w:styleId="48">
    <w:name w:val="List Paragraph Char"/>
    <w:link w:val="49"/>
    <w:qFormat/>
    <w:locked/>
    <w:uiPriority w:val="0"/>
    <w:rPr>
      <w:kern w:val="2"/>
      <w:sz w:val="24"/>
      <w:szCs w:val="24"/>
    </w:rPr>
  </w:style>
  <w:style w:type="paragraph" w:customStyle="1" w:styleId="49">
    <w:name w:val="列出段落1"/>
    <w:basedOn w:val="1"/>
    <w:link w:val="48"/>
    <w:qFormat/>
    <w:uiPriority w:val="0"/>
    <w:pPr>
      <w:ind w:firstLine="420" w:firstLineChars="200"/>
    </w:pPr>
    <w:rPr>
      <w:sz w:val="24"/>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标题 2 Char"/>
    <w:qFormat/>
    <w:uiPriority w:val="0"/>
    <w:rPr>
      <w:rFonts w:ascii="Arial" w:hAnsi="Arial" w:eastAsia="黑体"/>
      <w:b/>
      <w:bCs/>
      <w:sz w:val="32"/>
      <w:szCs w:val="32"/>
      <w:lang w:val="en-US" w:eastAsia="zh-CN" w:bidi="ar-SA"/>
    </w:rPr>
  </w:style>
  <w:style w:type="character" w:customStyle="1" w:styleId="52">
    <w:name w:val="正文首行缩进 2 Char"/>
    <w:link w:val="38"/>
    <w:qFormat/>
    <w:uiPriority w:val="0"/>
    <w:rPr>
      <w:rFonts w:ascii="宋体" w:hAnsi="Courier New"/>
      <w:spacing w:val="-4"/>
      <w:kern w:val="2"/>
      <w:sz w:val="28"/>
      <w:szCs w:val="24"/>
    </w:rPr>
  </w:style>
  <w:style w:type="character" w:customStyle="1" w:styleId="53">
    <w:name w:val="批注主题 Char"/>
    <w:link w:val="36"/>
    <w:qFormat/>
    <w:uiPriority w:val="0"/>
    <w:rPr>
      <w:b/>
      <w:bCs/>
      <w:kern w:val="2"/>
      <w:lang w:val="en-US"/>
    </w:rPr>
  </w:style>
  <w:style w:type="character" w:customStyle="1" w:styleId="54">
    <w:name w:val="标题 Char"/>
    <w:link w:val="35"/>
    <w:qFormat/>
    <w:uiPriority w:val="0"/>
    <w:rPr>
      <w:rFonts w:ascii="Arial" w:hAnsi="Arial" w:eastAsia="宋体" w:cs="Arial"/>
      <w:b/>
      <w:bCs/>
      <w:kern w:val="2"/>
      <w:sz w:val="32"/>
      <w:szCs w:val="32"/>
      <w:lang w:val="en-US" w:eastAsia="zh-CN" w:bidi="ar-SA"/>
    </w:rPr>
  </w:style>
  <w:style w:type="character" w:customStyle="1" w:styleId="55">
    <w:name w:val="页眉 Char"/>
    <w:link w:val="24"/>
    <w:qFormat/>
    <w:uiPriority w:val="0"/>
    <w:rPr>
      <w:kern w:val="2"/>
      <w:sz w:val="18"/>
      <w:szCs w:val="18"/>
    </w:rPr>
  </w:style>
  <w:style w:type="character" w:customStyle="1" w:styleId="56">
    <w:name w:val="批注框文本 Char"/>
    <w:link w:val="22"/>
    <w:qFormat/>
    <w:uiPriority w:val="0"/>
    <w:rPr>
      <w:kern w:val="2"/>
      <w:sz w:val="18"/>
      <w:szCs w:val="18"/>
    </w:rPr>
  </w:style>
  <w:style w:type="character" w:customStyle="1" w:styleId="57">
    <w:name w:val="正文文本缩进 2 Char"/>
    <w:link w:val="21"/>
    <w:qFormat/>
    <w:uiPriority w:val="0"/>
    <w:rPr>
      <w:rFonts w:ascii="仿宋_GB2312" w:hAnsi="宋体" w:cs="Arial"/>
      <w:b/>
      <w:bCs/>
      <w:color w:val="000000"/>
      <w:kern w:val="2"/>
      <w:sz w:val="24"/>
      <w:szCs w:val="24"/>
    </w:rPr>
  </w:style>
  <w:style w:type="character" w:customStyle="1" w:styleId="58">
    <w:name w:val="正文文本缩进 Char"/>
    <w:link w:val="16"/>
    <w:qFormat/>
    <w:uiPriority w:val="0"/>
    <w:rPr>
      <w:rFonts w:ascii="宋体" w:hAnsi="Courier New"/>
      <w:spacing w:val="-4"/>
      <w:kern w:val="2"/>
      <w:sz w:val="18"/>
    </w:rPr>
  </w:style>
  <w:style w:type="character" w:customStyle="1" w:styleId="59">
    <w:name w:val="标题 6 Char"/>
    <w:link w:val="8"/>
    <w:semiHidden/>
    <w:qFormat/>
    <w:uiPriority w:val="0"/>
    <w:rPr>
      <w:rFonts w:ascii="Cambria" w:hAnsi="Cambria" w:eastAsia="宋体" w:cs="Times New Roman"/>
      <w:b/>
      <w:bCs/>
      <w:kern w:val="2"/>
      <w:sz w:val="24"/>
      <w:szCs w:val="24"/>
    </w:rPr>
  </w:style>
  <w:style w:type="character" w:customStyle="1" w:styleId="60">
    <w:name w:val="标题 5 Char"/>
    <w:link w:val="7"/>
    <w:semiHidden/>
    <w:qFormat/>
    <w:uiPriority w:val="0"/>
    <w:rPr>
      <w:b/>
      <w:bCs/>
      <w:kern w:val="2"/>
      <w:sz w:val="28"/>
      <w:szCs w:val="28"/>
    </w:rPr>
  </w:style>
  <w:style w:type="character" w:customStyle="1" w:styleId="61">
    <w:name w:val="纯文本 Char"/>
    <w:link w:val="6"/>
    <w:qFormat/>
    <w:uiPriority w:val="0"/>
    <w:rPr>
      <w:rFonts w:ascii="宋体" w:hAnsi="Courier New" w:eastAsia="宋体"/>
      <w:kern w:val="2"/>
      <w:sz w:val="24"/>
      <w:szCs w:val="24"/>
      <w:lang w:val="en-US" w:eastAsia="zh-CN" w:bidi="ar-SA"/>
    </w:rPr>
  </w:style>
  <w:style w:type="character" w:customStyle="1" w:styleId="62">
    <w:name w:val="标题 3 Char"/>
    <w:link w:val="4"/>
    <w:qFormat/>
    <w:uiPriority w:val="0"/>
    <w:rPr>
      <w:b/>
      <w:bCs/>
      <w:kern w:val="2"/>
      <w:sz w:val="32"/>
      <w:szCs w:val="32"/>
    </w:rPr>
  </w:style>
  <w:style w:type="character" w:customStyle="1" w:styleId="63">
    <w:name w:val="标题 2 Char1"/>
    <w:link w:val="3"/>
    <w:qFormat/>
    <w:locked/>
    <w:uiPriority w:val="0"/>
    <w:rPr>
      <w:rFonts w:ascii="Arial" w:hAnsi="Arial" w:eastAsia="黑体"/>
      <w:b/>
      <w:bCs/>
      <w:kern w:val="2"/>
      <w:sz w:val="32"/>
      <w:szCs w:val="32"/>
    </w:rPr>
  </w:style>
  <w:style w:type="character" w:customStyle="1" w:styleId="64">
    <w:name w:val="日期 Char"/>
    <w:link w:val="20"/>
    <w:qFormat/>
    <w:uiPriority w:val="0"/>
    <w:rPr>
      <w:rFonts w:eastAsia="楷体_GB2312"/>
      <w:kern w:val="2"/>
      <w:sz w:val="32"/>
    </w:rPr>
  </w:style>
  <w:style w:type="character" w:customStyle="1" w:styleId="65">
    <w:name w:val="HTML 预设格式 Char"/>
    <w:link w:val="33"/>
    <w:qFormat/>
    <w:uiPriority w:val="0"/>
    <w:rPr>
      <w:rFonts w:ascii="宋体" w:hAnsi="宋体"/>
      <w:sz w:val="24"/>
      <w:szCs w:val="24"/>
    </w:rPr>
  </w:style>
  <w:style w:type="character" w:customStyle="1" w:styleId="66">
    <w:name w:val="纯文本 Char1"/>
    <w:qFormat/>
    <w:uiPriority w:val="0"/>
    <w:rPr>
      <w:rFonts w:ascii="宋体" w:hAnsi="Courier New" w:eastAsia="宋体"/>
      <w:kern w:val="2"/>
      <w:sz w:val="24"/>
      <w:szCs w:val="24"/>
      <w:lang w:val="en-US" w:eastAsia="zh-CN" w:bidi="ar-SA"/>
    </w:rPr>
  </w:style>
  <w:style w:type="character" w:customStyle="1" w:styleId="67">
    <w:name w:val="标题 4 Char"/>
    <w:link w:val="5"/>
    <w:semiHidden/>
    <w:qFormat/>
    <w:uiPriority w:val="0"/>
    <w:rPr>
      <w:rFonts w:ascii="Cambria" w:hAnsi="Cambria" w:eastAsia="宋体" w:cs="Times New Roman"/>
      <w:b/>
      <w:bCs/>
      <w:kern w:val="2"/>
      <w:sz w:val="28"/>
      <w:szCs w:val="28"/>
    </w:rPr>
  </w:style>
  <w:style w:type="character" w:customStyle="1" w:styleId="68">
    <w:name w:val="标题 1 Char"/>
    <w:link w:val="2"/>
    <w:qFormat/>
    <w:uiPriority w:val="0"/>
    <w:rPr>
      <w:b/>
      <w:bCs/>
      <w:kern w:val="44"/>
      <w:sz w:val="44"/>
      <w:szCs w:val="44"/>
    </w:rPr>
  </w:style>
  <w:style w:type="character" w:customStyle="1" w:styleId="69">
    <w:name w:val="页脚 Char"/>
    <w:link w:val="23"/>
    <w:qFormat/>
    <w:uiPriority w:val="99"/>
    <w:rPr>
      <w:kern w:val="2"/>
      <w:sz w:val="18"/>
      <w:szCs w:val="18"/>
    </w:rPr>
  </w:style>
  <w:style w:type="character" w:customStyle="1" w:styleId="70">
    <w:name w:val="批注文字 Char"/>
    <w:link w:val="12"/>
    <w:qFormat/>
    <w:uiPriority w:val="0"/>
    <w:rPr>
      <w:kern w:val="2"/>
      <w:lang w:val="en-US"/>
    </w:rPr>
  </w:style>
  <w:style w:type="paragraph" w:customStyle="1" w:styleId="71">
    <w:name w:val="4、正文"/>
    <w:basedOn w:val="1"/>
    <w:qFormat/>
    <w:uiPriority w:val="0"/>
    <w:pPr>
      <w:ind w:firstLine="200" w:firstLineChars="200"/>
    </w:pPr>
    <w:rPr>
      <w:rFonts w:ascii="宋体"/>
      <w:sz w:val="24"/>
      <w:szCs w:val="28"/>
    </w:rPr>
  </w:style>
  <w:style w:type="paragraph" w:customStyle="1" w:styleId="7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73">
    <w:name w:val="彩色列表 - 强调文字颜色 11"/>
    <w:basedOn w:val="1"/>
    <w:qFormat/>
    <w:uiPriority w:val="34"/>
    <w:pPr>
      <w:ind w:firstLine="420" w:firstLineChars="200"/>
    </w:pPr>
  </w:style>
  <w:style w:type="paragraph" w:customStyle="1" w:styleId="74">
    <w:name w:val=" Char Char Char1"/>
    <w:basedOn w:val="1"/>
    <w:semiHidden/>
    <w:qFormat/>
    <w:uiPriority w:val="0"/>
    <w:rPr>
      <w:sz w:val="21"/>
    </w:rPr>
  </w:style>
  <w:style w:type="paragraph" w:customStyle="1" w:styleId="75">
    <w:name w:val="p0"/>
    <w:basedOn w:val="1"/>
    <w:qFormat/>
    <w:uiPriority w:val="0"/>
    <w:pPr>
      <w:widowControl/>
    </w:pPr>
    <w:rPr>
      <w:kern w:val="0"/>
      <w:szCs w:val="21"/>
    </w:rPr>
  </w:style>
  <w:style w:type="paragraph" w:customStyle="1" w:styleId="7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9">
    <w:name w:val=" Char2"/>
    <w:basedOn w:val="1"/>
    <w:next w:val="1"/>
    <w:qFormat/>
    <w:uiPriority w:val="0"/>
    <w:pPr>
      <w:spacing w:before="120" w:line="360" w:lineRule="auto"/>
      <w:ind w:firstLine="425"/>
    </w:pPr>
    <w:rPr>
      <w:sz w:val="24"/>
    </w:rPr>
  </w:style>
  <w:style w:type="paragraph" w:customStyle="1" w:styleId="8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81">
    <w:name w:val=" Char"/>
    <w:basedOn w:val="1"/>
    <w:qFormat/>
    <w:uiPriority w:val="0"/>
    <w:rPr>
      <w:sz w:val="24"/>
    </w:rPr>
  </w:style>
  <w:style w:type="paragraph" w:customStyle="1" w:styleId="8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6">
    <w:name w:val="正文段"/>
    <w:basedOn w:val="1"/>
    <w:qFormat/>
    <w:uiPriority w:val="0"/>
    <w:pPr>
      <w:widowControl/>
      <w:snapToGrid w:val="0"/>
      <w:spacing w:afterLines="50"/>
      <w:ind w:firstLine="200" w:firstLineChars="200"/>
    </w:pPr>
    <w:rPr>
      <w:kern w:val="0"/>
      <w:sz w:val="24"/>
      <w:szCs w:val="20"/>
    </w:rPr>
  </w:style>
  <w:style w:type="paragraph" w:styleId="87">
    <w:name w:val="List Paragraph"/>
    <w:basedOn w:val="1"/>
    <w:qFormat/>
    <w:uiPriority w:val="99"/>
    <w:pPr>
      <w:ind w:firstLine="420" w:firstLineChars="200"/>
    </w:pPr>
    <w:rPr>
      <w:rFonts w:ascii="Calibri" w:hAnsi="Calibri"/>
      <w:szCs w:val="22"/>
    </w:rPr>
  </w:style>
  <w:style w:type="paragraph" w:customStyle="1" w:styleId="88">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8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首行缩进2字符"/>
    <w:basedOn w:val="1"/>
    <w:qFormat/>
    <w:uiPriority w:val="99"/>
    <w:pPr>
      <w:spacing w:line="360" w:lineRule="auto"/>
      <w:ind w:firstLine="200" w:firstLineChars="200"/>
    </w:pPr>
    <w:rPr>
      <w:sz w:val="24"/>
      <w:szCs w:val="20"/>
    </w:rPr>
  </w:style>
  <w:style w:type="paragraph" w:customStyle="1" w:styleId="9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93">
    <w:name w:val=" Char1"/>
    <w:basedOn w:val="1"/>
    <w:qFormat/>
    <w:uiPriority w:val="0"/>
    <w:pPr>
      <w:jc w:val="center"/>
    </w:pPr>
    <w:rPr>
      <w:rFonts w:ascii="仿宋_GB2312" w:eastAsia="仿宋_GB2312"/>
      <w:b/>
      <w:kern w:val="0"/>
      <w:sz w:val="32"/>
      <w:szCs w:val="32"/>
      <w:lang w:val="en-GB"/>
    </w:rPr>
  </w:style>
  <w:style w:type="paragraph" w:customStyle="1" w:styleId="94">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95">
    <w:name w:val="Char"/>
    <w:basedOn w:val="1"/>
    <w:qFormat/>
    <w:uiPriority w:val="0"/>
    <w:rPr>
      <w:sz w:val="21"/>
    </w:rPr>
  </w:style>
  <w:style w:type="paragraph" w:customStyle="1" w:styleId="96">
    <w:name w:val="*正文"/>
    <w:basedOn w:val="1"/>
    <w:qFormat/>
    <w:uiPriority w:val="0"/>
    <w:pPr>
      <w:spacing w:line="360" w:lineRule="auto"/>
      <w:ind w:firstLine="200" w:firstLineChars="200"/>
      <w:jc w:val="left"/>
    </w:pPr>
    <w:rPr>
      <w:rFonts w:ascii="宋体" w:hAnsi="宋体"/>
      <w:sz w:val="24"/>
    </w:rPr>
  </w:style>
  <w:style w:type="paragraph" w:customStyle="1" w:styleId="97">
    <w:name w:val="_Style 96"/>
    <w:semiHidden/>
    <w:qFormat/>
    <w:uiPriority w:val="99"/>
    <w:rPr>
      <w:rFonts w:ascii="Times New Roman" w:hAnsi="Times New Roman" w:eastAsia="宋体" w:cs="Times New Roman"/>
      <w:kern w:val="2"/>
      <w:sz w:val="28"/>
      <w:szCs w:val="24"/>
      <w:lang w:val="en-US" w:eastAsia="zh-CN" w:bidi="ar-SA"/>
    </w:rPr>
  </w:style>
  <w:style w:type="paragraph" w:customStyle="1" w:styleId="98">
    <w:name w:val="List Paragraph1"/>
    <w:basedOn w:val="1"/>
    <w:qFormat/>
    <w:uiPriority w:val="0"/>
    <w:pPr>
      <w:ind w:firstLine="420" w:firstLineChars="200"/>
    </w:pPr>
    <w:rPr>
      <w:sz w:val="21"/>
    </w:rPr>
  </w:style>
  <w:style w:type="paragraph" w:customStyle="1" w:styleId="9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标准正文"/>
    <w:basedOn w:val="1"/>
    <w:qFormat/>
    <w:uiPriority w:val="0"/>
    <w:pPr>
      <w:spacing w:after="156" w:afterLines="50"/>
      <w:ind w:firstLine="200" w:firstLineChars="200"/>
    </w:pPr>
    <w:rPr>
      <w:sz w:val="24"/>
      <w:szCs w:val="21"/>
    </w:rPr>
  </w:style>
  <w:style w:type="paragraph" w:customStyle="1" w:styleId="101">
    <w:name w:val="列出段落2"/>
    <w:basedOn w:val="1"/>
    <w:qFormat/>
    <w:uiPriority w:val="99"/>
    <w:pPr>
      <w:spacing w:before="100" w:line="500" w:lineRule="exact"/>
      <w:ind w:firstLine="420" w:firstLineChars="200"/>
    </w:pPr>
    <w:rPr>
      <w:rFonts w:ascii="宋体" w:hAnsi="宋体" w:eastAsia="宋体"/>
      <w:kern w:val="0"/>
      <w:sz w:val="20"/>
      <w:szCs w:val="20"/>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无间隔1"/>
    <w:qFormat/>
    <w:uiPriority w:val="99"/>
    <w:pPr>
      <w:adjustRightInd w:val="0"/>
      <w:snapToGrid w:val="0"/>
    </w:pPr>
    <w:rPr>
      <w:rFonts w:ascii="Tahoma" w:hAnsi="Tahoma" w:eastAsia="微软雅黑" w:cs="宋体"/>
      <w:sz w:val="22"/>
      <w:szCs w:val="22"/>
      <w:lang w:val="en-US" w:eastAsia="zh-CN" w:bidi="ar-SA"/>
    </w:rPr>
  </w:style>
  <w:style w:type="paragraph" w:customStyle="1" w:styleId="104">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05">
    <w:name w:val="正文（段落）"/>
    <w:basedOn w:val="1"/>
    <w:qFormat/>
    <w:uiPriority w:val="0"/>
    <w:pPr>
      <w:spacing w:before="100" w:after="100" w:line="360" w:lineRule="atLeast"/>
      <w:ind w:firstLine="480" w:firstLineChars="200"/>
      <w:jc w:val="left"/>
    </w:pPr>
    <w:rPr>
      <w:color w:val="000000"/>
      <w:sz w:val="24"/>
    </w:rPr>
  </w:style>
  <w:style w:type="paragraph" w:customStyle="1" w:styleId="106">
    <w:name w:val="Table Paragraph"/>
    <w:basedOn w:val="1"/>
    <w:qFormat/>
    <w:uiPriority w:val="1"/>
    <w:rPr>
      <w:rFonts w:ascii="宋体" w:hAnsi="宋体" w:cs="宋体"/>
    </w:rPr>
  </w:style>
  <w:style w:type="paragraph" w:customStyle="1" w:styleId="10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8">
    <w:name w:val="列表段落1"/>
    <w:basedOn w:val="1"/>
    <w:qFormat/>
    <w:uiPriority w:val="34"/>
    <w:pPr>
      <w:ind w:firstLine="420" w:firstLineChars="200"/>
    </w:pPr>
    <w:rPr>
      <w:sz w:val="21"/>
    </w:rPr>
  </w:style>
  <w:style w:type="paragraph" w:customStyle="1" w:styleId="109">
    <w:name w:val="tytytyty"/>
    <w:basedOn w:val="1"/>
    <w:qFormat/>
    <w:uiPriority w:val="0"/>
    <w:pPr>
      <w:spacing w:line="360" w:lineRule="auto"/>
      <w:ind w:left="359" w:leftChars="17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Company>
  <Pages>57</Pages>
  <Words>27043</Words>
  <Characters>27627</Characters>
  <Lines>137</Lines>
  <Paragraphs>38</Paragraphs>
  <TotalTime>7</TotalTime>
  <ScaleCrop>false</ScaleCrop>
  <LinksUpToDate>false</LinksUpToDate>
  <CharactersWithSpaces>28515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2019-09-15T02:10:00Z</dcterms:created>
  <dc:creator>费国炎</dc:creator>
  <cp:lastModifiedBy>admin</cp:lastModifiedBy>
  <cp:lastPrinted>2024-06-02T07:22:00Z</cp:lastPrinted>
  <dcterms:modified xsi:type="dcterms:W3CDTF">2025-06-20T08:10:54Z</dcterms:modified>
  <dc:title>浙江省政府采购招标文件（范本）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A346BCA6B34647E7AB992CF6EAD005FD_13</vt:lpwstr>
  </property>
  <property fmtid="{D5CDD505-2E9C-101B-9397-08002B2CF9AE}" pid="4" name="commondata">
    <vt:lpwstr>eyJoZGlkIjoiNmE1YjI5NjI4ODRjMjczZTJlYTk2NTYyNTg3ZjMwZTYifQ==</vt:lpwstr>
  </property>
</Properties>
</file>