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DA9C7B0">
      <w:pPr>
        <w:rPr>
          <w:rFonts w:hint="eastAsia" w:ascii="宋体" w:hAnsi="宋体" w:eastAsia="宋体" w:cs="宋体"/>
          <w:color w:val="auto"/>
          <w:highlight w:val="none"/>
        </w:rPr>
      </w:pPr>
    </w:p>
    <w:p w14:paraId="336DEE03">
      <w:pPr>
        <w:pStyle w:val="9"/>
        <w:jc w:val="center"/>
        <w:rPr>
          <w:rFonts w:hint="eastAsia" w:ascii="宋体" w:hAnsi="宋体" w:eastAsia="宋体" w:cs="宋体"/>
          <w:color w:val="auto"/>
          <w:highlight w:val="none"/>
        </w:rPr>
      </w:pPr>
      <w:r>
        <w:rPr>
          <w:rFonts w:hint="eastAsia" w:ascii="宋体" w:hAnsi="宋体" w:eastAsia="宋体" w:cs="宋体"/>
          <w:color w:val="auto"/>
          <w:highlight w:val="none"/>
        </w:rPr>
        <w:drawing>
          <wp:anchor distT="0" distB="0" distL="0" distR="0" simplePos="0" relativeHeight="251659264" behindDoc="1" locked="0" layoutInCell="1" allowOverlap="1">
            <wp:simplePos x="0" y="0"/>
            <wp:positionH relativeFrom="column">
              <wp:posOffset>239395</wp:posOffset>
            </wp:positionH>
            <wp:positionV relativeFrom="paragraph">
              <wp:posOffset>194945</wp:posOffset>
            </wp:positionV>
            <wp:extent cx="5488940" cy="2279015"/>
            <wp:effectExtent l="0" t="0" r="0" b="6985"/>
            <wp:wrapTight wrapText="bothSides">
              <wp:wrapPolygon>
                <wp:start x="7946" y="0"/>
                <wp:lineTo x="7696" y="602"/>
                <wp:lineTo x="7596" y="1204"/>
                <wp:lineTo x="7596" y="12879"/>
                <wp:lineTo x="8546" y="13481"/>
                <wp:lineTo x="10795" y="13481"/>
                <wp:lineTo x="0" y="15889"/>
                <wp:lineTo x="0" y="17333"/>
                <wp:lineTo x="10795" y="17333"/>
                <wp:lineTo x="7696" y="18296"/>
                <wp:lineTo x="7197" y="18537"/>
                <wp:lineTo x="7047" y="19740"/>
                <wp:lineTo x="6947" y="21305"/>
                <wp:lineTo x="7097" y="21425"/>
                <wp:lineTo x="7497" y="21425"/>
                <wp:lineTo x="13644" y="21425"/>
                <wp:lineTo x="14493" y="21425"/>
                <wp:lineTo x="14743" y="21305"/>
                <wp:lineTo x="14693" y="18657"/>
                <wp:lineTo x="14293" y="18416"/>
                <wp:lineTo x="10795" y="17333"/>
                <wp:lineTo x="21540" y="17333"/>
                <wp:lineTo x="21540" y="15889"/>
                <wp:lineTo x="17892" y="15166"/>
                <wp:lineTo x="16143" y="14685"/>
                <wp:lineTo x="10795" y="13481"/>
                <wp:lineTo x="12944" y="13481"/>
                <wp:lineTo x="13994" y="12879"/>
                <wp:lineTo x="13994" y="1444"/>
                <wp:lineTo x="13844" y="602"/>
                <wp:lineTo x="13594" y="0"/>
                <wp:lineTo x="7946" y="0"/>
              </wp:wrapPolygon>
            </wp:wrapTight>
            <wp:docPr id="5" name="图片 0" descr="永安A4封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永安A4封面.png"/>
                    <pic:cNvPicPr>
                      <a:picLocks noChangeAspect="1"/>
                    </pic:cNvPicPr>
                  </pic:nvPicPr>
                  <pic:blipFill>
                    <a:blip r:embed="rId10" cstate="print"/>
                    <a:stretch>
                      <a:fillRect/>
                    </a:stretch>
                  </pic:blipFill>
                  <pic:spPr>
                    <a:xfrm>
                      <a:off x="0" y="0"/>
                      <a:ext cx="5488940" cy="2279015"/>
                    </a:xfrm>
                    <a:prstGeom prst="rect">
                      <a:avLst/>
                    </a:prstGeom>
                  </pic:spPr>
                </pic:pic>
              </a:graphicData>
            </a:graphic>
          </wp:anchor>
        </w:drawing>
      </w:r>
    </w:p>
    <w:p w14:paraId="10F09FA4">
      <w:pPr>
        <w:pStyle w:val="9"/>
        <w:jc w:val="center"/>
        <w:rPr>
          <w:rFonts w:hint="eastAsia" w:ascii="宋体" w:hAnsi="宋体" w:eastAsia="宋体" w:cs="宋体"/>
          <w:color w:val="auto"/>
          <w:highlight w:val="none"/>
        </w:rPr>
      </w:pPr>
    </w:p>
    <w:p w14:paraId="24C259F2">
      <w:pPr>
        <w:pStyle w:val="9"/>
        <w:jc w:val="center"/>
        <w:rPr>
          <w:rFonts w:hint="eastAsia" w:ascii="宋体" w:hAnsi="宋体" w:eastAsia="宋体" w:cs="宋体"/>
          <w:color w:val="auto"/>
          <w:highlight w:val="none"/>
        </w:rPr>
      </w:pPr>
    </w:p>
    <w:p w14:paraId="0E7CF4A8">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 xml:space="preserve"> </w:t>
      </w:r>
    </w:p>
    <w:p w14:paraId="0F681BEB">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84"/>
          <w:szCs w:val="84"/>
          <w:highlight w:val="none"/>
        </w:rPr>
      </w:pPr>
    </w:p>
    <w:p w14:paraId="69BACE8E">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rPr>
          <w:rFonts w:hint="eastAsia" w:ascii="宋体" w:hAnsi="宋体" w:eastAsia="宋体" w:cs="宋体"/>
          <w:b/>
          <w:color w:val="auto"/>
          <w:kern w:val="0"/>
          <w:sz w:val="72"/>
          <w:szCs w:val="72"/>
          <w:highlight w:val="none"/>
        </w:rPr>
      </w:pPr>
    </w:p>
    <w:p w14:paraId="1D8D2FC1">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rPr>
      </w:pPr>
      <w:r>
        <w:rPr>
          <w:rFonts w:hint="eastAsia" w:ascii="宋体" w:hAnsi="宋体" w:eastAsia="宋体" w:cs="宋体"/>
          <w:b/>
          <w:color w:val="auto"/>
          <w:kern w:val="0"/>
          <w:sz w:val="72"/>
          <w:szCs w:val="72"/>
          <w:highlight w:val="none"/>
        </w:rPr>
        <w:t xml:space="preserve">   政府采购招标文件</w:t>
      </w:r>
    </w:p>
    <w:p w14:paraId="2C654563">
      <w:pPr>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32"/>
          <w:szCs w:val="32"/>
          <w:highlight w:val="none"/>
        </w:rPr>
        <w:t>（电子招投标方式）</w:t>
      </w:r>
    </w:p>
    <w:p w14:paraId="74164E67">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tzya2025-hy35</w:t>
      </w:r>
      <w:r>
        <w:rPr>
          <w:rFonts w:hint="eastAsia" w:ascii="宋体" w:hAnsi="宋体" w:eastAsia="宋体" w:cs="宋体"/>
          <w:color w:val="auto"/>
          <w:kern w:val="0"/>
          <w:sz w:val="28"/>
          <w:szCs w:val="28"/>
          <w:highlight w:val="none"/>
          <w:u w:val="single"/>
        </w:rPr>
        <w:t xml:space="preserve"> </w:t>
      </w:r>
    </w:p>
    <w:p w14:paraId="55D0FF2C">
      <w:pPr>
        <w:pStyle w:val="9"/>
        <w:jc w:val="center"/>
        <w:rPr>
          <w:rFonts w:hint="eastAsia" w:ascii="宋体" w:hAnsi="宋体" w:eastAsia="宋体" w:cs="宋体"/>
          <w:color w:val="auto"/>
          <w:highlight w:val="none"/>
        </w:rPr>
      </w:pPr>
    </w:p>
    <w:p w14:paraId="2B0AE617">
      <w:pPr>
        <w:pStyle w:val="9"/>
        <w:jc w:val="center"/>
        <w:rPr>
          <w:rFonts w:hint="eastAsia" w:ascii="宋体" w:hAnsi="宋体" w:eastAsia="宋体" w:cs="宋体"/>
          <w:color w:val="auto"/>
          <w:highlight w:val="none"/>
        </w:rPr>
      </w:pPr>
    </w:p>
    <w:p w14:paraId="5D65B1F8">
      <w:pPr>
        <w:spacing w:line="360" w:lineRule="auto"/>
        <w:ind w:left="1405" w:hanging="1405" w:hangingChars="500"/>
        <w:jc w:val="center"/>
        <w:rPr>
          <w:rFonts w:hint="eastAsia" w:ascii="宋体" w:hAnsi="宋体" w:eastAsia="宋体" w:cs="宋体"/>
          <w:color w:val="auto"/>
          <w:highlight w:val="non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黄岩区抗战时期中共黄岩县委机关旧址、岱石庙、铁米筛井省级文保单位消防项目</w:t>
      </w:r>
    </w:p>
    <w:p w14:paraId="2264523B">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台州市黄岩区博物馆</w:t>
      </w:r>
    </w:p>
    <w:p w14:paraId="0920EE1E">
      <w:pPr>
        <w:pStyle w:val="9"/>
        <w:rPr>
          <w:rFonts w:hint="eastAsia" w:ascii="宋体" w:hAnsi="宋体" w:eastAsia="宋体" w:cs="宋体"/>
          <w:color w:val="auto"/>
          <w:highlight w:val="none"/>
        </w:rPr>
      </w:pPr>
    </w:p>
    <w:p w14:paraId="5A8C99E7">
      <w:pPr>
        <w:pStyle w:val="9"/>
        <w:rPr>
          <w:rFonts w:hint="eastAsia" w:ascii="宋体" w:hAnsi="宋体" w:eastAsia="宋体" w:cs="宋体"/>
          <w:color w:val="auto"/>
          <w:highlight w:val="none"/>
        </w:rPr>
      </w:pPr>
    </w:p>
    <w:p w14:paraId="6E35E39C">
      <w:pPr>
        <w:pStyle w:val="9"/>
        <w:rPr>
          <w:rFonts w:hint="eastAsia" w:ascii="宋体" w:hAnsi="宋体" w:eastAsia="宋体" w:cs="宋体"/>
          <w:color w:val="auto"/>
          <w:highlight w:val="none"/>
        </w:rPr>
      </w:pPr>
    </w:p>
    <w:p w14:paraId="22B6FB7C">
      <w:pPr>
        <w:spacing w:line="360" w:lineRule="auto"/>
        <w:ind w:firstLine="1405" w:firstLineChars="500"/>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rPr>
        <w:t>台州永安工程咨询有限公司</w:t>
      </w:r>
    </w:p>
    <w:p w14:paraId="1D691448">
      <w:pPr>
        <w:pStyle w:val="9"/>
        <w:rPr>
          <w:rFonts w:hint="eastAsia" w:ascii="宋体" w:hAnsi="宋体" w:eastAsia="宋体" w:cs="宋体"/>
          <w:color w:val="auto"/>
          <w:highlight w:val="none"/>
        </w:rPr>
      </w:pPr>
    </w:p>
    <w:p w14:paraId="7D163FAD">
      <w:pPr>
        <w:pStyle w:val="9"/>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 w:val="28"/>
          <w:szCs w:val="28"/>
          <w:highlight w:val="none"/>
          <w:lang w:eastAsia="zh-CN"/>
        </w:rPr>
        <w:t>二○二五年六月</w:t>
      </w:r>
    </w:p>
    <w:p w14:paraId="373DC45F">
      <w:pPr>
        <w:pStyle w:val="9"/>
        <w:jc w:val="center"/>
        <w:rPr>
          <w:rFonts w:hint="eastAsia" w:ascii="宋体" w:hAnsi="宋体" w:eastAsia="宋体" w:cs="宋体"/>
          <w:color w:val="auto"/>
          <w:kern w:val="0"/>
          <w:szCs w:val="21"/>
          <w:highlight w:val="none"/>
        </w:rPr>
      </w:pPr>
    </w:p>
    <w:p w14:paraId="4F7BB8C9">
      <w:pPr>
        <w:pStyle w:val="9"/>
        <w:rPr>
          <w:rFonts w:hint="eastAsia" w:ascii="宋体" w:hAnsi="宋体" w:eastAsia="宋体" w:cs="宋体"/>
          <w:color w:val="auto"/>
          <w:highlight w:val="none"/>
        </w:rPr>
      </w:pPr>
    </w:p>
    <w:p w14:paraId="1CA2461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  录</w:t>
      </w:r>
    </w:p>
    <w:p w14:paraId="17704CFB">
      <w:pPr>
        <w:spacing w:line="360" w:lineRule="auto"/>
        <w:rPr>
          <w:rFonts w:hint="eastAsia" w:ascii="宋体" w:hAnsi="宋体" w:eastAsia="宋体" w:cs="宋体"/>
          <w:color w:val="auto"/>
          <w:sz w:val="28"/>
          <w:szCs w:val="28"/>
          <w:highlight w:val="none"/>
        </w:rPr>
      </w:pPr>
    </w:p>
    <w:p w14:paraId="42569FA1">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38AE85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2575954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29DA792A">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1A6BA7C8">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691DE8E5">
      <w:pPr>
        <w:numPr>
          <w:ilvl w:val="0"/>
          <w:numId w:val="2"/>
        </w:numPr>
        <w:spacing w:line="360" w:lineRule="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5740EEF0">
      <w:pPr>
        <w:pStyle w:val="9"/>
        <w:jc w:val="center"/>
        <w:rPr>
          <w:rFonts w:hint="eastAsia" w:ascii="宋体" w:hAnsi="宋体" w:eastAsia="宋体" w:cs="宋体"/>
          <w:color w:val="auto"/>
          <w:highlight w:val="none"/>
        </w:rPr>
      </w:pPr>
    </w:p>
    <w:p w14:paraId="5BD37258">
      <w:pPr>
        <w:pStyle w:val="9"/>
        <w:jc w:val="center"/>
        <w:rPr>
          <w:rFonts w:hint="eastAsia" w:ascii="宋体" w:hAnsi="宋体" w:eastAsia="宋体" w:cs="宋体"/>
          <w:color w:val="auto"/>
          <w:highlight w:val="none"/>
        </w:rPr>
      </w:pPr>
    </w:p>
    <w:p w14:paraId="32CC38BE">
      <w:pPr>
        <w:pStyle w:val="9"/>
        <w:jc w:val="center"/>
        <w:rPr>
          <w:rFonts w:hint="eastAsia" w:ascii="宋体" w:hAnsi="宋体" w:eastAsia="宋体" w:cs="宋体"/>
          <w:color w:val="auto"/>
          <w:highlight w:val="none"/>
        </w:rPr>
      </w:pPr>
    </w:p>
    <w:p w14:paraId="751D67BC">
      <w:pPr>
        <w:pStyle w:val="9"/>
        <w:jc w:val="center"/>
        <w:rPr>
          <w:rFonts w:hint="eastAsia" w:ascii="宋体" w:hAnsi="宋体" w:eastAsia="宋体" w:cs="宋体"/>
          <w:color w:val="auto"/>
          <w:highlight w:val="none"/>
        </w:rPr>
      </w:pPr>
    </w:p>
    <w:p w14:paraId="47A052E8">
      <w:pPr>
        <w:pStyle w:val="9"/>
        <w:jc w:val="center"/>
        <w:rPr>
          <w:rFonts w:hint="eastAsia" w:ascii="宋体" w:hAnsi="宋体" w:eastAsia="宋体" w:cs="宋体"/>
          <w:color w:val="auto"/>
          <w:highlight w:val="none"/>
        </w:rPr>
      </w:pPr>
    </w:p>
    <w:p w14:paraId="693693B4">
      <w:pPr>
        <w:pStyle w:val="9"/>
        <w:jc w:val="center"/>
        <w:rPr>
          <w:rFonts w:hint="eastAsia" w:ascii="宋体" w:hAnsi="宋体" w:eastAsia="宋体" w:cs="宋体"/>
          <w:color w:val="auto"/>
          <w:highlight w:val="none"/>
        </w:rPr>
      </w:pPr>
    </w:p>
    <w:p w14:paraId="7B6C1468">
      <w:pPr>
        <w:pStyle w:val="9"/>
        <w:jc w:val="center"/>
        <w:rPr>
          <w:rFonts w:hint="eastAsia" w:ascii="宋体" w:hAnsi="宋体" w:eastAsia="宋体" w:cs="宋体"/>
          <w:color w:val="auto"/>
          <w:highlight w:val="none"/>
        </w:rPr>
      </w:pPr>
    </w:p>
    <w:p w14:paraId="7FC52508">
      <w:pPr>
        <w:pStyle w:val="9"/>
        <w:jc w:val="center"/>
        <w:rPr>
          <w:rFonts w:hint="eastAsia" w:ascii="宋体" w:hAnsi="宋体" w:eastAsia="宋体" w:cs="宋体"/>
          <w:color w:val="auto"/>
          <w:highlight w:val="none"/>
        </w:rPr>
      </w:pPr>
    </w:p>
    <w:p w14:paraId="37078784">
      <w:pPr>
        <w:pStyle w:val="9"/>
        <w:jc w:val="center"/>
        <w:rPr>
          <w:rFonts w:hint="eastAsia" w:ascii="宋体" w:hAnsi="宋体" w:eastAsia="宋体" w:cs="宋体"/>
          <w:color w:val="auto"/>
          <w:highlight w:val="none"/>
        </w:rPr>
      </w:pPr>
    </w:p>
    <w:p w14:paraId="0DF4A38E">
      <w:pPr>
        <w:pStyle w:val="9"/>
        <w:jc w:val="center"/>
        <w:rPr>
          <w:rFonts w:hint="eastAsia" w:ascii="宋体" w:hAnsi="宋体" w:eastAsia="宋体" w:cs="宋体"/>
          <w:color w:val="auto"/>
          <w:highlight w:val="none"/>
        </w:rPr>
      </w:pPr>
    </w:p>
    <w:p w14:paraId="7E38BE87">
      <w:pPr>
        <w:pStyle w:val="9"/>
        <w:jc w:val="center"/>
        <w:rPr>
          <w:rFonts w:hint="eastAsia" w:ascii="宋体" w:hAnsi="宋体" w:eastAsia="宋体" w:cs="宋体"/>
          <w:color w:val="auto"/>
          <w:highlight w:val="none"/>
        </w:rPr>
      </w:pPr>
    </w:p>
    <w:p w14:paraId="64FAA337">
      <w:pPr>
        <w:pStyle w:val="9"/>
        <w:jc w:val="center"/>
        <w:rPr>
          <w:rFonts w:hint="eastAsia" w:ascii="宋体" w:hAnsi="宋体" w:eastAsia="宋体" w:cs="宋体"/>
          <w:color w:val="auto"/>
          <w:highlight w:val="none"/>
        </w:rPr>
      </w:pPr>
    </w:p>
    <w:p w14:paraId="14B32ADF">
      <w:pPr>
        <w:pStyle w:val="9"/>
        <w:jc w:val="center"/>
        <w:rPr>
          <w:rFonts w:hint="eastAsia" w:ascii="宋体" w:hAnsi="宋体" w:eastAsia="宋体" w:cs="宋体"/>
          <w:color w:val="auto"/>
          <w:highlight w:val="none"/>
        </w:rPr>
      </w:pPr>
    </w:p>
    <w:p w14:paraId="5640F88D">
      <w:pPr>
        <w:pStyle w:val="9"/>
        <w:jc w:val="center"/>
        <w:rPr>
          <w:rFonts w:hint="eastAsia" w:ascii="宋体" w:hAnsi="宋体" w:eastAsia="宋体" w:cs="宋体"/>
          <w:color w:val="auto"/>
          <w:highlight w:val="none"/>
        </w:rPr>
      </w:pPr>
    </w:p>
    <w:p w14:paraId="19502F5D">
      <w:pPr>
        <w:pStyle w:val="9"/>
        <w:jc w:val="center"/>
        <w:rPr>
          <w:rFonts w:hint="eastAsia" w:ascii="宋体" w:hAnsi="宋体" w:eastAsia="宋体" w:cs="宋体"/>
          <w:color w:val="auto"/>
          <w:highlight w:val="none"/>
        </w:rPr>
      </w:pPr>
    </w:p>
    <w:p w14:paraId="75350A43">
      <w:pPr>
        <w:pStyle w:val="9"/>
        <w:jc w:val="center"/>
        <w:rPr>
          <w:rFonts w:hint="eastAsia" w:ascii="宋体" w:hAnsi="宋体" w:eastAsia="宋体" w:cs="宋体"/>
          <w:color w:val="auto"/>
          <w:highlight w:val="none"/>
        </w:rPr>
      </w:pPr>
    </w:p>
    <w:p w14:paraId="0B4F214F">
      <w:pPr>
        <w:pStyle w:val="9"/>
        <w:jc w:val="center"/>
        <w:rPr>
          <w:rFonts w:hint="eastAsia" w:ascii="宋体" w:hAnsi="宋体" w:eastAsia="宋体" w:cs="宋体"/>
          <w:color w:val="auto"/>
          <w:highlight w:val="none"/>
        </w:rPr>
      </w:pPr>
    </w:p>
    <w:p w14:paraId="5EA91CF4">
      <w:pPr>
        <w:pStyle w:val="9"/>
        <w:rPr>
          <w:rFonts w:hint="eastAsia" w:ascii="宋体" w:hAnsi="宋体" w:eastAsia="宋体" w:cs="宋体"/>
          <w:color w:val="auto"/>
          <w:highlight w:val="none"/>
        </w:rPr>
      </w:pPr>
    </w:p>
    <w:p w14:paraId="7DAED9A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02AE196F">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根据《中华人民共和国政府采购法》、《中华人民共和国政府采购法实施条例》和财政部令第87号《政府采购货物和服务招标投标管理办法》等有关规定, 受</w:t>
      </w:r>
      <w:r>
        <w:rPr>
          <w:rFonts w:hint="eastAsia" w:ascii="宋体" w:hAnsi="宋体" w:cs="宋体"/>
          <w:b/>
          <w:bCs/>
          <w:color w:val="auto"/>
          <w:szCs w:val="21"/>
          <w:highlight w:val="none"/>
          <w:lang w:eastAsia="zh-CN"/>
        </w:rPr>
        <w:t>台州市黄岩区博物馆</w:t>
      </w:r>
      <w:r>
        <w:rPr>
          <w:rFonts w:hint="eastAsia" w:ascii="宋体" w:hAnsi="宋体" w:eastAsia="宋体" w:cs="宋体"/>
          <w:color w:val="auto"/>
          <w:szCs w:val="21"/>
          <w:highlight w:val="none"/>
        </w:rPr>
        <w:t>委托，现就其</w:t>
      </w:r>
      <w:r>
        <w:rPr>
          <w:rFonts w:hint="eastAsia" w:ascii="宋体" w:hAnsi="宋体" w:cs="宋体"/>
          <w:b/>
          <w:bCs/>
          <w:color w:val="auto"/>
          <w:szCs w:val="21"/>
          <w:highlight w:val="none"/>
          <w:lang w:eastAsia="zh-CN"/>
        </w:rPr>
        <w:t>黄岩区抗战时期中共黄岩县委机关旧址、岱石庙、铁米筛井省级文保单位消防项目</w:t>
      </w:r>
      <w:r>
        <w:rPr>
          <w:rFonts w:hint="eastAsia" w:ascii="宋体" w:hAnsi="宋体" w:eastAsia="宋体" w:cs="宋体"/>
          <w:color w:val="auto"/>
          <w:szCs w:val="21"/>
          <w:highlight w:val="none"/>
        </w:rPr>
        <w:t>进行公开招标采购，欢迎合格供应商前来投标。</w:t>
      </w:r>
    </w:p>
    <w:p w14:paraId="1F5858C5">
      <w:pPr>
        <w:spacing w:line="360" w:lineRule="auto"/>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rPr>
        <w:t>一、项目编号：</w:t>
      </w:r>
      <w:r>
        <w:rPr>
          <w:rFonts w:hint="eastAsia" w:ascii="宋体" w:hAnsi="宋体" w:cs="宋体"/>
          <w:b/>
          <w:bCs/>
          <w:color w:val="auto"/>
          <w:szCs w:val="21"/>
          <w:highlight w:val="none"/>
          <w:lang w:eastAsia="zh-CN"/>
        </w:rPr>
        <w:t>tzya2025-hy35</w:t>
      </w:r>
    </w:p>
    <w:p w14:paraId="5DEC5E03">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二、招标项目概况：</w:t>
      </w:r>
      <w:bookmarkStart w:id="1" w:name="_GoBack"/>
      <w:bookmarkEnd w:id="1"/>
    </w:p>
    <w:tbl>
      <w:tblPr>
        <w:tblStyle w:val="23"/>
        <w:tblW w:w="85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2487"/>
        <w:gridCol w:w="1541"/>
        <w:gridCol w:w="762"/>
        <w:gridCol w:w="813"/>
        <w:gridCol w:w="1150"/>
        <w:gridCol w:w="1069"/>
      </w:tblGrid>
      <w:tr w14:paraId="6C96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747" w:type="dxa"/>
            <w:vAlign w:val="center"/>
          </w:tcPr>
          <w:p w14:paraId="620B62FE">
            <w:pPr>
              <w:tabs>
                <w:tab w:val="left" w:pos="8280"/>
              </w:tabs>
              <w:autoSpaceDE w:val="0"/>
              <w:autoSpaceDN w:val="0"/>
              <w:adjustRightInd w:val="0"/>
              <w:ind w:right="25"/>
              <w:jc w:val="center"/>
              <w:rPr>
                <w:rFonts w:hint="eastAsia" w:ascii="宋体" w:hAnsi="宋体" w:eastAsia="宋体" w:cs="宋体"/>
                <w:b/>
                <w:color w:val="auto"/>
                <w:szCs w:val="21"/>
                <w:highlight w:val="none"/>
              </w:rPr>
            </w:pPr>
            <w:bookmarkStart w:id="0" w:name="EBc3c9f0bc06b6413d849824fe98ba274c"/>
            <w:r>
              <w:rPr>
                <w:rFonts w:hint="eastAsia" w:ascii="宋体" w:hAnsi="宋体" w:eastAsia="宋体" w:cs="宋体"/>
                <w:b/>
                <w:color w:val="auto"/>
                <w:szCs w:val="21"/>
                <w:highlight w:val="none"/>
              </w:rPr>
              <w:t>序号</w:t>
            </w:r>
          </w:p>
        </w:tc>
        <w:tc>
          <w:tcPr>
            <w:tcW w:w="2487" w:type="dxa"/>
            <w:vAlign w:val="center"/>
          </w:tcPr>
          <w:p w14:paraId="166302E9">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项目名称</w:t>
            </w:r>
          </w:p>
        </w:tc>
        <w:tc>
          <w:tcPr>
            <w:tcW w:w="1541" w:type="dxa"/>
            <w:vAlign w:val="center"/>
          </w:tcPr>
          <w:p w14:paraId="611FD2D3">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简要技术要求</w:t>
            </w:r>
          </w:p>
        </w:tc>
        <w:tc>
          <w:tcPr>
            <w:tcW w:w="762" w:type="dxa"/>
            <w:vAlign w:val="center"/>
          </w:tcPr>
          <w:p w14:paraId="31412FE6">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数量</w:t>
            </w:r>
          </w:p>
        </w:tc>
        <w:tc>
          <w:tcPr>
            <w:tcW w:w="813" w:type="dxa"/>
            <w:vAlign w:val="center"/>
          </w:tcPr>
          <w:p w14:paraId="60BFE68C">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单位</w:t>
            </w:r>
          </w:p>
        </w:tc>
        <w:tc>
          <w:tcPr>
            <w:tcW w:w="1150" w:type="dxa"/>
            <w:vAlign w:val="center"/>
          </w:tcPr>
          <w:p w14:paraId="65CEA717">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预算</w:t>
            </w:r>
          </w:p>
          <w:p w14:paraId="48AD9D4E">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（万元）</w:t>
            </w:r>
          </w:p>
        </w:tc>
        <w:tc>
          <w:tcPr>
            <w:tcW w:w="1069" w:type="dxa"/>
            <w:vAlign w:val="center"/>
          </w:tcPr>
          <w:p w14:paraId="69AF4AFF">
            <w:pPr>
              <w:tabs>
                <w:tab w:val="left" w:pos="8280"/>
              </w:tabs>
              <w:autoSpaceDE w:val="0"/>
              <w:autoSpaceDN w:val="0"/>
              <w:adjustRightInd w:val="0"/>
              <w:ind w:right="25"/>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591D6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jc w:val="center"/>
        </w:trPr>
        <w:tc>
          <w:tcPr>
            <w:tcW w:w="747" w:type="dxa"/>
            <w:vAlign w:val="center"/>
          </w:tcPr>
          <w:p w14:paraId="4E10E3EB">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2487" w:type="dxa"/>
            <w:vAlign w:val="center"/>
          </w:tcPr>
          <w:p w14:paraId="6183439F">
            <w:pPr>
              <w:tabs>
                <w:tab w:val="left" w:pos="8280"/>
              </w:tabs>
              <w:autoSpaceDE w:val="0"/>
              <w:autoSpaceDN w:val="0"/>
              <w:adjustRightInd w:val="0"/>
              <w:ind w:right="25"/>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黄岩区抗战时期中共黄岩县委机关旧址、岱石庙、铁米筛井省级文保单位</w:t>
            </w:r>
            <w:r>
              <w:rPr>
                <w:rFonts w:hint="eastAsia" w:ascii="宋体" w:hAnsi="宋体" w:cs="宋体"/>
                <w:color w:val="auto"/>
                <w:szCs w:val="21"/>
                <w:highlight w:val="none"/>
                <w:lang w:eastAsia="zh-CN"/>
              </w:rPr>
              <w:t>消防项目</w:t>
            </w:r>
          </w:p>
        </w:tc>
        <w:tc>
          <w:tcPr>
            <w:tcW w:w="1541" w:type="dxa"/>
            <w:vAlign w:val="center"/>
          </w:tcPr>
          <w:p w14:paraId="6219C2A9">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详见项目需求</w:t>
            </w:r>
          </w:p>
        </w:tc>
        <w:tc>
          <w:tcPr>
            <w:tcW w:w="762" w:type="dxa"/>
            <w:vAlign w:val="center"/>
          </w:tcPr>
          <w:p w14:paraId="68B444BC">
            <w:pPr>
              <w:tabs>
                <w:tab w:val="left" w:pos="8280"/>
              </w:tabs>
              <w:autoSpaceDE w:val="0"/>
              <w:autoSpaceDN w:val="0"/>
              <w:adjustRightInd w:val="0"/>
              <w:ind w:right="25"/>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813" w:type="dxa"/>
            <w:vAlign w:val="center"/>
          </w:tcPr>
          <w:p w14:paraId="3053C001">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w:t>
            </w:r>
          </w:p>
        </w:tc>
        <w:tc>
          <w:tcPr>
            <w:tcW w:w="1150" w:type="dxa"/>
            <w:vAlign w:val="center"/>
          </w:tcPr>
          <w:p w14:paraId="085E0B61">
            <w:pPr>
              <w:tabs>
                <w:tab w:val="left" w:pos="8280"/>
              </w:tabs>
              <w:autoSpaceDE w:val="0"/>
              <w:autoSpaceDN w:val="0"/>
              <w:adjustRightInd w:val="0"/>
              <w:ind w:right="25"/>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50</w:t>
            </w:r>
          </w:p>
        </w:tc>
        <w:tc>
          <w:tcPr>
            <w:tcW w:w="1069" w:type="dxa"/>
            <w:vAlign w:val="center"/>
          </w:tcPr>
          <w:p w14:paraId="1312BE8C">
            <w:pPr>
              <w:tabs>
                <w:tab w:val="left" w:pos="8280"/>
              </w:tabs>
              <w:autoSpaceDE w:val="0"/>
              <w:autoSpaceDN w:val="0"/>
              <w:adjustRightInd w:val="0"/>
              <w:ind w:right="25"/>
              <w:jc w:val="center"/>
              <w:rPr>
                <w:rFonts w:hint="default" w:ascii="宋体" w:hAnsi="宋体" w:eastAsia="宋体" w:cs="宋体"/>
                <w:color w:val="auto"/>
                <w:szCs w:val="21"/>
                <w:highlight w:val="none"/>
                <w:lang w:val="en-US" w:eastAsia="zh-CN"/>
              </w:rPr>
            </w:pPr>
          </w:p>
        </w:tc>
      </w:tr>
      <w:bookmarkEnd w:id="0"/>
    </w:tbl>
    <w:p w14:paraId="6AAE4E89">
      <w:pPr>
        <w:widowControl/>
        <w:tabs>
          <w:tab w:val="left" w:pos="0"/>
        </w:tabs>
        <w:spacing w:line="360" w:lineRule="auto"/>
        <w:ind w:firstLine="422" w:firstLineChars="200"/>
        <w:rPr>
          <w:rFonts w:hint="eastAsia" w:ascii="宋体" w:hAnsi="宋体" w:eastAsia="宋体" w:cs="宋体"/>
          <w:color w:val="auto"/>
          <w:szCs w:val="21"/>
          <w:highlight w:val="none"/>
        </w:rPr>
      </w:pPr>
      <w:r>
        <w:rPr>
          <w:rFonts w:hint="eastAsia" w:ascii="宋体" w:hAnsi="宋体" w:eastAsia="宋体" w:cs="宋体"/>
          <w:b/>
          <w:color w:val="auto"/>
          <w:szCs w:val="21"/>
          <w:highlight w:val="none"/>
          <w:u w:val="single"/>
        </w:rPr>
        <w:t>本项目采用“电子交易”的方式提交投标文件（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Cs w:val="21"/>
          <w:highlight w:val="none"/>
          <w:u w:val="single"/>
        </w:rPr>
        <w:t>提供备份投标文件），请各投标人按照要求进行。</w:t>
      </w:r>
    </w:p>
    <w:p w14:paraId="00BC8852">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三、合格投标人的资格条件：</w:t>
      </w:r>
    </w:p>
    <w:p w14:paraId="2407CCE7">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（一）符合《中华人民共和国政府采购法》第二十二条及其他法律、行政法规规定的对投标主体的要求。未被“信用中国”（www.creditchina.gov.cn）、中国政府采购网（www.ccgp.gov.cn）列入失信被执行人、</w:t>
      </w:r>
      <w:r>
        <w:rPr>
          <w:rFonts w:hint="eastAsia" w:ascii="宋体" w:hAnsi="宋体" w:eastAsia="宋体" w:cs="宋体"/>
          <w:b/>
          <w:color w:val="auto"/>
          <w:szCs w:val="21"/>
          <w:highlight w:val="none"/>
          <w:lang w:eastAsia="zh-CN"/>
        </w:rPr>
        <w:t>重大税收违法失信主体</w:t>
      </w:r>
      <w:r>
        <w:rPr>
          <w:rFonts w:hint="eastAsia" w:ascii="宋体" w:hAnsi="宋体" w:eastAsia="宋体" w:cs="宋体"/>
          <w:b/>
          <w:color w:val="auto"/>
          <w:szCs w:val="21"/>
          <w:highlight w:val="none"/>
        </w:rPr>
        <w:t>、政府采购严重违法失信行为记录名单。</w:t>
      </w:r>
    </w:p>
    <w:p w14:paraId="28667719">
      <w:pPr>
        <w:spacing w:line="360" w:lineRule="auto"/>
        <w:ind w:firstLine="422" w:firstLineChars="200"/>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151D3C68">
      <w:pPr>
        <w:spacing w:line="360" w:lineRule="auto"/>
        <w:ind w:firstLine="632" w:firstLineChars="3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lang w:eastAsia="zh-CN"/>
        </w:rPr>
        <w:t>）</w:t>
      </w:r>
      <w:r>
        <w:rPr>
          <w:rFonts w:hint="eastAsia" w:ascii="宋体" w:hAnsi="宋体" w:eastAsia="宋体" w:cs="宋体"/>
          <w:b/>
          <w:bCs w:val="0"/>
          <w:color w:val="auto"/>
          <w:sz w:val="21"/>
          <w:szCs w:val="21"/>
          <w:highlight w:val="none"/>
          <w:shd w:val="clear" w:color="auto" w:fill="auto"/>
        </w:rPr>
        <w:t>本项目不接受联合体投标。</w:t>
      </w:r>
    </w:p>
    <w:p w14:paraId="69112703">
      <w:pPr>
        <w:spacing w:line="360" w:lineRule="auto"/>
        <w:ind w:firstLine="422" w:firstLineChars="200"/>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投标；为本项目提供整体设计、规范编制或者项目管理、监理、检测等服务的供应商，不得再参与本项目投标。（联合体参与投标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3BED093">
      <w:pPr>
        <w:snapToGrid w:val="0"/>
        <w:spacing w:line="360" w:lineRule="auto"/>
        <w:ind w:firstLine="498" w:firstLineChars="236"/>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四、招标文件获取的方式、时间:</w:t>
      </w:r>
    </w:p>
    <w:p w14:paraId="05DBAB03">
      <w:pPr>
        <w:snapToGrid w:val="0"/>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1、</w:t>
      </w:r>
      <w:r>
        <w:rPr>
          <w:rFonts w:hint="eastAsia" w:ascii="宋体" w:hAnsi="宋体" w:eastAsia="宋体" w:cs="宋体"/>
          <w:b/>
          <w:color w:val="auto"/>
          <w:szCs w:val="21"/>
          <w:highlight w:val="none"/>
        </w:rPr>
        <w:t>本项目招标文件实行“浙江政府采购网”</w:t>
      </w:r>
      <w:r>
        <w:rPr>
          <w:rStyle w:val="26"/>
          <w:rFonts w:hint="eastAsia" w:ascii="宋体" w:hAnsi="宋体" w:eastAsia="宋体" w:cs="宋体"/>
          <w:color w:val="auto"/>
          <w:sz w:val="21"/>
          <w:szCs w:val="21"/>
          <w:highlight w:val="none"/>
        </w:rPr>
        <w:t>（http://zfcg.czt.zj.gov.cn）</w:t>
      </w:r>
      <w:r>
        <w:rPr>
          <w:rFonts w:hint="eastAsia" w:ascii="宋体" w:hAnsi="宋体" w:eastAsia="宋体" w:cs="宋体"/>
          <w:b/>
          <w:color w:val="auto"/>
          <w:szCs w:val="21"/>
          <w:highlight w:val="none"/>
        </w:rPr>
        <w:t>在线获取，不提供招标文件纸质版。供应商获取招标文件前应先完成“浙江政府采购网”的账号注册。</w:t>
      </w:r>
    </w:p>
    <w:p w14:paraId="0B8394E6">
      <w:pPr>
        <w:spacing w:line="360" w:lineRule="auto"/>
        <w:ind w:firstLine="422" w:firstLineChars="200"/>
        <w:rPr>
          <w:rStyle w:val="26"/>
          <w:rFonts w:hint="eastAsia" w:ascii="宋体" w:hAnsi="宋体" w:eastAsia="宋体" w:cs="宋体"/>
          <w:color w:val="auto"/>
          <w:sz w:val="21"/>
          <w:szCs w:val="21"/>
          <w:highlight w:val="none"/>
        </w:rPr>
      </w:pPr>
      <w:r>
        <w:rPr>
          <w:rFonts w:hint="eastAsia" w:ascii="宋体" w:hAnsi="宋体" w:eastAsia="宋体" w:cs="宋体"/>
          <w:b/>
          <w:bCs/>
          <w:color w:val="auto"/>
          <w:szCs w:val="21"/>
          <w:highlight w:val="none"/>
        </w:rPr>
        <w:t>2、获取</w:t>
      </w:r>
      <w:r>
        <w:rPr>
          <w:rStyle w:val="26"/>
          <w:rFonts w:hint="eastAsia" w:ascii="宋体" w:hAnsi="宋体" w:eastAsia="宋体" w:cs="宋体"/>
          <w:color w:val="auto"/>
          <w:sz w:val="21"/>
          <w:szCs w:val="21"/>
          <w:highlight w:val="none"/>
        </w:rPr>
        <w:t>方式：潜在供应商登陆政府采购云平台，在线申请获取招标文件</w:t>
      </w:r>
      <w:r>
        <w:rPr>
          <w:rStyle w:val="26"/>
          <w:rFonts w:hint="eastAsia" w:ascii="宋体" w:hAnsi="宋体" w:eastAsia="宋体" w:cs="宋体"/>
          <w:b w:val="0"/>
          <w:bCs/>
          <w:color w:val="auto"/>
          <w:sz w:val="21"/>
          <w:szCs w:val="21"/>
          <w:highlight w:val="none"/>
        </w:rPr>
        <w:t>（进入“项目采购”应用，在获取招标文件菜单中选择项目，申请获取招标文件，本项目招标文件不收取工本费；</w:t>
      </w:r>
      <w:r>
        <w:rPr>
          <w:rStyle w:val="26"/>
          <w:rFonts w:hint="eastAsia" w:ascii="宋体" w:hAnsi="宋体" w:eastAsia="宋体" w:cs="宋体"/>
          <w:b w:val="0"/>
          <w:bCs/>
          <w:color w:val="auto"/>
          <w:sz w:val="21"/>
          <w:szCs w:val="21"/>
          <w:highlight w:val="none"/>
          <w:u w:val="single"/>
        </w:rPr>
        <w:t>仅需浏览招标文件的供应商可点击“游客，浏览招标文件”直接下载招标文件浏览</w:t>
      </w:r>
      <w:r>
        <w:rPr>
          <w:rStyle w:val="26"/>
          <w:rFonts w:hint="eastAsia" w:ascii="宋体" w:hAnsi="宋体" w:eastAsia="宋体" w:cs="宋体"/>
          <w:b w:val="0"/>
          <w:bCs/>
          <w:color w:val="auto"/>
          <w:sz w:val="21"/>
          <w:szCs w:val="21"/>
          <w:highlight w:val="none"/>
        </w:rPr>
        <w:t>）；</w:t>
      </w:r>
    </w:p>
    <w:p w14:paraId="6437E1BA">
      <w:pPr>
        <w:spacing w:line="360" w:lineRule="auto"/>
        <w:ind w:firstLine="422" w:firstLineChars="200"/>
        <w:rPr>
          <w:rFonts w:hint="eastAsia" w:ascii="宋体" w:hAnsi="宋体" w:eastAsia="宋体" w:cs="宋体"/>
          <w:color w:val="auto"/>
          <w:szCs w:val="21"/>
          <w:highlight w:val="none"/>
        </w:rPr>
      </w:pPr>
      <w:r>
        <w:rPr>
          <w:rStyle w:val="26"/>
          <w:rFonts w:hint="eastAsia" w:ascii="宋体" w:hAnsi="宋体" w:eastAsia="宋体" w:cs="宋体"/>
          <w:color w:val="auto"/>
          <w:sz w:val="21"/>
          <w:szCs w:val="21"/>
          <w:highlight w:val="none"/>
        </w:rPr>
        <w:t>3、</w:t>
      </w:r>
      <w:r>
        <w:rPr>
          <w:rFonts w:hint="eastAsia" w:ascii="宋体" w:hAnsi="宋体" w:eastAsia="宋体" w:cs="宋体"/>
          <w:b/>
          <w:bCs/>
          <w:color w:val="auto"/>
          <w:szCs w:val="21"/>
          <w:highlight w:val="none"/>
        </w:rPr>
        <w:t>获取（公告）时间</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0DFE1D4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Style w:val="26"/>
          <w:rFonts w:hint="eastAsia" w:ascii="宋体" w:hAnsi="宋体" w:eastAsia="宋体" w:cs="宋体"/>
          <w:b w:val="0"/>
          <w:color w:val="auto"/>
          <w:sz w:val="21"/>
          <w:szCs w:val="21"/>
          <w:highlight w:val="none"/>
        </w:rPr>
        <w:t>供应商网上报名操作指南：“浙江政府采购网-办事指南-省采中心-网上报名”（http://zfcg.czt.zj.gov.cn/bs_other/2018-03-30/12002.html）。</w:t>
      </w:r>
    </w:p>
    <w:p w14:paraId="5E96A8C3">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b w:val="0"/>
          <w:color w:val="auto"/>
          <w:sz w:val="21"/>
          <w:szCs w:val="21"/>
          <w:highlight w:val="none"/>
        </w:rPr>
        <w:t>5、供应商获取招标文件时须提交的文件资料：无；</w:t>
      </w:r>
    </w:p>
    <w:p w14:paraId="445C82C7">
      <w:pPr>
        <w:pStyle w:val="18"/>
        <w:spacing w:before="0" w:beforeAutospacing="0" w:after="0" w:afterAutospacing="0" w:line="360" w:lineRule="auto"/>
        <w:ind w:firstLine="480"/>
        <w:rPr>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6、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45453F62">
      <w:pPr>
        <w:pStyle w:val="18"/>
        <w:spacing w:before="0" w:beforeAutospacing="0" w:after="0" w:afterAutospacing="0" w:line="360" w:lineRule="auto"/>
        <w:ind w:firstLine="480"/>
        <w:rPr>
          <w:rStyle w:val="26"/>
          <w:rFonts w:hint="eastAsia" w:ascii="宋体" w:hAnsi="宋体" w:eastAsia="宋体" w:cs="宋体"/>
          <w:color w:val="auto"/>
          <w:sz w:val="21"/>
          <w:szCs w:val="21"/>
          <w:highlight w:val="none"/>
        </w:rPr>
      </w:pPr>
      <w:r>
        <w:rPr>
          <w:rStyle w:val="26"/>
          <w:rFonts w:hint="eastAsia" w:ascii="宋体" w:hAnsi="宋体" w:eastAsia="宋体" w:cs="宋体"/>
          <w:color w:val="auto"/>
          <w:sz w:val="21"/>
          <w:szCs w:val="21"/>
          <w:highlight w:val="none"/>
        </w:rPr>
        <w:t>注：请供应商按上述要求获取招标文件，如未在“政府采购云平台”系统内完成相关流程，引起的投标无效责任自负。</w:t>
      </w:r>
    </w:p>
    <w:p w14:paraId="7FF53C5B">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五、招标答疑会</w:t>
      </w:r>
    </w:p>
    <w:p w14:paraId="23050AB2">
      <w:pPr>
        <w:spacing w:line="360" w:lineRule="auto"/>
        <w:ind w:firstLine="840" w:firstLineChars="4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p w14:paraId="072FC3A1">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六、投标须知：</w:t>
      </w:r>
    </w:p>
    <w:p w14:paraId="337D4078">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1、投标截止时间与地点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日14:30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 xml:space="preserve">，地点：通过“政府采购云平台（www.zcygov.cn）”实行在线投标响应   </w:t>
      </w:r>
    </w:p>
    <w:p w14:paraId="0A7EE086">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2、开标时间及地点</w:t>
      </w:r>
      <w:r>
        <w:rPr>
          <w:rFonts w:hint="eastAsia" w:ascii="宋体" w:hAnsi="宋体" w:eastAsia="宋体" w:cs="宋体"/>
          <w:color w:val="auto"/>
          <w:highlight w:val="none"/>
        </w:rPr>
        <w:t>：</w:t>
      </w:r>
      <w:r>
        <w:rPr>
          <w:rFonts w:hint="eastAsia" w:ascii="宋体" w:hAnsi="宋体" w:cs="宋体"/>
          <w:color w:val="auto"/>
          <w:highlight w:val="none"/>
          <w:lang w:eastAsia="zh-CN"/>
        </w:rPr>
        <w:t>2025年  月  日14:30</w:t>
      </w:r>
      <w:r>
        <w:rPr>
          <w:rFonts w:hint="eastAsia" w:ascii="宋体" w:hAnsi="宋体" w:eastAsia="宋体" w:cs="宋体"/>
          <w:color w:val="auto"/>
          <w:highlight w:val="none"/>
          <w:lang w:eastAsia="zh-CN"/>
        </w:rPr>
        <w:t>整</w:t>
      </w:r>
      <w:r>
        <w:rPr>
          <w:rFonts w:hint="eastAsia" w:ascii="宋体" w:hAnsi="宋体" w:eastAsia="宋体" w:cs="宋体"/>
          <w:color w:val="auto"/>
          <w:highlight w:val="none"/>
        </w:rPr>
        <w:t>，地点：</w:t>
      </w:r>
      <w:r>
        <w:rPr>
          <w:rFonts w:hint="eastAsia" w:ascii="宋体" w:hAnsi="宋体" w:eastAsia="宋体" w:cs="宋体"/>
          <w:color w:val="auto"/>
          <w:kern w:val="2"/>
          <w:szCs w:val="24"/>
          <w:highlight w:val="none"/>
        </w:rPr>
        <w:t>通过“政府采购云平台（www.zcygov.cn）”实行在线投标响应</w:t>
      </w:r>
    </w:p>
    <w:p w14:paraId="66ED14E2">
      <w:pPr>
        <w:pStyle w:val="54"/>
        <w:snapToGrid w:val="0"/>
        <w:spacing w:line="360" w:lineRule="auto"/>
        <w:ind w:firstLine="373" w:firstLineChars="177"/>
        <w:rPr>
          <w:rFonts w:hint="eastAsia" w:ascii="宋体" w:hAnsi="宋体" w:eastAsia="宋体" w:cs="宋体"/>
          <w:color w:val="auto"/>
          <w:highlight w:val="none"/>
        </w:rPr>
      </w:pPr>
      <w:r>
        <w:rPr>
          <w:rFonts w:hint="eastAsia" w:ascii="宋体" w:hAnsi="宋体" w:eastAsia="宋体" w:cs="宋体"/>
          <w:b/>
          <w:bCs/>
          <w:color w:val="auto"/>
          <w:highlight w:val="none"/>
        </w:rPr>
        <w:t>3、解密截止时间</w:t>
      </w:r>
      <w:r>
        <w:rPr>
          <w:rFonts w:hint="eastAsia" w:ascii="宋体" w:hAnsi="宋体" w:eastAsia="宋体" w:cs="宋体"/>
          <w:color w:val="auto"/>
          <w:highlight w:val="none"/>
        </w:rPr>
        <w:t>：</w:t>
      </w:r>
      <w:r>
        <w:rPr>
          <w:rFonts w:hint="eastAsia" w:ascii="宋体" w:hAnsi="宋体" w:cs="宋体"/>
          <w:color w:val="auto"/>
          <w:sz w:val="21"/>
          <w:szCs w:val="21"/>
          <w:highlight w:val="none"/>
          <w:lang w:eastAsia="zh-CN"/>
        </w:rPr>
        <w:t>2025年  月  日15:00</w:t>
      </w:r>
      <w:r>
        <w:rPr>
          <w:rFonts w:hint="eastAsia" w:ascii="宋体" w:hAnsi="宋体" w:eastAsia="宋体" w:cs="宋体"/>
          <w:color w:val="auto"/>
          <w:sz w:val="21"/>
          <w:szCs w:val="21"/>
          <w:highlight w:val="none"/>
          <w:lang w:eastAsia="zh-CN"/>
        </w:rPr>
        <w:t>整</w:t>
      </w:r>
    </w:p>
    <w:p w14:paraId="5ECF9630">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七、在线投标响应（电子投标）说明</w:t>
      </w:r>
    </w:p>
    <w:p w14:paraId="1A8B4FCC">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1、本项目通过“政府采购云平台（www.zcygov.cn）”实行在线投标响应（电子投标），供应商应先安装“</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”，并按照本招标文件和“政府采购云平台”的要求，通过“</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”编制并加密投标文件。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Cs w:val="21"/>
          <w:highlight w:val="none"/>
        </w:rPr>
        <w:t>供应商未按规定加密的投标文件，“政府采购云平台”将予以拒收。</w:t>
      </w:r>
    </w:p>
    <w:p w14:paraId="09277451">
      <w:pPr>
        <w:pStyle w:val="11"/>
        <w:wordWrap w:val="0"/>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eastAsia="zh-CN"/>
        </w:rPr>
        <w:t>政采云电子投标客户端</w:t>
      </w:r>
      <w:r>
        <w:rPr>
          <w:rFonts w:hint="eastAsia" w:ascii="宋体" w:hAnsi="宋体" w:eastAsia="宋体" w:cs="宋体"/>
          <w:b/>
          <w:bCs/>
          <w:color w:val="auto"/>
          <w:kern w:val="0"/>
          <w:szCs w:val="21"/>
          <w:highlight w:val="none"/>
        </w:rPr>
        <w:t>”请自行前往“浙江政府采购网-下载专区-电子交易客户端”进行下载；电子投标具体操作流程详见《供应商项目采购-电子招投标操作指南》；通过“政府采购云平台”参与在线投标时如遇平台技术问题详询</w:t>
      </w:r>
      <w:r>
        <w:rPr>
          <w:rFonts w:hint="eastAsia" w:ascii="宋体" w:hAnsi="宋体" w:eastAsia="宋体" w:cs="宋体"/>
          <w:b/>
          <w:bCs/>
          <w:color w:val="auto"/>
          <w:kern w:val="0"/>
          <w:szCs w:val="21"/>
          <w:highlight w:val="none"/>
          <w:lang w:val="en-US" w:eastAsia="zh-CN"/>
        </w:rPr>
        <w:t>95763</w:t>
      </w:r>
      <w:r>
        <w:rPr>
          <w:rFonts w:hint="eastAsia" w:ascii="宋体" w:hAnsi="宋体" w:eastAsia="宋体" w:cs="宋体"/>
          <w:b/>
          <w:bCs/>
          <w:color w:val="auto"/>
          <w:kern w:val="0"/>
          <w:szCs w:val="21"/>
          <w:highlight w:val="none"/>
        </w:rPr>
        <w:t>。</w:t>
      </w:r>
    </w:p>
    <w:p w14:paraId="75D4BFD5">
      <w:pPr>
        <w:pStyle w:val="54"/>
        <w:snapToGrid w:val="0"/>
        <w:spacing w:line="360" w:lineRule="auto"/>
        <w:ind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2、为确保网上操作合法、有效和安全，投标供应商应当在投标截止时间前完成在“政府采购云平台”的身份认证，确保在电子投标过程中能够对相关数据电文进行加密和使用电子签章。使用“</w:t>
      </w:r>
      <w:r>
        <w:rPr>
          <w:rFonts w:hint="eastAsia" w:ascii="宋体" w:hAnsi="宋体" w:eastAsia="宋体" w:cs="宋体"/>
          <w:b/>
          <w:bCs/>
          <w:color w:val="auto"/>
          <w:highlight w:val="none"/>
          <w:lang w:eastAsia="zh-CN"/>
        </w:rPr>
        <w:t>政采云电子投标客户端</w:t>
      </w:r>
      <w:r>
        <w:rPr>
          <w:rFonts w:hint="eastAsia" w:ascii="宋体" w:hAnsi="宋体" w:eastAsia="宋体" w:cs="宋体"/>
          <w:b/>
          <w:bCs/>
          <w:color w:val="auto"/>
          <w:highlight w:val="none"/>
        </w:rPr>
        <w:t>”需要提前申领CA数字证书，申领流程请自行前往“浙江政府采购网-下载专区-电子交易客户端-</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"http://zfcg.czt.zj.gov.cn/bidClientTemplate/2019-05-27/12945.html" \o "CA驱动和申领流程" </w:instrText>
      </w:r>
      <w:r>
        <w:rPr>
          <w:rFonts w:hint="eastAsia" w:ascii="宋体" w:hAnsi="宋体" w:eastAsia="宋体" w:cs="宋体"/>
          <w:color w:val="auto"/>
          <w:highlight w:val="none"/>
        </w:rPr>
        <w:fldChar w:fldCharType="separate"/>
      </w:r>
      <w:r>
        <w:rPr>
          <w:rFonts w:hint="eastAsia" w:ascii="宋体" w:hAnsi="宋体" w:eastAsia="宋体" w:cs="宋体"/>
          <w:b/>
          <w:bCs/>
          <w:color w:val="auto"/>
          <w:highlight w:val="none"/>
        </w:rPr>
        <w:t>CA驱动和申领流程</w:t>
      </w:r>
      <w:r>
        <w:rPr>
          <w:rFonts w:hint="eastAsia" w:ascii="宋体" w:hAnsi="宋体" w:eastAsia="宋体" w:cs="宋体"/>
          <w:b/>
          <w:bCs/>
          <w:color w:val="auto"/>
          <w:highlight w:val="none"/>
        </w:rPr>
        <w:fldChar w:fldCharType="end"/>
      </w:r>
      <w:r>
        <w:rPr>
          <w:rFonts w:hint="eastAsia" w:ascii="宋体" w:hAnsi="宋体" w:eastAsia="宋体" w:cs="宋体"/>
          <w:b/>
          <w:bCs/>
          <w:color w:val="auto"/>
          <w:highlight w:val="none"/>
        </w:rPr>
        <w:t>”进行查阅；</w:t>
      </w:r>
    </w:p>
    <w:p w14:paraId="548549BE">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投标人通过政府采购云平台电子投标工具制作投标文件，电子投标工具请供应商自行前往浙江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Cs w:val="21"/>
          <w:highlight w:val="none"/>
        </w:rPr>
        <w:fldChar w:fldCharType="begin"/>
      </w:r>
      <w:r>
        <w:rPr>
          <w:rFonts w:hint="eastAsia" w:ascii="宋体" w:hAnsi="宋体" w:eastAsia="宋体" w:cs="宋体"/>
          <w:b/>
          <w:bCs/>
          <w:color w:val="auto"/>
          <w:kern w:val="0"/>
          <w:szCs w:val="21"/>
          <w:highlight w:val="none"/>
        </w:rPr>
        <w:instrText xml:space="preserve"> HYPERLINK "https://service.zcygov.cn/#/knowledges/CW1EtGwBFdiHxlNd6I3m/6IMVAG0BFdiHx" </w:instrText>
      </w:r>
      <w:r>
        <w:rPr>
          <w:rFonts w:hint="eastAsia" w:ascii="宋体" w:hAnsi="宋体" w:eastAsia="宋体" w:cs="宋体"/>
          <w:b/>
          <w:bCs/>
          <w:color w:val="auto"/>
          <w:kern w:val="0"/>
          <w:szCs w:val="21"/>
          <w:highlight w:val="none"/>
        </w:rPr>
        <w:fldChar w:fldCharType="separate"/>
      </w:r>
      <w:r>
        <w:rPr>
          <w:rFonts w:hint="eastAsia" w:ascii="宋体" w:hAnsi="宋体" w:eastAsia="宋体" w:cs="宋体"/>
          <w:b/>
          <w:bCs/>
          <w:color w:val="auto"/>
          <w:kern w:val="0"/>
          <w:szCs w:val="21"/>
          <w:highlight w:val="none"/>
        </w:rPr>
        <w:t>https://service.zcygov.cn/#/knowledges/CW1EtGwBFdiHxlNd6I3m/6IMVAG0BFdiHx</w:t>
      </w:r>
      <w:r>
        <w:rPr>
          <w:rFonts w:hint="eastAsia" w:ascii="宋体" w:hAnsi="宋体" w:eastAsia="宋体" w:cs="宋体"/>
          <w:b/>
          <w:bCs/>
          <w:color w:val="auto"/>
          <w:kern w:val="0"/>
          <w:szCs w:val="21"/>
          <w:highlight w:val="none"/>
        </w:rPr>
        <w:fldChar w:fldCharType="end"/>
      </w:r>
    </w:p>
    <w:p w14:paraId="435B596B">
      <w:pPr>
        <w:pStyle w:val="11"/>
        <w:adjustRightInd w:val="0"/>
        <w:snapToGrid w:val="0"/>
        <w:spacing w:line="360" w:lineRule="auto"/>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lNdQ8Na?keyword=%E6%8A%95%E6%A0%87。</w:t>
      </w:r>
    </w:p>
    <w:p w14:paraId="2936E721">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▲4、投标供应商应当在投标截止时间前，将生成的“电子加密投标文件”上传递交至“政府采购云平台”。投标截止时间前可以补充、修改或者撤回电子投标文件。补充或者修改电子投标</w:t>
      </w:r>
      <w:r>
        <w:rPr>
          <w:rFonts w:hint="eastAsia" w:ascii="宋体" w:hAnsi="宋体" w:eastAsia="宋体" w:cs="宋体"/>
          <w:b/>
          <w:bCs/>
          <w:color w:val="auto"/>
          <w:kern w:val="0"/>
          <w:szCs w:val="21"/>
          <w:highlight w:val="none"/>
        </w:rPr>
        <w:t>文件的，应当先行撤回原文件，补充、修改后重新传输递交。投标截止时间前未完成传输的，视为撤回投标文件。</w:t>
      </w:r>
    </w:p>
    <w:p w14:paraId="5DED55D4">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 w:val="21"/>
          <w:szCs w:val="21"/>
          <w:highlight w:val="none"/>
          <w:lang w:val="en-US" w:eastAsia="zh-CN" w:bidi="ar-SA"/>
        </w:rPr>
        <w:t>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投标文件（不强制要求，未递交备份文件的风险由供应商自行承担）。备份投标文件应当在投标截止时间前送达并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b/>
          <w:bCs/>
          <w:color w:val="auto"/>
          <w:kern w:val="2"/>
          <w:sz w:val="21"/>
          <w:szCs w:val="21"/>
          <w:highlight w:val="none"/>
          <w:lang w:val="en-US" w:eastAsia="zh-CN" w:bidi="ar-SA"/>
        </w:rPr>
        <w:t>建议采用顺丰邮寄（或直接递交）</w:t>
      </w:r>
      <w:r>
        <w:rPr>
          <w:rFonts w:hint="eastAsia" w:ascii="宋体" w:hAnsi="宋体" w:eastAsia="宋体" w:cs="宋体"/>
          <w:b/>
          <w:bCs/>
          <w:color w:val="auto"/>
          <w:kern w:val="0"/>
          <w:sz w:val="21"/>
          <w:szCs w:val="21"/>
          <w:highlight w:val="none"/>
          <w:lang w:val="en-US" w:eastAsia="zh-CN" w:bidi="ar-SA"/>
        </w:rPr>
        <w:t>到</w:t>
      </w:r>
      <w:r>
        <w:rPr>
          <w:rFonts w:hint="eastAsia" w:ascii="宋体" w:hAnsi="宋体" w:eastAsia="宋体" w:cs="宋体"/>
          <w:b/>
          <w:bCs/>
          <w:color w:val="auto"/>
          <w:sz w:val="21"/>
          <w:szCs w:val="21"/>
          <w:highlight w:val="none"/>
          <w:lang w:eastAsia="zh-CN"/>
        </w:rPr>
        <w:t>台州市椒江区中环世纪6幢801室（交通银行台州分行楼上）</w:t>
      </w:r>
      <w:r>
        <w:rPr>
          <w:rFonts w:hint="eastAsia" w:ascii="宋体" w:hAnsi="宋体" w:eastAsia="宋体" w:cs="宋体"/>
          <w:b/>
          <w:bCs/>
          <w:color w:val="auto"/>
          <w:sz w:val="21"/>
          <w:szCs w:val="21"/>
          <w:highlight w:val="none"/>
          <w:lang w:val="en-US" w:eastAsia="zh-CN"/>
        </w:rPr>
        <w:t>收件人：俞雅琪；联系电话：15757696186</w:t>
      </w:r>
      <w:r>
        <w:rPr>
          <w:rFonts w:hint="eastAsia" w:ascii="宋体" w:hAnsi="宋体" w:eastAsia="宋体" w:cs="宋体"/>
          <w:b/>
          <w:bCs/>
          <w:color w:val="auto"/>
          <w:kern w:val="0"/>
          <w:sz w:val="21"/>
          <w:szCs w:val="21"/>
          <w:highlight w:val="none"/>
          <w:lang w:val="en-US" w:eastAsia="zh-CN" w:bidi="ar-SA"/>
        </w:rPr>
        <w:t>，逾期寄达、到付或未按要求密封将被拒收。</w:t>
      </w:r>
    </w:p>
    <w:p w14:paraId="401999DB">
      <w:pPr>
        <w:pStyle w:val="11"/>
        <w:adjustRightInd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6、</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kern w:val="0"/>
          <w:szCs w:val="21"/>
          <w:highlight w:val="none"/>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w:t>
      </w:r>
      <w:r>
        <w:rPr>
          <w:rFonts w:hint="eastAsia" w:ascii="宋体" w:hAnsi="宋体" w:eastAsia="宋体" w:cs="宋体"/>
          <w:b/>
          <w:bCs/>
          <w:color w:val="auto"/>
          <w:kern w:val="0"/>
          <w:sz w:val="21"/>
          <w:szCs w:val="21"/>
          <w:highlight w:val="none"/>
          <w:lang w:val="en-US" w:eastAsia="zh-CN" w:bidi="ar-SA"/>
        </w:rPr>
        <w:t>▲</w:t>
      </w:r>
      <w:r>
        <w:rPr>
          <w:rFonts w:hint="eastAsia" w:ascii="宋体" w:hAnsi="宋体" w:eastAsia="宋体" w:cs="宋体"/>
          <w:b/>
          <w:bCs/>
          <w:color w:val="auto"/>
          <w:kern w:val="0"/>
          <w:szCs w:val="21"/>
          <w:highlight w:val="none"/>
        </w:rPr>
        <w:t>投标供应商仅递交备份投标文件的，投标无效。</w:t>
      </w:r>
    </w:p>
    <w:p w14:paraId="70298C3C">
      <w:pPr>
        <w:pStyle w:val="12"/>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 企业的，联合体视同中小企业。其中，联合体各方均为小微 企业的，联合体视同小微企业。</w:t>
      </w:r>
    </w:p>
    <w:p w14:paraId="4191444D">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八、投标人信用信息查询渠道及截止时点、信用信息查询记录和证据留存的具体方式、信用信息的使用规则：</w:t>
      </w:r>
    </w:p>
    <w:p w14:paraId="46C732E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1、查询渠道：“信用中国”（www.creditchina.gov.cn）、“中国政府采购网”（www.ccgp.gov.cn）、“浙江政府采购网（</w:t>
      </w:r>
      <w:r>
        <w:rPr>
          <w:rFonts w:hint="eastAsia" w:ascii="宋体" w:hAnsi="宋体" w:eastAsia="宋体" w:cs="宋体"/>
          <w:color w:val="auto"/>
          <w:kern w:val="0"/>
          <w:szCs w:val="21"/>
          <w:highlight w:val="none"/>
        </w:rPr>
        <w:t>http://zfcg.czt.zj.gov.cn</w:t>
      </w:r>
      <w:r>
        <w:rPr>
          <w:rFonts w:hint="eastAsia" w:ascii="宋体" w:hAnsi="宋体" w:eastAsia="宋体" w:cs="宋体"/>
          <w:color w:val="auto"/>
          <w:szCs w:val="21"/>
          <w:highlight w:val="none"/>
        </w:rPr>
        <w:t>）。</w:t>
      </w:r>
    </w:p>
    <w:p w14:paraId="7166C092">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38F700F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3、信用信息查询记录和证据留存的具体方式：由采购代理机构在规定查询时间内打印信用信息查询记录并归入项目档案。</w:t>
      </w:r>
    </w:p>
    <w:p w14:paraId="695E1A3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4、信用信息的使用规</w:t>
      </w:r>
      <w:r>
        <w:rPr>
          <w:rFonts w:hint="eastAsia" w:ascii="宋体" w:hAnsi="宋体" w:eastAsia="宋体" w:cs="宋体"/>
          <w:color w:val="auto"/>
          <w:szCs w:val="21"/>
          <w:highlight w:val="none"/>
        </w:rPr>
        <w:t>则：对列入失信被执行人、</w:t>
      </w:r>
      <w:r>
        <w:rPr>
          <w:rFonts w:hint="eastAsia" w:ascii="宋体" w:hAnsi="宋体" w:eastAsia="宋体" w:cs="宋体"/>
          <w:color w:val="auto"/>
          <w:szCs w:val="21"/>
          <w:highlight w:val="none"/>
          <w:lang w:eastAsia="zh-CN"/>
        </w:rPr>
        <w:t>重大税收违法失信主体</w:t>
      </w:r>
      <w:r>
        <w:rPr>
          <w:rFonts w:hint="eastAsia" w:ascii="宋体" w:hAnsi="宋体" w:eastAsia="宋体" w:cs="宋体"/>
          <w:color w:val="auto"/>
          <w:szCs w:val="21"/>
          <w:highlight w:val="none"/>
        </w:rPr>
        <w:t>、政府采购严重违法失信行为记录名单及其他不符合《中华人民共和国政府采购法》第二十二条规定条件的供应商，将被拒绝其参与政府采购活动。</w:t>
      </w:r>
    </w:p>
    <w:p w14:paraId="3FEFE72A">
      <w:pPr>
        <w:spacing w:line="360" w:lineRule="auto"/>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九</w:t>
      </w:r>
      <w:r>
        <w:rPr>
          <w:rFonts w:hint="eastAsia" w:ascii="宋体" w:hAnsi="宋体" w:eastAsia="宋体" w:cs="宋体"/>
          <w:b/>
          <w:bCs/>
          <w:color w:val="auto"/>
          <w:szCs w:val="21"/>
          <w:highlight w:val="none"/>
        </w:rPr>
        <w:t>、相关注意事项：</w:t>
      </w:r>
    </w:p>
    <w:p w14:paraId="5B92567F">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1391C82E">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09AB774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、本项目公告期限为</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个工作日。供应商认为采购文件使自己的权益受到损害的，可以自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lang w:eastAsia="zh-CN"/>
        </w:rPr>
        <w:t>提供质疑函的时间为提起质疑的时间</w:t>
      </w:r>
      <w:r>
        <w:rPr>
          <w:rFonts w:hint="eastAsia" w:ascii="宋体" w:hAnsi="宋体" w:eastAsia="宋体" w:cs="宋体"/>
          <w:color w:val="auto"/>
          <w:sz w:val="21"/>
          <w:szCs w:val="21"/>
          <w:highlight w:val="none"/>
        </w:rPr>
        <w:t>。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D0D245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73BB4FE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、请各投标供应商及时办理浙江政府采购网“政府采购供应商注册”手续。</w:t>
      </w:r>
    </w:p>
    <w:p w14:paraId="251A705E">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参与政府采购项目的注册供应商，需登录浙江政府采购网（http://zfcg.czt.zj.gov.cn）进行网上获取文件；尚未注册的供应商应当先在浙江政府采购网上申请注册，注册终审通过后再进行网上获取文件。</w:t>
      </w:r>
    </w:p>
    <w:p w14:paraId="044B863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、本项目所有公告发布网站：“浙江政府采购网”（</w:t>
      </w:r>
      <w:r>
        <w:rPr>
          <w:rFonts w:hint="eastAsia" w:ascii="宋体" w:hAnsi="宋体" w:eastAsia="宋体" w:cs="宋体"/>
          <w:color w:val="auto"/>
          <w:kern w:val="0"/>
          <w:szCs w:val="21"/>
          <w:highlight w:val="none"/>
        </w:rPr>
        <w:t>http://zfcg.czt.zj.gov.cn）。</w:t>
      </w:r>
    </w:p>
    <w:p w14:paraId="7804DFC9">
      <w:pPr>
        <w:pStyle w:val="9"/>
        <w:spacing w:after="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、采购文件发售截止时间之后有潜在供应商提出要求获取采购文件的允许其报名获取，但对采购文件有异议应按规定的时间提出，逾期提出的，采购组织机构可不予受理、答复。</w:t>
      </w:r>
    </w:p>
    <w:p w14:paraId="75CB5260">
      <w:pPr>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en-US" w:eastAsia="zh-CN"/>
        </w:rPr>
        <w:t>十</w:t>
      </w:r>
      <w:r>
        <w:rPr>
          <w:rFonts w:hint="eastAsia" w:ascii="宋体" w:hAnsi="宋体" w:eastAsia="宋体" w:cs="宋体"/>
          <w:b/>
          <w:bCs/>
          <w:color w:val="auto"/>
          <w:kern w:val="0"/>
          <w:szCs w:val="21"/>
          <w:highlight w:val="none"/>
        </w:rPr>
        <w:t>、联系方式：</w:t>
      </w:r>
    </w:p>
    <w:p w14:paraId="142E06E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采购代理机构</w:t>
      </w:r>
    </w:p>
    <w:p w14:paraId="1DB409B5">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台州永安工程咨询有限公司</w:t>
      </w:r>
    </w:p>
    <w:p w14:paraId="69D33AC7">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 xml:space="preserve">管女士 </w:t>
      </w:r>
    </w:p>
    <w:p w14:paraId="31F61C3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0576-8888</w:t>
      </w:r>
      <w:r>
        <w:rPr>
          <w:rFonts w:hint="eastAsia" w:ascii="宋体" w:hAnsi="宋体" w:eastAsia="宋体" w:cs="宋体"/>
          <w:color w:val="auto"/>
          <w:sz w:val="21"/>
          <w:szCs w:val="21"/>
          <w:highlight w:val="none"/>
          <w:lang w:val="en-US" w:eastAsia="zh-CN"/>
        </w:rPr>
        <w:t>2375</w:t>
      </w:r>
      <w:r>
        <w:rPr>
          <w:rFonts w:hint="eastAsia" w:ascii="宋体" w:hAnsi="宋体" w:eastAsia="宋体" w:cs="宋体"/>
          <w:color w:val="auto"/>
          <w:sz w:val="21"/>
          <w:szCs w:val="21"/>
          <w:highlight w:val="none"/>
          <w:lang w:eastAsia="zh-CN"/>
        </w:rPr>
        <w:t xml:space="preserve">，18857611403 </w:t>
      </w:r>
    </w:p>
    <w:p w14:paraId="46B9C5B3">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传真：0576-88882270；</w:t>
      </w:r>
    </w:p>
    <w:p w14:paraId="6D0A1EEE">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质疑接收人：</w:t>
      </w:r>
      <w:r>
        <w:rPr>
          <w:rFonts w:hint="eastAsia" w:ascii="宋体" w:hAnsi="宋体" w:eastAsia="宋体" w:cs="宋体"/>
          <w:color w:val="auto"/>
          <w:sz w:val="21"/>
          <w:szCs w:val="21"/>
          <w:highlight w:val="none"/>
          <w:lang w:val="en-US" w:eastAsia="zh-CN"/>
        </w:rPr>
        <w:t>叶先生</w:t>
      </w:r>
    </w:p>
    <w:p w14:paraId="637FB6C1">
      <w:pPr>
        <w:spacing w:line="360" w:lineRule="auto"/>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val="en-US" w:eastAsia="zh-CN"/>
        </w:rPr>
        <w:t>13857637980</w:t>
      </w:r>
    </w:p>
    <w:p w14:paraId="65E3010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台州市椒江区中环世纪6幢801室（交通银行台州分行楼上）</w:t>
      </w:r>
    </w:p>
    <w:p w14:paraId="32A5B53D">
      <w:pPr>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 xml:space="preserve">采购人 </w:t>
      </w:r>
    </w:p>
    <w:p w14:paraId="70571931">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采购人名称：</w:t>
      </w:r>
      <w:r>
        <w:rPr>
          <w:rFonts w:hint="eastAsia" w:ascii="宋体" w:hAnsi="宋体" w:cs="宋体"/>
          <w:color w:val="auto"/>
          <w:szCs w:val="21"/>
          <w:highlight w:val="none"/>
          <w:lang w:eastAsia="zh-CN"/>
        </w:rPr>
        <w:t>台州市黄岩区博物馆</w:t>
      </w:r>
    </w:p>
    <w:p w14:paraId="0BA15A5C">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询问联系人：</w:t>
      </w:r>
      <w:r>
        <w:rPr>
          <w:rFonts w:hint="eastAsia" w:ascii="宋体" w:hAnsi="宋体" w:eastAsia="宋体" w:cs="宋体"/>
          <w:color w:val="auto"/>
          <w:sz w:val="21"/>
          <w:szCs w:val="21"/>
          <w:highlight w:val="none"/>
          <w:lang w:val="en-US" w:eastAsia="zh-CN"/>
        </w:rPr>
        <w:t>周先生</w:t>
      </w:r>
      <w:r>
        <w:rPr>
          <w:rFonts w:hint="eastAsia" w:ascii="宋体" w:hAnsi="宋体" w:eastAsia="宋体" w:cs="宋体"/>
          <w:color w:val="auto"/>
          <w:szCs w:val="21"/>
          <w:highlight w:val="none"/>
        </w:rPr>
        <w:t xml:space="preserve">    询问联系电话：</w:t>
      </w:r>
      <w:r>
        <w:rPr>
          <w:rFonts w:hint="eastAsia" w:ascii="宋体" w:hAnsi="宋体" w:eastAsia="宋体" w:cs="宋体"/>
          <w:color w:val="auto"/>
          <w:sz w:val="21"/>
          <w:szCs w:val="21"/>
          <w:highlight w:val="none"/>
          <w:lang w:val="en-US" w:eastAsia="zh-CN"/>
        </w:rPr>
        <w:t>0576-81120607</w:t>
      </w:r>
    </w:p>
    <w:p w14:paraId="6A19BC92">
      <w:pPr>
        <w:spacing w:line="360" w:lineRule="auto"/>
        <w:ind w:firstLine="420" w:firstLineChars="200"/>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rPr>
        <w:t>质疑联系人：</w:t>
      </w:r>
      <w:r>
        <w:rPr>
          <w:rFonts w:hint="eastAsia" w:ascii="宋体" w:hAnsi="宋体" w:eastAsia="宋体" w:cs="宋体"/>
          <w:color w:val="auto"/>
          <w:szCs w:val="21"/>
          <w:highlight w:val="none"/>
          <w:lang w:val="en-US" w:eastAsia="zh-CN"/>
        </w:rPr>
        <w:t>XXXX</w:t>
      </w:r>
      <w:r>
        <w:rPr>
          <w:rFonts w:hint="eastAsia" w:ascii="宋体" w:hAnsi="宋体" w:eastAsia="宋体" w:cs="宋体"/>
          <w:color w:val="auto"/>
          <w:szCs w:val="21"/>
          <w:highlight w:val="none"/>
        </w:rPr>
        <w:t xml:space="preserve">      质疑联系电话：0576-</w:t>
      </w:r>
      <w:r>
        <w:rPr>
          <w:rFonts w:hint="eastAsia" w:ascii="宋体" w:hAnsi="宋体" w:eastAsia="宋体" w:cs="宋体"/>
          <w:color w:val="auto"/>
          <w:szCs w:val="21"/>
          <w:highlight w:val="none"/>
          <w:lang w:val="en-US" w:eastAsia="zh-CN"/>
        </w:rPr>
        <w:t>XXXXXXXX</w:t>
      </w:r>
    </w:p>
    <w:p w14:paraId="7591703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采购人地址：台州市黄岩区二环南路288号</w:t>
      </w:r>
    </w:p>
    <w:p w14:paraId="1B430DB2">
      <w:pPr>
        <w:spacing w:line="360" w:lineRule="auto"/>
        <w:ind w:firstLine="422" w:firstLineChars="200"/>
        <w:outlineLvl w:val="9"/>
        <w:rPr>
          <w:rFonts w:hint="eastAsia" w:ascii="宋体" w:hAnsi="宋体" w:eastAsia="宋体" w:cs="宋体"/>
          <w:color w:val="auto"/>
          <w:highlight w:val="none"/>
        </w:rPr>
      </w:pP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同级政府采购监督管理部门</w:t>
      </w:r>
    </w:p>
    <w:p w14:paraId="4A925BAC">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同级政府采购监督管理部门名称：台州市黄岩区财政局政府采购监管科</w:t>
      </w:r>
    </w:p>
    <w:p w14:paraId="5A50E85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联系人：宋先生</w:t>
      </w:r>
    </w:p>
    <w:p w14:paraId="64044DE6">
      <w:pPr>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监督投诉电话：</w:t>
      </w:r>
      <w:r>
        <w:rPr>
          <w:rFonts w:hint="eastAsia" w:ascii="宋体" w:hAnsi="宋体" w:cs="宋体"/>
          <w:color w:val="auto"/>
          <w:sz w:val="21"/>
          <w:szCs w:val="21"/>
          <w:highlight w:val="none"/>
          <w:lang w:eastAsia="zh-CN"/>
        </w:rPr>
        <w:t>0576-84111005</w:t>
      </w:r>
    </w:p>
    <w:p w14:paraId="0DE14E08">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地址：台州市黄岩区劳动南路289号</w:t>
      </w:r>
    </w:p>
    <w:p w14:paraId="0F4B1F6D">
      <w:pPr>
        <w:pStyle w:val="21"/>
        <w:numPr>
          <w:ilvl w:val="0"/>
          <w:numId w:val="0"/>
        </w:numPr>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银行（中标项目贷款咨询）</w:t>
      </w:r>
    </w:p>
    <w:p w14:paraId="18319ABA">
      <w:pPr>
        <w:jc w:val="both"/>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w:t>
      </w:r>
      <w:r>
        <w:rPr>
          <w:rFonts w:hint="eastAsia" w:ascii="宋体" w:hAnsi="宋体" w:eastAsia="宋体" w:cs="宋体"/>
          <w:b w:val="0"/>
          <w:bCs w:val="0"/>
          <w:color w:val="auto"/>
          <w:sz w:val="21"/>
          <w:szCs w:val="21"/>
          <w:highlight w:val="none"/>
        </w:rPr>
        <w:t>函联系方式</w:t>
      </w:r>
    </w:p>
    <w:tbl>
      <w:tblPr>
        <w:tblStyle w:val="24"/>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43AF0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24ABED0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3D72E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0892849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1F7E5E2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255395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3568D1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10E541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ADC5C9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48B2173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689AE14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1529FF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1C24BBC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54F5A0A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522999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701FD8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CE3AA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08F03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2A20055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1185F03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1C574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26FFAA3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1CD1133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186499B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39C77B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23B383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B1116E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2604BAC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22F0F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82EA65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1709A64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9114EB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210ABB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262C128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26A500E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16CDE3C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AB59DC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08A2DA2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1AEF72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206E0B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2716C01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86DC454">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6284B89A">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2D1D774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22F8EFC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D900B2D">
      <w:pPr>
        <w:jc w:val="both"/>
        <w:rPr>
          <w:rFonts w:hint="eastAsia" w:ascii="宋体" w:hAnsi="宋体" w:eastAsia="宋体" w:cs="宋体"/>
          <w:b/>
          <w:bCs/>
          <w:color w:val="auto"/>
          <w:sz w:val="21"/>
          <w:szCs w:val="21"/>
          <w:highlight w:val="none"/>
        </w:rPr>
      </w:pPr>
    </w:p>
    <w:p w14:paraId="113F8CBC">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w:t>
      </w:r>
      <w:r>
        <w:rPr>
          <w:rFonts w:hint="eastAsia" w:ascii="宋体" w:hAnsi="宋体" w:eastAsia="宋体" w:cs="宋体"/>
          <w:b w:val="0"/>
          <w:bCs w:val="0"/>
          <w:color w:val="auto"/>
          <w:sz w:val="21"/>
          <w:szCs w:val="21"/>
          <w:highlight w:val="none"/>
        </w:rPr>
        <w:t>函联系方式</w:t>
      </w:r>
    </w:p>
    <w:tbl>
      <w:tblPr>
        <w:tblStyle w:val="24"/>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017C004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0DBD5E23">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0B2C7735">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56C4DB1F">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380700E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EFD4F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37C5857F">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38290C4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69257FD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09C5DE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0908A8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8B748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5DC43215">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13C7002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0A2B93B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4D0CC0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313CC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EE59FA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71FA49A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4F720F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7B05BDB0">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5AA39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1AAD7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4F75366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356DFD9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0B9CDDD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63506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637D2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74DAB3F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3B8806E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0D8E247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2595A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4EF9FA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577D5DC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3705D8A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4653F4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9086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68A5C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229FC46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78E4C8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2A1ADF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720F27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5825E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14292C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0FC4FE3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75AD2A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81641C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24C3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68BBECE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516815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35F946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4B0578F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67B0A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94A672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6F885E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DBD7C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4952B87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754F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6FE94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0DB7BC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63ED76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4FACAB8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4EE9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65D856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5FC3712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2878FEB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0E67EF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28B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C8669D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6701550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192C4E1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EA8CEE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6B3ABDB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42737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B78B7F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6DEF6A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074A7C6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81B359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1D865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FE556A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1B0310F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78DFF8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3E8EBB6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0359823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2C1FD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52BE32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46101D0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3FED9F6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4EA713C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21E4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1BDE20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1489827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7CC717D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5AF041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66054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44FC699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0C96CD8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2710BCB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4BF75A9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12517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0220922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061776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11C2C042">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65C840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31A7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F19A6C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2354E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16AFBB8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04EC6C3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696C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08F7C9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765EF6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7779BFD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71FFD43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2F58F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1D5E30D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2D6900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758F5D1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4399BA1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6AFE485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72C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22B2040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2E20EA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0BCE9F9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042C13E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04DD3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69" w:type="dxa"/>
            <w:vAlign w:val="center"/>
          </w:tcPr>
          <w:p w14:paraId="3D23DA3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0A95C4C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3A9959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69F5CC8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2A80064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4F6959C9">
      <w:pPr>
        <w:pStyle w:val="30"/>
        <w:rPr>
          <w:rFonts w:hint="eastAsia" w:ascii="宋体" w:hAnsi="宋体" w:eastAsia="宋体" w:cs="宋体"/>
          <w:color w:val="auto"/>
          <w:highlight w:val="none"/>
        </w:rPr>
      </w:pPr>
    </w:p>
    <w:p w14:paraId="6D7E34F1">
      <w:pPr>
        <w:keepNext w:val="0"/>
        <w:keepLines w:val="0"/>
        <w:pageBreakBefore w:val="0"/>
        <w:kinsoku/>
        <w:topLinePunct w:val="0"/>
        <w:bidi w:val="0"/>
        <w:spacing w:beforeAutospacing="0" w:afterAutospacing="0" w:line="360" w:lineRule="auto"/>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十</w:t>
      </w:r>
      <w:r>
        <w:rPr>
          <w:rFonts w:hint="eastAsia" w:ascii="宋体" w:hAnsi="宋体" w:eastAsia="宋体" w:cs="宋体"/>
          <w:b/>
          <w:color w:val="auto"/>
          <w:szCs w:val="21"/>
          <w:highlight w:val="none"/>
          <w:lang w:val="en-US" w:eastAsia="zh-CN"/>
        </w:rPr>
        <w:t>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8"/>
          <w:rFonts w:hint="eastAsia" w:ascii="宋体" w:hAnsi="宋体" w:eastAsia="宋体" w:cs="宋体"/>
          <w:color w:val="auto"/>
          <w:szCs w:val="21"/>
          <w:highlight w:val="none"/>
        </w:rPr>
        <w:t>http://zfcg.czt.zj.gov.cn</w:t>
      </w:r>
      <w:r>
        <w:rPr>
          <w:rStyle w:val="28"/>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2DA31887">
      <w:pPr>
        <w:spacing w:line="360" w:lineRule="auto"/>
        <w:ind w:right="-252" w:rightChars="-12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r>
        <w:rPr>
          <w:rFonts w:hint="eastAsia" w:ascii="宋体" w:hAnsi="宋体" w:eastAsia="宋体" w:cs="宋体"/>
          <w:b/>
          <w:color w:val="auto"/>
          <w:szCs w:val="21"/>
          <w:highlight w:val="none"/>
        </w:rPr>
        <w:t>。</w:t>
      </w:r>
    </w:p>
    <w:p w14:paraId="66812D71">
      <w:pPr>
        <w:jc w:val="right"/>
        <w:rPr>
          <w:rFonts w:hint="eastAsia" w:ascii="宋体" w:hAnsi="宋体" w:eastAsia="宋体" w:cs="宋体"/>
          <w:color w:val="auto"/>
          <w:szCs w:val="21"/>
          <w:highlight w:val="none"/>
        </w:rPr>
      </w:pPr>
    </w:p>
    <w:p w14:paraId="4E0C7E06">
      <w:pPr>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台州永安工程咨询有限公司</w:t>
      </w:r>
    </w:p>
    <w:p w14:paraId="42519CDD">
      <w:pPr>
        <w:pStyle w:val="9"/>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二○二五年六月</w:t>
      </w:r>
    </w:p>
    <w:p w14:paraId="07FEE628">
      <w:pPr>
        <w:pStyle w:val="9"/>
        <w:jc w:val="right"/>
        <w:rPr>
          <w:rFonts w:hint="eastAsia" w:ascii="宋体" w:hAnsi="宋体" w:eastAsia="宋体" w:cs="宋体"/>
          <w:color w:val="auto"/>
          <w:szCs w:val="21"/>
          <w:highlight w:val="none"/>
        </w:rPr>
      </w:pPr>
    </w:p>
    <w:p w14:paraId="3E3A32C1">
      <w:pPr>
        <w:pStyle w:val="9"/>
        <w:jc w:val="right"/>
        <w:rPr>
          <w:rFonts w:hint="eastAsia" w:ascii="宋体" w:hAnsi="宋体" w:eastAsia="宋体" w:cs="宋体"/>
          <w:color w:val="auto"/>
          <w:sz w:val="24"/>
          <w:highlight w:val="none"/>
        </w:rPr>
      </w:pPr>
    </w:p>
    <w:p w14:paraId="3CD5397E">
      <w:pPr>
        <w:pStyle w:val="21"/>
        <w:rPr>
          <w:rFonts w:hint="eastAsia" w:ascii="宋体" w:hAnsi="宋体" w:eastAsia="宋体" w:cs="宋体"/>
          <w:color w:val="auto"/>
          <w:sz w:val="24"/>
          <w:highlight w:val="none"/>
        </w:rPr>
      </w:pPr>
    </w:p>
    <w:p w14:paraId="683746F2">
      <w:pPr>
        <w:rPr>
          <w:rFonts w:hint="eastAsia" w:ascii="宋体" w:hAnsi="宋体" w:eastAsia="宋体" w:cs="宋体"/>
          <w:color w:val="auto"/>
          <w:highlight w:val="none"/>
        </w:rPr>
      </w:pPr>
    </w:p>
    <w:p w14:paraId="78B53067">
      <w:pPr>
        <w:numPr>
          <w:ilvl w:val="0"/>
          <w:numId w:val="3"/>
        </w:numPr>
        <w:spacing w:line="360" w:lineRule="auto"/>
        <w:jc w:val="center"/>
        <w:rPr>
          <w:rFonts w:hint="eastAsia" w:ascii="宋体" w:hAnsi="宋体" w:eastAsia="宋体" w:cs="宋体"/>
          <w:b/>
          <w:color w:val="auto"/>
          <w:sz w:val="36"/>
          <w:szCs w:val="36"/>
          <w:highlight w:val="none"/>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p>
    <w:p w14:paraId="199982B1">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53390164">
      <w:pPr>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  附 表</w:t>
      </w:r>
    </w:p>
    <w:tbl>
      <w:tblPr>
        <w:tblStyle w:val="23"/>
        <w:tblW w:w="9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2123"/>
        <w:gridCol w:w="6692"/>
      </w:tblGrid>
      <w:tr w14:paraId="03328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jc w:val="center"/>
        </w:trPr>
        <w:tc>
          <w:tcPr>
            <w:tcW w:w="718" w:type="dxa"/>
            <w:vAlign w:val="center"/>
          </w:tcPr>
          <w:p w14:paraId="6F127FD9">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2123" w:type="dxa"/>
            <w:vAlign w:val="center"/>
          </w:tcPr>
          <w:p w14:paraId="3806EEED">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692" w:type="dxa"/>
            <w:vAlign w:val="center"/>
          </w:tcPr>
          <w:p w14:paraId="14125418">
            <w:pPr>
              <w:spacing w:line="24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内容</w:t>
            </w:r>
          </w:p>
        </w:tc>
      </w:tr>
      <w:tr w14:paraId="2D33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7F2904B9">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123" w:type="dxa"/>
            <w:vAlign w:val="center"/>
          </w:tcPr>
          <w:p w14:paraId="0FEA95FB">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692" w:type="dxa"/>
            <w:vAlign w:val="center"/>
          </w:tcPr>
          <w:p w14:paraId="137EE370">
            <w:pPr>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项目类别：</w:t>
            </w:r>
            <w:r>
              <w:rPr>
                <w:rFonts w:hint="eastAsia" w:ascii="宋体" w:hAnsi="宋体" w:eastAsia="宋体" w:cs="宋体"/>
                <w:color w:val="auto"/>
                <w:sz w:val="21"/>
                <w:szCs w:val="21"/>
                <w:highlight w:val="none"/>
                <w:lang w:val="en-US" w:eastAsia="zh-CN"/>
              </w:rPr>
              <w:t>货物类</w:t>
            </w:r>
          </w:p>
          <w:p w14:paraId="5CD791EB">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w:t>
            </w:r>
            <w:r>
              <w:rPr>
                <w:rFonts w:hint="eastAsia" w:ascii="宋体" w:hAnsi="宋体" w:eastAsia="宋体" w:cs="宋体"/>
                <w:color w:val="auto"/>
                <w:sz w:val="21"/>
                <w:szCs w:val="21"/>
                <w:highlight w:val="none"/>
                <w:lang w:eastAsia="zh-CN"/>
              </w:rPr>
              <w:t>（二）工业；</w:t>
            </w:r>
          </w:p>
        </w:tc>
      </w:tr>
      <w:tr w14:paraId="0710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12093D3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2123" w:type="dxa"/>
            <w:vAlign w:val="center"/>
          </w:tcPr>
          <w:p w14:paraId="698BBC39">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供应商特定资格要求</w:t>
            </w:r>
          </w:p>
        </w:tc>
        <w:tc>
          <w:tcPr>
            <w:tcW w:w="6692" w:type="dxa"/>
            <w:vAlign w:val="center"/>
          </w:tcPr>
          <w:p w14:paraId="78E63AB7">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符合招标公告资格要求的供应商</w:t>
            </w:r>
          </w:p>
        </w:tc>
      </w:tr>
      <w:tr w14:paraId="46960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718" w:type="dxa"/>
            <w:vAlign w:val="center"/>
          </w:tcPr>
          <w:p w14:paraId="2A8D5C7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3</w:t>
            </w:r>
          </w:p>
        </w:tc>
        <w:tc>
          <w:tcPr>
            <w:tcW w:w="2123" w:type="dxa"/>
            <w:vAlign w:val="center"/>
          </w:tcPr>
          <w:p w14:paraId="5168EDF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答疑会或现场踏勘</w:t>
            </w:r>
          </w:p>
        </w:tc>
        <w:tc>
          <w:tcPr>
            <w:tcW w:w="6692" w:type="dxa"/>
            <w:vAlign w:val="center"/>
          </w:tcPr>
          <w:p w14:paraId="5BA4C28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14:paraId="497FF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18" w:type="dxa"/>
            <w:vAlign w:val="center"/>
          </w:tcPr>
          <w:p w14:paraId="55BC8B9D">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4</w:t>
            </w:r>
          </w:p>
        </w:tc>
        <w:tc>
          <w:tcPr>
            <w:tcW w:w="2123" w:type="dxa"/>
            <w:vAlign w:val="center"/>
          </w:tcPr>
          <w:p w14:paraId="763E41FA">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投标文件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692" w:type="dxa"/>
            <w:vAlign w:val="center"/>
          </w:tcPr>
          <w:p w14:paraId="20E093EE">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本项目实行电子投标，供应商应准备电子投标文件、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以介质（U盘）存储的数据电文形式的备份投标文件</w:t>
            </w:r>
            <w:r>
              <w:rPr>
                <w:rFonts w:hint="eastAsia" w:ascii="宋体" w:hAnsi="宋体" w:eastAsia="宋体" w:cs="宋体"/>
                <w:color w:val="auto"/>
                <w:sz w:val="21"/>
                <w:szCs w:val="21"/>
                <w:highlight w:val="none"/>
                <w:lang w:eastAsia="zh-CN"/>
              </w:rPr>
              <w:t>。</w:t>
            </w:r>
          </w:p>
          <w:p w14:paraId="7419237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电子投标文件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电子投标</w:t>
            </w:r>
            <w:r>
              <w:rPr>
                <w:rFonts w:hint="eastAsia" w:ascii="宋体" w:hAnsi="宋体" w:eastAsia="宋体" w:cs="宋体"/>
                <w:color w:val="auto"/>
                <w:sz w:val="21"/>
                <w:szCs w:val="21"/>
                <w:highlight w:val="none"/>
              </w:rPr>
              <w:t>文件。</w:t>
            </w:r>
          </w:p>
          <w:p w14:paraId="42C7BA56">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是指“电子投标文件”同时生成的数据电文形式的电子文件（备份标书），以U盘形式提供。</w:t>
            </w:r>
          </w:p>
          <w:p w14:paraId="26B5C7A6">
            <w:pPr>
              <w:spacing w:line="240" w:lineRule="auto"/>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0ADDB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3E29FC2">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2123" w:type="dxa"/>
            <w:vAlign w:val="center"/>
          </w:tcPr>
          <w:p w14:paraId="0EABD5C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投标文件有效期</w:t>
            </w:r>
          </w:p>
        </w:tc>
        <w:tc>
          <w:tcPr>
            <w:tcW w:w="6692" w:type="dxa"/>
            <w:vAlign w:val="center"/>
          </w:tcPr>
          <w:p w14:paraId="3DBB079C">
            <w:pPr>
              <w:spacing w:line="240" w:lineRule="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投标有效期为90天，投标有效期从提交投标文件的截止之日起算。</w:t>
            </w:r>
          </w:p>
        </w:tc>
      </w:tr>
      <w:tr w14:paraId="53869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43BC36A3">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6</w:t>
            </w:r>
          </w:p>
        </w:tc>
        <w:tc>
          <w:tcPr>
            <w:tcW w:w="2123" w:type="dxa"/>
            <w:vAlign w:val="center"/>
          </w:tcPr>
          <w:p w14:paraId="52E4D05D">
            <w:pPr>
              <w:pStyle w:val="9"/>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电子投标文件的传输递交</w:t>
            </w:r>
          </w:p>
        </w:tc>
        <w:tc>
          <w:tcPr>
            <w:tcW w:w="6692" w:type="dxa"/>
            <w:vAlign w:val="center"/>
          </w:tcPr>
          <w:p w14:paraId="661FB938">
            <w:pPr>
              <w:spacing w:line="240" w:lineRule="auto"/>
              <w:rPr>
                <w:rFonts w:hint="eastAsia" w:ascii="宋体" w:hAnsi="宋体" w:eastAsia="宋体" w:cs="宋体"/>
                <w:b/>
                <w:bCs/>
                <w:color w:val="auto"/>
                <w:szCs w:val="21"/>
                <w:highlight w:val="none"/>
                <w:u w:val="single"/>
              </w:rPr>
            </w:pPr>
            <w:r>
              <w:rPr>
                <w:rFonts w:hint="eastAsia" w:ascii="宋体" w:hAnsi="宋体" w:eastAsia="宋体" w:cs="宋体"/>
                <w:b/>
                <w:bCs/>
                <w:color w:val="auto"/>
                <w:szCs w:val="21"/>
                <w:highlight w:val="none"/>
              </w:rPr>
              <w:t>截止时间：</w:t>
            </w:r>
            <w:r>
              <w:rPr>
                <w:rFonts w:hint="eastAsia" w:ascii="宋体" w:hAnsi="宋体" w:eastAsia="宋体" w:cs="宋体"/>
                <w:color w:val="auto"/>
                <w:szCs w:val="21"/>
                <w:highlight w:val="none"/>
              </w:rPr>
              <w:t xml:space="preserve"> </w:t>
            </w:r>
            <w:r>
              <w:rPr>
                <w:rFonts w:hint="eastAsia" w:ascii="宋体" w:hAnsi="宋体" w:cs="宋体"/>
                <w:b/>
                <w:bCs/>
                <w:color w:val="auto"/>
                <w:szCs w:val="21"/>
                <w:highlight w:val="none"/>
                <w:u w:val="single"/>
                <w:lang w:eastAsia="zh-CN"/>
              </w:rPr>
              <w:t>2025年  月  日14:30</w:t>
            </w:r>
            <w:r>
              <w:rPr>
                <w:rFonts w:hint="eastAsia" w:ascii="宋体" w:hAnsi="宋体" w:eastAsia="宋体" w:cs="宋体"/>
                <w:b/>
                <w:bCs/>
                <w:color w:val="auto"/>
                <w:szCs w:val="21"/>
                <w:highlight w:val="none"/>
                <w:u w:val="single"/>
                <w:lang w:eastAsia="zh-CN"/>
              </w:rPr>
              <w:t>整</w:t>
            </w:r>
          </w:p>
          <w:p w14:paraId="689E67C9">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寄达的投标文件，将被拒收。</w:t>
            </w:r>
          </w:p>
        </w:tc>
      </w:tr>
      <w:tr w14:paraId="16BD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18" w:type="dxa"/>
            <w:vAlign w:val="center"/>
          </w:tcPr>
          <w:p w14:paraId="7028CCE9">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7</w:t>
            </w:r>
          </w:p>
        </w:tc>
        <w:tc>
          <w:tcPr>
            <w:tcW w:w="2123" w:type="dxa"/>
            <w:vAlign w:val="center"/>
          </w:tcPr>
          <w:p w14:paraId="5B72861E">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备份投标文件的递交</w:t>
            </w:r>
          </w:p>
        </w:tc>
        <w:tc>
          <w:tcPr>
            <w:tcW w:w="6692" w:type="dxa"/>
            <w:vAlign w:val="center"/>
          </w:tcPr>
          <w:p w14:paraId="51B75DFC">
            <w:pPr>
              <w:pStyle w:val="54"/>
              <w:snapToGrid w:val="0"/>
              <w:spacing w:line="240" w:lineRule="auto"/>
              <w:rPr>
                <w:rFonts w:hint="eastAsia" w:ascii="宋体" w:hAnsi="宋体" w:eastAsia="宋体" w:cs="宋体"/>
                <w:color w:val="auto"/>
                <w:kern w:val="2"/>
                <w:highlight w:val="none"/>
              </w:rPr>
            </w:pPr>
            <w:r>
              <w:rPr>
                <w:rFonts w:hint="eastAsia" w:ascii="宋体" w:hAnsi="宋体" w:eastAsia="宋体" w:cs="宋体"/>
                <w:color w:val="auto"/>
                <w:kern w:val="2"/>
                <w:highlight w:val="none"/>
              </w:rPr>
              <w:t>供应商同时还可以提供经政采云平台加密处理的、以介质（U盘）存储的数据电文形式的备份投标文件（不强制要求，未递交备份文件的风险由供应商自行承担）。递交备份</w:t>
            </w:r>
            <w:r>
              <w:rPr>
                <w:rFonts w:hint="eastAsia" w:ascii="宋体" w:hAnsi="宋体" w:eastAsia="宋体" w:cs="宋体"/>
                <w:color w:val="auto"/>
                <w:kern w:val="2"/>
                <w:highlight w:val="none"/>
                <w:lang w:val="en-US" w:eastAsia="zh-CN"/>
              </w:rPr>
              <w:t>投标</w:t>
            </w:r>
            <w:r>
              <w:rPr>
                <w:rFonts w:hint="eastAsia" w:ascii="宋体" w:hAnsi="宋体" w:eastAsia="宋体" w:cs="宋体"/>
                <w:color w:val="auto"/>
                <w:kern w:val="2"/>
                <w:highlight w:val="none"/>
              </w:rPr>
              <w:t>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w:t>
            </w:r>
            <w:r>
              <w:rPr>
                <w:rFonts w:hint="eastAsia" w:ascii="宋体" w:hAnsi="宋体" w:eastAsia="宋体" w:cs="宋体"/>
                <w:color w:val="auto"/>
                <w:kern w:val="2"/>
                <w:highlight w:val="none"/>
                <w:lang w:val="en-US" w:eastAsia="zh-CN"/>
              </w:rPr>
              <w:t>建议</w:t>
            </w:r>
            <w:r>
              <w:rPr>
                <w:rFonts w:hint="eastAsia" w:ascii="宋体" w:hAnsi="宋体" w:eastAsia="宋体" w:cs="宋体"/>
                <w:color w:val="auto"/>
                <w:kern w:val="2"/>
                <w:highlight w:val="none"/>
              </w:rPr>
              <w:t>顺丰邮寄或直接递交到</w:t>
            </w:r>
            <w:r>
              <w:rPr>
                <w:rFonts w:hint="eastAsia" w:ascii="宋体" w:hAnsi="宋体" w:eastAsia="宋体" w:cs="宋体"/>
                <w:b/>
                <w:bCs/>
                <w:color w:val="auto"/>
                <w:kern w:val="2"/>
                <w:highlight w:val="none"/>
              </w:rPr>
              <w:t>台州市椒江区中环世纪6幢801室（交通银行台州分行楼上）收件人：俞雅琪；联系电话：15757696186</w:t>
            </w:r>
            <w:r>
              <w:rPr>
                <w:rFonts w:hint="eastAsia" w:ascii="宋体" w:hAnsi="宋体" w:eastAsia="宋体" w:cs="宋体"/>
                <w:color w:val="auto"/>
                <w:kern w:val="2"/>
                <w:highlight w:val="none"/>
              </w:rPr>
              <w:t>，逾期寄达</w:t>
            </w:r>
            <w:r>
              <w:rPr>
                <w:rFonts w:hint="eastAsia" w:ascii="宋体" w:hAnsi="宋体" w:eastAsia="宋体" w:cs="宋体"/>
                <w:color w:val="auto"/>
                <w:kern w:val="2"/>
                <w:highlight w:val="none"/>
                <w:lang w:eastAsia="zh-CN"/>
              </w:rPr>
              <w:t>、</w:t>
            </w:r>
            <w:r>
              <w:rPr>
                <w:rFonts w:hint="eastAsia" w:ascii="宋体" w:hAnsi="宋体" w:eastAsia="宋体" w:cs="宋体"/>
                <w:color w:val="auto"/>
                <w:kern w:val="2"/>
                <w:highlight w:val="none"/>
                <w:lang w:val="en-US" w:eastAsia="zh-CN"/>
              </w:rPr>
              <w:t>到付</w:t>
            </w:r>
            <w:r>
              <w:rPr>
                <w:rFonts w:hint="eastAsia" w:ascii="宋体" w:hAnsi="宋体" w:eastAsia="宋体" w:cs="宋体"/>
                <w:color w:val="auto"/>
                <w:kern w:val="2"/>
                <w:highlight w:val="none"/>
              </w:rPr>
              <w:t>或未按要求密封将被拒收。</w:t>
            </w:r>
            <w:r>
              <w:rPr>
                <w:rFonts w:hint="eastAsia" w:ascii="宋体" w:hAnsi="宋体" w:eastAsia="宋体" w:cs="宋体"/>
                <w:color w:val="auto"/>
                <w:szCs w:val="21"/>
                <w:highlight w:val="none"/>
              </w:rPr>
              <w:t>▲</w:t>
            </w:r>
            <w:r>
              <w:rPr>
                <w:rFonts w:hint="eastAsia" w:ascii="宋体" w:hAnsi="宋体" w:eastAsia="宋体" w:cs="宋体"/>
                <w:color w:val="auto"/>
                <w:kern w:val="2"/>
                <w:highlight w:val="none"/>
              </w:rPr>
              <w:t>如投标人未在投标截止时间前完成电子投标文件的传输递交，其备份投标文件也将为无效投标文件。</w:t>
            </w:r>
          </w:p>
          <w:p w14:paraId="1DE95735">
            <w:pPr>
              <w:spacing w:line="240" w:lineRule="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截止时间：</w:t>
            </w:r>
            <w:r>
              <w:rPr>
                <w:rFonts w:hint="eastAsia" w:ascii="宋体" w:hAnsi="宋体" w:eastAsia="宋体" w:cs="宋体"/>
                <w:b/>
                <w:bCs/>
                <w:color w:val="auto"/>
                <w:szCs w:val="21"/>
                <w:highlight w:val="none"/>
                <w:u w:val="single"/>
              </w:rPr>
              <w:t xml:space="preserve"> </w:t>
            </w:r>
            <w:r>
              <w:rPr>
                <w:rFonts w:hint="eastAsia" w:ascii="宋体" w:hAnsi="宋体" w:cs="宋体"/>
                <w:b/>
                <w:bCs/>
                <w:color w:val="auto"/>
                <w:szCs w:val="21"/>
                <w:highlight w:val="none"/>
                <w:u w:val="single"/>
                <w:lang w:eastAsia="zh-CN"/>
              </w:rPr>
              <w:t>2025年  月  日14:30</w:t>
            </w:r>
            <w:r>
              <w:rPr>
                <w:rFonts w:hint="eastAsia" w:ascii="宋体" w:hAnsi="宋体" w:eastAsia="宋体" w:cs="宋体"/>
                <w:b/>
                <w:bCs/>
                <w:color w:val="auto"/>
                <w:szCs w:val="21"/>
                <w:highlight w:val="none"/>
                <w:u w:val="single"/>
                <w:lang w:eastAsia="zh-CN"/>
              </w:rPr>
              <w:t>整</w:t>
            </w:r>
          </w:p>
        </w:tc>
      </w:tr>
      <w:tr w14:paraId="234A0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18" w:type="dxa"/>
            <w:vAlign w:val="center"/>
          </w:tcPr>
          <w:p w14:paraId="2D91C3CF">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8</w:t>
            </w:r>
          </w:p>
        </w:tc>
        <w:tc>
          <w:tcPr>
            <w:tcW w:w="2123" w:type="dxa"/>
            <w:vAlign w:val="center"/>
          </w:tcPr>
          <w:p w14:paraId="3326366B">
            <w:pPr>
              <w:keepNext w:val="0"/>
              <w:keepLines w:val="0"/>
              <w:pageBreakBefore w:val="0"/>
              <w:kinsoku/>
              <w:wordWrap/>
              <w:overflowPunct/>
              <w:topLinePunct w:val="0"/>
              <w:bidi w:val="0"/>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备份投标文件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692" w:type="dxa"/>
            <w:vAlign w:val="center"/>
          </w:tcPr>
          <w:p w14:paraId="717E02DD">
            <w:pPr>
              <w:pStyle w:val="18"/>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4B7239CA">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备份投标文件在密封袋的封口处加盖投标人公章、法定代表人代表或授权委托代理人印章或签字。封皮上写明项目编号、标项、招标项目名称、投标人名称，并注明“投标文件名称”、“开标时启封”字样</w:t>
            </w:r>
            <w:r>
              <w:rPr>
                <w:rFonts w:hint="eastAsia" w:ascii="宋体" w:hAnsi="宋体" w:cs="宋体"/>
                <w:bCs/>
                <w:color w:val="auto"/>
                <w:sz w:val="21"/>
                <w:szCs w:val="21"/>
                <w:highlight w:val="none"/>
                <w:lang w:eastAsia="zh-CN"/>
              </w:rPr>
              <w:t>。</w:t>
            </w:r>
          </w:p>
          <w:p w14:paraId="7DA9C802">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bCs/>
                <w:color w:val="auto"/>
                <w:sz w:val="21"/>
                <w:szCs w:val="21"/>
                <w:highlight w:val="none"/>
              </w:rPr>
              <w:t>，采购代理机构对投标文件的误投和提前启封不负责任。</w:t>
            </w:r>
          </w:p>
          <w:p w14:paraId="224040FE">
            <w:pPr>
              <w:keepNext w:val="0"/>
              <w:keepLines w:val="0"/>
              <w:pageBreakBefore w:val="0"/>
              <w:kinsoku/>
              <w:wordWrap/>
              <w:overflowPunct/>
              <w:topLinePunct w:val="0"/>
              <w:bidi w:val="0"/>
              <w:spacing w:line="240" w:lineRule="auto"/>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如电子投标文件解密成功，则备份投标文件不再拆封。</w:t>
            </w:r>
          </w:p>
        </w:tc>
      </w:tr>
      <w:tr w14:paraId="67838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18" w:type="dxa"/>
            <w:vAlign w:val="center"/>
          </w:tcPr>
          <w:p w14:paraId="5408CD5C">
            <w:pPr>
              <w:spacing w:line="240" w:lineRule="auto"/>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9</w:t>
            </w:r>
          </w:p>
        </w:tc>
        <w:tc>
          <w:tcPr>
            <w:tcW w:w="2123" w:type="dxa"/>
            <w:vAlign w:val="center"/>
          </w:tcPr>
          <w:p w14:paraId="6615491C">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电子投标文件解密时间及地点</w:t>
            </w:r>
          </w:p>
        </w:tc>
        <w:tc>
          <w:tcPr>
            <w:tcW w:w="6692" w:type="dxa"/>
            <w:vAlign w:val="center"/>
          </w:tcPr>
          <w:p w14:paraId="38FC4D46">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时间：</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15:00</w:t>
            </w:r>
            <w:r>
              <w:rPr>
                <w:rFonts w:hint="eastAsia" w:ascii="宋体" w:hAnsi="宋体" w:eastAsia="宋体" w:cs="宋体"/>
                <w:color w:val="auto"/>
                <w:sz w:val="21"/>
                <w:szCs w:val="21"/>
                <w:highlight w:val="none"/>
              </w:rPr>
              <w:t>（北京时间）</w:t>
            </w:r>
          </w:p>
          <w:p w14:paraId="5B633443">
            <w:pPr>
              <w:pStyle w:val="53"/>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rPr>
              <w:t>地点：</w:t>
            </w:r>
            <w:r>
              <w:rPr>
                <w:rFonts w:hint="eastAsia" w:ascii="宋体" w:hAnsi="宋体" w:eastAsia="宋体" w:cs="宋体"/>
                <w:color w:val="auto"/>
                <w:kern w:val="2"/>
                <w:sz w:val="21"/>
                <w:szCs w:val="21"/>
                <w:highlight w:val="none"/>
                <w:lang w:val="en-US" w:eastAsia="zh-CN" w:bidi="ar-SA"/>
              </w:rPr>
              <w:t>政采云平台（www.zcygov.cn）</w:t>
            </w:r>
          </w:p>
        </w:tc>
      </w:tr>
      <w:tr w14:paraId="3630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718" w:type="dxa"/>
            <w:vAlign w:val="center"/>
          </w:tcPr>
          <w:p w14:paraId="130520B6">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123" w:type="dxa"/>
            <w:vAlign w:val="center"/>
          </w:tcPr>
          <w:p w14:paraId="66BB34F0">
            <w:pPr>
              <w:spacing w:line="240" w:lineRule="auto"/>
              <w:jc w:val="center"/>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实质性条款</w:t>
            </w:r>
          </w:p>
        </w:tc>
        <w:tc>
          <w:tcPr>
            <w:tcW w:w="6692" w:type="dxa"/>
            <w:vAlign w:val="center"/>
          </w:tcPr>
          <w:p w14:paraId="4B1ECCF8">
            <w:pPr>
              <w:spacing w:line="24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带“</w:t>
            </w:r>
            <w:r>
              <w:rPr>
                <w:rFonts w:hint="eastAsia" w:ascii="宋体" w:hAnsi="宋体" w:eastAsia="宋体" w:cs="宋体"/>
                <w:color w:val="auto"/>
                <w:szCs w:val="21"/>
                <w:highlight w:val="none"/>
              </w:rPr>
              <w:t>▲”的条款是实质性条款，投标文件须作出实质性响应，否则作无效投标处理。</w:t>
            </w:r>
          </w:p>
        </w:tc>
      </w:tr>
      <w:tr w14:paraId="5B4EF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0CCAC765">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11</w:t>
            </w:r>
          </w:p>
        </w:tc>
        <w:tc>
          <w:tcPr>
            <w:tcW w:w="2123" w:type="dxa"/>
            <w:vAlign w:val="center"/>
          </w:tcPr>
          <w:p w14:paraId="0D062D39">
            <w:pPr>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692" w:type="dxa"/>
            <w:vAlign w:val="center"/>
          </w:tcPr>
          <w:p w14:paraId="5E06C6E3">
            <w:pPr>
              <w:numPr>
                <w:ilvl w:val="0"/>
                <w:numId w:val="4"/>
              </w:numPr>
              <w:spacing w:line="240" w:lineRule="auto"/>
              <w:jc w:val="left"/>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6D856E65">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7C45D1E4">
            <w:pPr>
              <w:numPr>
                <w:ilvl w:val="0"/>
                <w:numId w:val="4"/>
              </w:numPr>
              <w:spacing w:line="240" w:lineRule="auto"/>
              <w:ind w:left="0" w:leftChars="0" w:firstLine="0" w:firstLineChars="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6FB403EE">
            <w:pPr>
              <w:numPr>
                <w:ilvl w:val="0"/>
                <w:numId w:val="0"/>
              </w:numPr>
              <w:spacing w:line="240" w:lineRule="auto"/>
              <w:ind w:leftChars="0"/>
              <w:jc w:val="left"/>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4、现场演示：</w:t>
            </w:r>
            <w:r>
              <w:rPr>
                <w:rFonts w:hint="eastAsia" w:ascii="宋体" w:hAnsi="宋体" w:cs="宋体"/>
                <w:color w:val="auto"/>
                <w:szCs w:val="21"/>
                <w:highlight w:val="none"/>
                <w:lang w:val="en-US" w:eastAsia="zh-CN"/>
              </w:rPr>
              <w:t>有</w:t>
            </w:r>
            <w:r>
              <w:rPr>
                <w:rFonts w:hint="eastAsia" w:ascii="宋体" w:hAnsi="宋体" w:eastAsia="宋体" w:cs="宋体"/>
                <w:color w:val="auto"/>
                <w:szCs w:val="21"/>
                <w:highlight w:val="none"/>
              </w:rPr>
              <w:t>要求。</w:t>
            </w:r>
          </w:p>
        </w:tc>
      </w:tr>
      <w:tr w14:paraId="63B2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718" w:type="dxa"/>
            <w:vAlign w:val="center"/>
          </w:tcPr>
          <w:p w14:paraId="63C1B3CD">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123" w:type="dxa"/>
            <w:vAlign w:val="center"/>
          </w:tcPr>
          <w:p w14:paraId="702E0200">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sz w:val="21"/>
                <w:szCs w:val="21"/>
                <w:highlight w:val="none"/>
              </w:rPr>
              <w:t>中小企业扶持政策</w:t>
            </w:r>
          </w:p>
        </w:tc>
        <w:tc>
          <w:tcPr>
            <w:tcW w:w="6692" w:type="dxa"/>
            <w:vAlign w:val="center"/>
          </w:tcPr>
          <w:p w14:paraId="3D8635CB">
            <w:pPr>
              <w:pStyle w:val="53"/>
              <w:spacing w:line="240" w:lineRule="auto"/>
              <w:rPr>
                <w:rFonts w:hint="eastAsia" w:ascii="宋体" w:hAnsi="宋体" w:eastAsia="宋体" w:cs="宋体"/>
                <w:color w:val="auto"/>
                <w:sz w:val="21"/>
                <w:szCs w:val="21"/>
                <w:highlight w:val="none"/>
                <w:lang w:val="zh-CN" w:eastAsia="zh-CN" w:bidi="ar-SA"/>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31B1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199A5014">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123" w:type="dxa"/>
            <w:vAlign w:val="center"/>
          </w:tcPr>
          <w:p w14:paraId="0746D1F4">
            <w:pPr>
              <w:spacing w:line="24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其他</w:t>
            </w:r>
          </w:p>
        </w:tc>
        <w:tc>
          <w:tcPr>
            <w:tcW w:w="6692" w:type="dxa"/>
            <w:vAlign w:val="center"/>
          </w:tcPr>
          <w:p w14:paraId="70F1D135">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37756CE">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B792E5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210F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718" w:type="dxa"/>
            <w:vAlign w:val="center"/>
          </w:tcPr>
          <w:p w14:paraId="45A0F9EB">
            <w:pPr>
              <w:spacing w:line="24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2123" w:type="dxa"/>
            <w:vAlign w:val="center"/>
          </w:tcPr>
          <w:p w14:paraId="06F82D71">
            <w:pPr>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解释权</w:t>
            </w:r>
          </w:p>
        </w:tc>
        <w:tc>
          <w:tcPr>
            <w:tcW w:w="6692" w:type="dxa"/>
            <w:vAlign w:val="center"/>
          </w:tcPr>
          <w:p w14:paraId="41808F5B">
            <w:pPr>
              <w:spacing w:line="24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本招标文件的解释权属于</w:t>
            </w:r>
            <w:r>
              <w:rPr>
                <w:rFonts w:hint="eastAsia" w:ascii="宋体" w:hAnsi="宋体" w:eastAsia="宋体" w:cs="宋体"/>
                <w:b/>
                <w:color w:val="auto"/>
                <w:szCs w:val="21"/>
                <w:highlight w:val="none"/>
              </w:rPr>
              <w:t>台州永安工程咨询有限公司</w:t>
            </w:r>
            <w:r>
              <w:rPr>
                <w:rFonts w:hint="eastAsia" w:ascii="宋体" w:hAnsi="宋体" w:eastAsia="宋体" w:cs="宋体"/>
                <w:b/>
                <w:color w:val="auto"/>
                <w:szCs w:val="21"/>
                <w:highlight w:val="none"/>
                <w:lang w:val="en-US" w:eastAsia="zh-CN"/>
              </w:rPr>
              <w:t>和采购人</w:t>
            </w:r>
          </w:p>
        </w:tc>
      </w:tr>
    </w:tbl>
    <w:p w14:paraId="1A4B4537">
      <w:pPr>
        <w:spacing w:line="360" w:lineRule="auto"/>
        <w:rPr>
          <w:rFonts w:hint="eastAsia" w:ascii="宋体" w:hAnsi="宋体" w:eastAsia="宋体" w:cs="宋体"/>
          <w:b/>
          <w:bCs/>
          <w:color w:val="auto"/>
          <w:szCs w:val="21"/>
          <w:highlight w:val="none"/>
        </w:rPr>
      </w:pPr>
    </w:p>
    <w:p w14:paraId="36B6C7ED">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一、总则</w:t>
      </w:r>
    </w:p>
    <w:p w14:paraId="64C71D6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 适用范围</w:t>
      </w:r>
    </w:p>
    <w:p w14:paraId="6F837C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本招标文件适用于本次项目的招标、投标、评标、定标、验收、合同履约、付款等行为（法律、法规另有规定的，从其规定）。</w:t>
      </w:r>
    </w:p>
    <w:p w14:paraId="622F454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（二）定义</w:t>
      </w:r>
    </w:p>
    <w:p w14:paraId="641F1DF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“采购组织机构”指采购人委托组织招标的采购代理机构。</w:t>
      </w:r>
    </w:p>
    <w:p w14:paraId="272BB3A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2、采购人：是指委托</w:t>
      </w:r>
      <w:r>
        <w:rPr>
          <w:rFonts w:hint="eastAsia" w:ascii="宋体" w:hAnsi="宋体" w:eastAsia="宋体" w:cs="宋体"/>
          <w:color w:val="auto"/>
          <w:szCs w:val="21"/>
          <w:highlight w:val="none"/>
          <w:lang w:val="zh-CN"/>
        </w:rPr>
        <w:t>采购代理机构</w:t>
      </w:r>
      <w:r>
        <w:rPr>
          <w:rFonts w:hint="eastAsia" w:ascii="宋体" w:hAnsi="宋体" w:eastAsia="宋体" w:cs="宋体"/>
          <w:color w:val="auto"/>
          <w:szCs w:val="21"/>
          <w:highlight w:val="none"/>
        </w:rPr>
        <w:t>采购本次项目的国家机关、事业单位和团体组织。</w:t>
      </w:r>
    </w:p>
    <w:p w14:paraId="68F2143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3、投标人：是指向采购</w:t>
      </w:r>
      <w:r>
        <w:rPr>
          <w:rFonts w:hint="eastAsia" w:ascii="宋体" w:hAnsi="宋体" w:eastAsia="宋体" w:cs="宋体"/>
          <w:color w:val="auto"/>
          <w:szCs w:val="21"/>
          <w:highlight w:val="none"/>
          <w:lang w:val="zh-CN"/>
        </w:rPr>
        <w:t>组织</w:t>
      </w:r>
      <w:r>
        <w:rPr>
          <w:rFonts w:hint="eastAsia" w:ascii="宋体" w:hAnsi="宋体" w:eastAsia="宋体" w:cs="宋体"/>
          <w:color w:val="auto"/>
          <w:szCs w:val="21"/>
          <w:highlight w:val="none"/>
        </w:rPr>
        <w:t>机构提交投标文件的单位或个人。</w:t>
      </w:r>
    </w:p>
    <w:p w14:paraId="1C994E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4、货物：是指各种形态和种类的物品，包括原材料、燃料、设备、产品等。</w:t>
      </w:r>
    </w:p>
    <w:p w14:paraId="1355452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5、服务：是指除货物和工程以外的政府采购对象，包括各类专业服务、信息网络开发服务、金融保险服务、运输服务，以及维修与维护服务等。</w:t>
      </w:r>
    </w:p>
    <w:p w14:paraId="0C40C21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6、“书面形式”包括信函、传真等。</w:t>
      </w:r>
    </w:p>
    <w:p w14:paraId="33007EC0">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7、“▲”系指实质性要求条款。</w:t>
      </w:r>
    </w:p>
    <w:p w14:paraId="2880458D">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（三）投标费用</w:t>
      </w:r>
    </w:p>
    <w:p w14:paraId="1399BFC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不论投标结果如何，投标人均应自行承担所有与投标有关的全部费用（招标文件有相关规定除外）。</w:t>
      </w:r>
    </w:p>
    <w:p w14:paraId="0F089BCA">
      <w:pPr>
        <w:keepNext w:val="0"/>
        <w:keepLines w:val="0"/>
        <w:pageBreakBefore w:val="0"/>
        <w:kinsoku/>
        <w:wordWrap/>
        <w:overflowPunct/>
        <w:topLinePunct w:val="0"/>
        <w:bidi w:val="0"/>
        <w:spacing w:line="360" w:lineRule="auto"/>
        <w:ind w:firstLine="422" w:firstLineChars="200"/>
        <w:jc w:val="left"/>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（四）特别说明</w:t>
      </w:r>
    </w:p>
    <w:p w14:paraId="1B38E026">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1、投标人投标所使用的资格、信誉、荣誉、业绩与企业认证必须为本法人所拥有。投标人投标所使用的采购项目实施人员必须为本法人员工。▲其中涉及资格条件的如非本法人所拥有，则投标无效。</w:t>
      </w:r>
    </w:p>
    <w:p w14:paraId="069B5573">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Cs w:val="21"/>
          <w:highlight w:val="none"/>
        </w:rPr>
        <w:tab/>
      </w:r>
    </w:p>
    <w:p w14:paraId="7DB53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6F7E6B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40780BF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▲5、为采购项目提供整体设计、规范编制或者项目管理、监理、检测等服务的供应商，不得再参加该采购项目的其他采购活动。</w:t>
      </w:r>
    </w:p>
    <w:p w14:paraId="51B3A98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6、投标文件格式中的表格式样可以根据项目差别做适当调整,但应当保持表格样式基本形态不变。</w:t>
      </w:r>
    </w:p>
    <w:p w14:paraId="1636C9D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单位负责人为同一人或者存在直接控股、管理关系的不同供应商，不得参加同一合同项下的政府采购活动。电子交易平台运营机构，以及与该机构有直接控股或者管理关系可能影响采购公正性的任何单位和个人，不得在该平台进行的政府采购项目电子交易中投标、响应和代理政府采购项目。</w:t>
      </w:r>
    </w:p>
    <w:p w14:paraId="6876B11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5C869C9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▲9、本项目不允许</w:t>
      </w:r>
      <w:r>
        <w:rPr>
          <w:rFonts w:hint="eastAsia" w:ascii="宋体" w:hAnsi="宋体" w:eastAsia="宋体" w:cs="宋体"/>
          <w:color w:val="auto"/>
          <w:szCs w:val="21"/>
          <w:highlight w:val="none"/>
          <w:lang w:val="en-US" w:eastAsia="zh-CN"/>
        </w:rPr>
        <w:t>转包、</w:t>
      </w:r>
      <w:r>
        <w:rPr>
          <w:rFonts w:hint="eastAsia" w:ascii="宋体" w:hAnsi="宋体" w:eastAsia="宋体" w:cs="宋体"/>
          <w:color w:val="auto"/>
          <w:szCs w:val="21"/>
          <w:highlight w:val="none"/>
        </w:rPr>
        <w:t>分包。</w:t>
      </w:r>
    </w:p>
    <w:p w14:paraId="5DFEA739">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二、招标文件</w:t>
      </w:r>
    </w:p>
    <w:p w14:paraId="2672BBE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（一）招标文件由招标文件总目录所列内容组成。</w:t>
      </w:r>
    </w:p>
    <w:p w14:paraId="5C3316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（二）招标文件的澄清或修改</w:t>
      </w:r>
    </w:p>
    <w:p w14:paraId="67AF48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采购代理机构可视采购具体情况对已发出的招标文件进行必要的澄清或者修改。澄清或者修改的内容可能影响投标文件编制的，采购人或者采购代理机构应当在投标截止时间至少15日前，在原公告发布媒体上发布澄清公告，澄清或者修改的内容为招标文件的组成部分；不足15日的，采购人或者采购代理机构应当顺延提交投标文件的截止时间。 </w:t>
      </w:r>
    </w:p>
    <w:p w14:paraId="4ABDB9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2DCB9FCA">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w:t>
      </w:r>
    </w:p>
    <w:p w14:paraId="0983101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本项目实行电子投标，供应商应准备</w:t>
      </w:r>
      <w:r>
        <w:rPr>
          <w:rFonts w:hint="eastAsia" w:ascii="宋体" w:hAnsi="宋体" w:eastAsia="宋体" w:cs="宋体"/>
          <w:bCs/>
          <w:color w:val="auto"/>
          <w:szCs w:val="21"/>
          <w:highlight w:val="none"/>
        </w:rPr>
        <w:t>电子投标文件、</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lang w:eastAsia="zh-CN"/>
        </w:rPr>
        <w:t>文件。</w:t>
      </w:r>
    </w:p>
    <w:p w14:paraId="36B6CEEA">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1、</w:t>
      </w:r>
      <w:r>
        <w:rPr>
          <w:rFonts w:hint="eastAsia" w:ascii="宋体" w:hAnsi="宋体" w:eastAsia="宋体" w:cs="宋体"/>
          <w:bCs/>
          <w:color w:val="auto"/>
          <w:szCs w:val="21"/>
          <w:highlight w:val="none"/>
          <w:lang w:val="zh-CN"/>
        </w:rPr>
        <w:t>电子投标文件按</w:t>
      </w:r>
      <w:r>
        <w:rPr>
          <w:rFonts w:hint="eastAsia" w:ascii="宋体" w:hAnsi="宋体" w:eastAsia="宋体" w:cs="宋体"/>
          <w:bCs/>
          <w:color w:val="auto"/>
          <w:szCs w:val="21"/>
          <w:highlight w:val="none"/>
        </w:rPr>
        <w:t>政府采购</w:t>
      </w:r>
      <w:r>
        <w:rPr>
          <w:rFonts w:hint="eastAsia" w:ascii="宋体" w:hAnsi="宋体" w:eastAsia="宋体" w:cs="宋体"/>
          <w:bCs/>
          <w:color w:val="auto"/>
          <w:szCs w:val="21"/>
          <w:highlight w:val="none"/>
          <w:lang w:val="zh-CN"/>
        </w:rPr>
        <w:t>云平台供应商项目采购</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lang w:val="zh-CN"/>
        </w:rPr>
        <w:t>电子招投标操作指南</w:t>
      </w:r>
      <w:r>
        <w:rPr>
          <w:rFonts w:hint="eastAsia" w:ascii="宋体" w:hAnsi="宋体" w:eastAsia="宋体" w:cs="宋体"/>
          <w:bCs/>
          <w:color w:val="auto"/>
          <w:szCs w:val="21"/>
          <w:highlight w:val="none"/>
        </w:rPr>
        <w:t>（网址：https://helpcenter.zcygov.cn/document/#/document/detail?siteCode=beijing&amp;manualId=359&amp;topicId=1447）</w:t>
      </w:r>
      <w:r>
        <w:rPr>
          <w:rFonts w:hint="eastAsia" w:ascii="宋体" w:hAnsi="宋体" w:eastAsia="宋体" w:cs="宋体"/>
          <w:bCs/>
          <w:color w:val="auto"/>
          <w:szCs w:val="21"/>
          <w:highlight w:val="none"/>
          <w:lang w:val="zh-CN"/>
        </w:rPr>
        <w:t>及本招标文件要求制作、加密并</w:t>
      </w:r>
      <w:r>
        <w:rPr>
          <w:rFonts w:hint="eastAsia" w:ascii="宋体" w:hAnsi="宋体" w:eastAsia="宋体" w:cs="宋体"/>
          <w:bCs/>
          <w:color w:val="auto"/>
          <w:szCs w:val="21"/>
          <w:highlight w:val="none"/>
        </w:rPr>
        <w:t>传输</w:t>
      </w:r>
      <w:r>
        <w:rPr>
          <w:rFonts w:hint="eastAsia" w:ascii="宋体" w:hAnsi="宋体" w:eastAsia="宋体" w:cs="宋体"/>
          <w:bCs/>
          <w:color w:val="auto"/>
          <w:szCs w:val="21"/>
          <w:highlight w:val="none"/>
          <w:lang w:val="zh-CN"/>
        </w:rPr>
        <w:t>递交。</w:t>
      </w:r>
    </w:p>
    <w:p w14:paraId="4853ECA3">
      <w:pPr>
        <w:keepNext w:val="0"/>
        <w:keepLines w:val="0"/>
        <w:pageBreakBefore w:val="0"/>
        <w:kinsoku/>
        <w:wordWrap/>
        <w:overflowPunct/>
        <w:topLinePunct w:val="0"/>
        <w:bidi w:val="0"/>
        <w:snapToGrid w:val="0"/>
        <w:spacing w:line="360" w:lineRule="auto"/>
        <w:ind w:firstLine="411" w:firstLineChars="196"/>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2、</w:t>
      </w:r>
      <w:r>
        <w:rPr>
          <w:rFonts w:hint="eastAsia" w:ascii="宋体" w:hAnsi="宋体" w:eastAsia="宋体" w:cs="宋体"/>
          <w:color w:val="auto"/>
          <w:szCs w:val="21"/>
          <w:highlight w:val="none"/>
          <w:lang w:val="zh-CN"/>
        </w:rPr>
        <w:t>备份投标文件是指“电子投标文件”同时生成的数据电文形式的电子文件（备份标书），以U盘形式提供。</w:t>
      </w:r>
    </w:p>
    <w:p w14:paraId="3B61E3A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投标文件启用顺序和效力：投标文件的启用，按先后顺位分别为电子投标文件、以介质（U盘）存储的数据电文形式的备份投标文件。如果某位投标人的电子投标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投标</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442DCC9B">
      <w:pPr>
        <w:keepNext w:val="0"/>
        <w:keepLines w:val="0"/>
        <w:pageBreakBefore w:val="0"/>
        <w:kinsoku/>
        <w:wordWrap/>
        <w:overflowPunct/>
        <w:topLinePunct w:val="0"/>
        <w:bidi w:val="0"/>
        <w:snapToGrid w:val="0"/>
        <w:spacing w:line="360" w:lineRule="auto"/>
        <w:ind w:firstLine="420" w:firstLineChars="200"/>
        <w:jc w:val="left"/>
        <w:textAlignment w:val="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▲未传输递交电子投标文件及未按规定提供相应的备份投标文件的，投标无效。</w:t>
      </w:r>
    </w:p>
    <w:p w14:paraId="5A7609F8">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zh-CN"/>
        </w:rPr>
        <w:t>（一）</w:t>
      </w:r>
      <w:r>
        <w:rPr>
          <w:rFonts w:hint="eastAsia" w:ascii="宋体" w:hAnsi="宋体" w:eastAsia="宋体" w:cs="宋体"/>
          <w:b/>
          <w:bCs/>
          <w:color w:val="auto"/>
          <w:szCs w:val="21"/>
          <w:highlight w:val="none"/>
        </w:rPr>
        <w:t>投标文件的组成</w:t>
      </w:r>
    </w:p>
    <w:p w14:paraId="16B747A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投标人接到招标文件后，按照招标文件的要求提供</w:t>
      </w:r>
      <w:r>
        <w:rPr>
          <w:rFonts w:hint="eastAsia" w:ascii="宋体" w:hAnsi="宋体" w:eastAsia="宋体" w:cs="宋体"/>
          <w:color w:val="auto"/>
          <w:szCs w:val="21"/>
          <w:highlight w:val="none"/>
        </w:rPr>
        <w:t>投标文件（包含电子投标文件和备份投标文件）：由资格证明文件、商务与技术文件和报价文件三部分组成。</w:t>
      </w:r>
    </w:p>
    <w:p w14:paraId="33B7404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【特别提示：如有要求提供资料原件的，原件另行包装，并与投标文件一起提交，投标截止时间后所有原件不予接收。资料原件也可以用与原件相符的公证原件替代】</w:t>
      </w:r>
    </w:p>
    <w:p w14:paraId="2D5523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b/>
          <w:bCs/>
          <w:color w:val="auto"/>
          <w:szCs w:val="21"/>
          <w:highlight w:val="none"/>
        </w:rPr>
        <w:t>1、资格证明文件的组成：</w:t>
      </w:r>
    </w:p>
    <w:p w14:paraId="5DF8E1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w:t>
      </w:r>
    </w:p>
    <w:p w14:paraId="1E0F3DA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7810CB7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w:t>
      </w:r>
      <w:r>
        <w:rPr>
          <w:rFonts w:hint="eastAsia" w:ascii="宋体" w:hAnsi="宋体" w:eastAsia="宋体" w:cs="宋体"/>
          <w:color w:val="auto"/>
          <w:sz w:val="21"/>
          <w:szCs w:val="21"/>
          <w:highlight w:val="none"/>
        </w:rPr>
        <w:t>法定代表人</w:t>
      </w:r>
      <w:r>
        <w:rPr>
          <w:rFonts w:hint="eastAsia" w:ascii="宋体" w:hAnsi="宋体" w:cs="宋体"/>
          <w:color w:val="auto"/>
          <w:sz w:val="21"/>
          <w:szCs w:val="21"/>
          <w:highlight w:val="none"/>
          <w:lang w:val="en-US" w:eastAsia="zh-CN"/>
        </w:rPr>
        <w:t>和</w:t>
      </w:r>
      <w:r>
        <w:rPr>
          <w:rFonts w:hint="eastAsia" w:ascii="宋体" w:hAnsi="宋体" w:eastAsia="宋体" w:cs="宋体"/>
          <w:color w:val="auto"/>
          <w:sz w:val="21"/>
          <w:szCs w:val="21"/>
          <w:highlight w:val="none"/>
        </w:rPr>
        <w:t>授权代表</w:t>
      </w:r>
      <w:r>
        <w:rPr>
          <w:rFonts w:hint="eastAsia" w:ascii="宋体" w:hAnsi="宋体" w:eastAsia="宋体" w:cs="宋体"/>
          <w:color w:val="auto"/>
          <w:szCs w:val="21"/>
          <w:highlight w:val="none"/>
        </w:rPr>
        <w:t>的身份证明；</w:t>
      </w:r>
    </w:p>
    <w:p w14:paraId="25D211B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（4）投标人认为需要说明的其他材料；</w:t>
      </w:r>
    </w:p>
    <w:p w14:paraId="270AFE2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2、商务与技术文件的组成：</w:t>
      </w:r>
    </w:p>
    <w:p w14:paraId="79C880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（1）投标人</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268FCC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（2）投标方案描述：</w:t>
      </w:r>
    </w:p>
    <w:p w14:paraId="0BB474B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A.项目需求的理解与分析(投标人对项目现状及需求的理解情况，对项目现状和需求描述的全</w:t>
      </w:r>
      <w:r>
        <w:rPr>
          <w:rFonts w:hint="eastAsia" w:ascii="宋体" w:hAnsi="宋体" w:eastAsia="宋体" w:cs="宋体"/>
          <w:color w:val="auto"/>
          <w:sz w:val="21"/>
          <w:szCs w:val="21"/>
          <w:highlight w:val="none"/>
        </w:rPr>
        <w:t>面性、准确性、针对性，对项目重点、难点的把握，解决方案及合理化建议)。</w:t>
      </w:r>
    </w:p>
    <w:p w14:paraId="3F1DB8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B.项目组织实施方案（包括项目工期、确保项目供货的措施或方案、项目实施进度安排、项目实施人员及项目负责人的资质、类似经验及社保证明等）。</w:t>
      </w:r>
    </w:p>
    <w:p w14:paraId="1D0546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val="en-US" w:eastAsia="zh-CN"/>
        </w:rPr>
        <w:t>安装、调试及</w:t>
      </w:r>
      <w:r>
        <w:rPr>
          <w:rFonts w:hint="eastAsia" w:ascii="宋体" w:hAnsi="宋体" w:eastAsia="宋体" w:cs="宋体"/>
          <w:color w:val="auto"/>
          <w:sz w:val="21"/>
          <w:szCs w:val="21"/>
          <w:highlight w:val="none"/>
        </w:rPr>
        <w:t>验收方案（包括项目验收标准和验收方法等）和措施；</w:t>
      </w:r>
    </w:p>
    <w:p w14:paraId="78617FC8">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产品描述及相关资料：</w:t>
      </w:r>
    </w:p>
    <w:p w14:paraId="2A2E6D3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r>
        <w:rPr>
          <w:rFonts w:hint="eastAsia" w:ascii="宋体" w:hAnsi="宋体" w:eastAsia="宋体" w:cs="宋体"/>
          <w:color w:val="auto"/>
          <w:sz w:val="21"/>
          <w:szCs w:val="21"/>
          <w:highlight w:val="none"/>
          <w:lang w:val="en-US" w:eastAsia="zh-CN"/>
        </w:rPr>
        <w:t>投标项目</w:t>
      </w:r>
      <w:r>
        <w:rPr>
          <w:rFonts w:hint="eastAsia" w:ascii="宋体" w:hAnsi="宋体" w:eastAsia="宋体" w:cs="宋体"/>
          <w:color w:val="auto"/>
          <w:sz w:val="21"/>
          <w:szCs w:val="21"/>
          <w:highlight w:val="none"/>
        </w:rPr>
        <w:t>供货清单</w:t>
      </w:r>
      <w:r>
        <w:rPr>
          <w:rFonts w:hint="eastAsia" w:ascii="宋体" w:hAnsi="宋体" w:eastAsia="宋体" w:cs="宋体"/>
          <w:b/>
          <w:bCs/>
          <w:color w:val="auto"/>
          <w:sz w:val="21"/>
          <w:szCs w:val="21"/>
          <w:highlight w:val="none"/>
        </w:rPr>
        <w:t>（均不含报价）</w:t>
      </w:r>
      <w:r>
        <w:rPr>
          <w:rFonts w:hint="eastAsia" w:ascii="宋体" w:hAnsi="宋体" w:eastAsia="宋体" w:cs="宋体"/>
          <w:color w:val="auto"/>
          <w:sz w:val="21"/>
          <w:szCs w:val="21"/>
          <w:highlight w:val="none"/>
        </w:rPr>
        <w:t>。</w:t>
      </w:r>
    </w:p>
    <w:p w14:paraId="41C4078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B.产品品牌及型号、技术参数指标、性能特点、图片资料以及所遵循的技术规范、产品质保期、出厂标准、产品质量相关检测报告等内容。</w:t>
      </w:r>
    </w:p>
    <w:p w14:paraId="3AEDA51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C.商务及技术响应表。</w:t>
      </w:r>
    </w:p>
    <w:p w14:paraId="55A1856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产品中有节能产品的，应列明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产品中有列入最新一期财政部、发展改革委公布的“节能产品政府采购清单”明细（提供所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产品中有环保产品的，应列明</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产品中有列入最新一期财政部、环境保护部公布的“环境标志产品政府采购清单”明细（提供所</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产品在清单中所处的页码、截图，并以明显标识标注）。</w:t>
      </w:r>
    </w:p>
    <w:p w14:paraId="4BBC1883">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【特别提示：节能和环境标志产品最新一期政府采购清单，可在“中国政府采购网”中查看】</w:t>
      </w:r>
    </w:p>
    <w:p w14:paraId="7176D74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投标人</w:t>
      </w:r>
      <w:r>
        <w:rPr>
          <w:rFonts w:hint="eastAsia" w:ascii="宋体" w:hAnsi="宋体" w:eastAsia="宋体" w:cs="宋体"/>
          <w:color w:val="auto"/>
          <w:sz w:val="21"/>
          <w:szCs w:val="21"/>
          <w:highlight w:val="none"/>
        </w:rPr>
        <w:t>通过的质量管理和质量保证体系、环保体系、自主创新相关证书、软件著作权证等与本项目相关的认证证书或文件；</w:t>
      </w:r>
    </w:p>
    <w:p w14:paraId="6775581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（5）类似项目的成功案例（投标人类似项目实施情况一览表、合同复印件及其相应的发票、用户验收报告等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5CE6CA6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（6）投标人认为需要提供的其他资料（包括可能影响投标人商务与技术文件评分的各类证明材料）。</w:t>
      </w:r>
    </w:p>
    <w:p w14:paraId="40DD22C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4854A71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8E14858">
      <w:pPr>
        <w:keepNext w:val="0"/>
        <w:keepLines w:val="0"/>
        <w:pageBreakBefore w:val="0"/>
        <w:kinsoku/>
        <w:wordWrap/>
        <w:overflowPunct/>
        <w:topLinePunct w:val="0"/>
        <w:bidi w:val="0"/>
        <w:spacing w:line="41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524FFB6E">
      <w:pPr>
        <w:keepNext w:val="0"/>
        <w:keepLines w:val="0"/>
        <w:pageBreakBefore w:val="0"/>
        <w:kinsoku/>
        <w:wordWrap/>
        <w:overflowPunct/>
        <w:topLinePunct w:val="0"/>
        <w:bidi w:val="0"/>
        <w:spacing w:line="410" w:lineRule="exact"/>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u w:val="single"/>
        </w:rPr>
        <w:t>注：若招标文件中有专门标注的某关联点，并要求投标人在电子投标系统中作出投标响应的，如投标人未对关联点进行响应或者在投标文件其它内容进行描述，造成电子评审不能查询的责任由投标人自行承担。</w:t>
      </w:r>
    </w:p>
    <w:p w14:paraId="31F6AC5C">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56F437C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（1）报价文件由开标一览表、报价明细表、中小企业声明函，以及投标人认为其他需要说明的内容组成。</w:t>
      </w:r>
    </w:p>
    <w:p w14:paraId="26A5B96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（2）此报价为投标人一次性报出唯一的最终价格，包含其它一切所要涉及到的费用，有选择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附条件</w:t>
      </w:r>
      <w:r>
        <w:rPr>
          <w:rFonts w:hint="eastAsia" w:ascii="宋体" w:hAnsi="宋体" w:eastAsia="宋体" w:cs="宋体"/>
          <w:color w:val="auto"/>
          <w:sz w:val="21"/>
          <w:szCs w:val="21"/>
          <w:highlight w:val="none"/>
        </w:rPr>
        <w:t>的报价将被拒绝。</w:t>
      </w:r>
    </w:p>
    <w:p w14:paraId="03807F9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投标总报价包括项目的供货、运输、安装、总体调试、技术培训、税金、验收、售后服务等为完成本次项且涉及的一切费用。</w:t>
      </w:r>
    </w:p>
    <w:p w14:paraId="63B7624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（4）政府采购优惠政策相关资料。</w:t>
      </w:r>
    </w:p>
    <w:p w14:paraId="2A1DB4B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▲（5）相关报价单需打印或用不</w:t>
      </w:r>
      <w:r>
        <w:rPr>
          <w:rFonts w:hint="eastAsia" w:ascii="宋体" w:hAnsi="宋体" w:cs="宋体"/>
          <w:color w:val="auto"/>
          <w:szCs w:val="21"/>
          <w:highlight w:val="none"/>
          <w:lang w:val="en-US" w:eastAsia="zh-CN"/>
        </w:rPr>
        <w:t>褪</w:t>
      </w:r>
      <w:r>
        <w:rPr>
          <w:rFonts w:hint="eastAsia" w:ascii="宋体" w:hAnsi="宋体" w:eastAsia="宋体" w:cs="宋体"/>
          <w:color w:val="auto"/>
          <w:szCs w:val="21"/>
          <w:highlight w:val="none"/>
        </w:rPr>
        <w:t>色的墨水</w:t>
      </w:r>
      <w:r>
        <w:rPr>
          <w:rFonts w:hint="eastAsia" w:ascii="宋体" w:hAnsi="宋体" w:eastAsia="宋体" w:cs="宋体"/>
          <w:color w:val="auto"/>
          <w:szCs w:val="21"/>
          <w:highlight w:val="none"/>
        </w:rPr>
        <w:t>填写， 投标报价单不得涂改和增删，如有错漏必须修改，修改处须由同一签署人签字或盖章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kern w:val="0"/>
          <w:sz w:val="21"/>
          <w:szCs w:val="21"/>
          <w:highlight w:val="none"/>
        </w:rPr>
        <w:t>。</w:t>
      </w:r>
      <w:r>
        <w:rPr>
          <w:rFonts w:hint="eastAsia" w:ascii="宋体" w:hAnsi="宋体" w:eastAsia="宋体" w:cs="宋体"/>
          <w:color w:val="auto"/>
          <w:szCs w:val="21"/>
          <w:highlight w:val="none"/>
        </w:rPr>
        <w:t>由于字迹模糊或表达不清引起的后果由投标人负责。</w:t>
      </w:r>
    </w:p>
    <w:p w14:paraId="2C545E8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（6）投标报价应按招标文件中相关附表格式填写。</w:t>
      </w:r>
    </w:p>
    <w:p w14:paraId="3C9CA6D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（二）投标文件的制作、封装及递交要求</w:t>
      </w:r>
    </w:p>
    <w:p w14:paraId="33EA9FDF">
      <w:pPr>
        <w:snapToGrid w:val="0"/>
        <w:spacing w:before="120" w:beforeLines="50" w:line="360" w:lineRule="auto"/>
        <w:ind w:firstLine="413" w:firstLineChars="196"/>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rPr>
        <w:t>投标文件的签署</w:t>
      </w:r>
    </w:p>
    <w:p w14:paraId="23DA0EC5">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电子投标文件中须加盖</w:t>
      </w:r>
      <w:r>
        <w:rPr>
          <w:rFonts w:hint="eastAsia" w:ascii="宋体" w:hAnsi="宋体" w:eastAsia="宋体" w:cs="宋体"/>
          <w:bCs/>
          <w:color w:val="auto"/>
          <w:sz w:val="21"/>
          <w:szCs w:val="21"/>
          <w:highlight w:val="none"/>
          <w:lang w:val="en-US" w:eastAsia="zh-CN"/>
        </w:rPr>
        <w:t>投标人</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投标操作指南”及本招标文件规定的格式和顺序编制电子投标文件并进行关联定位，以便评标委员会在评标时，点击评分项可直接定位到该评分项内容。如对招标文件的某项要求，投标人的电子投标文件未能关联定位提供相应的内容与其对应，则评标委员会在评审时如做出对投标人不利的评审由投标人自行承担。</w:t>
      </w:r>
    </w:p>
    <w:p w14:paraId="616FD3CA">
      <w:pPr>
        <w:snapToGrid w:val="0"/>
        <w:spacing w:line="360" w:lineRule="auto"/>
        <w:ind w:firstLine="411" w:firstLineChars="196"/>
        <w:jc w:val="lef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电子投标文件如内容不完整、编排混乱导致投标文件被误读、漏读，或者在按采购文件规定的部位查找不到相关内容的，由投标人自行承担。</w:t>
      </w:r>
    </w:p>
    <w:p w14:paraId="45F60BCA">
      <w:pPr>
        <w:snapToGrid w:val="0"/>
        <w:spacing w:line="360" w:lineRule="auto"/>
        <w:ind w:firstLine="411" w:firstLineChars="196"/>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或授权代表签字信息，需要投标人联系浙江杭州汇信科技有限公司等相应公司进行办理，或在投标文件中涉及到签字的位置线下签好字然后扫描或者拍照做成PDF的格式亦可。</w:t>
      </w:r>
    </w:p>
    <w:p w14:paraId="1B9DF55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投标文件不得涂改，若有修改错漏处，须加盖单位公章或者法定代表人或授权委托人签字或盖章。投标文件因字迹潦草或表达不清所引起的后果由投标人负责。</w:t>
      </w:r>
    </w:p>
    <w:p w14:paraId="0AA6655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2、投标文件的制作</w:t>
      </w:r>
    </w:p>
    <w:p w14:paraId="72E5D79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（1）投标人应按照投标文件组成内容及项目招标需求制作投标文件，不按招标文件要求制作投标文件由此产生的责任由投标人自行承担。</w:t>
      </w:r>
    </w:p>
    <w:p w14:paraId="693153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（2）▲投标人应对所提供的全部资料的真实性承担法律责任，投标文件内容中有要求盖章或签字的地方，必须加盖投标人的公章以及法定代表人或授权委托代理人盖章或签字。</w:t>
      </w:r>
    </w:p>
    <w:p w14:paraId="041B90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（3）投标文件以及投标人与采购组织机构就有关投标事宜的所有来往函电，均应以中文汉语书写。▲除签字、盖章、专用名称等特殊情形外，以中文汉语以外的文字表述的投标文件视同未提供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Cs w:val="21"/>
          <w:highlight w:val="none"/>
        </w:rPr>
        <w:t>。</w:t>
      </w:r>
    </w:p>
    <w:p w14:paraId="3116EAB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（4）投标计量单位，招标文件已有明确规定的，使用招标文件规定的计量单位；招标文件没有规定的，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486C282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（5）若投标人不按招标文件的要求提供资格审查材料，其风险由投标人自行承担。</w:t>
      </w:r>
    </w:p>
    <w:p w14:paraId="50F6507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（6）与本次投标无关的内容请不要制作在内，确保投标文件有针对性、简洁明了，同时节约纸</w:t>
      </w:r>
      <w:r>
        <w:rPr>
          <w:rFonts w:hint="eastAsia" w:ascii="宋体" w:hAnsi="宋体" w:eastAsia="宋体" w:cs="宋体"/>
          <w:color w:val="auto"/>
          <w:szCs w:val="21"/>
          <w:highlight w:val="none"/>
        </w:rPr>
        <w:t>张；投标文件建议以A4纸大小双面打印并装订。</w:t>
      </w:r>
    </w:p>
    <w:p w14:paraId="39310FBD">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val="en-US" w:eastAsia="zh-CN"/>
        </w:rPr>
        <w:t>备份</w:t>
      </w:r>
      <w:r>
        <w:rPr>
          <w:rFonts w:hint="eastAsia" w:ascii="宋体" w:hAnsi="宋体" w:eastAsia="宋体" w:cs="宋体"/>
          <w:b/>
          <w:bCs/>
          <w:color w:val="auto"/>
          <w:szCs w:val="21"/>
          <w:highlight w:val="none"/>
        </w:rPr>
        <w:t>投标文件的封装要求</w:t>
      </w:r>
    </w:p>
    <w:p w14:paraId="5F417C9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备份</w:t>
      </w:r>
      <w:r>
        <w:rPr>
          <w:rFonts w:hint="eastAsia" w:ascii="宋体" w:hAnsi="宋体" w:eastAsia="宋体" w:cs="宋体"/>
          <w:color w:val="auto"/>
          <w:sz w:val="21"/>
          <w:szCs w:val="21"/>
          <w:highlight w:val="none"/>
        </w:rPr>
        <w:t>投标文件在密封袋的封口处加盖投标人公章、</w:t>
      </w:r>
      <w:r>
        <w:rPr>
          <w:rFonts w:hint="eastAsia" w:ascii="宋体" w:hAnsi="宋体" w:eastAsia="宋体" w:cs="宋体"/>
          <w:color w:val="auto"/>
          <w:sz w:val="21"/>
          <w:szCs w:val="21"/>
          <w:highlight w:val="none"/>
          <w:lang w:eastAsia="zh-CN"/>
        </w:rPr>
        <w:t>法定代表人</w:t>
      </w:r>
      <w:r>
        <w:rPr>
          <w:rFonts w:hint="eastAsia" w:ascii="宋体" w:hAnsi="宋体" w:eastAsia="宋体" w:cs="宋体"/>
          <w:color w:val="auto"/>
          <w:sz w:val="21"/>
          <w:szCs w:val="21"/>
          <w:highlight w:val="none"/>
        </w:rPr>
        <w:t>代表或</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印章或签字。封皮上写明项目编号、标项、招标项目名称、投标人名称，并注明“投标文件名称”、“开标时启封”字样，未按上述要求密封及加写标记</w:t>
      </w:r>
      <w:r>
        <w:rPr>
          <w:rFonts w:hint="eastAsia" w:ascii="宋体" w:hAnsi="宋体" w:eastAsia="宋体" w:cs="宋体"/>
          <w:color w:val="auto"/>
          <w:kern w:val="2"/>
          <w:highlight w:val="none"/>
        </w:rPr>
        <w:t>将被拒收</w:t>
      </w:r>
      <w:r>
        <w:rPr>
          <w:rFonts w:hint="eastAsia" w:ascii="宋体" w:hAnsi="宋体" w:eastAsia="宋体" w:cs="宋体"/>
          <w:color w:val="auto"/>
          <w:sz w:val="21"/>
          <w:szCs w:val="21"/>
          <w:highlight w:val="none"/>
        </w:rPr>
        <w:t>，采购代理机构对投标文件的误投和提前启封不负责任。</w:t>
      </w:r>
    </w:p>
    <w:p w14:paraId="0625E2B5">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40A39DE5">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4、投标文件的递交要求</w:t>
      </w:r>
    </w:p>
    <w:p w14:paraId="330A44A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同时还可以提供经政采云平台加密处理的、以介质（U盘）存储的数据电文形式的备份投标文件（不强制要求，未递交备份文件的风险由供应商自行承担）。递交备份投标文件的，供应商应当在投标截止时间前按要求密封（备份投标文件在密封袋的封口处加盖投标人公章、法定代表人代表或授权委托代理人印章或签字。封皮上写明项目编号、标项、招标项目名称、投标人名称，并注明“投标文件名称”、“开标时启封”字样）并建议顺丰邮寄或直接递交到</w:t>
      </w:r>
      <w:r>
        <w:rPr>
          <w:rFonts w:hint="eastAsia" w:ascii="宋体" w:hAnsi="宋体" w:eastAsia="宋体" w:cs="宋体"/>
          <w:b/>
          <w:bCs/>
          <w:color w:val="auto"/>
          <w:szCs w:val="21"/>
          <w:highlight w:val="none"/>
        </w:rPr>
        <w:t>台州市椒江区中环世纪6幢801室（交通银行台州分行楼上）收件人：俞雅琪；联系电话：15757696186</w:t>
      </w:r>
      <w:r>
        <w:rPr>
          <w:rFonts w:hint="eastAsia" w:ascii="宋体" w:hAnsi="宋体" w:eastAsia="宋体" w:cs="宋体"/>
          <w:color w:val="auto"/>
          <w:szCs w:val="21"/>
          <w:highlight w:val="none"/>
        </w:rPr>
        <w:t>。投标文件在截止时间后提交</w:t>
      </w:r>
      <w:r>
        <w:rPr>
          <w:rFonts w:hint="eastAsia" w:ascii="宋体" w:hAnsi="宋体" w:eastAsia="宋体" w:cs="宋体"/>
          <w:color w:val="auto"/>
          <w:szCs w:val="21"/>
          <w:highlight w:val="none"/>
        </w:rPr>
        <w:t>、</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如供应商未在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截止时间前完成电子</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文件的传输递交，其备份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w:t>
      </w:r>
    </w:p>
    <w:p w14:paraId="547A3B2D">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电子投标文件的相关说明</w:t>
      </w:r>
    </w:p>
    <w:p w14:paraId="18B069F2">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供应商进行电子投标应安装客户端软件，并按照采购文件和电子交易平台的要求编制并加密投标文件。</w:t>
      </w:r>
      <w:r>
        <w:rPr>
          <w:rFonts w:hint="eastAsia" w:ascii="宋体" w:hAnsi="宋体" w:eastAsia="宋体" w:cs="宋体"/>
          <w:color w:val="auto"/>
          <w:sz w:val="21"/>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供应商未按规定加密的投标文件，电子交易平台将拒收。</w:t>
      </w:r>
    </w:p>
    <w:p w14:paraId="59CDB056">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供应商应当在投标截止时间前完成投标文件的传输递交，并可以补充、修改或者撤回投标文件。</w:t>
      </w:r>
      <w:r>
        <w:rPr>
          <w:rFonts w:hint="eastAsia" w:ascii="宋体" w:hAnsi="宋体" w:eastAsia="宋体" w:cs="宋体"/>
          <w:b w:val="0"/>
          <w:bCs w:val="0"/>
          <w:color w:val="auto"/>
          <w:kern w:val="2"/>
          <w:sz w:val="21"/>
          <w:szCs w:val="21"/>
          <w:highlight w:val="none"/>
          <w:lang w:val="en-US" w:eastAsia="zh-CN" w:bidi="ar-SA"/>
        </w:rPr>
        <w:t>补充或者修改投标文件的，应当先行撤回原文件，补充、修改后重新传输递交。投标截止时间前未完成传输的，视为撤回投标文件。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投标截止时间后递交的投标文件，电子交易平台将拒收。</w:t>
      </w:r>
    </w:p>
    <w:p w14:paraId="3484159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供应商在电子交易平台传输递交投标文件后，还可以在投标截止时间前提交备份投标文件，若供应商未提交备份投标文件，其后果由供应商自行承担。</w:t>
      </w:r>
    </w:p>
    <w:p w14:paraId="0BB47677">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▲供应商仅提交备份投标文件的，投标无效。</w:t>
      </w:r>
    </w:p>
    <w:p w14:paraId="13ED8E1C">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（3）如有特殊情况，采购代理机构延长截止时间和开标时间，采购代理机构和投标人的权利和义务将受到新的截止时间和开标时间的约束。</w:t>
      </w:r>
    </w:p>
    <w:p w14:paraId="78292D96">
      <w:pPr>
        <w:keepNext w:val="0"/>
        <w:keepLines w:val="0"/>
        <w:pageBreakBefore w:val="0"/>
        <w:tabs>
          <w:tab w:val="left" w:pos="1418"/>
        </w:tabs>
        <w:kinsoku/>
        <w:wordWrap/>
        <w:topLinePunct w:val="0"/>
        <w:autoSpaceDE w:val="0"/>
        <w:autoSpaceDN w:val="0"/>
        <w:bidi w:val="0"/>
        <w:adjustRightIn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5、投标文件的补充、修改和撤回。</w:t>
      </w:r>
    </w:p>
    <w:p w14:paraId="4E2E4EA4">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en-GB" w:eastAsia="zh-CN" w:bidi="ar-SA"/>
        </w:rPr>
        <w:t>）投标人应当在投标截止时间前完成电子投标文件的上传、递交，并可以补充、修改或者撤回投标文件。补充或者修改投标文件的，应当先行撤回原文件，补充、修改后重新上传、递交。投标截止时间前未完成上传、递交的，视为撤回投标文件</w:t>
      </w:r>
      <w:r>
        <w:rPr>
          <w:rFonts w:hint="eastAsia" w:ascii="宋体" w:hAnsi="宋体" w:eastAsia="宋体" w:cs="宋体"/>
          <w:color w:val="auto"/>
          <w:kern w:val="2"/>
          <w:sz w:val="21"/>
          <w:szCs w:val="21"/>
          <w:highlight w:val="none"/>
          <w:lang w:val="en-GB" w:eastAsia="zh-CN" w:bidi="ar-SA"/>
        </w:rPr>
        <w:t>。投标截止时间后递交的投标</w:t>
      </w:r>
      <w:r>
        <w:rPr>
          <w:rFonts w:hint="eastAsia" w:ascii="宋体" w:hAnsi="宋体" w:eastAsia="宋体" w:cs="宋体"/>
          <w:b w:val="0"/>
          <w:bCs w:val="0"/>
          <w:color w:val="auto"/>
          <w:kern w:val="2"/>
          <w:sz w:val="21"/>
          <w:szCs w:val="21"/>
          <w:highlight w:val="none"/>
          <w:lang w:val="en-GB" w:eastAsia="zh-CN" w:bidi="ar-SA"/>
        </w:rPr>
        <w:t>文件，“政府采购云平台”将予以拒收。</w:t>
      </w:r>
    </w:p>
    <w:p w14:paraId="1F62DD4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GB" w:eastAsia="zh-CN" w:bidi="ar-SA"/>
        </w:rPr>
        <w:t>（</w:t>
      </w:r>
      <w:r>
        <w:rPr>
          <w:rFonts w:hint="eastAsia" w:ascii="宋体" w:hAnsi="宋体" w:eastAsia="宋体" w:cs="宋体"/>
          <w:b w:val="0"/>
          <w:bCs w:val="0"/>
          <w:color w:val="auto"/>
          <w:kern w:val="2"/>
          <w:sz w:val="21"/>
          <w:szCs w:val="21"/>
          <w:highlight w:val="none"/>
          <w:lang w:val="en-US" w:eastAsia="zh-CN" w:bidi="ar-SA"/>
        </w:rPr>
        <w:t>2</w:t>
      </w:r>
      <w:r>
        <w:rPr>
          <w:rFonts w:hint="eastAsia" w:ascii="宋体" w:hAnsi="宋体" w:eastAsia="宋体" w:cs="宋体"/>
          <w:b w:val="0"/>
          <w:bCs w:val="0"/>
          <w:color w:val="auto"/>
          <w:kern w:val="2"/>
          <w:sz w:val="21"/>
          <w:szCs w:val="21"/>
          <w:highlight w:val="none"/>
          <w:lang w:val="en-GB" w:eastAsia="zh-CN" w:bidi="ar-SA"/>
        </w:rPr>
        <w:t>）投标截止时间后，投标供应商不得撤回、修改投标文件。</w:t>
      </w:r>
    </w:p>
    <w:p w14:paraId="1CEE31C8">
      <w:pPr>
        <w:keepNext w:val="0"/>
        <w:keepLines w:val="0"/>
        <w:pageBreakBefore w:val="0"/>
        <w:tabs>
          <w:tab w:val="left" w:pos="1418"/>
        </w:tabs>
        <w:kinsoku/>
        <w:wordWrap/>
        <w:topLinePunct w:val="0"/>
        <w:autoSpaceDE w:val="0"/>
        <w:autoSpaceDN w:val="0"/>
        <w:bidi w:val="0"/>
        <w:adjustRightInd w:val="0"/>
        <w:spacing w:line="360" w:lineRule="auto"/>
        <w:ind w:firstLine="420" w:firstLineChars="200"/>
        <w:rPr>
          <w:rFonts w:hint="eastAsia" w:ascii="宋体" w:hAnsi="宋体" w:eastAsia="宋体" w:cs="宋体"/>
          <w:b w:val="0"/>
          <w:bCs w:val="0"/>
          <w:color w:val="auto"/>
          <w:kern w:val="2"/>
          <w:sz w:val="21"/>
          <w:szCs w:val="21"/>
          <w:highlight w:val="none"/>
          <w:lang w:val="en-GB" w:eastAsia="zh-CN" w:bidi="ar-SA"/>
        </w:rPr>
      </w:pPr>
      <w:r>
        <w:rPr>
          <w:rFonts w:hint="eastAsia" w:ascii="宋体" w:hAnsi="宋体" w:eastAsia="宋体" w:cs="宋体"/>
          <w:b w:val="0"/>
          <w:bCs w:val="0"/>
          <w:color w:val="auto"/>
          <w:kern w:val="2"/>
          <w:sz w:val="21"/>
          <w:szCs w:val="21"/>
          <w:highlight w:val="none"/>
          <w:lang w:val="en-US" w:eastAsia="zh-CN" w:bidi="ar-SA"/>
        </w:rPr>
        <w:t>（3）</w:t>
      </w:r>
      <w:r>
        <w:rPr>
          <w:rFonts w:hint="eastAsia" w:ascii="宋体" w:hAnsi="宋体" w:eastAsia="宋体" w:cs="宋体"/>
          <w:b w:val="0"/>
          <w:bCs w:val="0"/>
          <w:color w:val="auto"/>
          <w:kern w:val="2"/>
          <w:sz w:val="21"/>
          <w:szCs w:val="21"/>
          <w:highlight w:val="none"/>
          <w:lang w:val="en-GB" w:eastAsia="zh-CN" w:bidi="ar-SA"/>
        </w:rPr>
        <w:t>在开标后规定的投标有效期内，投标人不能撤销投标文件。</w:t>
      </w:r>
    </w:p>
    <w:p w14:paraId="03C5B65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（三）投标文件的有效期</w:t>
      </w:r>
    </w:p>
    <w:p w14:paraId="5100DB2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GB"/>
        </w:rPr>
        <w:t>自投标截止日起90天投标文件应保持有效。有效期不足的投标文件将被拒绝。</w:t>
      </w:r>
    </w:p>
    <w:p w14:paraId="75A88505">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lang w:val="en-GB"/>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GB"/>
        </w:rPr>
        <w:t>在符合相关法律法规规定的情况下，采购人可与投标人协商延长投标文件的有效期，这种要求和答复均以书面形式进行。</w:t>
      </w:r>
    </w:p>
    <w:p w14:paraId="709BE0E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rPr>
        <w:t>3、中标人的投标文件自开标之</w:t>
      </w:r>
      <w:r>
        <w:rPr>
          <w:rFonts w:hint="eastAsia" w:ascii="宋体" w:hAnsi="宋体" w:eastAsia="宋体" w:cs="宋体"/>
          <w:color w:val="auto"/>
          <w:szCs w:val="21"/>
          <w:highlight w:val="none"/>
        </w:rPr>
        <w:t>日起至合同履行完毕均应保持有效。</w:t>
      </w:r>
    </w:p>
    <w:p w14:paraId="0168A8E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四、开标</w:t>
      </w:r>
    </w:p>
    <w:p w14:paraId="6F70B25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（一）开标事项</w:t>
      </w:r>
    </w:p>
    <w:p w14:paraId="4932FF1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采购组织机构在“招标公告”规定的时间和地点公开开标，本次招标采用先评审商务资格和技术服务方案，后公开并评审报价的办法实施。</w:t>
      </w:r>
    </w:p>
    <w:p w14:paraId="17AE9B79">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特别说明：如遇政府采购云平台电子化开标或评审程序调整的，按调整后程序执行。</w:t>
      </w:r>
    </w:p>
    <w:p w14:paraId="75B0B04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采购过程中出现以下情形，导致电子交易平台无法正常运行，或者无法保证电子交易的公平、公正和安全时，采购组织机构可中止电子交易活动：</w:t>
      </w:r>
    </w:p>
    <w:p w14:paraId="7D0133EA">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（1）电子交易平台发生故障而无法登录访问的；</w:t>
      </w:r>
    </w:p>
    <w:p w14:paraId="61EDDAC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（2）电子交易平台应用或数据库出现错误，不能进行正常操作的；</w:t>
      </w:r>
    </w:p>
    <w:p w14:paraId="75E55908">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（3）电子交易平台发现严重安全漏洞，有潜在泄密危险的；</w:t>
      </w:r>
    </w:p>
    <w:p w14:paraId="5F95D04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（4）病毒导致不能进行正常操作的；</w:t>
      </w:r>
    </w:p>
    <w:p w14:paraId="433CF93C">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（5）其他无法保证电子交易的公平、公正和安全的情况。</w:t>
      </w:r>
    </w:p>
    <w:p w14:paraId="079BD7F7">
      <w:pPr>
        <w:keepNext w:val="0"/>
        <w:keepLines w:val="0"/>
        <w:pageBreakBefore w:val="0"/>
        <w:tabs>
          <w:tab w:val="left" w:pos="1418"/>
        </w:tabs>
        <w:kinsoku/>
        <w:wordWrap/>
        <w:overflowPunct/>
        <w:topLinePunct w:val="0"/>
        <w:autoSpaceDE w:val="0"/>
        <w:autoSpaceDN w:val="0"/>
        <w:bidi w:val="0"/>
        <w:adjustRightInd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14:paraId="0B580BB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 开标程序</w:t>
      </w:r>
    </w:p>
    <w:p w14:paraId="752FCC8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1、开标会由招标项目负责人主持，主持人宣布开标会议开始；</w:t>
      </w:r>
    </w:p>
    <w:p w14:paraId="1FF8A06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2、主持人介绍参加开标会的人员名单；</w:t>
      </w:r>
    </w:p>
    <w:p w14:paraId="72C90DA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3、主持人宣布评标期间的有关事项，告知应当回避的情形，提请有关人员回避；对投标人进行签到验证。</w:t>
      </w:r>
    </w:p>
    <w:p w14:paraId="2B1CA1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4、向各投标人发出电子加密投标文件【开始解密】通知，由投标人按招标文件规定的时间内自行进行投标文件解密。投标文件的制作和解密应使用同一个数字证书，否则将可能解密失败。</w:t>
      </w:r>
    </w:p>
    <w:p w14:paraId="1D806D9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5、采购组织机构点击【开启标书信息】，开启标书成功后进入开标流程。</w:t>
      </w:r>
    </w:p>
    <w:p w14:paraId="1CDD88C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6、资格及商务技术文件评审；</w:t>
      </w:r>
    </w:p>
    <w:p w14:paraId="1312724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7、由主持人公布无效投标的投标人名单、投标无效的原因及其他有效投标的评分汇总分；</w:t>
      </w:r>
    </w:p>
    <w:p w14:paraId="605448A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8、开启报价响应文件：采购代理机构成功开启报价响应文件后，方可查看各投标人报价情况。</w:t>
      </w:r>
    </w:p>
    <w:p w14:paraId="29D3908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9、报价文件评审；</w:t>
      </w:r>
    </w:p>
    <w:p w14:paraId="05B7187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10、由主持人公布无效投标的投标人名单、投标无效的原因及其他有效投标的报价文件得分；</w:t>
      </w:r>
    </w:p>
    <w:p w14:paraId="384E0BF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11、宣布综合得分结果及中标候选人名单；</w:t>
      </w:r>
    </w:p>
    <w:p w14:paraId="3902BC5D">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12、开标会议结束</w:t>
      </w:r>
      <w:r>
        <w:rPr>
          <w:rFonts w:hint="eastAsia" w:ascii="宋体" w:hAnsi="宋体" w:eastAsia="宋体" w:cs="宋体"/>
          <w:color w:val="auto"/>
          <w:sz w:val="21"/>
          <w:szCs w:val="21"/>
          <w:highlight w:val="none"/>
        </w:rPr>
        <w:t>。</w:t>
      </w:r>
    </w:p>
    <w:p w14:paraId="3B5C524B">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五、评标</w:t>
      </w:r>
    </w:p>
    <w:p w14:paraId="5A49073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本项目采用电子评审方法，评标的依据为招标文件和投标文件。</w:t>
      </w:r>
    </w:p>
    <w:p w14:paraId="0571A0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（一）组建评标委员会</w:t>
      </w:r>
    </w:p>
    <w:p w14:paraId="6874D9A6">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评标委员会由采购人代表和评审专家组成，成员人数为5人以上单数，其中评审专家不得少于成员总数的三分之二。</w:t>
      </w:r>
    </w:p>
    <w:p w14:paraId="25941E80">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（二）评标程序</w:t>
      </w:r>
    </w:p>
    <w:p w14:paraId="748CCF29">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1、资格审查</w:t>
      </w:r>
    </w:p>
    <w:p w14:paraId="56C976C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BF61226">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2、符合性审查</w:t>
      </w:r>
    </w:p>
    <w:p w14:paraId="62C4D4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4DC86EA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3、综合比较与评价</w:t>
      </w:r>
    </w:p>
    <w:p w14:paraId="2195D0B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（1）对于投标文件中含义不明确、同类问题表述不一致或者有明显文字和计算错误的内容，评标委员会应当以书面形式要求投标人作出必要的澄清、说明或者补正。</w:t>
      </w:r>
    </w:p>
    <w:p w14:paraId="145C30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056654D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（3）评标时，评标委员会各成员应当独立对每个投标人的投标文件进行评价，并汇总每个投标人的得分。</w:t>
      </w:r>
    </w:p>
    <w:p w14:paraId="378823FE">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4、得分确认及评审报告编写</w:t>
      </w:r>
    </w:p>
    <w:p w14:paraId="10BA11C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（1）评标委员会对报价文件进行复核，对于系统计算出的价格分及总得分进行确认；</w:t>
      </w:r>
    </w:p>
    <w:p w14:paraId="154BFB3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（2）评标委员会应当按照招标文件中规定的评标方法和标准，对符合性审查合格的投标文件进行商务和技术评估，综合比较与评价。</w:t>
      </w:r>
    </w:p>
    <w:p w14:paraId="625AC00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（3）评标委员会按评标原则及得分情况编写评审报告。</w:t>
      </w:r>
    </w:p>
    <w:p w14:paraId="6FC26A8F">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5、评价</w:t>
      </w:r>
    </w:p>
    <w:p w14:paraId="2C3DEC4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采购组织机构对评标委员会评审专家进行评价。</w:t>
      </w:r>
    </w:p>
    <w:p w14:paraId="1B9CD554">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（三）澄清问题的形式</w:t>
      </w:r>
    </w:p>
    <w:p w14:paraId="75A46E5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投标人的澄清、说明或者补正应当采用书面形式，并加盖公章或者由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，并不得超出投标文件的范围或者改变投标文件的实质性内容。</w:t>
      </w:r>
    </w:p>
    <w:p w14:paraId="5F91CE0B">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（四）错误修正</w:t>
      </w:r>
    </w:p>
    <w:p w14:paraId="5E261E9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投标文件报价出现前后不一致的，除招标文件另有规定外，按照下列规定修正：</w:t>
      </w:r>
    </w:p>
    <w:p w14:paraId="178D98D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1、投标文件中开标一览表（报价表）内容与投标文件中相应内容不一致的，以开标一览表（报价表）为准</w:t>
      </w:r>
      <w:r>
        <w:rPr>
          <w:rFonts w:hint="eastAsia" w:ascii="宋体" w:hAnsi="宋体" w:eastAsia="宋体" w:cs="宋体"/>
          <w:color w:val="auto"/>
          <w:szCs w:val="21"/>
          <w:highlight w:val="none"/>
          <w:lang w:eastAsia="zh-CN"/>
        </w:rPr>
        <w:t>。政采云平台开标一览表中填报的价格与上传的报价响应文件中开标一览表的报价不一致的，以上传的报价响应文件中开标一览表的价格为准，修正平台上的投标报价</w:t>
      </w:r>
      <w:r>
        <w:rPr>
          <w:rFonts w:hint="eastAsia" w:ascii="宋体" w:hAnsi="宋体" w:eastAsia="宋体" w:cs="宋体"/>
          <w:color w:val="auto"/>
          <w:szCs w:val="21"/>
          <w:highlight w:val="none"/>
        </w:rPr>
        <w:t>；</w:t>
      </w:r>
    </w:p>
    <w:p w14:paraId="7B5FB67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14:paraId="018A804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3、单价金额小数点或者百分比有明显错位的，以开标一览表的总价为准，并修改单价；</w:t>
      </w:r>
    </w:p>
    <w:p w14:paraId="00D5401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14:paraId="670C45B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同时出现两种以上不一致的，按照前款规定的顺序修正。修正应当采用书面形式，并加盖公章，或者由</w:t>
      </w:r>
      <w:r>
        <w:rPr>
          <w:rFonts w:hint="eastAsia" w:ascii="宋体" w:hAnsi="宋体" w:eastAsia="宋体" w:cs="宋体"/>
          <w:color w:val="auto"/>
          <w:szCs w:val="21"/>
          <w:highlight w:val="none"/>
          <w:lang w:eastAsia="zh-CN"/>
        </w:rPr>
        <w:t>法定代表人或授权委托代理人签字</w:t>
      </w:r>
      <w:r>
        <w:rPr>
          <w:rFonts w:hint="eastAsia" w:ascii="宋体" w:hAnsi="宋体" w:eastAsia="宋体" w:cs="宋体"/>
          <w:color w:val="auto"/>
          <w:szCs w:val="21"/>
          <w:highlight w:val="none"/>
        </w:rPr>
        <w:t>。修正后的报价经投标人确认后产生约束力，投标人不确认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Cs w:val="21"/>
          <w:highlight w:val="none"/>
        </w:rPr>
        <w:t>的，其投标无效。</w:t>
      </w:r>
    </w:p>
    <w:p w14:paraId="27F57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（五）投标人存在下列情况之一的，投标无效</w:t>
      </w:r>
    </w:p>
    <w:p w14:paraId="33406E8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7A1166D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2、不具备招标文件中规定的资格要求的。</w:t>
      </w:r>
      <w:r>
        <w:rPr>
          <w:rFonts w:hint="eastAsia" w:ascii="宋体" w:hAnsi="宋体" w:eastAsia="宋体" w:cs="宋体"/>
          <w:color w:val="auto"/>
          <w:szCs w:val="21"/>
          <w:highlight w:val="none"/>
        </w:rPr>
        <w:tab/>
      </w:r>
    </w:p>
    <w:p w14:paraId="31FC295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3、投标文件含有采购人不能接受的附加条件的。</w:t>
      </w:r>
    </w:p>
    <w:p w14:paraId="7F88288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4、投标人的授权委托代理人未能出具身份证明或与法定代表人授权委托人身份不符的；</w:t>
      </w:r>
    </w:p>
    <w:p w14:paraId="35FAEF9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5、投标人的电子投标文件无法按时解密的。</w:t>
      </w:r>
    </w:p>
    <w:p w14:paraId="0A1B7B5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6、电子投标文件解密失败的，且未在规定时间内提交备份投标文件的；</w:t>
      </w:r>
    </w:p>
    <w:p w14:paraId="7E8EDA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7、电子投标文件未按规定要求提供电子签章的；</w:t>
      </w:r>
    </w:p>
    <w:p w14:paraId="408575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81F066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9、报价超过招标文件中规定的预算价/最高限(单)价。 </w:t>
      </w:r>
    </w:p>
    <w:p w14:paraId="0947CE2D">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10、投标参数未如实填写，完全复制粘贴招标参数的。</w:t>
      </w:r>
    </w:p>
    <w:p w14:paraId="438288A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11、投标文件提供虚假材料的。 </w:t>
      </w:r>
    </w:p>
    <w:p w14:paraId="76ADAD0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12、不符合中华人民共和国财政部令第87号《政府采购货物和服务招标投标管理办法》第三十七条情形之一的，视为投标人串通投标，其投标无效，并移送采购监管部门：</w:t>
      </w:r>
    </w:p>
    <w:p w14:paraId="0C0EC0D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（1）不同投标人的投标文件由同一单位或者个人编制；</w:t>
      </w:r>
    </w:p>
    <w:p w14:paraId="6912F1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（2）不同投标人委托同一单位或者个人办理投标事宜；</w:t>
      </w:r>
    </w:p>
    <w:p w14:paraId="21ADBE3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（3）不同投标人的投标文件载明的项目管理成员或者联系人员为同一人；</w:t>
      </w:r>
    </w:p>
    <w:p w14:paraId="258FCC83">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（4）不同投标人的投标文件异常一致或者投标报价呈规律性差异；</w:t>
      </w:r>
    </w:p>
    <w:p w14:paraId="45A961B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（5）不同投标人的投标文件相互混装；</w:t>
      </w:r>
    </w:p>
    <w:p w14:paraId="04A90B07">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不同供应商的电子投标（响应）文件上传计算机的网卡MAC地址或硬盘序列号等硬件信息相同且无法合理解释的；</w:t>
      </w:r>
    </w:p>
    <w:p w14:paraId="07AC37D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14、</w:t>
      </w:r>
      <w:r>
        <w:rPr>
          <w:rFonts w:hint="eastAsia" w:ascii="宋体" w:hAnsi="宋体" w:eastAsia="宋体" w:cs="宋体"/>
          <w:color w:val="auto"/>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不同供应商的投标（响应）文件的内容存在3处（含）以上错误一致的；</w:t>
      </w:r>
    </w:p>
    <w:p w14:paraId="46CD7B29">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16、</w:t>
      </w:r>
      <w:r>
        <w:rPr>
          <w:rFonts w:hint="eastAsia" w:ascii="宋体" w:hAnsi="宋体" w:eastAsia="宋体" w:cs="宋体"/>
          <w:color w:val="auto"/>
          <w:szCs w:val="21"/>
          <w:highlight w:val="none"/>
        </w:rPr>
        <w:t>不同供应商联系人为同一人或不同联系人的联系电话一致的。</w:t>
      </w:r>
    </w:p>
    <w:p w14:paraId="308FD9B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r>
        <w:rPr>
          <w:rFonts w:hint="eastAsia" w:ascii="宋体" w:hAnsi="宋体" w:eastAsia="宋体" w:cs="宋体"/>
          <w:color w:val="auto"/>
          <w:szCs w:val="21"/>
          <w:highlight w:val="none"/>
        </w:rPr>
        <w:t>、不符合法律、法规和招标文件中规定的其他实质性要求的（招标文件中打“▲”内容及被拒绝的条款）。</w:t>
      </w:r>
    </w:p>
    <w:p w14:paraId="5EE7A27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Cs w:val="21"/>
          <w:highlight w:val="none"/>
        </w:rPr>
        <w:t>（六）有下列情况之一的，本次招标作为废标处理</w:t>
      </w:r>
    </w:p>
    <w:p w14:paraId="116F8701">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1、出现影响采购公正的违法、违规行为的；</w:t>
      </w:r>
    </w:p>
    <w:p w14:paraId="039CE59F">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2、评标委员会发现招标文件存在歧义、重大缺陷导致评标工作无法进行，或者招标文件内容违反国家有关强制性规定的；</w:t>
      </w:r>
    </w:p>
    <w:p w14:paraId="12F0022B">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3、因重大变故，采购任务取消的；</w:t>
      </w:r>
    </w:p>
    <w:p w14:paraId="4DA7CE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4、法律、法规和招标文件规定的其他导致评标结果无效的。</w:t>
      </w:r>
    </w:p>
    <w:p w14:paraId="3AF10DB3">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（七）评标原则和评标办法</w:t>
      </w:r>
    </w:p>
    <w:p w14:paraId="57F623B2">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10D1A4E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2、评标办法。具体评标内容及评分标准等详见《第三章：评标</w:t>
      </w:r>
      <w:r>
        <w:rPr>
          <w:rFonts w:hint="eastAsia" w:ascii="宋体" w:hAnsi="宋体" w:cs="宋体"/>
          <w:color w:val="auto"/>
          <w:szCs w:val="21"/>
          <w:highlight w:val="none"/>
          <w:lang w:val="en-US" w:eastAsia="zh-CN"/>
        </w:rPr>
        <w:t>办</w:t>
      </w:r>
      <w:r>
        <w:rPr>
          <w:rFonts w:hint="eastAsia" w:ascii="宋体" w:hAnsi="宋体" w:eastAsia="宋体" w:cs="宋体"/>
          <w:color w:val="auto"/>
          <w:szCs w:val="21"/>
          <w:highlight w:val="none"/>
        </w:rPr>
        <w:t>法及评分标准》。</w:t>
      </w:r>
    </w:p>
    <w:p w14:paraId="21E9176A">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（八）评标过程的监控</w:t>
      </w:r>
    </w:p>
    <w:p w14:paraId="3FDCAB5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本项目评标过程实行全程录音、录像监控，政府采购监管部门视情进行现场监督，投标人在评标过程中所进行的试图影响评标结果的不公正活动，可能导致其投标被拒绝。</w:t>
      </w:r>
    </w:p>
    <w:p w14:paraId="24969C05">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六、定标</w:t>
      </w:r>
    </w:p>
    <w:p w14:paraId="20F3FA9B">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确定中标供应商。评标委员会根据采购单位的《授权意见确认书》，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6EED3C4C">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2541B23D">
      <w:pPr>
        <w:keepNext w:val="0"/>
        <w:keepLines w:val="0"/>
        <w:pageBreakBefore w:val="0"/>
        <w:kinsoku/>
        <w:wordWrap/>
        <w:overflowPunct/>
        <w:topLinePunct w:val="0"/>
        <w:bidi w:val="0"/>
        <w:spacing w:line="360" w:lineRule="auto"/>
        <w:ind w:firstLine="420" w:firstLineChars="200"/>
        <w:jc w:val="left"/>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3、发出中标通知书。采购组织机构在发布中标结果的同时，向中标人发出中标通知书。</w:t>
      </w:r>
    </w:p>
    <w:p w14:paraId="5B24F4B3">
      <w:pPr>
        <w:pStyle w:val="18"/>
        <w:keepNext w:val="0"/>
        <w:keepLines w:val="0"/>
        <w:pageBreakBefore w:val="0"/>
        <w:kinsoku/>
        <w:wordWrap/>
        <w:overflowPunct/>
        <w:topLinePunct w:val="0"/>
        <w:bidi w:val="0"/>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40BBBAE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 w:val="21"/>
          <w:szCs w:val="21"/>
          <w:highlight w:val="none"/>
        </w:rPr>
        <w:t>招标代理费：按照《国家发展改革委关于进一步放开建设项目专业服务价格的通知》（发改价格2015 299号）执行，</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收取。该费用中标方须在领取中标通知书时一次性付清。（单位名称：台州永安工程咨询有限公司；人民币账号：530125998900015；开户行：台州银行黄岩工业园区支行）</w:t>
      </w:r>
    </w:p>
    <w:p w14:paraId="4E50CB3B">
      <w:pPr>
        <w:keepNext w:val="0"/>
        <w:keepLines w:val="0"/>
        <w:pageBreakBefore w:val="0"/>
        <w:kinsoku/>
        <w:wordWrap/>
        <w:overflowPunct/>
        <w:topLinePunct w:val="0"/>
        <w:bidi w:val="0"/>
        <w:jc w:val="center"/>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34745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190C72D3">
            <w:pPr>
              <w:keepNext w:val="0"/>
              <w:keepLines w:val="0"/>
              <w:pageBreakBefore w:val="0"/>
              <w:kinsoku/>
              <w:wordWrap/>
              <w:overflowPunct/>
              <w:topLinePunct w:val="0"/>
              <w:bidi w:val="0"/>
              <w:ind w:firstLine="1470"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-58420</wp:posOffset>
                      </wp:positionH>
                      <wp:positionV relativeFrom="paragraph">
                        <wp:posOffset>21590</wp:posOffset>
                      </wp:positionV>
                      <wp:extent cx="1619250" cy="725170"/>
                      <wp:effectExtent l="1905" t="4445" r="17145" b="13335"/>
                      <wp:wrapNone/>
                      <wp:docPr id="6" name="直接连接符 6"/>
                      <wp:cNvGraphicFramePr/>
                      <a:graphic xmlns:a="http://schemas.openxmlformats.org/drawingml/2006/main">
                        <a:graphicData uri="http://schemas.microsoft.com/office/word/2010/wordprocessingShape">
                          <wps:wsp>
                            <wps:cNvCnPr/>
                            <wps:spPr>
                              <a:xfrm flipH="1" flipV="1">
                                <a:off x="999490" y="935355"/>
                                <a:ext cx="1619250" cy="72517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x y;margin-left:-4.6pt;margin-top:1.7pt;height:57.1pt;width:127.5pt;z-index:251663360;mso-width-relative:page;mso-height-relative:page;" filled="f" stroked="t" coordsize="21600,21600" o:gfxdata="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9+eVfUAAAACAEAAA8AAAAAAAAAAQAg&#10;AAAAIgAAAGRycy9kb3ducmV2LnhtbFBLAQIUABQAAAAIAIdO4kBz4/Q4EgIAAAQEAAAOAAAAAAAA&#10;AAEAIAAAACMBAABkcnMvZTJvRG9jLnhtbFBLBQYAAAAABgAGAFkBAACnBQAAAAA=&#10;">
                      <v:fill on="f" focussize="0,0"/>
                      <v:stroke color="#0000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2336" behindDoc="0" locked="0" layoutInCell="1" allowOverlap="1">
                      <wp:simplePos x="0" y="0"/>
                      <wp:positionH relativeFrom="column">
                        <wp:posOffset>645160</wp:posOffset>
                      </wp:positionH>
                      <wp:positionV relativeFrom="paragraph">
                        <wp:posOffset>0</wp:posOffset>
                      </wp:positionV>
                      <wp:extent cx="922655" cy="739775"/>
                      <wp:effectExtent l="3175" t="3810" r="7620" b="18415"/>
                      <wp:wrapNone/>
                      <wp:docPr id="4" name="直接连接符 4"/>
                      <wp:cNvGraphicFramePr/>
                      <a:graphic xmlns:a="http://schemas.openxmlformats.org/drawingml/2006/main">
                        <a:graphicData uri="http://schemas.microsoft.com/office/word/2010/wordprocessingShape">
                          <wps:wsp>
                            <wps:cNvCnPr/>
                            <wps:spPr>
                              <a:xfrm>
                                <a:off x="1812925" y="964565"/>
                                <a:ext cx="922655" cy="739775"/>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50.8pt;margin-top:0pt;height:58.25pt;width:72.65pt;z-index:251662336;mso-width-relative:page;mso-height-relative:page;" filled="f" stroked="t" coordsize="21600,21600" o:gfxdata="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4BhXtUAAAAIAQAADwAAAAAAAAABACAAAAAiAAAAZHJz&#10;L2Rvd25yZXYueG1sUEsBAhQAFAAAAAgAh07iQGx8WwoHAgAA8AMAAA4AAAAAAAAAAQAgAAAAJAEA&#10;AGRycy9lMm9Eb2MueG1sUEsFBgAAAAAGAAYAWQEAAJ0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1312;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20471526">
            <w:pPr>
              <w:keepNext w:val="0"/>
              <w:keepLines w:val="0"/>
              <w:pageBreakBefore w:val="0"/>
              <w:kinsoku/>
              <w:wordWrap/>
              <w:overflowPunct/>
              <w:topLinePunct w:val="0"/>
              <w:bidi w:val="0"/>
              <w:ind w:firstLine="1054" w:firstLineChars="5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666FF647">
            <w:pPr>
              <w:keepNext w:val="0"/>
              <w:keepLines w:val="0"/>
              <w:pageBreakBefore w:val="0"/>
              <w:kinsoku/>
              <w:wordWrap/>
              <w:overflowPunct/>
              <w:topLinePunct w:val="0"/>
              <w:bidi w:val="0"/>
              <w:ind w:firstLine="1476" w:firstLineChars="70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5B34690">
            <w:pPr>
              <w:keepNext w:val="0"/>
              <w:keepLines w:val="0"/>
              <w:pageBreakBefore w:val="0"/>
              <w:kinsoku/>
              <w:wordWrap/>
              <w:overflowPunct/>
              <w:topLinePunct w:val="0"/>
              <w:bidi w:val="0"/>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219DECAC">
            <w:pPr>
              <w:keepNext w:val="0"/>
              <w:keepLines w:val="0"/>
              <w:pageBreakBefore w:val="0"/>
              <w:kinsoku/>
              <w:wordWrap/>
              <w:overflowPunct/>
              <w:topLinePunct w:val="0"/>
              <w:bidi w:val="0"/>
              <w:jc w:val="center"/>
              <w:textAlignment w:val="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货物招标</w:t>
            </w:r>
          </w:p>
        </w:tc>
      </w:tr>
      <w:tr w14:paraId="463AB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14DB827">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41D0324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69E59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81EC314">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ACB332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r>
      <w:tr w14:paraId="1B3B5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41261ADD">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0DF9131F">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768B6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464DF2B">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43A9E25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r>
      <w:tr w14:paraId="058B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1BCC91F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5B090D16">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7BB9B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7344F0C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07644688">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18C73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227750CC">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5B731FA2">
            <w:pPr>
              <w:keepNext w:val="0"/>
              <w:keepLines w:val="0"/>
              <w:pageBreakBefore w:val="0"/>
              <w:kinsoku/>
              <w:wordWrap/>
              <w:overflowPunct/>
              <w:topLinePunct w:val="0"/>
              <w:bidi w:val="0"/>
              <w:jc w:val="center"/>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1175F0F">
      <w:pPr>
        <w:keepNext w:val="0"/>
        <w:keepLines w:val="0"/>
        <w:pageBreakBefore w:val="0"/>
        <w:kinsoku/>
        <w:wordWrap/>
        <w:overflowPunct/>
        <w:topLinePunct w:val="0"/>
        <w:bidi w:val="0"/>
        <w:spacing w:line="360" w:lineRule="auto"/>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七、合同签订及公告</w:t>
      </w:r>
    </w:p>
    <w:p w14:paraId="2CA3F5B1">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（一）签订合同</w:t>
      </w:r>
    </w:p>
    <w:p w14:paraId="2B014FC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1、采购人应当自中标通知书发出之日起</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日内，按照招标文件和中标人投标文件的规定，与中标人签订书面合同。所签订的合同不得对招标文件确定的事项和中标人投标文件作实质性修改。</w:t>
      </w:r>
    </w:p>
    <w:p w14:paraId="0DCC4F4A">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2、采购人不得向中标人提出任何不合理的要求作为签订合同的条件。</w:t>
      </w:r>
    </w:p>
    <w:p w14:paraId="19FFE844">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3、中标供应商无故拖延、拒签合同的,取消中标资格。</w:t>
      </w:r>
    </w:p>
    <w:p w14:paraId="6EE121B8">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14:paraId="5CC1C60C">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5、询问或者质疑事项可能影响中标结果的，采购人应当暂停签订合同，已经签订合同的，应当中止履行合同（中标结果的质疑期为中标结果公告期限届满之日起七个工作日）。</w:t>
      </w:r>
    </w:p>
    <w:p w14:paraId="179593A7">
      <w:pPr>
        <w:keepNext w:val="0"/>
        <w:keepLines w:val="0"/>
        <w:pageBreakBefore w:val="0"/>
        <w:kinsoku/>
        <w:wordWrap/>
        <w:overflowPunct/>
        <w:topLinePunct w:val="0"/>
        <w:bidi w:val="0"/>
        <w:spacing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（二）合同公告及备案</w:t>
      </w:r>
    </w:p>
    <w:p w14:paraId="454699F0">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1、采购人应当自政府采购合同签订之日起2个工作日内，在省级以上财政部门指定的政府采购信息发布媒体及相关网站上公告。</w:t>
      </w:r>
    </w:p>
    <w:p w14:paraId="1FF4210E">
      <w:pPr>
        <w:keepNext w:val="0"/>
        <w:keepLines w:val="0"/>
        <w:pageBreakBefore w:val="0"/>
        <w:kinsoku/>
        <w:wordWrap/>
        <w:overflowPunct/>
        <w:topLinePunct w:val="0"/>
        <w:bidi w:val="0"/>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2、采购人应当自政府采购合同签订之日起7个工作日内，将政府采购合同副本报同级人民政府财政部门备案以及采购组织机构存档。</w:t>
      </w:r>
    </w:p>
    <w:p w14:paraId="2B355EEF">
      <w:pPr>
        <w:spacing w:line="360" w:lineRule="auto"/>
        <w:rPr>
          <w:rFonts w:hint="eastAsia" w:ascii="宋体" w:hAnsi="宋体" w:eastAsia="宋体" w:cs="宋体"/>
          <w:b/>
          <w:color w:val="auto"/>
          <w:sz w:val="36"/>
          <w:szCs w:val="36"/>
          <w:highlight w:val="none"/>
        </w:rPr>
      </w:pPr>
    </w:p>
    <w:p w14:paraId="40E26314">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266FBC79">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63377CD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一、采购组织机构将组织评标委员会，对投标人提供的投标文件进行综合评审。</w:t>
      </w:r>
    </w:p>
    <w:p w14:paraId="41A0FBF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二、本次招标项目的评标方法为综合评分法，总计100分，其中</w:t>
      </w:r>
      <w:r>
        <w:rPr>
          <w:rFonts w:hint="eastAsia" w:ascii="宋体" w:hAnsi="宋体" w:eastAsia="宋体" w:cs="宋体"/>
          <w:color w:val="auto"/>
          <w:szCs w:val="21"/>
          <w:highlight w:val="none"/>
          <w:lang w:val="zh-CN"/>
        </w:rPr>
        <w:t>商务技术文件分值</w:t>
      </w:r>
      <w:r>
        <w:rPr>
          <w:rFonts w:hint="eastAsia" w:ascii="宋体" w:hAnsi="宋体" w:cs="宋体"/>
          <w:color w:val="auto"/>
          <w:szCs w:val="21"/>
          <w:highlight w:val="none"/>
          <w:lang w:val="en-US" w:eastAsia="zh-CN"/>
        </w:rPr>
        <w:t>70</w:t>
      </w:r>
      <w:r>
        <w:rPr>
          <w:rFonts w:hint="eastAsia" w:ascii="宋体" w:hAnsi="宋体" w:eastAsia="宋体" w:cs="宋体"/>
          <w:color w:val="auto"/>
          <w:szCs w:val="21"/>
          <w:highlight w:val="none"/>
          <w:lang w:val="zh-CN"/>
        </w:rPr>
        <w:t>分，投标报价分值</w:t>
      </w:r>
      <w:r>
        <w:rPr>
          <w:rFonts w:hint="eastAsia" w:ascii="宋体" w:hAnsi="宋体" w:cs="宋体"/>
          <w:color w:val="auto"/>
          <w:szCs w:val="21"/>
          <w:highlight w:val="none"/>
          <w:lang w:val="en-US" w:eastAsia="zh-CN"/>
        </w:rPr>
        <w:t>30</w:t>
      </w:r>
      <w:r>
        <w:rPr>
          <w:rFonts w:hint="eastAsia" w:ascii="宋体" w:hAnsi="宋体" w:eastAsia="宋体" w:cs="宋体"/>
          <w:color w:val="auto"/>
          <w:szCs w:val="21"/>
          <w:highlight w:val="none"/>
          <w:lang w:val="zh-CN"/>
        </w:rPr>
        <w:t>分</w:t>
      </w:r>
      <w:r>
        <w:rPr>
          <w:rFonts w:hint="eastAsia" w:ascii="宋体" w:hAnsi="宋体" w:eastAsia="宋体" w:cs="宋体"/>
          <w:color w:val="auto"/>
          <w:szCs w:val="21"/>
          <w:highlight w:val="none"/>
        </w:rPr>
        <w:t>。评标标准按评分细化条款及分值进行评审。</w:t>
      </w:r>
    </w:p>
    <w:p w14:paraId="175F28F1">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（一</w:t>
      </w:r>
      <w:r>
        <w:rPr>
          <w:rFonts w:hint="eastAsia" w:ascii="宋体" w:hAnsi="宋体" w:eastAsia="宋体" w:cs="宋体"/>
          <w:color w:val="auto"/>
          <w:szCs w:val="21"/>
          <w:highlight w:val="none"/>
          <w:lang w:val="zh-CN"/>
        </w:rPr>
        <w:t>）商务技术文件中的客观分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color w:val="auto"/>
          <w:szCs w:val="21"/>
          <w:highlight w:val="none"/>
          <w:lang w:val="zh-CN"/>
        </w:rPr>
        <w:t>其余在规定的分值内单独评定打分</w:t>
      </w:r>
      <w:r>
        <w:rPr>
          <w:rFonts w:hint="eastAsia" w:ascii="宋体" w:hAnsi="宋体" w:eastAsia="宋体" w:cs="宋体"/>
          <w:color w:val="auto"/>
          <w:szCs w:val="21"/>
          <w:highlight w:val="none"/>
        </w:rPr>
        <w:t>（小数点后保留1位）</w:t>
      </w:r>
      <w:r>
        <w:rPr>
          <w:rFonts w:hint="eastAsia" w:ascii="宋体" w:hAnsi="宋体" w:eastAsia="宋体" w:cs="宋体"/>
          <w:color w:val="auto"/>
          <w:szCs w:val="21"/>
          <w:highlight w:val="none"/>
          <w:lang w:val="zh-CN"/>
        </w:rPr>
        <w:t>。</w:t>
      </w:r>
    </w:p>
    <w:p w14:paraId="4C5AB147">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Cs w:val="21"/>
          <w:highlight w:val="none"/>
        </w:rPr>
        <w:t>（小数点后保留2位</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，计算公式为：</w:t>
      </w:r>
    </w:p>
    <w:p w14:paraId="7A96047A">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商务技术文件</w:t>
      </w:r>
      <w:r>
        <w:rPr>
          <w:rFonts w:hint="eastAsia" w:ascii="宋体" w:hAnsi="宋体" w:eastAsia="宋体" w:cs="宋体"/>
          <w:color w:val="auto"/>
          <w:szCs w:val="21"/>
          <w:highlight w:val="none"/>
        </w:rPr>
        <w:t>得分</w:t>
      </w:r>
      <w:r>
        <w:rPr>
          <w:rFonts w:hint="eastAsia" w:ascii="宋体" w:hAnsi="宋体" w:eastAsia="宋体" w:cs="宋体"/>
          <w:color w:val="auto"/>
          <w:szCs w:val="21"/>
          <w:highlight w:val="none"/>
          <w:lang w:val="zh-CN"/>
        </w:rPr>
        <w:t>=评标委员会所有成员评分合计数/评标委员会组成人员数。</w:t>
      </w:r>
    </w:p>
    <w:p w14:paraId="6330226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（三）投标报价得分采用低价优先法计算</w:t>
      </w:r>
      <w:r>
        <w:rPr>
          <w:rFonts w:hint="eastAsia" w:ascii="宋体" w:hAnsi="宋体" w:eastAsia="宋体" w:cs="宋体"/>
          <w:color w:val="auto"/>
          <w:szCs w:val="21"/>
          <w:highlight w:val="none"/>
        </w:rPr>
        <w:t>（小数点后保留2位</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四舍五入</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，即满足招标文件要求且投标价格最低的投标报价为评标基准价，其报价得满分。其他投标人的投标报价得分按下列公式计算：</w:t>
      </w:r>
    </w:p>
    <w:p w14:paraId="5EA29677">
      <w:pPr>
        <w:spacing w:line="360" w:lineRule="auto"/>
        <w:ind w:firstLine="420" w:firstLineChars="200"/>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u w:val="single"/>
          <w:lang w:val="zh-CN"/>
        </w:rPr>
        <w:t>投标报价得分=(评标基准价／投标报价)×</w:t>
      </w:r>
      <w:r>
        <w:rPr>
          <w:rFonts w:hint="eastAsia" w:ascii="宋体" w:hAnsi="宋体" w:cs="宋体"/>
          <w:color w:val="auto"/>
          <w:szCs w:val="21"/>
          <w:highlight w:val="none"/>
          <w:u w:val="single"/>
          <w:lang w:val="en-US" w:eastAsia="zh-CN"/>
        </w:rPr>
        <w:t>30</w:t>
      </w:r>
      <w:r>
        <w:rPr>
          <w:rFonts w:hint="eastAsia" w:ascii="宋体" w:hAnsi="宋体" w:eastAsia="宋体" w:cs="宋体"/>
          <w:color w:val="auto"/>
          <w:szCs w:val="21"/>
          <w:highlight w:val="none"/>
          <w:u w:val="single"/>
          <w:lang w:val="zh-CN"/>
        </w:rPr>
        <w:t>%×100 。</w:t>
      </w:r>
    </w:p>
    <w:p w14:paraId="6250CFE3">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（四）投标人综合得分＝商务技术文件得分＋投标报价得分。</w:t>
      </w:r>
    </w:p>
    <w:p w14:paraId="1214A68C">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（五）政府采购政策及优惠：</w:t>
      </w:r>
    </w:p>
    <w:p w14:paraId="0C32A33D">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 w:val="21"/>
          <w:szCs w:val="21"/>
          <w:highlight w:val="none"/>
          <w:lang w:val="zh-CN"/>
        </w:rPr>
        <w:t>关于小型、微型企业（简称小微企业）投标：①根据</w:t>
      </w:r>
      <w:r>
        <w:rPr>
          <w:rFonts w:hint="eastAsia" w:ascii="宋体" w:hAnsi="宋体" w:eastAsia="宋体" w:cs="宋体"/>
          <w:color w:val="auto"/>
          <w:sz w:val="21"/>
          <w:szCs w:val="21"/>
          <w:highlight w:val="none"/>
          <w:lang w:val="en-US" w:eastAsia="zh-CN"/>
        </w:rPr>
        <w:t>浙江省财政厅</w:t>
      </w:r>
      <w:r>
        <w:rPr>
          <w:rFonts w:hint="eastAsia" w:ascii="宋体" w:hAnsi="宋体" w:eastAsia="宋体" w:cs="宋体"/>
          <w:color w:val="auto"/>
          <w:sz w:val="21"/>
          <w:szCs w:val="21"/>
          <w:highlight w:val="none"/>
          <w:lang w:val="zh-CN"/>
        </w:rPr>
        <w:t>发布的《浙江省财政厅关于进一步发挥政府采购政策功能全力推动经济稳进提质的通知》【</w:t>
      </w:r>
      <w:r>
        <w:rPr>
          <w:rFonts w:hint="eastAsia" w:ascii="宋体" w:hAnsi="宋体" w:eastAsia="宋体" w:cs="宋体"/>
          <w:color w:val="auto"/>
          <w:sz w:val="21"/>
          <w:szCs w:val="21"/>
          <w:highlight w:val="none"/>
          <w:lang w:val="en-US" w:eastAsia="zh-CN"/>
        </w:rPr>
        <w:t>浙财采监</w:t>
      </w:r>
      <w:r>
        <w:rPr>
          <w:rFonts w:hint="eastAsia" w:ascii="宋体" w:hAnsi="宋体" w:eastAsia="宋体" w:cs="宋体"/>
          <w:color w:val="auto"/>
          <w:sz w:val="21"/>
          <w:szCs w:val="21"/>
          <w:highlight w:val="none"/>
          <w:lang w:val="zh-CN"/>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rPr>
        <w:t>号】规定，对于经主管预算单位统筹后未预留份额专门面向中小企业采购的采购项目，以及预留份额项目中的非预留部分采购包，采购人、采购代理机构应当对符合本办法规定的小微企业报价给予</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的扣除，用扣除后的价格参加评审。②小微企业投标是指符合《中小企业划型标准规定》的投标人，通过投标提供本企业制造的货物、承担的工程或者服务，或者提供其他小微企业制造的货物。本项所指货物不包括使用大、中型企业注册商标的货物。</w:t>
      </w:r>
    </w:p>
    <w:p w14:paraId="27C1DB7E">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752FE1C4">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残疾人福利性单位在参加政府采购活动时，应提供《残疾人福利性单位声明函》（见附件），视同小型、微型企业，享受小微企业政府采购优惠政策。</w:t>
      </w:r>
    </w:p>
    <w:p w14:paraId="268851A2">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具体优惠：对于非联合体投标，小型微型企业产品的价格给予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%的扣除，用扣除后的价格计算评标基准价和投标报价。对于联合体投标，小型、微型企业的协议合同金额占到联合体协议合同总金额30%以上的，可给予联合体</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%的价格扣除。联合体各方均为小型、微型企业的，联合体视同为小型、微型企业享受扶持政策，对于小型微型企业产品的价格给予</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%的扣除，用扣除后的价格计算评标基准价和响应报价。同一投标人（包括联合体），小微企业、监狱企业、残疾人福利性单位价格扣除优惠只享受一次，不得重复享受。</w:t>
      </w:r>
    </w:p>
    <w:p w14:paraId="7EC45639">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注：得分以系统计算为准，保留2位小数。</w:t>
      </w:r>
    </w:p>
    <w:p w14:paraId="0B1AD3DA">
      <w:pPr>
        <w:pStyle w:val="9"/>
        <w:spacing w:line="360" w:lineRule="auto"/>
        <w:ind w:firstLine="562" w:firstLineChars="200"/>
        <w:jc w:val="left"/>
        <w:rPr>
          <w:rFonts w:hint="eastAsia" w:ascii="宋体" w:hAnsi="宋体" w:eastAsia="宋体" w:cs="宋体"/>
          <w:color w:val="auto"/>
          <w:szCs w:val="21"/>
          <w:highlight w:val="none"/>
          <w:lang w:val="zh-CN"/>
        </w:rPr>
      </w:pPr>
      <w:r>
        <w:rPr>
          <w:rFonts w:hint="eastAsia" w:ascii="宋体" w:hAnsi="宋体" w:eastAsia="宋体" w:cs="宋体"/>
          <w:b/>
          <w:bCs/>
          <w:color w:val="auto"/>
          <w:sz w:val="28"/>
          <w:szCs w:val="28"/>
          <w:highlight w:val="none"/>
          <w:u w:val="single"/>
        </w:rPr>
        <w:t>*</w:t>
      </w:r>
      <w:r>
        <w:rPr>
          <w:rFonts w:hint="eastAsia" w:ascii="宋体" w:hAnsi="宋体" w:eastAsia="宋体" w:cs="宋体"/>
          <w:b/>
          <w:bCs/>
          <w:color w:val="auto"/>
          <w:szCs w:val="21"/>
          <w:highlight w:val="none"/>
          <w:u w:val="single"/>
          <w:lang w:val="zh-CN"/>
        </w:rPr>
        <w:t>以上证明材料不提供或提供不全的视为自动放弃优惠政策。</w:t>
      </w:r>
    </w:p>
    <w:p w14:paraId="79771D71">
      <w:pPr>
        <w:autoSpaceDE w:val="0"/>
        <w:autoSpaceDN w:val="0"/>
        <w:adjustRightInd w:val="0"/>
        <w:spacing w:line="360" w:lineRule="auto"/>
        <w:ind w:right="85"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三、在最大限度地满足</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文件实质性要求前提下，</w:t>
      </w:r>
      <w:r>
        <w:rPr>
          <w:rFonts w:hint="eastAsia" w:ascii="宋体" w:hAnsi="宋体" w:eastAsia="宋体" w:cs="宋体"/>
          <w:color w:val="auto"/>
          <w:szCs w:val="21"/>
          <w:highlight w:val="none"/>
        </w:rPr>
        <w:t>评标委员会</w:t>
      </w:r>
      <w:r>
        <w:rPr>
          <w:rFonts w:hint="eastAsia" w:ascii="宋体" w:hAnsi="宋体" w:eastAsia="宋体" w:cs="宋体"/>
          <w:color w:val="auto"/>
          <w:szCs w:val="21"/>
          <w:highlight w:val="none"/>
          <w:lang w:val="zh-CN"/>
        </w:rPr>
        <w:t>按照</w:t>
      </w:r>
      <w:r>
        <w:rPr>
          <w:rFonts w:hint="eastAsia" w:ascii="宋体" w:hAnsi="宋体" w:eastAsia="宋体" w:cs="宋体"/>
          <w:color w:val="auto"/>
          <w:szCs w:val="21"/>
          <w:highlight w:val="none"/>
        </w:rPr>
        <w:t>招标</w:t>
      </w:r>
      <w:r>
        <w:rPr>
          <w:rFonts w:hint="eastAsia" w:ascii="宋体" w:hAnsi="宋体" w:eastAsia="宋体" w:cs="宋体"/>
          <w:color w:val="auto"/>
          <w:szCs w:val="21"/>
          <w:highlight w:val="none"/>
          <w:lang w:val="zh-CN"/>
        </w:rPr>
        <w:t>文件中规定的各项因素进行综合评审后，以评审总得分最高的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第一</w:t>
      </w:r>
      <w:r>
        <w:rPr>
          <w:rFonts w:hint="eastAsia" w:ascii="宋体" w:hAnsi="宋体" w:eastAsia="宋体" w:cs="宋体"/>
          <w:color w:val="auto"/>
          <w:szCs w:val="21"/>
          <w:highlight w:val="none"/>
        </w:rPr>
        <w:t>中标候选人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lang w:val="zh-CN"/>
        </w:rPr>
        <w:t>评审总得分</w:t>
      </w:r>
      <w:r>
        <w:rPr>
          <w:rFonts w:hint="eastAsia" w:ascii="宋体" w:hAnsi="宋体" w:cs="宋体"/>
          <w:color w:val="auto"/>
          <w:szCs w:val="21"/>
          <w:highlight w:val="none"/>
          <w:lang w:val="en-US" w:eastAsia="zh-CN"/>
        </w:rPr>
        <w:t>次</w:t>
      </w:r>
      <w:r>
        <w:rPr>
          <w:rFonts w:hint="eastAsia" w:ascii="宋体" w:hAnsi="宋体" w:eastAsia="宋体" w:cs="宋体"/>
          <w:color w:val="auto"/>
          <w:szCs w:val="21"/>
          <w:highlight w:val="none"/>
          <w:lang w:val="zh-CN"/>
        </w:rPr>
        <w:t>高的</w:t>
      </w: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lang w:val="zh-CN"/>
        </w:rPr>
        <w:t>为</w:t>
      </w:r>
      <w:r>
        <w:rPr>
          <w:rFonts w:hint="eastAsia" w:ascii="宋体" w:hAnsi="宋体" w:cs="宋体"/>
          <w:color w:val="auto"/>
          <w:szCs w:val="21"/>
          <w:highlight w:val="none"/>
          <w:lang w:val="en-US" w:eastAsia="zh-CN"/>
        </w:rPr>
        <w:t>第二</w:t>
      </w:r>
      <w:r>
        <w:rPr>
          <w:rFonts w:hint="eastAsia" w:ascii="宋体" w:hAnsi="宋体" w:eastAsia="宋体" w:cs="宋体"/>
          <w:color w:val="auto"/>
          <w:szCs w:val="21"/>
          <w:highlight w:val="none"/>
        </w:rPr>
        <w:t>中标候选人</w:t>
      </w:r>
      <w:r>
        <w:rPr>
          <w:rFonts w:hint="eastAsia" w:ascii="宋体" w:hAnsi="宋体" w:eastAsia="宋体" w:cs="宋体"/>
          <w:color w:val="auto"/>
          <w:szCs w:val="21"/>
          <w:highlight w:val="none"/>
          <w:lang w:val="zh-CN"/>
        </w:rPr>
        <w:t>。</w:t>
      </w:r>
    </w:p>
    <w:p w14:paraId="40B6684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四、如综合得分相同，投标报价低者为先；如综合得分且投标报价相同的，以技术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得分较高者为先，技术</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z w:val="21"/>
          <w:szCs w:val="21"/>
          <w:highlight w:val="none"/>
          <w:lang w:val="zh-CN"/>
        </w:rPr>
        <w:t>得分也相同的则抽签决定。</w:t>
      </w:r>
    </w:p>
    <w:p w14:paraId="40C8EB7E">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14:paraId="17DA43F4">
      <w:pPr>
        <w:spacing w:line="360" w:lineRule="auto"/>
        <w:ind w:firstLine="420" w:firstLineChars="200"/>
        <w:rPr>
          <w:rFonts w:hint="eastAsia" w:ascii="宋体" w:hAnsi="宋体" w:eastAsia="宋体" w:cs="宋体"/>
          <w:color w:val="auto"/>
          <w:spacing w:val="10"/>
          <w:szCs w:val="21"/>
          <w:highlight w:val="none"/>
        </w:rPr>
      </w:pPr>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中标候选人放弃中标、拒绝与采购人签订合同、因不可抗力提出不能履行合同，采购人可以按照评审报告推荐的中标或者成交候选人名单排序，确定下一候选人为中标或者成交供应商，也可以重新开展政府采购活动。评标办法的解释权归招标人。</w:t>
      </w:r>
    </w:p>
    <w:p w14:paraId="46C2F7F0">
      <w:pPr>
        <w:spacing w:line="360" w:lineRule="auto"/>
        <w:ind w:firstLine="420" w:firstLineChars="200"/>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lang w:val="en-US" w:eastAsia="zh-CN"/>
        </w:rPr>
        <w:t>七</w:t>
      </w:r>
      <w:r>
        <w:rPr>
          <w:rFonts w:hint="eastAsia" w:ascii="宋体" w:hAnsi="宋体" w:eastAsia="宋体" w:cs="宋体"/>
          <w:color w:val="auto"/>
          <w:sz w:val="21"/>
          <w:szCs w:val="21"/>
          <w:highlight w:val="none"/>
          <w:lang w:val="zh-CN"/>
        </w:rPr>
        <w:t>、本次评分具体分值细化条款如下表：</w:t>
      </w:r>
    </w:p>
    <w:p w14:paraId="6BC36F8E">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b/>
          <w:color w:val="auto"/>
          <w:szCs w:val="21"/>
          <w:highlight w:val="none"/>
        </w:rPr>
        <w:t>评标打分标准表</w:t>
      </w:r>
      <w:r>
        <w:rPr>
          <w:rFonts w:hint="eastAsia" w:ascii="宋体" w:hAnsi="宋体" w:eastAsia="宋体" w:cs="宋体"/>
          <w:color w:val="auto"/>
          <w:szCs w:val="21"/>
          <w:highlight w:val="none"/>
          <w:lang w:val="zh-CN"/>
        </w:rPr>
        <w:t xml:space="preserve"> </w:t>
      </w:r>
    </w:p>
    <w:tbl>
      <w:tblPr>
        <w:tblStyle w:val="23"/>
        <w:tblW w:w="91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999"/>
        <w:gridCol w:w="6590"/>
        <w:gridCol w:w="675"/>
      </w:tblGrid>
      <w:tr w14:paraId="7B5F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jc w:val="center"/>
        </w:trPr>
        <w:tc>
          <w:tcPr>
            <w:tcW w:w="1837" w:type="dxa"/>
            <w:gridSpan w:val="2"/>
            <w:vAlign w:val="center"/>
          </w:tcPr>
          <w:p w14:paraId="1B817BC6">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590" w:type="dxa"/>
            <w:vAlign w:val="center"/>
          </w:tcPr>
          <w:p w14:paraId="3C0666FA">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75" w:type="dxa"/>
            <w:vAlign w:val="center"/>
          </w:tcPr>
          <w:p w14:paraId="0910318F">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r>
      <w:tr w14:paraId="18EB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838" w:type="dxa"/>
            <w:vMerge w:val="restart"/>
            <w:vAlign w:val="center"/>
          </w:tcPr>
          <w:p w14:paraId="70AA2D21">
            <w:pPr>
              <w:widowControl/>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00647BAA">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tc>
        <w:tc>
          <w:tcPr>
            <w:tcW w:w="999" w:type="dxa"/>
            <w:vAlign w:val="center"/>
          </w:tcPr>
          <w:p w14:paraId="384AACB1">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承接经验</w:t>
            </w:r>
          </w:p>
        </w:tc>
        <w:tc>
          <w:tcPr>
            <w:tcW w:w="6590" w:type="dxa"/>
            <w:vAlign w:val="center"/>
          </w:tcPr>
          <w:p w14:paraId="23C7740B">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投标人自2022年1月1日以来（以合同签订时间为准），承接过</w:t>
            </w:r>
            <w:r>
              <w:rPr>
                <w:rFonts w:hint="eastAsia" w:ascii="宋体" w:hAnsi="宋体" w:eastAsia="宋体" w:cs="宋体"/>
                <w:color w:val="auto"/>
                <w:szCs w:val="21"/>
                <w:highlight w:val="none"/>
              </w:rPr>
              <w:t>类似</w:t>
            </w:r>
            <w:r>
              <w:rPr>
                <w:rFonts w:hint="eastAsia" w:ascii="宋体" w:hAnsi="宋体" w:eastAsia="宋体" w:cs="宋体"/>
                <w:color w:val="auto"/>
                <w:kern w:val="2"/>
                <w:sz w:val="21"/>
                <w:szCs w:val="21"/>
                <w:highlight w:val="none"/>
                <w:lang w:val="en-US" w:eastAsia="zh-CN" w:bidi="ar-SA"/>
              </w:rPr>
              <w:t>文物保护单位</w:t>
            </w:r>
            <w:r>
              <w:rPr>
                <w:rFonts w:hint="eastAsia" w:ascii="宋体" w:hAnsi="宋体" w:cs="宋体"/>
                <w:color w:val="auto"/>
                <w:szCs w:val="21"/>
                <w:highlight w:val="none"/>
                <w:lang w:val="en-US" w:eastAsia="zh-CN"/>
              </w:rPr>
              <w:t>消防</w:t>
            </w:r>
            <w:r>
              <w:rPr>
                <w:rFonts w:hint="eastAsia" w:ascii="宋体" w:hAnsi="宋体" w:eastAsia="宋体" w:cs="宋体"/>
                <w:color w:val="auto"/>
                <w:szCs w:val="21"/>
                <w:highlight w:val="none"/>
              </w:rPr>
              <w:t>项目的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每提供1</w:t>
            </w:r>
            <w:r>
              <w:rPr>
                <w:rFonts w:hint="eastAsia" w:ascii="宋体" w:hAnsi="宋体" w:eastAsia="宋体" w:cs="宋体"/>
                <w:color w:val="auto"/>
                <w:kern w:val="2"/>
                <w:sz w:val="21"/>
                <w:szCs w:val="21"/>
                <w:highlight w:val="none"/>
                <w:lang w:val="en-US" w:eastAsia="zh-CN" w:bidi="ar-SA"/>
              </w:rPr>
              <w:t>个合同得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szCs w:val="21"/>
                <w:highlight w:val="none"/>
                <w:lang w:val="en-US" w:eastAsia="zh-CN"/>
              </w:rPr>
              <w:t>分，本项最高得3分。</w:t>
            </w:r>
          </w:p>
          <w:p w14:paraId="3187091D">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（须提供</w:t>
            </w:r>
            <w:r>
              <w:rPr>
                <w:rFonts w:hint="eastAsia" w:ascii="宋体" w:hAnsi="宋体" w:eastAsia="宋体" w:cs="宋体"/>
                <w:b/>
                <w:bCs/>
                <w:color w:val="auto"/>
                <w:szCs w:val="21"/>
                <w:highlight w:val="none"/>
                <w:lang w:val="en-US" w:eastAsia="zh-CN"/>
              </w:rPr>
              <w:t>有效的合同、</w:t>
            </w:r>
            <w:r>
              <w:rPr>
                <w:rFonts w:hint="eastAsia" w:ascii="宋体" w:hAnsi="宋体" w:eastAsia="宋体" w:cs="宋体"/>
                <w:b/>
                <w:bCs/>
                <w:color w:val="auto"/>
                <w:szCs w:val="21"/>
                <w:highlight w:val="none"/>
                <w:lang w:val="en-US" w:eastAsia="zh-CN"/>
              </w:rPr>
              <w:t>省文物局</w:t>
            </w:r>
            <w:r>
              <w:rPr>
                <w:rFonts w:hint="eastAsia" w:ascii="宋体" w:hAnsi="宋体" w:eastAsia="宋体" w:cs="宋体"/>
                <w:b/>
                <w:bCs/>
                <w:color w:val="auto"/>
                <w:szCs w:val="21"/>
                <w:highlight w:val="none"/>
                <w:lang w:val="en-US" w:eastAsia="zh-CN"/>
              </w:rPr>
              <w:t>验收通过的</w:t>
            </w:r>
            <w:r>
              <w:rPr>
                <w:rFonts w:hint="eastAsia" w:ascii="宋体" w:hAnsi="宋体" w:cs="宋体"/>
                <w:b/>
                <w:bCs/>
                <w:color w:val="auto"/>
                <w:szCs w:val="21"/>
                <w:highlight w:val="none"/>
                <w:lang w:val="en-US" w:eastAsia="zh-CN"/>
              </w:rPr>
              <w:t>批复</w:t>
            </w:r>
            <w:r>
              <w:rPr>
                <w:rFonts w:hint="eastAsia" w:ascii="宋体" w:hAnsi="宋体" w:eastAsia="宋体" w:cs="宋体"/>
                <w:b/>
                <w:bCs/>
                <w:color w:val="auto"/>
                <w:szCs w:val="21"/>
                <w:highlight w:val="none"/>
                <w:lang w:val="en-US" w:eastAsia="zh-CN"/>
              </w:rPr>
              <w:t>文件</w:t>
            </w:r>
            <w:r>
              <w:rPr>
                <w:rFonts w:hint="eastAsia" w:ascii="宋体" w:hAnsi="宋体" w:eastAsia="宋体" w:cs="宋体"/>
                <w:b/>
                <w:bCs/>
                <w:color w:val="auto"/>
                <w:szCs w:val="21"/>
                <w:highlight w:val="none"/>
                <w:lang w:val="en-US" w:eastAsia="zh-CN"/>
              </w:rPr>
              <w:t>扫描件并加盖投标人公章编入投标文件中，未提供或提供不全的不得分）</w:t>
            </w:r>
          </w:p>
        </w:tc>
        <w:tc>
          <w:tcPr>
            <w:tcW w:w="675" w:type="dxa"/>
            <w:vAlign w:val="center"/>
          </w:tcPr>
          <w:p w14:paraId="6280B7E3">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r>
      <w:tr w14:paraId="1E4D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3" w:hRule="atLeast"/>
          <w:jc w:val="center"/>
        </w:trPr>
        <w:tc>
          <w:tcPr>
            <w:tcW w:w="838" w:type="dxa"/>
            <w:vMerge w:val="continue"/>
            <w:vAlign w:val="center"/>
          </w:tcPr>
          <w:p w14:paraId="0FB4A946">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46493D2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590" w:type="dxa"/>
            <w:vAlign w:val="center"/>
          </w:tcPr>
          <w:p w14:paraId="321238BE">
            <w:pPr>
              <w:tabs>
                <w:tab w:val="left" w:pos="2061"/>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拟派的项目负责人具有一级建造师（机电工程专业）和高级电气工程师的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每提供一本证书得2分，本项最高得4分</w:t>
            </w:r>
            <w:r>
              <w:rPr>
                <w:rFonts w:hint="eastAsia" w:ascii="宋体" w:hAnsi="宋体" w:eastAsia="宋体" w:cs="宋体"/>
                <w:color w:val="auto"/>
                <w:szCs w:val="21"/>
                <w:highlight w:val="none"/>
              </w:rPr>
              <w:t>。</w:t>
            </w:r>
          </w:p>
          <w:p w14:paraId="43359B13">
            <w:pPr>
              <w:widowControl/>
              <w:spacing w:line="288"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75" w:type="dxa"/>
            <w:vAlign w:val="center"/>
          </w:tcPr>
          <w:p w14:paraId="1D180100">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r>
      <w:tr w14:paraId="2022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3" w:hRule="atLeast"/>
          <w:jc w:val="center"/>
        </w:trPr>
        <w:tc>
          <w:tcPr>
            <w:tcW w:w="838" w:type="dxa"/>
            <w:vMerge w:val="continue"/>
            <w:vAlign w:val="center"/>
          </w:tcPr>
          <w:p w14:paraId="2B3016C0">
            <w:pPr>
              <w:spacing w:line="360" w:lineRule="auto"/>
              <w:jc w:val="center"/>
              <w:textAlignment w:val="center"/>
              <w:rPr>
                <w:rFonts w:hint="eastAsia" w:ascii="宋体" w:hAnsi="宋体" w:eastAsia="宋体" w:cs="宋体"/>
                <w:bCs/>
                <w:color w:val="auto"/>
                <w:szCs w:val="21"/>
                <w:highlight w:val="none"/>
              </w:rPr>
            </w:pPr>
          </w:p>
        </w:tc>
        <w:tc>
          <w:tcPr>
            <w:tcW w:w="999" w:type="dxa"/>
            <w:vAlign w:val="center"/>
          </w:tcPr>
          <w:p w14:paraId="6977B5B9">
            <w:pPr>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项目组成员情况</w:t>
            </w:r>
          </w:p>
        </w:tc>
        <w:tc>
          <w:tcPr>
            <w:tcW w:w="6590" w:type="dxa"/>
            <w:vAlign w:val="center"/>
          </w:tcPr>
          <w:p w14:paraId="718B0256">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拟派项目团队</w:t>
            </w:r>
            <w:r>
              <w:rPr>
                <w:rFonts w:hint="eastAsia" w:ascii="宋体" w:hAnsi="宋体" w:cs="宋体"/>
                <w:color w:val="auto"/>
                <w:szCs w:val="21"/>
                <w:highlight w:val="none"/>
                <w:lang w:val="en-US" w:eastAsia="zh-CN"/>
              </w:rPr>
              <w:t>成</w:t>
            </w:r>
            <w:r>
              <w:rPr>
                <w:rFonts w:hint="eastAsia" w:ascii="宋体" w:hAnsi="宋体" w:eastAsia="宋体" w:cs="宋体"/>
                <w:color w:val="auto"/>
                <w:szCs w:val="21"/>
                <w:highlight w:val="none"/>
              </w:rPr>
              <w:t>员中（项目</w:t>
            </w:r>
            <w:r>
              <w:rPr>
                <w:rFonts w:hint="eastAsia" w:ascii="宋体" w:hAnsi="宋体" w:cs="宋体"/>
                <w:color w:val="auto"/>
                <w:szCs w:val="21"/>
                <w:highlight w:val="none"/>
                <w:lang w:val="en-US" w:eastAsia="zh-CN"/>
              </w:rPr>
              <w:t>负责人除</w:t>
            </w:r>
            <w:r>
              <w:rPr>
                <w:rFonts w:hint="eastAsia" w:ascii="宋体" w:hAnsi="宋体" w:eastAsia="宋体" w:cs="宋体"/>
                <w:color w:val="auto"/>
                <w:szCs w:val="21"/>
                <w:highlight w:val="none"/>
              </w:rPr>
              <w:t>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具有中级及以上工程师证的每</w:t>
            </w:r>
            <w:r>
              <w:rPr>
                <w:rFonts w:hint="eastAsia" w:ascii="宋体" w:hAnsi="宋体" w:cs="宋体"/>
                <w:color w:val="auto"/>
                <w:szCs w:val="21"/>
                <w:highlight w:val="none"/>
                <w:lang w:val="en-US" w:eastAsia="zh-CN"/>
              </w:rPr>
              <w:t>提供1</w:t>
            </w:r>
            <w:r>
              <w:rPr>
                <w:rFonts w:hint="eastAsia" w:ascii="宋体" w:hAnsi="宋体" w:eastAsia="宋体" w:cs="宋体"/>
                <w:color w:val="auto"/>
                <w:szCs w:val="21"/>
                <w:highlight w:val="none"/>
              </w:rPr>
              <w:t>个得0.5分，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rPr>
              <w:t>最</w:t>
            </w:r>
            <w:r>
              <w:rPr>
                <w:rFonts w:hint="eastAsia" w:ascii="宋体" w:hAnsi="宋体" w:cs="宋体"/>
                <w:color w:val="auto"/>
                <w:szCs w:val="21"/>
                <w:highlight w:val="none"/>
                <w:lang w:val="en-US" w:eastAsia="zh-CN"/>
              </w:rPr>
              <w:t>高得</w:t>
            </w:r>
            <w:r>
              <w:rPr>
                <w:rFonts w:hint="eastAsia" w:ascii="宋体" w:hAnsi="宋体" w:eastAsia="宋体" w:cs="宋体"/>
                <w:color w:val="auto"/>
                <w:szCs w:val="21"/>
                <w:highlight w:val="none"/>
              </w:rPr>
              <w:t>2分。</w:t>
            </w:r>
          </w:p>
          <w:p w14:paraId="0E850384">
            <w:pPr>
              <w:adjustRightInd w:val="0"/>
              <w:snapToGrid w:val="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75" w:type="dxa"/>
            <w:vAlign w:val="center"/>
          </w:tcPr>
          <w:p w14:paraId="3C27810C">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w:t>
            </w:r>
          </w:p>
        </w:tc>
      </w:tr>
      <w:tr w14:paraId="6876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38" w:type="dxa"/>
            <w:vMerge w:val="restart"/>
            <w:vAlign w:val="center"/>
          </w:tcPr>
          <w:p w14:paraId="0B6A5DEF">
            <w:pPr>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1FFB6BB0">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61</w:t>
            </w:r>
            <w:r>
              <w:rPr>
                <w:rFonts w:hint="eastAsia" w:ascii="宋体" w:hAnsi="宋体" w:eastAsia="宋体" w:cs="宋体"/>
                <w:color w:val="auto"/>
                <w:highlight w:val="none"/>
              </w:rPr>
              <w:t>分）</w:t>
            </w:r>
          </w:p>
        </w:tc>
        <w:tc>
          <w:tcPr>
            <w:tcW w:w="999" w:type="dxa"/>
            <w:vAlign w:val="center"/>
          </w:tcPr>
          <w:p w14:paraId="7381F73B">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lang w:val="en-US" w:eastAsia="zh-CN"/>
              </w:rPr>
              <w:t>技术参数响应</w:t>
            </w:r>
          </w:p>
        </w:tc>
        <w:tc>
          <w:tcPr>
            <w:tcW w:w="6590" w:type="dxa"/>
            <w:vAlign w:val="center"/>
          </w:tcPr>
          <w:p w14:paraId="1A3C6F9E">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投标产品的技术参数和性能指标全部响应或满足招标文件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第四章 公开招标需求-</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采购清单</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3P智能微型断路器、2P智能微型断路器、智慧组合式电气火灾探测器、用户信息传输装置、消防控制室图形显示装置、火灾自动报警平台软件</w:t>
            </w:r>
            <w:r>
              <w:rPr>
                <w:rFonts w:hint="eastAsia" w:ascii="宋体" w:hAnsi="宋体" w:eastAsia="宋体" w:cs="宋体"/>
                <w:color w:val="auto"/>
                <w:kern w:val="2"/>
                <w:sz w:val="21"/>
                <w:szCs w:val="21"/>
                <w:highlight w:val="none"/>
                <w:lang w:val="en-US" w:eastAsia="zh-CN" w:bidi="ar-SA"/>
              </w:rPr>
              <w:t>要求的得满分</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分，标“★”的为重要性指标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，其他技术指标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0.1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，扣完为止。</w:t>
            </w:r>
          </w:p>
          <w:p w14:paraId="50BECF91">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szCs w:val="21"/>
                <w:highlight w:val="none"/>
              </w:rPr>
            </w:pPr>
            <w:r>
              <w:rPr>
                <w:rFonts w:hint="eastAsia" w:ascii="宋体" w:hAnsi="宋体" w:cs="宋体"/>
                <w:b/>
                <w:bCs/>
                <w:color w:val="auto"/>
                <w:kern w:val="2"/>
                <w:sz w:val="21"/>
                <w:szCs w:val="21"/>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“采购清单”</w:t>
            </w:r>
            <w:r>
              <w:rPr>
                <w:rFonts w:hint="eastAsia" w:ascii="宋体" w:hAnsi="宋体" w:cs="宋体"/>
                <w:b/>
                <w:bCs/>
                <w:color w:val="auto"/>
                <w:kern w:val="2"/>
                <w:sz w:val="21"/>
                <w:szCs w:val="21"/>
                <w:highlight w:val="none"/>
                <w:lang w:val="en-US" w:eastAsia="zh-CN" w:bidi="ar-SA"/>
              </w:rPr>
              <w:t>中</w:t>
            </w:r>
            <w:r>
              <w:rPr>
                <w:rFonts w:hint="eastAsia" w:ascii="宋体" w:hAnsi="宋体" w:eastAsia="宋体" w:cs="宋体"/>
                <w:b/>
                <w:bCs/>
                <w:color w:val="auto"/>
                <w:kern w:val="2"/>
                <w:sz w:val="21"/>
                <w:szCs w:val="21"/>
                <w:highlight w:val="none"/>
                <w:lang w:val="en-US" w:eastAsia="zh-CN" w:bidi="ar-SA"/>
              </w:rPr>
              <w:t>要求提供证明材料</w:t>
            </w:r>
            <w:r>
              <w:rPr>
                <w:rFonts w:hint="eastAsia" w:ascii="宋体" w:hAnsi="宋体" w:cs="宋体"/>
                <w:b/>
                <w:bCs/>
                <w:color w:val="auto"/>
                <w:kern w:val="2"/>
                <w:sz w:val="21"/>
                <w:szCs w:val="21"/>
                <w:highlight w:val="none"/>
                <w:lang w:val="en-US" w:eastAsia="zh-CN" w:bidi="ar-SA"/>
              </w:rPr>
              <w:t>的</w:t>
            </w:r>
            <w:r>
              <w:rPr>
                <w:rFonts w:hint="eastAsia" w:ascii="宋体" w:hAnsi="宋体" w:eastAsia="宋体" w:cs="宋体"/>
                <w:b/>
                <w:bCs/>
                <w:color w:val="auto"/>
                <w:kern w:val="2"/>
                <w:sz w:val="21"/>
                <w:szCs w:val="21"/>
                <w:highlight w:val="none"/>
                <w:lang w:val="en-US" w:eastAsia="zh-CN" w:bidi="ar-SA"/>
              </w:rPr>
              <w:t>，缺少证明材料的统一视为负偏离</w:t>
            </w:r>
            <w:r>
              <w:rPr>
                <w:rFonts w:hint="eastAsia" w:ascii="宋体" w:hAnsi="宋体" w:cs="宋体"/>
                <w:b/>
                <w:bCs/>
                <w:color w:val="auto"/>
                <w:kern w:val="2"/>
                <w:sz w:val="21"/>
                <w:szCs w:val="21"/>
                <w:highlight w:val="none"/>
                <w:lang w:val="en-US" w:eastAsia="zh-CN" w:bidi="ar-SA"/>
              </w:rPr>
              <w:t>。</w:t>
            </w:r>
          </w:p>
        </w:tc>
        <w:tc>
          <w:tcPr>
            <w:tcW w:w="675" w:type="dxa"/>
            <w:vAlign w:val="center"/>
          </w:tcPr>
          <w:p w14:paraId="5E94F3E0">
            <w:pPr>
              <w:adjustRightInd w:val="0"/>
              <w:snapToGrid w:val="0"/>
              <w:jc w:val="center"/>
              <w:rPr>
                <w:rFonts w:hint="default" w:ascii="宋体" w:hAnsi="宋体" w:eastAsia="宋体" w:cs="宋体"/>
                <w:color w:val="auto"/>
                <w:szCs w:val="21"/>
                <w:highlight w:val="none"/>
                <w:lang w:val="en-US"/>
              </w:rPr>
            </w:pPr>
            <w:r>
              <w:rPr>
                <w:rFonts w:hint="eastAsia" w:ascii="宋体" w:hAnsi="宋体" w:cs="宋体"/>
                <w:color w:val="auto"/>
                <w:kern w:val="0"/>
                <w:szCs w:val="21"/>
                <w:highlight w:val="none"/>
                <w:lang w:val="en-US" w:eastAsia="zh-CN"/>
              </w:rPr>
              <w:t>20</w:t>
            </w:r>
          </w:p>
        </w:tc>
      </w:tr>
      <w:tr w14:paraId="488B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9" w:hRule="atLeast"/>
          <w:jc w:val="center"/>
        </w:trPr>
        <w:tc>
          <w:tcPr>
            <w:tcW w:w="838" w:type="dxa"/>
            <w:vMerge w:val="continue"/>
            <w:vAlign w:val="center"/>
          </w:tcPr>
          <w:p w14:paraId="63EBF73D">
            <w:pPr>
              <w:rPr>
                <w:rFonts w:hint="eastAsia" w:ascii="宋体" w:hAnsi="宋体" w:eastAsia="宋体" w:cs="宋体"/>
                <w:color w:val="auto"/>
                <w:highlight w:val="none"/>
              </w:rPr>
            </w:pPr>
          </w:p>
        </w:tc>
        <w:tc>
          <w:tcPr>
            <w:tcW w:w="999" w:type="dxa"/>
            <w:vMerge w:val="restart"/>
            <w:vAlign w:val="center"/>
          </w:tcPr>
          <w:p w14:paraId="2DA75193">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深化方案</w:t>
            </w:r>
          </w:p>
        </w:tc>
        <w:tc>
          <w:tcPr>
            <w:tcW w:w="6590" w:type="dxa"/>
            <w:vAlign w:val="center"/>
          </w:tcPr>
          <w:p w14:paraId="3E48660F">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lang w:val="en-US" w:eastAsia="zh-CN"/>
              </w:rPr>
              <w:t>对本项目现场了解情况，包括主要设备点位分布图等是否符合实际情况</w:t>
            </w:r>
            <w:r>
              <w:rPr>
                <w:rFonts w:hint="eastAsia" w:ascii="宋体" w:hAnsi="宋体" w:cs="宋体"/>
                <w:color w:val="auto"/>
                <w:szCs w:val="21"/>
                <w:highlight w:val="none"/>
                <w:lang w:val="en-US" w:eastAsia="zh-CN"/>
              </w:rPr>
              <w:t>，根据方案先进性、完整性、具体性、可行性等进行打分。</w:t>
            </w: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5BC54EA9">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r>
      <w:tr w14:paraId="461C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9" w:hRule="atLeast"/>
          <w:jc w:val="center"/>
        </w:trPr>
        <w:tc>
          <w:tcPr>
            <w:tcW w:w="838" w:type="dxa"/>
            <w:vMerge w:val="continue"/>
            <w:vAlign w:val="center"/>
          </w:tcPr>
          <w:p w14:paraId="2276CECC">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7DFEC1C2">
            <w:pPr>
              <w:widowControl/>
              <w:spacing w:line="288" w:lineRule="auto"/>
              <w:jc w:val="center"/>
              <w:textAlignment w:val="center"/>
              <w:rPr>
                <w:rFonts w:hint="eastAsia" w:ascii="宋体" w:hAnsi="宋体" w:eastAsia="宋体" w:cs="宋体"/>
                <w:color w:val="auto"/>
                <w:szCs w:val="21"/>
                <w:highlight w:val="none"/>
              </w:rPr>
            </w:pPr>
          </w:p>
        </w:tc>
        <w:tc>
          <w:tcPr>
            <w:tcW w:w="6590" w:type="dxa"/>
            <w:vAlign w:val="center"/>
          </w:tcPr>
          <w:p w14:paraId="6FD164FE">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根据投标人对本项目的理解，系统架构、</w:t>
            </w:r>
            <w:r>
              <w:rPr>
                <w:rFonts w:hint="eastAsia" w:ascii="宋体" w:hAnsi="宋体" w:cs="宋体"/>
                <w:color w:val="auto"/>
                <w:szCs w:val="21"/>
                <w:highlight w:val="none"/>
                <w:lang w:val="en-US" w:eastAsia="zh-CN"/>
              </w:rPr>
              <w:t>整体线路图符合的实际情况</w:t>
            </w:r>
            <w:r>
              <w:rPr>
                <w:rFonts w:hint="eastAsia" w:ascii="宋体" w:hAnsi="宋体" w:cs="宋体"/>
                <w:color w:val="auto"/>
                <w:szCs w:val="21"/>
                <w:highlight w:val="none"/>
                <w:lang w:val="en-US" w:eastAsia="zh-CN"/>
              </w:rPr>
              <w:t>以及深化方案的先进性、完整性、具体性、可行性等进行打分。</w:t>
            </w:r>
          </w:p>
          <w:p w14:paraId="245FE103">
            <w:pPr>
              <w:adjustRightInd w:val="0"/>
              <w:snapToGrid w:val="0"/>
              <w:jc w:val="left"/>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7D5A213F">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r>
      <w:tr w14:paraId="222BC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6DAEEE9D">
            <w:pPr>
              <w:spacing w:line="360" w:lineRule="auto"/>
              <w:jc w:val="center"/>
              <w:textAlignment w:val="center"/>
              <w:rPr>
                <w:rFonts w:hint="eastAsia" w:ascii="宋体" w:hAnsi="宋体" w:eastAsia="宋体" w:cs="宋体"/>
                <w:color w:val="auto"/>
                <w:szCs w:val="21"/>
                <w:highlight w:val="none"/>
              </w:rPr>
            </w:pPr>
          </w:p>
        </w:tc>
        <w:tc>
          <w:tcPr>
            <w:tcW w:w="999" w:type="dxa"/>
            <w:vMerge w:val="restart"/>
            <w:vAlign w:val="center"/>
          </w:tcPr>
          <w:p w14:paraId="08992DA5">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实施方案</w:t>
            </w:r>
          </w:p>
        </w:tc>
        <w:tc>
          <w:tcPr>
            <w:tcW w:w="6590" w:type="dxa"/>
            <w:shd w:val="clear" w:color="auto" w:fill="auto"/>
            <w:vAlign w:val="center"/>
          </w:tcPr>
          <w:p w14:paraId="19722EFF">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根据投标人针对本项目提供的施工计划、安装及调试措施、安全保证措施、质量保证措施、环境保证措施进行打分。</w:t>
            </w:r>
          </w:p>
          <w:p w14:paraId="3C1B1D97">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01F58D61">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2D5C9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7EA87532">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75DBACA8">
            <w:pPr>
              <w:spacing w:line="360" w:lineRule="auto"/>
              <w:jc w:val="center"/>
              <w:rPr>
                <w:rFonts w:hint="eastAsia" w:ascii="宋体" w:hAnsi="宋体" w:eastAsia="宋体" w:cs="宋体"/>
                <w:color w:val="auto"/>
                <w:szCs w:val="21"/>
                <w:highlight w:val="none"/>
              </w:rPr>
            </w:pPr>
          </w:p>
        </w:tc>
        <w:tc>
          <w:tcPr>
            <w:tcW w:w="6590" w:type="dxa"/>
            <w:shd w:val="clear" w:color="auto" w:fill="auto"/>
            <w:vAlign w:val="center"/>
          </w:tcPr>
          <w:p w14:paraId="39C1B6F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根据投标人对本项目文物保护单位情况的熟悉程度、风险评估的详实度，充分体现文物保护风险防范等级及原貌保护的相关要求</w:t>
            </w:r>
            <w:r>
              <w:rPr>
                <w:rFonts w:hint="eastAsia" w:ascii="宋体" w:hAnsi="宋体" w:cs="宋体"/>
                <w:color w:val="auto"/>
                <w:sz w:val="21"/>
                <w:szCs w:val="21"/>
                <w:highlight w:val="none"/>
                <w:lang w:val="en-US" w:eastAsia="zh-CN"/>
              </w:rPr>
              <w:t>等情况进行打分</w:t>
            </w:r>
            <w:r>
              <w:rPr>
                <w:rFonts w:hint="eastAsia" w:ascii="宋体" w:hAnsi="宋体" w:eastAsia="宋体" w:cs="宋体"/>
                <w:color w:val="auto"/>
                <w:sz w:val="21"/>
                <w:szCs w:val="21"/>
                <w:highlight w:val="none"/>
                <w:lang w:val="en-US" w:eastAsia="zh-CN"/>
              </w:rPr>
              <w:t>。</w:t>
            </w:r>
          </w:p>
          <w:p w14:paraId="7B9B82B6">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0320EF3E">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3AB50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jc w:val="center"/>
        </w:trPr>
        <w:tc>
          <w:tcPr>
            <w:tcW w:w="838" w:type="dxa"/>
            <w:vMerge w:val="continue"/>
            <w:vAlign w:val="center"/>
          </w:tcPr>
          <w:p w14:paraId="04F8727E">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4E45A440">
            <w:pPr>
              <w:autoSpaceDE w:val="0"/>
              <w:autoSpaceDN w:val="0"/>
              <w:adjustRightInd w:val="0"/>
              <w:jc w:val="center"/>
              <w:rPr>
                <w:rFonts w:hint="eastAsia" w:ascii="宋体" w:hAnsi="宋体" w:eastAsia="宋体" w:cs="宋体"/>
                <w:color w:val="auto"/>
                <w:szCs w:val="21"/>
                <w:highlight w:val="none"/>
              </w:rPr>
            </w:pPr>
          </w:p>
        </w:tc>
        <w:tc>
          <w:tcPr>
            <w:tcW w:w="6590" w:type="dxa"/>
            <w:shd w:val="clear" w:color="auto" w:fill="auto"/>
            <w:vAlign w:val="center"/>
          </w:tcPr>
          <w:p w14:paraId="7CAA4E2B">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根据投标人对文保单位项目</w:t>
            </w:r>
            <w:r>
              <w:rPr>
                <w:rFonts w:hint="eastAsia" w:ascii="宋体" w:hAnsi="宋体" w:eastAsia="宋体" w:cs="宋体"/>
                <w:color w:val="auto"/>
                <w:sz w:val="21"/>
                <w:szCs w:val="21"/>
                <w:highlight w:val="none"/>
                <w:lang w:val="en-US" w:eastAsia="zh-CN"/>
              </w:rPr>
              <w:t>专项验收的内容</w:t>
            </w:r>
            <w:r>
              <w:rPr>
                <w:rFonts w:hint="eastAsia" w:ascii="宋体" w:hAnsi="宋体" w:eastAsia="宋体" w:cs="宋体"/>
                <w:color w:val="auto"/>
                <w:sz w:val="21"/>
                <w:szCs w:val="21"/>
                <w:highlight w:val="none"/>
                <w:lang w:val="en-US" w:eastAsia="zh-CN"/>
              </w:rPr>
              <w:t>及流程熟悉程度等情况进行打分。</w:t>
            </w:r>
          </w:p>
          <w:p w14:paraId="713A735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75" w:type="dxa"/>
            <w:vAlign w:val="center"/>
          </w:tcPr>
          <w:p w14:paraId="28085102">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r>
      <w:tr w14:paraId="550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838" w:type="dxa"/>
            <w:vMerge w:val="continue"/>
            <w:vAlign w:val="center"/>
          </w:tcPr>
          <w:p w14:paraId="024BAD1F">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0949C2EC">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p>
        </w:tc>
        <w:tc>
          <w:tcPr>
            <w:tcW w:w="6590" w:type="dxa"/>
            <w:vAlign w:val="center"/>
          </w:tcPr>
          <w:p w14:paraId="111F3DDE">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根据投标人针对后续实际项目实施中可能遇到的紧急事件、异常处理等是否具有详细完善的应急响应制度、实施保障方案进行打分。</w:t>
            </w:r>
          </w:p>
          <w:p w14:paraId="6BB942F9">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五档得1分；六档得0.5分；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55059735">
            <w:pPr>
              <w:spacing w:before="100" w:beforeAutospacing="1" w:after="100" w:afterAutospacing="1"/>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3</w:t>
            </w:r>
          </w:p>
        </w:tc>
      </w:tr>
      <w:tr w14:paraId="3CD3D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4198EEA3">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10DF00EC">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6590" w:type="dxa"/>
            <w:vAlign w:val="center"/>
          </w:tcPr>
          <w:p w14:paraId="1103E24D">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根据投标人承诺提供的售后服务方案（服务能力、服务措施、服务承诺等方面）情况，包括服务承诺的可行性、完整性以及后续实施保障措施等进行打分。</w:t>
            </w:r>
          </w:p>
          <w:p w14:paraId="3DB314CC">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五档得1分；六档得0.5分；</w:t>
            </w:r>
            <w:r>
              <w:rPr>
                <w:rFonts w:hint="eastAsia" w:ascii="宋体" w:hAnsi="宋体" w:eastAsia="宋体" w:cs="宋体"/>
                <w:color w:val="auto"/>
                <w:sz w:val="21"/>
                <w:szCs w:val="21"/>
                <w:highlight w:val="none"/>
                <w:lang w:val="en-US" w:eastAsia="zh-CN"/>
              </w:rPr>
              <w:t>未提及此项不得分。</w:t>
            </w:r>
          </w:p>
        </w:tc>
        <w:tc>
          <w:tcPr>
            <w:tcW w:w="675" w:type="dxa"/>
            <w:vAlign w:val="center"/>
          </w:tcPr>
          <w:p w14:paraId="42C64498">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r>
      <w:tr w14:paraId="7FBA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838" w:type="dxa"/>
            <w:vMerge w:val="continue"/>
            <w:vAlign w:val="center"/>
          </w:tcPr>
          <w:p w14:paraId="4B62DADE">
            <w:pPr>
              <w:jc w:val="center"/>
              <w:rPr>
                <w:rFonts w:hint="eastAsia" w:ascii="宋体" w:hAnsi="宋体" w:eastAsia="宋体" w:cs="宋体"/>
                <w:color w:val="auto"/>
                <w:szCs w:val="21"/>
                <w:highlight w:val="none"/>
              </w:rPr>
            </w:pPr>
          </w:p>
        </w:tc>
        <w:tc>
          <w:tcPr>
            <w:tcW w:w="999" w:type="dxa"/>
            <w:vAlign w:val="center"/>
          </w:tcPr>
          <w:p w14:paraId="023354CA">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演示</w:t>
            </w:r>
          </w:p>
        </w:tc>
        <w:tc>
          <w:tcPr>
            <w:tcW w:w="6590" w:type="dxa"/>
            <w:vAlign w:val="center"/>
          </w:tcPr>
          <w:p w14:paraId="551F3C60">
            <w:pPr>
              <w:adjustRightInd w:val="0"/>
              <w:snapToGrid w:val="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zh-CN" w:eastAsia="zh-CN"/>
              </w:rPr>
              <w:t>演示</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lang w:val="zh-CN" w:eastAsia="zh-CN"/>
              </w:rPr>
              <w:t>内容进行</w:t>
            </w:r>
            <w:r>
              <w:rPr>
                <w:rFonts w:hint="eastAsia" w:ascii="宋体" w:hAnsi="宋体" w:eastAsia="宋体" w:cs="宋体"/>
                <w:color w:val="auto"/>
                <w:sz w:val="21"/>
                <w:szCs w:val="21"/>
                <w:highlight w:val="none"/>
                <w:lang w:val="en-US" w:eastAsia="zh-CN"/>
              </w:rPr>
              <w:t>打分。</w:t>
            </w:r>
          </w:p>
          <w:p w14:paraId="7B1154FA">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工作台：提供一站式报警事件接收处理的工作台。实时接收系统的报警事件，通过语音进行报警信息的播报，支持查看报警类型、报警等级、报警次数、所属设备等信息，并根据资源在平面图的位置、联动视频预览和回访、抓图画面等方式，进行报警的核实。支持处理报警，输入处理意见，选择该报警为真实火警、误报、核实中及测试，根据演示情况进行打分。</w:t>
            </w:r>
          </w:p>
          <w:p w14:paraId="4923A03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230C9B4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数据监测：展示火灾报警系统、电气火灾系统相关的设备总数、包括在线设备、离线设备、未注册设备、正常设备、故障设备数量；展示设备监测值，包括正常、异常检测值；展示传感器正常、故障数量，传感器监测值正常、异常数量。展示火灾报警系统，各传感器的报警状态、启动状态、停止状态、反馈状态、监管状态、屏蔽状态、故障状态，根据演示情况进行打分。</w:t>
            </w:r>
          </w:p>
          <w:p w14:paraId="35CA58F9">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2388ACDE">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消防网管：对设备、传感器状态进行统计和分析，按照近7天/近30天/近一年的维度，展示设备故障原因排名TOP10，和故障趋势图。按照区域、系统展示消防设备故障率TOP10。按照频繁误报、频繁故障、频繁离线、频繁信号弱等标签对设备进行画像分析，统计各标签下的设备/传感器排名TOP10，根据演示情况进行打分。</w:t>
            </w:r>
          </w:p>
          <w:p w14:paraId="10B6D414">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7DBD07A9">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④支持将CPT导出的工程文件导入平台，实现火灾报警控制器设备、传感器、区域、平面图及平面图上的坐标一次性导入平台，并完成传感器的自动上图，根据演示情况进行打分。</w:t>
            </w:r>
          </w:p>
          <w:p w14:paraId="49575D33">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67BAB17B">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支持火灾报警控制器发生火灾报警时，在平台侧下发消音、复位、手自动切换、警报器启动、联动启动指令，并展示远程控制效果。可实时查看火灾报警控制器火警、联动、启动延时、反馈、监管、屏蔽、系统故障、节点故障等15种以上状态指示灯。可在平台侧查看火灾报警控制器回路的状态，包含火警、启动、故障等，可查看多线板状态，总线板状态，根据演示情况进行打分。</w:t>
            </w:r>
          </w:p>
          <w:p w14:paraId="022CC095">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74DD4F5B">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default"/>
                <w:color w:val="auto"/>
                <w:highlight w:val="none"/>
                <w:lang w:val="en-US"/>
              </w:rPr>
            </w:pPr>
            <w:r>
              <w:rPr>
                <w:rFonts w:hint="eastAsia" w:ascii="宋体" w:hAnsi="宋体" w:cs="宋体"/>
                <w:color w:val="auto"/>
                <w:sz w:val="21"/>
                <w:szCs w:val="21"/>
                <w:highlight w:val="none"/>
                <w:lang w:val="en-US" w:eastAsia="zh-CN"/>
              </w:rPr>
              <w:t>本项最高得10分。</w:t>
            </w:r>
          </w:p>
        </w:tc>
        <w:tc>
          <w:tcPr>
            <w:tcW w:w="675" w:type="dxa"/>
            <w:vAlign w:val="center"/>
          </w:tcPr>
          <w:p w14:paraId="555EB819">
            <w:pPr>
              <w:widowControl/>
              <w:spacing w:line="288" w:lineRule="auto"/>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r>
      <w:tr w14:paraId="7CBB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3" w:hRule="atLeast"/>
          <w:jc w:val="center"/>
        </w:trPr>
        <w:tc>
          <w:tcPr>
            <w:tcW w:w="1837" w:type="dxa"/>
            <w:gridSpan w:val="2"/>
            <w:vAlign w:val="center"/>
          </w:tcPr>
          <w:p w14:paraId="38979BE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价格分</w:t>
            </w:r>
          </w:p>
          <w:p w14:paraId="27A93451">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w:t>
            </w:r>
          </w:p>
        </w:tc>
        <w:tc>
          <w:tcPr>
            <w:tcW w:w="6590" w:type="dxa"/>
            <w:vAlign w:val="center"/>
          </w:tcPr>
          <w:p w14:paraId="0CE92FA6">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取投标合格供应商的投标最终报价最低价为评标基准价，基准价为</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0分。投标报价得分=(评标基准价／投标报价)×</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rPr>
              <w:t>0%×100 。（小数点后保留2位小数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四舍五入</w:t>
            </w:r>
            <w:r>
              <w:rPr>
                <w:rFonts w:hint="eastAsia" w:ascii="宋体" w:hAnsi="宋体" w:eastAsia="宋体" w:cs="宋体"/>
                <w:color w:val="auto"/>
                <w:szCs w:val="21"/>
                <w:highlight w:val="none"/>
              </w:rPr>
              <w:t>）。</w:t>
            </w:r>
          </w:p>
        </w:tc>
        <w:tc>
          <w:tcPr>
            <w:tcW w:w="675" w:type="dxa"/>
            <w:vAlign w:val="center"/>
          </w:tcPr>
          <w:p w14:paraId="59E4D1CB">
            <w:pPr>
              <w:widowControl/>
              <w:spacing w:line="288" w:lineRule="auto"/>
              <w:jc w:val="center"/>
              <w:textAlignment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r>
    </w:tbl>
    <w:p w14:paraId="1C3B6907">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383C1740">
      <w:pPr>
        <w:pStyle w:val="21"/>
        <w:ind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6199D023">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519B3AE9">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一、建设背景</w:t>
      </w:r>
    </w:p>
    <w:p w14:paraId="38A1A55C">
      <w:pPr>
        <w:keepNext w:val="0"/>
        <w:keepLines w:val="0"/>
        <w:widowControl/>
        <w:suppressLineNumbers w:val="0"/>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lang w:val="zh-CN" w:eastAsia="zh-CN" w:bidi="ar-SA"/>
        </w:rPr>
      </w:pPr>
      <w:r>
        <w:rPr>
          <w:rFonts w:hint="eastAsia" w:asciiTheme="minorEastAsia" w:hAnsiTheme="minorEastAsia" w:eastAsiaTheme="minorEastAsia" w:cstheme="minorEastAsia"/>
          <w:color w:val="auto"/>
          <w:kern w:val="0"/>
          <w:sz w:val="21"/>
          <w:szCs w:val="21"/>
          <w:highlight w:val="none"/>
          <w:lang w:val="zh-CN" w:eastAsia="zh-CN" w:bidi="ar-SA"/>
        </w:rPr>
        <w:t>为进一步推动</w:t>
      </w:r>
      <w:r>
        <w:rPr>
          <w:rFonts w:hint="eastAsia" w:asciiTheme="minorEastAsia" w:hAnsiTheme="minorEastAsia" w:eastAsiaTheme="minorEastAsia" w:cstheme="minorEastAsia"/>
          <w:color w:val="auto"/>
          <w:kern w:val="0"/>
          <w:sz w:val="21"/>
          <w:szCs w:val="21"/>
          <w:highlight w:val="none"/>
          <w:lang w:val="en-US" w:eastAsia="zh-CN" w:bidi="ar-SA"/>
        </w:rPr>
        <w:t>台州黄岩区</w:t>
      </w:r>
      <w:r>
        <w:rPr>
          <w:rFonts w:hint="eastAsia" w:asciiTheme="minorEastAsia" w:hAnsiTheme="minorEastAsia" w:eastAsiaTheme="minorEastAsia" w:cstheme="minorEastAsia"/>
          <w:color w:val="auto"/>
          <w:kern w:val="0"/>
          <w:sz w:val="21"/>
          <w:szCs w:val="21"/>
          <w:highlight w:val="none"/>
          <w:lang w:val="zh-CN" w:eastAsia="zh-CN" w:bidi="ar-SA"/>
        </w:rPr>
        <w:t>文物保护与利用，充分发挥文物在改善人文环境、提升公民素质、促进社会和谐等方面的重要作用，确保历史文化遗产安全，特别是古建筑、古遗址的安全，故</w:t>
      </w:r>
      <w:r>
        <w:rPr>
          <w:rFonts w:hint="eastAsia" w:asciiTheme="minorEastAsia" w:hAnsiTheme="minorEastAsia" w:eastAsiaTheme="minorEastAsia" w:cstheme="minorEastAsia"/>
          <w:color w:val="auto"/>
          <w:kern w:val="0"/>
          <w:sz w:val="21"/>
          <w:szCs w:val="21"/>
          <w:highlight w:val="none"/>
          <w:lang w:val="en-US" w:eastAsia="zh-CN" w:bidi="ar-SA"/>
        </w:rPr>
        <w:t>对</w:t>
      </w:r>
      <w:r>
        <w:rPr>
          <w:rFonts w:hint="eastAsia" w:asciiTheme="minorEastAsia" w:hAnsiTheme="minorEastAsia" w:eastAsiaTheme="minorEastAsia" w:cstheme="minorEastAsia"/>
          <w:color w:val="auto"/>
          <w:kern w:val="0"/>
          <w:sz w:val="21"/>
          <w:szCs w:val="21"/>
          <w:highlight w:val="none"/>
          <w:lang w:val="zh-CN" w:eastAsia="zh-CN" w:bidi="ar-SA"/>
        </w:rPr>
        <w:t>黄岩区抗战时期中共黄岩县委机关旧址、岱石庙、铁米筛井省级文保单位消防项目</w:t>
      </w:r>
      <w:r>
        <w:rPr>
          <w:rFonts w:hint="eastAsia" w:asciiTheme="minorEastAsia" w:hAnsiTheme="minorEastAsia" w:eastAsiaTheme="minorEastAsia" w:cstheme="minorEastAsia"/>
          <w:color w:val="auto"/>
          <w:kern w:val="0"/>
          <w:sz w:val="21"/>
          <w:szCs w:val="21"/>
          <w:highlight w:val="none"/>
          <w:lang w:val="en-US" w:eastAsia="zh-CN" w:bidi="ar-SA"/>
        </w:rPr>
        <w:t>建设</w:t>
      </w:r>
      <w:r>
        <w:rPr>
          <w:rFonts w:hint="eastAsia" w:asciiTheme="minorEastAsia" w:hAnsiTheme="minorEastAsia" w:eastAsiaTheme="minorEastAsia" w:cstheme="minorEastAsia"/>
          <w:color w:val="auto"/>
          <w:kern w:val="0"/>
          <w:sz w:val="21"/>
          <w:szCs w:val="21"/>
          <w:highlight w:val="none"/>
          <w:lang w:val="zh-CN" w:eastAsia="zh-CN" w:bidi="ar-SA"/>
        </w:rPr>
        <w:t>。</w:t>
      </w:r>
    </w:p>
    <w:p w14:paraId="204E03A9">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二、建设内容</w:t>
      </w:r>
    </w:p>
    <w:p w14:paraId="3974CDFA">
      <w:pPr>
        <w:spacing w:line="360" w:lineRule="auto"/>
        <w:ind w:firstLine="420" w:firstLineChars="200"/>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zh-CN"/>
        </w:rPr>
        <w:t>本次实施对象为</w:t>
      </w:r>
      <w:r>
        <w:rPr>
          <w:rFonts w:hint="eastAsia" w:asciiTheme="minorEastAsia" w:hAnsiTheme="minorEastAsia" w:eastAsiaTheme="minorEastAsia" w:cstheme="minorEastAsia"/>
          <w:color w:val="auto"/>
          <w:kern w:val="0"/>
          <w:sz w:val="21"/>
          <w:szCs w:val="21"/>
          <w:highlight w:val="none"/>
          <w:lang w:val="en-US" w:eastAsia="zh-CN" w:bidi="ar-SA"/>
        </w:rPr>
        <w:t>省级文物保护单位</w:t>
      </w:r>
      <w:r>
        <w:rPr>
          <w:rFonts w:hint="eastAsia" w:asciiTheme="minorEastAsia" w:hAnsiTheme="minorEastAsia" w:eastAsiaTheme="minorEastAsia" w:cstheme="minorEastAsia"/>
          <w:color w:val="auto"/>
          <w:sz w:val="21"/>
          <w:szCs w:val="21"/>
          <w:highlight w:val="none"/>
          <w:lang w:val="zh-CN"/>
        </w:rPr>
        <w:t>，</w:t>
      </w:r>
      <w:r>
        <w:rPr>
          <w:rFonts w:hint="eastAsia" w:asciiTheme="minorEastAsia" w:hAnsiTheme="minorEastAsia" w:eastAsiaTheme="minorEastAsia" w:cstheme="minorEastAsia"/>
          <w:color w:val="auto"/>
          <w:sz w:val="21"/>
          <w:szCs w:val="21"/>
          <w:highlight w:val="none"/>
          <w:lang w:val="en-US" w:eastAsia="zh-CN"/>
        </w:rPr>
        <w:t>投标单位要结合</w:t>
      </w:r>
      <w:r>
        <w:rPr>
          <w:rFonts w:hint="eastAsia" w:asciiTheme="minorEastAsia" w:hAnsiTheme="minorEastAsia" w:eastAsiaTheme="minorEastAsia" w:cstheme="minorEastAsia"/>
          <w:color w:val="auto"/>
          <w:sz w:val="21"/>
          <w:szCs w:val="21"/>
          <w:highlight w:val="none"/>
          <w:lang w:val="zh-CN"/>
        </w:rPr>
        <w:t>文保单位实际功能需求及周边风险因素</w:t>
      </w:r>
      <w:r>
        <w:rPr>
          <w:rFonts w:hint="eastAsia" w:asciiTheme="minorEastAsia" w:hAnsiTheme="minorEastAsia" w:eastAsiaTheme="minorEastAsia" w:cstheme="minorEastAsia"/>
          <w:color w:val="auto"/>
          <w:sz w:val="21"/>
          <w:szCs w:val="21"/>
          <w:highlight w:val="none"/>
          <w:lang w:val="zh-CN"/>
        </w:rPr>
        <w:t>进行整体安全防范</w:t>
      </w:r>
      <w:r>
        <w:rPr>
          <w:rFonts w:hint="eastAsia" w:asciiTheme="minorEastAsia" w:hAnsiTheme="minorEastAsia" w:eastAsiaTheme="minorEastAsia" w:cstheme="minorEastAsia"/>
          <w:color w:val="auto"/>
          <w:sz w:val="21"/>
          <w:szCs w:val="21"/>
          <w:highlight w:val="none"/>
          <w:lang w:val="en-US" w:eastAsia="zh-CN"/>
        </w:rPr>
        <w:t>建设</w:t>
      </w:r>
      <w:r>
        <w:rPr>
          <w:rFonts w:hint="eastAsia" w:asciiTheme="minorEastAsia" w:hAnsiTheme="minorEastAsia" w:eastAsiaTheme="minorEastAsia" w:cstheme="minorEastAsia"/>
          <w:color w:val="auto"/>
          <w:sz w:val="21"/>
          <w:szCs w:val="21"/>
          <w:highlight w:val="none"/>
          <w:lang w:val="zh-CN"/>
        </w:rPr>
        <w:t>。</w:t>
      </w:r>
    </w:p>
    <w:p w14:paraId="7257F531">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三、其他需求</w:t>
      </w:r>
    </w:p>
    <w:p w14:paraId="0E8A465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1、▲强制要求： 根据国家文物局及省文物局要求，因本项目为省级文物保护单位，项目实施质量要求须满足相关标准和规范要求，并通过浙江省文物局安全主管部门验收。如最终无法通过浙江省文物局验收，中标人应承担相应的损失。</w:t>
      </w:r>
    </w:p>
    <w:p w14:paraId="76A637AD">
      <w:pPr>
        <w:pStyle w:val="53"/>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四、采购清单</w:t>
      </w:r>
    </w:p>
    <w:tbl>
      <w:tblPr>
        <w:tblStyle w:val="23"/>
        <w:tblW w:w="905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87"/>
        <w:gridCol w:w="1402"/>
        <w:gridCol w:w="5561"/>
        <w:gridCol w:w="675"/>
        <w:gridCol w:w="725"/>
      </w:tblGrid>
      <w:tr w14:paraId="1BBF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87" w:type="dxa"/>
            <w:tcBorders>
              <w:top w:val="single" w:color="000000" w:sz="8" w:space="0"/>
              <w:left w:val="single" w:color="000000" w:sz="8" w:space="0"/>
              <w:bottom w:val="single" w:color="000000" w:sz="4" w:space="0"/>
              <w:right w:val="single" w:color="000000" w:sz="4" w:space="0"/>
            </w:tcBorders>
            <w:noWrap w:val="0"/>
            <w:vAlign w:val="center"/>
          </w:tcPr>
          <w:p w14:paraId="11CA81A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序号</w:t>
            </w:r>
          </w:p>
        </w:tc>
        <w:tc>
          <w:tcPr>
            <w:tcW w:w="1402" w:type="dxa"/>
            <w:tcBorders>
              <w:top w:val="single" w:color="000000" w:sz="8" w:space="0"/>
              <w:left w:val="single" w:color="000000" w:sz="4" w:space="0"/>
              <w:bottom w:val="single" w:color="000000" w:sz="4" w:space="0"/>
              <w:right w:val="single" w:color="000000" w:sz="4" w:space="0"/>
            </w:tcBorders>
            <w:noWrap w:val="0"/>
            <w:vAlign w:val="center"/>
          </w:tcPr>
          <w:p w14:paraId="5265E7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名称</w:t>
            </w:r>
          </w:p>
        </w:tc>
        <w:tc>
          <w:tcPr>
            <w:tcW w:w="5561" w:type="dxa"/>
            <w:tcBorders>
              <w:top w:val="single" w:color="000000" w:sz="8" w:space="0"/>
              <w:left w:val="single" w:color="000000" w:sz="4" w:space="0"/>
              <w:bottom w:val="single" w:color="000000" w:sz="4" w:space="0"/>
              <w:right w:val="single" w:color="000000" w:sz="4" w:space="0"/>
            </w:tcBorders>
            <w:noWrap w:val="0"/>
            <w:vAlign w:val="center"/>
          </w:tcPr>
          <w:p w14:paraId="35714B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参数</w:t>
            </w:r>
          </w:p>
        </w:tc>
        <w:tc>
          <w:tcPr>
            <w:tcW w:w="675" w:type="dxa"/>
            <w:tcBorders>
              <w:top w:val="single" w:color="000000" w:sz="8" w:space="0"/>
              <w:left w:val="single" w:color="000000" w:sz="4" w:space="0"/>
              <w:bottom w:val="single" w:color="000000" w:sz="4" w:space="0"/>
              <w:right w:val="single" w:color="000000" w:sz="4" w:space="0"/>
            </w:tcBorders>
            <w:noWrap w:val="0"/>
            <w:vAlign w:val="center"/>
          </w:tcPr>
          <w:p w14:paraId="706785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单位</w:t>
            </w:r>
          </w:p>
        </w:tc>
        <w:tc>
          <w:tcPr>
            <w:tcW w:w="725" w:type="dxa"/>
            <w:tcBorders>
              <w:top w:val="single" w:color="000000" w:sz="8" w:space="0"/>
              <w:left w:val="single" w:color="000000" w:sz="4" w:space="0"/>
              <w:bottom w:val="single" w:color="000000" w:sz="4" w:space="0"/>
              <w:right w:val="single" w:color="000000" w:sz="4" w:space="0"/>
            </w:tcBorders>
            <w:noWrap w:val="0"/>
            <w:vAlign w:val="center"/>
          </w:tcPr>
          <w:p w14:paraId="09BC3B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bCs/>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数量</w:t>
            </w:r>
          </w:p>
        </w:tc>
      </w:tr>
      <w:tr w14:paraId="5DE7C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0C23A17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一、火灾自动报警系统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6907FA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B521F44">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6158B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55F0C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D721D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文博专用感烟火灾探测器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554FC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内置高性能超低功耗微处理器，运算速度快，性能可靠。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无极性两总线，方便施工布线，避免接错导致设备故障问题。</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火警确认灯采用导光柱传导，360°可见。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实时数据采集存储和智能算法，具有自诊断功能。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污染自动补偿，根据自身的污染程度进行自动补偿，最大程度减少误报。</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抗干扰能力强，抗灰尘附着、抗电磁干扰、抗温度影响、抗腐蚀、抗环境光线（光源）干扰。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抗湿热能力强，可适应不同气候环境的要求。</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报警电流：≤400 uA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指示灯：1个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保护面积：60~80 m2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尺寸：φ100.0 mm ×H 55 mm（带底座）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编码参数：1~250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监视电流：≤200uA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设备重量：107g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额定工作电压：DC 24 V（DC 18 V～DC 28 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工作环境：温度：-10 °C～55 °C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相对湿度：≤95%，不结露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线制：无极性两总线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检测类型：光电式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布线要求：RVS 2 × 1.5 mm2阻燃线， 最大距离：1000 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90968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107CE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r>
      <w:tr w14:paraId="0E572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EC7F5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320A8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文博专用感温火灾探测器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66040C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工作电压 总线电压：DC 24 V（DC 18 V～DC 28 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额定工作电压：DC 24 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类型：A2R</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监视电流 ：≤200 uA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报警电流 ：≤400 uA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指示灯： 1个</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编码方式：专用电子编码器编码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编码范围：1~250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线制： 无极性两总线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布线要求： RVS 2 × 1.5 mm2，最大距离：1000 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使用环境： 温度：-10 °C～55 °C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相对湿度：≤95%，不结露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外形尺寸：（直径×高）φ 100 mm × H 49 mm（带底座）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8D7E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F9F05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r>
      <w:tr w14:paraId="41E52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B9C1E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83B68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火灾探测器底座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3AE74D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适用于：点型感温火灾探测器、点型光电感烟火灾探测器等。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产品尺寸（直径×高）：φ100 mm × H 18 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8F25D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C3FDF7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80</w:t>
            </w:r>
          </w:p>
        </w:tc>
      </w:tr>
      <w:tr w14:paraId="29770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4201C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6BCCA3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手动火灾报警按钮</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3A4C5D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工作电压：总线电压：DC 24V（DC 18V～DC 28V）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额定工作电压：DC 24V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启动方式：手动按下启动零件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复位方式：专用钥匙手动复位</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监视电流：≤150uA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动作电流：≤0.3mA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指 示 灯：启动指示灯、回答指示灯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编码方式：专用电子编码器编码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编码范围：1～250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 制：无极性两总线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布线要求：RVS 2×1.5mm2阻燃线，最大距离：1000m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使用环境：温度：-10℃～55℃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相对湿度：≤95%，不结露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外形尺寸（长×宽×高）：86mm×86mm×3mm（带底座）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30AD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64C4E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45B9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8629B7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C7BA7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手动火灾报警按钮底座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3E4757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按钮底座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DDC49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8E6A9C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42FB3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2A0CE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57E370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火灾声光警报器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D47C7F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额定工作电压：总线24V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声压等级：75dB～100dB</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闪光频率：1Hz～1.5Hz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变调周期：4s～5s</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报警电流：≤5mA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指 示 灯：启动指示灯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线 制：两线制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布线要求：RVS 2×1.5mm2阻燃线， 最大距离：1000m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使用环境：温度：-10℃～55℃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相对湿度：≤95%，不结露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外形尺寸（长×宽×高）：86.0mm×86.0mm×40mm（带底座）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5A3E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36FB5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2AE14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E9CCE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06C7D4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火灾声光警报器底座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B89E3F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按钮底座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B6C36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DE76C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69E94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37EC2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5EDBF2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总线短路隔离器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BEE5F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非编码型，自恢复型，每只隔离模块后配接总线设备≤32只，配接底座HK-DZ-8023使用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B3CC9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7FB9E4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r>
      <w:tr w14:paraId="47CC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261D3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FAAA5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模块底座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408841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模块底座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4174F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317322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r>
      <w:tr w14:paraId="3A2E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7DED1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AE43E8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电子编码器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6057516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支持4节AA电池供电和Type-C供电，支持手动、自动写入模式，编码范围：1～250，可通过Type-C口升级程序。具有读&amp;写、注册、电阻检测、CPT升级功能。</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C37E3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896EE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61BE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E9AB2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1F0B09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探测器信号线</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AC1E92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ZR-RVS2*1.5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6F85B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CCD2D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1050</w:t>
            </w:r>
          </w:p>
        </w:tc>
      </w:tr>
      <w:tr w14:paraId="3AC7D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E6203E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20E688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辅材1</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189C78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其他施工所需的灵星材料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BE87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00EC89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E9A2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57C3A8F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二、应急照明与疏散指示系统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CEEAD4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32280AA">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12DE1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C46E4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7DFA0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应急照明标志灯具（单面疏口）</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6A4D0A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壁挂式，单面疏散出口，不锈钢，工作电压≤DC36V，应急时间≥90min，功率≤0.5W，产品尺寸：356mm x 136mm x 7mm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3DFC4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EB6A0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r>
      <w:tr w14:paraId="0AF80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00DF48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9D714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应急照明灯具</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95896B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壁挂式，应急光通量＞600lm，阻燃塑壳，工作电压≤DC36V，应急时间≥90min，功率：6W，产品尺寸：φ105mm x 54mm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C5D98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003AE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r>
      <w:tr w14:paraId="57F6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CF7361C">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15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DE30C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应急照明灯具壁挂底座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F81475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应急照明灯具壁挂底座</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A97465">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4B60CC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r>
      <w:tr w14:paraId="0DFD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5DECC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889B83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应急照明集中电源</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F95425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壁挂式，IP33，额定输出功率300W，输出回路：8个，带载灯具数量：240个，不含蓄电池，需另配3节20Ah/12V蓄电池，产品尺寸：510mm x 500mm x 230mm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E673B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960E9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047BD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0FDAA7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ABD04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应急照明集中电源蓄电池</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530114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20AH/12V蓄电池，铅酸电池，181mm x 77mm x 167mm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1FFD81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E3C0C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2B410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D4FCB8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19E846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应急照明设备箱</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A280A3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867F6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E5AD5A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5BF58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8C3CD2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B9AD6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灯具电源线</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814500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NH-RVS-2*2.5mm2</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3F957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5BFBAB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1050</w:t>
            </w:r>
          </w:p>
        </w:tc>
      </w:tr>
      <w:tr w14:paraId="6C578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13B12DEE">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三、智慧用电系统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D50370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4EBB49E">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03A7E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78B24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FA7A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智慧用电网关</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C4B65B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有线网络通信，WIFI调试</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数据计算分析存储功能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工作电压：DC12V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安装方式：导轨卡口</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83F3EF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5865AF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3A9A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8841E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F68640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智慧空开电源模块</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61BDDE9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输入电压：AC220V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额定输出电压：DC12V</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额定输出电流MAX DC2A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防雷击浪涌保护最大泄放电流：20kA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安装方式：导轨卡口</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FFABA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851FB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561E3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2D7BF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2E3F7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3P智能微型断路器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4EC6BFD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1、输入电压：AC380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2、额定电流：32A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3、分断能力：≥6KA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4、短路保护：线路短路时，断路器0.04s断电保护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5、功率限定：达到限定功率，10秒内断路保护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6、电流限定：达到限定电流，10秒内断路保护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7、线路打火报警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8、手自一体控制：手机遥控，可以按键自动控制，也可通过手动推杆控制通断。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9、定时控制功能：智能断路器内置定时功能，脱网状态下可保证时间的精准性，真正实现各线路定时开关变得轻松、准确。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10、外壳防火等级：智能断路器外壳采用PA66+玻璃纤维等高规格防火阻燃材料、防火等级达到V0级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11、安装方式：导轨卡口</w:t>
            </w:r>
          </w:p>
          <w:p w14:paraId="05BC0606">
            <w:pPr>
              <w:pStyle w:val="2"/>
              <w:keepNext w:val="0"/>
              <w:keepLines w:val="0"/>
              <w:pageBreakBefore w:val="0"/>
              <w:numPr>
                <w:ilvl w:val="0"/>
                <w:numId w:val="0"/>
              </w:numPr>
              <w:kinsoku/>
              <w:wordWrap/>
              <w:overflowPunct/>
              <w:topLinePunct w:val="0"/>
              <w:autoSpaceDE/>
              <w:autoSpaceDN/>
              <w:bidi w:val="0"/>
              <w:adjustRightInd w:val="0"/>
              <w:snapToGrid w:val="0"/>
              <w:spacing w:after="0"/>
              <w:ind w:left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★12、设备具有中国质量认证中心出具的国家强制性产品认证证书（提供证书扫描件证明）</w:t>
            </w:r>
          </w:p>
          <w:p w14:paraId="2E2DB552">
            <w:pPr>
              <w:pStyle w:val="2"/>
              <w:keepNext w:val="0"/>
              <w:keepLines w:val="0"/>
              <w:pageBreakBefore w:val="0"/>
              <w:numPr>
                <w:ilvl w:val="0"/>
                <w:numId w:val="0"/>
              </w:numPr>
              <w:kinsoku/>
              <w:wordWrap/>
              <w:overflowPunct/>
              <w:topLinePunct w:val="0"/>
              <w:autoSpaceDE/>
              <w:autoSpaceDN/>
              <w:bidi w:val="0"/>
              <w:adjustRightInd w:val="0"/>
              <w:snapToGrid w:val="0"/>
              <w:spacing w:after="0"/>
              <w:ind w:leftChars="0"/>
              <w:rPr>
                <w:rFonts w:hint="eastAsia"/>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★13、设备具有国家低压电器产品质量检验检测中心出具的CQC标志认证试验报告（提供报告扫描件证明）</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D3AA0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6F6FF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2253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263C0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17EBB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2P 智能微型断路器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22ED2FE">
            <w:pPr>
              <w:keepNext w:val="0"/>
              <w:keepLines w:val="0"/>
              <w:pageBreakBefore w:val="0"/>
              <w:widowControl/>
              <w:numPr>
                <w:ilvl w:val="0"/>
                <w:numId w:val="5"/>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输入电压：AC220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2、额定电流：32A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3、分断能力：≥6KA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4、短路保护：线路短路时，断路器0.04s断电保护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5、功率限定：达到限定功率，10秒内断路保护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6、电流限定：达到限定电流，10秒内断路保护</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7、过压（欠压）保护：输入电压超过263V，10S内断电保护。</w:t>
            </w:r>
          </w:p>
          <w:p w14:paraId="14DF8CE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8、超过250V预警，低于190V预警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9、线路打火报警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10、手自一体控制：手机遥控，可以按键自动控制，也可通过手动推杆控制通断。</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11、定时控制功能：智能断路器内置定时功能，脱网状态下可保证时间的精准性，真正实现各线路定时开关变得轻松、准确。</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12、外壳防火等级：智能断路器外壳采用PA66+玻璃纤维等高规格防火阻燃材料、防火等级达到V0级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13、安装方式：导轨卡口</w:t>
            </w:r>
          </w:p>
          <w:p w14:paraId="3A6B941D">
            <w:pPr>
              <w:pStyle w:val="2"/>
              <w:keepNext w:val="0"/>
              <w:keepLines w:val="0"/>
              <w:pageBreakBefore w:val="0"/>
              <w:numPr>
                <w:ilvl w:val="0"/>
                <w:numId w:val="0"/>
              </w:numPr>
              <w:kinsoku/>
              <w:wordWrap/>
              <w:overflowPunct/>
              <w:topLinePunct w:val="0"/>
              <w:autoSpaceDE/>
              <w:autoSpaceDN/>
              <w:bidi w:val="0"/>
              <w:adjustRightInd w:val="0"/>
              <w:snapToGrid w:val="0"/>
              <w:spacing w:after="0"/>
              <w:ind w:leftChars="0"/>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★14、设备具有中国质量认证中心出具的国家强制性产品认证证书（提供证书扫描件证明）</w:t>
            </w:r>
          </w:p>
          <w:p w14:paraId="3F97AB01">
            <w:pPr>
              <w:pStyle w:val="2"/>
              <w:ind w:left="0" w:leftChars="0" w:firstLine="0" w:firstLineChars="0"/>
              <w:rPr>
                <w:rFonts w:hint="eastAsia"/>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★15、设备具有国家低压电器产品质量检验检测中心出具的CQC标志认证试验报告（提供报告扫描件证明）</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23916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ECB6F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r>
      <w:tr w14:paraId="5973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53905B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92C9F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智慧组合式电气火灾探测器</w:t>
            </w:r>
          </w:p>
          <w:p w14:paraId="5C60B1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（核心产品）</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7DD2FD7">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lang w:val="en-US" w:eastAsia="zh-CN" w:bidi="ar"/>
              </w:rPr>
              <w:t>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监控报警项目：剩余电流、相线温度、环境温度、故障电弧、相电压、相电流、脱扣联动、故障联动、报警联动、联动输入报警。</w:t>
            </w:r>
          </w:p>
          <w:p w14:paraId="1D12016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2、计量相关监测：过压报警、欠压报警、过流报警、有功功率、无功功率、视在功率、功率因素、有功电能、箱体湿度检测。</w:t>
            </w:r>
          </w:p>
          <w:p w14:paraId="40158C94">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3、通讯方式：以太网。</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4、外接端口：3路 相电压，3路 相电流，1路 零线电流，1路 故障电弧，4路 剩余电流\温度混接，1路 温度，1路 RS485，1路 百兆网口，1路 联动输入，3路 联动输出，1路 DC12V输出（带负载短路保护）。</w:t>
            </w:r>
          </w:p>
          <w:p w14:paraId="30972E6C">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5、状态指示灯 报警、故障、消音、网络、运行。</w:t>
            </w:r>
          </w:p>
          <w:p w14:paraId="54FFC0E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6、功耗 ≤12W(单机工作)。</w:t>
            </w:r>
          </w:p>
          <w:p w14:paraId="6E9F28EF">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7、报警声压 ≥70dB(A),1m，采集误差 剩余电流：0~1000mA 误差&lt;5%，电流：0~1000A   误差&lt;1%，电压：0~500V    误差&lt;1%，温度：0~150℃   误差&lt;5%。</w:t>
            </w:r>
          </w:p>
          <w:p w14:paraId="1F40FBC9">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8、防护等级 IP30。</w:t>
            </w:r>
          </w:p>
          <w:p w14:paraId="0F8E9982">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9、工作电压 AC 220V 50Hz。</w:t>
            </w:r>
          </w:p>
          <w:p w14:paraId="1591EB3D">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10、工作温度：-20~60℃，工作湿度：≤95%RH（无凝露）。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投标人所投的用电监测设备需采用一体化设计，其中剩余电流和温度探测接口可复用；支持脱扣、报警联动、故障联动；支持设备状态、故障、报警、网络、消音状态显示；支持通道实时值、通道显示单位、通道号显示；支持设备状态查询和显示，多个多功能按键，支持设备查询切换、消音操作、复位操作、状态切换多种组合操作</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（提供国家级检验机构委托检验报告扫描件证明）</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投标人所投用电监测设备支持故障电弧检测功能，被探测工况线路1S内发生14个及以上半周期的故障电弧时，探测装置在1S内发出报警信号，点亮报警指示灯指示并可以主动通过通讯接口发送报警信息并触发火灾声光报警</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（提供国家级检验机构委托检验报告扫描件证明）</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76615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8FC45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r>
      <w:tr w14:paraId="15AFF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270C8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A7A1FC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剩余电流互感器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CC4E88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剩余电流互感器（开口式、线缆式）250A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过线孔径：φ65mm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检测对象：剩余电流</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额定输入：0-1A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额定输出：0-0.5mA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精度等级：0.5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工作温度：-25℃～+75℃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工作湿度：≤85%RH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输出连接：端子或屏蔽双绞线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安装方式：螺丝固定</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BB737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63D9E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9</w:t>
            </w:r>
          </w:p>
        </w:tc>
      </w:tr>
      <w:tr w14:paraId="5470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49CC88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6F4F86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过线电流互感器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57F0FB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过线电流互感器 200A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额定频率 50/60 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 -20℃~70℃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相对湿度 ≤90%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额定一次电流 0-200A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额定二次电流 0-40mA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额定负荷b R 20Ω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准确级 0.5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交流耐压</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一次绕组与二次绕组间工频电压3.0KV/min，无击穿、飞弧现象，漏电流＜1mA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绝缘电阻 一次绕组与二次绕组之间≥100MΩ/500Vdc</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0D72C0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8242A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r>
      <w:tr w14:paraId="1A4A3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19FC7A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E88778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温度传感器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9AB839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探测器种类：NTC热敏电阻</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测量范围：-40℃～150℃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精度：1%</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工作温度：-50℃～260℃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传感器线长：1m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5504A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77FF16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27</w:t>
            </w:r>
          </w:p>
        </w:tc>
      </w:tr>
      <w:tr w14:paraId="734BA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03BE8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9E01A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智慧用电安全箱</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61BC68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1、机箱材料组成由钣金SPCC+ABS面板；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2、整机尺寸：240×280×83mm;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3、机箱上端4个出线口，下端3个出线口； 4.防护等级IP30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63B65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88ABB1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694D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05DF6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91A6E2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A5B0C3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其他施工所需的灵星材料</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F2BF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4C1FFA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72D8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30E3C0D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四、电气改造</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60A78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4733A7A">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45229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45876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E5A4C7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二三级插座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D68728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1040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516F92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23</w:t>
            </w:r>
          </w:p>
        </w:tc>
      </w:tr>
      <w:tr w14:paraId="7FD98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3F4885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31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865AA3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三级插座</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4398990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B973A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B0795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r>
      <w:tr w14:paraId="32ACC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DE07D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C17A99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插座盒</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A55EDF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金属86型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AED80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9DDCD1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r>
      <w:tr w14:paraId="016EB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EFDBCC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0A7F9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双联开关</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331EF4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86型定制，颜色与古建筑相匹配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B578C6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9FE0F5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w:t>
            </w:r>
          </w:p>
        </w:tc>
      </w:tr>
      <w:tr w14:paraId="2EFF2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C4212E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ABA491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单联开关</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46A5AA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86型定制，颜色与古建筑相匹配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7E0B6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9D30E1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w:t>
            </w:r>
          </w:p>
        </w:tc>
      </w:tr>
      <w:tr w14:paraId="19049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F17653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CFB12B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开关盒</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CBC28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金属86型</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62127B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218F45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22</w:t>
            </w:r>
          </w:p>
        </w:tc>
      </w:tr>
      <w:tr w14:paraId="48D9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4EB52B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F8532F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LED灯</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7B150C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20瓦LED灯</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E4432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1F2758C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112</w:t>
            </w:r>
          </w:p>
        </w:tc>
      </w:tr>
      <w:tr w14:paraId="0486F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919A5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AF8DB6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一级配电箱</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4F91345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知名品牌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元器件，定制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8DE25E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E35CFA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9EA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18A9C3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567895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二级配电箱</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F3267E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知名品牌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元器件，定制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A46F9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472A4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w:t>
            </w:r>
          </w:p>
        </w:tc>
      </w:tr>
      <w:tr w14:paraId="72D3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A1C9A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5D55DC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电力电缆</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6788345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WDZA-YJV5*6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38CB5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D0323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160</w:t>
            </w:r>
          </w:p>
        </w:tc>
      </w:tr>
      <w:tr w14:paraId="66FF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31230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3BB022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电力电缆</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DAAF0D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WDZA-YJV3*6</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4E196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BCDD08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120</w:t>
            </w:r>
          </w:p>
        </w:tc>
      </w:tr>
      <w:tr w14:paraId="26A05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8B617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46C77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电力电缆</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6CA0C58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WDZA-YJV3*4</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8351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69C3C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350</w:t>
            </w:r>
          </w:p>
        </w:tc>
      </w:tr>
      <w:tr w14:paraId="76CC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184269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B1750A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电力电缆</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C49C02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WDZA-YJV3*2.5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DA9D3D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6ED06C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700</w:t>
            </w:r>
          </w:p>
        </w:tc>
      </w:tr>
      <w:tr w14:paraId="08A86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3CDDD562">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五、消防给水系统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B9ABD3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CAF334A">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7E5B2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836CFD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D4B8B1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地上式消火栓</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4C5800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SSF100，具体按照实际现场为准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AD599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B9803A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4E537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F6ACD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44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0ECB5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闸阀</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43210D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包含与管道连接的阀门或法兰，室内消防栓阀门规格DN65，实际以现场为准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1EFAE4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8AADD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1ACEED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416A04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85709B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闸阀</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4520D9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包含与管道连接的阀门或法兰，室外消防栓阀门规格DN100，实际以现场为准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2D618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FCC1BF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04840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54753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CEA148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管路开挖及修复</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E2B556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管沟土方开挖，回填修复</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6F30F1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45D276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r>
      <w:tr w14:paraId="66B7E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AC3183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662201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钢丝网骨架塑料复合管</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BE2A98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室外埋地敷设，DN100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689F7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EC0446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r>
      <w:tr w14:paraId="1A17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06676E4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FC9782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消火栓井</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26CBFCF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套筒直埋式砖砌井筒，规格φ150，L=250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EF7E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81A7BC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41A2C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2DFE1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11E71C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消防栓箱</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EB0BB9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含水带、水枪、卷盘等，规格定制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CB445D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7BFFA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p>
        </w:tc>
      </w:tr>
      <w:tr w14:paraId="0184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BDACD7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7DBA93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水表箱</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92F5AC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DN500*800球墨水表箱</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3168E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FEAC7D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AE1F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7B5C15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F01126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A93BAA6">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水表</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2EC0E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组</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34B2C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2B53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516437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8DEC01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三通抢修节</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171EC5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PE三通抢修节</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F5991B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个</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92F6AA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668C1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9C97EFB">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3C8D3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辅材</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E807EA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安装时所需其他配件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7089E9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FE3AEE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3A10A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7442A86D">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六、综合管路系统</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BCD7874">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04F6B81">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77E9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89AF6F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220BE2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室内管路</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B2CA20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JDG25，明敷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15E114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EE5A4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1550</w:t>
            </w:r>
          </w:p>
        </w:tc>
      </w:tr>
      <w:tr w14:paraId="71EA1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2E7BE0F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98835E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室内管路</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43D500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JDG32，明敷</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076BA7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米</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F2167A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150</w:t>
            </w:r>
          </w:p>
        </w:tc>
      </w:tr>
      <w:tr w14:paraId="57E2D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993F4E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773CC02">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油漆</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10404C8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配套管路刷油漆，与建筑本体配套</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A371E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D05223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2A88D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6943245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七、消防其他设备</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8F31524">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BADC783">
            <w:pPr>
              <w:keepNext w:val="0"/>
              <w:keepLines w:val="0"/>
              <w:pageBreakBefore w:val="0"/>
              <w:widowControl/>
              <w:kinsoku/>
              <w:wordWrap/>
              <w:overflowPunct/>
              <w:topLinePunct w:val="0"/>
              <w:autoSpaceDE/>
              <w:autoSpaceDN/>
              <w:bidi w:val="0"/>
              <w:adjustRightInd w:val="0"/>
              <w:snapToGrid w:val="0"/>
              <w:spacing w:line="240" w:lineRule="auto"/>
              <w:jc w:val="center"/>
              <w:rPr>
                <w:rFonts w:hint="eastAsia" w:asciiTheme="minorEastAsia" w:hAnsiTheme="minorEastAsia" w:eastAsiaTheme="minorEastAsia" w:cstheme="minorEastAsia"/>
                <w:i w:val="0"/>
                <w:iCs w:val="0"/>
                <w:color w:val="auto"/>
                <w:sz w:val="21"/>
                <w:szCs w:val="21"/>
                <w:highlight w:val="none"/>
                <w:u w:val="none"/>
              </w:rPr>
            </w:pPr>
          </w:p>
        </w:tc>
      </w:tr>
      <w:tr w14:paraId="19106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ED196E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FFAEA5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微型消防站</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647D137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尺寸1600MM*1200MM，含水带3卷，水枪1支，消防栓扳手1把，灭火器2具，探照灯1只</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F6E63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6DD667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E468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3F395A3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八、计算机网络与布线系统（智慧消防）</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783EB0">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763D724">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778C7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67AB2B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58C064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b w:val="0"/>
                <w:bCs w:val="0"/>
                <w:i w:val="0"/>
                <w:iCs w:val="0"/>
                <w:color w:val="auto"/>
                <w:sz w:val="21"/>
                <w:szCs w:val="21"/>
                <w:highlight w:val="none"/>
                <w:u w:val="none"/>
              </w:rPr>
            </w:pPr>
            <w:r>
              <w:rPr>
                <w:rFonts w:hint="eastAsia" w:asciiTheme="minorEastAsia" w:hAnsiTheme="minorEastAsia" w:eastAsiaTheme="minorEastAsia" w:cstheme="minorEastAsia"/>
                <w:b w:val="0"/>
                <w:bCs w:val="0"/>
                <w:i w:val="0"/>
                <w:iCs w:val="0"/>
                <w:color w:val="auto"/>
                <w:kern w:val="0"/>
                <w:sz w:val="21"/>
                <w:szCs w:val="21"/>
                <w:highlight w:val="none"/>
                <w:u w:val="none"/>
                <w:lang w:val="en-US" w:eastAsia="zh-CN" w:bidi="ar"/>
              </w:rPr>
              <w:t>24口交换机</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51715B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端口类型≥24*10/100/1000Base-T以太网端口，≥4*1000 Base-X SFP光口；交换容量(G)≥336Gbps，转发性能(Mpps)≥78Mpps；支持802.1Q (最大4K个VLAN)，支持DHCP Relay，支持DHCP Client，支持DHCP Snooping，支持IPv6静态路由、双协议栈；支持SP/WRR/SP+WRR队列调度；支持802.1p、DSCP优先级映射，支持端口限速；支持以太网OAM，支持DLDP，支持Monitor Link</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BD797F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60030CE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5E5DD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72092DB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九、消控中心</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5912C37">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797038A4">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7EF17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633D0B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80A0ED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火灾报警控制器/消防联动控制器250</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4E7765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火灾报警控制器/消防联动控制器-JB-LBZ2-HK8301/250点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内置高性能超低功耗微处理器，运算速度快，性能可靠。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4.3英寸TFT工业级液晶显示屏，图形化彩色显示界面。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具备1个总线回路，总容量250点。</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内置微型热敏打印机，可实时打印系统的各类信息。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内置T9智能中文输入法，方便对每个设备进行详细位置信息描述。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配置6组直接控制输出，可对消防泵、排烟机、送风机等设备进行直接控制，具备输出线路断路、短路等故障检测功能。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独立模块式开关电源，可在宽电压范围内高效运行，具备高可靠性充电电路及电池保护电路，长期断电情况下不会损坏铅酸电池。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具备CAN、RS-485、网口、USB等多种数据通讯接口，实现多种协议交互功能。</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支持程序网络升级、参数远程配置、远程监控中心集中管理、实时自动校时等功能模块，保证系统的便捷性、准确性、实时性。</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液晶规格：4.3寸TFT彩色显示屏，分辨率480 × 272 p</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分辨率：480 × 272 p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报警接口：1个继电器输出（火警），DC 30 V/1 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USB接口：1 × USB2.0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网络接口：1个10/100M自适应以太网口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执行标准：GB 4717-2005、GB 16806-2006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安装方式：壁挂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RS-485接口：用于配接第三方系统预留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存储温湿度：温度：0 ℃~40 ℃；湿度：小于95%（无凝结）</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产品尺寸： L 330 mm × W 100 mm × H 450 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设备重量：8.7 kg</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打印机：微型热敏打印机（热敏打印纸规格：57 mm（宽）× 30 mm（直径））</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主电源：AC 220 V/50 Hz</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备电电源：两节 DC 12 V/5 Ah，铅酸蓄电池（MS5-12）</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指示灯：16个指示灯：火警(红) 、启动延时(红)、反馈(红)、监管(红)、屏蔽(黄)、系统故障(黄)、故障(黄)、消音(黄)、启动(红) 、警报器故障(黄)、警报器启动（红）、手动(绿)、自动(绿)、主电(绿)、备电(绿)、开启（检查）（黄色）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线制：无极性两总线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配件：热敏打印纸2卷、PG防水接头3个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产品防护等级：IP30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输出电压：DC 24 V/500 mA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客户端：CPT现场编程工具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总线电压：总线电压：20 V～27.5 V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总线电流：每回路500 mA</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布线要求：RVS 2 × 1.5 mm²， 最大距离：1000 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E17EB4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443D733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4BA2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5FFD6DD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eastAsia="zh-CN"/>
              </w:rPr>
            </w:pPr>
            <w:r>
              <w:rPr>
                <w:rFonts w:hint="eastAsia" w:asciiTheme="minorEastAsia" w:hAnsiTheme="minorEastAsia" w:eastAsiaTheme="minorEastAsia" w:cstheme="minorEastAsia"/>
                <w:i w:val="0"/>
                <w:iCs w:val="0"/>
                <w:color w:val="auto"/>
                <w:sz w:val="21"/>
                <w:szCs w:val="21"/>
                <w:highlight w:val="none"/>
                <w:u w:val="none"/>
                <w:lang w:val="en-US" w:eastAsia="zh-CN"/>
              </w:rPr>
              <w:t>60</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16FA64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用户信息传输装置</w:t>
            </w:r>
          </w:p>
          <w:p w14:paraId="656CCAF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（核心产品）</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DB6FD7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 路 RS-232 通讯接口、2 路 RS-485 通讯接口。</w:t>
            </w:r>
          </w:p>
          <w:p w14:paraId="0CFA7F6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2、1 路 CAN 通讯接口、 1 路 RJ45 网络通讯口。</w:t>
            </w:r>
          </w:p>
          <w:p w14:paraId="43B92836">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手动报警：具有手动火警按钮，可以向管理平台上传人工火灾报警信息。</w:t>
            </w:r>
          </w:p>
          <w:p w14:paraId="0B133F5A">
            <w:pPr>
              <w:keepNext w:val="0"/>
              <w:keepLines w:val="0"/>
              <w:pageBreakBefore w:val="0"/>
              <w:widowControl/>
              <w:numPr>
                <w:ilvl w:val="0"/>
                <w:numId w:val="6"/>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断网续传：网络断网恢复后，接续上传断网期间的数据，值班查岗：支持值班查岗功能。</w:t>
            </w:r>
          </w:p>
          <w:p w14:paraId="167107BE">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5、1路开关量输入，2路常开输出。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 个以太网接口，能够对目标 IP，目标机号。</w:t>
            </w:r>
          </w:p>
          <w:p w14:paraId="432BCAA3">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本机机号设置，支持存储历史火警、历史请求/反馈、历史操作、历史故障等至少10000条日志。</w:t>
            </w:r>
          </w:p>
          <w:p w14:paraId="006872AF">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提供液晶显示（128x64），提供实时时钟</w:t>
            </w:r>
          </w:p>
          <w:p w14:paraId="7D5D989B">
            <w:pPr>
              <w:keepNext w:val="0"/>
              <w:keepLines w:val="0"/>
              <w:pageBreakBefore w:val="0"/>
              <w:widowControl/>
              <w:numPr>
                <w:ilvl w:val="0"/>
                <w:numId w:val="7"/>
              </w:numPr>
              <w:suppressLineNumbers w:val="0"/>
              <w:kinsoku/>
              <w:wordWrap/>
              <w:overflowPunct/>
              <w:topLinePunct w:val="0"/>
              <w:autoSpaceDE/>
              <w:autoSpaceDN/>
              <w:bidi w:val="0"/>
              <w:adjustRightInd w:val="0"/>
              <w:snapToGrid w:val="0"/>
              <w:spacing w:line="240" w:lineRule="auto"/>
              <w:ind w:left="0" w:leftChars="0" w:firstLine="0" w:firstLine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蓄电池备用供电（待机24小时以上），交流输入电压 220V 50Hz，直流备电 12V 7Ah 铅酸电池一节。</w:t>
            </w:r>
          </w:p>
          <w:p w14:paraId="2727E646">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ind w:leftChars="0"/>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10、工作温度 0℃～+50℃，工作湿度 ≤95%RH。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★11、设备在主机与消防报警主机通讯延迟不大于1秒，主机与软件平台通讯延迟不大于1秒。（提供国家级检验机构委托检验报告扫描件证明）</w:t>
            </w:r>
          </w:p>
          <w:p w14:paraId="699B6F1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★12、设备的电路有亚克力板保护，印有警示提示语。（提供国家级检验机构委托检验报告扫描件证明）</w:t>
            </w:r>
          </w:p>
          <w:p w14:paraId="5CED5460">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13、用户信息传输装置产品需符合GB26875.1-2011《城市消防远程监控系统第1部分:用户信息传输装置》要求，并取得应急管理部消防产品合格评定中心出具的产品认证证书（提供应急管理部消防产品合格评定中心出具的认证证书扫描件证明）</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972448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CDF4F4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5E478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95CDC5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61</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42DBEA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用传配件串口线</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5D09B64">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1、用户信息传输系统套线，长度0.5m，包含一公转两母和一母转两公串口线；</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2、双母头串口线，长度3m；</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E1008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套</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CD84B4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0573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53B44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62</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0D8125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应急照明控制器</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7F0947A">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应急照明控制器</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4.3英寸TFT工业级液晶显示屏，图形化彩色显示界面。</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内置高性能超低功耗微处理器，运算速度快，性能可靠。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内置微型热敏打印机，可实时打印系统的各类信息。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内置T9智能中文输入法，方便对每个设备进行详细位置信息描述。</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独立模块式开关电源，可在宽电压范围内高效运行，具备高可靠性充电电路及电池保护电路。</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可设置年检、月检、模拟年检、模拟月检，确保系统稳定运行。</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液晶规格：4.3英寸</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分辨率：480 × 272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设备重量：约6 kg（不含电池）</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打印机：热敏打印机，E05R，77.5 × 53.5 × 45 mm，RS-232 5pin 接口</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工作温度：0 ~ 55 °C</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工作环境：10%~95%RH</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执行标准：GB17945-2010《消防应急照明和疏散指示系统》</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产品尺寸（长×宽×高）：L 330 mm × W 100 mm × H 450 mm</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接口类型：1路CAN，1路RS-485，1路开关量输入，1路无源输出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容量：最大支持接入8个应急照明集中电源，单个应急照明集中电源满载240点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E46BE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5CB5E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49B0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7799749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63</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E4D64D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消防控制室图形显示装置</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41A0EEA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1、双千兆网卡，支持网络容错以及双网络 IP设定、双网隔离等应用，内置图形显示软件，页面友好，功能易用，系统稳定，具备标准全功能RS-232接口，可直接接入标准RS-232接口设备。</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具备4个标准RS-485接口、4个USB接口，实现与其他系统的数据通信，支持接入火灾自动报警系统、气体灭火控制系统、电气火灾监控系统、防火门监控系统、消防设备电源监控系统、可燃气体探测报警系统、应急疏散指示系统等。</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3、支持接入视频监控系统，火灾发生报警的情况下，能够快速定位并连接报警点位附近的摄像机，通过视频画面确认现场的火情，进行相应的应急处理。</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 xml:space="preserve">4、分辨率：1366 × 768 ，音频输入接口：1路MIC IN，音频输出接口：1路LINE OUT，网络接口：2个10M/100M/1000M自适应以太网接口，支持双网隔离 </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，内存：4 GB，指示灯：7个：传输（红色）、火警（红色）、启动（红色）、反馈（红色）、故障（黄色）、屏蔽（黄色）、运行（绿色）</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5、输出：1路RS-232，4路RS-485，4路USB3.0</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安装方式：桌面立式支架安装；或自带挂耳组件、嵌入琴台机柜中；或内置于单节琴台中，额定功率：≤ 30 W，额定电压：DC24V。</w:t>
            </w:r>
          </w:p>
          <w:p w14:paraId="047D27BD">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★6、设备支持普通摄像机的视频接入及视频的实时播放；（提供国家级检验机构委托检验报告扫描件证明）</w:t>
            </w:r>
          </w:p>
          <w:p w14:paraId="083C46EF">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★7、设备接收到火灾自动报警系统报警后，可在3S内弹窗显示</w:t>
            </w:r>
            <w:r>
              <w:rPr>
                <w:rFonts w:hint="eastAsia"/>
                <w:color w:val="auto"/>
                <w:highlight w:val="none"/>
              </w:rPr>
              <w:t>关联的视频，实时查看报警区域的视频图像；（提供国家级检验机构委托检验报告</w:t>
            </w:r>
            <w:r>
              <w:rPr>
                <w:rFonts w:hint="eastAsia"/>
                <w:color w:val="auto"/>
                <w:highlight w:val="none"/>
                <w:lang w:val="en-US" w:eastAsia="zh-CN"/>
              </w:rPr>
              <w:t>扫描</w:t>
            </w:r>
            <w:r>
              <w:rPr>
                <w:rFonts w:hint="eastAsia"/>
                <w:color w:val="auto"/>
                <w:highlight w:val="none"/>
              </w:rPr>
              <w:t>件证明）</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A1121D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615A6F4">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6DC2C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C843E5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64</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370DDB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图显支架</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FBBF069">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桌面立式支架，配合图形显示装置使用，可以组成桌面立式形态的图形显示装置</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DA36FA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台</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2154BDC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w:t>
            </w:r>
          </w:p>
        </w:tc>
      </w:tr>
      <w:tr w14:paraId="76D30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121047DC">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65</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FC1F929">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火灾自动报警平台软件</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0087741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1、火灾自动报警平台，烟感、温感、应急照明等需接入平台。</w:t>
            </w:r>
          </w:p>
          <w:p w14:paraId="797A604E">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★2、平台B/S客户端支持一张图展示报警点的基础信息、视频预览、录像回放、抓图、地图信息。（需提供公安部检测报告扫描件证明）</w:t>
            </w:r>
          </w:p>
          <w:p w14:paraId="45031DC1">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★3、针对同一报警事件，在报警未恢复时，平台应支持配置报警推送周期，当超过设定的报警推送周期后，平台应支持再次提醒用户。（需提供公安部检测报告扫描件证明）</w:t>
            </w:r>
          </w:p>
          <w:p w14:paraId="2A268063">
            <w:pPr>
              <w:rPr>
                <w:rFonts w:hint="eastAsia"/>
                <w:color w:val="auto"/>
                <w:highlight w:val="none"/>
                <w:lang w:val="en-US" w:eastAsia="zh-CN"/>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★4、</w:t>
            </w:r>
            <w:r>
              <w:rPr>
                <w:rFonts w:hint="eastAsia"/>
                <w:color w:val="auto"/>
                <w:highlight w:val="none"/>
                <w:lang w:val="en-US" w:eastAsia="zh-CN"/>
              </w:rPr>
              <w:t>支持在火灾报警系统中，查看火灾报警控制中传感器的启动、反馈、监管、屏蔽的状态显示。</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（需提供公安部检测报告扫描件证明）</w:t>
            </w:r>
          </w:p>
          <w:p w14:paraId="7656E77C">
            <w:pPr>
              <w:pStyle w:val="2"/>
              <w:keepNext w:val="0"/>
              <w:keepLines w:val="0"/>
              <w:pageBreakBefore w:val="0"/>
              <w:widowControl w:val="0"/>
              <w:numPr>
                <w:ilvl w:val="0"/>
                <w:numId w:val="0"/>
              </w:numPr>
              <w:kinsoku/>
              <w:wordWrap/>
              <w:overflowPunct/>
              <w:topLinePunct w:val="0"/>
              <w:autoSpaceDE/>
              <w:autoSpaceDN/>
              <w:bidi w:val="0"/>
              <w:adjustRightInd/>
              <w:snapToGrid/>
              <w:spacing w:after="0"/>
              <w:ind w:leftChars="0"/>
              <w:textAlignment w:val="auto"/>
              <w:rPr>
                <w:rFonts w:hint="eastAsia"/>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5、平台运管中心支持多色彩（红、橙、黄）展示运行告警状态，支持告警统计、概览、处理，支持告警记录查看、查询，支持告警单条、批量处理，支持系统最近7天每日告警数统计，支持评分量化系统监测指数，显示系统运行状态（需提供公安部检测报告扫描件证明）</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4586825">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52FBE9EF">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2059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7A3560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66</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DA612C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电气火灾监测系统软件</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E8EA290">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240" w:lineRule="auto"/>
              <w:jc w:val="left"/>
              <w:textAlignment w:val="center"/>
              <w:rPr>
                <w:rFonts w:hint="eastAsia"/>
                <w:color w:val="auto"/>
                <w:highlight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支持接入用电主机、智慧空开，支持阈值的配置和下发，实现电压、温度、电流的阈值配置，监测剩余电流、总电量、视在功率、今日电量、电气温度、电流、无功功率、电压、有功功率、功率因数等数据，并支持远程开闸合闸的操作控制；</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2、支持用电分组的管理，将多个智慧空开等设备按场景进行分组管理，对用电分组配置空开运行计划、远程控制。</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218D989E">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09A576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53DCA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650" w:type="dxa"/>
            <w:gridSpan w:val="3"/>
            <w:tcBorders>
              <w:top w:val="single" w:color="000000" w:sz="4" w:space="0"/>
              <w:left w:val="single" w:color="000000" w:sz="4" w:space="0"/>
              <w:bottom w:val="single" w:color="000000" w:sz="4" w:space="0"/>
              <w:right w:val="single" w:color="000000" w:sz="4" w:space="0"/>
            </w:tcBorders>
            <w:noWrap w:val="0"/>
            <w:vAlign w:val="center"/>
          </w:tcPr>
          <w:p w14:paraId="5481AA98">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b/>
                <w:bCs/>
                <w:i w:val="0"/>
                <w:iCs w:val="0"/>
                <w:color w:val="auto"/>
                <w:kern w:val="0"/>
                <w:sz w:val="21"/>
                <w:szCs w:val="21"/>
                <w:highlight w:val="none"/>
                <w:u w:val="none"/>
                <w:lang w:val="en-US" w:eastAsia="zh-CN" w:bidi="ar"/>
              </w:rPr>
              <w:t>十、原有材料拆除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D72BC23">
            <w:pPr>
              <w:keepNext w:val="0"/>
              <w:keepLines w:val="0"/>
              <w:pageBreakBefore w:val="0"/>
              <w:widowControl/>
              <w:kinsoku/>
              <w:wordWrap/>
              <w:overflowPunct/>
              <w:topLinePunct w:val="0"/>
              <w:autoSpaceDE/>
              <w:autoSpaceDN/>
              <w:bidi w:val="0"/>
              <w:adjustRightInd w:val="0"/>
              <w:snapToGrid w:val="0"/>
              <w:spacing w:line="240" w:lineRule="auto"/>
              <w:jc w:val="left"/>
              <w:rPr>
                <w:rFonts w:hint="eastAsia" w:asciiTheme="minorEastAsia" w:hAnsiTheme="minorEastAsia" w:eastAsiaTheme="minorEastAsia" w:cstheme="minorEastAsia"/>
                <w:i w:val="0"/>
                <w:iCs w:val="0"/>
                <w:color w:val="auto"/>
                <w:sz w:val="21"/>
                <w:szCs w:val="21"/>
                <w:highlight w:val="none"/>
                <w:u w:val="none"/>
              </w:rPr>
            </w:pP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3BABF473">
            <w:pPr>
              <w:keepNext w:val="0"/>
              <w:keepLines w:val="0"/>
              <w:pageBreakBefore w:val="0"/>
              <w:widowControl/>
              <w:kinsoku/>
              <w:wordWrap/>
              <w:overflowPunct/>
              <w:topLinePunct w:val="0"/>
              <w:autoSpaceDE/>
              <w:autoSpaceDN/>
              <w:bidi w:val="0"/>
              <w:adjustRightInd w:val="0"/>
              <w:snapToGrid w:val="0"/>
              <w:spacing w:line="240" w:lineRule="auto"/>
              <w:jc w:val="right"/>
              <w:rPr>
                <w:rFonts w:hint="eastAsia" w:asciiTheme="minorEastAsia" w:hAnsiTheme="minorEastAsia" w:eastAsiaTheme="minorEastAsia" w:cstheme="minorEastAsia"/>
                <w:i w:val="0"/>
                <w:iCs w:val="0"/>
                <w:color w:val="auto"/>
                <w:sz w:val="21"/>
                <w:szCs w:val="21"/>
                <w:highlight w:val="none"/>
                <w:u w:val="none"/>
              </w:rPr>
            </w:pPr>
          </w:p>
        </w:tc>
      </w:tr>
      <w:tr w14:paraId="5F1AD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4462F03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67</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0F738653">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设备拆除</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75F8CE28">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原有消防、电气设备拆除费</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4CA242A1">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B2F3D70">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75FA4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66D54AD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68</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377B02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原有管线拆除</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5CBF84D1">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原有老旧管线拆除</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4061F3A">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CE4B972">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r w14:paraId="061A9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87" w:type="dxa"/>
            <w:tcBorders>
              <w:top w:val="single" w:color="000000" w:sz="4" w:space="0"/>
              <w:left w:val="single" w:color="000000" w:sz="4" w:space="0"/>
              <w:bottom w:val="single" w:color="000000" w:sz="4" w:space="0"/>
              <w:right w:val="single" w:color="000000" w:sz="4" w:space="0"/>
            </w:tcBorders>
            <w:noWrap w:val="0"/>
            <w:vAlign w:val="center"/>
          </w:tcPr>
          <w:p w14:paraId="3C282618">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heme="minorEastAsia" w:hAnsiTheme="minorEastAsia" w:eastAsiaTheme="minorEastAsia" w:cstheme="minorEastAsia"/>
                <w:i w:val="0"/>
                <w:iCs w:val="0"/>
                <w:color w:val="auto"/>
                <w:sz w:val="21"/>
                <w:szCs w:val="21"/>
                <w:highlight w:val="none"/>
                <w:u w:val="none"/>
                <w:lang w:val="en-US"/>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69</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D4C31E7">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拆除管线搬运管理</w:t>
            </w:r>
          </w:p>
        </w:tc>
        <w:tc>
          <w:tcPr>
            <w:tcW w:w="5561" w:type="dxa"/>
            <w:tcBorders>
              <w:top w:val="single" w:color="000000" w:sz="4" w:space="0"/>
              <w:left w:val="single" w:color="000000" w:sz="4" w:space="0"/>
              <w:bottom w:val="single" w:color="000000" w:sz="4" w:space="0"/>
              <w:right w:val="single" w:color="000000" w:sz="4" w:space="0"/>
            </w:tcBorders>
            <w:noWrap w:val="0"/>
            <w:vAlign w:val="center"/>
          </w:tcPr>
          <w:p w14:paraId="33EE33E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拆除管线搬运管理</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E744936">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项</w:t>
            </w:r>
          </w:p>
        </w:tc>
        <w:tc>
          <w:tcPr>
            <w:tcW w:w="725" w:type="dxa"/>
            <w:tcBorders>
              <w:top w:val="single" w:color="000000" w:sz="4" w:space="0"/>
              <w:left w:val="single" w:color="000000" w:sz="4" w:space="0"/>
              <w:bottom w:val="single" w:color="000000" w:sz="4" w:space="0"/>
              <w:right w:val="single" w:color="000000" w:sz="4" w:space="0"/>
            </w:tcBorders>
            <w:noWrap w:val="0"/>
            <w:vAlign w:val="center"/>
          </w:tcPr>
          <w:p w14:paraId="05CFA06D">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eastAsia" w:asciiTheme="minorEastAsia" w:hAnsiTheme="minorEastAsia" w:eastAsiaTheme="minorEastAsia" w:cstheme="minorEastAsia"/>
                <w:i w:val="0"/>
                <w:iCs w:val="0"/>
                <w:color w:val="auto"/>
                <w:sz w:val="21"/>
                <w:szCs w:val="21"/>
                <w:highlight w:val="none"/>
                <w:u w:val="none"/>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w:t>
            </w:r>
          </w:p>
        </w:tc>
      </w:tr>
    </w:tbl>
    <w:p w14:paraId="00F16837">
      <w:pPr>
        <w:pStyle w:val="11"/>
        <w:spacing w:line="360" w:lineRule="auto"/>
        <w:ind w:firstLine="422" w:firstLineChars="200"/>
        <w:jc w:val="left"/>
        <w:outlineLvl w:val="1"/>
        <w:rPr>
          <w:rFonts w:hint="eastAsia" w:hAnsi="宋体" w:cs="宋体"/>
          <w:b/>
          <w:bCs/>
          <w:color w:val="auto"/>
          <w:szCs w:val="21"/>
          <w:highlight w:val="none"/>
          <w:lang w:val="zh-CN"/>
        </w:rPr>
      </w:pPr>
      <w:r>
        <w:rPr>
          <w:rFonts w:hint="eastAsia" w:hAnsi="宋体" w:cs="宋体"/>
          <w:b/>
          <w:bCs/>
          <w:color w:val="auto"/>
          <w:szCs w:val="21"/>
          <w:highlight w:val="none"/>
        </w:rPr>
        <w:t>注：</w:t>
      </w:r>
      <w:r>
        <w:rPr>
          <w:rFonts w:hint="eastAsia" w:hAnsi="宋体" w:cs="宋体"/>
          <w:b/>
          <w:bCs/>
          <w:color w:val="auto"/>
          <w:kern w:val="0"/>
          <w:szCs w:val="21"/>
          <w:highlight w:val="none"/>
        </w:rPr>
        <w:t>核心产品：智慧组合式电气火灾探测器、用户信息传输装置。</w:t>
      </w:r>
      <w:r>
        <w:rPr>
          <w:rFonts w:hint="eastAsia" w:hAnsi="宋体" w:cs="宋体"/>
          <w:b/>
          <w:bCs/>
          <w:color w:val="auto"/>
          <w:szCs w:val="21"/>
          <w:highlight w:val="none"/>
        </w:rPr>
        <w:t>若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w:t>
      </w:r>
      <w:r>
        <w:rPr>
          <w:rFonts w:hint="eastAsia" w:hAnsi="宋体" w:cs="宋体"/>
          <w:b/>
          <w:bCs/>
          <w:color w:val="auto"/>
          <w:szCs w:val="21"/>
          <w:highlight w:val="none"/>
          <w:lang w:val="zh-CN"/>
        </w:rPr>
        <w:t>评审得分相同的，由评标委员会集体推荐一个投标人作为中标候选人，其他同品牌投标人不作为中标候选人。</w:t>
      </w:r>
    </w:p>
    <w:p w14:paraId="446AAB08">
      <w:pPr>
        <w:pStyle w:val="11"/>
        <w:spacing w:line="360" w:lineRule="auto"/>
        <w:ind w:firstLine="422" w:firstLineChars="200"/>
        <w:jc w:val="left"/>
        <w:outlineLvl w:val="1"/>
        <w:rPr>
          <w:rFonts w:hint="eastAsia" w:ascii="宋体" w:hAnsi="宋体" w:eastAsia="宋体" w:cs="宋体"/>
          <w:b/>
          <w:bCs/>
          <w:color w:val="auto"/>
          <w:highlight w:val="none"/>
        </w:rPr>
      </w:pPr>
    </w:p>
    <w:p w14:paraId="6CA92393">
      <w:pPr>
        <w:pageBreakBefore w:val="0"/>
        <w:widowControl w:val="0"/>
        <w:numPr>
          <w:ilvl w:val="0"/>
          <w:numId w:val="0"/>
        </w:numPr>
        <w:kinsoku/>
        <w:wordWrap/>
        <w:overflowPunct/>
        <w:topLinePunct w:val="0"/>
        <w:autoSpaceDE/>
        <w:bidi w:val="0"/>
        <w:spacing w:line="360" w:lineRule="auto"/>
        <w:textAlignment w:val="auto"/>
        <w:outlineLvl w:val="9"/>
        <w:rPr>
          <w:rFonts w:hint="eastAsia" w:ascii="宋体" w:hAnsi="宋体" w:cs="宋体"/>
          <w:b/>
          <w:bCs/>
          <w:color w:val="auto"/>
          <w:kern w:val="2"/>
          <w:sz w:val="21"/>
          <w:szCs w:val="28"/>
          <w:highlight w:val="none"/>
          <w:lang w:val="en-US" w:eastAsia="zh-CN" w:bidi="ar-SA"/>
        </w:rPr>
      </w:pPr>
      <w:r>
        <w:rPr>
          <w:rFonts w:hint="eastAsia" w:ascii="宋体" w:hAnsi="宋体" w:eastAsia="宋体" w:cs="宋体"/>
          <w:b/>
          <w:bCs/>
          <w:color w:val="auto"/>
          <w:kern w:val="2"/>
          <w:sz w:val="21"/>
          <w:szCs w:val="28"/>
          <w:highlight w:val="none"/>
          <w:lang w:val="en-US" w:eastAsia="zh-CN" w:bidi="ar-SA"/>
        </w:rPr>
        <w:t>五、</w:t>
      </w:r>
      <w:r>
        <w:rPr>
          <w:rFonts w:hint="eastAsia" w:ascii="宋体" w:hAnsi="宋体" w:cs="宋体"/>
          <w:b/>
          <w:bCs/>
          <w:color w:val="auto"/>
          <w:kern w:val="2"/>
          <w:sz w:val="21"/>
          <w:szCs w:val="28"/>
          <w:highlight w:val="none"/>
          <w:lang w:val="en-US" w:eastAsia="zh-CN" w:bidi="ar-SA"/>
        </w:rPr>
        <w:t>演示要求</w:t>
      </w:r>
    </w:p>
    <w:tbl>
      <w:tblPr>
        <w:tblStyle w:val="23"/>
        <w:tblW w:w="8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2"/>
        <w:gridCol w:w="7287"/>
      </w:tblGrid>
      <w:tr w14:paraId="53C75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2" w:type="dxa"/>
            <w:noWrap w:val="0"/>
            <w:vAlign w:val="center"/>
          </w:tcPr>
          <w:p w14:paraId="37F33F3A">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集成管理</w:t>
            </w:r>
            <w:r>
              <w:rPr>
                <w:rFonts w:hint="eastAsia" w:ascii="宋体" w:hAnsi="宋体" w:eastAsia="宋体" w:cs="宋体"/>
                <w:color w:val="auto"/>
                <w:sz w:val="21"/>
                <w:szCs w:val="21"/>
                <w:highlight w:val="none"/>
              </w:rPr>
              <w:t>平台演示</w:t>
            </w:r>
          </w:p>
        </w:tc>
        <w:tc>
          <w:tcPr>
            <w:tcW w:w="7287" w:type="dxa"/>
            <w:noWrap w:val="0"/>
            <w:vAlign w:val="center"/>
          </w:tcPr>
          <w:p w14:paraId="5C34379D">
            <w:pPr>
              <w:keepNext w:val="0"/>
              <w:keepLines w:val="0"/>
              <w:pageBreakBefore w:val="0"/>
              <w:kinsoku/>
              <w:wordWrap/>
              <w:overflowPunct/>
              <w:topLinePunct w:val="0"/>
              <w:bidi w:val="0"/>
              <w:spacing w:beforeAutospacing="0" w:afterAutospacing="0" w:line="240" w:lineRule="auto"/>
              <w:ind w:left="0"/>
              <w:jc w:val="left"/>
              <w:textAlignment w:val="auto"/>
              <w:outlineLvl w:val="9"/>
              <w:rPr>
                <w:rFonts w:hint="eastAsia" w:ascii="宋体" w:hAnsi="宋体" w:eastAsia="宋体" w:cs="宋体"/>
                <w:i w:val="0"/>
                <w:iCs w:val="0"/>
                <w:color w:val="auto"/>
                <w:spacing w:val="-4"/>
                <w:szCs w:val="21"/>
                <w:highlight w:val="none"/>
                <w:lang w:val="zh-CN" w:eastAsia="zh-CN"/>
              </w:rPr>
            </w:pPr>
            <w:r>
              <w:rPr>
                <w:rFonts w:hint="eastAsia" w:ascii="宋体" w:hAnsi="宋体" w:eastAsia="宋体" w:cs="宋体"/>
                <w:i w:val="0"/>
                <w:iCs w:val="0"/>
                <w:color w:val="auto"/>
                <w:spacing w:val="-4"/>
                <w:szCs w:val="21"/>
                <w:highlight w:val="none"/>
                <w:lang w:val="zh-CN" w:eastAsia="zh-CN"/>
              </w:rPr>
              <w:t>投标人</w:t>
            </w:r>
            <w:r>
              <w:rPr>
                <w:rFonts w:hint="eastAsia" w:ascii="宋体" w:hAnsi="宋体" w:eastAsia="宋体" w:cs="宋体"/>
                <w:i w:val="0"/>
                <w:iCs w:val="0"/>
                <w:color w:val="auto"/>
                <w:spacing w:val="-4"/>
                <w:szCs w:val="21"/>
                <w:highlight w:val="none"/>
                <w:lang w:val="en-US" w:eastAsia="zh-CN"/>
              </w:rPr>
              <w:t>提供</w:t>
            </w:r>
            <w:r>
              <w:rPr>
                <w:rFonts w:hint="eastAsia" w:ascii="宋体" w:hAnsi="宋体" w:cs="宋体"/>
                <w:i w:val="0"/>
                <w:iCs w:val="0"/>
                <w:color w:val="auto"/>
                <w:spacing w:val="-4"/>
                <w:szCs w:val="21"/>
                <w:highlight w:val="none"/>
                <w:lang w:val="en-US" w:eastAsia="zh-CN"/>
              </w:rPr>
              <w:t>以下</w:t>
            </w:r>
            <w:r>
              <w:rPr>
                <w:rFonts w:hint="eastAsia" w:ascii="宋体" w:hAnsi="宋体" w:eastAsia="宋体" w:cs="宋体"/>
                <w:i w:val="0"/>
                <w:iCs w:val="0"/>
                <w:color w:val="auto"/>
                <w:spacing w:val="-4"/>
                <w:szCs w:val="21"/>
                <w:highlight w:val="none"/>
                <w:lang w:val="zh-CN" w:eastAsia="zh-CN"/>
              </w:rPr>
              <w:t>演示</w:t>
            </w:r>
            <w:r>
              <w:rPr>
                <w:rFonts w:hint="eastAsia" w:ascii="宋体" w:hAnsi="宋体" w:eastAsia="宋体" w:cs="宋体"/>
                <w:i w:val="0"/>
                <w:iCs w:val="0"/>
                <w:color w:val="auto"/>
                <w:spacing w:val="-4"/>
                <w:szCs w:val="21"/>
                <w:highlight w:val="none"/>
                <w:lang w:val="en-US" w:eastAsia="zh-CN"/>
              </w:rPr>
              <w:t>视频</w:t>
            </w:r>
            <w:r>
              <w:rPr>
                <w:rFonts w:hint="eastAsia" w:ascii="宋体" w:hAnsi="宋体" w:eastAsia="宋体" w:cs="宋体"/>
                <w:i w:val="0"/>
                <w:iCs w:val="0"/>
                <w:color w:val="auto"/>
                <w:spacing w:val="-4"/>
                <w:szCs w:val="21"/>
                <w:highlight w:val="none"/>
                <w:lang w:val="zh-CN" w:eastAsia="zh-CN"/>
              </w:rPr>
              <w:t>内容</w:t>
            </w:r>
            <w:r>
              <w:rPr>
                <w:rFonts w:hint="eastAsia" w:ascii="宋体" w:hAnsi="宋体" w:eastAsia="宋体" w:cs="宋体"/>
                <w:i w:val="0"/>
                <w:iCs w:val="0"/>
                <w:color w:val="auto"/>
                <w:spacing w:val="-4"/>
                <w:szCs w:val="21"/>
                <w:highlight w:val="none"/>
                <w:lang w:val="en-US" w:eastAsia="zh-CN"/>
              </w:rPr>
              <w:t>。</w:t>
            </w:r>
          </w:p>
          <w:p w14:paraId="5FABB7A0">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工作台：提供一站式报警事件接收处理的工作台。实时接收系统的报警事件，通过语音进行报警信息的播报，支持查看报警类型、报警等级、报警次数、所属设备等信息，并根据资源在平面图的位置、联动视频预览和回访、抓图画面等方式，进行报警的核实。支持处理报警，输入处理意见，选择该报警为真实火警、误报、核实中及测试。</w:t>
            </w:r>
          </w:p>
          <w:p w14:paraId="7C6BACF6">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数据监测：展示火灾报警系统、电气火灾系统相关的设备总数、包括在线设备、离线设备、未注册设备、正常设备、故障设备数量；展示设备监测值，包括正常、异常检测值；展示传感器正常、故障数量，传感器监测值正常、异常数量。展示火灾报警系统，各传感器的报警状态、启动状态、停止状态、反馈状态、监管状态、屏蔽状态、故障状态。</w:t>
            </w:r>
          </w:p>
          <w:p w14:paraId="3E93C9A6">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消防网管：对设备、传感器状态进行统计和分析，按照近7天/近30天/近一年的维度，展示设备故障原因排名TOP10，和故障趋势图。按照区域、系统展示消防设备故障率TOP10。按照频繁误报、频繁故障、频繁离线、频繁信号弱等标签对设备进行画像分析，统计各标签下的设备/传感器排名TOP10。</w:t>
            </w:r>
          </w:p>
          <w:p w14:paraId="450D443B">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④支持将CPT导出的工程文件导入平台，实现火灾报警控制器设备、传感器、区域、平面图及平面图上的坐标一次性导入平台，并完成传感器的自动上图。</w:t>
            </w:r>
          </w:p>
          <w:p w14:paraId="6A58282A">
            <w:pPr>
              <w:adjustRightInd w:val="0"/>
              <w:snapToGrid w:val="0"/>
              <w:jc w:val="left"/>
              <w:rPr>
                <w:rFonts w:ascii="宋体" w:hAnsi="宋体" w:cs="宋体"/>
                <w:b w:val="0"/>
                <w:bCs w:val="0"/>
                <w:color w:val="auto"/>
                <w:sz w:val="21"/>
                <w:szCs w:val="21"/>
                <w:highlight w:val="none"/>
              </w:rPr>
            </w:pPr>
            <w:r>
              <w:rPr>
                <w:rFonts w:hint="eastAsia" w:ascii="宋体" w:hAnsi="宋体" w:eastAsia="宋体" w:cs="宋体"/>
                <w:color w:val="auto"/>
                <w:sz w:val="21"/>
                <w:szCs w:val="21"/>
                <w:highlight w:val="none"/>
                <w:lang w:val="en-US" w:eastAsia="zh-CN"/>
              </w:rPr>
              <w:t>⑤支持火灾报警控制器发生火灾报警时，在平台侧下发消音、复位、手自动切换、警报器启动、联动启动指令，并展示远程控制效果。可实时查看火灾报警控制器火警、联动、启动延时、反馈、监管、屏蔽、系统故障、节点故障等15种以上状态指示灯。可在平台侧查看火灾报警控制器回路的状态，包含火警、启动、故障等，可查看多线板状态，总线板状态。</w:t>
            </w:r>
          </w:p>
        </w:tc>
      </w:tr>
    </w:tbl>
    <w:p w14:paraId="78A7A6ED">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1"/>
        <w:rPr>
          <w:rFonts w:hint="eastAsia" w:ascii="宋体" w:hAnsi="宋体" w:cs="宋体"/>
          <w:b/>
          <w:color w:val="auto"/>
          <w:szCs w:val="21"/>
          <w:highlight w:val="none"/>
        </w:rPr>
      </w:pPr>
      <w:r>
        <w:rPr>
          <w:rFonts w:hint="eastAsia" w:ascii="宋体" w:hAnsi="宋体" w:cs="宋体"/>
          <w:b/>
          <w:color w:val="auto"/>
          <w:szCs w:val="21"/>
          <w:highlight w:val="none"/>
        </w:rPr>
        <w:t>注：提供视频演示的各投标人将需演示的部分自行演示并录制成视频制作在 U 盘中，录制视频</w:t>
      </w:r>
      <w:r>
        <w:rPr>
          <w:rFonts w:hint="eastAsia" w:ascii="宋体" w:hAnsi="宋体" w:cs="宋体"/>
          <w:b/>
          <w:color w:val="auto"/>
          <w:szCs w:val="21"/>
          <w:highlight w:val="none"/>
          <w:lang w:val="en-US" w:eastAsia="zh-CN"/>
        </w:rPr>
        <w:t>总</w:t>
      </w:r>
      <w:r>
        <w:rPr>
          <w:rFonts w:hint="eastAsia" w:ascii="宋体" w:hAnsi="宋体" w:cs="宋体"/>
          <w:b/>
          <w:color w:val="auto"/>
          <w:szCs w:val="21"/>
          <w:highlight w:val="none"/>
        </w:rPr>
        <w:t>时长</w:t>
      </w:r>
      <w:r>
        <w:rPr>
          <w:rFonts w:hint="eastAsia" w:ascii="宋体" w:hAnsi="宋体" w:cs="宋体"/>
          <w:b/>
          <w:color w:val="auto"/>
          <w:szCs w:val="21"/>
          <w:highlight w:val="none"/>
          <w:lang w:val="en-US" w:eastAsia="zh-CN"/>
        </w:rPr>
        <w:t>15</w:t>
      </w:r>
      <w:r>
        <w:rPr>
          <w:rFonts w:hint="eastAsia" w:ascii="宋体" w:hAnsi="宋体" w:cs="宋体"/>
          <w:b/>
          <w:color w:val="auto"/>
          <w:szCs w:val="21"/>
          <w:highlight w:val="none"/>
        </w:rPr>
        <w:t>分钟以内，录制的视频必须为MP4格式（若视频为其他格式导致评审中不能正常播放的，责任自负），U盘须加设密码并装入密封袋</w:t>
      </w:r>
      <w:r>
        <w:rPr>
          <w:rFonts w:hint="eastAsia" w:ascii="宋体" w:hAnsi="宋体" w:cs="宋体"/>
          <w:b/>
          <w:bCs/>
          <w:color w:val="auto"/>
          <w:kern w:val="0"/>
          <w:szCs w:val="21"/>
          <w:highlight w:val="none"/>
        </w:rPr>
        <w:t>（在密封袋的封口处加盖投标人公章、法定代表人代表或授权委托代理人印章或签字。封皮上写明项目编号、标项、项目名称、投标人名称，并注明“演示视频”、“开标时启封”字样）</w:t>
      </w:r>
      <w:r>
        <w:rPr>
          <w:rFonts w:hint="eastAsia" w:ascii="宋体" w:hAnsi="宋体" w:cs="宋体"/>
          <w:b/>
          <w:color w:val="auto"/>
          <w:szCs w:val="21"/>
          <w:highlight w:val="none"/>
        </w:rPr>
        <w:t>，在投标截止时间前用密封袋包装好注明项目名称和投标人名称快递到招标代理机构处，招标代理在投标截止时间后联系投标人获取密码进行播放，未提供演示或使用其他方式（如软件Demo、PPT 演示、图片原型或方案等）演示，此项不得分。评委观看演示视频按采购文件评分项进行打分。</w:t>
      </w:r>
    </w:p>
    <w:p w14:paraId="21FBDC04">
      <w:pPr>
        <w:numPr>
          <w:ilvl w:val="0"/>
          <w:numId w:val="0"/>
        </w:numPr>
        <w:spacing w:line="360" w:lineRule="auto"/>
        <w:jc w:val="both"/>
        <w:outlineLvl w:val="0"/>
        <w:rPr>
          <w:rFonts w:hint="eastAsia" w:ascii="宋体" w:hAnsi="宋体" w:cs="宋体"/>
          <w:b/>
          <w:bCs/>
          <w:color w:val="auto"/>
          <w:szCs w:val="28"/>
          <w:highlight w:val="none"/>
          <w:lang w:val="en-US" w:eastAsia="zh-CN"/>
        </w:rPr>
      </w:pPr>
      <w:r>
        <w:rPr>
          <w:rFonts w:hint="eastAsia" w:ascii="宋体" w:hAnsi="宋体" w:cs="宋体"/>
          <w:b/>
          <w:bCs/>
          <w:color w:val="auto"/>
          <w:kern w:val="2"/>
          <w:sz w:val="21"/>
          <w:szCs w:val="28"/>
          <w:highlight w:val="none"/>
          <w:lang w:val="en-US" w:eastAsia="zh-CN" w:bidi="ar-SA"/>
        </w:rPr>
        <w:t>六、</w:t>
      </w:r>
      <w:r>
        <w:rPr>
          <w:rFonts w:hint="eastAsia" w:ascii="宋体" w:hAnsi="宋体" w:cs="宋体"/>
          <w:b/>
          <w:bCs/>
          <w:color w:val="auto"/>
          <w:szCs w:val="28"/>
          <w:highlight w:val="none"/>
          <w:lang w:val="en-US" w:eastAsia="zh-CN"/>
        </w:rPr>
        <w:t>商务要求</w:t>
      </w:r>
    </w:p>
    <w:p w14:paraId="08B1D745">
      <w:pPr>
        <w:pStyle w:val="9"/>
        <w:pageBreakBefore w:val="0"/>
        <w:widowControl w:val="0"/>
        <w:kinsoku/>
        <w:wordWrap/>
        <w:overflowPunct/>
        <w:topLinePunct w:val="0"/>
        <w:autoSpaceDE/>
        <w:bidi w:val="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val="en-US" w:eastAsia="zh-CN"/>
        </w:rPr>
        <w:t>工期：</w:t>
      </w:r>
      <w:r>
        <w:rPr>
          <w:rFonts w:hint="eastAsia" w:ascii="宋体" w:hAnsi="宋体" w:cs="宋体"/>
          <w:color w:val="auto"/>
          <w:szCs w:val="21"/>
          <w:highlight w:val="none"/>
          <w:u w:val="none"/>
          <w:lang w:val="en-US" w:eastAsia="zh-CN"/>
        </w:rPr>
        <w:t>自合同签订之日起3个月内</w:t>
      </w:r>
      <w:r>
        <w:rPr>
          <w:rFonts w:hint="eastAsia" w:ascii="宋体" w:hAnsi="宋体" w:eastAsia="宋体" w:cs="宋体"/>
          <w:color w:val="auto"/>
          <w:szCs w:val="21"/>
          <w:highlight w:val="none"/>
          <w:u w:val="none"/>
        </w:rPr>
        <w:t>完成设备安装调试。</w:t>
      </w:r>
    </w:p>
    <w:p w14:paraId="4413E7E8">
      <w:pPr>
        <w:pageBreakBefore w:val="0"/>
        <w:widowControl w:val="0"/>
        <w:kinsoku/>
        <w:wordWrap/>
        <w:overflowPunct/>
        <w:topLinePunct w:val="0"/>
        <w:autoSpaceDE/>
        <w:bidi w:val="0"/>
        <w:spacing w:line="360" w:lineRule="auto"/>
        <w:textAlignment w:val="auto"/>
        <w:outlineLvl w:val="9"/>
        <w:rPr>
          <w:rFonts w:hint="default" w:ascii="宋体" w:hAnsi="宋体" w:cs="宋体"/>
          <w:color w:val="auto"/>
          <w:szCs w:val="28"/>
          <w:highlight w:val="none"/>
          <w:lang w:val="en-US" w:eastAsia="zh-CN"/>
        </w:rPr>
      </w:pPr>
      <w:r>
        <w:rPr>
          <w:rFonts w:hint="eastAsia" w:ascii="宋体" w:hAnsi="宋体" w:cs="宋体"/>
          <w:color w:val="auto"/>
          <w:szCs w:val="28"/>
          <w:highlight w:val="none"/>
          <w:lang w:val="en-US" w:eastAsia="zh-CN"/>
        </w:rPr>
        <w:t>2、质保期：</w:t>
      </w:r>
      <w:r>
        <w:rPr>
          <w:rFonts w:hint="eastAsia" w:ascii="宋体" w:hAnsi="宋体" w:cs="宋体"/>
          <w:color w:val="auto"/>
          <w:szCs w:val="28"/>
          <w:highlight w:val="none"/>
          <w:lang w:val="en-US" w:eastAsia="zh-CN"/>
        </w:rPr>
        <w:t>3年（自设备验收合格之日起计算）</w:t>
      </w:r>
    </w:p>
    <w:p w14:paraId="664E7F6F">
      <w:pPr>
        <w:pageBreakBefore w:val="0"/>
        <w:widowControl w:val="0"/>
        <w:kinsoku/>
        <w:wordWrap/>
        <w:overflowPunct/>
        <w:topLinePunct w:val="0"/>
        <w:autoSpaceDE/>
        <w:bidi w:val="0"/>
        <w:spacing w:line="360" w:lineRule="auto"/>
        <w:textAlignment w:val="auto"/>
        <w:outlineLvl w:val="9"/>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lang w:val="en-US" w:eastAsia="zh-CN"/>
        </w:rPr>
        <w:t>3</w:t>
      </w:r>
      <w:r>
        <w:rPr>
          <w:rFonts w:hint="eastAsia" w:ascii="宋体" w:hAnsi="宋体" w:eastAsia="宋体" w:cs="宋体"/>
          <w:color w:val="auto"/>
          <w:szCs w:val="28"/>
          <w:highlight w:val="none"/>
        </w:rPr>
        <w:t>、付款方式：</w:t>
      </w:r>
      <w:r>
        <w:rPr>
          <w:rFonts w:hint="eastAsia" w:ascii="宋体" w:hAnsi="宋体" w:eastAsia="宋体" w:cs="宋体"/>
          <w:color w:val="auto"/>
          <w:szCs w:val="28"/>
          <w:highlight w:val="none"/>
        </w:rPr>
        <w:t>合同签订后采购人支付合同价款的</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0%</w:t>
      </w:r>
      <w:r>
        <w:rPr>
          <w:rFonts w:hint="eastAsia" w:ascii="宋体" w:hAnsi="宋体" w:cs="宋体"/>
          <w:color w:val="auto"/>
          <w:szCs w:val="28"/>
          <w:highlight w:val="none"/>
          <w:lang w:val="en-US" w:eastAsia="zh-CN"/>
        </w:rPr>
        <w:t>作为预付款</w:t>
      </w:r>
      <w:r>
        <w:rPr>
          <w:rFonts w:hint="eastAsia" w:ascii="宋体" w:hAnsi="宋体" w:cs="宋体"/>
          <w:color w:val="auto"/>
          <w:szCs w:val="28"/>
          <w:highlight w:val="none"/>
          <w:lang w:eastAsia="zh-CN"/>
        </w:rPr>
        <w:t>，</w:t>
      </w:r>
      <w:r>
        <w:rPr>
          <w:rFonts w:hint="eastAsia" w:ascii="宋体" w:hAnsi="宋体" w:eastAsia="宋体" w:cs="宋体"/>
          <w:color w:val="auto"/>
          <w:szCs w:val="21"/>
          <w:highlight w:val="none"/>
          <w:u w:val="none"/>
        </w:rPr>
        <w:t>设备安装调试</w:t>
      </w:r>
      <w:r>
        <w:rPr>
          <w:rFonts w:hint="eastAsia" w:ascii="宋体" w:hAnsi="宋体" w:cs="宋体"/>
          <w:color w:val="auto"/>
          <w:szCs w:val="21"/>
          <w:highlight w:val="none"/>
          <w:u w:val="none"/>
          <w:lang w:val="en-US" w:eastAsia="zh-CN"/>
        </w:rPr>
        <w:t>完成后支付合同金额的40%，省文物局</w:t>
      </w:r>
      <w:r>
        <w:rPr>
          <w:rFonts w:hint="eastAsia" w:ascii="宋体" w:hAnsi="宋体" w:eastAsia="宋体" w:cs="宋体"/>
          <w:color w:val="auto"/>
          <w:szCs w:val="28"/>
          <w:highlight w:val="none"/>
        </w:rPr>
        <w:t>验收合格后再支付合同</w:t>
      </w:r>
      <w:r>
        <w:rPr>
          <w:rFonts w:hint="eastAsia" w:ascii="宋体" w:hAnsi="宋体" w:cs="宋体"/>
          <w:color w:val="auto"/>
          <w:szCs w:val="28"/>
          <w:highlight w:val="none"/>
          <w:lang w:val="en-US" w:eastAsia="zh-CN"/>
        </w:rPr>
        <w:t>剩余金额</w:t>
      </w:r>
      <w:r>
        <w:rPr>
          <w:rFonts w:hint="eastAsia" w:ascii="宋体" w:hAnsi="宋体" w:eastAsia="宋体" w:cs="宋体"/>
          <w:color w:val="auto"/>
          <w:szCs w:val="28"/>
          <w:highlight w:val="none"/>
          <w:lang w:eastAsia="zh-CN"/>
        </w:rPr>
        <w:t>。</w:t>
      </w:r>
    </w:p>
    <w:p w14:paraId="368E4180">
      <w:pPr>
        <w:pageBreakBefore w:val="0"/>
        <w:widowControl w:val="0"/>
        <w:kinsoku/>
        <w:wordWrap/>
        <w:overflowPunct/>
        <w:topLinePunct w:val="0"/>
        <w:autoSpaceDE/>
        <w:autoSpaceDN w:val="0"/>
        <w:bidi w:val="0"/>
        <w:spacing w:line="360" w:lineRule="auto"/>
        <w:textAlignment w:val="auto"/>
        <w:outlineLvl w:val="9"/>
        <w:rPr>
          <w:rFonts w:hint="eastAsia" w:ascii="宋体" w:hAnsi="宋体" w:eastAsia="宋体" w:cs="宋体"/>
          <w:b/>
          <w:color w:val="auto"/>
          <w:szCs w:val="21"/>
          <w:highlight w:val="none"/>
        </w:rPr>
      </w:pPr>
      <w:r>
        <w:rPr>
          <w:rFonts w:hint="eastAsia" w:ascii="宋体" w:hAnsi="宋体" w:cs="宋体"/>
          <w:b/>
          <w:color w:val="auto"/>
          <w:szCs w:val="21"/>
          <w:highlight w:val="none"/>
          <w:lang w:val="en-US" w:eastAsia="zh-CN"/>
        </w:rPr>
        <w:t>七</w:t>
      </w:r>
      <w:r>
        <w:rPr>
          <w:rFonts w:hint="eastAsia" w:ascii="宋体" w:hAnsi="宋体" w:eastAsia="宋体" w:cs="宋体"/>
          <w:b/>
          <w:color w:val="auto"/>
          <w:szCs w:val="21"/>
          <w:highlight w:val="none"/>
        </w:rPr>
        <w:t>、本项目中标（成交）供应商应在浙江政府采购网（http://zfcg.czt.zj.gov.cn/）上注册成为“政府采购供应商”，如不按要求注册的，采购方有权延期发布中标（成交）通知书和中标（成交）公告，后果由供应商自行承担。</w:t>
      </w:r>
    </w:p>
    <w:p w14:paraId="707AC638">
      <w:pPr>
        <w:autoSpaceDN w:val="0"/>
        <w:spacing w:line="360" w:lineRule="auto"/>
        <w:rPr>
          <w:rFonts w:hint="eastAsia" w:ascii="宋体" w:hAnsi="宋体" w:eastAsia="宋体" w:cs="宋体"/>
          <w:b/>
          <w:color w:val="auto"/>
          <w:szCs w:val="21"/>
          <w:highlight w:val="none"/>
        </w:rPr>
        <w:sectPr>
          <w:headerReference r:id="rId5" w:type="default"/>
          <w:footerReference r:id="rId6" w:type="default"/>
          <w:pgSz w:w="11906" w:h="16838"/>
          <w:pgMar w:top="1440" w:right="1800" w:bottom="1440" w:left="1800" w:header="851" w:footer="992" w:gutter="0"/>
          <w:pgNumType w:fmt="decimal"/>
          <w:cols w:space="425" w:num="1"/>
          <w:docGrid w:type="lines" w:linePitch="312" w:charSpace="0"/>
        </w:sectPr>
      </w:pPr>
    </w:p>
    <w:p w14:paraId="21825D1F">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第五章 合同主要条款</w:t>
      </w:r>
    </w:p>
    <w:p w14:paraId="6324B286">
      <w:pPr>
        <w:pStyle w:val="53"/>
        <w:keepNext w:val="0"/>
        <w:keepLines w:val="0"/>
        <w:pageBreakBefore w:val="0"/>
        <w:kinsoku/>
        <w:wordWrap/>
        <w:overflowPunct/>
        <w:topLinePunct w:val="0"/>
        <w:bidi w:val="0"/>
        <w:jc w:val="center"/>
        <w:outlineLvl w:val="9"/>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（此稿为合同样本，最终定稿待双方协商后定，但不得背离实质性内容）</w:t>
      </w:r>
    </w:p>
    <w:p w14:paraId="0EE6ED4C">
      <w:pPr>
        <w:adjustRightInd w:val="0"/>
        <w:snapToGrid w:val="0"/>
        <w:spacing w:line="360" w:lineRule="auto"/>
        <w:ind w:firstLine="420" w:firstLineChars="200"/>
        <w:rPr>
          <w:rFonts w:hint="eastAsia" w:ascii="宋体" w:hAnsi="宋体" w:eastAsia="宋体" w:cs="宋体"/>
          <w:color w:val="auto"/>
          <w:sz w:val="21"/>
          <w:szCs w:val="21"/>
          <w:highlight w:val="none"/>
        </w:rPr>
      </w:pPr>
    </w:p>
    <w:p w14:paraId="7A9EE567">
      <w:pPr>
        <w:adjustRightInd w:val="0"/>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合同将由</w:t>
      </w:r>
      <w:r>
        <w:rPr>
          <w:rFonts w:hint="eastAsia" w:ascii="宋体" w:hAnsi="宋体" w:cs="宋体"/>
          <w:color w:val="auto"/>
          <w:sz w:val="21"/>
          <w:szCs w:val="21"/>
          <w:highlight w:val="none"/>
          <w:lang w:eastAsia="zh-CN"/>
        </w:rPr>
        <w:t>台州市黄岩区博物馆</w:t>
      </w:r>
      <w:r>
        <w:rPr>
          <w:rFonts w:hint="eastAsia" w:ascii="宋体" w:hAnsi="宋体" w:eastAsia="宋体" w:cs="宋体"/>
          <w:color w:val="auto"/>
          <w:sz w:val="21"/>
          <w:szCs w:val="21"/>
          <w:highlight w:val="none"/>
        </w:rPr>
        <w:t>（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215BABAF">
      <w:pPr>
        <w:pStyle w:val="11"/>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项目编号</w:t>
      </w:r>
      <w:r>
        <w:rPr>
          <w:rFonts w:hint="eastAsia" w:ascii="宋体" w:hAnsi="宋体" w:eastAsia="宋体" w:cs="宋体"/>
          <w:color w:val="auto"/>
          <w:sz w:val="21"/>
          <w:szCs w:val="21"/>
          <w:highlight w:val="none"/>
        </w:rPr>
        <w:t>：</w:t>
      </w:r>
    </w:p>
    <w:p w14:paraId="56E231B3">
      <w:pPr>
        <w:pStyle w:val="11"/>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甲方：</w:t>
      </w:r>
      <w:r>
        <w:rPr>
          <w:rFonts w:hint="eastAsia" w:ascii="宋体" w:hAnsi="宋体" w:eastAsia="宋体" w:cs="宋体"/>
          <w:color w:val="auto"/>
          <w:sz w:val="21"/>
          <w:szCs w:val="21"/>
          <w:highlight w:val="none"/>
        </w:rPr>
        <w:t>（采购方）</w:t>
      </w:r>
    </w:p>
    <w:p w14:paraId="1CC5525B">
      <w:pPr>
        <w:pStyle w:val="11"/>
        <w:adjustRightInd w:val="0"/>
        <w:snapToGrid w:val="0"/>
        <w:spacing w:line="360" w:lineRule="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乙方：</w:t>
      </w:r>
      <w:r>
        <w:rPr>
          <w:rFonts w:hint="eastAsia" w:ascii="宋体" w:hAnsi="宋体" w:eastAsia="宋体" w:cs="宋体"/>
          <w:color w:val="auto"/>
          <w:sz w:val="21"/>
          <w:szCs w:val="21"/>
          <w:highlight w:val="none"/>
        </w:rPr>
        <w:t>（供应商）</w:t>
      </w:r>
      <w:r>
        <w:rPr>
          <w:rFonts w:hint="eastAsia" w:ascii="宋体" w:hAnsi="宋体" w:eastAsia="宋体" w:cs="宋体"/>
          <w:b/>
          <w:color w:val="auto"/>
          <w:sz w:val="21"/>
          <w:szCs w:val="21"/>
          <w:highlight w:val="none"/>
        </w:rPr>
        <w:t xml:space="preserve"> </w:t>
      </w:r>
    </w:p>
    <w:p w14:paraId="29AABE7F">
      <w:pPr>
        <w:pStyle w:val="11"/>
        <w:adjustRightInd w:val="0"/>
        <w:snapToGrid w:val="0"/>
        <w:spacing w:line="360" w:lineRule="auto"/>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甲、乙双方根据</w:t>
      </w:r>
      <w:r>
        <w:rPr>
          <w:rFonts w:hint="eastAsia" w:hAnsi="宋体" w:cs="宋体"/>
          <w:color w:val="auto"/>
          <w:sz w:val="21"/>
          <w:szCs w:val="21"/>
          <w:highlight w:val="none"/>
          <w:u w:val="single"/>
          <w:lang w:eastAsia="zh-CN"/>
        </w:rPr>
        <w:t>黄岩区抗战时期中共黄岩县委机关旧址、岱石庙、铁米筛井省级文保单位消防项目</w:t>
      </w:r>
      <w:r>
        <w:rPr>
          <w:rFonts w:hint="eastAsia" w:ascii="宋体" w:hAnsi="宋体" w:eastAsia="宋体" w:cs="宋体"/>
          <w:color w:val="auto"/>
          <w:sz w:val="21"/>
          <w:szCs w:val="21"/>
          <w:highlight w:val="none"/>
          <w:u w:val="single"/>
        </w:rPr>
        <w:t>公开招标</w:t>
      </w:r>
      <w:r>
        <w:rPr>
          <w:rFonts w:hint="eastAsia" w:ascii="宋体" w:hAnsi="宋体" w:eastAsia="宋体" w:cs="宋体"/>
          <w:color w:val="auto"/>
          <w:sz w:val="21"/>
          <w:szCs w:val="21"/>
          <w:highlight w:val="none"/>
        </w:rPr>
        <w:t>的结果，签署本合同。</w:t>
      </w:r>
    </w:p>
    <w:p w14:paraId="5025CDEF">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第一条：承包内容</w:t>
      </w:r>
    </w:p>
    <w:p w14:paraId="075C9DD1">
      <w:pPr>
        <w:snapToGrid w:val="0"/>
        <w:spacing w:line="360" w:lineRule="auto"/>
        <w:ind w:firstLine="422" w:firstLineChars="200"/>
        <w:rPr>
          <w:rFonts w:hint="eastAsia" w:ascii="宋体" w:hAnsi="宋体" w:eastAsia="宋体" w:cs="宋体"/>
          <w:color w:val="auto"/>
          <w:szCs w:val="21"/>
          <w:highlight w:val="none"/>
        </w:rPr>
      </w:pPr>
      <w:r>
        <w:rPr>
          <w:rFonts w:hint="eastAsia" w:ascii="宋体" w:hAnsi="宋体" w:cs="宋体"/>
          <w:b/>
          <w:color w:val="auto"/>
          <w:szCs w:val="21"/>
          <w:highlight w:val="none"/>
          <w:lang w:eastAsia="zh-CN"/>
        </w:rPr>
        <w:t>黄岩区抗战时期中共黄岩县委机关旧址、岱石庙、铁米筛井省级文保单位消防项目</w:t>
      </w:r>
      <w:r>
        <w:rPr>
          <w:rFonts w:hint="eastAsia" w:ascii="宋体" w:hAnsi="宋体" w:eastAsia="宋体" w:cs="宋体"/>
          <w:color w:val="auto"/>
          <w:szCs w:val="21"/>
          <w:highlight w:val="none"/>
        </w:rPr>
        <w:t>，包括上述项目的供货、运输、安装、总体调试、技术培训、直至验收合格及售后服务等。</w:t>
      </w:r>
    </w:p>
    <w:p w14:paraId="16E3F52A">
      <w:pPr>
        <w:snapToGrid w:val="0"/>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第二条：合同金额</w:t>
      </w:r>
    </w:p>
    <w:p w14:paraId="01CBFB3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本合同金额为(大写):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 人民币。</w:t>
      </w:r>
    </w:p>
    <w:p w14:paraId="001628A3">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第三条：交货期、验收方式及地点</w:t>
      </w:r>
    </w:p>
    <w:p w14:paraId="2892B2D9">
      <w:pPr>
        <w:keepNext w:val="0"/>
        <w:keepLines w:val="0"/>
        <w:pageBreakBefore w:val="0"/>
        <w:kinsoku/>
        <w:wordWrap/>
        <w:overflowPunct/>
        <w:topLinePunct w:val="0"/>
        <w:autoSpaceDE/>
        <w:autoSpaceDN/>
        <w:bidi w:val="0"/>
        <w:adjustRightInd w:val="0"/>
        <w:snapToGrid/>
        <w:spacing w:beforeAutospacing="0" w:afterAutospacing="0" w:line="360" w:lineRule="auto"/>
        <w:ind w:left="0" w:firstLine="420" w:firstLineChars="200"/>
        <w:textAlignment w:val="auto"/>
        <w:rPr>
          <w:rFonts w:hint="eastAsia" w:ascii="宋体" w:hAnsi="宋体" w:eastAsia="宋体" w:cs="宋体"/>
          <w:bCs/>
          <w:color w:val="auto"/>
          <w:sz w:val="21"/>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工期：</w:t>
      </w:r>
      <w:r>
        <w:rPr>
          <w:rFonts w:hint="eastAsia" w:ascii="宋体" w:hAnsi="宋体" w:eastAsia="宋体" w:cs="宋体"/>
          <w:color w:val="auto"/>
          <w:szCs w:val="21"/>
          <w:highlight w:val="none"/>
          <w:u w:val="single"/>
          <w:lang w:val="en-US" w:eastAsia="zh-CN"/>
        </w:rPr>
        <w:t>自合同签订之日起3个月内完成设备安装调试</w:t>
      </w:r>
      <w:r>
        <w:rPr>
          <w:rFonts w:hint="eastAsia" w:ascii="宋体" w:hAnsi="宋体" w:eastAsia="宋体" w:cs="宋体"/>
          <w:color w:val="auto"/>
          <w:sz w:val="21"/>
          <w:szCs w:val="21"/>
          <w:highlight w:val="none"/>
          <w:u w:val="single"/>
        </w:rPr>
        <w:t>。</w:t>
      </w:r>
    </w:p>
    <w:p w14:paraId="467D8BA9">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2、验收方式及地点：</w:t>
      </w:r>
      <w:r>
        <w:rPr>
          <w:rFonts w:hint="eastAsia" w:ascii="宋体" w:hAnsi="宋体" w:eastAsia="宋体" w:cs="宋体"/>
          <w:color w:val="auto"/>
          <w:szCs w:val="21"/>
          <w:highlight w:val="none"/>
          <w:u w:val="single"/>
        </w:rPr>
        <w:t>按采购方的方式、地点验收。</w:t>
      </w:r>
    </w:p>
    <w:p w14:paraId="5818E809">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3、供货要求：</w:t>
      </w:r>
      <w:r>
        <w:rPr>
          <w:rFonts w:hint="eastAsia" w:ascii="宋体" w:hAnsi="宋体" w:eastAsia="宋体" w:cs="宋体"/>
          <w:color w:val="auto"/>
          <w:szCs w:val="21"/>
          <w:highlight w:val="none"/>
          <w:u w:val="single"/>
        </w:rPr>
        <w:t>货物应由乙方直供，不得转包或分包</w:t>
      </w:r>
      <w:r>
        <w:rPr>
          <w:rFonts w:hint="eastAsia" w:ascii="宋体" w:hAnsi="宋体" w:eastAsia="宋体" w:cs="宋体"/>
          <w:color w:val="auto"/>
          <w:szCs w:val="21"/>
          <w:highlight w:val="none"/>
          <w:u w:val="single"/>
          <w:lang w:eastAsia="zh-CN"/>
        </w:rPr>
        <w:t>。</w:t>
      </w:r>
    </w:p>
    <w:p w14:paraId="126CBECC">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第四条：质保期</w:t>
      </w:r>
    </w:p>
    <w:p w14:paraId="4EC899C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质保期</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年。（自设备验收合格之日起计算）</w:t>
      </w:r>
    </w:p>
    <w:p w14:paraId="33644ACB">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第五条：货物包装、发运及运输</w:t>
      </w:r>
    </w:p>
    <w:p w14:paraId="31DC9C2C">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1、乙方在货物发运前对其进行满足运输距离、防潮、防震、防锈和防破损装卸等要求包装，以保证货物安全运达甲方指定地点。</w:t>
      </w:r>
      <w:r>
        <w:rPr>
          <w:rFonts w:hint="eastAsia" w:ascii="宋体" w:hAnsi="宋体" w:eastAsia="宋体" w:cs="宋体"/>
          <w:color w:val="auto"/>
          <w:szCs w:val="21"/>
          <w:highlight w:val="none"/>
          <w:lang w:val="en-US" w:eastAsia="zh-CN"/>
        </w:rPr>
        <w:t>包装费由乙方承担。</w:t>
      </w:r>
    </w:p>
    <w:p w14:paraId="044815C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2、使用说明书、质量检验证明书、随配附件和工具以及清单一并附于货物内。</w:t>
      </w:r>
    </w:p>
    <w:p w14:paraId="34AE582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3、货物在交付采购方前发生的风险由乙方承担，交付前的运输费用均由乙方</w:t>
      </w:r>
      <w:r>
        <w:rPr>
          <w:rFonts w:hint="eastAsia" w:ascii="宋体" w:hAnsi="宋体" w:eastAsia="宋体" w:cs="宋体"/>
          <w:color w:val="auto"/>
          <w:szCs w:val="21"/>
          <w:highlight w:val="none"/>
          <w:lang w:val="en-US" w:eastAsia="zh-CN"/>
        </w:rPr>
        <w:t>承担</w:t>
      </w:r>
      <w:r>
        <w:rPr>
          <w:rFonts w:hint="eastAsia" w:ascii="宋体" w:hAnsi="宋体" w:eastAsia="宋体" w:cs="宋体"/>
          <w:color w:val="auto"/>
          <w:szCs w:val="21"/>
          <w:highlight w:val="none"/>
        </w:rPr>
        <w:t>。</w:t>
      </w:r>
    </w:p>
    <w:p w14:paraId="4D0C027A">
      <w:pPr>
        <w:snapToGrid w:val="0"/>
        <w:spacing w:line="360" w:lineRule="auto"/>
        <w:ind w:firstLine="401" w:firstLineChars="191"/>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4、货物在规定的交付期限内由乙方送达甲方指定的地点且经开箱检验合格视为交付。</w:t>
      </w:r>
    </w:p>
    <w:p w14:paraId="3D53D2B1">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第六条：调试和验收</w:t>
      </w:r>
    </w:p>
    <w:p w14:paraId="4EBE9699">
      <w:pPr>
        <w:spacing w:line="360" w:lineRule="auto"/>
        <w:ind w:firstLine="411" w:firstLineChars="196"/>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1、甲方认为有必要在设备制造过程中派人到生产厂家进行监制，并在设备发货前赴生产厂进行预验收，乙方应予以积极配合并对监制或预验收工作提供方便。</w:t>
      </w:r>
    </w:p>
    <w:p w14:paraId="42FB68DF">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2、设备到达现场后，乙方应派人参与甲方组织的开箱检验工作。</w:t>
      </w:r>
    </w:p>
    <w:p w14:paraId="22B030DF">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交货前应按国家（行业）标准及合同规定的检验方法，做出全面检测。其记录附在质量证明书内。但有关质量、规格、性能、数量或重量的检验不应视为最终检验。乙方检验的结果和详细要求应在质量证明书中加以说明。进口元器件应提供报关及商检证明。</w:t>
      </w:r>
    </w:p>
    <w:p w14:paraId="51E8EC05">
      <w:pPr>
        <w:autoSpaceDE w:val="0"/>
        <w:autoSpaceDN w:val="0"/>
        <w:spacing w:line="360" w:lineRule="auto"/>
        <w:ind w:firstLine="420" w:firstLineChars="200"/>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4、设备安装、调试结束后，经过一个月的试运转考核无故障，并经有关部门的检验合格后，买卖双方共同签署验收合格证书。</w:t>
      </w:r>
    </w:p>
    <w:p w14:paraId="2F34A7B1">
      <w:pPr>
        <w:keepNext w:val="0"/>
        <w:keepLines w:val="0"/>
        <w:pageBreakBefore w:val="0"/>
        <w:kinsoku/>
        <w:wordWrap/>
        <w:overflowPunct/>
        <w:topLinePunct w:val="0"/>
        <w:autoSpaceDE/>
        <w:autoSpaceDN/>
        <w:bidi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第七条：</w:t>
      </w:r>
      <w:r>
        <w:rPr>
          <w:rFonts w:hint="eastAsia" w:ascii="宋体" w:hAnsi="宋体" w:eastAsia="宋体" w:cs="宋体"/>
          <w:b/>
          <w:color w:val="auto"/>
          <w:szCs w:val="21"/>
          <w:highlight w:val="none"/>
        </w:rPr>
        <w:t>付款方式</w:t>
      </w:r>
    </w:p>
    <w:p w14:paraId="67FBB2FE">
      <w:pPr>
        <w:pageBreakBefore w:val="0"/>
        <w:widowControl w:val="0"/>
        <w:kinsoku/>
        <w:wordWrap/>
        <w:overflowPunct/>
        <w:topLinePunct w:val="0"/>
        <w:autoSpaceDE/>
        <w:bidi w:val="0"/>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8"/>
          <w:highlight w:val="none"/>
        </w:rPr>
        <w:t>合同签订后</w:t>
      </w:r>
      <w:r>
        <w:rPr>
          <w:rFonts w:hint="eastAsia" w:ascii="宋体" w:hAnsi="宋体" w:cs="宋体"/>
          <w:color w:val="auto"/>
          <w:szCs w:val="28"/>
          <w:highlight w:val="none"/>
          <w:lang w:val="en-US" w:eastAsia="zh-CN"/>
        </w:rPr>
        <w:t>甲方</w:t>
      </w:r>
      <w:r>
        <w:rPr>
          <w:rFonts w:hint="eastAsia" w:ascii="宋体" w:hAnsi="宋体" w:eastAsia="宋体" w:cs="宋体"/>
          <w:color w:val="auto"/>
          <w:szCs w:val="28"/>
          <w:highlight w:val="none"/>
        </w:rPr>
        <w:t>支付合同价款的</w:t>
      </w:r>
      <w:r>
        <w:rPr>
          <w:rFonts w:hint="eastAsia" w:ascii="宋体" w:hAnsi="宋体" w:cs="宋体"/>
          <w:color w:val="auto"/>
          <w:szCs w:val="28"/>
          <w:highlight w:val="none"/>
          <w:lang w:val="en-US" w:eastAsia="zh-CN"/>
        </w:rPr>
        <w:t>4</w:t>
      </w:r>
      <w:r>
        <w:rPr>
          <w:rFonts w:hint="eastAsia" w:ascii="宋体" w:hAnsi="宋体" w:eastAsia="宋体" w:cs="宋体"/>
          <w:color w:val="auto"/>
          <w:szCs w:val="28"/>
          <w:highlight w:val="none"/>
        </w:rPr>
        <w:t>0%</w:t>
      </w:r>
      <w:r>
        <w:rPr>
          <w:rFonts w:hint="eastAsia" w:ascii="宋体" w:hAnsi="宋体" w:cs="宋体"/>
          <w:color w:val="auto"/>
          <w:szCs w:val="28"/>
          <w:highlight w:val="none"/>
          <w:lang w:val="en-US" w:eastAsia="zh-CN"/>
        </w:rPr>
        <w:t>作为预付款</w:t>
      </w:r>
      <w:r>
        <w:rPr>
          <w:rFonts w:hint="eastAsia" w:ascii="宋体" w:hAnsi="宋体" w:cs="宋体"/>
          <w:color w:val="auto"/>
          <w:szCs w:val="28"/>
          <w:highlight w:val="none"/>
          <w:lang w:eastAsia="zh-CN"/>
        </w:rPr>
        <w:t>，</w:t>
      </w:r>
      <w:r>
        <w:rPr>
          <w:rFonts w:hint="eastAsia" w:ascii="宋体" w:hAnsi="宋体" w:eastAsia="宋体" w:cs="宋体"/>
          <w:color w:val="auto"/>
          <w:szCs w:val="21"/>
          <w:highlight w:val="none"/>
          <w:u w:val="none"/>
        </w:rPr>
        <w:t>设备安装调试</w:t>
      </w:r>
      <w:r>
        <w:rPr>
          <w:rFonts w:hint="eastAsia" w:ascii="宋体" w:hAnsi="宋体" w:cs="宋体"/>
          <w:color w:val="auto"/>
          <w:szCs w:val="21"/>
          <w:highlight w:val="none"/>
          <w:u w:val="none"/>
          <w:lang w:val="en-US" w:eastAsia="zh-CN"/>
        </w:rPr>
        <w:t>完成后支付合同金额的40%，省文物局</w:t>
      </w:r>
      <w:r>
        <w:rPr>
          <w:rFonts w:hint="eastAsia" w:ascii="宋体" w:hAnsi="宋体" w:eastAsia="宋体" w:cs="宋体"/>
          <w:color w:val="auto"/>
          <w:szCs w:val="28"/>
          <w:highlight w:val="none"/>
        </w:rPr>
        <w:t>验收合格后再支付合同</w:t>
      </w:r>
      <w:r>
        <w:rPr>
          <w:rFonts w:hint="eastAsia" w:ascii="宋体" w:hAnsi="宋体" w:cs="宋体"/>
          <w:color w:val="auto"/>
          <w:szCs w:val="28"/>
          <w:highlight w:val="none"/>
          <w:lang w:val="en-US" w:eastAsia="zh-CN"/>
        </w:rPr>
        <w:t>剩余金额</w:t>
      </w:r>
      <w:r>
        <w:rPr>
          <w:rFonts w:hint="eastAsia" w:ascii="宋体" w:hAnsi="宋体" w:eastAsia="宋体" w:cs="宋体"/>
          <w:color w:val="auto"/>
          <w:szCs w:val="28"/>
          <w:highlight w:val="none"/>
          <w:lang w:eastAsia="zh-CN"/>
        </w:rPr>
        <w:t>。</w:t>
      </w:r>
    </w:p>
    <w:p w14:paraId="3573519A">
      <w:pPr>
        <w:keepNext w:val="0"/>
        <w:keepLines w:val="0"/>
        <w:pageBreakBefore w:val="0"/>
        <w:kinsoku/>
        <w:wordWrap/>
        <w:overflowPunct/>
        <w:topLinePunct w:val="0"/>
        <w:autoSpaceDE/>
        <w:autoSpaceDN/>
        <w:bidi w:val="0"/>
        <w:adjustRightInd w:val="0"/>
        <w:snapToGrid w:val="0"/>
        <w:spacing w:beforeAutospacing="0" w:afterAutospacing="0" w:line="360" w:lineRule="auto"/>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八</w:t>
      </w:r>
      <w:r>
        <w:rPr>
          <w:rFonts w:hint="eastAsia" w:ascii="宋体" w:hAnsi="宋体" w:eastAsia="宋体" w:cs="宋体"/>
          <w:b/>
          <w:color w:val="auto"/>
          <w:szCs w:val="21"/>
          <w:highlight w:val="none"/>
        </w:rPr>
        <w:t>条：违约责任</w:t>
      </w:r>
    </w:p>
    <w:p w14:paraId="7D268F77">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1、乙方应按合同约定时间和地点准时供货、完成安装等，逾期履约的，每迟延一日乙方应向甲方支付违约金 5000元。逾期超过30日的，甲方有权单方面解除合同并没收全额履约保证金作为赔偿，履约保证金金额不足以覆盖甲方损失的，乙方应赔偿损失至全额覆盖。</w:t>
      </w:r>
    </w:p>
    <w:p w14:paraId="78C03D00">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甲方有权从未付款或履约保证金中扣除违约金或要求乙方另行支付该违约金。</w:t>
      </w:r>
    </w:p>
    <w:p w14:paraId="799C1209">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因乙方提供的货物不符合检验要求而逾期供货的属于乙方责任，按上述约定支付违约金。</w:t>
      </w:r>
    </w:p>
    <w:p w14:paraId="0261252E">
      <w:pPr>
        <w:adjustRightInd w:val="0"/>
        <w:snapToGrid w:val="0"/>
        <w:spacing w:line="360" w:lineRule="auto"/>
        <w:ind w:firstLine="411" w:firstLineChars="196"/>
        <w:rPr>
          <w:rFonts w:hint="eastAsia" w:ascii="宋体" w:hAnsi="宋体" w:eastAsia="宋体" w:cs="宋体"/>
          <w:b/>
          <w:color w:val="auto"/>
          <w:szCs w:val="21"/>
          <w:highlight w:val="none"/>
          <w:lang w:eastAsia="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甲方有权根据甲方按检验标准自己检验的结果或当地质检部门出具的质检证书向乙方提出索赔。在根据合同中规定的检验期和质保期内，如果乙方对甲方提出的索赔和差异负有责任，乙方应按照甲方同意的下列一种或多种方式解决索赔事宜</w:t>
      </w:r>
      <w:r>
        <w:rPr>
          <w:rFonts w:hint="eastAsia" w:ascii="宋体" w:hAnsi="宋体" w:eastAsia="宋体" w:cs="宋体"/>
          <w:color w:val="auto"/>
          <w:szCs w:val="21"/>
          <w:highlight w:val="none"/>
          <w:lang w:eastAsia="zh-CN"/>
        </w:rPr>
        <w:t>，同时承担全额质检/检验费用：</w:t>
      </w:r>
    </w:p>
    <w:p w14:paraId="4A11D460">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1）退货：乙方按合同规定的同种货币将货款退还给甲方，并承担由此发生的一切损失和费用，包括利息、银行手续费、运费、保险费、检验费、仓储费、装卸费以及为保护退回货物所需的其它必要费用。</w:t>
      </w:r>
    </w:p>
    <w:p w14:paraId="7A156607">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2）根据货物低劣程度、损坏程度以及甲方所遭受损失的数额，经买卖双方商定降低货物的价格。</w:t>
      </w:r>
    </w:p>
    <w:p w14:paraId="1435BFB1">
      <w:pPr>
        <w:adjustRightInd w:val="0"/>
        <w:snapToGrid w:val="0"/>
        <w:spacing w:line="360" w:lineRule="auto"/>
        <w:ind w:firstLine="411" w:firstLineChars="196"/>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3）用符合规格、质量和性能要求的新零件、部件或货物来更换有缺陷的部分或修补缺陷部分，乙方应承担一切费用和风险，并负担甲方所发生的一切直接费用</w:t>
      </w:r>
    </w:p>
    <w:p w14:paraId="4ECA0E7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在甲方发出索赔通知后30天内，乙方未作答复，上述索赔应视已被乙方接受。乙方未能在甲方提出索赔通知后30天内或甲方同意的更长时间内，按照本合同第九条2规定的方法解决索赔事宜，甲方将从未付款或从乙方开具的履约保证金保函中扣回索赔金额。如果这些金额不足以补偿索赔金额，甲方有权向乙方提出不足部分的补偿。</w:t>
      </w:r>
    </w:p>
    <w:p w14:paraId="2737D9D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4、因乙方不履行约定导致甲方需通过诉讼方式追偿的，甲方因此发生的所有费用，包括但不限于诉讼费、律师费、保全费、公证费、鉴定费、执行费、相关人员差旅费等，均应由乙方承担。</w:t>
      </w:r>
    </w:p>
    <w:p w14:paraId="30D04FD8">
      <w:pPr>
        <w:spacing w:line="360" w:lineRule="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第</w:t>
      </w:r>
      <w:r>
        <w:rPr>
          <w:rFonts w:hint="eastAsia" w:ascii="宋体" w:hAnsi="宋体" w:cs="宋体"/>
          <w:b/>
          <w:color w:val="auto"/>
          <w:szCs w:val="21"/>
          <w:highlight w:val="none"/>
          <w:lang w:val="en-US" w:eastAsia="zh-CN"/>
        </w:rPr>
        <w:t>九</w:t>
      </w:r>
      <w:r>
        <w:rPr>
          <w:rFonts w:hint="eastAsia" w:ascii="宋体" w:hAnsi="宋体" w:eastAsia="宋体" w:cs="宋体"/>
          <w:b/>
          <w:color w:val="auto"/>
          <w:szCs w:val="21"/>
          <w:highlight w:val="none"/>
        </w:rPr>
        <w:t>条：质量保证及售后服务</w:t>
      </w:r>
    </w:p>
    <w:p w14:paraId="66D72EB5">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1、乙方应按招标文件规定的货物性能、技术要求、质量标准向甲方提供未经使用的全新产品。</w:t>
      </w:r>
    </w:p>
    <w:p w14:paraId="2DFA3602">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2、乙方应在甲方现场对采购方的操作人员和维修人员进行技术培训，使之能够独立操作。甲方有权要求更换乙方指派的不合格的技术人员，由此产生的费用由乙方承担。</w:t>
      </w:r>
    </w:p>
    <w:p w14:paraId="59EB698D">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3、在质量保证期内因货物本身的质量问题发生故障，乙方应负责免费更换。对达不到技术要求者，根据实际情况，经双方协商，可以按以下办法处理：</w:t>
      </w:r>
    </w:p>
    <w:p w14:paraId="1746D770">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1）更换：由乙方承担所发生的全部费用。</w:t>
      </w:r>
    </w:p>
    <w:p w14:paraId="281D3579">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2）贬值处理：由甲乙双方合议定价。</w:t>
      </w:r>
    </w:p>
    <w:p w14:paraId="7277B99F">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3）退货处理: 乙方应退还甲方支付的合同款，同时应承担该货物的直接费用（运输、保险、检验等）。</w:t>
      </w:r>
    </w:p>
    <w:p w14:paraId="5F9C7F68">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4、保质期内，乙方应定期派出专业人员对系统设备进行检查、调整。保证系统正常工作。在使用产品过程中遇到技术或故障问题，乙方响应时间为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小时，维修人员应在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小时内到达现场进行维修，并解决问题。</w:t>
      </w:r>
    </w:p>
    <w:p w14:paraId="7231B988">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5、在质保期内,乙方应对货物出现的质量及安全问题负责处理解决并承担一切费用。</w:t>
      </w:r>
    </w:p>
    <w:p w14:paraId="0DBEEF6E">
      <w:pPr>
        <w:keepNext w:val="0"/>
        <w:keepLines w:val="0"/>
        <w:pageBreakBefore w:val="0"/>
        <w:widowControl w:val="0"/>
        <w:kinsoku/>
        <w:wordWrap/>
        <w:overflowPunct/>
        <w:topLinePunct w:val="0"/>
        <w:autoSpaceDE/>
        <w:autoSpaceDN/>
        <w:bidi w:val="0"/>
        <w:adjustRightInd/>
        <w:snapToGrid w:val="0"/>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6、上述的货物免费保修期为设备验收合格之日起不少于</w:t>
      </w:r>
      <w:r>
        <w:rPr>
          <w:rFonts w:hint="eastAsia" w:ascii="宋体" w:hAnsi="宋体" w:eastAsia="宋体" w:cs="宋体"/>
          <w:color w:val="auto"/>
          <w:szCs w:val="21"/>
          <w:highlight w:val="none"/>
          <w:u w:val="single"/>
        </w:rPr>
        <w:t xml:space="preserve"> </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年，因人为因素出现的故障不在免费保修范围内。超过保修期的维修,维修时只收部件成本费。</w:t>
      </w:r>
    </w:p>
    <w:p w14:paraId="41802A04">
      <w:pPr>
        <w:snapToGrid w:val="0"/>
        <w:spacing w:line="360" w:lineRule="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第十条：</w:t>
      </w:r>
      <w:r>
        <w:rPr>
          <w:rFonts w:hint="eastAsia" w:ascii="宋体" w:hAnsi="宋体" w:eastAsia="宋体" w:cs="宋体"/>
          <w:b/>
          <w:color w:val="auto"/>
          <w:szCs w:val="21"/>
          <w:highlight w:val="none"/>
          <w:lang w:val="en-US" w:eastAsia="zh-CN"/>
        </w:rPr>
        <w:t>其他</w:t>
      </w:r>
    </w:p>
    <w:p w14:paraId="434F41E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诉讼管辖及诉讼费用承担</w:t>
      </w:r>
    </w:p>
    <w:p w14:paraId="678AFB9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1）凡有关本合同或执行本合同中发生的争端，应通过友好协商，妥善解决。如通过协商仍不能解决时，应向甲方所在地有权管辖的人民法院提起诉讼；</w:t>
      </w:r>
    </w:p>
    <w:p w14:paraId="2ABE0B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2）诉讼期间，除正在进行诉讼的部分外，本合同其它部分应继续执行。</w:t>
      </w:r>
    </w:p>
    <w:p w14:paraId="3ADA8A5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2、适用法律</w:t>
      </w:r>
    </w:p>
    <w:p w14:paraId="1FD3B583">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本合同按照中华人民共和国的法律进行解释。</w:t>
      </w:r>
    </w:p>
    <w:p w14:paraId="0DC2C5D2">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、组成本合同文件及优先解释顺序如下：</w:t>
      </w:r>
    </w:p>
    <w:p w14:paraId="10459512">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1）本合同协议书；</w:t>
      </w:r>
    </w:p>
    <w:p w14:paraId="516BB2B5">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2）中标通知书；</w:t>
      </w:r>
    </w:p>
    <w:p w14:paraId="46AD1825">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3）招标文件以及更正通知；</w:t>
      </w:r>
    </w:p>
    <w:p w14:paraId="029A05FA">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4）投标文件及评标过程中有关澄清文件；</w:t>
      </w:r>
    </w:p>
    <w:p w14:paraId="648A8911">
      <w:pPr>
        <w:spacing w:line="360" w:lineRule="auto"/>
        <w:ind w:left="-357"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5）国家有关标准、规范及有关技术文件；</w:t>
      </w:r>
    </w:p>
    <w:p w14:paraId="62DC5A1E">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4、本合同生效及其他</w:t>
      </w:r>
    </w:p>
    <w:p w14:paraId="486B144D">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1）合同在双方签字盖章后生效；</w:t>
      </w:r>
    </w:p>
    <w:p w14:paraId="268CDDB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2）本合同正本一式陆份（</w:t>
      </w:r>
      <w:r>
        <w:rPr>
          <w:rFonts w:hint="eastAsia" w:ascii="宋体" w:hAnsi="宋体" w:eastAsia="宋体" w:cs="宋体"/>
          <w:color w:val="auto"/>
          <w:highlight w:val="none"/>
        </w:rPr>
        <w:t>采购人执贰份、供应商执贰份、采购代理机构及备案机构各执一份</w:t>
      </w:r>
      <w:r>
        <w:rPr>
          <w:rFonts w:hint="eastAsia" w:ascii="宋体" w:hAnsi="宋体" w:eastAsia="宋体" w:cs="宋体"/>
          <w:color w:val="auto"/>
          <w:szCs w:val="21"/>
          <w:highlight w:val="none"/>
        </w:rPr>
        <w:t>），具有同等法律效力；</w:t>
      </w:r>
    </w:p>
    <w:p w14:paraId="06FC3321">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3）如需修改或补充合同内容，经协商，双方应签署书面修改或补充协议，作为本合同的一个组成部分；</w:t>
      </w:r>
    </w:p>
    <w:p w14:paraId="69061254">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4）本合同中如有未尽事宜，由双方协商另行解决;</w:t>
      </w:r>
    </w:p>
    <w:p w14:paraId="017D253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5）合同附件.</w:t>
      </w:r>
    </w:p>
    <w:p w14:paraId="0734B049">
      <w:pPr>
        <w:tabs>
          <w:tab w:val="left" w:pos="414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方（公章）：　　               乙     方（公章）：</w:t>
      </w:r>
    </w:p>
    <w:p w14:paraId="1EA740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法定代表人（签章）：　                法定代表人（签章）：</w:t>
      </w:r>
    </w:p>
    <w:p w14:paraId="3A853F0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委托代理人（签章）：　　              委托代理人（签章）：</w:t>
      </w:r>
    </w:p>
    <w:p w14:paraId="52FF302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经办人（签章）：                      经办人（签章）：</w:t>
      </w:r>
    </w:p>
    <w:p w14:paraId="217D770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　  　话：                          电　  　话：</w:t>
      </w:r>
    </w:p>
    <w:p w14:paraId="23E82575">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　  　真：                          传　  　真：</w:t>
      </w:r>
    </w:p>
    <w:p w14:paraId="76F53AD4">
      <w:pPr>
        <w:spacing w:line="360" w:lineRule="auto"/>
        <w:rPr>
          <w:rFonts w:hint="eastAsia" w:ascii="宋体" w:hAnsi="宋体" w:eastAsia="宋体" w:cs="宋体"/>
          <w:color w:val="auto"/>
          <w:szCs w:val="21"/>
          <w:highlight w:val="none"/>
        </w:rPr>
      </w:pP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r>
        <w:rPr>
          <w:rFonts w:hint="eastAsia" w:ascii="宋体" w:hAnsi="宋体" w:eastAsia="宋体" w:cs="宋体"/>
          <w:color w:val="auto"/>
          <w:spacing w:val="-8"/>
          <w:szCs w:val="21"/>
          <w:highlight w:val="none"/>
        </w:rPr>
        <w:t>开 户 银 行</w:t>
      </w:r>
      <w:r>
        <w:rPr>
          <w:rFonts w:hint="eastAsia" w:ascii="宋体" w:hAnsi="宋体" w:eastAsia="宋体" w:cs="宋体"/>
          <w:color w:val="auto"/>
          <w:szCs w:val="21"/>
          <w:highlight w:val="none"/>
        </w:rPr>
        <w:t xml:space="preserve">： </w:t>
      </w:r>
    </w:p>
    <w:p w14:paraId="2206D2A0">
      <w:pPr>
        <w:tabs>
          <w:tab w:val="left" w:pos="4140"/>
          <w:tab w:val="left" w:pos="4320"/>
        </w:tabs>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　  　号：                          账　  　号：</w:t>
      </w:r>
    </w:p>
    <w:p w14:paraId="12A10077">
      <w:pPr>
        <w:tabs>
          <w:tab w:val="left" w:pos="4140"/>
          <w:tab w:val="left" w:pos="4320"/>
        </w:tabs>
        <w:spacing w:line="360" w:lineRule="auto"/>
        <w:rPr>
          <w:rFonts w:hint="eastAsia" w:ascii="宋体" w:hAnsi="宋体" w:eastAsia="宋体" w:cs="宋体"/>
          <w:b/>
          <w:color w:val="auto"/>
          <w:sz w:val="36"/>
          <w:szCs w:val="36"/>
          <w:highlight w:val="none"/>
        </w:rPr>
      </w:pPr>
      <w:r>
        <w:rPr>
          <w:rFonts w:hint="eastAsia" w:ascii="宋体" w:hAnsi="宋体" w:eastAsia="宋体" w:cs="宋体"/>
          <w:color w:val="auto"/>
          <w:szCs w:val="21"/>
          <w:highlight w:val="none"/>
        </w:rPr>
        <w:t>日      期：                          日      期：</w:t>
      </w:r>
    </w:p>
    <w:p w14:paraId="18FFB4FC">
      <w:pPr>
        <w:keepNext w:val="0"/>
        <w:keepLines w:val="0"/>
        <w:pageBreakBefore w:val="0"/>
        <w:kinsoku/>
        <w:wordWrap/>
        <w:overflowPunct/>
        <w:topLinePunct w:val="0"/>
        <w:bidi w:val="0"/>
        <w:spacing w:line="500" w:lineRule="exact"/>
        <w:ind w:firstLine="420" w:firstLineChars="200"/>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 xml:space="preserve"> </w:t>
      </w:r>
    </w:p>
    <w:p w14:paraId="751EA823">
      <w:pPr>
        <w:keepNext w:val="0"/>
        <w:keepLines w:val="0"/>
        <w:pageBreakBefore w:val="0"/>
        <w:kinsoku/>
        <w:wordWrap/>
        <w:overflowPunct/>
        <w:topLinePunct w:val="0"/>
        <w:bidi w:val="0"/>
        <w:spacing w:line="500" w:lineRule="exact"/>
        <w:textAlignment w:val="baseline"/>
        <w:outlineLvl w:val="9"/>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合同</w:t>
      </w:r>
      <w:r>
        <w:rPr>
          <w:rFonts w:hint="eastAsia" w:ascii="宋体" w:hAnsi="宋体" w:cs="宋体"/>
          <w:snapToGrid w:val="0"/>
          <w:color w:val="auto"/>
          <w:szCs w:val="21"/>
          <w:highlight w:val="none"/>
          <w:lang w:val="en-US" w:eastAsia="zh-CN"/>
        </w:rPr>
        <w:t>见证</w:t>
      </w:r>
      <w:r>
        <w:rPr>
          <w:rFonts w:hint="eastAsia" w:ascii="宋体" w:hAnsi="宋体" w:eastAsia="宋体" w:cs="宋体"/>
          <w:snapToGrid w:val="0"/>
          <w:color w:val="auto"/>
          <w:szCs w:val="21"/>
          <w:highlight w:val="none"/>
        </w:rPr>
        <w:t>方：</w:t>
      </w:r>
    </w:p>
    <w:p w14:paraId="01A73E82">
      <w:pPr>
        <w:keepNext w:val="0"/>
        <w:keepLines w:val="0"/>
        <w:pageBreakBefore w:val="0"/>
        <w:kinsoku/>
        <w:wordWrap/>
        <w:overflowPunct/>
        <w:topLinePunct w:val="0"/>
        <w:bidi w:val="0"/>
        <w:spacing w:line="500" w:lineRule="exact"/>
        <w:ind w:firstLine="3990" w:firstLineChars="1900"/>
        <w:textAlignment w:val="baseline"/>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签订日期：       年     月     日</w:t>
      </w:r>
    </w:p>
    <w:p w14:paraId="0027FDF4">
      <w:pPr>
        <w:pStyle w:val="9"/>
        <w:rPr>
          <w:rFonts w:hint="eastAsia" w:ascii="宋体" w:hAnsi="宋体" w:eastAsia="宋体" w:cs="宋体"/>
          <w:color w:val="auto"/>
          <w:highlight w:val="none"/>
        </w:rPr>
      </w:pPr>
    </w:p>
    <w:p w14:paraId="4DF54160">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BDF6402">
      <w:pPr>
        <w:pStyle w:val="9"/>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42494F17">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r>
        <w:rPr>
          <w:rFonts w:hint="eastAsia" w:ascii="宋体" w:hAnsi="宋体" w:eastAsia="宋体" w:cs="宋体"/>
          <w:color w:val="auto"/>
          <w:sz w:val="30"/>
          <w:szCs w:val="30"/>
          <w:highlight w:val="none"/>
        </w:rPr>
        <w:t xml:space="preserve">                       　</w:t>
      </w:r>
    </w:p>
    <w:p w14:paraId="542E6CF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30"/>
          <w:szCs w:val="30"/>
          <w:highlight w:val="none"/>
        </w:rPr>
      </w:pPr>
    </w:p>
    <w:p w14:paraId="1CCA2122">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881336B">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95775A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63425503">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04C88D58">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06139FC5">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4062E39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2548C95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0A0311B">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BBFF172">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5D15006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E72977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796620E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271F9114">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0A70872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bCs/>
          <w:color w:val="auto"/>
          <w:sz w:val="24"/>
          <w:highlight w:val="none"/>
        </w:rPr>
        <w:t>1、投标声明书</w:t>
      </w:r>
      <w:r>
        <w:rPr>
          <w:rFonts w:hint="eastAsia" w:ascii="宋体" w:hAnsi="宋体" w:eastAsia="宋体" w:cs="宋体"/>
          <w:color w:val="auto"/>
          <w:sz w:val="24"/>
          <w:highlight w:val="none"/>
        </w:rPr>
        <w:t>（附件2）</w:t>
      </w:r>
    </w:p>
    <w:p w14:paraId="7A3EE87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bCs/>
          <w:color w:val="auto"/>
          <w:sz w:val="24"/>
          <w:highlight w:val="none"/>
        </w:rPr>
        <w:t>2、授权委托书（附件3）</w:t>
      </w:r>
    </w:p>
    <w:p w14:paraId="5A26322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3、法人或者其他组织的营业执照等证明文件，法定代表人和授权代表的身份证明</w:t>
      </w:r>
    </w:p>
    <w:p w14:paraId="25B7FED8">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eastAsia="zh-CN"/>
        </w:rPr>
        <w:t>投标人认为需要说明的其他材料</w:t>
      </w:r>
    </w:p>
    <w:p w14:paraId="3C109327">
      <w:pPr>
        <w:keepNext w:val="0"/>
        <w:keepLines w:val="0"/>
        <w:pageBreakBefore w:val="0"/>
        <w:kinsoku/>
        <w:wordWrap/>
        <w:overflowPunct/>
        <w:topLinePunct w:val="0"/>
        <w:bidi w:val="0"/>
        <w:snapToGrid w:val="0"/>
        <w:spacing w:before="100" w:beforeAutospacing="1" w:after="100" w:afterAutospacing="1" w:line="360" w:lineRule="auto"/>
        <w:jc w:val="center"/>
        <w:outlineLvl w:val="9"/>
        <w:rPr>
          <w:rFonts w:hint="eastAsia" w:ascii="宋体" w:hAnsi="宋体" w:eastAsia="宋体" w:cs="宋体"/>
          <w:b/>
          <w:bCs/>
          <w:color w:val="auto"/>
          <w:sz w:val="36"/>
          <w:szCs w:val="32"/>
          <w:highlight w:val="none"/>
        </w:rPr>
      </w:pPr>
    </w:p>
    <w:p w14:paraId="77492EA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D6B7C52">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1B0009BD">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3ABCED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6A2514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522FA8E">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0261EB11">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5B6FF7A8">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C43CFDF">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E0F226C">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A8C1AC1">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7AD7F5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0A1251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31ED8E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E44287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0D16DB8F">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5F9D101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u w:val="single"/>
        </w:rPr>
      </w:pPr>
      <w:r>
        <w:rPr>
          <w:rFonts w:hint="eastAsia" w:ascii="宋体" w:hAnsi="宋体" w:cs="宋体"/>
          <w:color w:val="auto"/>
          <w:szCs w:val="21"/>
          <w:highlight w:val="none"/>
          <w:u w:val="single"/>
          <w:lang w:eastAsia="zh-CN"/>
        </w:rPr>
        <w:t>台州市黄岩区博物馆</w:t>
      </w:r>
      <w:r>
        <w:rPr>
          <w:rFonts w:hint="eastAsia" w:ascii="宋体" w:hAnsi="宋体" w:eastAsia="宋体" w:cs="宋体"/>
          <w:color w:val="auto"/>
          <w:szCs w:val="21"/>
          <w:highlight w:val="none"/>
          <w:u w:val="single"/>
        </w:rPr>
        <w:t>、台州永安工程咨询有限公司：</w:t>
      </w:r>
    </w:p>
    <w:p w14:paraId="4635228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）系中华人民共和国合法企业，经营地址。</w:t>
      </w:r>
    </w:p>
    <w:p w14:paraId="2B832B1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w:t>
      </w:r>
      <w:r>
        <w:rPr>
          <w:rFonts w:hint="eastAsia" w:ascii="宋体" w:hAnsi="宋体" w:eastAsia="宋体" w:cs="宋体"/>
          <w:color w:val="auto"/>
          <w:szCs w:val="21"/>
          <w:highlight w:val="none"/>
          <w:u w:val="single"/>
        </w:rPr>
        <w:t xml:space="preserve"> 姓名 </w:t>
      </w:r>
      <w:r>
        <w:rPr>
          <w:rFonts w:hint="eastAsia" w:ascii="宋体" w:hAnsi="宋体" w:eastAsia="宋体" w:cs="宋体"/>
          <w:color w:val="auto"/>
          <w:szCs w:val="21"/>
          <w:highlight w:val="none"/>
        </w:rPr>
        <w:t>）系（</w:t>
      </w:r>
      <w:r>
        <w:rPr>
          <w:rFonts w:hint="eastAsia" w:ascii="宋体" w:hAnsi="宋体" w:eastAsia="宋体" w:cs="宋体"/>
          <w:color w:val="auto"/>
          <w:szCs w:val="21"/>
          <w:highlight w:val="none"/>
          <w:u w:val="single"/>
        </w:rPr>
        <w:t xml:space="preserve"> 投标人名称 </w:t>
      </w:r>
      <w:r>
        <w:rPr>
          <w:rFonts w:hint="eastAsia" w:ascii="宋体" w:hAnsi="宋体" w:eastAsia="宋体" w:cs="宋体"/>
          <w:color w:val="auto"/>
          <w:szCs w:val="21"/>
          <w:highlight w:val="none"/>
        </w:rPr>
        <w:t>）的法定代表人，我公司自愿参加贵方组织的</w:t>
      </w:r>
      <w:r>
        <w:rPr>
          <w:rFonts w:hint="eastAsia" w:ascii="宋体" w:hAnsi="宋体" w:cs="宋体"/>
          <w:color w:val="auto"/>
          <w:szCs w:val="21"/>
          <w:highlight w:val="none"/>
          <w:u w:val="single"/>
          <w:lang w:eastAsia="zh-CN"/>
        </w:rPr>
        <w:t>黄岩区抗战时期中共黄岩县委机关旧址、岱石庙、铁米筛井省级文保单位消防项目</w:t>
      </w:r>
      <w:r>
        <w:rPr>
          <w:rFonts w:hint="eastAsia" w:ascii="宋体" w:hAnsi="宋体" w:eastAsia="宋体" w:cs="宋体"/>
          <w:color w:val="auto"/>
          <w:szCs w:val="21"/>
          <w:highlight w:val="none"/>
        </w:rPr>
        <w:t>（编号为</w:t>
      </w:r>
      <w:r>
        <w:rPr>
          <w:rFonts w:hint="eastAsia" w:ascii="宋体" w:hAnsi="宋体" w:cs="宋体"/>
          <w:color w:val="auto"/>
          <w:szCs w:val="21"/>
          <w:highlight w:val="none"/>
          <w:u w:val="single"/>
          <w:lang w:eastAsia="zh-CN"/>
        </w:rPr>
        <w:t>tzya2025-hy35</w:t>
      </w:r>
      <w:r>
        <w:rPr>
          <w:rFonts w:hint="eastAsia" w:ascii="宋体" w:hAnsi="宋体" w:eastAsia="宋体" w:cs="宋体"/>
          <w:color w:val="auto"/>
          <w:szCs w:val="21"/>
          <w:highlight w:val="none"/>
        </w:rPr>
        <w:t>）的投标，为此，我公司就本次投标有关事项郑重声明如下：</w:t>
      </w:r>
    </w:p>
    <w:p w14:paraId="2469ED9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573D037B">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2B74D11">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 我公司不是采购人的附属机构；在获知本项目采购信息后，与采购人聘请的为此项目提供咨询服务的公司及其附属机构没有任何联系。</w:t>
      </w:r>
    </w:p>
    <w:p w14:paraId="643B11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17F26F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 我公司严格履行采购合同，不降低合同约定的产品质量和服务，不擅自变更、中止、终止合同，或拒绝履行合同义务；</w:t>
      </w:r>
    </w:p>
    <w:p w14:paraId="1E2DAB6D">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 我公司承诺（若代理服务费由中标单位支付）：如在本项目中标，我公司在中标公告发布之日起5个工作日内按采购文件约定支付代理服务费。</w:t>
      </w:r>
    </w:p>
    <w:p w14:paraId="65E07AC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Cs w:val="21"/>
          <w:highlight w:val="none"/>
        </w:rPr>
        <w:t>。</w:t>
      </w:r>
    </w:p>
    <w:p w14:paraId="784FA9B9">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投标人名称(公章)：</w:t>
      </w:r>
    </w:p>
    <w:p w14:paraId="69B41B01">
      <w:pPr>
        <w:keepNext w:val="0"/>
        <w:keepLines w:val="0"/>
        <w:pageBreakBefore w:val="0"/>
        <w:kinsoku/>
        <w:wordWrap/>
        <w:overflowPunct/>
        <w:topLinePunct w:val="0"/>
        <w:bidi w:val="0"/>
        <w:spacing w:line="360" w:lineRule="auto"/>
        <w:ind w:firstLine="840" w:firstLineChars="4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法定代表人或授权委托代理人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lang w:val="zh-CN"/>
        </w:rPr>
        <w:t>：</w:t>
      </w:r>
    </w:p>
    <w:p w14:paraId="12FF34FE">
      <w:pPr>
        <w:keepNext w:val="0"/>
        <w:keepLines w:val="0"/>
        <w:pageBreakBefore w:val="0"/>
        <w:kinsoku/>
        <w:wordWrap/>
        <w:overflowPunct/>
        <w:topLinePunct w:val="0"/>
        <w:bidi w:val="0"/>
        <w:spacing w:line="360" w:lineRule="auto"/>
        <w:ind w:firstLine="420" w:firstLineChars="200"/>
        <w:jc w:val="center"/>
        <w:outlineLvl w:val="9"/>
        <w:rPr>
          <w:rFonts w:hint="eastAsia" w:ascii="宋体" w:hAnsi="宋体" w:eastAsia="宋体" w:cs="宋体"/>
          <w:b/>
          <w:color w:val="auto"/>
          <w:sz w:val="28"/>
          <w:highlight w:val="none"/>
        </w:rPr>
      </w:pPr>
      <w:r>
        <w:rPr>
          <w:rFonts w:hint="eastAsia" w:ascii="宋体" w:hAnsi="宋体" w:eastAsia="宋体" w:cs="宋体"/>
          <w:color w:val="auto"/>
          <w:szCs w:val="21"/>
          <w:highlight w:val="none"/>
          <w:lang w:val="zh-CN"/>
        </w:rPr>
        <w:t>日期：</w:t>
      </w:r>
      <w:r>
        <w:rPr>
          <w:rFonts w:hint="eastAsia" w:ascii="宋体" w:hAnsi="宋体" w:eastAsia="宋体" w:cs="宋体"/>
          <w:color w:val="auto"/>
          <w:szCs w:val="21"/>
          <w:highlight w:val="none"/>
        </w:rPr>
        <w:t>年  月  日</w:t>
      </w:r>
    </w:p>
    <w:p w14:paraId="3B169E7F">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254A052A">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747465E6">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4E31EC59">
      <w:pPr>
        <w:pStyle w:val="11"/>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kern w:val="0"/>
          <w:szCs w:val="21"/>
          <w:highlight w:val="none"/>
        </w:rPr>
      </w:pPr>
      <w:r>
        <w:rPr>
          <w:rFonts w:hint="eastAsia" w:hAnsi="宋体" w:cs="宋体"/>
          <w:color w:val="auto"/>
          <w:szCs w:val="21"/>
          <w:highlight w:val="none"/>
          <w:u w:val="single"/>
          <w:lang w:eastAsia="zh-CN"/>
        </w:rPr>
        <w:t>台州市黄岩区博物馆</w:t>
      </w:r>
      <w:r>
        <w:rPr>
          <w:rFonts w:hint="eastAsia" w:ascii="宋体" w:hAnsi="宋体" w:eastAsia="宋体" w:cs="宋体"/>
          <w:color w:val="auto"/>
          <w:szCs w:val="21"/>
          <w:highlight w:val="none"/>
          <w:u w:val="single"/>
        </w:rPr>
        <w:t>、台州永安工程咨询有限公司</w:t>
      </w:r>
      <w:r>
        <w:rPr>
          <w:rFonts w:hint="eastAsia" w:ascii="宋体" w:hAnsi="宋体" w:eastAsia="宋体" w:cs="宋体"/>
          <w:color w:val="auto"/>
          <w:kern w:val="0"/>
          <w:szCs w:val="21"/>
          <w:highlight w:val="none"/>
        </w:rPr>
        <w:t>：</w:t>
      </w:r>
    </w:p>
    <w:p w14:paraId="2B4319CB">
      <w:pPr>
        <w:pStyle w:val="11"/>
        <w:keepNext w:val="0"/>
        <w:keepLines w:val="0"/>
        <w:pageBreakBefore w:val="0"/>
        <w:kinsoku/>
        <w:wordWrap/>
        <w:overflowPunct/>
        <w:topLinePunct w:val="0"/>
        <w:bidi w:val="0"/>
        <w:spacing w:line="360" w:lineRule="auto"/>
        <w:ind w:left="210" w:hanging="210" w:hangingChars="1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（投标人全称）</w:t>
      </w:r>
      <w:r>
        <w:rPr>
          <w:rFonts w:hint="eastAsia" w:ascii="宋体" w:hAnsi="宋体" w:eastAsia="宋体" w:cs="宋体"/>
          <w:color w:val="auto"/>
          <w:szCs w:val="21"/>
          <w:highlight w:val="none"/>
        </w:rPr>
        <w:t>法定代表人（或营业执照中单位负责人）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u w:val="single"/>
        </w:rPr>
        <w:t>（法定代表人或营业执照中单位负责人姓名）</w:t>
      </w:r>
      <w:r>
        <w:rPr>
          <w:rFonts w:hint="eastAsia" w:ascii="宋体" w:hAnsi="宋体" w:eastAsia="宋体" w:cs="宋体"/>
          <w:color w:val="auto"/>
          <w:szCs w:val="21"/>
          <w:highlight w:val="none"/>
        </w:rPr>
        <w:t>授权</w:t>
      </w:r>
      <w:r>
        <w:rPr>
          <w:rFonts w:hint="eastAsia" w:ascii="宋体" w:hAnsi="宋体" w:eastAsia="宋体" w:cs="宋体"/>
          <w:color w:val="auto"/>
          <w:szCs w:val="21"/>
          <w:highlight w:val="none"/>
          <w:u w:val="single"/>
        </w:rPr>
        <w:t>（授权委托代理人姓名）</w:t>
      </w:r>
      <w:r>
        <w:rPr>
          <w:rFonts w:hint="eastAsia" w:ascii="宋体" w:hAnsi="宋体" w:eastAsia="宋体" w:cs="宋体"/>
          <w:color w:val="auto"/>
          <w:szCs w:val="21"/>
          <w:highlight w:val="none"/>
        </w:rPr>
        <w:t>为授权委托代理人，参加贵单位组织的</w:t>
      </w:r>
      <w:r>
        <w:rPr>
          <w:rFonts w:hint="eastAsia" w:hAnsi="宋体" w:cs="宋体"/>
          <w:color w:val="auto"/>
          <w:kern w:val="0"/>
          <w:szCs w:val="21"/>
          <w:highlight w:val="none"/>
          <w:u w:val="single"/>
          <w:lang w:eastAsia="zh-CN"/>
        </w:rPr>
        <w:t>黄岩区抗战时期中共黄岩县委机关旧址、岱石庙、铁米筛井省级文保单位消防项目</w:t>
      </w:r>
      <w:r>
        <w:rPr>
          <w:rFonts w:hint="eastAsia" w:ascii="宋体" w:hAnsi="宋体" w:eastAsia="宋体" w:cs="宋体"/>
          <w:color w:val="auto"/>
          <w:szCs w:val="21"/>
          <w:highlight w:val="none"/>
        </w:rPr>
        <w:t>的采购活动，并代表我方全权办理针对上述项目的投标、开标、评标、签约等具体事务和签署相关文件。我方对授权委托代理人的签字事项负全部责任。</w:t>
      </w:r>
    </w:p>
    <w:p w14:paraId="04B92C23">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在撤销授权的书面通知以前，本授权书一直有效。授权委托代理人在授权委托书有效期内签署的所有文件不因授权的撤销而失效。</w:t>
      </w:r>
    </w:p>
    <w:p w14:paraId="2A0FE8E3">
      <w:pPr>
        <w:pStyle w:val="11"/>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授权委托代理人无转委托权，特此委托。</w:t>
      </w:r>
    </w:p>
    <w:p w14:paraId="65AF89F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A61753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法定代表人签字或盖章：</w:t>
      </w:r>
    </w:p>
    <w:p w14:paraId="5938DE9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投标人全称（公章）：</w:t>
      </w:r>
    </w:p>
    <w:p w14:paraId="235912D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2EFB69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45FC3A1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5B53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39E84A9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300918B1">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02C2CCB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法定代表人姓名：</w:t>
      </w:r>
    </w:p>
    <w:p w14:paraId="28C8C6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6315656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625A9D5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330976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43D8DBF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46428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080D55F">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5EE2DFD7">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 w:val="24"/>
                <w:highlight w:val="none"/>
              </w:rPr>
              <w:t>授权委托代理人身份证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4DEA512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授权委托代理人姓名：</w:t>
      </w:r>
    </w:p>
    <w:p w14:paraId="658407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p w14:paraId="3FDCA2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传真：</w:t>
      </w:r>
    </w:p>
    <w:p w14:paraId="1F4F174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p>
    <w:p w14:paraId="29ECF9A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详细通讯地址：</w:t>
      </w:r>
    </w:p>
    <w:p w14:paraId="261146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邮政编码：</w:t>
      </w:r>
    </w:p>
    <w:p w14:paraId="1A9A0FCE">
      <w:pPr>
        <w:pStyle w:val="66"/>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002843BA">
      <w:pPr>
        <w:pStyle w:val="66"/>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rPr>
        <w:t>台州永安工程咨询有限公司</w:t>
      </w:r>
      <w:r>
        <w:rPr>
          <w:rFonts w:hint="eastAsia" w:ascii="宋体" w:hAnsi="宋体" w:eastAsia="宋体" w:cs="宋体"/>
          <w:color w:val="auto"/>
          <w:kern w:val="0"/>
          <w:sz w:val="21"/>
          <w:szCs w:val="21"/>
          <w:highlight w:val="none"/>
        </w:rPr>
        <w:t>：</w:t>
      </w:r>
    </w:p>
    <w:p w14:paraId="5F26F295">
      <w:pPr>
        <w:pStyle w:val="66"/>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黄岩区抗战时期中共黄岩县委机关旧址、岱石庙、铁米筛井省级文保单位消防项目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tzya2025-hy35</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46E53090">
      <w:pPr>
        <w:pStyle w:val="53"/>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BE94930">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20D9CABA">
      <w:pPr>
        <w:pStyle w:val="53"/>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7B360F5F">
      <w:pPr>
        <w:pStyle w:val="53"/>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4BAF3190">
      <w:pPr>
        <w:pStyle w:val="66"/>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624F33CD">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6D8F709E">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062D1769">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15D385F0">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1D992530">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2A42E795">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54630192">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3C0FAEBC">
      <w:pPr>
        <w:pStyle w:val="66"/>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2217AA7">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0645FE3C">
      <w:pPr>
        <w:pStyle w:val="53"/>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6D419E5C">
      <w:pPr>
        <w:pStyle w:val="53"/>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五、本单位若有违反诚信投标、采购法律法规等行为，愿意按照招标文件规定接受投标担保的处理。如已中标，自动放弃中标资格；给招标人造成损失的，依法承担赔偿责任。</w:t>
      </w:r>
    </w:p>
    <w:p w14:paraId="2BF38A05">
      <w:pPr>
        <w:pStyle w:val="66"/>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5C0CEC8C">
      <w:pPr>
        <w:pStyle w:val="66"/>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3E459DBA">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79D3C095">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65F475CC">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1993A67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p>
    <w:p w14:paraId="4D86BDA9">
      <w:pPr>
        <w:keepNext w:val="0"/>
        <w:keepLines w:val="0"/>
        <w:pageBreakBefore w:val="0"/>
        <w:kinsoku/>
        <w:wordWrap/>
        <w:overflowPunct/>
        <w:topLinePunct w:val="0"/>
        <w:bidi w:val="0"/>
        <w:snapToGrid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附件4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37F54C7A">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D4F7007">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67F98CD7">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4DFEADA6">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4E1E300D">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5161FF80">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61D18C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4BCE046D">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p>
    <w:p w14:paraId="2A1CDC8C">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4868DBE5">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11F15441">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46386994">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54CC26CF">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79CBC260">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bCs/>
          <w:color w:val="auto"/>
          <w:sz w:val="32"/>
          <w:szCs w:val="32"/>
          <w:highlight w:val="none"/>
          <w:lang w:val="zh-CN"/>
        </w:rPr>
      </w:pPr>
    </w:p>
    <w:p w14:paraId="65048314">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731773B5">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507B8809">
      <w:pPr>
        <w:keepNext w:val="0"/>
        <w:keepLines w:val="0"/>
        <w:pageBreakBefore w:val="0"/>
        <w:numPr>
          <w:ilvl w:val="0"/>
          <w:numId w:val="8"/>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评标索引</w:t>
      </w:r>
    </w:p>
    <w:p w14:paraId="416E27BD">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r>
        <w:rPr>
          <w:rFonts w:hint="eastAsia" w:ascii="宋体" w:hAnsi="宋体" w:eastAsia="宋体" w:cs="宋体"/>
          <w:color w:val="auto"/>
          <w:highlight w:val="none"/>
        </w:rPr>
        <w:t xml:space="preserve">      评标索引：自评表（附件</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w:t>
      </w:r>
    </w:p>
    <w:p w14:paraId="7E225AA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二</w:t>
      </w:r>
      <w:r>
        <w:rPr>
          <w:rFonts w:hint="eastAsia" w:ascii="宋体" w:hAnsi="宋体" w:eastAsia="宋体" w:cs="宋体"/>
          <w:b/>
          <w:bCs/>
          <w:color w:val="auto"/>
          <w:szCs w:val="21"/>
          <w:highlight w:val="none"/>
        </w:rPr>
        <w:t>、 技术方案描述部分</w:t>
      </w:r>
    </w:p>
    <w:p w14:paraId="51FA9CD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4CE8E5B4">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rPr>
        <w:t>项目需求的理解与分析</w:t>
      </w:r>
      <w:r>
        <w:rPr>
          <w:rFonts w:hint="eastAsia" w:ascii="宋体" w:hAnsi="宋体" w:eastAsia="宋体" w:cs="宋体"/>
          <w:color w:val="auto"/>
          <w:sz w:val="21"/>
          <w:szCs w:val="21"/>
          <w:highlight w:val="none"/>
        </w:rPr>
        <w:t>；</w:t>
      </w:r>
    </w:p>
    <w:p w14:paraId="13A12428">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rPr>
        <w:t>项目组织实施方案</w:t>
      </w:r>
      <w:r>
        <w:rPr>
          <w:rFonts w:hint="eastAsia" w:ascii="宋体" w:hAnsi="宋体" w:eastAsia="宋体" w:cs="宋体"/>
          <w:color w:val="auto"/>
          <w:sz w:val="21"/>
          <w:szCs w:val="21"/>
          <w:highlight w:val="none"/>
        </w:rPr>
        <w:t xml:space="preserve">； </w:t>
      </w:r>
    </w:p>
    <w:p w14:paraId="7C9BEDEC">
      <w:pPr>
        <w:snapToGrid w:val="0"/>
        <w:spacing w:line="360" w:lineRule="auto"/>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4416EDFC">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所投产品的规格、品牌、详细性能介绍及主要配置清单（不含报价）；</w:t>
      </w:r>
    </w:p>
    <w:p w14:paraId="4A838BE6">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6、投标人提供的产品供货清单及原产地（附件8）</w:t>
      </w:r>
    </w:p>
    <w:p w14:paraId="72EA749B">
      <w:pPr>
        <w:snapToGrid w:val="0"/>
        <w:spacing w:line="360" w:lineRule="auto"/>
        <w:ind w:firstLine="411" w:firstLineChars="196"/>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7、产品制造、安装、验收标准；</w:t>
      </w:r>
    </w:p>
    <w:p w14:paraId="0CB7BB82">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三</w:t>
      </w:r>
      <w:r>
        <w:rPr>
          <w:rFonts w:hint="eastAsia" w:ascii="宋体" w:hAnsi="宋体" w:eastAsia="宋体" w:cs="宋体"/>
          <w:b/>
          <w:bCs/>
          <w:color w:val="auto"/>
          <w:szCs w:val="21"/>
          <w:highlight w:val="none"/>
        </w:rPr>
        <w:t>、投标描述部分</w:t>
      </w:r>
    </w:p>
    <w:p w14:paraId="6FD4AD6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1、投标描述及相关资料；</w:t>
      </w:r>
    </w:p>
    <w:p w14:paraId="48937C67">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2、技术需求响应表（附件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w:t>
      </w:r>
    </w:p>
    <w:p w14:paraId="037966A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3、投标人需要说明的其他内容；（包括可能影响投标人技术性能评分项的各类证明材料）</w:t>
      </w:r>
    </w:p>
    <w:p w14:paraId="48FD7515">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四</w:t>
      </w:r>
      <w:r>
        <w:rPr>
          <w:rFonts w:hint="eastAsia" w:ascii="宋体" w:hAnsi="宋体" w:eastAsia="宋体" w:cs="宋体"/>
          <w:b/>
          <w:bCs/>
          <w:color w:val="auto"/>
          <w:szCs w:val="21"/>
          <w:highlight w:val="none"/>
        </w:rPr>
        <w:t>、商务响应部分</w:t>
      </w:r>
    </w:p>
    <w:p w14:paraId="2E26483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1、投标人的企业证书一览表（附件1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14:paraId="4349CA8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2、类似项目的成功案例（附件1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w:t>
      </w:r>
    </w:p>
    <w:p w14:paraId="53372B30">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3、资信及商务需求响应表（附件1</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p>
    <w:p w14:paraId="1DC7741F">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4、售后服务情况表（附件1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p>
    <w:p w14:paraId="26EA8A9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5、投标人需要说明的其他内容。（包括可能影响投标人企业实力及信誉评分项以及售后服务评分项的各类证明材料）</w:t>
      </w:r>
    </w:p>
    <w:p w14:paraId="153528D9">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0DDABF23">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C574CD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FE94AEA">
      <w:pPr>
        <w:pStyle w:val="1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00501A8">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628C828">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rPr>
        <w:sectPr>
          <w:headerReference r:id="rId7" w:type="default"/>
          <w:footerReference r:id="rId8" w:type="default"/>
          <w:pgSz w:w="11906" w:h="16838"/>
          <w:pgMar w:top="1440" w:right="1800" w:bottom="1440" w:left="1800" w:header="851" w:footer="992" w:gutter="0"/>
          <w:pgNumType w:fmt="decimal"/>
          <w:cols w:space="425" w:num="1"/>
          <w:docGrid w:type="lines" w:linePitch="312" w:charSpace="0"/>
        </w:sectPr>
      </w:pPr>
    </w:p>
    <w:p w14:paraId="5FB253D1">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1CDA8FF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评标索引：自评表</w:t>
      </w:r>
    </w:p>
    <w:tbl>
      <w:tblPr>
        <w:tblStyle w:val="23"/>
        <w:tblW w:w="10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38"/>
        <w:gridCol w:w="999"/>
        <w:gridCol w:w="6590"/>
        <w:gridCol w:w="607"/>
        <w:gridCol w:w="607"/>
        <w:gridCol w:w="607"/>
      </w:tblGrid>
      <w:tr w14:paraId="74A45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8" w:hRule="atLeast"/>
          <w:jc w:val="center"/>
        </w:trPr>
        <w:tc>
          <w:tcPr>
            <w:tcW w:w="1837" w:type="dxa"/>
            <w:gridSpan w:val="2"/>
            <w:vAlign w:val="center"/>
          </w:tcPr>
          <w:p w14:paraId="4DC2CC9D">
            <w:pPr>
              <w:adjustRightInd w:val="0"/>
              <w:snapToGrid w:val="0"/>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评分内容</w:t>
            </w:r>
          </w:p>
        </w:tc>
        <w:tc>
          <w:tcPr>
            <w:tcW w:w="6590" w:type="dxa"/>
            <w:vAlign w:val="center"/>
          </w:tcPr>
          <w:p w14:paraId="5F478AFB">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评分标准</w:t>
            </w:r>
          </w:p>
        </w:tc>
        <w:tc>
          <w:tcPr>
            <w:tcW w:w="607" w:type="dxa"/>
            <w:vAlign w:val="center"/>
          </w:tcPr>
          <w:p w14:paraId="6F5DA1B1">
            <w:pPr>
              <w:widowControl/>
              <w:spacing w:line="360" w:lineRule="auto"/>
              <w:jc w:val="center"/>
              <w:textAlignment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分值</w:t>
            </w:r>
          </w:p>
        </w:tc>
        <w:tc>
          <w:tcPr>
            <w:tcW w:w="607" w:type="dxa"/>
            <w:vAlign w:val="center"/>
          </w:tcPr>
          <w:p w14:paraId="5D16F523">
            <w:pPr>
              <w:widowControl/>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对应页码</w:t>
            </w:r>
          </w:p>
        </w:tc>
        <w:tc>
          <w:tcPr>
            <w:tcW w:w="607" w:type="dxa"/>
            <w:vAlign w:val="center"/>
          </w:tcPr>
          <w:p w14:paraId="435F6466">
            <w:pPr>
              <w:widowControl/>
              <w:spacing w:line="240" w:lineRule="auto"/>
              <w:jc w:val="center"/>
              <w:textAlignment w:val="center"/>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自评分</w:t>
            </w:r>
          </w:p>
        </w:tc>
      </w:tr>
      <w:tr w14:paraId="4D19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jc w:val="center"/>
        </w:trPr>
        <w:tc>
          <w:tcPr>
            <w:tcW w:w="838" w:type="dxa"/>
            <w:vMerge w:val="restart"/>
            <w:vAlign w:val="center"/>
          </w:tcPr>
          <w:p w14:paraId="09C6A7ED">
            <w:pPr>
              <w:widowControl/>
              <w:spacing w:line="24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商务分</w:t>
            </w:r>
          </w:p>
          <w:p w14:paraId="25147912">
            <w:pPr>
              <w:spacing w:line="240" w:lineRule="auto"/>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9</w:t>
            </w:r>
            <w:r>
              <w:rPr>
                <w:rFonts w:hint="eastAsia" w:ascii="宋体" w:hAnsi="宋体" w:eastAsia="宋体" w:cs="宋体"/>
                <w:color w:val="auto"/>
                <w:highlight w:val="none"/>
              </w:rPr>
              <w:t>分）</w:t>
            </w:r>
          </w:p>
        </w:tc>
        <w:tc>
          <w:tcPr>
            <w:tcW w:w="999" w:type="dxa"/>
            <w:vAlign w:val="center"/>
          </w:tcPr>
          <w:p w14:paraId="22530CB9">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承接经验</w:t>
            </w:r>
          </w:p>
        </w:tc>
        <w:tc>
          <w:tcPr>
            <w:tcW w:w="6590" w:type="dxa"/>
            <w:vAlign w:val="center"/>
          </w:tcPr>
          <w:p w14:paraId="214E6148">
            <w:pP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投标人自2022年1月1日以来（以合同签订时间为准），承接过</w:t>
            </w:r>
            <w:r>
              <w:rPr>
                <w:rFonts w:hint="eastAsia" w:ascii="宋体" w:hAnsi="宋体" w:eastAsia="宋体" w:cs="宋体"/>
                <w:color w:val="auto"/>
                <w:szCs w:val="21"/>
                <w:highlight w:val="none"/>
              </w:rPr>
              <w:t>类似</w:t>
            </w:r>
            <w:r>
              <w:rPr>
                <w:rFonts w:hint="eastAsia" w:ascii="宋体" w:hAnsi="宋体" w:eastAsia="宋体" w:cs="宋体"/>
                <w:color w:val="auto"/>
                <w:kern w:val="2"/>
                <w:sz w:val="21"/>
                <w:szCs w:val="21"/>
                <w:highlight w:val="none"/>
                <w:lang w:val="en-US" w:eastAsia="zh-CN" w:bidi="ar-SA"/>
              </w:rPr>
              <w:t>文物保护单位</w:t>
            </w:r>
            <w:r>
              <w:rPr>
                <w:rFonts w:hint="eastAsia" w:ascii="宋体" w:hAnsi="宋体" w:cs="宋体"/>
                <w:color w:val="auto"/>
                <w:szCs w:val="21"/>
                <w:highlight w:val="none"/>
                <w:lang w:val="en-US" w:eastAsia="zh-CN"/>
              </w:rPr>
              <w:t>消防</w:t>
            </w:r>
            <w:r>
              <w:rPr>
                <w:rFonts w:hint="eastAsia" w:ascii="宋体" w:hAnsi="宋体" w:eastAsia="宋体" w:cs="宋体"/>
                <w:color w:val="auto"/>
                <w:szCs w:val="21"/>
                <w:highlight w:val="none"/>
              </w:rPr>
              <w:t>项目的</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每提供1</w:t>
            </w:r>
            <w:r>
              <w:rPr>
                <w:rFonts w:hint="eastAsia" w:ascii="宋体" w:hAnsi="宋体" w:eastAsia="宋体" w:cs="宋体"/>
                <w:color w:val="auto"/>
                <w:kern w:val="2"/>
                <w:sz w:val="21"/>
                <w:szCs w:val="21"/>
                <w:highlight w:val="none"/>
                <w:lang w:val="en-US" w:eastAsia="zh-CN" w:bidi="ar-SA"/>
              </w:rPr>
              <w:t>个合同得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szCs w:val="21"/>
                <w:highlight w:val="none"/>
                <w:lang w:val="en-US" w:eastAsia="zh-CN"/>
              </w:rPr>
              <w:t>分，本项最高得3分。</w:t>
            </w:r>
          </w:p>
          <w:p w14:paraId="33C40689">
            <w:pP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（须提供</w:t>
            </w:r>
            <w:r>
              <w:rPr>
                <w:rFonts w:hint="eastAsia" w:ascii="宋体" w:hAnsi="宋体" w:eastAsia="宋体" w:cs="宋体"/>
                <w:b/>
                <w:bCs/>
                <w:color w:val="auto"/>
                <w:szCs w:val="21"/>
                <w:highlight w:val="none"/>
                <w:lang w:val="en-US" w:eastAsia="zh-CN"/>
              </w:rPr>
              <w:t>有效的合同、</w:t>
            </w:r>
            <w:r>
              <w:rPr>
                <w:rFonts w:hint="eastAsia" w:ascii="宋体" w:hAnsi="宋体" w:eastAsia="宋体" w:cs="宋体"/>
                <w:b/>
                <w:bCs/>
                <w:color w:val="auto"/>
                <w:szCs w:val="21"/>
                <w:highlight w:val="none"/>
                <w:lang w:val="en-US" w:eastAsia="zh-CN"/>
              </w:rPr>
              <w:t>省文物局</w:t>
            </w:r>
            <w:r>
              <w:rPr>
                <w:rFonts w:hint="eastAsia" w:ascii="宋体" w:hAnsi="宋体" w:eastAsia="宋体" w:cs="宋体"/>
                <w:b/>
                <w:bCs/>
                <w:color w:val="auto"/>
                <w:szCs w:val="21"/>
                <w:highlight w:val="none"/>
                <w:lang w:val="en-US" w:eastAsia="zh-CN"/>
              </w:rPr>
              <w:t>验收通过的</w:t>
            </w:r>
            <w:r>
              <w:rPr>
                <w:rFonts w:hint="eastAsia" w:ascii="宋体" w:hAnsi="宋体" w:cs="宋体"/>
                <w:b/>
                <w:bCs/>
                <w:color w:val="auto"/>
                <w:szCs w:val="21"/>
                <w:highlight w:val="none"/>
                <w:lang w:val="en-US" w:eastAsia="zh-CN"/>
              </w:rPr>
              <w:t>批复</w:t>
            </w:r>
            <w:r>
              <w:rPr>
                <w:rFonts w:hint="eastAsia" w:ascii="宋体" w:hAnsi="宋体" w:eastAsia="宋体" w:cs="宋体"/>
                <w:b/>
                <w:bCs/>
                <w:color w:val="auto"/>
                <w:szCs w:val="21"/>
                <w:highlight w:val="none"/>
                <w:lang w:val="en-US" w:eastAsia="zh-CN"/>
              </w:rPr>
              <w:t>文件</w:t>
            </w:r>
            <w:r>
              <w:rPr>
                <w:rFonts w:hint="eastAsia" w:ascii="宋体" w:hAnsi="宋体" w:eastAsia="宋体" w:cs="宋体"/>
                <w:b/>
                <w:bCs/>
                <w:color w:val="auto"/>
                <w:szCs w:val="21"/>
                <w:highlight w:val="none"/>
                <w:lang w:val="en-US" w:eastAsia="zh-CN"/>
              </w:rPr>
              <w:t>扫描件并加盖投标人公章编入投标文件中，未提供或提供不全的不得分）</w:t>
            </w:r>
          </w:p>
        </w:tc>
        <w:tc>
          <w:tcPr>
            <w:tcW w:w="607" w:type="dxa"/>
            <w:vAlign w:val="center"/>
          </w:tcPr>
          <w:p w14:paraId="4E8AF3CC">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607" w:type="dxa"/>
            <w:vAlign w:val="center"/>
          </w:tcPr>
          <w:p w14:paraId="6F660238">
            <w:pPr>
              <w:widowControl/>
              <w:spacing w:line="288" w:lineRule="auto"/>
              <w:jc w:val="center"/>
              <w:textAlignment w:val="center"/>
              <w:rPr>
                <w:rFonts w:hint="eastAsia" w:ascii="宋体" w:hAnsi="宋体" w:cs="宋体"/>
                <w:color w:val="auto"/>
                <w:szCs w:val="21"/>
                <w:highlight w:val="none"/>
                <w:lang w:val="en-US" w:eastAsia="zh-CN"/>
              </w:rPr>
            </w:pPr>
          </w:p>
        </w:tc>
        <w:tc>
          <w:tcPr>
            <w:tcW w:w="607" w:type="dxa"/>
            <w:vAlign w:val="center"/>
          </w:tcPr>
          <w:p w14:paraId="7D478A32">
            <w:pPr>
              <w:widowControl/>
              <w:spacing w:line="288" w:lineRule="auto"/>
              <w:jc w:val="center"/>
              <w:textAlignment w:val="center"/>
              <w:rPr>
                <w:rFonts w:hint="eastAsia" w:ascii="宋体" w:hAnsi="宋体" w:cs="宋体"/>
                <w:color w:val="auto"/>
                <w:szCs w:val="21"/>
                <w:highlight w:val="none"/>
                <w:lang w:val="en-US" w:eastAsia="zh-CN"/>
              </w:rPr>
            </w:pPr>
          </w:p>
        </w:tc>
      </w:tr>
      <w:tr w14:paraId="2143E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73" w:hRule="atLeast"/>
          <w:jc w:val="center"/>
        </w:trPr>
        <w:tc>
          <w:tcPr>
            <w:tcW w:w="838" w:type="dxa"/>
            <w:vMerge w:val="continue"/>
            <w:vAlign w:val="center"/>
          </w:tcPr>
          <w:p w14:paraId="73B3C615">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6B8C803D">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项目负责人</w:t>
            </w:r>
          </w:p>
        </w:tc>
        <w:tc>
          <w:tcPr>
            <w:tcW w:w="6590" w:type="dxa"/>
            <w:vAlign w:val="center"/>
          </w:tcPr>
          <w:p w14:paraId="50A20BD9">
            <w:pPr>
              <w:tabs>
                <w:tab w:val="left" w:pos="2061"/>
              </w:tabs>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拟派的项目负责人具有一级建造师（机电工程专业）和高级电气工程师的</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每提供一本证书得2分，本项最高得4分</w:t>
            </w:r>
            <w:r>
              <w:rPr>
                <w:rFonts w:hint="eastAsia" w:ascii="宋体" w:hAnsi="宋体" w:eastAsia="宋体" w:cs="宋体"/>
                <w:color w:val="auto"/>
                <w:szCs w:val="21"/>
                <w:highlight w:val="none"/>
              </w:rPr>
              <w:t>。</w:t>
            </w:r>
          </w:p>
          <w:p w14:paraId="27D01AAB">
            <w:pPr>
              <w:widowControl/>
              <w:spacing w:line="288"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07" w:type="dxa"/>
            <w:vAlign w:val="center"/>
          </w:tcPr>
          <w:p w14:paraId="503DF8EF">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607" w:type="dxa"/>
            <w:vAlign w:val="center"/>
          </w:tcPr>
          <w:p w14:paraId="32916201">
            <w:pPr>
              <w:widowControl/>
              <w:spacing w:line="288" w:lineRule="auto"/>
              <w:jc w:val="center"/>
              <w:textAlignment w:val="center"/>
              <w:rPr>
                <w:rFonts w:hint="eastAsia" w:ascii="宋体" w:hAnsi="宋体" w:cs="宋体"/>
                <w:color w:val="auto"/>
                <w:szCs w:val="21"/>
                <w:highlight w:val="none"/>
                <w:lang w:val="en-US" w:eastAsia="zh-CN"/>
              </w:rPr>
            </w:pPr>
          </w:p>
        </w:tc>
        <w:tc>
          <w:tcPr>
            <w:tcW w:w="607" w:type="dxa"/>
            <w:vAlign w:val="center"/>
          </w:tcPr>
          <w:p w14:paraId="61BC0FCA">
            <w:pPr>
              <w:widowControl/>
              <w:spacing w:line="288" w:lineRule="auto"/>
              <w:jc w:val="center"/>
              <w:textAlignment w:val="center"/>
              <w:rPr>
                <w:rFonts w:hint="eastAsia" w:ascii="宋体" w:hAnsi="宋体" w:cs="宋体"/>
                <w:color w:val="auto"/>
                <w:szCs w:val="21"/>
                <w:highlight w:val="none"/>
                <w:lang w:val="en-US" w:eastAsia="zh-CN"/>
              </w:rPr>
            </w:pPr>
          </w:p>
        </w:tc>
      </w:tr>
      <w:tr w14:paraId="53065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3" w:hRule="atLeast"/>
          <w:jc w:val="center"/>
        </w:trPr>
        <w:tc>
          <w:tcPr>
            <w:tcW w:w="838" w:type="dxa"/>
            <w:vMerge w:val="continue"/>
            <w:vAlign w:val="center"/>
          </w:tcPr>
          <w:p w14:paraId="596F9329">
            <w:pPr>
              <w:spacing w:line="360" w:lineRule="auto"/>
              <w:jc w:val="center"/>
              <w:textAlignment w:val="center"/>
              <w:rPr>
                <w:rFonts w:hint="eastAsia" w:ascii="宋体" w:hAnsi="宋体" w:eastAsia="宋体" w:cs="宋体"/>
                <w:bCs/>
                <w:color w:val="auto"/>
                <w:szCs w:val="21"/>
                <w:highlight w:val="none"/>
              </w:rPr>
            </w:pPr>
          </w:p>
        </w:tc>
        <w:tc>
          <w:tcPr>
            <w:tcW w:w="999" w:type="dxa"/>
            <w:vAlign w:val="center"/>
          </w:tcPr>
          <w:p w14:paraId="16CCA7B4">
            <w:pPr>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rPr>
              <w:t>项目组成员情况</w:t>
            </w:r>
          </w:p>
        </w:tc>
        <w:tc>
          <w:tcPr>
            <w:tcW w:w="6590" w:type="dxa"/>
            <w:vAlign w:val="center"/>
          </w:tcPr>
          <w:p w14:paraId="39A02F20">
            <w:pPr>
              <w:adjustRightInd w:val="0"/>
              <w:snapToGrid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拟派项目团队</w:t>
            </w:r>
            <w:r>
              <w:rPr>
                <w:rFonts w:hint="eastAsia" w:ascii="宋体" w:hAnsi="宋体" w:cs="宋体"/>
                <w:color w:val="auto"/>
                <w:szCs w:val="21"/>
                <w:highlight w:val="none"/>
                <w:lang w:val="en-US" w:eastAsia="zh-CN"/>
              </w:rPr>
              <w:t>成</w:t>
            </w:r>
            <w:r>
              <w:rPr>
                <w:rFonts w:hint="eastAsia" w:ascii="宋体" w:hAnsi="宋体" w:eastAsia="宋体" w:cs="宋体"/>
                <w:color w:val="auto"/>
                <w:szCs w:val="21"/>
                <w:highlight w:val="none"/>
              </w:rPr>
              <w:t>员中（项目</w:t>
            </w:r>
            <w:r>
              <w:rPr>
                <w:rFonts w:hint="eastAsia" w:ascii="宋体" w:hAnsi="宋体" w:cs="宋体"/>
                <w:color w:val="auto"/>
                <w:szCs w:val="21"/>
                <w:highlight w:val="none"/>
                <w:lang w:val="en-US" w:eastAsia="zh-CN"/>
              </w:rPr>
              <w:t>负责人除</w:t>
            </w:r>
            <w:r>
              <w:rPr>
                <w:rFonts w:hint="eastAsia" w:ascii="宋体" w:hAnsi="宋体" w:eastAsia="宋体" w:cs="宋体"/>
                <w:color w:val="auto"/>
                <w:szCs w:val="21"/>
                <w:highlight w:val="none"/>
              </w:rPr>
              <w:t>外）</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具有中级及以上工程师证的每</w:t>
            </w:r>
            <w:r>
              <w:rPr>
                <w:rFonts w:hint="eastAsia" w:ascii="宋体" w:hAnsi="宋体" w:cs="宋体"/>
                <w:color w:val="auto"/>
                <w:szCs w:val="21"/>
                <w:highlight w:val="none"/>
                <w:lang w:val="en-US" w:eastAsia="zh-CN"/>
              </w:rPr>
              <w:t>提供1</w:t>
            </w:r>
            <w:r>
              <w:rPr>
                <w:rFonts w:hint="eastAsia" w:ascii="宋体" w:hAnsi="宋体" w:eastAsia="宋体" w:cs="宋体"/>
                <w:color w:val="auto"/>
                <w:szCs w:val="21"/>
                <w:highlight w:val="none"/>
              </w:rPr>
              <w:t>个得0.5分，</w:t>
            </w:r>
            <w:r>
              <w:rPr>
                <w:rFonts w:hint="eastAsia" w:ascii="宋体" w:hAnsi="宋体" w:cs="宋体"/>
                <w:color w:val="auto"/>
                <w:szCs w:val="21"/>
                <w:highlight w:val="none"/>
                <w:lang w:val="en-US" w:eastAsia="zh-CN"/>
              </w:rPr>
              <w:t>本项</w:t>
            </w:r>
            <w:r>
              <w:rPr>
                <w:rFonts w:hint="eastAsia" w:ascii="宋体" w:hAnsi="宋体" w:eastAsia="宋体" w:cs="宋体"/>
                <w:color w:val="auto"/>
                <w:szCs w:val="21"/>
                <w:highlight w:val="none"/>
              </w:rPr>
              <w:t>最</w:t>
            </w:r>
            <w:r>
              <w:rPr>
                <w:rFonts w:hint="eastAsia" w:ascii="宋体" w:hAnsi="宋体" w:cs="宋体"/>
                <w:color w:val="auto"/>
                <w:szCs w:val="21"/>
                <w:highlight w:val="none"/>
                <w:lang w:val="en-US" w:eastAsia="zh-CN"/>
              </w:rPr>
              <w:t>高得</w:t>
            </w:r>
            <w:r>
              <w:rPr>
                <w:rFonts w:hint="eastAsia" w:ascii="宋体" w:hAnsi="宋体" w:eastAsia="宋体" w:cs="宋体"/>
                <w:color w:val="auto"/>
                <w:szCs w:val="21"/>
                <w:highlight w:val="none"/>
              </w:rPr>
              <w:t>2分。</w:t>
            </w:r>
          </w:p>
          <w:p w14:paraId="776107D7">
            <w:pPr>
              <w:adjustRightInd w:val="0"/>
              <w:snapToGrid w:val="0"/>
              <w:jc w:val="left"/>
              <w:rPr>
                <w:rFonts w:hint="eastAsia" w:ascii="宋体" w:hAnsi="宋体" w:eastAsia="宋体" w:cs="宋体"/>
                <w:color w:val="auto"/>
                <w:highlight w:val="none"/>
              </w:rPr>
            </w:pPr>
            <w:r>
              <w:rPr>
                <w:rFonts w:hint="eastAsia" w:ascii="宋体" w:hAnsi="宋体" w:eastAsia="宋体" w:cs="宋体"/>
                <w:b/>
                <w:bCs/>
                <w:color w:val="auto"/>
                <w:szCs w:val="21"/>
                <w:highlight w:val="none"/>
              </w:rPr>
              <w:t>（提供相关证书</w:t>
            </w:r>
            <w:r>
              <w:rPr>
                <w:rFonts w:hint="eastAsia" w:ascii="宋体" w:hAnsi="宋体" w:cs="宋体"/>
                <w:b/>
                <w:bCs/>
                <w:color w:val="auto"/>
                <w:szCs w:val="21"/>
                <w:highlight w:val="none"/>
                <w:lang w:val="en-US" w:eastAsia="zh-CN"/>
              </w:rPr>
              <w:t>扫描件</w:t>
            </w:r>
            <w:r>
              <w:rPr>
                <w:rFonts w:hint="eastAsia" w:ascii="宋体" w:hAnsi="宋体" w:eastAsia="宋体" w:cs="宋体"/>
                <w:b/>
                <w:bCs/>
                <w:color w:val="auto"/>
                <w:szCs w:val="21"/>
                <w:highlight w:val="none"/>
              </w:rPr>
              <w:t>以及投标人为上述人员近3个月社保缴纳证明材料(如为社会保险机构盖章的网上打印件亦可)</w:t>
            </w:r>
            <w:r>
              <w:rPr>
                <w:rFonts w:hint="eastAsia" w:ascii="宋体" w:hAnsi="宋体" w:cs="宋体"/>
                <w:b/>
                <w:bCs/>
                <w:color w:val="auto"/>
                <w:szCs w:val="21"/>
                <w:highlight w:val="none"/>
                <w:lang w:val="en-US" w:eastAsia="zh-CN"/>
              </w:rPr>
              <w:t>并</w:t>
            </w:r>
            <w:r>
              <w:rPr>
                <w:rFonts w:hint="eastAsia" w:ascii="宋体" w:hAnsi="宋体" w:eastAsia="宋体" w:cs="宋体"/>
                <w:b/>
                <w:bCs/>
                <w:color w:val="auto"/>
                <w:szCs w:val="21"/>
                <w:highlight w:val="none"/>
              </w:rPr>
              <w:t>加盖投标人公章</w:t>
            </w:r>
            <w:r>
              <w:rPr>
                <w:rFonts w:hint="eastAsia" w:ascii="宋体" w:hAnsi="宋体" w:eastAsia="宋体" w:cs="宋体"/>
                <w:b/>
                <w:bCs/>
                <w:color w:val="auto"/>
                <w:szCs w:val="21"/>
                <w:highlight w:val="none"/>
                <w:lang w:val="en-US" w:eastAsia="zh-CN"/>
              </w:rPr>
              <w:t>编入投标文件中，未提供或提供不全的不得分</w:t>
            </w:r>
            <w:r>
              <w:rPr>
                <w:rFonts w:hint="eastAsia" w:ascii="宋体" w:hAnsi="宋体" w:eastAsia="宋体" w:cs="宋体"/>
                <w:b/>
                <w:bCs/>
                <w:color w:val="auto"/>
                <w:szCs w:val="21"/>
                <w:highlight w:val="none"/>
              </w:rPr>
              <w:t>）</w:t>
            </w:r>
          </w:p>
        </w:tc>
        <w:tc>
          <w:tcPr>
            <w:tcW w:w="607" w:type="dxa"/>
            <w:vAlign w:val="center"/>
          </w:tcPr>
          <w:p w14:paraId="68F426E0">
            <w:pPr>
              <w:adjustRightInd w:val="0"/>
              <w:snapToGrid w:val="0"/>
              <w:jc w:val="center"/>
              <w:rPr>
                <w:rFonts w:hint="eastAsia" w:ascii="宋体" w:hAnsi="宋体" w:eastAsia="宋体" w:cs="宋体"/>
                <w:color w:val="auto"/>
                <w:szCs w:val="21"/>
                <w:highlight w:val="none"/>
                <w:lang w:eastAsia="zh-CN"/>
              </w:rPr>
            </w:pPr>
            <w:r>
              <w:rPr>
                <w:rFonts w:hint="eastAsia" w:ascii="宋体" w:hAnsi="宋体" w:cs="宋体"/>
                <w:color w:val="auto"/>
                <w:kern w:val="0"/>
                <w:szCs w:val="21"/>
                <w:highlight w:val="none"/>
                <w:lang w:val="en-US" w:eastAsia="zh-CN"/>
              </w:rPr>
              <w:t>2</w:t>
            </w:r>
          </w:p>
        </w:tc>
        <w:tc>
          <w:tcPr>
            <w:tcW w:w="607" w:type="dxa"/>
            <w:vAlign w:val="center"/>
          </w:tcPr>
          <w:p w14:paraId="50356B50">
            <w:pPr>
              <w:adjustRightInd w:val="0"/>
              <w:snapToGrid w:val="0"/>
              <w:jc w:val="center"/>
              <w:rPr>
                <w:rFonts w:hint="eastAsia" w:ascii="宋体" w:hAnsi="宋体" w:cs="宋体"/>
                <w:color w:val="auto"/>
                <w:kern w:val="0"/>
                <w:szCs w:val="21"/>
                <w:highlight w:val="none"/>
                <w:lang w:val="en-US" w:eastAsia="zh-CN"/>
              </w:rPr>
            </w:pPr>
          </w:p>
        </w:tc>
        <w:tc>
          <w:tcPr>
            <w:tcW w:w="607" w:type="dxa"/>
            <w:vAlign w:val="center"/>
          </w:tcPr>
          <w:p w14:paraId="74D4267A">
            <w:pPr>
              <w:adjustRightInd w:val="0"/>
              <w:snapToGrid w:val="0"/>
              <w:jc w:val="center"/>
              <w:rPr>
                <w:rFonts w:hint="eastAsia" w:ascii="宋体" w:hAnsi="宋体" w:cs="宋体"/>
                <w:color w:val="auto"/>
                <w:kern w:val="0"/>
                <w:szCs w:val="21"/>
                <w:highlight w:val="none"/>
                <w:lang w:val="en-US" w:eastAsia="zh-CN"/>
              </w:rPr>
            </w:pPr>
          </w:p>
        </w:tc>
      </w:tr>
      <w:tr w14:paraId="015D3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0" w:hRule="atLeast"/>
          <w:jc w:val="center"/>
        </w:trPr>
        <w:tc>
          <w:tcPr>
            <w:tcW w:w="838" w:type="dxa"/>
            <w:vMerge w:val="restart"/>
            <w:vAlign w:val="center"/>
          </w:tcPr>
          <w:p w14:paraId="4007A51C">
            <w:pPr>
              <w:spacing w:line="360" w:lineRule="auto"/>
              <w:jc w:val="center"/>
              <w:textAlignment w:val="center"/>
              <w:rPr>
                <w:rFonts w:hint="eastAsia" w:ascii="宋体" w:hAnsi="宋体" w:eastAsia="宋体" w:cs="宋体"/>
                <w:color w:val="auto"/>
                <w:highlight w:val="none"/>
              </w:rPr>
            </w:pPr>
            <w:r>
              <w:rPr>
                <w:rFonts w:hint="eastAsia" w:ascii="宋体" w:hAnsi="宋体" w:eastAsia="宋体" w:cs="宋体"/>
                <w:color w:val="auto"/>
                <w:highlight w:val="none"/>
              </w:rPr>
              <w:t>技术分</w:t>
            </w:r>
          </w:p>
          <w:p w14:paraId="0A804BA8">
            <w:pP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cs="宋体"/>
                <w:color w:val="auto"/>
                <w:highlight w:val="none"/>
                <w:lang w:val="en-US" w:eastAsia="zh-CN"/>
              </w:rPr>
              <w:t>61</w:t>
            </w:r>
            <w:r>
              <w:rPr>
                <w:rFonts w:hint="eastAsia" w:ascii="宋体" w:hAnsi="宋体" w:eastAsia="宋体" w:cs="宋体"/>
                <w:color w:val="auto"/>
                <w:highlight w:val="none"/>
              </w:rPr>
              <w:t>分）</w:t>
            </w:r>
          </w:p>
        </w:tc>
        <w:tc>
          <w:tcPr>
            <w:tcW w:w="999" w:type="dxa"/>
            <w:vAlign w:val="center"/>
          </w:tcPr>
          <w:p w14:paraId="2F4B2212">
            <w:pPr>
              <w:keepNext w:val="0"/>
              <w:keepLines w:val="0"/>
              <w:pageBreakBefore w:val="0"/>
              <w:kinsoku/>
              <w:wordWrap/>
              <w:overflowPunct/>
              <w:topLinePunct w:val="0"/>
              <w:bidi w:val="0"/>
              <w:snapToGrid/>
              <w:spacing w:line="240" w:lineRule="auto"/>
              <w:jc w:val="center"/>
              <w:rPr>
                <w:rFonts w:hint="eastAsia" w:ascii="宋体" w:hAnsi="宋体" w:eastAsia="宋体" w:cs="宋体"/>
                <w:color w:val="auto"/>
                <w:szCs w:val="21"/>
                <w:highlight w:val="none"/>
              </w:rPr>
            </w:pPr>
            <w:r>
              <w:rPr>
                <w:rFonts w:hint="eastAsia" w:ascii="宋体" w:hAnsi="宋体" w:eastAsia="宋体" w:cs="宋体"/>
                <w:color w:val="auto"/>
                <w:spacing w:val="-4"/>
                <w:szCs w:val="21"/>
                <w:highlight w:val="none"/>
                <w:lang w:val="en-US" w:eastAsia="zh-CN"/>
              </w:rPr>
              <w:t>技术参数响应</w:t>
            </w:r>
          </w:p>
        </w:tc>
        <w:tc>
          <w:tcPr>
            <w:tcW w:w="6590" w:type="dxa"/>
            <w:vAlign w:val="center"/>
          </w:tcPr>
          <w:p w14:paraId="14D1B1AE">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投标产品的技术参数和性能指标全部响应或满足招标文件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第四章 公开招标需求-</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w:t>
            </w:r>
            <w:r>
              <w:rPr>
                <w:rFonts w:hint="eastAsia" w:ascii="宋体" w:hAnsi="宋体" w:cs="宋体"/>
                <w:color w:val="auto"/>
                <w:sz w:val="21"/>
                <w:szCs w:val="21"/>
                <w:highlight w:val="none"/>
                <w:lang w:val="en-US" w:eastAsia="zh-CN"/>
              </w:rPr>
              <w:t>采购清单</w:t>
            </w:r>
            <w:r>
              <w:rPr>
                <w:rFonts w:hint="eastAsia" w:ascii="宋体" w:hAnsi="宋体" w:eastAsia="宋体" w:cs="宋体"/>
                <w:color w:val="auto"/>
                <w:sz w:val="21"/>
                <w:szCs w:val="21"/>
                <w:highlight w:val="none"/>
                <w:lang w:val="en-US" w:eastAsia="zh-CN"/>
              </w:rPr>
              <w:t>-</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3P智能微型断路器、2P智能微型断路器、智慧组合式电气火灾探测器、用户信息传输装置、消防控制室图形显示装置、火灾自动报警平台软件</w:t>
            </w:r>
            <w:r>
              <w:rPr>
                <w:rFonts w:hint="eastAsia" w:ascii="宋体" w:hAnsi="宋体" w:eastAsia="宋体" w:cs="宋体"/>
                <w:color w:val="auto"/>
                <w:kern w:val="2"/>
                <w:sz w:val="21"/>
                <w:szCs w:val="21"/>
                <w:highlight w:val="none"/>
                <w:lang w:val="en-US" w:eastAsia="zh-CN" w:bidi="ar-SA"/>
              </w:rPr>
              <w:t>要求的得满分</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分，标“★”的为重要性指标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，其他技术指标</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共</w:t>
            </w:r>
            <w:r>
              <w:rPr>
                <w:rFonts w:hint="eastAsia" w:ascii="宋体" w:hAnsi="宋体" w:cs="宋体"/>
                <w:color w:val="auto"/>
                <w:sz w:val="21"/>
                <w:szCs w:val="21"/>
                <w:highlight w:val="none"/>
                <w:lang w:val="en-US" w:eastAsia="zh-CN"/>
              </w:rPr>
              <w:t>50</w:t>
            </w:r>
            <w:r>
              <w:rPr>
                <w:rFonts w:hint="eastAsia" w:ascii="宋体" w:hAnsi="宋体" w:eastAsia="宋体" w:cs="宋体"/>
                <w:color w:val="auto"/>
                <w:sz w:val="21"/>
                <w:szCs w:val="21"/>
                <w:highlight w:val="none"/>
                <w:lang w:val="en-US" w:eastAsia="zh-CN"/>
              </w:rPr>
              <w:t>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不满足或负偏离的一项</w:t>
            </w:r>
            <w:r>
              <w:rPr>
                <w:rFonts w:hint="eastAsia" w:ascii="宋体" w:hAnsi="宋体" w:eastAsia="宋体" w:cs="宋体"/>
                <w:color w:val="auto"/>
                <w:kern w:val="2"/>
                <w:sz w:val="21"/>
                <w:szCs w:val="21"/>
                <w:highlight w:val="none"/>
                <w:lang w:val="en-US" w:eastAsia="zh-CN" w:bidi="ar-SA"/>
              </w:rPr>
              <w:t>扣</w:t>
            </w:r>
            <w:r>
              <w:rPr>
                <w:rFonts w:hint="eastAsia" w:ascii="宋体" w:hAnsi="宋体" w:cs="宋体"/>
                <w:color w:val="auto"/>
                <w:kern w:val="2"/>
                <w:sz w:val="21"/>
                <w:szCs w:val="21"/>
                <w:highlight w:val="none"/>
                <w:lang w:val="en-US" w:eastAsia="zh-CN" w:bidi="ar-SA"/>
              </w:rPr>
              <w:t>0.1</w:t>
            </w:r>
            <w:r>
              <w:rPr>
                <w:rFonts w:hint="eastAsia" w:ascii="宋体" w:hAnsi="宋体" w:eastAsia="宋体" w:cs="宋体"/>
                <w:color w:val="auto"/>
                <w:kern w:val="2"/>
                <w:sz w:val="21"/>
                <w:szCs w:val="21"/>
                <w:highlight w:val="none"/>
                <w:lang w:val="en-US" w:eastAsia="zh-CN" w:bidi="ar-SA"/>
              </w:rPr>
              <w:t>分</w:t>
            </w:r>
            <w:r>
              <w:rPr>
                <w:rFonts w:hint="eastAsia" w:ascii="宋体" w:hAnsi="宋体" w:eastAsia="宋体" w:cs="宋体"/>
                <w:color w:val="auto"/>
                <w:kern w:val="2"/>
                <w:sz w:val="21"/>
                <w:szCs w:val="21"/>
                <w:highlight w:val="none"/>
                <w:lang w:val="en-US" w:eastAsia="zh-CN" w:bidi="ar-SA"/>
              </w:rPr>
              <w:t>，扣完为止。</w:t>
            </w:r>
          </w:p>
          <w:p w14:paraId="1C9DAE15">
            <w:pPr>
              <w:pStyle w:val="22"/>
              <w:keepNext w:val="0"/>
              <w:keepLines w:val="0"/>
              <w:pageBreakBefore w:val="0"/>
              <w:kinsoku/>
              <w:wordWrap/>
              <w:overflowPunct/>
              <w:topLinePunct w:val="0"/>
              <w:bidi w:val="0"/>
              <w:snapToGrid/>
              <w:spacing w:after="0" w:line="240" w:lineRule="auto"/>
              <w:ind w:left="0" w:leftChars="0" w:firstLine="0" w:firstLineChars="0"/>
              <w:rPr>
                <w:rFonts w:hint="eastAsia" w:ascii="宋体" w:hAnsi="宋体" w:eastAsia="宋体" w:cs="宋体"/>
                <w:color w:val="auto"/>
                <w:szCs w:val="21"/>
                <w:highlight w:val="none"/>
              </w:rPr>
            </w:pPr>
            <w:r>
              <w:rPr>
                <w:rFonts w:hint="eastAsia" w:ascii="宋体" w:hAnsi="宋体" w:cs="宋体"/>
                <w:b/>
                <w:bCs/>
                <w:color w:val="auto"/>
                <w:kern w:val="2"/>
                <w:sz w:val="21"/>
                <w:szCs w:val="21"/>
                <w:highlight w:val="none"/>
                <w:lang w:val="en-US" w:eastAsia="zh-CN" w:bidi="ar-SA"/>
              </w:rPr>
              <w:t>注：</w:t>
            </w:r>
            <w:r>
              <w:rPr>
                <w:rFonts w:hint="eastAsia" w:ascii="宋体" w:hAnsi="宋体" w:eastAsia="宋体" w:cs="宋体"/>
                <w:b/>
                <w:bCs/>
                <w:color w:val="auto"/>
                <w:kern w:val="2"/>
                <w:sz w:val="21"/>
                <w:szCs w:val="21"/>
                <w:highlight w:val="none"/>
                <w:lang w:val="en-US" w:eastAsia="zh-CN" w:bidi="ar-SA"/>
              </w:rPr>
              <w:t>“采购清单”</w:t>
            </w:r>
            <w:r>
              <w:rPr>
                <w:rFonts w:hint="eastAsia" w:ascii="宋体" w:hAnsi="宋体" w:cs="宋体"/>
                <w:b/>
                <w:bCs/>
                <w:color w:val="auto"/>
                <w:kern w:val="2"/>
                <w:sz w:val="21"/>
                <w:szCs w:val="21"/>
                <w:highlight w:val="none"/>
                <w:lang w:val="en-US" w:eastAsia="zh-CN" w:bidi="ar-SA"/>
              </w:rPr>
              <w:t>中</w:t>
            </w:r>
            <w:r>
              <w:rPr>
                <w:rFonts w:hint="eastAsia" w:ascii="宋体" w:hAnsi="宋体" w:eastAsia="宋体" w:cs="宋体"/>
                <w:b/>
                <w:bCs/>
                <w:color w:val="auto"/>
                <w:kern w:val="2"/>
                <w:sz w:val="21"/>
                <w:szCs w:val="21"/>
                <w:highlight w:val="none"/>
                <w:lang w:val="en-US" w:eastAsia="zh-CN" w:bidi="ar-SA"/>
              </w:rPr>
              <w:t>要求提供证明材料</w:t>
            </w:r>
            <w:r>
              <w:rPr>
                <w:rFonts w:hint="eastAsia" w:ascii="宋体" w:hAnsi="宋体" w:cs="宋体"/>
                <w:b/>
                <w:bCs/>
                <w:color w:val="auto"/>
                <w:kern w:val="2"/>
                <w:sz w:val="21"/>
                <w:szCs w:val="21"/>
                <w:highlight w:val="none"/>
                <w:lang w:val="en-US" w:eastAsia="zh-CN" w:bidi="ar-SA"/>
              </w:rPr>
              <w:t>的</w:t>
            </w:r>
            <w:r>
              <w:rPr>
                <w:rFonts w:hint="eastAsia" w:ascii="宋体" w:hAnsi="宋体" w:eastAsia="宋体" w:cs="宋体"/>
                <w:b/>
                <w:bCs/>
                <w:color w:val="auto"/>
                <w:kern w:val="2"/>
                <w:sz w:val="21"/>
                <w:szCs w:val="21"/>
                <w:highlight w:val="none"/>
                <w:lang w:val="en-US" w:eastAsia="zh-CN" w:bidi="ar-SA"/>
              </w:rPr>
              <w:t>，缺少证明材料的统一视为负偏离</w:t>
            </w:r>
            <w:r>
              <w:rPr>
                <w:rFonts w:hint="eastAsia" w:ascii="宋体" w:hAnsi="宋体" w:cs="宋体"/>
                <w:b/>
                <w:bCs/>
                <w:color w:val="auto"/>
                <w:kern w:val="2"/>
                <w:sz w:val="21"/>
                <w:szCs w:val="21"/>
                <w:highlight w:val="none"/>
                <w:lang w:val="en-US" w:eastAsia="zh-CN" w:bidi="ar-SA"/>
              </w:rPr>
              <w:t>。</w:t>
            </w:r>
          </w:p>
        </w:tc>
        <w:tc>
          <w:tcPr>
            <w:tcW w:w="607" w:type="dxa"/>
            <w:vAlign w:val="center"/>
          </w:tcPr>
          <w:p w14:paraId="13364DEF">
            <w:pPr>
              <w:adjustRightInd w:val="0"/>
              <w:snapToGrid w:val="0"/>
              <w:jc w:val="center"/>
              <w:rPr>
                <w:rFonts w:hint="default" w:ascii="宋体" w:hAnsi="宋体" w:eastAsia="宋体" w:cs="宋体"/>
                <w:color w:val="auto"/>
                <w:szCs w:val="21"/>
                <w:highlight w:val="none"/>
                <w:lang w:val="en-US"/>
              </w:rPr>
            </w:pPr>
            <w:r>
              <w:rPr>
                <w:rFonts w:hint="eastAsia" w:ascii="宋体" w:hAnsi="宋体" w:cs="宋体"/>
                <w:color w:val="auto"/>
                <w:kern w:val="0"/>
                <w:szCs w:val="21"/>
                <w:highlight w:val="none"/>
                <w:lang w:val="en-US" w:eastAsia="zh-CN"/>
              </w:rPr>
              <w:t>20</w:t>
            </w:r>
          </w:p>
        </w:tc>
        <w:tc>
          <w:tcPr>
            <w:tcW w:w="607" w:type="dxa"/>
            <w:vAlign w:val="center"/>
          </w:tcPr>
          <w:p w14:paraId="30E84E2D">
            <w:pPr>
              <w:adjustRightInd w:val="0"/>
              <w:snapToGrid w:val="0"/>
              <w:jc w:val="center"/>
              <w:rPr>
                <w:rFonts w:hint="eastAsia" w:ascii="宋体" w:hAnsi="宋体" w:cs="宋体"/>
                <w:color w:val="auto"/>
                <w:kern w:val="0"/>
                <w:szCs w:val="21"/>
                <w:highlight w:val="none"/>
                <w:lang w:val="en-US" w:eastAsia="zh-CN"/>
              </w:rPr>
            </w:pPr>
          </w:p>
        </w:tc>
        <w:tc>
          <w:tcPr>
            <w:tcW w:w="607" w:type="dxa"/>
            <w:vAlign w:val="center"/>
          </w:tcPr>
          <w:p w14:paraId="30C289BB">
            <w:pPr>
              <w:adjustRightInd w:val="0"/>
              <w:snapToGrid w:val="0"/>
              <w:jc w:val="center"/>
              <w:rPr>
                <w:rFonts w:hint="eastAsia" w:ascii="宋体" w:hAnsi="宋体" w:cs="宋体"/>
                <w:color w:val="auto"/>
                <w:kern w:val="0"/>
                <w:szCs w:val="21"/>
                <w:highlight w:val="none"/>
                <w:lang w:val="en-US" w:eastAsia="zh-CN"/>
              </w:rPr>
            </w:pPr>
          </w:p>
        </w:tc>
      </w:tr>
      <w:tr w14:paraId="11C78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9" w:hRule="atLeast"/>
          <w:jc w:val="center"/>
        </w:trPr>
        <w:tc>
          <w:tcPr>
            <w:tcW w:w="838" w:type="dxa"/>
            <w:vMerge w:val="continue"/>
            <w:vAlign w:val="center"/>
          </w:tcPr>
          <w:p w14:paraId="1A1BCA66">
            <w:pPr>
              <w:rPr>
                <w:rFonts w:hint="eastAsia" w:ascii="宋体" w:hAnsi="宋体" w:eastAsia="宋体" w:cs="宋体"/>
                <w:color w:val="auto"/>
                <w:highlight w:val="none"/>
              </w:rPr>
            </w:pPr>
          </w:p>
        </w:tc>
        <w:tc>
          <w:tcPr>
            <w:tcW w:w="999" w:type="dxa"/>
            <w:vMerge w:val="restart"/>
            <w:vAlign w:val="center"/>
          </w:tcPr>
          <w:p w14:paraId="76050281">
            <w:pPr>
              <w:widowControl/>
              <w:spacing w:line="288" w:lineRule="auto"/>
              <w:jc w:val="center"/>
              <w:textAlignment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深化方案</w:t>
            </w:r>
          </w:p>
        </w:tc>
        <w:tc>
          <w:tcPr>
            <w:tcW w:w="6590" w:type="dxa"/>
            <w:vAlign w:val="center"/>
          </w:tcPr>
          <w:p w14:paraId="3CA16AB5">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w:t>
            </w:r>
            <w:r>
              <w:rPr>
                <w:rFonts w:hint="eastAsia" w:ascii="宋体" w:hAnsi="宋体" w:cs="宋体"/>
                <w:color w:val="auto"/>
                <w:szCs w:val="21"/>
                <w:highlight w:val="none"/>
                <w:lang w:val="en-US" w:eastAsia="zh-CN"/>
              </w:rPr>
              <w:t>对本项目现场了解情况，包括主要设备点位分布图等是否符合实际情况</w:t>
            </w:r>
            <w:r>
              <w:rPr>
                <w:rFonts w:hint="eastAsia" w:ascii="宋体" w:hAnsi="宋体" w:cs="宋体"/>
                <w:color w:val="auto"/>
                <w:szCs w:val="21"/>
                <w:highlight w:val="none"/>
                <w:lang w:val="en-US" w:eastAsia="zh-CN"/>
              </w:rPr>
              <w:t>，根据方案先进性、完整性、具体性、可行性等进行打分。</w:t>
            </w: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07" w:type="dxa"/>
            <w:vAlign w:val="center"/>
          </w:tcPr>
          <w:p w14:paraId="1D07DEB2">
            <w:pPr>
              <w:widowControl/>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p>
        </w:tc>
        <w:tc>
          <w:tcPr>
            <w:tcW w:w="607" w:type="dxa"/>
            <w:vAlign w:val="center"/>
          </w:tcPr>
          <w:p w14:paraId="712F15E0">
            <w:pPr>
              <w:widowControl/>
              <w:jc w:val="center"/>
              <w:rPr>
                <w:rFonts w:hint="eastAsia" w:ascii="宋体" w:hAnsi="宋体" w:eastAsia="宋体" w:cs="宋体"/>
                <w:color w:val="auto"/>
                <w:szCs w:val="21"/>
                <w:highlight w:val="none"/>
              </w:rPr>
            </w:pPr>
          </w:p>
        </w:tc>
        <w:tc>
          <w:tcPr>
            <w:tcW w:w="607" w:type="dxa"/>
            <w:vAlign w:val="center"/>
          </w:tcPr>
          <w:p w14:paraId="190A5C45">
            <w:pPr>
              <w:widowControl/>
              <w:jc w:val="center"/>
              <w:rPr>
                <w:rFonts w:hint="eastAsia" w:ascii="宋体" w:hAnsi="宋体" w:eastAsia="宋体" w:cs="宋体"/>
                <w:color w:val="auto"/>
                <w:szCs w:val="21"/>
                <w:highlight w:val="none"/>
              </w:rPr>
            </w:pPr>
          </w:p>
        </w:tc>
      </w:tr>
      <w:tr w14:paraId="3EA9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39" w:hRule="atLeast"/>
          <w:jc w:val="center"/>
        </w:trPr>
        <w:tc>
          <w:tcPr>
            <w:tcW w:w="838" w:type="dxa"/>
            <w:vMerge w:val="continue"/>
            <w:vAlign w:val="center"/>
          </w:tcPr>
          <w:p w14:paraId="5F274E65">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5636A33E">
            <w:pPr>
              <w:widowControl/>
              <w:spacing w:line="288" w:lineRule="auto"/>
              <w:jc w:val="center"/>
              <w:textAlignment w:val="center"/>
              <w:rPr>
                <w:rFonts w:hint="eastAsia" w:ascii="宋体" w:hAnsi="宋体" w:eastAsia="宋体" w:cs="宋体"/>
                <w:color w:val="auto"/>
                <w:szCs w:val="21"/>
                <w:highlight w:val="none"/>
              </w:rPr>
            </w:pPr>
          </w:p>
        </w:tc>
        <w:tc>
          <w:tcPr>
            <w:tcW w:w="6590" w:type="dxa"/>
            <w:vAlign w:val="center"/>
          </w:tcPr>
          <w:p w14:paraId="6D736354">
            <w:pPr>
              <w:adjustRightInd w:val="0"/>
              <w:snapToGrid w:val="0"/>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根据投标人对本项目的理解，系统架构、</w:t>
            </w:r>
            <w:r>
              <w:rPr>
                <w:rFonts w:hint="eastAsia" w:ascii="宋体" w:hAnsi="宋体" w:cs="宋体"/>
                <w:color w:val="auto"/>
                <w:szCs w:val="21"/>
                <w:highlight w:val="none"/>
                <w:lang w:val="en-US" w:eastAsia="zh-CN"/>
              </w:rPr>
              <w:t>整体线路图符合的实际情况</w:t>
            </w:r>
            <w:r>
              <w:rPr>
                <w:rFonts w:hint="eastAsia" w:ascii="宋体" w:hAnsi="宋体" w:cs="宋体"/>
                <w:color w:val="auto"/>
                <w:szCs w:val="21"/>
                <w:highlight w:val="none"/>
                <w:lang w:val="en-US" w:eastAsia="zh-CN"/>
              </w:rPr>
              <w:t>以及深化方案的先进性、完整性、具体性、可行性等进行打分。</w:t>
            </w:r>
          </w:p>
          <w:p w14:paraId="3CAB00C5">
            <w:pPr>
              <w:adjustRightInd w:val="0"/>
              <w:snapToGrid w:val="0"/>
              <w:jc w:val="left"/>
              <w:rPr>
                <w:rFonts w:hint="eastAsia" w:ascii="宋体" w:hAnsi="宋体" w:cs="宋体"/>
                <w:color w:val="auto"/>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07" w:type="dxa"/>
            <w:vAlign w:val="center"/>
          </w:tcPr>
          <w:p w14:paraId="6BF2ACCD">
            <w:pPr>
              <w:widowControl/>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5</w:t>
            </w:r>
          </w:p>
        </w:tc>
        <w:tc>
          <w:tcPr>
            <w:tcW w:w="607" w:type="dxa"/>
            <w:vAlign w:val="center"/>
          </w:tcPr>
          <w:p w14:paraId="3DDEC6A7">
            <w:pPr>
              <w:widowControl/>
              <w:jc w:val="center"/>
              <w:rPr>
                <w:rFonts w:hint="eastAsia" w:ascii="宋体" w:hAnsi="宋体" w:eastAsia="宋体" w:cs="宋体"/>
                <w:color w:val="auto"/>
                <w:szCs w:val="21"/>
                <w:highlight w:val="none"/>
                <w:lang w:val="en-US" w:eastAsia="zh-CN"/>
              </w:rPr>
            </w:pPr>
          </w:p>
        </w:tc>
        <w:tc>
          <w:tcPr>
            <w:tcW w:w="607" w:type="dxa"/>
            <w:vAlign w:val="center"/>
          </w:tcPr>
          <w:p w14:paraId="7795DC20">
            <w:pPr>
              <w:widowControl/>
              <w:jc w:val="center"/>
              <w:rPr>
                <w:rFonts w:hint="eastAsia" w:ascii="宋体" w:hAnsi="宋体" w:eastAsia="宋体" w:cs="宋体"/>
                <w:color w:val="auto"/>
                <w:szCs w:val="21"/>
                <w:highlight w:val="none"/>
                <w:lang w:val="en-US" w:eastAsia="zh-CN"/>
              </w:rPr>
            </w:pPr>
          </w:p>
        </w:tc>
      </w:tr>
      <w:tr w14:paraId="59153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430CA00B">
            <w:pPr>
              <w:spacing w:line="360" w:lineRule="auto"/>
              <w:jc w:val="center"/>
              <w:textAlignment w:val="center"/>
              <w:rPr>
                <w:rFonts w:hint="eastAsia" w:ascii="宋体" w:hAnsi="宋体" w:eastAsia="宋体" w:cs="宋体"/>
                <w:color w:val="auto"/>
                <w:szCs w:val="21"/>
                <w:highlight w:val="none"/>
              </w:rPr>
            </w:pPr>
          </w:p>
        </w:tc>
        <w:tc>
          <w:tcPr>
            <w:tcW w:w="999" w:type="dxa"/>
            <w:vMerge w:val="restart"/>
            <w:vAlign w:val="center"/>
          </w:tcPr>
          <w:p w14:paraId="00646711">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实施方案</w:t>
            </w:r>
          </w:p>
        </w:tc>
        <w:tc>
          <w:tcPr>
            <w:tcW w:w="6590" w:type="dxa"/>
            <w:shd w:val="clear" w:color="auto" w:fill="auto"/>
            <w:vAlign w:val="center"/>
          </w:tcPr>
          <w:p w14:paraId="440DB57E">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根据投标人针对本项目提供的施工计划、安装及调试措施、安全保证措施、质量保证措施、环境保证措施进行打分。</w:t>
            </w:r>
          </w:p>
          <w:p w14:paraId="4476677C">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07" w:type="dxa"/>
            <w:vAlign w:val="center"/>
          </w:tcPr>
          <w:p w14:paraId="51F557B0">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07" w:type="dxa"/>
            <w:vAlign w:val="center"/>
          </w:tcPr>
          <w:p w14:paraId="3B7106FF">
            <w:pPr>
              <w:autoSpaceDE w:val="0"/>
              <w:autoSpaceDN w:val="0"/>
              <w:adjustRightInd w:val="0"/>
              <w:jc w:val="center"/>
              <w:rPr>
                <w:rFonts w:hint="eastAsia" w:ascii="宋体" w:hAnsi="宋体" w:cs="宋体"/>
                <w:color w:val="auto"/>
                <w:szCs w:val="21"/>
                <w:highlight w:val="none"/>
                <w:lang w:val="en-US" w:eastAsia="zh-CN"/>
              </w:rPr>
            </w:pPr>
          </w:p>
        </w:tc>
        <w:tc>
          <w:tcPr>
            <w:tcW w:w="607" w:type="dxa"/>
            <w:vAlign w:val="center"/>
          </w:tcPr>
          <w:p w14:paraId="44621C87">
            <w:pPr>
              <w:autoSpaceDE w:val="0"/>
              <w:autoSpaceDN w:val="0"/>
              <w:adjustRightInd w:val="0"/>
              <w:jc w:val="center"/>
              <w:rPr>
                <w:rFonts w:hint="eastAsia" w:ascii="宋体" w:hAnsi="宋体" w:cs="宋体"/>
                <w:color w:val="auto"/>
                <w:szCs w:val="21"/>
                <w:highlight w:val="none"/>
                <w:lang w:val="en-US" w:eastAsia="zh-CN"/>
              </w:rPr>
            </w:pPr>
          </w:p>
        </w:tc>
      </w:tr>
      <w:tr w14:paraId="1200C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66BC12D0">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5631F682">
            <w:pPr>
              <w:spacing w:line="360" w:lineRule="auto"/>
              <w:jc w:val="center"/>
              <w:rPr>
                <w:rFonts w:hint="eastAsia" w:ascii="宋体" w:hAnsi="宋体" w:eastAsia="宋体" w:cs="宋体"/>
                <w:color w:val="auto"/>
                <w:szCs w:val="21"/>
                <w:highlight w:val="none"/>
              </w:rPr>
            </w:pPr>
          </w:p>
        </w:tc>
        <w:tc>
          <w:tcPr>
            <w:tcW w:w="6590" w:type="dxa"/>
            <w:shd w:val="clear" w:color="auto" w:fill="auto"/>
            <w:vAlign w:val="center"/>
          </w:tcPr>
          <w:p w14:paraId="3CA69B9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根据投标人对本项目文物保护单位情况的熟悉程度、风险评估的详实度，充分体现文物保护风险防范等级及原貌保护的相关要求</w:t>
            </w:r>
            <w:r>
              <w:rPr>
                <w:rFonts w:hint="eastAsia" w:ascii="宋体" w:hAnsi="宋体" w:cs="宋体"/>
                <w:color w:val="auto"/>
                <w:sz w:val="21"/>
                <w:szCs w:val="21"/>
                <w:highlight w:val="none"/>
                <w:lang w:val="en-US" w:eastAsia="zh-CN"/>
              </w:rPr>
              <w:t>等情况进行打分</w:t>
            </w:r>
            <w:r>
              <w:rPr>
                <w:rFonts w:hint="eastAsia" w:ascii="宋体" w:hAnsi="宋体" w:eastAsia="宋体" w:cs="宋体"/>
                <w:color w:val="auto"/>
                <w:sz w:val="21"/>
                <w:szCs w:val="21"/>
                <w:highlight w:val="none"/>
                <w:lang w:val="en-US" w:eastAsia="zh-CN"/>
              </w:rPr>
              <w:t>。</w:t>
            </w:r>
          </w:p>
          <w:p w14:paraId="6DA8C410">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07" w:type="dxa"/>
            <w:vAlign w:val="center"/>
          </w:tcPr>
          <w:p w14:paraId="4A065034">
            <w:pPr>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07" w:type="dxa"/>
            <w:vAlign w:val="center"/>
          </w:tcPr>
          <w:p w14:paraId="3AB9B790">
            <w:pPr>
              <w:spacing w:line="360" w:lineRule="auto"/>
              <w:jc w:val="center"/>
              <w:rPr>
                <w:rFonts w:hint="eastAsia" w:ascii="宋体" w:hAnsi="宋体" w:cs="宋体"/>
                <w:color w:val="auto"/>
                <w:szCs w:val="21"/>
                <w:highlight w:val="none"/>
                <w:lang w:val="en-US" w:eastAsia="zh-CN"/>
              </w:rPr>
            </w:pPr>
          </w:p>
        </w:tc>
        <w:tc>
          <w:tcPr>
            <w:tcW w:w="607" w:type="dxa"/>
            <w:vAlign w:val="center"/>
          </w:tcPr>
          <w:p w14:paraId="086CF8F2">
            <w:pPr>
              <w:spacing w:line="360" w:lineRule="auto"/>
              <w:jc w:val="center"/>
              <w:rPr>
                <w:rFonts w:hint="eastAsia" w:ascii="宋体" w:hAnsi="宋体" w:cs="宋体"/>
                <w:color w:val="auto"/>
                <w:szCs w:val="21"/>
                <w:highlight w:val="none"/>
                <w:lang w:val="en-US" w:eastAsia="zh-CN"/>
              </w:rPr>
            </w:pPr>
          </w:p>
        </w:tc>
      </w:tr>
      <w:tr w14:paraId="68471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28" w:hRule="atLeast"/>
          <w:jc w:val="center"/>
        </w:trPr>
        <w:tc>
          <w:tcPr>
            <w:tcW w:w="838" w:type="dxa"/>
            <w:vMerge w:val="continue"/>
            <w:vAlign w:val="center"/>
          </w:tcPr>
          <w:p w14:paraId="695F37A3">
            <w:pPr>
              <w:spacing w:line="360" w:lineRule="auto"/>
              <w:jc w:val="center"/>
              <w:textAlignment w:val="center"/>
              <w:rPr>
                <w:rFonts w:hint="eastAsia" w:ascii="宋体" w:hAnsi="宋体" w:eastAsia="宋体" w:cs="宋体"/>
                <w:color w:val="auto"/>
                <w:szCs w:val="21"/>
                <w:highlight w:val="none"/>
              </w:rPr>
            </w:pPr>
          </w:p>
        </w:tc>
        <w:tc>
          <w:tcPr>
            <w:tcW w:w="999" w:type="dxa"/>
            <w:vMerge w:val="continue"/>
            <w:vAlign w:val="center"/>
          </w:tcPr>
          <w:p w14:paraId="035BFD4A">
            <w:pPr>
              <w:autoSpaceDE w:val="0"/>
              <w:autoSpaceDN w:val="0"/>
              <w:adjustRightInd w:val="0"/>
              <w:jc w:val="center"/>
              <w:rPr>
                <w:rFonts w:hint="eastAsia" w:ascii="宋体" w:hAnsi="宋体" w:eastAsia="宋体" w:cs="宋体"/>
                <w:color w:val="auto"/>
                <w:szCs w:val="21"/>
                <w:highlight w:val="none"/>
              </w:rPr>
            </w:pPr>
          </w:p>
        </w:tc>
        <w:tc>
          <w:tcPr>
            <w:tcW w:w="6590" w:type="dxa"/>
            <w:shd w:val="clear" w:color="auto" w:fill="auto"/>
            <w:vAlign w:val="center"/>
          </w:tcPr>
          <w:p w14:paraId="18D9411E">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根据投标人对文保单位项目</w:t>
            </w:r>
            <w:r>
              <w:rPr>
                <w:rFonts w:hint="eastAsia" w:ascii="宋体" w:hAnsi="宋体" w:eastAsia="宋体" w:cs="宋体"/>
                <w:color w:val="auto"/>
                <w:sz w:val="21"/>
                <w:szCs w:val="21"/>
                <w:highlight w:val="none"/>
                <w:lang w:val="en-US" w:eastAsia="zh-CN"/>
              </w:rPr>
              <w:t>专项验收的内容</w:t>
            </w:r>
            <w:r>
              <w:rPr>
                <w:rFonts w:hint="eastAsia" w:ascii="宋体" w:hAnsi="宋体" w:eastAsia="宋体" w:cs="宋体"/>
                <w:color w:val="auto"/>
                <w:sz w:val="21"/>
                <w:szCs w:val="21"/>
                <w:highlight w:val="none"/>
                <w:lang w:val="en-US" w:eastAsia="zh-CN"/>
              </w:rPr>
              <w:t>及流程熟悉程度等情况进行打分。</w:t>
            </w:r>
          </w:p>
          <w:p w14:paraId="13D42F51">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一档得5分；二档得4.5分；三档得4分；四档得3.5分；五档得3分；六档得2.5分；七档得2分；八档得1.5分；九档得1分；未提及此项不得分。</w:t>
            </w:r>
          </w:p>
        </w:tc>
        <w:tc>
          <w:tcPr>
            <w:tcW w:w="607" w:type="dxa"/>
            <w:vAlign w:val="center"/>
          </w:tcPr>
          <w:p w14:paraId="0E578FF5">
            <w:pPr>
              <w:autoSpaceDE w:val="0"/>
              <w:autoSpaceDN w:val="0"/>
              <w:adjustRightInd w:val="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607" w:type="dxa"/>
            <w:vAlign w:val="center"/>
          </w:tcPr>
          <w:p w14:paraId="3A14FA75">
            <w:pPr>
              <w:autoSpaceDE w:val="0"/>
              <w:autoSpaceDN w:val="0"/>
              <w:adjustRightInd w:val="0"/>
              <w:jc w:val="center"/>
              <w:rPr>
                <w:rFonts w:hint="eastAsia" w:ascii="宋体" w:hAnsi="宋体" w:cs="宋体"/>
                <w:color w:val="auto"/>
                <w:szCs w:val="21"/>
                <w:highlight w:val="none"/>
                <w:lang w:val="en-US" w:eastAsia="zh-CN"/>
              </w:rPr>
            </w:pPr>
          </w:p>
        </w:tc>
        <w:tc>
          <w:tcPr>
            <w:tcW w:w="607" w:type="dxa"/>
            <w:vAlign w:val="center"/>
          </w:tcPr>
          <w:p w14:paraId="4F9CFD00">
            <w:pPr>
              <w:autoSpaceDE w:val="0"/>
              <w:autoSpaceDN w:val="0"/>
              <w:adjustRightInd w:val="0"/>
              <w:jc w:val="center"/>
              <w:rPr>
                <w:rFonts w:hint="eastAsia" w:ascii="宋体" w:hAnsi="宋体" w:cs="宋体"/>
                <w:color w:val="auto"/>
                <w:szCs w:val="21"/>
                <w:highlight w:val="none"/>
                <w:lang w:val="en-US" w:eastAsia="zh-CN"/>
              </w:rPr>
            </w:pPr>
          </w:p>
        </w:tc>
      </w:tr>
      <w:tr w14:paraId="18FA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6" w:hRule="atLeast"/>
          <w:jc w:val="center"/>
        </w:trPr>
        <w:tc>
          <w:tcPr>
            <w:tcW w:w="838" w:type="dxa"/>
            <w:vMerge w:val="continue"/>
            <w:vAlign w:val="center"/>
          </w:tcPr>
          <w:p w14:paraId="17250D9C">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6405DA19">
            <w:pPr>
              <w:autoSpaceDE w:val="0"/>
              <w:autoSpaceDN w:val="0"/>
              <w:adjustRightInd w:val="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应急预案</w:t>
            </w:r>
          </w:p>
        </w:tc>
        <w:tc>
          <w:tcPr>
            <w:tcW w:w="6590" w:type="dxa"/>
            <w:vAlign w:val="center"/>
          </w:tcPr>
          <w:p w14:paraId="19B633C7">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根据投标人针对后续实际项目实施中可能遇到的紧急事件、异常处理等是否具有详细完善的应急响应制度、实施保障方案进行打分。</w:t>
            </w:r>
          </w:p>
          <w:p w14:paraId="516DB232">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五档得1分；六档得0.5分；</w:t>
            </w:r>
            <w:r>
              <w:rPr>
                <w:rFonts w:hint="eastAsia" w:ascii="宋体" w:hAnsi="宋体" w:eastAsia="宋体" w:cs="宋体"/>
                <w:color w:val="auto"/>
                <w:sz w:val="21"/>
                <w:szCs w:val="21"/>
                <w:highlight w:val="none"/>
                <w:lang w:val="en-US" w:eastAsia="zh-CN"/>
              </w:rPr>
              <w:t>未提及此项不得分。</w:t>
            </w:r>
          </w:p>
        </w:tc>
        <w:tc>
          <w:tcPr>
            <w:tcW w:w="607" w:type="dxa"/>
            <w:vAlign w:val="center"/>
          </w:tcPr>
          <w:p w14:paraId="74836565">
            <w:pPr>
              <w:spacing w:before="100" w:beforeAutospacing="1" w:after="100" w:afterAutospacing="1"/>
              <w:jc w:val="center"/>
              <w:rPr>
                <w:rFonts w:hint="eastAsia" w:ascii="宋体" w:hAnsi="宋体" w:eastAsia="宋体" w:cs="宋体"/>
                <w:color w:val="auto"/>
                <w:spacing w:val="-4"/>
                <w:szCs w:val="21"/>
                <w:highlight w:val="none"/>
                <w:lang w:eastAsia="zh-CN"/>
              </w:rPr>
            </w:pPr>
            <w:r>
              <w:rPr>
                <w:rFonts w:hint="eastAsia" w:ascii="宋体" w:hAnsi="宋体" w:cs="宋体"/>
                <w:color w:val="auto"/>
                <w:spacing w:val="-4"/>
                <w:szCs w:val="21"/>
                <w:highlight w:val="none"/>
                <w:lang w:val="en-US" w:eastAsia="zh-CN"/>
              </w:rPr>
              <w:t>3</w:t>
            </w:r>
          </w:p>
        </w:tc>
        <w:tc>
          <w:tcPr>
            <w:tcW w:w="607" w:type="dxa"/>
            <w:vAlign w:val="center"/>
          </w:tcPr>
          <w:p w14:paraId="62E03019">
            <w:pPr>
              <w:spacing w:before="100" w:beforeAutospacing="1" w:after="100" w:afterAutospacing="1"/>
              <w:jc w:val="center"/>
              <w:rPr>
                <w:rFonts w:hint="eastAsia" w:ascii="宋体" w:hAnsi="宋体" w:cs="宋体"/>
                <w:color w:val="auto"/>
                <w:spacing w:val="-4"/>
                <w:szCs w:val="21"/>
                <w:highlight w:val="none"/>
                <w:lang w:val="en-US" w:eastAsia="zh-CN"/>
              </w:rPr>
            </w:pPr>
          </w:p>
        </w:tc>
        <w:tc>
          <w:tcPr>
            <w:tcW w:w="607" w:type="dxa"/>
            <w:vAlign w:val="center"/>
          </w:tcPr>
          <w:p w14:paraId="6C191C66">
            <w:pPr>
              <w:spacing w:before="100" w:beforeAutospacing="1" w:after="100" w:afterAutospacing="1"/>
              <w:jc w:val="center"/>
              <w:rPr>
                <w:rFonts w:hint="eastAsia" w:ascii="宋体" w:hAnsi="宋体" w:cs="宋体"/>
                <w:color w:val="auto"/>
                <w:spacing w:val="-4"/>
                <w:szCs w:val="21"/>
                <w:highlight w:val="none"/>
                <w:lang w:val="en-US" w:eastAsia="zh-CN"/>
              </w:rPr>
            </w:pPr>
          </w:p>
        </w:tc>
      </w:tr>
      <w:tr w14:paraId="489D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8" w:hRule="atLeast"/>
          <w:jc w:val="center"/>
        </w:trPr>
        <w:tc>
          <w:tcPr>
            <w:tcW w:w="838" w:type="dxa"/>
            <w:vMerge w:val="continue"/>
            <w:vAlign w:val="center"/>
          </w:tcPr>
          <w:p w14:paraId="00C69560">
            <w:pPr>
              <w:spacing w:line="360" w:lineRule="auto"/>
              <w:jc w:val="center"/>
              <w:textAlignment w:val="center"/>
              <w:rPr>
                <w:rFonts w:hint="eastAsia" w:ascii="宋体" w:hAnsi="宋体" w:eastAsia="宋体" w:cs="宋体"/>
                <w:color w:val="auto"/>
                <w:szCs w:val="21"/>
                <w:highlight w:val="none"/>
              </w:rPr>
            </w:pPr>
          </w:p>
        </w:tc>
        <w:tc>
          <w:tcPr>
            <w:tcW w:w="999" w:type="dxa"/>
            <w:vAlign w:val="center"/>
          </w:tcPr>
          <w:p w14:paraId="2741B652">
            <w:pPr>
              <w:pStyle w:val="9"/>
              <w:keepNext w:val="0"/>
              <w:keepLines w:val="0"/>
              <w:pageBreakBefore w:val="0"/>
              <w:widowControl w:val="0"/>
              <w:kinsoku/>
              <w:wordWrap/>
              <w:overflowPunct/>
              <w:topLinePunct w:val="0"/>
              <w:autoSpaceDE/>
              <w:autoSpaceDN/>
              <w:bidi w:val="0"/>
              <w:adjustRightInd/>
              <w:snapToGrid/>
              <w:spacing w:after="0" w:line="240" w:lineRule="auto"/>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售后服务方案</w:t>
            </w:r>
          </w:p>
        </w:tc>
        <w:tc>
          <w:tcPr>
            <w:tcW w:w="6590" w:type="dxa"/>
            <w:vAlign w:val="center"/>
          </w:tcPr>
          <w:p w14:paraId="1DD107BB">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根据投标人承诺提供的售后服务方案（服务能力、服务措施、服务承诺等方面）情况，包括服务承诺的可行性、完整性以及后续实施保障措施等进行打分。</w:t>
            </w:r>
          </w:p>
          <w:p w14:paraId="585851F1">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三</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四</w:t>
            </w:r>
            <w:r>
              <w:rPr>
                <w:rFonts w:hint="eastAsia" w:ascii="宋体" w:hAnsi="宋体" w:eastAsia="宋体" w:cs="宋体"/>
                <w:color w:val="auto"/>
                <w:sz w:val="21"/>
                <w:szCs w:val="21"/>
                <w:highlight w:val="none"/>
                <w:lang w:val="en-US" w:eastAsia="zh-CN"/>
              </w:rPr>
              <w:t>档得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五档得1分；六档得0.5分；</w:t>
            </w:r>
            <w:r>
              <w:rPr>
                <w:rFonts w:hint="eastAsia" w:ascii="宋体" w:hAnsi="宋体" w:eastAsia="宋体" w:cs="宋体"/>
                <w:color w:val="auto"/>
                <w:sz w:val="21"/>
                <w:szCs w:val="21"/>
                <w:highlight w:val="none"/>
                <w:lang w:val="en-US" w:eastAsia="zh-CN"/>
              </w:rPr>
              <w:t>未提及此项不得分。</w:t>
            </w:r>
          </w:p>
        </w:tc>
        <w:tc>
          <w:tcPr>
            <w:tcW w:w="607" w:type="dxa"/>
            <w:vAlign w:val="center"/>
          </w:tcPr>
          <w:p w14:paraId="29AC37FB">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cs="宋体"/>
                <w:b w:val="0"/>
                <w:bCs w:val="0"/>
                <w:color w:val="auto"/>
                <w:kern w:val="2"/>
                <w:sz w:val="21"/>
                <w:szCs w:val="21"/>
                <w:highlight w:val="none"/>
                <w:lang w:val="en-US" w:eastAsia="zh-CN" w:bidi="ar-SA"/>
              </w:rPr>
              <w:t>3</w:t>
            </w:r>
          </w:p>
        </w:tc>
        <w:tc>
          <w:tcPr>
            <w:tcW w:w="607" w:type="dxa"/>
            <w:vAlign w:val="center"/>
          </w:tcPr>
          <w:p w14:paraId="0BC674A0">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c>
          <w:tcPr>
            <w:tcW w:w="607" w:type="dxa"/>
            <w:vAlign w:val="center"/>
          </w:tcPr>
          <w:p w14:paraId="5A50A374">
            <w:pPr>
              <w:keepNext w:val="0"/>
              <w:keepLines w:val="0"/>
              <w:pageBreakBefore w:val="0"/>
              <w:kinsoku/>
              <w:wordWrap/>
              <w:topLinePunct w:val="0"/>
              <w:autoSpaceDE w:val="0"/>
              <w:autoSpaceDN w:val="0"/>
              <w:bidi w:val="0"/>
              <w:adjustRightInd w:val="0"/>
              <w:spacing w:beforeAutospacing="0" w:afterAutospacing="0" w:line="240" w:lineRule="auto"/>
              <w:ind w:left="0" w:leftChars="0"/>
              <w:jc w:val="center"/>
              <w:textAlignment w:val="auto"/>
              <w:rPr>
                <w:rFonts w:hint="eastAsia" w:ascii="宋体" w:hAnsi="宋体" w:cs="宋体"/>
                <w:b w:val="0"/>
                <w:bCs w:val="0"/>
                <w:color w:val="auto"/>
                <w:kern w:val="2"/>
                <w:sz w:val="21"/>
                <w:szCs w:val="21"/>
                <w:highlight w:val="none"/>
                <w:lang w:val="en-US" w:eastAsia="zh-CN" w:bidi="ar-SA"/>
              </w:rPr>
            </w:pPr>
          </w:p>
        </w:tc>
      </w:tr>
      <w:tr w14:paraId="58EDA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7" w:hRule="atLeast"/>
          <w:jc w:val="center"/>
        </w:trPr>
        <w:tc>
          <w:tcPr>
            <w:tcW w:w="838" w:type="dxa"/>
            <w:vMerge w:val="continue"/>
            <w:vAlign w:val="center"/>
          </w:tcPr>
          <w:p w14:paraId="0A233A06">
            <w:pPr>
              <w:jc w:val="center"/>
              <w:rPr>
                <w:rFonts w:hint="eastAsia" w:ascii="宋体" w:hAnsi="宋体" w:eastAsia="宋体" w:cs="宋体"/>
                <w:color w:val="auto"/>
                <w:szCs w:val="21"/>
                <w:highlight w:val="none"/>
              </w:rPr>
            </w:pPr>
          </w:p>
        </w:tc>
        <w:tc>
          <w:tcPr>
            <w:tcW w:w="999" w:type="dxa"/>
            <w:vAlign w:val="center"/>
          </w:tcPr>
          <w:p w14:paraId="0E5929DE">
            <w:pPr>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演示</w:t>
            </w:r>
          </w:p>
        </w:tc>
        <w:tc>
          <w:tcPr>
            <w:tcW w:w="6590" w:type="dxa"/>
            <w:vAlign w:val="center"/>
          </w:tcPr>
          <w:p w14:paraId="0DF8EFA6">
            <w:pPr>
              <w:adjustRightInd w:val="0"/>
              <w:snapToGrid w:val="0"/>
              <w:jc w:val="left"/>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根据投标人</w:t>
            </w:r>
            <w:r>
              <w:rPr>
                <w:rFonts w:hint="eastAsia" w:ascii="宋体" w:hAnsi="宋体" w:eastAsia="宋体" w:cs="宋体"/>
                <w:color w:val="auto"/>
                <w:sz w:val="21"/>
                <w:szCs w:val="21"/>
                <w:highlight w:val="none"/>
                <w:lang w:val="en-US" w:eastAsia="zh-CN"/>
              </w:rPr>
              <w:t>提供的</w:t>
            </w:r>
            <w:r>
              <w:rPr>
                <w:rFonts w:hint="eastAsia" w:ascii="宋体" w:hAnsi="宋体" w:eastAsia="宋体" w:cs="宋体"/>
                <w:color w:val="auto"/>
                <w:sz w:val="21"/>
                <w:szCs w:val="21"/>
                <w:highlight w:val="none"/>
                <w:lang w:val="zh-CN" w:eastAsia="zh-CN"/>
              </w:rPr>
              <w:t>演示</w:t>
            </w:r>
            <w:r>
              <w:rPr>
                <w:rFonts w:hint="eastAsia" w:ascii="宋体" w:hAnsi="宋体" w:eastAsia="宋体" w:cs="宋体"/>
                <w:color w:val="auto"/>
                <w:sz w:val="21"/>
                <w:szCs w:val="21"/>
                <w:highlight w:val="none"/>
                <w:lang w:val="en-US" w:eastAsia="zh-CN"/>
              </w:rPr>
              <w:t>视频</w:t>
            </w:r>
            <w:r>
              <w:rPr>
                <w:rFonts w:hint="eastAsia" w:ascii="宋体" w:hAnsi="宋体" w:eastAsia="宋体" w:cs="宋体"/>
                <w:color w:val="auto"/>
                <w:sz w:val="21"/>
                <w:szCs w:val="21"/>
                <w:highlight w:val="none"/>
                <w:lang w:val="zh-CN" w:eastAsia="zh-CN"/>
              </w:rPr>
              <w:t>内容进行</w:t>
            </w:r>
            <w:r>
              <w:rPr>
                <w:rFonts w:hint="eastAsia" w:ascii="宋体" w:hAnsi="宋体" w:eastAsia="宋体" w:cs="宋体"/>
                <w:color w:val="auto"/>
                <w:sz w:val="21"/>
                <w:szCs w:val="21"/>
                <w:highlight w:val="none"/>
                <w:lang w:val="en-US" w:eastAsia="zh-CN"/>
              </w:rPr>
              <w:t>打分。</w:t>
            </w:r>
          </w:p>
          <w:p w14:paraId="0395C6A0">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工作台：提供一站式报警事件接收处理的工作台。实时接收系统的报警事件，通过语音进行报警信息的播报，支持查看报警类型、报警等级、报警次数、所属设备等信息，并根据资源在平面图的位置、联动视频预览和回访、抓图画面等方式，进行报警的核实。支持处理报警，输入处理意见，选择该报警为真实火警、误报、核实中及测试，根据演示情况进行打分。</w:t>
            </w:r>
          </w:p>
          <w:p w14:paraId="04D078A6">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7463659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数据监测：展示火灾报警系统、电气火灾系统相关的设备总数、包括在线设备、离线设备、未注册设备、正常设备、故障设备数量；展示设备监测值，包括正常、异常检测值；展示传感器正常、故障数量，传感器监测值正常、异常数量。展示火灾报警系统，各传感器的报警状态、启动状态、停止状态、反馈状态、监管状态、屏蔽状态、故障状态，根据演示情况进行打分。</w:t>
            </w:r>
          </w:p>
          <w:p w14:paraId="196373E8">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10467D04">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③消防网管：对设备、传感器状态进行统计和分析，按照近7天/近30天/近一年的维度，展示设备故障原因排名TOP10，和故障趋势图。按照区域、系统展示消防设备故障率TOP10。按照频繁误报、频繁故障、频繁离线、频繁信号弱等标签对设备进行画像分析，统计各标签下的设备/传感器排名TOP10，根据演示情况进行打分。</w:t>
            </w:r>
          </w:p>
          <w:p w14:paraId="0A019227">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6F1417F1">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④支持将CPT导出的工程文件导入平台，实现火灾报警控制器设备、传感器、区域、平面图及平面图上的坐标一次性导入平台，并完成传感器的自动上图，根据演示情况进行打分。</w:t>
            </w:r>
          </w:p>
          <w:p w14:paraId="2C42E665">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75A7366B">
            <w:pPr>
              <w:adjustRightInd w:val="0"/>
              <w:snapToGrid w:val="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⑤支持火灾报警控制器发生火灾报警时，在平台侧下发消音、复位、手自动切换、警报器启动、联动启动指令，并展示远程控制效果。可实时查看火灾报警控制器火警、联动、启动延时、反馈、监管、屏蔽、系统故障、节点故障等15种以上状态指示灯。可在平台侧查看火灾报警控制器回路的状态，包含火警、启动、故障等，可查看多线板状态，总线板状态，根据演示情况进行打分。</w:t>
            </w:r>
          </w:p>
          <w:p w14:paraId="709F6540">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一档得2分；二档得1.5分；三档得1分；四档得0.5分；未提及此项不得分。</w:t>
            </w:r>
          </w:p>
          <w:p w14:paraId="0E179BBD">
            <w:pPr>
              <w:keepNext w:val="0"/>
              <w:keepLines w:val="0"/>
              <w:pageBreakBefore w:val="0"/>
              <w:numPr>
                <w:ilvl w:val="0"/>
                <w:numId w:val="0"/>
              </w:numPr>
              <w:kinsoku/>
              <w:wordWrap/>
              <w:overflowPunct/>
              <w:topLinePunct w:val="0"/>
              <w:bidi w:val="0"/>
              <w:spacing w:beforeAutospacing="0" w:afterAutospacing="0" w:line="240" w:lineRule="auto"/>
              <w:ind w:left="0" w:leftChars="0" w:firstLine="0" w:firstLineChars="0"/>
              <w:jc w:val="left"/>
              <w:textAlignment w:val="auto"/>
              <w:outlineLvl w:val="9"/>
              <w:rPr>
                <w:rFonts w:hint="default"/>
                <w:color w:val="auto"/>
                <w:highlight w:val="none"/>
                <w:lang w:val="en-US"/>
              </w:rPr>
            </w:pPr>
            <w:r>
              <w:rPr>
                <w:rFonts w:hint="eastAsia" w:ascii="宋体" w:hAnsi="宋体" w:cs="宋体"/>
                <w:color w:val="auto"/>
                <w:sz w:val="21"/>
                <w:szCs w:val="21"/>
                <w:highlight w:val="none"/>
                <w:lang w:val="en-US" w:eastAsia="zh-CN"/>
              </w:rPr>
              <w:t>本项最高得10分。</w:t>
            </w:r>
          </w:p>
        </w:tc>
        <w:tc>
          <w:tcPr>
            <w:tcW w:w="607" w:type="dxa"/>
            <w:vAlign w:val="center"/>
          </w:tcPr>
          <w:p w14:paraId="07FE6DDD">
            <w:pPr>
              <w:widowControl/>
              <w:spacing w:line="288" w:lineRule="auto"/>
              <w:jc w:val="center"/>
              <w:textAlignment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607" w:type="dxa"/>
            <w:vAlign w:val="center"/>
          </w:tcPr>
          <w:p w14:paraId="14AA6197">
            <w:pPr>
              <w:widowControl/>
              <w:spacing w:line="288" w:lineRule="auto"/>
              <w:jc w:val="center"/>
              <w:textAlignment w:val="center"/>
              <w:rPr>
                <w:rFonts w:hint="eastAsia" w:ascii="宋体" w:hAnsi="宋体" w:cs="宋体"/>
                <w:color w:val="auto"/>
                <w:szCs w:val="21"/>
                <w:highlight w:val="none"/>
                <w:lang w:val="en-US" w:eastAsia="zh-CN"/>
              </w:rPr>
            </w:pPr>
          </w:p>
        </w:tc>
        <w:tc>
          <w:tcPr>
            <w:tcW w:w="607" w:type="dxa"/>
            <w:vAlign w:val="center"/>
          </w:tcPr>
          <w:p w14:paraId="51F07A1C">
            <w:pPr>
              <w:widowControl/>
              <w:spacing w:line="288" w:lineRule="auto"/>
              <w:jc w:val="center"/>
              <w:textAlignment w:val="center"/>
              <w:rPr>
                <w:rFonts w:hint="eastAsia" w:ascii="宋体" w:hAnsi="宋体" w:cs="宋体"/>
                <w:color w:val="auto"/>
                <w:szCs w:val="21"/>
                <w:highlight w:val="none"/>
                <w:lang w:val="en-US" w:eastAsia="zh-CN"/>
              </w:rPr>
            </w:pPr>
          </w:p>
        </w:tc>
      </w:tr>
    </w:tbl>
    <w:p w14:paraId="05455A3A">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br w:type="page"/>
      </w:r>
    </w:p>
    <w:p w14:paraId="529A085C">
      <w:pPr>
        <w:pStyle w:val="41"/>
        <w:keepNext w:val="0"/>
        <w:keepLines w:val="0"/>
        <w:pageBreakBefore w:val="0"/>
        <w:shd w:val="clear" w:color="auto" w:fill="FFFFFF"/>
        <w:kinsoku/>
        <w:wordWrap/>
        <w:overflowPunct/>
        <w:topLinePunct w:val="0"/>
        <w:bidi w:val="0"/>
        <w:spacing w:before="0" w:beforeAutospacing="0" w:after="0" w:afterAutospacing="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附件</w:t>
      </w: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w:t>
      </w:r>
    </w:p>
    <w:p w14:paraId="549117B5">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23"/>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3D82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6F7A10C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5EC6DBC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001" w:type="dxa"/>
            <w:gridSpan w:val="3"/>
          </w:tcPr>
          <w:p w14:paraId="1C15F1A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法定代表人</w:t>
            </w:r>
          </w:p>
        </w:tc>
        <w:tc>
          <w:tcPr>
            <w:tcW w:w="2151" w:type="dxa"/>
            <w:gridSpan w:val="2"/>
          </w:tcPr>
          <w:p w14:paraId="1F95F50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0761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2DBAE67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536B64E1">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4CF08B0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083923D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09627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50D54203">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2DF2B57B">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c>
          <w:tcPr>
            <w:tcW w:w="910" w:type="dxa"/>
          </w:tcPr>
          <w:p w14:paraId="6E3443F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4B7E78A2">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47C62D9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644D079F">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295E797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r>
      <w:tr w14:paraId="53C5F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7CD2945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3ED5862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Borders>
              <w:top w:val="nil"/>
            </w:tcBorders>
          </w:tcPr>
          <w:p w14:paraId="231BCD8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459A9E0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75FD8AE9">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83775EE">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596228E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5C8C2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114352E5">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vMerge w:val="continue"/>
          </w:tcPr>
          <w:p w14:paraId="373D9743">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910" w:type="dxa"/>
          </w:tcPr>
          <w:p w14:paraId="2748E117">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1F6D9AA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0737454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4726369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3677A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1EB7450">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1C495E9">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DE0EEDE">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27B5497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0BB7FD30">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0E4551E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2B3C634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50C44137">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7F784663">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1BB9A315">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25495D3D">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c>
          <w:tcPr>
            <w:tcW w:w="2001" w:type="dxa"/>
            <w:gridSpan w:val="3"/>
          </w:tcPr>
          <w:p w14:paraId="0B2662DA">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16B62930">
            <w:pPr>
              <w:keepNext w:val="0"/>
              <w:keepLines w:val="0"/>
              <w:pageBreakBefore w:val="0"/>
              <w:widowControl/>
              <w:kinsoku/>
              <w:wordWrap/>
              <w:overflowPunct/>
              <w:topLinePunct w:val="0"/>
              <w:bidi w:val="0"/>
              <w:jc w:val="left"/>
              <w:outlineLvl w:val="9"/>
              <w:rPr>
                <w:rFonts w:hint="eastAsia" w:ascii="宋体" w:hAnsi="宋体" w:eastAsia="宋体" w:cs="宋体"/>
                <w:bCs/>
                <w:color w:val="auto"/>
                <w:spacing w:val="16"/>
                <w:kern w:val="0"/>
                <w:szCs w:val="21"/>
                <w:highlight w:val="none"/>
              </w:rPr>
            </w:pPr>
          </w:p>
          <w:p w14:paraId="38205385">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61BE3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25BA4B2F">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33B79AB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5315C10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163" w:type="dxa"/>
            <w:gridSpan w:val="2"/>
          </w:tcPr>
          <w:p w14:paraId="79B7D46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313C326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2EAC01D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618D19A6">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6A07EB66">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p>
        </w:tc>
      </w:tr>
      <w:tr w14:paraId="2877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50EAA7C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47E255F8">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1F65FE6F">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p>
        </w:tc>
        <w:tc>
          <w:tcPr>
            <w:tcW w:w="1163" w:type="dxa"/>
            <w:gridSpan w:val="2"/>
          </w:tcPr>
          <w:p w14:paraId="58D8CC2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4725F18D">
            <w:pPr>
              <w:keepNext w:val="0"/>
              <w:keepLines w:val="0"/>
              <w:pageBreakBefore w:val="0"/>
              <w:widowControl/>
              <w:kinsoku/>
              <w:wordWrap/>
              <w:overflowPunct/>
              <w:topLinePunct w:val="0"/>
              <w:bidi w:val="0"/>
              <w:jc w:val="left"/>
              <w:outlineLvl w:val="9"/>
              <w:rPr>
                <w:rFonts w:hint="eastAsia" w:ascii="宋体" w:hAnsi="宋体" w:eastAsia="宋体" w:cs="宋体"/>
                <w:bCs/>
                <w:color w:val="auto"/>
                <w:kern w:val="0"/>
                <w:szCs w:val="21"/>
                <w:highlight w:val="none"/>
              </w:rPr>
            </w:pPr>
          </w:p>
          <w:p w14:paraId="2E2785B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218" w:type="dxa"/>
          </w:tcPr>
          <w:p w14:paraId="3609CC57">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71EAEFDD">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40A2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5FF8B6A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633" w:type="dxa"/>
          </w:tcPr>
          <w:p w14:paraId="7D1D16B7">
            <w:pPr>
              <w:pStyle w:val="41"/>
              <w:keepNext w:val="0"/>
              <w:keepLines w:val="0"/>
              <w:pageBreakBefore w:val="0"/>
              <w:shd w:val="clear" w:color="auto" w:fill="FFFFFF"/>
              <w:kinsoku/>
              <w:wordWrap/>
              <w:overflowPunct/>
              <w:topLinePunct w:val="0"/>
              <w:bidi w:val="0"/>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312B077E">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r>
      <w:tr w14:paraId="74508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5727774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8063" w:type="dxa"/>
            <w:gridSpan w:val="11"/>
          </w:tcPr>
          <w:p w14:paraId="1E88C16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507DA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07BB83B">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val="en-US" w:eastAsia="zh-CN"/>
              </w:rPr>
              <w:t>二、</w:t>
            </w:r>
          </w:p>
          <w:p w14:paraId="4DC5F951">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73D4D85F">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56BD0ACE">
            <w:pPr>
              <w:pStyle w:val="41"/>
              <w:keepNext w:val="0"/>
              <w:keepLines w:val="0"/>
              <w:pageBreakBefore w:val="0"/>
              <w:shd w:val="clear" w:color="auto" w:fill="FFFFFF"/>
              <w:kinsoku/>
              <w:wordWrap/>
              <w:overflowPunct/>
              <w:topLinePunct w:val="0"/>
              <w:bidi w:val="0"/>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43C10F0B">
            <w:pPr>
              <w:pStyle w:val="41"/>
              <w:keepNext w:val="0"/>
              <w:keepLines w:val="0"/>
              <w:pageBreakBefore w:val="0"/>
              <w:shd w:val="clear" w:color="auto" w:fill="FFFFFF"/>
              <w:kinsoku/>
              <w:wordWrap/>
              <w:overflowPunct/>
              <w:topLinePunct w:val="0"/>
              <w:bidi w:val="0"/>
              <w:spacing w:before="0" w:beforeAutospacing="0" w:after="0" w:afterAutospacing="0"/>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4C79291B">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3707614D">
            <w:pPr>
              <w:pStyle w:val="41"/>
              <w:keepNext w:val="0"/>
              <w:keepLines w:val="0"/>
              <w:pageBreakBefore w:val="0"/>
              <w:shd w:val="clear" w:color="auto" w:fill="FFFFFF"/>
              <w:kinsoku/>
              <w:wordWrap/>
              <w:overflowPunct/>
              <w:topLinePunct w:val="0"/>
              <w:bidi w:val="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5DD5AA0C">
            <w:pPr>
              <w:pStyle w:val="41"/>
              <w:keepNext w:val="0"/>
              <w:keepLines w:val="0"/>
              <w:pageBreakBefore w:val="0"/>
              <w:shd w:val="clear" w:color="auto" w:fill="FFFFFF"/>
              <w:kinsoku/>
              <w:wordWrap/>
              <w:overflowPunct/>
              <w:topLinePunct w:val="0"/>
              <w:bidi w:val="0"/>
              <w:spacing w:before="0" w:beforeAutospacing="0" w:after="0" w:afterAutospacing="0"/>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3DCDF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698D1128">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6F35F5A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964" w:type="dxa"/>
            <w:gridSpan w:val="2"/>
          </w:tcPr>
          <w:p w14:paraId="522A638E">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418" w:type="dxa"/>
            <w:gridSpan w:val="2"/>
          </w:tcPr>
          <w:p w14:paraId="22E5826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1276" w:type="dxa"/>
          </w:tcPr>
          <w:p w14:paraId="7AD1C0FF">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c>
          <w:tcPr>
            <w:tcW w:w="2551" w:type="dxa"/>
            <w:gridSpan w:val="3"/>
          </w:tcPr>
          <w:p w14:paraId="0EC72E04">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z w:val="21"/>
                <w:szCs w:val="21"/>
                <w:highlight w:val="none"/>
              </w:rPr>
            </w:pPr>
          </w:p>
        </w:tc>
      </w:tr>
      <w:tr w14:paraId="43841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030CD495">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16"/>
                <w:sz w:val="21"/>
                <w:szCs w:val="21"/>
                <w:highlight w:val="none"/>
              </w:rPr>
            </w:pPr>
          </w:p>
        </w:tc>
        <w:tc>
          <w:tcPr>
            <w:tcW w:w="1854" w:type="dxa"/>
            <w:gridSpan w:val="3"/>
          </w:tcPr>
          <w:p w14:paraId="49BED2BF">
            <w:pPr>
              <w:pStyle w:val="41"/>
              <w:keepNext w:val="0"/>
              <w:keepLines w:val="0"/>
              <w:pageBreakBefore w:val="0"/>
              <w:shd w:val="clear" w:color="auto" w:fill="FFFFFF"/>
              <w:kinsoku/>
              <w:wordWrap/>
              <w:overflowPunct/>
              <w:topLinePunct w:val="0"/>
              <w:bidi w:val="0"/>
              <w:spacing w:before="0" w:beforeAutospacing="0" w:after="0" w:afterAutospacing="0"/>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5F2F802C">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r w14:paraId="2EC48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03BCDBE6">
            <w:pPr>
              <w:pStyle w:val="41"/>
              <w:keepNext w:val="0"/>
              <w:keepLines w:val="0"/>
              <w:pageBreakBefore w:val="0"/>
              <w:shd w:val="clear" w:color="auto" w:fill="FFFFFF"/>
              <w:kinsoku/>
              <w:wordWrap/>
              <w:overflowPunct/>
              <w:topLinePunct w:val="0"/>
              <w:bidi w:val="0"/>
              <w:ind w:left="107"/>
              <w:outlineLvl w:val="9"/>
              <w:rPr>
                <w:rFonts w:hint="eastAsia" w:ascii="宋体" w:hAnsi="宋体" w:eastAsia="宋体" w:cs="宋体"/>
                <w:bCs/>
                <w:color w:val="auto"/>
                <w:spacing w:val="27"/>
                <w:sz w:val="21"/>
                <w:szCs w:val="21"/>
                <w:highlight w:val="none"/>
              </w:rPr>
            </w:pPr>
          </w:p>
        </w:tc>
        <w:tc>
          <w:tcPr>
            <w:tcW w:w="1854" w:type="dxa"/>
            <w:gridSpan w:val="3"/>
          </w:tcPr>
          <w:p w14:paraId="0CC4B7D2">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7B247E90">
            <w:pPr>
              <w:pStyle w:val="41"/>
              <w:keepNext w:val="0"/>
              <w:keepLines w:val="0"/>
              <w:pageBreakBefore w:val="0"/>
              <w:shd w:val="clear" w:color="auto" w:fill="FFFFFF"/>
              <w:kinsoku/>
              <w:wordWrap/>
              <w:overflowPunct/>
              <w:topLinePunct w:val="0"/>
              <w:bidi w:val="0"/>
              <w:outlineLvl w:val="9"/>
              <w:rPr>
                <w:rFonts w:hint="eastAsia" w:ascii="宋体" w:hAnsi="宋体" w:eastAsia="宋体" w:cs="宋体"/>
                <w:bCs/>
                <w:color w:val="auto"/>
                <w:spacing w:val="16"/>
                <w:sz w:val="21"/>
                <w:szCs w:val="21"/>
                <w:highlight w:val="none"/>
              </w:rPr>
            </w:pPr>
          </w:p>
        </w:tc>
      </w:tr>
    </w:tbl>
    <w:p w14:paraId="2F985FD2">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763193F2">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0BB6591A">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1.姓名栏必须将所有股东都统计在内，若非股份公司此行（第三行）无需填写；</w:t>
      </w:r>
    </w:p>
    <w:p w14:paraId="2EEECEC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488422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8E42300">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BB8268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BF454E6">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3892DA9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506D531">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FF65779">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83E2E1C">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938A262">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5F49B95">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76C1956">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AB45D16">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71FF417">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C4D59DF">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0F58046B">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64DF577">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DB49C33">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663B0980">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A58889D">
      <w:pPr>
        <w:pStyle w:val="41"/>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437190BF">
      <w:pPr>
        <w:keepNext w:val="0"/>
        <w:keepLines w:val="0"/>
        <w:pageBreakBefore w:val="0"/>
        <w:kinsoku/>
        <w:wordWrap/>
        <w:overflowPunct/>
        <w:topLinePunct w:val="0"/>
        <w:bidi w:val="0"/>
        <w:snapToGrid w:val="0"/>
        <w:spacing w:before="156"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3D5C413B">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3"/>
        <w:tblW w:w="9100" w:type="dxa"/>
        <w:tblInd w:w="-34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3"/>
        <w:gridCol w:w="826"/>
        <w:gridCol w:w="932"/>
        <w:gridCol w:w="911"/>
        <w:gridCol w:w="1586"/>
        <w:gridCol w:w="1371"/>
        <w:gridCol w:w="1307"/>
        <w:gridCol w:w="1504"/>
      </w:tblGrid>
      <w:tr w14:paraId="5C6D5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vAlign w:val="center"/>
          </w:tcPr>
          <w:p w14:paraId="1BCB180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826" w:type="dxa"/>
            <w:tcBorders>
              <w:top w:val="single" w:color="auto" w:sz="4" w:space="0"/>
              <w:left w:val="single" w:color="auto" w:sz="4" w:space="0"/>
              <w:bottom w:val="single" w:color="auto" w:sz="4" w:space="0"/>
              <w:right w:val="single" w:color="auto" w:sz="4" w:space="0"/>
            </w:tcBorders>
            <w:vAlign w:val="center"/>
          </w:tcPr>
          <w:p w14:paraId="32BAE42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32" w:type="dxa"/>
            <w:tcBorders>
              <w:top w:val="single" w:color="auto" w:sz="4" w:space="0"/>
              <w:left w:val="single" w:color="auto" w:sz="4" w:space="0"/>
              <w:bottom w:val="single" w:color="auto" w:sz="4" w:space="0"/>
              <w:right w:val="single" w:color="auto" w:sz="4" w:space="0"/>
            </w:tcBorders>
            <w:vAlign w:val="center"/>
          </w:tcPr>
          <w:p w14:paraId="35B7522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911" w:type="dxa"/>
            <w:tcBorders>
              <w:top w:val="single" w:color="auto" w:sz="4" w:space="0"/>
              <w:left w:val="single" w:color="auto" w:sz="4" w:space="0"/>
              <w:bottom w:val="single" w:color="auto" w:sz="4" w:space="0"/>
              <w:right w:val="single" w:color="auto" w:sz="4" w:space="0"/>
            </w:tcBorders>
            <w:vAlign w:val="center"/>
          </w:tcPr>
          <w:p w14:paraId="6B67C67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86" w:type="dxa"/>
            <w:tcBorders>
              <w:top w:val="single" w:color="auto" w:sz="4" w:space="0"/>
              <w:left w:val="single" w:color="auto" w:sz="4" w:space="0"/>
              <w:bottom w:val="single" w:color="auto" w:sz="4" w:space="0"/>
              <w:right w:val="single" w:color="auto" w:sz="4" w:space="0"/>
            </w:tcBorders>
            <w:vAlign w:val="center"/>
          </w:tcPr>
          <w:p w14:paraId="0BB201CF">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371" w:type="dxa"/>
            <w:tcBorders>
              <w:top w:val="single" w:color="auto" w:sz="4" w:space="0"/>
              <w:left w:val="single" w:color="auto" w:sz="4" w:space="0"/>
              <w:bottom w:val="single" w:color="auto" w:sz="4" w:space="0"/>
              <w:right w:val="single" w:color="auto" w:sz="4" w:space="0"/>
            </w:tcBorders>
            <w:vAlign w:val="center"/>
          </w:tcPr>
          <w:p w14:paraId="5F0C7BE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307" w:type="dxa"/>
            <w:tcBorders>
              <w:top w:val="single" w:color="auto" w:sz="4" w:space="0"/>
              <w:left w:val="single" w:color="auto" w:sz="4" w:space="0"/>
              <w:bottom w:val="single" w:color="auto" w:sz="4" w:space="0"/>
              <w:right w:val="single" w:color="auto" w:sz="4" w:space="0"/>
            </w:tcBorders>
            <w:vAlign w:val="center"/>
          </w:tcPr>
          <w:p w14:paraId="75B43F9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04" w:type="dxa"/>
            <w:tcBorders>
              <w:top w:val="single" w:color="auto" w:sz="4" w:space="0"/>
              <w:left w:val="single" w:color="auto" w:sz="4" w:space="0"/>
              <w:bottom w:val="single" w:color="auto" w:sz="4" w:space="0"/>
            </w:tcBorders>
            <w:vAlign w:val="center"/>
          </w:tcPr>
          <w:p w14:paraId="56BE15B8">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0AC12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DB39A9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EF8F69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6FB9963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0CA1E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DCD4B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433122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2ADC7ED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5BC4BAF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C5425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D91EFE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6EE61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54C5D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42FA9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426C4E6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84B436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80E2A7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2AD65F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60082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58C407F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45C14E0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1F4CC34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559FEB45">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7DCD422B">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7626BE68">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467A8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04" w:type="dxa"/>
            <w:tcBorders>
              <w:top w:val="single" w:color="auto" w:sz="4" w:space="0"/>
              <w:left w:val="single" w:color="auto" w:sz="4" w:space="0"/>
              <w:bottom w:val="single" w:color="auto" w:sz="4" w:space="0"/>
            </w:tcBorders>
          </w:tcPr>
          <w:p w14:paraId="6816FA4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62EF8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4A3318F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119A12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356A4D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A6F9B1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6D714A8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1A9DAA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0828DA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9B873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B269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6111791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5E0E6E6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71318C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348C8FC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06BCDA4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E2144C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53C7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05E2266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E90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0646161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2F6C13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55F9DBC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0006C1F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56E4DE5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0D41731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5EBACB9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3833BBE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3CC62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29939AE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322422D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3E1F907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1A0159F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DEA24E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5BDB281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10C67B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79FE004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3055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3" w:type="dxa"/>
            <w:tcBorders>
              <w:top w:val="single" w:color="auto" w:sz="4" w:space="0"/>
              <w:bottom w:val="single" w:color="auto" w:sz="4" w:space="0"/>
              <w:right w:val="single" w:color="auto" w:sz="4" w:space="0"/>
            </w:tcBorders>
          </w:tcPr>
          <w:p w14:paraId="3587726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826" w:type="dxa"/>
            <w:tcBorders>
              <w:top w:val="single" w:color="auto" w:sz="4" w:space="0"/>
              <w:left w:val="single" w:color="auto" w:sz="4" w:space="0"/>
              <w:bottom w:val="single" w:color="auto" w:sz="4" w:space="0"/>
              <w:right w:val="single" w:color="auto" w:sz="4" w:space="0"/>
            </w:tcBorders>
          </w:tcPr>
          <w:p w14:paraId="7931582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32" w:type="dxa"/>
            <w:tcBorders>
              <w:top w:val="single" w:color="auto" w:sz="4" w:space="0"/>
              <w:left w:val="single" w:color="auto" w:sz="4" w:space="0"/>
              <w:bottom w:val="single" w:color="auto" w:sz="4" w:space="0"/>
              <w:right w:val="single" w:color="auto" w:sz="4" w:space="0"/>
            </w:tcBorders>
          </w:tcPr>
          <w:p w14:paraId="40E87C9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11" w:type="dxa"/>
            <w:tcBorders>
              <w:top w:val="single" w:color="auto" w:sz="4" w:space="0"/>
              <w:left w:val="single" w:color="auto" w:sz="4" w:space="0"/>
              <w:bottom w:val="single" w:color="auto" w:sz="4" w:space="0"/>
              <w:right w:val="single" w:color="auto" w:sz="4" w:space="0"/>
            </w:tcBorders>
          </w:tcPr>
          <w:p w14:paraId="2D1FC5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86" w:type="dxa"/>
            <w:tcBorders>
              <w:top w:val="single" w:color="auto" w:sz="4" w:space="0"/>
              <w:left w:val="single" w:color="auto" w:sz="4" w:space="0"/>
              <w:bottom w:val="single" w:color="auto" w:sz="4" w:space="0"/>
              <w:right w:val="single" w:color="auto" w:sz="4" w:space="0"/>
            </w:tcBorders>
          </w:tcPr>
          <w:p w14:paraId="230EB6B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71" w:type="dxa"/>
            <w:tcBorders>
              <w:top w:val="single" w:color="auto" w:sz="4" w:space="0"/>
              <w:left w:val="single" w:color="auto" w:sz="4" w:space="0"/>
              <w:bottom w:val="single" w:color="auto" w:sz="4" w:space="0"/>
              <w:right w:val="single" w:color="auto" w:sz="4" w:space="0"/>
            </w:tcBorders>
          </w:tcPr>
          <w:p w14:paraId="6CEF06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307" w:type="dxa"/>
            <w:tcBorders>
              <w:top w:val="single" w:color="auto" w:sz="4" w:space="0"/>
              <w:left w:val="single" w:color="auto" w:sz="4" w:space="0"/>
              <w:bottom w:val="single" w:color="auto" w:sz="4" w:space="0"/>
              <w:right w:val="single" w:color="auto" w:sz="4" w:space="0"/>
            </w:tcBorders>
          </w:tcPr>
          <w:p w14:paraId="72654A4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04" w:type="dxa"/>
            <w:tcBorders>
              <w:top w:val="single" w:color="auto" w:sz="4" w:space="0"/>
              <w:left w:val="single" w:color="auto" w:sz="4" w:space="0"/>
              <w:bottom w:val="single" w:color="auto" w:sz="4" w:space="0"/>
            </w:tcBorders>
          </w:tcPr>
          <w:p w14:paraId="66CD44B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6DD5FD7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43BEBF3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color w:val="auto"/>
          <w:szCs w:val="21"/>
          <w:highlight w:val="none"/>
        </w:rPr>
        <w:t>在填写时，如本表格不适合投标单位的实际情况，可根据本表格式自行划表填写。</w:t>
      </w:r>
    </w:p>
    <w:p w14:paraId="64F90290">
      <w:pPr>
        <w:pStyle w:val="42"/>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附人员证书复印件；</w:t>
      </w:r>
    </w:p>
    <w:p w14:paraId="27809F6D">
      <w:pPr>
        <w:pStyle w:val="42"/>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出具上述人员在本单位服务的外部证明，如：投标截止日之前六个月以内的代缴个税税单、参加社会保险的《投保单》或《社会保险参保人员证明》等。</w:t>
      </w:r>
    </w:p>
    <w:p w14:paraId="5F84E3C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FAB637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投标人名称（盖章）：</w:t>
      </w:r>
    </w:p>
    <w:p w14:paraId="7D1E971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4CA938F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F9D1D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3A43AB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62DD765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1951E89">
      <w:pPr>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03BC5AB5">
      <w:pPr>
        <w:keepNext w:val="0"/>
        <w:keepLines w:val="0"/>
        <w:pageBreakBefore w:val="0"/>
        <w:kinsoku/>
        <w:overflowPunct/>
        <w:topLinePunct w:val="0"/>
        <w:bidi w:val="0"/>
        <w:spacing w:before="156" w:beforeLines="50" w:after="156" w:afterLines="50" w:line="360" w:lineRule="auto"/>
        <w:ind w:right="-1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投标人提供的产品供货清单及原产地</w:t>
      </w:r>
    </w:p>
    <w:p w14:paraId="72068E52">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316"/>
        <w:gridCol w:w="1138"/>
        <w:gridCol w:w="1139"/>
        <w:gridCol w:w="1139"/>
        <w:gridCol w:w="1139"/>
        <w:gridCol w:w="1139"/>
        <w:gridCol w:w="1139"/>
      </w:tblGrid>
      <w:tr w14:paraId="408AA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59" w:type="dxa"/>
            <w:noWrap w:val="0"/>
            <w:vAlign w:val="center"/>
          </w:tcPr>
          <w:p w14:paraId="4E3485C9">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 号</w:t>
            </w:r>
          </w:p>
        </w:tc>
        <w:tc>
          <w:tcPr>
            <w:tcW w:w="1316" w:type="dxa"/>
            <w:noWrap w:val="0"/>
            <w:vAlign w:val="center"/>
          </w:tcPr>
          <w:p w14:paraId="41DD173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名  称</w:t>
            </w:r>
          </w:p>
        </w:tc>
        <w:tc>
          <w:tcPr>
            <w:tcW w:w="1138" w:type="dxa"/>
            <w:noWrap w:val="0"/>
            <w:vAlign w:val="center"/>
          </w:tcPr>
          <w:p w14:paraId="30A5E6EF">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型号</w:t>
            </w:r>
          </w:p>
        </w:tc>
        <w:tc>
          <w:tcPr>
            <w:tcW w:w="1139" w:type="dxa"/>
            <w:noWrap w:val="0"/>
            <w:vAlign w:val="center"/>
          </w:tcPr>
          <w:p w14:paraId="76536BD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制造商/原产地</w:t>
            </w:r>
          </w:p>
        </w:tc>
        <w:tc>
          <w:tcPr>
            <w:tcW w:w="1139" w:type="dxa"/>
            <w:noWrap w:val="0"/>
            <w:vAlign w:val="center"/>
          </w:tcPr>
          <w:p w14:paraId="426BB53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品牌</w:t>
            </w:r>
          </w:p>
        </w:tc>
        <w:tc>
          <w:tcPr>
            <w:tcW w:w="1139" w:type="dxa"/>
            <w:noWrap w:val="0"/>
            <w:vAlign w:val="center"/>
          </w:tcPr>
          <w:p w14:paraId="1E6DFA37">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 位</w:t>
            </w:r>
          </w:p>
        </w:tc>
        <w:tc>
          <w:tcPr>
            <w:tcW w:w="1139" w:type="dxa"/>
            <w:noWrap w:val="0"/>
            <w:vAlign w:val="center"/>
          </w:tcPr>
          <w:p w14:paraId="46B3071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 量</w:t>
            </w:r>
          </w:p>
        </w:tc>
        <w:tc>
          <w:tcPr>
            <w:tcW w:w="1139" w:type="dxa"/>
            <w:noWrap w:val="0"/>
            <w:vAlign w:val="center"/>
          </w:tcPr>
          <w:p w14:paraId="208EAE22">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 注</w:t>
            </w:r>
          </w:p>
          <w:p w14:paraId="40DFBF45">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r>
      <w:tr w14:paraId="1EC1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59" w:type="dxa"/>
            <w:noWrap w:val="0"/>
            <w:vAlign w:val="center"/>
          </w:tcPr>
          <w:p w14:paraId="70CB2C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16" w:type="dxa"/>
            <w:noWrap w:val="0"/>
            <w:vAlign w:val="center"/>
          </w:tcPr>
          <w:p w14:paraId="176515A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center"/>
          </w:tcPr>
          <w:p w14:paraId="4AE90DC7">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53AF86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FE217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5E0412F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71733C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center"/>
          </w:tcPr>
          <w:p w14:paraId="14D2D6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3F0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noWrap w:val="0"/>
            <w:vAlign w:val="top"/>
          </w:tcPr>
          <w:p w14:paraId="75226C1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16" w:type="dxa"/>
            <w:noWrap w:val="0"/>
            <w:vAlign w:val="top"/>
          </w:tcPr>
          <w:p w14:paraId="6C7E9F1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14F6AA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E11B99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785668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3A847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6B311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F3182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A03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59" w:type="dxa"/>
            <w:noWrap w:val="0"/>
            <w:vAlign w:val="top"/>
          </w:tcPr>
          <w:p w14:paraId="6F59E14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16" w:type="dxa"/>
            <w:noWrap w:val="0"/>
            <w:vAlign w:val="top"/>
          </w:tcPr>
          <w:p w14:paraId="2B74F31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3ED4294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C92691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A9C575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57BCF8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0E9508C">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8C91D2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AEBF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59" w:type="dxa"/>
            <w:noWrap w:val="0"/>
            <w:vAlign w:val="top"/>
          </w:tcPr>
          <w:p w14:paraId="35AA6DC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316" w:type="dxa"/>
            <w:noWrap w:val="0"/>
            <w:vAlign w:val="top"/>
          </w:tcPr>
          <w:p w14:paraId="19CD393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417FF79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BC2F27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A1EC07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23C5E4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E52F8B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FBEEFE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01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959" w:type="dxa"/>
            <w:noWrap w:val="0"/>
            <w:vAlign w:val="top"/>
          </w:tcPr>
          <w:p w14:paraId="34F1210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1316" w:type="dxa"/>
            <w:noWrap w:val="0"/>
            <w:vAlign w:val="top"/>
          </w:tcPr>
          <w:p w14:paraId="024CA594">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2903020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93053C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2A0B8B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12516C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8B61623">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7FA683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EB98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1F97950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316" w:type="dxa"/>
            <w:noWrap w:val="0"/>
            <w:vAlign w:val="top"/>
          </w:tcPr>
          <w:p w14:paraId="7AD6D08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9AA6B9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1C9C268">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A04475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6CA64F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5E190B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2949F8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BA31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68F5006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16" w:type="dxa"/>
            <w:noWrap w:val="0"/>
            <w:vAlign w:val="top"/>
          </w:tcPr>
          <w:p w14:paraId="71736FF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0932ED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7D22F7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72CC1B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6C69135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759C1C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AB5D90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F65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29A5231B">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48682DC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随产品备品备件</w:t>
            </w:r>
          </w:p>
        </w:tc>
        <w:tc>
          <w:tcPr>
            <w:tcW w:w="1138" w:type="dxa"/>
            <w:noWrap w:val="0"/>
            <w:vAlign w:val="top"/>
          </w:tcPr>
          <w:p w14:paraId="4F624F8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141F5D5">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2C07E2CA">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D26B3D1">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3E1D5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553CBDE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990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noWrap w:val="0"/>
            <w:vAlign w:val="top"/>
          </w:tcPr>
          <w:p w14:paraId="0582922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316" w:type="dxa"/>
            <w:noWrap w:val="0"/>
            <w:vAlign w:val="top"/>
          </w:tcPr>
          <w:p w14:paraId="7BFD6CEF">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8" w:type="dxa"/>
            <w:noWrap w:val="0"/>
            <w:vAlign w:val="top"/>
          </w:tcPr>
          <w:p w14:paraId="7AC5173D">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7C404F90">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3CDC850E">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44AB2269">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1015BA82">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1139" w:type="dxa"/>
            <w:noWrap w:val="0"/>
            <w:vAlign w:val="top"/>
          </w:tcPr>
          <w:p w14:paraId="06728BC6">
            <w:pPr>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77D17EF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本表所列项目应全部计入投标总价。</w:t>
      </w:r>
    </w:p>
    <w:p w14:paraId="07E86FA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投标人在投标时，应对所供产品的包装方式给于具体说明。</w:t>
      </w:r>
    </w:p>
    <w:p w14:paraId="413A8CB6">
      <w:pPr>
        <w:pStyle w:val="11"/>
        <w:keepNext w:val="0"/>
        <w:keepLines w:val="0"/>
        <w:pageBreakBefore w:val="0"/>
        <w:kinsoku/>
        <w:overflowPunct/>
        <w:topLinePunct w:val="0"/>
        <w:bidi w:val="0"/>
        <w:spacing w:line="360" w:lineRule="auto"/>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此表仅提供了表格形式，投标人应根据需要准备足够数量的表格来填写本表。</w:t>
      </w:r>
    </w:p>
    <w:p w14:paraId="07CB096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6F8BDA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6FEBDDC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0BE044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E763A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6BC5F9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101AD2BC">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Cs w:val="21"/>
          <w:highlight w:val="none"/>
        </w:rPr>
      </w:pPr>
    </w:p>
    <w:p w14:paraId="41BC9A66">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4E650D2">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BE61C38">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36BDDDC1">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rPr>
      </w:pPr>
      <w:r>
        <w:rPr>
          <w:rFonts w:hint="eastAsia" w:ascii="宋体" w:hAnsi="宋体" w:eastAsia="宋体" w:cs="宋体"/>
          <w:b/>
          <w:bCs/>
          <w:color w:val="auto"/>
          <w:kern w:val="0"/>
          <w:sz w:val="32"/>
          <w:szCs w:val="32"/>
          <w:highlight w:val="none"/>
        </w:rPr>
        <w:t>技术需求响应表</w:t>
      </w:r>
    </w:p>
    <w:p w14:paraId="6AC55A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14:paraId="7D1D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35" w:type="dxa"/>
            <w:vAlign w:val="center"/>
          </w:tcPr>
          <w:p w14:paraId="76AF0B7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785" w:type="dxa"/>
            <w:vAlign w:val="center"/>
          </w:tcPr>
          <w:p w14:paraId="3B1EFAD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49" w:type="dxa"/>
            <w:vAlign w:val="center"/>
          </w:tcPr>
          <w:p w14:paraId="2E25870D">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规格型号</w:t>
            </w:r>
          </w:p>
        </w:tc>
        <w:tc>
          <w:tcPr>
            <w:tcW w:w="1560" w:type="dxa"/>
            <w:vAlign w:val="center"/>
          </w:tcPr>
          <w:p w14:paraId="34A4DB79">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招标参数</w:t>
            </w:r>
          </w:p>
        </w:tc>
        <w:tc>
          <w:tcPr>
            <w:tcW w:w="1401" w:type="dxa"/>
            <w:vAlign w:val="center"/>
          </w:tcPr>
          <w:p w14:paraId="1E93EBF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投标参数</w:t>
            </w:r>
          </w:p>
        </w:tc>
        <w:tc>
          <w:tcPr>
            <w:tcW w:w="1365" w:type="dxa"/>
            <w:vAlign w:val="center"/>
          </w:tcPr>
          <w:p w14:paraId="585328CA">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偏离说明</w:t>
            </w:r>
          </w:p>
        </w:tc>
      </w:tr>
      <w:tr w14:paraId="3AFF9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60735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2EB37AE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169D9C4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ACAFF8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185AFA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342D83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7FD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56E7DA5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64791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3E939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900C2D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2F7AC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C1C6A2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F38B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FFF8ED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97F5FB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48B01F6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18516D1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52AFA0A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4BE742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19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1FF14B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064E00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36706F8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55BB855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498B8C8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DEDB9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13E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35" w:type="dxa"/>
            <w:vAlign w:val="center"/>
          </w:tcPr>
          <w:p w14:paraId="748733B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7582C3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5775214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4F7EEEC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7B1CA66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6A4E9E7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ACC1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42AB41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3D78F6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0263AE4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079F740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19D7D37A">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E57607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2BF7B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0C68407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785" w:type="dxa"/>
            <w:vAlign w:val="center"/>
          </w:tcPr>
          <w:p w14:paraId="6C3FBFF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49" w:type="dxa"/>
            <w:vAlign w:val="center"/>
          </w:tcPr>
          <w:p w14:paraId="7E6FECB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60" w:type="dxa"/>
            <w:vAlign w:val="center"/>
          </w:tcPr>
          <w:p w14:paraId="267B554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01" w:type="dxa"/>
            <w:vAlign w:val="center"/>
          </w:tcPr>
          <w:p w14:paraId="68611E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85240B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06BAD11A">
      <w:pPr>
        <w:pStyle w:val="43"/>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72ABFD8A">
      <w:pPr>
        <w:pStyle w:val="43"/>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本表参照本招标文件第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部分“招标需求”内第二条“具体技术需求”填制，投标人应根据投标设备的性能指标、服务指标，对照招标文件要求在“偏离情况”栏注明“正偏离”、“负偏离”或“无偏离”。</w:t>
      </w:r>
    </w:p>
    <w:p w14:paraId="35959AAD">
      <w:pPr>
        <w:pStyle w:val="43"/>
        <w:keepNext w:val="0"/>
        <w:keepLines w:val="0"/>
        <w:pageBreakBefore w:val="0"/>
        <w:kinsoku/>
        <w:wordWrap/>
        <w:overflowPunct/>
        <w:topLinePunct w:val="0"/>
        <w:bidi w:val="0"/>
        <w:spacing w:line="360" w:lineRule="auto"/>
        <w:ind w:right="84" w:rightChars="4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14:paraId="1171DEC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0059D7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81DF21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B4ED3D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6854ADD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2C16CAA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2209802">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36039811">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4889771B">
      <w:pPr>
        <w:pStyle w:val="44"/>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0</w:t>
      </w:r>
    </w:p>
    <w:p w14:paraId="13D41BCD">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企业证书一览表</w:t>
      </w:r>
    </w:p>
    <w:p w14:paraId="60FD164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23"/>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716644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6BB668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证书名称</w:t>
            </w:r>
          </w:p>
        </w:tc>
        <w:tc>
          <w:tcPr>
            <w:tcW w:w="2258" w:type="dxa"/>
            <w:tcBorders>
              <w:top w:val="double" w:color="auto" w:sz="4" w:space="0"/>
            </w:tcBorders>
          </w:tcPr>
          <w:p w14:paraId="78D1E3D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发证单位</w:t>
            </w:r>
          </w:p>
        </w:tc>
        <w:tc>
          <w:tcPr>
            <w:tcW w:w="2260" w:type="dxa"/>
            <w:tcBorders>
              <w:top w:val="double" w:color="auto" w:sz="4" w:space="0"/>
            </w:tcBorders>
          </w:tcPr>
          <w:p w14:paraId="174FDA5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证书等级</w:t>
            </w:r>
          </w:p>
        </w:tc>
        <w:tc>
          <w:tcPr>
            <w:tcW w:w="2047" w:type="dxa"/>
            <w:tcBorders>
              <w:top w:val="double" w:color="auto" w:sz="4" w:space="0"/>
              <w:right w:val="single" w:color="auto" w:sz="4" w:space="0"/>
            </w:tcBorders>
          </w:tcPr>
          <w:p w14:paraId="464C861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证书有效期</w:t>
            </w:r>
          </w:p>
        </w:tc>
      </w:tr>
      <w:tr w14:paraId="05456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5D08F73">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4FB9A80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539E94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5B40FA20">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F1514E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B66D74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1BFA634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53808D6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94FBBF3">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C256C9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B05A13E">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E3E74E2">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78A75A7">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7542C58">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426FB1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22B223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2544A5D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262DB409">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6EF27EB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1BEC9D4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0F5736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0166915A">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3DEDA3D4">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2802399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732DA84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49B6368">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Pr>
          <w:p w14:paraId="5ABADE4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Pr>
          <w:p w14:paraId="42A921D9">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right w:val="single" w:color="auto" w:sz="4" w:space="0"/>
            </w:tcBorders>
          </w:tcPr>
          <w:p w14:paraId="430CACB5">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r w14:paraId="5DDA9A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1D61F61C">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58" w:type="dxa"/>
            <w:tcBorders>
              <w:bottom w:val="double" w:color="auto" w:sz="4" w:space="0"/>
            </w:tcBorders>
          </w:tcPr>
          <w:p w14:paraId="1988D7B2">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260" w:type="dxa"/>
            <w:tcBorders>
              <w:bottom w:val="double" w:color="auto" w:sz="4" w:space="0"/>
            </w:tcBorders>
          </w:tcPr>
          <w:p w14:paraId="26F329DF">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tcPr>
          <w:p w14:paraId="765673BB">
            <w:pPr>
              <w:pStyle w:val="45"/>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p>
        </w:tc>
      </w:tr>
    </w:tbl>
    <w:p w14:paraId="498B001F">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30F28E81">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要求：</w:t>
      </w:r>
    </w:p>
    <w:p w14:paraId="527D0589">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填写投标人获得资质、认证或企业信誉证书；</w:t>
      </w:r>
    </w:p>
    <w:p w14:paraId="1153AEA1">
      <w:pPr>
        <w:pStyle w:val="45"/>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附所列证书复印件或其他证明材料。</w:t>
      </w:r>
    </w:p>
    <w:p w14:paraId="46D7EFD7">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5C0C3ADA">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EAEBC35">
      <w:pPr>
        <w:pStyle w:val="45"/>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Cs w:val="21"/>
          <w:highlight w:val="none"/>
        </w:rPr>
      </w:pPr>
    </w:p>
    <w:p w14:paraId="7C08DAA3">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70F1A2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3AE9E368">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78A6E7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7696EBE1">
      <w:pPr>
        <w:pStyle w:val="41"/>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6E4B294A">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CD341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0C55C355">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4DFEF37">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4D56A58">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3DF52A5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5606785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23"/>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09217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5F47712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280DA0A">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C54915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20DEB0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5EE6DD0D">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2C889013">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14593B17">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项目单位名称及其联系人电话</w:t>
            </w:r>
          </w:p>
        </w:tc>
      </w:tr>
      <w:tr w14:paraId="34729E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8E853D2">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045416FE">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7F1944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28BB065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5CCD8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FC8EF7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BF3264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6C4F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5408D188">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4A6857B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060A0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53B8B8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276B984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3D75B0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6686BE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0FA2D7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48C46D5C">
            <w:pPr>
              <w:pStyle w:val="44"/>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27B4588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97A4E3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1134C7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1D9B79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8CA763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701B1F2">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7E17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D5FD70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6E01DDE6">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DC81F5E">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8A7DC45">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23DE56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32F9179">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F387C9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631D3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4A951D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E35519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4C7B2E9D">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FDC886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3179C6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4B06402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20867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7C84EA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4292DDD">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6080306B">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75D07C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34F4B5C">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F27365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9278F47">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23FA648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EC91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72D900A">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56579833">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180EFC4">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1E06F7B0">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3CB1E8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38232F1F">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00EF4BD8">
            <w:pPr>
              <w:pStyle w:val="44"/>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687C7BB6">
      <w:pPr>
        <w:keepNext w:val="0"/>
        <w:keepLines w:val="0"/>
        <w:pageBreakBefore w:val="0"/>
        <w:kinsoku/>
        <w:wordWrap/>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10A6DA9C">
      <w:pPr>
        <w:keepNext w:val="0"/>
        <w:keepLines w:val="0"/>
        <w:pageBreakBefore w:val="0"/>
        <w:kinsoku/>
        <w:wordWrap/>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业绩证明应提供证明材料（合同复印件可只提供首页、含金额页、盖章页并加盖投标人公章）；</w:t>
      </w:r>
    </w:p>
    <w:p w14:paraId="580919E9">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报价供应商可按此表格式复制。</w:t>
      </w:r>
    </w:p>
    <w:p w14:paraId="606C7E0C">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3863A89">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8C2B57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098B1DBD">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8AAFCF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F17EC6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35F724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947F0E3">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Cs w:val="21"/>
          <w:highlight w:val="none"/>
        </w:rPr>
      </w:pPr>
    </w:p>
    <w:p w14:paraId="13DE8AC8">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B15F26E">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173B9183">
      <w:pPr>
        <w:pStyle w:val="45"/>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47B2952A">
      <w:pPr>
        <w:keepNext w:val="0"/>
        <w:keepLines w:val="0"/>
        <w:pageBreakBefore w:val="0"/>
        <w:kinsoku/>
        <w:wordWrap/>
        <w:overflowPunct/>
        <w:topLinePunct w:val="0"/>
        <w:bidi w:val="0"/>
        <w:spacing w:line="360" w:lineRule="auto"/>
        <w:ind w:left="360" w:hanging="549" w:hangingChars="171"/>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26DDE6A7">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Cs w:val="21"/>
          <w:highlight w:val="none"/>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08B3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6AA313A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029" w:type="dxa"/>
            <w:vAlign w:val="center"/>
          </w:tcPr>
          <w:p w14:paraId="1E5E086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1541" w:type="dxa"/>
            <w:vAlign w:val="center"/>
          </w:tcPr>
          <w:p w14:paraId="55665E8F">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招标需求</w:t>
            </w:r>
          </w:p>
        </w:tc>
        <w:tc>
          <w:tcPr>
            <w:tcW w:w="1365" w:type="dxa"/>
            <w:vAlign w:val="center"/>
          </w:tcPr>
          <w:p w14:paraId="67B92C37">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是否响应</w:t>
            </w:r>
          </w:p>
        </w:tc>
        <w:tc>
          <w:tcPr>
            <w:tcW w:w="2625" w:type="dxa"/>
            <w:vAlign w:val="center"/>
          </w:tcPr>
          <w:p w14:paraId="24B2F0D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投标人的承诺或说明</w:t>
            </w:r>
          </w:p>
        </w:tc>
      </w:tr>
      <w:tr w14:paraId="3694B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4542D5A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3CAF547D">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工期</w:t>
            </w:r>
          </w:p>
        </w:tc>
        <w:tc>
          <w:tcPr>
            <w:tcW w:w="1541" w:type="dxa"/>
            <w:vAlign w:val="center"/>
          </w:tcPr>
          <w:p w14:paraId="6CD8AEC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21F10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6013ADE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3D293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3BC680F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613F4B4B">
            <w:pPr>
              <w:keepNext w:val="0"/>
              <w:keepLines w:val="0"/>
              <w:pageBreakBefore w:val="0"/>
              <w:kinsoku/>
              <w:wordWrap/>
              <w:overflowPunct/>
              <w:topLinePunct w:val="0"/>
              <w:bidi w:val="0"/>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质保期</w:t>
            </w:r>
          </w:p>
        </w:tc>
        <w:tc>
          <w:tcPr>
            <w:tcW w:w="1541" w:type="dxa"/>
            <w:vAlign w:val="center"/>
          </w:tcPr>
          <w:p w14:paraId="7D9EF12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542B155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12E7EB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1268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B77E2F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4312ADEF">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付款方式</w:t>
            </w:r>
          </w:p>
        </w:tc>
        <w:tc>
          <w:tcPr>
            <w:tcW w:w="1541" w:type="dxa"/>
            <w:vAlign w:val="center"/>
          </w:tcPr>
          <w:p w14:paraId="3853CD9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4A6B3E77">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712ECE8">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8896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6F365B1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vAlign w:val="center"/>
          </w:tcPr>
          <w:p w14:paraId="5269D80E">
            <w:pPr>
              <w:keepNext w:val="0"/>
              <w:keepLines w:val="0"/>
              <w:pageBreakBefore w:val="0"/>
              <w:kinsoku/>
              <w:wordWrap/>
              <w:overflowPunct/>
              <w:topLinePunct w:val="0"/>
              <w:bidi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41" w:type="dxa"/>
            <w:vAlign w:val="center"/>
          </w:tcPr>
          <w:p w14:paraId="4FBB42EB">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0A5526E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03636F92">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5F358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143FED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14:paraId="531492F4">
            <w:pPr>
              <w:keepNext w:val="0"/>
              <w:keepLines w:val="0"/>
              <w:pageBreakBefore w:val="0"/>
              <w:kinsoku/>
              <w:wordWrap/>
              <w:overflowPunct/>
              <w:topLinePunct w:val="0"/>
              <w:bidi w:val="0"/>
              <w:snapToGrid w:val="0"/>
              <w:outlineLvl w:val="9"/>
              <w:rPr>
                <w:rFonts w:hint="eastAsia" w:ascii="宋体" w:hAnsi="宋体" w:eastAsia="宋体" w:cs="宋体"/>
                <w:color w:val="auto"/>
                <w:szCs w:val="21"/>
                <w:highlight w:val="none"/>
              </w:rPr>
            </w:pPr>
          </w:p>
        </w:tc>
        <w:tc>
          <w:tcPr>
            <w:tcW w:w="1541" w:type="dxa"/>
            <w:vAlign w:val="center"/>
          </w:tcPr>
          <w:p w14:paraId="4B387CE5">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3448F0BD">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5B80D2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r w14:paraId="4E14D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5750D13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029" w:type="dxa"/>
          </w:tcPr>
          <w:p w14:paraId="7D6CC5EC">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p>
        </w:tc>
        <w:tc>
          <w:tcPr>
            <w:tcW w:w="1541" w:type="dxa"/>
            <w:vAlign w:val="center"/>
          </w:tcPr>
          <w:p w14:paraId="2AA73E1F">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65" w:type="dxa"/>
            <w:vAlign w:val="center"/>
          </w:tcPr>
          <w:p w14:paraId="1563220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2625" w:type="dxa"/>
            <w:vAlign w:val="center"/>
          </w:tcPr>
          <w:p w14:paraId="2FD5809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r>
    </w:tbl>
    <w:p w14:paraId="27DC9F1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4B25D5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4A23B0C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F67012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246E337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p>
    <w:p w14:paraId="0CFB2BE8">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日期：</w:t>
      </w:r>
    </w:p>
    <w:p w14:paraId="281BD271">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08A55DD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53FAC216">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F7F56A3">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505047D4">
      <w:pPr>
        <w:pStyle w:val="9"/>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F231D86">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208F507E">
      <w:pPr>
        <w:pStyle w:val="53"/>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01E5DCE">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3D810B3">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1C92CA49">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A3D3B73">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3"/>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61C3F2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080A821A">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2355" w:type="dxa"/>
            <w:tcBorders>
              <w:top w:val="single" w:color="auto" w:sz="4" w:space="0"/>
            </w:tcBorders>
            <w:vAlign w:val="center"/>
          </w:tcPr>
          <w:p w14:paraId="66F835F0">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w:t>
            </w:r>
          </w:p>
        </w:tc>
        <w:tc>
          <w:tcPr>
            <w:tcW w:w="4061" w:type="dxa"/>
            <w:tcBorders>
              <w:top w:val="single" w:color="auto" w:sz="4" w:space="0"/>
            </w:tcBorders>
            <w:vAlign w:val="center"/>
          </w:tcPr>
          <w:p w14:paraId="7B40387E">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投标人情况</w:t>
            </w:r>
          </w:p>
        </w:tc>
        <w:tc>
          <w:tcPr>
            <w:tcW w:w="1373" w:type="dxa"/>
            <w:tcBorders>
              <w:top w:val="single" w:color="auto" w:sz="4" w:space="0"/>
            </w:tcBorders>
            <w:vAlign w:val="center"/>
          </w:tcPr>
          <w:p w14:paraId="707CD80C">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1F5DE99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0286406B">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w:t>
            </w:r>
          </w:p>
        </w:tc>
        <w:tc>
          <w:tcPr>
            <w:tcW w:w="2355" w:type="dxa"/>
            <w:vAlign w:val="center"/>
          </w:tcPr>
          <w:p w14:paraId="2447B732">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质保期内售后服务情况(服务方式、服务网点、售后服务的内容和措施等等，可用附页和宣传材料)</w:t>
            </w:r>
          </w:p>
        </w:tc>
        <w:tc>
          <w:tcPr>
            <w:tcW w:w="4061" w:type="dxa"/>
          </w:tcPr>
          <w:p w14:paraId="56BD7A6B">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386BDE79">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77894C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9" w:hRule="exact"/>
          <w:jc w:val="center"/>
        </w:trPr>
        <w:tc>
          <w:tcPr>
            <w:tcW w:w="739" w:type="dxa"/>
            <w:vAlign w:val="center"/>
          </w:tcPr>
          <w:p w14:paraId="046C9741">
            <w:pPr>
              <w:pStyle w:val="46"/>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p>
        </w:tc>
        <w:tc>
          <w:tcPr>
            <w:tcW w:w="2355" w:type="dxa"/>
            <w:vAlign w:val="center"/>
          </w:tcPr>
          <w:p w14:paraId="3E19E261">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保修期后售后服务</w:t>
            </w:r>
          </w:p>
        </w:tc>
        <w:tc>
          <w:tcPr>
            <w:tcW w:w="4061" w:type="dxa"/>
          </w:tcPr>
          <w:p w14:paraId="2250215D">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562926B5">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09159018">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c>
          <w:tcPr>
            <w:tcW w:w="1373" w:type="dxa"/>
          </w:tcPr>
          <w:p w14:paraId="2E2A2B05">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34B9F37C">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p w14:paraId="17613250">
            <w:pPr>
              <w:pStyle w:val="46"/>
              <w:keepNext w:val="0"/>
              <w:keepLines w:val="0"/>
              <w:pageBreakBefore w:val="0"/>
              <w:kinsoku/>
              <w:wordWrap/>
              <w:overflowPunct/>
              <w:topLinePunct w:val="0"/>
              <w:bidi w:val="0"/>
              <w:spacing w:line="360" w:lineRule="auto"/>
              <w:outlineLvl w:val="9"/>
              <w:rPr>
                <w:rFonts w:hint="eastAsia" w:ascii="宋体" w:hAnsi="宋体" w:eastAsia="宋体" w:cs="宋体"/>
                <w:bCs/>
                <w:color w:val="auto"/>
                <w:szCs w:val="21"/>
                <w:highlight w:val="none"/>
              </w:rPr>
            </w:pPr>
          </w:p>
        </w:tc>
      </w:tr>
      <w:tr w14:paraId="68170D2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6DB3BCA2">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 xml:space="preserve"> 3</w:t>
            </w:r>
          </w:p>
        </w:tc>
        <w:tc>
          <w:tcPr>
            <w:tcW w:w="2355" w:type="dxa"/>
            <w:vAlign w:val="center"/>
          </w:tcPr>
          <w:p w14:paraId="2F070C3C">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培训方案（可用附页）</w:t>
            </w:r>
          </w:p>
        </w:tc>
        <w:tc>
          <w:tcPr>
            <w:tcW w:w="4061" w:type="dxa"/>
          </w:tcPr>
          <w:p w14:paraId="10C7EF5F">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40162923">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c>
          <w:tcPr>
            <w:tcW w:w="1373" w:type="dxa"/>
          </w:tcPr>
          <w:p w14:paraId="7439F866">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32F2EA69">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p w14:paraId="64633E81">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Cs w:val="21"/>
                <w:highlight w:val="none"/>
              </w:rPr>
            </w:pPr>
          </w:p>
        </w:tc>
      </w:tr>
      <w:tr w14:paraId="2F7072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65A0344B">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2355" w:type="dxa"/>
            <w:tcBorders>
              <w:bottom w:val="single" w:color="auto" w:sz="4" w:space="0"/>
            </w:tcBorders>
            <w:vAlign w:val="center"/>
          </w:tcPr>
          <w:p w14:paraId="2E9120B6">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w:t>
            </w:r>
          </w:p>
        </w:tc>
        <w:tc>
          <w:tcPr>
            <w:tcW w:w="4061" w:type="dxa"/>
            <w:tcBorders>
              <w:bottom w:val="single" w:color="auto" w:sz="4" w:space="0"/>
            </w:tcBorders>
          </w:tcPr>
          <w:p w14:paraId="14CC1532">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c>
          <w:tcPr>
            <w:tcW w:w="1373" w:type="dxa"/>
            <w:tcBorders>
              <w:bottom w:val="single" w:color="auto" w:sz="4" w:space="0"/>
            </w:tcBorders>
          </w:tcPr>
          <w:p w14:paraId="4732FF36">
            <w:pPr>
              <w:pStyle w:val="46"/>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Cs w:val="21"/>
                <w:highlight w:val="none"/>
              </w:rPr>
            </w:pPr>
          </w:p>
        </w:tc>
      </w:tr>
    </w:tbl>
    <w:p w14:paraId="3CCEDE8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DC47910">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7DBA1">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C50DEF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091CC89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7AC3BF6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4884469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1A92D85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59C1A1D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Cs w:val="21"/>
          <w:highlight w:val="none"/>
        </w:rPr>
        <w:t>日期：</w:t>
      </w:r>
    </w:p>
    <w:p w14:paraId="4966BBB2">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26B9D66D">
      <w:pPr>
        <w:pStyle w:val="47"/>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DA40BA0">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7452C56B">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7DDE7D4">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40138EF">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E32E5E0">
      <w:pPr>
        <w:keepNext w:val="0"/>
        <w:keepLines w:val="0"/>
        <w:pageBreakBefore w:val="0"/>
        <w:kinsoku/>
        <w:wordWrap/>
        <w:overflowPunct/>
        <w:topLinePunct w:val="0"/>
        <w:bidi w:val="0"/>
        <w:spacing w:before="312"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17D55D4C">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33F81E3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05A783A5">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2D66EE9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031DF0FE">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E890C16">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7AD07B26">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165C17BA">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5C50EBF7">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267075A8">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4F4926EA">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56EF1DFD">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416B77AE">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5C220CD6">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1、开标一览表（附件1</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w:t>
      </w:r>
    </w:p>
    <w:p w14:paraId="29053F00">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报价明细表（</w:t>
      </w:r>
      <w:r>
        <w:rPr>
          <w:rFonts w:hint="eastAsia" w:ascii="宋体" w:hAnsi="宋体" w:eastAsia="宋体" w:cs="宋体"/>
          <w:color w:val="auto"/>
          <w:highlight w:val="none"/>
        </w:rPr>
        <w:t>附件1</w:t>
      </w:r>
      <w:r>
        <w:rPr>
          <w:rFonts w:hint="eastAsia" w:ascii="宋体" w:hAnsi="宋体" w:eastAsia="宋体" w:cs="宋体"/>
          <w:color w:val="auto"/>
          <w:highlight w:val="none"/>
          <w:lang w:val="en-US" w:eastAsia="zh-CN"/>
        </w:rPr>
        <w:t>6</w:t>
      </w:r>
      <w:r>
        <w:rPr>
          <w:rFonts w:hint="eastAsia" w:ascii="宋体" w:hAnsi="宋体" w:eastAsia="宋体" w:cs="宋体"/>
          <w:color w:val="auto"/>
          <w:szCs w:val="21"/>
          <w:highlight w:val="none"/>
          <w:lang w:val="en-US" w:eastAsia="zh-CN"/>
        </w:rPr>
        <w:t>）；</w:t>
      </w:r>
    </w:p>
    <w:p w14:paraId="35AD0CB4">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针对报价投标人认为其他需要说明的；</w:t>
      </w:r>
    </w:p>
    <w:p w14:paraId="7D56F9F8">
      <w:pPr>
        <w:pStyle w:val="48"/>
        <w:keepNext w:val="0"/>
        <w:keepLines w:val="0"/>
        <w:pageBreakBefore w:val="0"/>
        <w:kinsoku/>
        <w:wordWrap/>
        <w:overflowPunct/>
        <w:topLinePunct w:val="0"/>
        <w:bidi w:val="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中小</w:t>
      </w:r>
      <w:r>
        <w:rPr>
          <w:rFonts w:hint="eastAsia" w:ascii="宋体" w:hAnsi="宋体" w:eastAsia="宋体" w:cs="宋体"/>
          <w:color w:val="auto"/>
          <w:highlight w:val="none"/>
        </w:rPr>
        <w:t>企业等声明函（附件1</w:t>
      </w:r>
      <w:r>
        <w:rPr>
          <w:rFonts w:hint="eastAsia" w:ascii="宋体" w:hAnsi="宋体" w:eastAsia="宋体" w:cs="宋体"/>
          <w:color w:val="auto"/>
          <w:highlight w:val="none"/>
          <w:lang w:val="en-US" w:eastAsia="zh-CN"/>
        </w:rPr>
        <w:t>7</w:t>
      </w:r>
      <w:r>
        <w:rPr>
          <w:rFonts w:hint="eastAsia" w:ascii="宋体" w:hAnsi="宋体" w:eastAsia="宋体" w:cs="宋体"/>
          <w:color w:val="auto"/>
          <w:highlight w:val="none"/>
        </w:rPr>
        <w:t>）；（如有需提供）</w:t>
      </w:r>
    </w:p>
    <w:p w14:paraId="54C2D69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p>
    <w:p w14:paraId="23EA0DCF">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Cs w:val="21"/>
          <w:highlight w:val="none"/>
        </w:rPr>
      </w:pPr>
    </w:p>
    <w:p w14:paraId="60A1F6E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981C66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4B692D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0E7D1A3">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2AC71D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8DAF59B">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D62B6F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C35A0E4">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2E60860">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7732AA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EFA823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F03E8E7">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11113213">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636BBF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D67D2C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DA47266">
      <w:pPr>
        <w:pStyle w:val="9"/>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320DABA">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0A28FB1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F3C8143">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7B1EF12D">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0FBFD7BE">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项目编号：</w:t>
      </w:r>
    </w:p>
    <w:p w14:paraId="5016D61C">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项目名称：</w:t>
      </w:r>
      <w:r>
        <w:rPr>
          <w:rFonts w:hint="eastAsia" w:ascii="宋体" w:hAnsi="宋体" w:eastAsia="宋体" w:cs="宋体"/>
          <w:color w:val="auto"/>
          <w:szCs w:val="21"/>
          <w:highlight w:val="none"/>
        </w:rPr>
        <w:t xml:space="preserve">                                     [货币单位：人民币元]</w:t>
      </w:r>
    </w:p>
    <w:tbl>
      <w:tblPr>
        <w:tblStyle w:val="23"/>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D90056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14C48E7D">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11F25F1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大写</w:t>
            </w:r>
          </w:p>
        </w:tc>
        <w:tc>
          <w:tcPr>
            <w:tcW w:w="4629" w:type="dxa"/>
            <w:tcBorders>
              <w:top w:val="single" w:color="auto" w:sz="12" w:space="0"/>
              <w:left w:val="single" w:color="auto" w:sz="4" w:space="0"/>
              <w:bottom w:val="single" w:color="auto" w:sz="4" w:space="0"/>
            </w:tcBorders>
            <w:vAlign w:val="center"/>
          </w:tcPr>
          <w:p w14:paraId="40192106">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r w14:paraId="6BE9426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5D37A220">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7C165211">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小写</w:t>
            </w:r>
          </w:p>
        </w:tc>
        <w:tc>
          <w:tcPr>
            <w:tcW w:w="4629" w:type="dxa"/>
            <w:tcBorders>
              <w:top w:val="single" w:color="auto" w:sz="4" w:space="0"/>
              <w:left w:val="single" w:color="auto" w:sz="4" w:space="0"/>
              <w:bottom w:val="single" w:color="auto" w:sz="4" w:space="0"/>
            </w:tcBorders>
            <w:vAlign w:val="center"/>
          </w:tcPr>
          <w:p w14:paraId="65E92232">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Cs w:val="21"/>
                <w:highlight w:val="none"/>
              </w:rPr>
            </w:pPr>
          </w:p>
        </w:tc>
      </w:tr>
    </w:tbl>
    <w:p w14:paraId="1D807046">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填报要求：</w:t>
      </w:r>
    </w:p>
    <w:p w14:paraId="1C63B4E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投标总报价包括项目的供货、运输、安装、总体调试、技术培训、税金、验收、售后服务等为完成本次项且涉及的一切费用</w:t>
      </w:r>
      <w:r>
        <w:rPr>
          <w:rFonts w:hint="eastAsia" w:ascii="宋体" w:hAnsi="宋体" w:eastAsia="宋体" w:cs="宋体"/>
          <w:color w:val="auto"/>
          <w:szCs w:val="21"/>
          <w:highlight w:val="none"/>
        </w:rPr>
        <w:t>。</w:t>
      </w:r>
    </w:p>
    <w:p w14:paraId="3820DFD8">
      <w:pPr>
        <w:spacing w:line="360" w:lineRule="auto"/>
        <w:ind w:firstLine="420" w:firstLineChars="200"/>
        <w:rPr>
          <w:rFonts w:hint="eastAsia" w:ascii="宋体" w:hAnsi="宋体" w:eastAsia="宋体" w:cs="宋体"/>
          <w:b/>
          <w:i/>
          <w:color w:val="auto"/>
          <w:szCs w:val="21"/>
          <w:highlight w:val="none"/>
          <w:u w:val="singl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7C86524A">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5851D8AE">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投标人名称（盖章）：</w:t>
      </w:r>
    </w:p>
    <w:p w14:paraId="30FB69CB">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Cs w:val="21"/>
          <w:highlight w:val="none"/>
        </w:rPr>
      </w:pPr>
    </w:p>
    <w:p w14:paraId="25B91AF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法定代表人或授权委托代理人（签字或盖章）：</w:t>
      </w:r>
    </w:p>
    <w:p w14:paraId="56747E03">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0BBD2A67">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p>
    <w:p w14:paraId="06BDCF4C">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30448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6CA126E">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14:paraId="17B16E6E">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5473BB82">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3E4C5460">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14B1FCB1">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7F6329C9">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14:paraId="0F4D9B19">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color w:val="auto"/>
          <w:highlight w:val="none"/>
          <w:lang w:eastAsia="zh-CN"/>
        </w:rPr>
      </w:pPr>
      <w:r>
        <w:rPr>
          <w:rFonts w:hint="eastAsia" w:ascii="宋体" w:hAnsi="宋体" w:eastAsia="宋体" w:cs="宋体"/>
          <w:b/>
          <w:color w:val="auto"/>
          <w:sz w:val="32"/>
          <w:szCs w:val="32"/>
          <w:highlight w:val="none"/>
        </w:rPr>
        <w:t>报价明细表</w:t>
      </w:r>
    </w:p>
    <w:p w14:paraId="279C4DF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2DDB8B52">
      <w:pPr>
        <w:pStyle w:val="1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262BF66">
      <w:pPr>
        <w:pStyle w:val="50"/>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r>
        <w:rPr>
          <w:rFonts w:hint="eastAsia" w:ascii="宋体" w:hAnsi="宋体" w:eastAsia="宋体" w:cs="宋体"/>
          <w:color w:val="auto"/>
          <w:sz w:val="24"/>
          <w:highlight w:val="none"/>
        </w:rPr>
        <w:t xml:space="preserve">                             </w:t>
      </w:r>
    </w:p>
    <w:tbl>
      <w:tblPr>
        <w:tblStyle w:val="23"/>
        <w:tblW w:w="8919"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582"/>
        <w:gridCol w:w="1437"/>
        <w:gridCol w:w="1559"/>
        <w:gridCol w:w="851"/>
        <w:gridCol w:w="992"/>
        <w:gridCol w:w="992"/>
        <w:gridCol w:w="709"/>
      </w:tblGrid>
      <w:tr w14:paraId="10C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797" w:type="dxa"/>
            <w:vAlign w:val="center"/>
          </w:tcPr>
          <w:p w14:paraId="43BD3FA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582" w:type="dxa"/>
            <w:vAlign w:val="center"/>
          </w:tcPr>
          <w:p w14:paraId="2470718F">
            <w:pPr>
              <w:keepNext w:val="0"/>
              <w:keepLines w:val="0"/>
              <w:pageBreakBefore w:val="0"/>
              <w:tabs>
                <w:tab w:val="left" w:pos="8280"/>
              </w:tabs>
              <w:kinsoku/>
              <w:wordWrap/>
              <w:overflowPunct/>
              <w:topLinePunct w:val="0"/>
              <w:autoSpaceDE w:val="0"/>
              <w:autoSpaceDN w:val="0"/>
              <w:bidi w:val="0"/>
              <w:adjustRightInd w:val="0"/>
              <w:spacing w:line="360" w:lineRule="auto"/>
              <w:ind w:right="25"/>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产品名称</w:t>
            </w:r>
          </w:p>
        </w:tc>
        <w:tc>
          <w:tcPr>
            <w:tcW w:w="1437" w:type="dxa"/>
            <w:vAlign w:val="center"/>
          </w:tcPr>
          <w:p w14:paraId="6E8ED833">
            <w:pPr>
              <w:keepNext w:val="0"/>
              <w:keepLines w:val="0"/>
              <w:pageBreakBefore w:val="0"/>
              <w:tabs>
                <w:tab w:val="left" w:pos="8280"/>
              </w:tabs>
              <w:kinsoku/>
              <w:wordWrap/>
              <w:overflowPunct/>
              <w:topLinePunct w:val="0"/>
              <w:autoSpaceDE w:val="0"/>
              <w:autoSpaceDN w:val="0"/>
              <w:bidi w:val="0"/>
              <w:adjustRightInd w:val="0"/>
              <w:spacing w:line="360" w:lineRule="auto"/>
              <w:ind w:right="25"/>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品牌、产地</w:t>
            </w:r>
          </w:p>
        </w:tc>
        <w:tc>
          <w:tcPr>
            <w:tcW w:w="1559" w:type="dxa"/>
            <w:vAlign w:val="center"/>
          </w:tcPr>
          <w:p w14:paraId="65C5E729">
            <w:pPr>
              <w:keepNext w:val="0"/>
              <w:keepLines w:val="0"/>
              <w:pageBreakBefore w:val="0"/>
              <w:kinsoku/>
              <w:wordWrap/>
              <w:overflowPunct/>
              <w:topLinePunct w:val="0"/>
              <w:bidi w:val="0"/>
              <w:spacing w:line="360" w:lineRule="auto"/>
              <w:ind w:left="52"/>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型号规格</w:t>
            </w:r>
          </w:p>
        </w:tc>
        <w:tc>
          <w:tcPr>
            <w:tcW w:w="851" w:type="dxa"/>
            <w:vAlign w:val="center"/>
          </w:tcPr>
          <w:p w14:paraId="75199A6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992" w:type="dxa"/>
            <w:vAlign w:val="center"/>
          </w:tcPr>
          <w:p w14:paraId="77B28C62">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w:t>
            </w:r>
          </w:p>
        </w:tc>
        <w:tc>
          <w:tcPr>
            <w:tcW w:w="992" w:type="dxa"/>
            <w:vAlign w:val="center"/>
          </w:tcPr>
          <w:p w14:paraId="1282A2F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w:t>
            </w:r>
          </w:p>
        </w:tc>
        <w:tc>
          <w:tcPr>
            <w:tcW w:w="709" w:type="dxa"/>
            <w:vAlign w:val="center"/>
          </w:tcPr>
          <w:p w14:paraId="30ED0D4C">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2100A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97" w:type="dxa"/>
            <w:vAlign w:val="center"/>
          </w:tcPr>
          <w:p w14:paraId="4188FF7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16846D1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687D0F9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68E19C9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18D3962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0F3A007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2CDAB75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554B368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628C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97" w:type="dxa"/>
            <w:vAlign w:val="center"/>
          </w:tcPr>
          <w:p w14:paraId="0665FE6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5C03387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17D8F8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72BC16E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064CA60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5E02B3E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0CCBCC2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6CD9F17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73370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14:paraId="677F22F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22F3BAD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32515F5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736F6B3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7EEA1C7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7900FFB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46D965C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4C93D88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086AB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97" w:type="dxa"/>
            <w:vAlign w:val="center"/>
          </w:tcPr>
          <w:p w14:paraId="6BA2562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1CF2001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437" w:type="dxa"/>
            <w:vAlign w:val="center"/>
          </w:tcPr>
          <w:p w14:paraId="4B0C34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59" w:type="dxa"/>
            <w:vAlign w:val="center"/>
          </w:tcPr>
          <w:p w14:paraId="6D317D8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851" w:type="dxa"/>
            <w:vAlign w:val="center"/>
          </w:tcPr>
          <w:p w14:paraId="6EE37CB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1800785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992" w:type="dxa"/>
            <w:vAlign w:val="center"/>
          </w:tcPr>
          <w:p w14:paraId="4EE016F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709" w:type="dxa"/>
            <w:vAlign w:val="center"/>
          </w:tcPr>
          <w:p w14:paraId="3A6F726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5492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797" w:type="dxa"/>
            <w:vAlign w:val="center"/>
          </w:tcPr>
          <w:p w14:paraId="7BD182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c>
          <w:tcPr>
            <w:tcW w:w="1582" w:type="dxa"/>
            <w:vAlign w:val="center"/>
          </w:tcPr>
          <w:p w14:paraId="2F4C5149">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1437" w:type="dxa"/>
            <w:vAlign w:val="center"/>
          </w:tcPr>
          <w:p w14:paraId="342C12BA">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1559" w:type="dxa"/>
            <w:vAlign w:val="center"/>
          </w:tcPr>
          <w:p w14:paraId="79374FC6">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c>
        <w:tc>
          <w:tcPr>
            <w:tcW w:w="851" w:type="dxa"/>
            <w:vAlign w:val="center"/>
          </w:tcPr>
          <w:p w14:paraId="1B301C94">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992" w:type="dxa"/>
            <w:vAlign w:val="center"/>
          </w:tcPr>
          <w:p w14:paraId="4E5A228D">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992" w:type="dxa"/>
            <w:vAlign w:val="center"/>
          </w:tcPr>
          <w:p w14:paraId="7A32F869">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lang w:val="en-US" w:eastAsia="zh-CN"/>
              </w:rPr>
            </w:pPr>
          </w:p>
        </w:tc>
        <w:tc>
          <w:tcPr>
            <w:tcW w:w="709" w:type="dxa"/>
            <w:vAlign w:val="center"/>
          </w:tcPr>
          <w:p w14:paraId="4FFE24F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tc>
      </w:tr>
      <w:tr w14:paraId="4F4AD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919" w:type="dxa"/>
            <w:gridSpan w:val="8"/>
            <w:tcBorders>
              <w:bottom w:val="single" w:color="auto" w:sz="4" w:space="0"/>
            </w:tcBorders>
            <w:vAlign w:val="center"/>
          </w:tcPr>
          <w:p w14:paraId="0DD6748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合计人民币：大写                               小写</w:t>
            </w:r>
          </w:p>
        </w:tc>
      </w:tr>
    </w:tbl>
    <w:p w14:paraId="5326BCFD">
      <w:pPr>
        <w:keepNext w:val="0"/>
        <w:keepLines w:val="0"/>
        <w:pageBreakBefore w:val="0"/>
        <w:kinsoku/>
        <w:wordWrap/>
        <w:overflowPunct/>
        <w:topLinePunct w:val="0"/>
        <w:bidi w:val="0"/>
        <w:spacing w:line="36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要求：</w:t>
      </w:r>
    </w:p>
    <w:p w14:paraId="3A34C2BA">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1.本表为《开标一览表》的报价明细表，如有缺项、漏项，视为投标报价中已包含相关费用，采购人无需另外支付任何费用。</w:t>
      </w:r>
    </w:p>
    <w:p w14:paraId="3C38C303">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“报价明细表”中的报价合计应与“开标一览表”中的投标总报价相一致，不一致时，以开标一览表为准。</w:t>
      </w:r>
    </w:p>
    <w:p w14:paraId="45163057">
      <w:pPr>
        <w:keepNext w:val="0"/>
        <w:keepLines w:val="0"/>
        <w:pageBreakBefore w:val="0"/>
        <w:kinsoku/>
        <w:wordWrap/>
        <w:overflowPunct/>
        <w:topLinePunct w:val="0"/>
        <w:bidi w:val="0"/>
        <w:spacing w:line="360" w:lineRule="auto"/>
        <w:ind w:left="435"/>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zh-CN"/>
        </w:rPr>
        <w:t>投标报价明细表所填内容按招标文件采购设备清单要求为准。如有漏报的，视同已包含在投标总价内或已作优惠处理。有重大缺项的将作无效标处理。</w:t>
      </w:r>
    </w:p>
    <w:p w14:paraId="2B4E4311">
      <w:pPr>
        <w:pStyle w:val="12"/>
        <w:keepNext w:val="0"/>
        <w:keepLines w:val="0"/>
        <w:pageBreakBefore w:val="0"/>
        <w:kinsoku/>
        <w:wordWrap/>
        <w:overflowPunct/>
        <w:topLinePunct w:val="0"/>
        <w:bidi w:val="0"/>
        <w:ind w:left="0" w:leftChars="0" w:firstLine="0" w:firstLineChars="0"/>
        <w:outlineLvl w:val="9"/>
        <w:rPr>
          <w:rFonts w:hint="eastAsia" w:ascii="宋体" w:hAnsi="宋体" w:eastAsia="宋体" w:cs="宋体"/>
          <w:color w:val="auto"/>
          <w:highlight w:val="none"/>
        </w:rPr>
      </w:pPr>
    </w:p>
    <w:p w14:paraId="0DE92E84">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531FBB33">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p>
    <w:p w14:paraId="6C44054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559BABC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C7C5C8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7F06D3B">
      <w:pPr>
        <w:pStyle w:val="9"/>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p w14:paraId="06C13CDE">
      <w:pPr>
        <w:keepNext w:val="0"/>
        <w:keepLines w:val="0"/>
        <w:pageBreakBefore w:val="0"/>
        <w:kinsoku/>
        <w:wordWrap/>
        <w:overflowPunct/>
        <w:topLinePunct w:val="0"/>
        <w:bidi w:val="0"/>
        <w:spacing w:line="400" w:lineRule="exact"/>
        <w:outlineLvl w:val="9"/>
        <w:rPr>
          <w:rFonts w:hint="eastAsia" w:ascii="宋体" w:hAnsi="宋体" w:eastAsia="宋体" w:cs="宋体"/>
          <w:b/>
          <w:color w:val="auto"/>
          <w:sz w:val="28"/>
          <w:highlight w:val="none"/>
        </w:rPr>
      </w:pPr>
    </w:p>
    <w:p w14:paraId="0DC4123F">
      <w:pPr>
        <w:pStyle w:val="30"/>
        <w:rPr>
          <w:rFonts w:hint="eastAsia" w:ascii="宋体" w:hAnsi="宋体" w:eastAsia="宋体" w:cs="宋体"/>
          <w:color w:val="auto"/>
          <w:highlight w:val="none"/>
        </w:rPr>
      </w:pPr>
    </w:p>
    <w:p w14:paraId="6DA57890">
      <w:pPr>
        <w:keepNext w:val="0"/>
        <w:keepLines w:val="0"/>
        <w:pageBreakBefore w:val="0"/>
        <w:kinsoku/>
        <w:wordWrap/>
        <w:overflowPunct/>
        <w:topLinePunct w:val="0"/>
        <w:bidi w:val="0"/>
        <w:spacing w:line="400" w:lineRule="exact"/>
        <w:outlineLvl w:val="9"/>
        <w:rPr>
          <w:rFonts w:hint="eastAsia" w:ascii="宋体" w:hAnsi="宋体" w:eastAsia="宋体" w:cs="宋体"/>
          <w:bCs/>
          <w:color w:val="auto"/>
          <w:sz w:val="30"/>
          <w:szCs w:val="30"/>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7</w:t>
      </w:r>
    </w:p>
    <w:p w14:paraId="061581BB">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中小企业声明函</w:t>
      </w:r>
    </w:p>
    <w:p w14:paraId="601FFE39">
      <w:pPr>
        <w:pStyle w:val="9"/>
        <w:spacing w:before="5"/>
        <w:rPr>
          <w:rFonts w:hint="eastAsia" w:ascii="宋体" w:hAnsi="宋体" w:eastAsia="宋体" w:cs="宋体"/>
          <w:b/>
          <w:color w:val="auto"/>
          <w:sz w:val="18"/>
          <w:szCs w:val="18"/>
          <w:highlight w:val="none"/>
        </w:rPr>
      </w:pPr>
    </w:p>
    <w:p w14:paraId="108F4810">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w:t>
      </w:r>
      <w:r>
        <w:rPr>
          <w:rFonts w:hint="eastAsia" w:ascii="宋体" w:hAnsi="宋体" w:eastAsia="宋体" w:cs="宋体"/>
          <w:color w:val="auto"/>
          <w:kern w:val="2"/>
          <w:sz w:val="21"/>
          <w:szCs w:val="21"/>
          <w:highlight w:val="none"/>
          <w:lang w:val="zh-CN" w:eastAsia="zh-CN" w:bidi="ar-SA"/>
        </w:rPr>
        <w:t>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bCs/>
          <w:color w:val="auto"/>
          <w:szCs w:val="21"/>
          <w:highlight w:val="none"/>
        </w:rPr>
        <w:t>提供的货物全部由符合政策要求的中小企业制造</w:t>
      </w:r>
      <w:r>
        <w:rPr>
          <w:rFonts w:hint="eastAsia" w:ascii="宋体" w:hAnsi="宋体" w:eastAsia="宋体" w:cs="宋体"/>
          <w:color w:val="auto"/>
          <w:kern w:val="2"/>
          <w:sz w:val="21"/>
          <w:szCs w:val="21"/>
          <w:highlight w:val="none"/>
          <w:lang w:val="zh-CN" w:eastAsia="zh-CN" w:bidi="ar-SA"/>
        </w:rPr>
        <w:t>。相关企业（含联合体中的中小企业、签订分包意向协议的中小企业）的具体情况如下：</w:t>
      </w:r>
    </w:p>
    <w:p w14:paraId="13065295">
      <w:pPr>
        <w:pStyle w:val="9"/>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68C6B7EE">
      <w:pPr>
        <w:pStyle w:val="9"/>
        <w:autoSpaceDE w:val="0"/>
        <w:autoSpaceDN w:val="0"/>
        <w:adjustRightInd/>
        <w:spacing w:line="360" w:lineRule="auto"/>
        <w:ind w:right="-54" w:firstLine="402" w:firstLineChars="200"/>
        <w:jc w:val="both"/>
        <w:textAlignment w:val="auto"/>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Cs/>
          <w:color w:val="auto"/>
          <w:w w:val="96"/>
          <w:sz w:val="21"/>
          <w:szCs w:val="21"/>
          <w:highlight w:val="none"/>
          <w:lang w:eastAsia="zh-CN"/>
        </w:rPr>
        <w:t>、</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；制造商为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w:t>
      </w:r>
      <w:r>
        <w:rPr>
          <w:rFonts w:hint="eastAsia" w:ascii="宋体" w:hAnsi="宋体" w:eastAsia="宋体" w:cs="宋体"/>
          <w:color w:val="auto"/>
          <w:sz w:val="21"/>
          <w:szCs w:val="21"/>
          <w:highlight w:val="none"/>
        </w:rPr>
        <w:t>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2CCDC44F">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56D56F5A">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5F4223A5">
      <w:pPr>
        <w:pStyle w:val="9"/>
        <w:autoSpaceDE w:val="0"/>
        <w:autoSpaceDN w:val="0"/>
        <w:adjustRightInd/>
        <w:spacing w:line="360" w:lineRule="auto"/>
        <w:ind w:right="-54"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742EFF83">
      <w:pPr>
        <w:pStyle w:val="9"/>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6802017D">
      <w:pPr>
        <w:pStyle w:val="9"/>
        <w:autoSpaceDE w:val="0"/>
        <w:autoSpaceDN w:val="0"/>
        <w:adjustRightInd/>
        <w:spacing w:before="29" w:line="360" w:lineRule="auto"/>
        <w:ind w:left="4060" w:right="-54"/>
        <w:textAlignment w:val="auto"/>
        <w:rPr>
          <w:rFonts w:hint="eastAsia" w:ascii="宋体" w:hAnsi="宋体" w:eastAsia="宋体" w:cs="宋体"/>
          <w:color w:val="auto"/>
          <w:w w:val="99"/>
          <w:sz w:val="21"/>
          <w:szCs w:val="21"/>
          <w:highlight w:val="none"/>
        </w:rPr>
      </w:pPr>
    </w:p>
    <w:p w14:paraId="24A73ED9">
      <w:pPr>
        <w:pStyle w:val="9"/>
        <w:autoSpaceDE w:val="0"/>
        <w:autoSpaceDN w:val="0"/>
        <w:adjustRightInd/>
        <w:spacing w:before="29" w:line="360" w:lineRule="auto"/>
        <w:ind w:right="-54" w:firstLine="3990" w:firstLineChars="1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63EFE5B6">
      <w:pPr>
        <w:pStyle w:val="9"/>
        <w:autoSpaceDE w:val="0"/>
        <w:autoSpaceDN w:val="0"/>
        <w:adjustRightInd/>
        <w:spacing w:before="29" w:line="360" w:lineRule="auto"/>
        <w:ind w:right="-54" w:firstLine="3990" w:firstLineChars="1900"/>
        <w:textAlignment w:val="auto"/>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6AC0E9CA">
      <w:pPr>
        <w:pStyle w:val="11"/>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3D89AD4C">
      <w:pPr>
        <w:pStyle w:val="51"/>
        <w:numPr>
          <w:ilvl w:val="0"/>
          <w:numId w:val="0"/>
        </w:numPr>
        <w:spacing w:line="360" w:lineRule="auto"/>
        <w:ind w:left="403" w:leftChars="0"/>
        <w:jc w:val="both"/>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06937EC7">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2AD1213E">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sectPr>
          <w:pgSz w:w="11906" w:h="16838"/>
          <w:pgMar w:top="1440" w:right="1800" w:bottom="1440" w:left="1800" w:header="851" w:footer="992" w:gutter="0"/>
          <w:pgNumType w:fmt="decimal"/>
          <w:cols w:space="425" w:num="1"/>
          <w:docGrid w:type="lines" w:linePitch="312" w:charSpace="0"/>
        </w:sectPr>
      </w:pPr>
    </w:p>
    <w:p w14:paraId="27816B30">
      <w:pPr>
        <w:pStyle w:val="11"/>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22077FEB">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C4E08AF">
      <w:pPr>
        <w:keepNext w:val="0"/>
        <w:keepLines w:val="0"/>
        <w:pageBreakBefore w:val="0"/>
        <w:kinsoku/>
        <w:wordWrap/>
        <w:overflowPunct/>
        <w:topLinePunct w:val="0"/>
        <w:bidi w:val="0"/>
        <w:spacing w:line="360" w:lineRule="auto"/>
        <w:ind w:firstLine="444" w:firstLineChars="200"/>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本单位对上述声明的真实性负责。如有虚假，将依法承担相应责任。</w:t>
      </w:r>
    </w:p>
    <w:p w14:paraId="50948A54">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p>
    <w:p w14:paraId="67AE7FAD">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单位名称（盖章）：</w:t>
      </w:r>
    </w:p>
    <w:p w14:paraId="491637FF">
      <w:pPr>
        <w:keepNext w:val="0"/>
        <w:keepLines w:val="0"/>
        <w:pageBreakBefore w:val="0"/>
        <w:tabs>
          <w:tab w:val="left" w:pos="4860"/>
        </w:tabs>
        <w:kinsoku/>
        <w:wordWrap/>
        <w:overflowPunct/>
        <w:topLinePunct w:val="0"/>
        <w:bidi w:val="0"/>
        <w:spacing w:line="360" w:lineRule="auto"/>
        <w:ind w:right="1560" w:firstLine="1890" w:firstLineChars="900"/>
        <w:jc w:val="both"/>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Cs w:val="21"/>
          <w:highlight w:val="none"/>
        </w:rPr>
        <w:t>：</w:t>
      </w:r>
    </w:p>
    <w:p w14:paraId="759035A6">
      <w:pPr>
        <w:keepNext w:val="0"/>
        <w:keepLines w:val="0"/>
        <w:pageBreakBefore w:val="0"/>
        <w:tabs>
          <w:tab w:val="left" w:pos="4860"/>
        </w:tabs>
        <w:kinsoku/>
        <w:wordWrap/>
        <w:overflowPunct/>
        <w:topLinePunct w:val="0"/>
        <w:bidi w:val="0"/>
        <w:spacing w:line="360" w:lineRule="auto"/>
        <w:ind w:right="1560" w:firstLine="444" w:firstLineChars="200"/>
        <w:jc w:val="center"/>
        <w:outlineLvl w:val="9"/>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日期：</w:t>
      </w:r>
    </w:p>
    <w:p w14:paraId="6113E96A">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B5E1A37">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50E93E3">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9A6B824">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8720A4B">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7D8C6B6A">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BF59FD">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14AE76C8">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C2833B6">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FFF870A">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3C6008DB">
      <w:pPr>
        <w:pStyle w:val="51"/>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5BAED57B">
      <w:pPr>
        <w:pStyle w:val="9"/>
        <w:rPr>
          <w:rFonts w:hint="eastAsia" w:ascii="宋体" w:hAnsi="宋体" w:eastAsia="宋体" w:cs="宋体"/>
          <w:color w:val="auto"/>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9975C6">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DD0E5CF">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59264;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A7eU9DICAABj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MHmW&#10;hY1+sDxCR3m8Xe4D5EwqR1F6JdCdeMDspT6d9yQO95/nFPX437D4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DF8ZnSAAAABAEAAA8AAAAAAAAAAQAgAAAAIgAAAGRycy9kb3ducmV2LnhtbFBLAQIU&#10;ABQAAAAIAIdO4kADt5T0MgIAAGMEAAAOAAAAAAAAAAEAIAAAACEBAABkcnMvZTJvRG9jLnhtbFBL&#10;BQYAAAAABgAGAFkBAADFBQAAAAA=&#10;">
              <v:fill on="f" focussize="0,0"/>
              <v:stroke on="f" weight="0.5pt"/>
              <v:imagedata o:title=""/>
              <o:lock v:ext="edit" aspectratio="f"/>
              <v:textbox inset="0mm,0mm,0mm,0mm" style="mso-fit-shape-to-text:t;">
                <w:txbxContent>
                  <w:p w14:paraId="7DD0E5CF">
                    <w:pPr>
                      <w:pStyle w:val="14"/>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678D">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A4779DD">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0p704MQIAAGMEAAAOAAAAAAAAAAEAIAAAAB8BAABkcnMvZTJvRG9jLnhtbFBLBQYA&#10;AAAABgAGAFkBAADCBQAAAAA=&#10;">
              <v:fill on="f" focussize="0,0"/>
              <v:stroke on="f" weight="0.5pt"/>
              <v:imagedata o:title=""/>
              <o:lock v:ext="edit" aspectratio="f"/>
              <v:textbox inset="0mm,0mm,0mm,0mm" style="mso-fit-shape-to-text:t;">
                <w:txbxContent>
                  <w:p w14:paraId="1A4779DD">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45F79">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3C2ED23">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14:paraId="33C2ED23">
                    <w:pPr>
                      <w:pStyle w:val="14"/>
                      <w:rPr>
                        <w:rFonts w:eastAsia="宋体"/>
                      </w:rPr>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5910BE">
    <w:pPr>
      <w:rPr>
        <w:rFonts w:hint="eastAsia" w:eastAsia="宋体"/>
        <w:iCs/>
        <w:lang w:eastAsia="zh-CN"/>
      </w:rPr>
    </w:pPr>
    <w:r>
      <w:rPr>
        <w:rFonts w:hint="eastAsia"/>
        <w:b/>
        <w:iCs/>
        <w:color w:val="000000"/>
        <w:kern w:val="0"/>
        <w:sz w:val="18"/>
        <w:u w:val="single"/>
      </w:rPr>
      <w:t>政府采购招标文件</w:t>
    </w:r>
    <w:r>
      <w:rPr>
        <w:b/>
        <w:iCs/>
        <w:color w:val="000000"/>
        <w:kern w:val="0"/>
        <w:sz w:val="18"/>
        <w:u w:val="single"/>
      </w:rPr>
      <w:t>--</w:t>
    </w:r>
    <w:r>
      <w:rPr>
        <w:rFonts w:hint="eastAsia"/>
        <w:b/>
        <w:iCs/>
        <w:color w:val="000000"/>
        <w:kern w:val="0"/>
        <w:sz w:val="18"/>
        <w:u w:val="single"/>
        <w:lang w:eastAsia="zh-CN"/>
      </w:rPr>
      <w:t>黄岩区抗战时期中共黄岩县委机关旧址、岱石庙、铁米筛井省级文保单位消防项目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FB51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EF26C">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85F157A5"/>
    <w:multiLevelType w:val="singleLevel"/>
    <w:tmpl w:val="85F157A5"/>
    <w:lvl w:ilvl="0" w:tentative="0">
      <w:start w:val="7"/>
      <w:numFmt w:val="decimal"/>
      <w:suff w:val="nothing"/>
      <w:lvlText w:val="%1、"/>
      <w:lvlJc w:val="left"/>
    </w:lvl>
  </w:abstractNum>
  <w:abstractNum w:abstractNumId="2">
    <w:nsid w:val="950E4D63"/>
    <w:multiLevelType w:val="singleLevel"/>
    <w:tmpl w:val="950E4D63"/>
    <w:lvl w:ilvl="0" w:tentative="0">
      <w:start w:val="1"/>
      <w:numFmt w:val="decimal"/>
      <w:suff w:val="nothing"/>
      <w:lvlText w:val="%1、"/>
      <w:lvlJc w:val="left"/>
    </w:lvl>
  </w:abstractNum>
  <w:abstractNum w:abstractNumId="3">
    <w:nsid w:val="98A1DCDC"/>
    <w:multiLevelType w:val="singleLevel"/>
    <w:tmpl w:val="98A1DCDC"/>
    <w:lvl w:ilvl="0" w:tentative="0">
      <w:start w:val="1"/>
      <w:numFmt w:val="decimal"/>
      <w:suff w:val="nothing"/>
      <w:lvlText w:val="%1、"/>
      <w:lvlJc w:val="left"/>
    </w:lvl>
  </w:abstractNum>
  <w:abstractNum w:abstractNumId="4">
    <w:nsid w:val="AD0EB59A"/>
    <w:multiLevelType w:val="singleLevel"/>
    <w:tmpl w:val="AD0EB59A"/>
    <w:lvl w:ilvl="0" w:tentative="0">
      <w:start w:val="3"/>
      <w:numFmt w:val="decimal"/>
      <w:suff w:val="nothing"/>
      <w:lvlText w:val="%1、"/>
      <w:lvlJc w:val="left"/>
    </w:lvl>
  </w:abstractNum>
  <w:abstractNum w:abstractNumId="5">
    <w:nsid w:val="461E5E94"/>
    <w:multiLevelType w:val="singleLevel"/>
    <w:tmpl w:val="461E5E94"/>
    <w:lvl w:ilvl="0" w:tentative="0">
      <w:start w:val="2"/>
      <w:numFmt w:val="chineseCounting"/>
      <w:suff w:val="space"/>
      <w:lvlText w:val="第%1章"/>
      <w:lvlJc w:val="left"/>
      <w:rPr>
        <w:rFonts w:hint="eastAsia" w:cs="Times New Roman"/>
      </w:rPr>
    </w:lvl>
  </w:abstractNum>
  <w:abstractNum w:abstractNumId="6">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7">
    <w:nsid w:val="58CA50F0"/>
    <w:multiLevelType w:val="multilevel"/>
    <w:tmpl w:val="58CA50F0"/>
    <w:lvl w:ilvl="0" w:tentative="0">
      <w:start w:val="1"/>
      <w:numFmt w:val="chineseCounting"/>
      <w:pStyle w:val="3"/>
      <w:lvlText w:val="第%1章 "/>
      <w:lvlJc w:val="left"/>
      <w:pPr>
        <w:tabs>
          <w:tab w:val="left" w:pos="432"/>
        </w:tabs>
        <w:ind w:left="432" w:hanging="432"/>
      </w:pPr>
      <w:rPr>
        <w:rFonts w:hint="eastAsia" w:ascii="Times New Roman" w:hAnsi="Times New Roman" w:eastAsia="仿宋_GB2312" w:cs="宋体"/>
      </w:rPr>
    </w:lvl>
    <w:lvl w:ilvl="1" w:tentative="0">
      <w:start w:val="1"/>
      <w:numFmt w:val="decimal"/>
      <w:isLgl/>
      <w:lvlText w:val="%1.%2."/>
      <w:lvlJc w:val="left"/>
      <w:pPr>
        <w:tabs>
          <w:tab w:val="left" w:pos="210"/>
        </w:tabs>
        <w:ind w:left="0" w:firstLine="0"/>
      </w:pPr>
      <w:rPr>
        <w:rFonts w:hint="eastAsia" w:ascii="宋体" w:hAnsi="宋体" w:eastAsia="宋体" w:cs="宋体"/>
      </w:rPr>
    </w:lvl>
    <w:lvl w:ilvl="2" w:tentative="0">
      <w:start w:val="1"/>
      <w:numFmt w:val="decimal"/>
      <w:isLgl/>
      <w:lvlText w:val="%1.%2.%3."/>
      <w:lvlJc w:val="left"/>
      <w:pPr>
        <w:tabs>
          <w:tab w:val="left" w:pos="210"/>
        </w:tabs>
        <w:ind w:left="0" w:firstLine="0"/>
      </w:pPr>
      <w:rPr>
        <w:rFonts w:hint="eastAsia" w:ascii="宋体" w:hAnsi="宋体" w:eastAsia="宋体" w:cs="宋体"/>
      </w:rPr>
    </w:lvl>
    <w:lvl w:ilvl="3" w:tentative="0">
      <w:start w:val="1"/>
      <w:numFmt w:val="decimal"/>
      <w:isLgl/>
      <w:lvlText w:val="%1.%2.%3.%4."/>
      <w:lvlJc w:val="left"/>
      <w:pPr>
        <w:tabs>
          <w:tab w:val="left" w:pos="210"/>
        </w:tabs>
        <w:ind w:left="0" w:firstLine="0"/>
      </w:pPr>
      <w:rPr>
        <w:rFonts w:hint="eastAsia" w:ascii="宋体" w:hAnsi="宋体" w:eastAsia="宋体" w:cs="宋体"/>
      </w:rPr>
    </w:lvl>
    <w:lvl w:ilvl="4" w:tentative="0">
      <w:start w:val="1"/>
      <w:numFmt w:val="decimal"/>
      <w:isLgl/>
      <w:lvlText w:val="%1.%2.%3.%4.%5."/>
      <w:lvlJc w:val="left"/>
      <w:pPr>
        <w:tabs>
          <w:tab w:val="left" w:pos="210"/>
        </w:tabs>
        <w:ind w:left="0" w:firstLine="0"/>
      </w:pPr>
      <w:rPr>
        <w:rFonts w:hint="eastAsia" w:ascii="宋体" w:hAnsi="宋体" w:eastAsia="宋体" w:cs="宋体"/>
      </w:rPr>
    </w:lvl>
    <w:lvl w:ilvl="5" w:tentative="0">
      <w:start w:val="1"/>
      <w:numFmt w:val="decimal"/>
      <w:lvlText w:val="%1.%2.%3.%4.%5.%6."/>
      <w:lvlJc w:val="left"/>
      <w:pPr>
        <w:tabs>
          <w:tab w:val="left" w:pos="1151"/>
        </w:tabs>
        <w:ind w:left="1151" w:hanging="1151"/>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3"/>
        </w:tabs>
        <w:ind w:left="1583" w:hanging="1583"/>
      </w:pPr>
      <w:rPr>
        <w:rFonts w:hint="eastAsia"/>
      </w:rPr>
    </w:lvl>
  </w:abstractNum>
  <w:num w:numId="1">
    <w:abstractNumId w:val="7"/>
  </w:num>
  <w:num w:numId="2">
    <w:abstractNumId w:val="6"/>
  </w:num>
  <w:num w:numId="3">
    <w:abstractNumId w:val="5"/>
  </w:num>
  <w:num w:numId="4">
    <w:abstractNumId w:val="3"/>
  </w:num>
  <w:num w:numId="5">
    <w:abstractNumId w:val="2"/>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321B6"/>
    <w:rsid w:val="0003476A"/>
    <w:rsid w:val="00055C56"/>
    <w:rsid w:val="0008396C"/>
    <w:rsid w:val="000E0D3F"/>
    <w:rsid w:val="001241E8"/>
    <w:rsid w:val="00215442"/>
    <w:rsid w:val="0028159A"/>
    <w:rsid w:val="002C6DDC"/>
    <w:rsid w:val="003929D9"/>
    <w:rsid w:val="003C6577"/>
    <w:rsid w:val="0043417D"/>
    <w:rsid w:val="00446A93"/>
    <w:rsid w:val="004C3D04"/>
    <w:rsid w:val="005079B9"/>
    <w:rsid w:val="00532108"/>
    <w:rsid w:val="005C68A9"/>
    <w:rsid w:val="006052DD"/>
    <w:rsid w:val="00641C5C"/>
    <w:rsid w:val="00650A79"/>
    <w:rsid w:val="006E681F"/>
    <w:rsid w:val="00703AFD"/>
    <w:rsid w:val="007C0A85"/>
    <w:rsid w:val="00842483"/>
    <w:rsid w:val="009C6908"/>
    <w:rsid w:val="009E7B9B"/>
    <w:rsid w:val="00A76558"/>
    <w:rsid w:val="00B7243C"/>
    <w:rsid w:val="00B8754F"/>
    <w:rsid w:val="00BE3149"/>
    <w:rsid w:val="00D27694"/>
    <w:rsid w:val="00DD40BE"/>
    <w:rsid w:val="00E04ED8"/>
    <w:rsid w:val="00E873B3"/>
    <w:rsid w:val="00EB0E14"/>
    <w:rsid w:val="00F05701"/>
    <w:rsid w:val="00F3299C"/>
    <w:rsid w:val="00F4609D"/>
    <w:rsid w:val="00FF74E6"/>
    <w:rsid w:val="014D4625"/>
    <w:rsid w:val="0170542D"/>
    <w:rsid w:val="01DC112F"/>
    <w:rsid w:val="01F86678"/>
    <w:rsid w:val="022D15A4"/>
    <w:rsid w:val="02380D19"/>
    <w:rsid w:val="032047EC"/>
    <w:rsid w:val="03EF0F68"/>
    <w:rsid w:val="043F7FC4"/>
    <w:rsid w:val="04B22D8F"/>
    <w:rsid w:val="050A7355"/>
    <w:rsid w:val="051F6421"/>
    <w:rsid w:val="05470381"/>
    <w:rsid w:val="06C90101"/>
    <w:rsid w:val="08390248"/>
    <w:rsid w:val="084A3762"/>
    <w:rsid w:val="087F5981"/>
    <w:rsid w:val="09107AD0"/>
    <w:rsid w:val="091240AB"/>
    <w:rsid w:val="094B2DCA"/>
    <w:rsid w:val="09E03F7D"/>
    <w:rsid w:val="09F33DD0"/>
    <w:rsid w:val="0A026C9D"/>
    <w:rsid w:val="0AD0034B"/>
    <w:rsid w:val="0AF64F0D"/>
    <w:rsid w:val="0D1F4CD0"/>
    <w:rsid w:val="0D4B03D2"/>
    <w:rsid w:val="0D9A128E"/>
    <w:rsid w:val="0F0409BF"/>
    <w:rsid w:val="0F7812F7"/>
    <w:rsid w:val="0F7E6199"/>
    <w:rsid w:val="0F8D7EA0"/>
    <w:rsid w:val="0FE74D1C"/>
    <w:rsid w:val="10063514"/>
    <w:rsid w:val="10452B67"/>
    <w:rsid w:val="10860B6D"/>
    <w:rsid w:val="1181632B"/>
    <w:rsid w:val="118B7249"/>
    <w:rsid w:val="11D07E07"/>
    <w:rsid w:val="121665CB"/>
    <w:rsid w:val="12EC03CE"/>
    <w:rsid w:val="13F45D5A"/>
    <w:rsid w:val="153867FF"/>
    <w:rsid w:val="155B6DDB"/>
    <w:rsid w:val="15BA7E68"/>
    <w:rsid w:val="15D17152"/>
    <w:rsid w:val="167269F6"/>
    <w:rsid w:val="168339D9"/>
    <w:rsid w:val="17192D6B"/>
    <w:rsid w:val="171D6CDD"/>
    <w:rsid w:val="17461D47"/>
    <w:rsid w:val="176F1112"/>
    <w:rsid w:val="177873A9"/>
    <w:rsid w:val="17B91B1C"/>
    <w:rsid w:val="17D2330C"/>
    <w:rsid w:val="199E7DC0"/>
    <w:rsid w:val="19CE3838"/>
    <w:rsid w:val="1A076244"/>
    <w:rsid w:val="1AD14F5C"/>
    <w:rsid w:val="1C6D212E"/>
    <w:rsid w:val="1C7E5C21"/>
    <w:rsid w:val="1C8769FD"/>
    <w:rsid w:val="1CC61F19"/>
    <w:rsid w:val="1D1B615D"/>
    <w:rsid w:val="1D465475"/>
    <w:rsid w:val="1D5E7E5F"/>
    <w:rsid w:val="1D6A3BB0"/>
    <w:rsid w:val="1D6E6C2F"/>
    <w:rsid w:val="1DB05BC4"/>
    <w:rsid w:val="1E91399D"/>
    <w:rsid w:val="1F162724"/>
    <w:rsid w:val="1F3C25C1"/>
    <w:rsid w:val="1FE64EAA"/>
    <w:rsid w:val="201C7B31"/>
    <w:rsid w:val="20ED3C16"/>
    <w:rsid w:val="224700DF"/>
    <w:rsid w:val="226D1098"/>
    <w:rsid w:val="22946A87"/>
    <w:rsid w:val="22F6774D"/>
    <w:rsid w:val="231F022B"/>
    <w:rsid w:val="24EA2708"/>
    <w:rsid w:val="25836610"/>
    <w:rsid w:val="259A2034"/>
    <w:rsid w:val="25C5310A"/>
    <w:rsid w:val="262D145C"/>
    <w:rsid w:val="26353EFB"/>
    <w:rsid w:val="26362BBB"/>
    <w:rsid w:val="27012F51"/>
    <w:rsid w:val="27216271"/>
    <w:rsid w:val="28FA6455"/>
    <w:rsid w:val="29367CF7"/>
    <w:rsid w:val="29861651"/>
    <w:rsid w:val="29B55529"/>
    <w:rsid w:val="2A1E1287"/>
    <w:rsid w:val="2B050160"/>
    <w:rsid w:val="2BF15C4A"/>
    <w:rsid w:val="2BFD44C9"/>
    <w:rsid w:val="2C4C727A"/>
    <w:rsid w:val="2D3D3C18"/>
    <w:rsid w:val="2E1924DD"/>
    <w:rsid w:val="2E280D6C"/>
    <w:rsid w:val="2F7B1BB4"/>
    <w:rsid w:val="2FC33D2E"/>
    <w:rsid w:val="30355402"/>
    <w:rsid w:val="30EB3632"/>
    <w:rsid w:val="3122031C"/>
    <w:rsid w:val="323740AF"/>
    <w:rsid w:val="33413EC8"/>
    <w:rsid w:val="33554436"/>
    <w:rsid w:val="34772ADD"/>
    <w:rsid w:val="351A4B95"/>
    <w:rsid w:val="355B2A13"/>
    <w:rsid w:val="35F8117C"/>
    <w:rsid w:val="36D706BD"/>
    <w:rsid w:val="37584051"/>
    <w:rsid w:val="37757208"/>
    <w:rsid w:val="37E4758B"/>
    <w:rsid w:val="385413D3"/>
    <w:rsid w:val="385F7EDF"/>
    <w:rsid w:val="3A316D41"/>
    <w:rsid w:val="3A7A6F1E"/>
    <w:rsid w:val="3B194DD7"/>
    <w:rsid w:val="3B4D2A31"/>
    <w:rsid w:val="3B64677C"/>
    <w:rsid w:val="3C042224"/>
    <w:rsid w:val="3C49136C"/>
    <w:rsid w:val="3E086240"/>
    <w:rsid w:val="3E41042A"/>
    <w:rsid w:val="3E642B43"/>
    <w:rsid w:val="3E682C63"/>
    <w:rsid w:val="3EE327C0"/>
    <w:rsid w:val="3F1D6D60"/>
    <w:rsid w:val="3F654DFF"/>
    <w:rsid w:val="3F95513E"/>
    <w:rsid w:val="4066556A"/>
    <w:rsid w:val="40A436F8"/>
    <w:rsid w:val="41BA58A9"/>
    <w:rsid w:val="41ED1EFE"/>
    <w:rsid w:val="42204DEC"/>
    <w:rsid w:val="42A16F0F"/>
    <w:rsid w:val="434118E3"/>
    <w:rsid w:val="4364349F"/>
    <w:rsid w:val="43AD217F"/>
    <w:rsid w:val="440D430D"/>
    <w:rsid w:val="448E6105"/>
    <w:rsid w:val="458B72B5"/>
    <w:rsid w:val="46D0725A"/>
    <w:rsid w:val="47911A42"/>
    <w:rsid w:val="47925F0D"/>
    <w:rsid w:val="4797223C"/>
    <w:rsid w:val="47C11F07"/>
    <w:rsid w:val="48AE2974"/>
    <w:rsid w:val="48D11615"/>
    <w:rsid w:val="4A45552A"/>
    <w:rsid w:val="4BD6102D"/>
    <w:rsid w:val="4C783070"/>
    <w:rsid w:val="4C9C6B0B"/>
    <w:rsid w:val="4CF72E0A"/>
    <w:rsid w:val="4D0D668F"/>
    <w:rsid w:val="4DD20634"/>
    <w:rsid w:val="4DFA74A7"/>
    <w:rsid w:val="4E007FCD"/>
    <w:rsid w:val="4E0A1174"/>
    <w:rsid w:val="4E3623E0"/>
    <w:rsid w:val="4E6F0E8E"/>
    <w:rsid w:val="4F632809"/>
    <w:rsid w:val="4F9A7897"/>
    <w:rsid w:val="4F9F2966"/>
    <w:rsid w:val="507706BC"/>
    <w:rsid w:val="50D628CB"/>
    <w:rsid w:val="513C6119"/>
    <w:rsid w:val="51CE3145"/>
    <w:rsid w:val="51EB6DCF"/>
    <w:rsid w:val="51F43DFB"/>
    <w:rsid w:val="5214040A"/>
    <w:rsid w:val="5215308E"/>
    <w:rsid w:val="547C2EEE"/>
    <w:rsid w:val="54893142"/>
    <w:rsid w:val="54B20087"/>
    <w:rsid w:val="54B30803"/>
    <w:rsid w:val="54CF56D2"/>
    <w:rsid w:val="553E5FE2"/>
    <w:rsid w:val="557C0E2E"/>
    <w:rsid w:val="55AE418F"/>
    <w:rsid w:val="564C12C9"/>
    <w:rsid w:val="57AE5C45"/>
    <w:rsid w:val="5801790F"/>
    <w:rsid w:val="585D74AD"/>
    <w:rsid w:val="58A6161D"/>
    <w:rsid w:val="58D35C9F"/>
    <w:rsid w:val="59B6573E"/>
    <w:rsid w:val="5A483C43"/>
    <w:rsid w:val="5A717E39"/>
    <w:rsid w:val="5BFD7927"/>
    <w:rsid w:val="5D004137"/>
    <w:rsid w:val="5D191106"/>
    <w:rsid w:val="5D3A2E91"/>
    <w:rsid w:val="5D683466"/>
    <w:rsid w:val="5E07046A"/>
    <w:rsid w:val="5ECD0CBA"/>
    <w:rsid w:val="5EEE1974"/>
    <w:rsid w:val="60CA0DE4"/>
    <w:rsid w:val="60E83340"/>
    <w:rsid w:val="616B6A69"/>
    <w:rsid w:val="618A50EB"/>
    <w:rsid w:val="61CD4084"/>
    <w:rsid w:val="61EE3878"/>
    <w:rsid w:val="622136D2"/>
    <w:rsid w:val="62227EFF"/>
    <w:rsid w:val="62821D6C"/>
    <w:rsid w:val="62F63414"/>
    <w:rsid w:val="63AC7E95"/>
    <w:rsid w:val="6406501C"/>
    <w:rsid w:val="64826984"/>
    <w:rsid w:val="650F02D7"/>
    <w:rsid w:val="66123FF3"/>
    <w:rsid w:val="66947BB5"/>
    <w:rsid w:val="66950943"/>
    <w:rsid w:val="66F72652"/>
    <w:rsid w:val="673E235F"/>
    <w:rsid w:val="673F0D45"/>
    <w:rsid w:val="678705FA"/>
    <w:rsid w:val="68182AFD"/>
    <w:rsid w:val="692D12BE"/>
    <w:rsid w:val="6A516961"/>
    <w:rsid w:val="6ACC152B"/>
    <w:rsid w:val="6AD211AF"/>
    <w:rsid w:val="6B0242A5"/>
    <w:rsid w:val="6B23122A"/>
    <w:rsid w:val="6D521646"/>
    <w:rsid w:val="6D643BB1"/>
    <w:rsid w:val="6E08381B"/>
    <w:rsid w:val="6E1149F8"/>
    <w:rsid w:val="6EFF1686"/>
    <w:rsid w:val="6F52577A"/>
    <w:rsid w:val="6FB47993"/>
    <w:rsid w:val="704F29F9"/>
    <w:rsid w:val="720C7DC2"/>
    <w:rsid w:val="73830D52"/>
    <w:rsid w:val="73843B20"/>
    <w:rsid w:val="743D357C"/>
    <w:rsid w:val="745647DF"/>
    <w:rsid w:val="748266FC"/>
    <w:rsid w:val="74BB1228"/>
    <w:rsid w:val="7513740C"/>
    <w:rsid w:val="75514582"/>
    <w:rsid w:val="759A4515"/>
    <w:rsid w:val="75A81617"/>
    <w:rsid w:val="76092670"/>
    <w:rsid w:val="76680F03"/>
    <w:rsid w:val="767D593D"/>
    <w:rsid w:val="769E59C5"/>
    <w:rsid w:val="76CF1DF7"/>
    <w:rsid w:val="770171A7"/>
    <w:rsid w:val="770A7D21"/>
    <w:rsid w:val="77292EA1"/>
    <w:rsid w:val="777C5946"/>
    <w:rsid w:val="77A51158"/>
    <w:rsid w:val="78867147"/>
    <w:rsid w:val="78B73442"/>
    <w:rsid w:val="78D775D8"/>
    <w:rsid w:val="78DC3E7D"/>
    <w:rsid w:val="78E41C51"/>
    <w:rsid w:val="7929784F"/>
    <w:rsid w:val="795F3624"/>
    <w:rsid w:val="7A9131A4"/>
    <w:rsid w:val="7B1B3E90"/>
    <w:rsid w:val="7B376CA9"/>
    <w:rsid w:val="7B5812CA"/>
    <w:rsid w:val="7BEB0099"/>
    <w:rsid w:val="7C710949"/>
    <w:rsid w:val="7CF46371"/>
    <w:rsid w:val="7E4E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ind w:left="0" w:firstLine="0"/>
      <w:jc w:val="center"/>
      <w:outlineLvl w:val="0"/>
    </w:pPr>
    <w:rPr>
      <w:rFonts w:ascii="Calibri" w:hAnsi="Calibri"/>
      <w:b/>
      <w:kern w:val="44"/>
      <w:sz w:val="44"/>
      <w:szCs w:val="20"/>
    </w:rPr>
  </w:style>
  <w:style w:type="paragraph" w:styleId="4">
    <w:name w:val="heading 2"/>
    <w:basedOn w:val="1"/>
    <w:next w:val="1"/>
    <w:autoRedefine/>
    <w:qFormat/>
    <w:uiPriority w:val="99"/>
    <w:pPr>
      <w:keepNext/>
      <w:keepLines/>
      <w:snapToGrid w:val="0"/>
      <w:spacing w:beforeLines="50" w:line="300" w:lineRule="auto"/>
      <w:ind w:firstLine="200" w:firstLineChars="200"/>
      <w:outlineLvl w:val="1"/>
    </w:pPr>
    <w:rPr>
      <w:rFonts w:ascii="Arial" w:hAnsi="Arial"/>
      <w:b/>
      <w:bCs/>
      <w:szCs w:val="32"/>
    </w:rPr>
  </w:style>
  <w:style w:type="paragraph" w:styleId="5">
    <w:name w:val="heading 3"/>
    <w:basedOn w:val="1"/>
    <w:next w:val="1"/>
    <w:autoRedefine/>
    <w:qFormat/>
    <w:uiPriority w:val="99"/>
    <w:pPr>
      <w:widowControl/>
      <w:autoSpaceDE w:val="0"/>
      <w:autoSpaceDN w:val="0"/>
      <w:snapToGrid w:val="0"/>
      <w:spacing w:line="300" w:lineRule="auto"/>
      <w:ind w:firstLine="200" w:firstLineChars="200"/>
      <w:outlineLvl w:val="2"/>
    </w:pPr>
    <w:rPr>
      <w:rFonts w:ascii="Arial" w:hAnsi="Arial"/>
      <w:b/>
      <w:szCs w:val="20"/>
    </w:rPr>
  </w:style>
  <w:style w:type="character" w:default="1" w:styleId="25">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35"/>
    <w:autoRedefine/>
    <w:qFormat/>
    <w:uiPriority w:val="99"/>
    <w:pPr>
      <w:spacing w:after="120"/>
      <w:ind w:left="420" w:leftChars="200"/>
    </w:p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200" w:leftChars="200"/>
    </w:pPr>
  </w:style>
  <w:style w:type="paragraph" w:styleId="8">
    <w:name w:val="annotation text"/>
    <w:basedOn w:val="1"/>
    <w:link w:val="63"/>
    <w:autoRedefine/>
    <w:qFormat/>
    <w:uiPriority w:val="0"/>
    <w:pPr>
      <w:jc w:val="left"/>
    </w:pPr>
  </w:style>
  <w:style w:type="paragraph" w:styleId="9">
    <w:name w:val="Body Text"/>
    <w:basedOn w:val="1"/>
    <w:link w:val="34"/>
    <w:autoRedefine/>
    <w:semiHidden/>
    <w:unhideWhenUsed/>
    <w:qFormat/>
    <w:uiPriority w:val="99"/>
    <w:pPr>
      <w:spacing w:after="120"/>
    </w:pPr>
  </w:style>
  <w:style w:type="paragraph" w:styleId="10">
    <w:name w:val="Block Text"/>
    <w:basedOn w:val="1"/>
    <w:autoRedefine/>
    <w:qFormat/>
    <w:uiPriority w:val="0"/>
    <w:pPr>
      <w:adjustRightInd w:val="0"/>
      <w:snapToGrid w:val="0"/>
      <w:spacing w:line="360" w:lineRule="auto"/>
      <w:ind w:left="567" w:leftChars="270" w:right="-150" w:rightChars="-150" w:firstLine="480" w:firstLineChars="200"/>
    </w:pPr>
    <w:rPr>
      <w:rFonts w:ascii="宋体"/>
      <w:sz w:val="24"/>
    </w:r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6"/>
    <w:autoRedefine/>
    <w:semiHidden/>
    <w:unhideWhenUsed/>
    <w:qFormat/>
    <w:uiPriority w:val="99"/>
    <w:rPr>
      <w:sz w:val="18"/>
      <w:szCs w:val="18"/>
    </w:rPr>
  </w:style>
  <w:style w:type="paragraph" w:styleId="14">
    <w:name w:val="footer"/>
    <w:basedOn w:val="1"/>
    <w:link w:val="3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able of figures"/>
    <w:basedOn w:val="1"/>
    <w:next w:val="1"/>
    <w:qFormat/>
    <w:uiPriority w:val="0"/>
    <w:pPr>
      <w:ind w:left="200" w:leftChars="200" w:hanging="200" w:hangingChars="200"/>
    </w:pPr>
  </w:style>
  <w:style w:type="paragraph" w:styleId="17">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19">
    <w:name w:val="Title"/>
    <w:basedOn w:val="1"/>
    <w:next w:val="1"/>
    <w:autoRedefine/>
    <w:qFormat/>
    <w:uiPriority w:val="10"/>
    <w:pPr>
      <w:spacing w:before="240" w:after="60"/>
      <w:jc w:val="center"/>
      <w:outlineLvl w:val="0"/>
    </w:pPr>
    <w:rPr>
      <w:rFonts w:asciiTheme="majorHAnsi" w:hAnsiTheme="majorHAnsi" w:cstheme="majorBidi"/>
      <w:b/>
      <w:bCs/>
      <w:sz w:val="32"/>
      <w:szCs w:val="32"/>
    </w:rPr>
  </w:style>
  <w:style w:type="paragraph" w:styleId="20">
    <w:name w:val="annotation subject"/>
    <w:basedOn w:val="8"/>
    <w:next w:val="8"/>
    <w:link w:val="64"/>
    <w:autoRedefine/>
    <w:semiHidden/>
    <w:unhideWhenUsed/>
    <w:qFormat/>
    <w:uiPriority w:val="99"/>
    <w:rPr>
      <w:b/>
      <w:bCs/>
    </w:rPr>
  </w:style>
  <w:style w:type="paragraph" w:styleId="21">
    <w:name w:val="Body Text First Indent"/>
    <w:basedOn w:val="9"/>
    <w:next w:val="1"/>
    <w:autoRedefine/>
    <w:qFormat/>
    <w:uiPriority w:val="0"/>
    <w:pPr>
      <w:ind w:firstLine="420" w:firstLineChars="100"/>
    </w:pPr>
  </w:style>
  <w:style w:type="paragraph" w:styleId="22">
    <w:name w:val="Body Text First Indent 2"/>
    <w:basedOn w:val="2"/>
    <w:autoRedefine/>
    <w:qFormat/>
    <w:uiPriority w:val="99"/>
    <w:pPr>
      <w:ind w:firstLine="420"/>
    </w:p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autoRedefine/>
    <w:qFormat/>
    <w:uiPriority w:val="0"/>
    <w:rPr>
      <w:rFonts w:ascii="Tahoma" w:hAnsi="Tahoma" w:cs="Tahoma"/>
      <w:b/>
      <w:sz w:val="24"/>
    </w:rPr>
  </w:style>
  <w:style w:type="character" w:styleId="27">
    <w:name w:val="page number"/>
    <w:basedOn w:val="25"/>
    <w:autoRedefine/>
    <w:qFormat/>
    <w:uiPriority w:val="0"/>
  </w:style>
  <w:style w:type="character" w:styleId="28">
    <w:name w:val="Hyperlink"/>
    <w:autoRedefine/>
    <w:unhideWhenUsed/>
    <w:qFormat/>
    <w:uiPriority w:val="0"/>
    <w:rPr>
      <w:color w:val="0000FF"/>
      <w:u w:val="single"/>
    </w:rPr>
  </w:style>
  <w:style w:type="character" w:styleId="29">
    <w:name w:val="annotation reference"/>
    <w:basedOn w:val="25"/>
    <w:autoRedefine/>
    <w:semiHidden/>
    <w:unhideWhenUsed/>
    <w:qFormat/>
    <w:uiPriority w:val="99"/>
    <w:rPr>
      <w:sz w:val="21"/>
      <w:szCs w:val="21"/>
    </w:rPr>
  </w:style>
  <w:style w:type="paragraph" w:customStyle="1" w:styleId="30">
    <w:name w:val="[Normal]"/>
    <w:autoRedefine/>
    <w:qFormat/>
    <w:uiPriority w:val="0"/>
    <w:rPr>
      <w:rFonts w:ascii="宋体" w:hAnsi="宋体" w:eastAsia="宋体" w:cs="Times New Roman"/>
      <w:sz w:val="24"/>
      <w:szCs w:val="22"/>
      <w:lang w:val="zh-CN" w:eastAsia="zh-CN" w:bidi="ar-SA"/>
    </w:rPr>
  </w:style>
  <w:style w:type="paragraph" w:customStyle="1" w:styleId="31">
    <w:name w:val="Normal Indent1"/>
    <w:basedOn w:val="1"/>
    <w:autoRedefine/>
    <w:qFormat/>
    <w:uiPriority w:val="0"/>
    <w:pPr>
      <w:ind w:firstLine="420" w:firstLineChars="200"/>
    </w:pPr>
  </w:style>
  <w:style w:type="character" w:customStyle="1" w:styleId="32">
    <w:name w:val="页眉 Char"/>
    <w:basedOn w:val="25"/>
    <w:link w:val="15"/>
    <w:autoRedefine/>
    <w:qFormat/>
    <w:uiPriority w:val="99"/>
    <w:rPr>
      <w:sz w:val="18"/>
      <w:szCs w:val="18"/>
    </w:rPr>
  </w:style>
  <w:style w:type="character" w:customStyle="1" w:styleId="33">
    <w:name w:val="页脚 Char"/>
    <w:basedOn w:val="25"/>
    <w:link w:val="14"/>
    <w:autoRedefine/>
    <w:qFormat/>
    <w:uiPriority w:val="99"/>
    <w:rPr>
      <w:sz w:val="18"/>
      <w:szCs w:val="18"/>
    </w:rPr>
  </w:style>
  <w:style w:type="character" w:customStyle="1" w:styleId="34">
    <w:name w:val="正文文本 Char"/>
    <w:basedOn w:val="25"/>
    <w:link w:val="9"/>
    <w:autoRedefine/>
    <w:semiHidden/>
    <w:qFormat/>
    <w:uiPriority w:val="99"/>
    <w:rPr>
      <w:rFonts w:ascii="Times New Roman" w:hAnsi="Times New Roman" w:eastAsia="宋体" w:cs="Times New Roman"/>
      <w:szCs w:val="24"/>
    </w:rPr>
  </w:style>
  <w:style w:type="character" w:customStyle="1" w:styleId="35">
    <w:name w:val="正文文本缩进 Char"/>
    <w:basedOn w:val="25"/>
    <w:link w:val="2"/>
    <w:autoRedefine/>
    <w:qFormat/>
    <w:uiPriority w:val="99"/>
    <w:rPr>
      <w:rFonts w:ascii="Times New Roman" w:hAnsi="Times New Roman" w:eastAsia="宋体" w:cs="Times New Roman"/>
      <w:szCs w:val="24"/>
    </w:rPr>
  </w:style>
  <w:style w:type="character" w:customStyle="1" w:styleId="36">
    <w:name w:val="批注框文本 Char"/>
    <w:basedOn w:val="25"/>
    <w:link w:val="13"/>
    <w:autoRedefine/>
    <w:semiHidden/>
    <w:qFormat/>
    <w:uiPriority w:val="99"/>
    <w:rPr>
      <w:rFonts w:ascii="Times New Roman" w:hAnsi="Times New Roman" w:eastAsia="宋体" w:cs="Times New Roman"/>
      <w:sz w:val="18"/>
      <w:szCs w:val="18"/>
    </w:rPr>
  </w:style>
  <w:style w:type="character" w:customStyle="1" w:styleId="37">
    <w:name w:val="无"/>
    <w:autoRedefine/>
    <w:qFormat/>
    <w:uiPriority w:val="99"/>
  </w:style>
  <w:style w:type="paragraph" w:customStyle="1" w:styleId="38">
    <w:name w:val="表格文字"/>
    <w:basedOn w:val="1"/>
    <w:next w:val="9"/>
    <w:autoRedefine/>
    <w:qFormat/>
    <w:uiPriority w:val="99"/>
    <w:pPr>
      <w:adjustRightInd w:val="0"/>
      <w:spacing w:line="420" w:lineRule="atLeast"/>
      <w:jc w:val="left"/>
      <w:textAlignment w:val="baseline"/>
    </w:pPr>
    <w:rPr>
      <w:kern w:val="0"/>
    </w:rPr>
  </w:style>
  <w:style w:type="paragraph" w:customStyle="1" w:styleId="39">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1">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2">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14"/>
    <w:autoRedefine/>
    <w:qFormat/>
    <w:uiPriority w:val="99"/>
    <w:rPr>
      <w:rFonts w:ascii="Times New Roman" w:hAnsi="Times New Roman" w:eastAsia="宋体" w:cs="Times New Roman"/>
      <w:sz w:val="21"/>
      <w:szCs w:val="22"/>
      <w:lang w:val="en-US" w:eastAsia="zh-CN" w:bidi="ar-SA"/>
    </w:rPr>
  </w:style>
  <w:style w:type="paragraph" w:customStyle="1" w:styleId="44">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纯文本_3"/>
    <w:basedOn w:val="46"/>
    <w:autoRedefine/>
    <w:qFormat/>
    <w:uiPriority w:val="99"/>
    <w:pPr>
      <w:widowControl/>
      <w:jc w:val="left"/>
    </w:pPr>
    <w:rPr>
      <w:rFonts w:ascii="宋体" w:hAnsi="Courier New"/>
      <w:szCs w:val="21"/>
    </w:rPr>
  </w:style>
  <w:style w:type="paragraph" w:customStyle="1" w:styleId="48">
    <w:name w:val="纯文本_0_1"/>
    <w:basedOn w:val="1"/>
    <w:autoRedefine/>
    <w:qFormat/>
    <w:uiPriority w:val="99"/>
    <w:pPr>
      <w:widowControl/>
      <w:jc w:val="left"/>
    </w:pPr>
    <w:rPr>
      <w:rFonts w:ascii="宋体" w:hAnsi="Courier New"/>
      <w:szCs w:val="21"/>
    </w:rPr>
  </w:style>
  <w:style w:type="paragraph" w:customStyle="1" w:styleId="49">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2">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3">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4">
    <w:name w:val="p0"/>
    <w:basedOn w:val="1"/>
    <w:autoRedefine/>
    <w:qFormat/>
    <w:uiPriority w:val="0"/>
    <w:pPr>
      <w:widowControl/>
    </w:pPr>
    <w:rPr>
      <w:rFonts w:ascii="Calibri" w:hAnsi="Calibri" w:cs="宋体"/>
      <w:kern w:val="0"/>
      <w:szCs w:val="21"/>
    </w:rPr>
  </w:style>
  <w:style w:type="paragraph" w:styleId="55">
    <w:name w:val="List Paragraph"/>
    <w:basedOn w:val="1"/>
    <w:autoRedefine/>
    <w:qFormat/>
    <w:uiPriority w:val="0"/>
    <w:pPr>
      <w:ind w:firstLine="420" w:firstLineChars="200"/>
    </w:pPr>
  </w:style>
  <w:style w:type="paragraph" w:customStyle="1" w:styleId="56">
    <w:name w:val="正文（首行缩进2字符）"/>
    <w:basedOn w:val="1"/>
    <w:autoRedefine/>
    <w:qFormat/>
    <w:uiPriority w:val="0"/>
    <w:pPr>
      <w:ind w:firstLine="480" w:firstLineChars="200"/>
    </w:pPr>
    <w:rPr>
      <w:sz w:val="24"/>
      <w:szCs w:val="20"/>
    </w:rPr>
  </w:style>
  <w:style w:type="paragraph" w:customStyle="1" w:styleId="57">
    <w:name w:val="ssfa 正文"/>
    <w:basedOn w:val="1"/>
    <w:autoRedefine/>
    <w:qFormat/>
    <w:uiPriority w:val="0"/>
    <w:pPr>
      <w:spacing w:line="360" w:lineRule="auto"/>
      <w:ind w:firstLine="200" w:firstLineChars="200"/>
    </w:pPr>
    <w:rPr>
      <w:kern w:val="0"/>
      <w:sz w:val="24"/>
      <w:szCs w:val="28"/>
      <w:lang w:val="zh-CN"/>
    </w:rPr>
  </w:style>
  <w:style w:type="character" w:customStyle="1" w:styleId="58">
    <w:name w:val="NormalCharacter"/>
    <w:autoRedefine/>
    <w:semiHidden/>
    <w:qFormat/>
    <w:uiPriority w:val="0"/>
  </w:style>
  <w:style w:type="paragraph" w:customStyle="1" w:styleId="59">
    <w:name w:val="Body Text First Indent Char Char"/>
    <w:basedOn w:val="1"/>
    <w:autoRedefine/>
    <w:qFormat/>
    <w:uiPriority w:val="0"/>
    <w:pPr>
      <w:spacing w:after="120"/>
      <w:ind w:firstLine="100" w:firstLineChars="100"/>
    </w:pPr>
    <w:rPr>
      <w:rFonts w:cs="宋体"/>
      <w:szCs w:val="21"/>
    </w:rPr>
  </w:style>
  <w:style w:type="paragraph" w:customStyle="1" w:styleId="60">
    <w:name w:val="列出段落1"/>
    <w:basedOn w:val="1"/>
    <w:autoRedefine/>
    <w:qFormat/>
    <w:uiPriority w:val="34"/>
    <w:pPr>
      <w:ind w:firstLine="420" w:firstLineChars="200"/>
    </w:pPr>
  </w:style>
  <w:style w:type="paragraph" w:customStyle="1" w:styleId="61">
    <w:name w:val="表格内容"/>
    <w:basedOn w:val="1"/>
    <w:next w:val="1"/>
    <w:autoRedefine/>
    <w:qFormat/>
    <w:uiPriority w:val="0"/>
    <w:pPr>
      <w:adjustRightInd w:val="0"/>
      <w:snapToGrid w:val="0"/>
      <w:jc w:val="center"/>
      <w:textAlignment w:val="baseline"/>
    </w:pPr>
    <w:rPr>
      <w:rFonts w:ascii="Calibri" w:hAnsi="Calibri" w:cs="黑体"/>
      <w:color w:val="000000"/>
      <w:szCs w:val="22"/>
    </w:r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25"/>
    <w:link w:val="8"/>
    <w:autoRedefine/>
    <w:qFormat/>
    <w:uiPriority w:val="0"/>
    <w:rPr>
      <w:kern w:val="2"/>
      <w:sz w:val="21"/>
      <w:szCs w:val="24"/>
    </w:rPr>
  </w:style>
  <w:style w:type="character" w:customStyle="1" w:styleId="64">
    <w:name w:val="批注主题 Char"/>
    <w:basedOn w:val="63"/>
    <w:link w:val="20"/>
    <w:autoRedefine/>
    <w:semiHidden/>
    <w:qFormat/>
    <w:uiPriority w:val="99"/>
    <w:rPr>
      <w:b/>
      <w:bCs/>
      <w:kern w:val="2"/>
      <w:sz w:val="21"/>
      <w:szCs w:val="24"/>
    </w:rPr>
  </w:style>
  <w:style w:type="paragraph" w:customStyle="1" w:styleId="65">
    <w:name w:val="正文首行缩进1"/>
    <w:basedOn w:val="9"/>
    <w:autoRedefine/>
    <w:qFormat/>
    <w:uiPriority w:val="0"/>
    <w:pPr>
      <w:ind w:firstLine="420" w:firstLineChars="100"/>
    </w:pPr>
  </w:style>
  <w:style w:type="paragraph" w:customStyle="1" w:styleId="66">
    <w:name w:val="纯文本1"/>
    <w:basedOn w:val="53"/>
    <w:autoRedefine/>
    <w:qFormat/>
    <w:uiPriority w:val="0"/>
    <w:pPr>
      <w:widowControl/>
      <w:jc w:val="left"/>
    </w:pPr>
    <w:rPr>
      <w:rFonts w:ascii="宋体" w:hAnsi="Courier New"/>
      <w:szCs w:val="20"/>
    </w:rPr>
  </w:style>
  <w:style w:type="paragraph" w:customStyle="1" w:styleId="67">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69</Pages>
  <Words>25877</Words>
  <Characters>28625</Characters>
  <Lines>211</Lines>
  <Paragraphs>59</Paragraphs>
  <TotalTime>0</TotalTime>
  <ScaleCrop>false</ScaleCrop>
  <LinksUpToDate>false</LinksUpToDate>
  <CharactersWithSpaces>28944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招标代理-小管</cp:lastModifiedBy>
  <cp:lastPrinted>2020-11-27T08:28:00Z</cp:lastPrinted>
  <dcterms:modified xsi:type="dcterms:W3CDTF">2025-06-25T06:25:30Z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022F9F8F7FB3452EB9E4AED6C3FDAE3B_13</vt:lpwstr>
  </property>
  <property fmtid="{D5CDD505-2E9C-101B-9397-08002B2CF9AE}" pid="4" name="commondata">
    <vt:lpwstr>eyJoZGlkIjoiNmNiNWQzMTIyZDkyNWQ5MzYxMmQ5MTE1ZmU3YjE0M2QifQ==</vt:lpwstr>
  </property>
  <property fmtid="{D5CDD505-2E9C-101B-9397-08002B2CF9AE}" pid="5" name="KSOTemplateDocerSaveRecord">
    <vt:lpwstr>eyJoZGlkIjoiZTM3MGY4ODYxYTJmOGU5MjE1YjUzOGFlOWUyNmI5YTkiLCJ1c2VySWQiOiIxMjYyNTcxMzQxIn0=</vt:lpwstr>
  </property>
</Properties>
</file>