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4EB3775">
      <w:pPr>
        <w:rPr>
          <w:color w:val="auto"/>
          <w:highlight w:val="none"/>
        </w:rPr>
      </w:pPr>
    </w:p>
    <w:p w14:paraId="1B31C9B9">
      <w:pPr>
        <w:pStyle w:val="9"/>
        <w:jc w:val="center"/>
        <w:rPr>
          <w:color w:val="auto"/>
          <w:highlight w:val="none"/>
        </w:rPr>
      </w:pPr>
      <w:r>
        <w:rPr>
          <w:color w:val="auto"/>
          <w:highlight w:val="none"/>
        </w:rPr>
        <w:drawing>
          <wp:anchor distT="0" distB="0" distL="0" distR="0" simplePos="0" relativeHeight="251659264" behindDoc="1" locked="0" layoutInCell="1" allowOverlap="1">
            <wp:simplePos x="0" y="0"/>
            <wp:positionH relativeFrom="column">
              <wp:posOffset>231775</wp:posOffset>
            </wp:positionH>
            <wp:positionV relativeFrom="paragraph">
              <wp:posOffset>202565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505AA1C5">
      <w:pPr>
        <w:pStyle w:val="9"/>
        <w:jc w:val="center"/>
        <w:rPr>
          <w:color w:val="auto"/>
          <w:highlight w:val="none"/>
        </w:rPr>
      </w:pPr>
    </w:p>
    <w:p w14:paraId="7884D9D8">
      <w:pPr>
        <w:pStyle w:val="9"/>
        <w:jc w:val="center"/>
        <w:rPr>
          <w:color w:val="auto"/>
          <w:highlight w:val="none"/>
        </w:rPr>
      </w:pPr>
    </w:p>
    <w:p w14:paraId="5806385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84"/>
          <w:szCs w:val="84"/>
          <w:highlight w:val="none"/>
          <w:lang w:val="en-US" w:eastAsia="zh-CN"/>
        </w:rPr>
      </w:pPr>
      <w:r>
        <w:rPr>
          <w:rFonts w:hint="eastAsia" w:asciiTheme="majorEastAsia" w:hAnsiTheme="majorEastAsia" w:eastAsiaTheme="majorEastAsia"/>
          <w:b/>
          <w:color w:val="auto"/>
          <w:kern w:val="0"/>
          <w:sz w:val="84"/>
          <w:szCs w:val="84"/>
          <w:highlight w:val="none"/>
          <w:lang w:val="en-US" w:eastAsia="zh-CN"/>
        </w:rPr>
        <w:t xml:space="preserve"> </w:t>
      </w:r>
    </w:p>
    <w:p w14:paraId="4E3A920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84"/>
          <w:szCs w:val="84"/>
          <w:highlight w:val="none"/>
          <w:lang w:val="en-US" w:eastAsia="zh-CN"/>
        </w:rPr>
      </w:pPr>
    </w:p>
    <w:p w14:paraId="46C1B52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72"/>
          <w:szCs w:val="72"/>
          <w:highlight w:val="none"/>
        </w:rPr>
      </w:pPr>
    </w:p>
    <w:p w14:paraId="5FCD051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color w:val="auto"/>
          <w:kern w:val="0"/>
          <w:sz w:val="72"/>
          <w:szCs w:val="72"/>
          <w:highlight w:val="none"/>
          <w:lang w:val="en-US" w:eastAsia="zh-CN"/>
        </w:rPr>
        <w:t xml:space="preserve">   </w:t>
      </w:r>
      <w:r>
        <w:rPr>
          <w:rFonts w:hint="eastAsia" w:asciiTheme="majorEastAsia" w:hAnsiTheme="majorEastAsia" w:eastAsiaTheme="majorEastAsia"/>
          <w:b/>
          <w:color w:val="auto"/>
          <w:kern w:val="0"/>
          <w:sz w:val="72"/>
          <w:szCs w:val="72"/>
          <w:highlight w:val="none"/>
        </w:rPr>
        <w:t>招标文件</w:t>
      </w:r>
    </w:p>
    <w:p w14:paraId="022C1404">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 xml:space="preserve">tzya2025-lq30 </w:t>
      </w:r>
      <w:r>
        <w:rPr>
          <w:rFonts w:hint="eastAsia" w:ascii="宋体"/>
          <w:color w:val="auto"/>
          <w:kern w:val="0"/>
          <w:sz w:val="28"/>
          <w:szCs w:val="28"/>
          <w:highlight w:val="none"/>
          <w:u w:val="single"/>
          <w:lang w:val="en-US" w:eastAsia="zh-CN"/>
        </w:rPr>
        <w:t xml:space="preserve"> </w:t>
      </w:r>
    </w:p>
    <w:p w14:paraId="1490FA15">
      <w:pPr>
        <w:pStyle w:val="9"/>
        <w:jc w:val="center"/>
        <w:rPr>
          <w:rFonts w:hint="eastAsia"/>
          <w:color w:val="auto"/>
          <w:highlight w:val="none"/>
        </w:rPr>
      </w:pPr>
    </w:p>
    <w:p w14:paraId="6E710974">
      <w:pPr>
        <w:pStyle w:val="9"/>
        <w:jc w:val="both"/>
        <w:rPr>
          <w:rFonts w:hint="eastAsia"/>
          <w:color w:val="auto"/>
          <w:highlight w:val="none"/>
        </w:rPr>
      </w:pPr>
    </w:p>
    <w:p w14:paraId="4294D6C1">
      <w:pPr>
        <w:pStyle w:val="9"/>
        <w:jc w:val="center"/>
        <w:rPr>
          <w:color w:val="auto"/>
          <w:highlight w:val="none"/>
        </w:rPr>
      </w:pPr>
    </w:p>
    <w:p w14:paraId="1FFD76F8">
      <w:pPr>
        <w:spacing w:line="360" w:lineRule="auto"/>
        <w:jc w:val="center"/>
        <w:rPr>
          <w:rFonts w:hint="eastAsia" w:ascii="仿宋" w:hAnsi="仿宋" w:eastAsia="宋体"/>
          <w:b/>
          <w:color w:val="auto"/>
          <w:kern w:val="0"/>
          <w:sz w:val="28"/>
          <w:szCs w:val="28"/>
          <w:highlight w:val="none"/>
          <w:u w:val="single"/>
          <w:lang w:eastAsia="zh-CN"/>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路桥区公共充电桩建设项目（二期）</w:t>
      </w:r>
    </w:p>
    <w:p w14:paraId="7B31B114">
      <w:pPr>
        <w:pStyle w:val="9"/>
        <w:jc w:val="center"/>
        <w:rPr>
          <w:color w:val="auto"/>
          <w:highlight w:val="none"/>
        </w:rPr>
      </w:pPr>
    </w:p>
    <w:p w14:paraId="5D9D3512">
      <w:pPr>
        <w:spacing w:line="360" w:lineRule="auto"/>
        <w:jc w:val="center"/>
        <w:rPr>
          <w:rFonts w:hint="eastAsia" w:ascii="宋体"/>
          <w:b/>
          <w:bCs/>
          <w:color w:val="auto"/>
          <w:kern w:val="0"/>
          <w:sz w:val="28"/>
          <w:szCs w:val="28"/>
          <w:highlight w:val="none"/>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台州市章鱼出行科技有限公司</w:t>
      </w:r>
    </w:p>
    <w:p w14:paraId="4F1EE737">
      <w:pPr>
        <w:spacing w:line="360" w:lineRule="auto"/>
        <w:ind w:firstLine="1687" w:firstLineChars="600"/>
        <w:jc w:val="both"/>
        <w:rPr>
          <w:rFonts w:hint="eastAsia" w:ascii="宋体"/>
          <w:b/>
          <w:bCs/>
          <w:color w:val="auto"/>
          <w:kern w:val="0"/>
          <w:sz w:val="28"/>
          <w:szCs w:val="28"/>
          <w:highlight w:val="none"/>
        </w:rPr>
      </w:pPr>
    </w:p>
    <w:p w14:paraId="0FE7109D">
      <w:pPr>
        <w:spacing w:line="360" w:lineRule="auto"/>
        <w:ind w:firstLine="1687" w:firstLineChars="600"/>
        <w:jc w:val="both"/>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14:paraId="3CF6195C">
      <w:pPr>
        <w:pStyle w:val="11"/>
        <w:bidi w:val="0"/>
        <w:rPr>
          <w:color w:val="auto"/>
          <w:highlight w:val="none"/>
        </w:rPr>
      </w:pPr>
    </w:p>
    <w:p w14:paraId="702DC8C7">
      <w:pPr>
        <w:pStyle w:val="9"/>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二○二五年六月</w:t>
      </w:r>
    </w:p>
    <w:p w14:paraId="5B4059E3">
      <w:pPr>
        <w:pStyle w:val="9"/>
        <w:jc w:val="center"/>
        <w:rPr>
          <w:rFonts w:hint="eastAsia" w:ascii="宋体"/>
          <w:color w:val="auto"/>
          <w:kern w:val="0"/>
          <w:szCs w:val="21"/>
          <w:highlight w:val="none"/>
        </w:rPr>
      </w:pPr>
    </w:p>
    <w:p w14:paraId="241DAB7F">
      <w:pPr>
        <w:pStyle w:val="9"/>
        <w:jc w:val="both"/>
        <w:rPr>
          <w:rFonts w:hint="eastAsia"/>
          <w:color w:val="auto"/>
          <w:highlight w:val="none"/>
        </w:rPr>
        <w:sectPr>
          <w:headerReference r:id="rId3" w:type="default"/>
          <w:footerReference r:id="rId4" w:type="default"/>
          <w:pgSz w:w="11906" w:h="16838"/>
          <w:pgMar w:top="1440" w:right="1440" w:bottom="1440" w:left="1803" w:header="851" w:footer="992" w:gutter="0"/>
          <w:pgNumType w:fmt="numberInDash"/>
          <w:cols w:space="0" w:num="1"/>
          <w:docGrid w:type="lines" w:linePitch="325" w:charSpace="0"/>
        </w:sectPr>
      </w:pPr>
    </w:p>
    <w:p w14:paraId="3A8BA7AC">
      <w:pPr>
        <w:pStyle w:val="9"/>
        <w:jc w:val="both"/>
        <w:rPr>
          <w:rFonts w:hint="eastAsia"/>
          <w:color w:val="auto"/>
          <w:highlight w:val="none"/>
        </w:rPr>
      </w:pPr>
    </w:p>
    <w:p w14:paraId="5D40F0D3">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0D3D41E2">
      <w:pPr>
        <w:spacing w:line="360" w:lineRule="auto"/>
        <w:rPr>
          <w:rFonts w:ascii="新宋体" w:hAnsi="新宋体" w:eastAsia="新宋体"/>
          <w:color w:val="auto"/>
          <w:sz w:val="28"/>
          <w:szCs w:val="28"/>
          <w:highlight w:val="none"/>
        </w:rPr>
      </w:pPr>
    </w:p>
    <w:p w14:paraId="4656D4D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14:paraId="221C7C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投标人须知</w:t>
      </w:r>
    </w:p>
    <w:p w14:paraId="29B3C1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14:paraId="7F75041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公开招标需求</w:t>
      </w:r>
    </w:p>
    <w:p w14:paraId="75F5570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合同主要条款</w:t>
      </w:r>
    </w:p>
    <w:p w14:paraId="7F87B8F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14:paraId="73D7742A">
      <w:pPr>
        <w:pStyle w:val="9"/>
        <w:jc w:val="center"/>
        <w:rPr>
          <w:rFonts w:hint="eastAsia"/>
          <w:color w:val="auto"/>
          <w:highlight w:val="none"/>
        </w:rPr>
      </w:pPr>
    </w:p>
    <w:p w14:paraId="1E3C401E">
      <w:pPr>
        <w:pStyle w:val="9"/>
        <w:jc w:val="center"/>
        <w:rPr>
          <w:rFonts w:hint="eastAsia"/>
          <w:color w:val="auto"/>
          <w:highlight w:val="none"/>
        </w:rPr>
      </w:pPr>
    </w:p>
    <w:p w14:paraId="60A42035">
      <w:pPr>
        <w:pStyle w:val="9"/>
        <w:jc w:val="center"/>
        <w:rPr>
          <w:rFonts w:hint="eastAsia"/>
          <w:color w:val="auto"/>
          <w:highlight w:val="none"/>
        </w:rPr>
      </w:pPr>
    </w:p>
    <w:p w14:paraId="1F9C6E93">
      <w:pPr>
        <w:pStyle w:val="9"/>
        <w:jc w:val="center"/>
        <w:rPr>
          <w:rFonts w:hint="eastAsia"/>
          <w:color w:val="auto"/>
          <w:highlight w:val="none"/>
        </w:rPr>
      </w:pPr>
    </w:p>
    <w:p w14:paraId="00041C31">
      <w:pPr>
        <w:pStyle w:val="9"/>
        <w:jc w:val="center"/>
        <w:rPr>
          <w:rFonts w:hint="eastAsia"/>
          <w:color w:val="auto"/>
          <w:highlight w:val="none"/>
        </w:rPr>
      </w:pPr>
    </w:p>
    <w:p w14:paraId="74F09D95">
      <w:pPr>
        <w:pStyle w:val="9"/>
        <w:jc w:val="center"/>
        <w:rPr>
          <w:rFonts w:hint="eastAsia"/>
          <w:color w:val="auto"/>
          <w:highlight w:val="none"/>
        </w:rPr>
      </w:pPr>
    </w:p>
    <w:p w14:paraId="0DCDFE13">
      <w:pPr>
        <w:pStyle w:val="9"/>
        <w:jc w:val="center"/>
        <w:rPr>
          <w:rFonts w:hint="eastAsia"/>
          <w:color w:val="auto"/>
          <w:highlight w:val="none"/>
        </w:rPr>
      </w:pPr>
    </w:p>
    <w:p w14:paraId="06845E7A">
      <w:pPr>
        <w:pStyle w:val="9"/>
        <w:jc w:val="center"/>
        <w:rPr>
          <w:rFonts w:hint="eastAsia"/>
          <w:color w:val="auto"/>
          <w:highlight w:val="none"/>
        </w:rPr>
      </w:pPr>
    </w:p>
    <w:p w14:paraId="2E466B51">
      <w:pPr>
        <w:pStyle w:val="9"/>
        <w:jc w:val="center"/>
        <w:rPr>
          <w:rFonts w:hint="eastAsia"/>
          <w:color w:val="auto"/>
          <w:highlight w:val="none"/>
        </w:rPr>
      </w:pPr>
    </w:p>
    <w:p w14:paraId="767F20F2">
      <w:pPr>
        <w:pStyle w:val="9"/>
        <w:jc w:val="center"/>
        <w:rPr>
          <w:rFonts w:hint="eastAsia"/>
          <w:color w:val="auto"/>
          <w:highlight w:val="none"/>
        </w:rPr>
      </w:pPr>
    </w:p>
    <w:p w14:paraId="344A560A">
      <w:pPr>
        <w:pStyle w:val="9"/>
        <w:jc w:val="center"/>
        <w:rPr>
          <w:rFonts w:hint="eastAsia"/>
          <w:color w:val="auto"/>
          <w:highlight w:val="none"/>
        </w:rPr>
      </w:pPr>
    </w:p>
    <w:p w14:paraId="73C938E3">
      <w:pPr>
        <w:pStyle w:val="9"/>
        <w:jc w:val="center"/>
        <w:rPr>
          <w:rFonts w:hint="eastAsia"/>
          <w:color w:val="auto"/>
          <w:highlight w:val="none"/>
        </w:rPr>
      </w:pPr>
    </w:p>
    <w:p w14:paraId="513E59A2">
      <w:pPr>
        <w:pStyle w:val="9"/>
        <w:jc w:val="center"/>
        <w:rPr>
          <w:rFonts w:hint="eastAsia"/>
          <w:color w:val="auto"/>
          <w:highlight w:val="none"/>
        </w:rPr>
      </w:pPr>
    </w:p>
    <w:p w14:paraId="294DA5B9">
      <w:pPr>
        <w:pStyle w:val="9"/>
        <w:jc w:val="center"/>
        <w:rPr>
          <w:rFonts w:hint="eastAsia"/>
          <w:color w:val="auto"/>
          <w:highlight w:val="none"/>
        </w:rPr>
      </w:pPr>
    </w:p>
    <w:p w14:paraId="2E26C474">
      <w:pPr>
        <w:pStyle w:val="9"/>
        <w:jc w:val="center"/>
        <w:rPr>
          <w:rFonts w:hint="eastAsia"/>
          <w:color w:val="auto"/>
          <w:highlight w:val="none"/>
        </w:rPr>
      </w:pPr>
    </w:p>
    <w:p w14:paraId="69598428">
      <w:pPr>
        <w:pStyle w:val="9"/>
        <w:jc w:val="center"/>
        <w:rPr>
          <w:rFonts w:hint="eastAsia"/>
          <w:color w:val="auto"/>
          <w:highlight w:val="none"/>
        </w:rPr>
      </w:pPr>
    </w:p>
    <w:p w14:paraId="03C5B50D">
      <w:pPr>
        <w:pStyle w:val="9"/>
        <w:jc w:val="center"/>
        <w:rPr>
          <w:rFonts w:hint="eastAsia"/>
          <w:color w:val="auto"/>
          <w:highlight w:val="none"/>
        </w:rPr>
      </w:pPr>
    </w:p>
    <w:p w14:paraId="601894D7">
      <w:pPr>
        <w:pStyle w:val="9"/>
        <w:jc w:val="center"/>
        <w:rPr>
          <w:rFonts w:hint="eastAsia"/>
          <w:color w:val="auto"/>
          <w:highlight w:val="none"/>
        </w:rPr>
      </w:pPr>
    </w:p>
    <w:p w14:paraId="43AC2074">
      <w:pPr>
        <w:pStyle w:val="9"/>
        <w:jc w:val="both"/>
        <w:rPr>
          <w:rFonts w:hint="eastAsia"/>
          <w:color w:val="auto"/>
          <w:highlight w:val="none"/>
        </w:rPr>
      </w:pPr>
    </w:p>
    <w:p w14:paraId="0DC6CE6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sectPr>
          <w:footerReference r:id="rId5" w:type="default"/>
          <w:pgSz w:w="11906" w:h="16838"/>
          <w:pgMar w:top="1440" w:right="1440" w:bottom="1440" w:left="1803" w:header="851" w:footer="992" w:gutter="0"/>
          <w:pgNumType w:fmt="numberInDash"/>
          <w:cols w:space="0" w:num="1"/>
          <w:docGrid w:type="lines" w:linePitch="325" w:charSpace="0"/>
        </w:sectPr>
      </w:pPr>
    </w:p>
    <w:p w14:paraId="382D23EC">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14:paraId="3F150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有关规定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受</w:t>
      </w:r>
      <w:r>
        <w:rPr>
          <w:rFonts w:hint="eastAsia" w:asciiTheme="minorEastAsia" w:hAnsiTheme="minorEastAsia" w:eastAsiaTheme="minorEastAsia" w:cstheme="minorEastAsia"/>
          <w:b/>
          <w:bCs/>
          <w:color w:val="auto"/>
          <w:sz w:val="21"/>
          <w:szCs w:val="21"/>
          <w:highlight w:val="none"/>
          <w:lang w:eastAsia="zh-CN"/>
        </w:rPr>
        <w:t>台州市章鱼出行科技有限公司</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路桥区公共充电桩建设项目（二期）</w:t>
      </w:r>
      <w:r>
        <w:rPr>
          <w:rFonts w:hint="eastAsia" w:asciiTheme="minorEastAsia" w:hAnsiTheme="minorEastAsia" w:eastAsiaTheme="minorEastAsia" w:cstheme="minorEastAsia"/>
          <w:color w:val="auto"/>
          <w:sz w:val="21"/>
          <w:szCs w:val="21"/>
          <w:highlight w:val="none"/>
        </w:rPr>
        <w:t>进行公开招标采购，欢迎合格供应商前来投标。</w:t>
      </w:r>
    </w:p>
    <w:p w14:paraId="75B157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 xml:space="preserve">tzya2025-lq30 </w:t>
      </w:r>
    </w:p>
    <w:p w14:paraId="635B64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二、招标项目概况：</w:t>
      </w:r>
    </w:p>
    <w:tbl>
      <w:tblPr>
        <w:tblStyle w:val="1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06"/>
        <w:gridCol w:w="1508"/>
        <w:gridCol w:w="958"/>
        <w:gridCol w:w="895"/>
        <w:gridCol w:w="1481"/>
        <w:gridCol w:w="1077"/>
      </w:tblGrid>
      <w:tr w14:paraId="76A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00" w:type="dxa"/>
            <w:vAlign w:val="center"/>
          </w:tcPr>
          <w:p w14:paraId="4FCF0AE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序</w:t>
            </w:r>
            <w:r>
              <w:rPr>
                <w:rFonts w:hint="eastAsia" w:asciiTheme="minorEastAsia" w:hAnsiTheme="minorEastAsia" w:eastAsiaTheme="minorEastAsia" w:cstheme="minorEastAsia"/>
                <w:b/>
                <w:color w:val="auto"/>
                <w:sz w:val="21"/>
                <w:szCs w:val="21"/>
                <w:highlight w:val="none"/>
              </w:rPr>
              <w:t>号</w:t>
            </w:r>
          </w:p>
        </w:tc>
        <w:tc>
          <w:tcPr>
            <w:tcW w:w="2106" w:type="dxa"/>
            <w:vAlign w:val="center"/>
          </w:tcPr>
          <w:p w14:paraId="0345DA26">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508" w:type="dxa"/>
            <w:vAlign w:val="center"/>
          </w:tcPr>
          <w:p w14:paraId="6D2C67C9">
            <w:pPr>
              <w:keepNext w:val="0"/>
              <w:keepLines w:val="0"/>
              <w:pageBreakBefore w:val="0"/>
              <w:tabs>
                <w:tab w:val="left" w:pos="8280"/>
              </w:tabs>
              <w:kinsoku/>
              <w:wordWrap/>
              <w:topLinePunct w:val="0"/>
              <w:autoSpaceDE w:val="0"/>
              <w:autoSpaceDN w:val="0"/>
              <w:bidi w:val="0"/>
              <w:adjustRightInd w:val="0"/>
              <w:spacing w:line="240" w:lineRule="auto"/>
              <w:ind w:right="25"/>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958" w:type="dxa"/>
            <w:vAlign w:val="center"/>
          </w:tcPr>
          <w:p w14:paraId="6AFE4F81">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895" w:type="dxa"/>
            <w:vAlign w:val="center"/>
          </w:tcPr>
          <w:p w14:paraId="2F5C275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481" w:type="dxa"/>
            <w:vAlign w:val="center"/>
          </w:tcPr>
          <w:p w14:paraId="0D5ECBDA">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预算（万元）</w:t>
            </w:r>
          </w:p>
        </w:tc>
        <w:tc>
          <w:tcPr>
            <w:tcW w:w="1077" w:type="dxa"/>
            <w:vAlign w:val="center"/>
          </w:tcPr>
          <w:p w14:paraId="2F5CBCA5">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59B1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000" w:type="dxa"/>
            <w:vAlign w:val="center"/>
          </w:tcPr>
          <w:p w14:paraId="2F2EC68B">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106" w:type="dxa"/>
            <w:vAlign w:val="center"/>
          </w:tcPr>
          <w:p w14:paraId="3015DA3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路桥区公共充电桩建设项目（二期）</w:t>
            </w:r>
          </w:p>
        </w:tc>
        <w:tc>
          <w:tcPr>
            <w:tcW w:w="1508" w:type="dxa"/>
            <w:vAlign w:val="center"/>
          </w:tcPr>
          <w:p w14:paraId="438A81B6">
            <w:pPr>
              <w:keepNext w:val="0"/>
              <w:keepLines w:val="0"/>
              <w:pageBreakBefore w:val="0"/>
              <w:widowControl/>
              <w:kinsoku/>
              <w:wordWrap/>
              <w:topLinePunct w:val="0"/>
              <w:bidi w:val="0"/>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详见项目需求</w:t>
            </w:r>
          </w:p>
        </w:tc>
        <w:tc>
          <w:tcPr>
            <w:tcW w:w="958" w:type="dxa"/>
            <w:vAlign w:val="center"/>
          </w:tcPr>
          <w:p w14:paraId="3E80845F">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895" w:type="dxa"/>
            <w:vAlign w:val="center"/>
          </w:tcPr>
          <w:p w14:paraId="34033184">
            <w:pPr>
              <w:keepNext w:val="0"/>
              <w:keepLines w:val="0"/>
              <w:pageBreakBefore w:val="0"/>
              <w:widowControl/>
              <w:kinsoku/>
              <w:wordWrap/>
              <w:topLinePunct w:val="0"/>
              <w:bidi w:val="0"/>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481" w:type="dxa"/>
            <w:vAlign w:val="center"/>
          </w:tcPr>
          <w:p w14:paraId="286D9375">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2000</w:t>
            </w:r>
          </w:p>
        </w:tc>
        <w:tc>
          <w:tcPr>
            <w:tcW w:w="1077" w:type="dxa"/>
            <w:vAlign w:val="center"/>
          </w:tcPr>
          <w:p w14:paraId="15D4D19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p>
        </w:tc>
      </w:tr>
    </w:tbl>
    <w:p w14:paraId="7497A7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三、合格投标人的资格条件：</w:t>
      </w:r>
    </w:p>
    <w:p w14:paraId="5BB44D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（一）符合《中华人民共和国政府采购法》第二十二条及其他法律、行政法规规定的对投标主体的要求；</w:t>
      </w:r>
    </w:p>
    <w:p w14:paraId="561977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bCs w:val="0"/>
          <w:color w:val="auto"/>
          <w:sz w:val="21"/>
          <w:szCs w:val="21"/>
          <w:highlight w:val="none"/>
          <w:shd w:val="clear" w:color="auto" w:fill="auto"/>
        </w:rPr>
        <w:t>（二）</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本项目供应商特定资格要求</w:t>
      </w:r>
    </w:p>
    <w:p w14:paraId="23323C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1、投标人须同时具有①建设行政主管部门核发的输变电工程专业承包叁级及以上或电力工程施工总承包叁级及以上资质；②电监会/能源局颁发的电力设施许可证承装（修、试）伍级及以上资质；③具备有效的安全生产许可证。</w:t>
      </w:r>
    </w:p>
    <w:p w14:paraId="53A668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注：省外企业备案相关手续按浙建（2015）3号文件规定执行。</w:t>
      </w:r>
    </w:p>
    <w:p w14:paraId="7414C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2、拟派项目负责人须具备：机电工程专业二级注册建造师及以上资格（不含临时注册建造师），具备有效的安全生产考核合格证书（B证）。</w:t>
      </w:r>
    </w:p>
    <w:p w14:paraId="30AC60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val="0"/>
          <w:color w:val="auto"/>
          <w:kern w:val="2"/>
          <w:sz w:val="21"/>
          <w:szCs w:val="21"/>
          <w:highlight w:val="none"/>
          <w:lang w:val="en-US" w:eastAsia="zh-CN" w:bidi="ar-SA"/>
        </w:rPr>
        <w:t>3、本项目</w:t>
      </w:r>
      <w:r>
        <w:rPr>
          <w:rFonts w:hint="eastAsia" w:asciiTheme="minorEastAsia" w:hAnsiTheme="minorEastAsia" w:eastAsiaTheme="minorEastAsia" w:cstheme="minorEastAsia"/>
          <w:b/>
          <w:bCs w:val="0"/>
          <w:color w:val="auto"/>
          <w:sz w:val="21"/>
          <w:szCs w:val="21"/>
          <w:highlight w:val="none"/>
        </w:rPr>
        <w:t>不接受联合体投标。</w:t>
      </w:r>
    </w:p>
    <w:p w14:paraId="3548B3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宋体" w:hAnsi="宋体" w:eastAsia="宋体" w:cs="宋体"/>
          <w:b/>
          <w:bCs/>
          <w:color w:val="auto"/>
          <w:sz w:val="21"/>
          <w:szCs w:val="21"/>
          <w:highlight w:val="none"/>
        </w:rPr>
        <w:t>招标文件的获取</w:t>
      </w:r>
    </w:p>
    <w:p w14:paraId="47F84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1.凡有意参加投标者，请于本项目公告发布之日起至</w:t>
      </w:r>
      <w:r>
        <w:rPr>
          <w:rFonts w:hint="eastAsia" w:ascii="宋体" w:hAnsi="宋体" w:cs="宋体"/>
          <w:b w:val="0"/>
          <w:bCs w:val="0"/>
          <w:color w:val="auto"/>
          <w:sz w:val="21"/>
          <w:szCs w:val="21"/>
          <w:highlight w:val="none"/>
          <w:lang w:eastAsia="zh-CN"/>
        </w:rPr>
        <w:t>2025年  月  日14时00分</w:t>
      </w:r>
      <w:r>
        <w:rPr>
          <w:rFonts w:hint="eastAsia" w:ascii="宋体" w:hAnsi="宋体" w:eastAsia="宋体" w:cs="宋体"/>
          <w:b w:val="0"/>
          <w:bCs w:val="0"/>
          <w:color w:val="auto"/>
          <w:sz w:val="21"/>
          <w:szCs w:val="21"/>
          <w:highlight w:val="none"/>
        </w:rPr>
        <w:t>前（北京时间，下同），登录台州市阳光采购平台网上投标系统（https://www.tzygcg.com/wstb/login.html）下载招标文件。未下载招标文件的投标人，其投标将被拒绝。</w:t>
      </w:r>
    </w:p>
    <w:p w14:paraId="16859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val="0"/>
          <w:bCs w:val="0"/>
          <w:color w:val="auto"/>
          <w:sz w:val="21"/>
          <w:szCs w:val="21"/>
          <w:highlight w:val="none"/>
        </w:rPr>
        <w:t>2.本项目招标文件（含附件）和补充（答疑、澄清）、修改文件以网上下载方式发放，请有意参加投标者及时关注。</w:t>
      </w:r>
    </w:p>
    <w:p w14:paraId="216DCD1C">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i w:val="0"/>
          <w:iCs w:val="0"/>
          <w:caps w:val="0"/>
          <w:color w:val="auto"/>
          <w:spacing w:val="0"/>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w:t>
      </w:r>
      <w:r>
        <w:rPr>
          <w:rFonts w:hint="eastAsia" w:ascii="宋体" w:hAnsi="宋体" w:eastAsia="宋体" w:cs="宋体"/>
          <w:b/>
          <w:bCs/>
          <w:color w:val="auto"/>
          <w:kern w:val="2"/>
          <w:sz w:val="21"/>
          <w:szCs w:val="21"/>
          <w:highlight w:val="none"/>
          <w:lang w:val="en-US" w:eastAsia="zh-CN" w:bidi="ar-SA"/>
        </w:rPr>
        <w:t>投标文件的递交</w:t>
      </w:r>
    </w:p>
    <w:p w14:paraId="5D768266">
      <w:pPr>
        <w:pStyle w:val="17"/>
        <w:keepNext w:val="0"/>
        <w:keepLines w:val="0"/>
        <w:pageBreakBefore w:val="0"/>
        <w:widowControl w:val="0"/>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1.本次招标采用远程不见面开标，投标文件应为CA加密的电子文件。投标文件递交的截止时间（投标截止时间，下同）为</w:t>
      </w:r>
      <w:r>
        <w:rPr>
          <w:rFonts w:hint="eastAsia" w:cs="宋体"/>
          <w:b w:val="0"/>
          <w:bCs w:val="0"/>
          <w:color w:val="auto"/>
          <w:sz w:val="21"/>
          <w:szCs w:val="21"/>
          <w:highlight w:val="none"/>
          <w:lang w:eastAsia="zh-CN"/>
        </w:rPr>
        <w:t>2025年  月  日14时00分</w:t>
      </w:r>
      <w:r>
        <w:rPr>
          <w:rFonts w:hint="eastAsia" w:ascii="宋体" w:hAnsi="宋体" w:eastAsia="宋体" w:cs="宋体"/>
          <w:i w:val="0"/>
          <w:iCs w:val="0"/>
          <w:caps w:val="0"/>
          <w:color w:val="auto"/>
          <w:spacing w:val="0"/>
          <w:sz w:val="21"/>
          <w:szCs w:val="21"/>
          <w:highlight w:val="none"/>
          <w:shd w:val="clear" w:fill="FFFFFF"/>
        </w:rPr>
        <w:t>，投标人应在投标截止时间前通过“台州市阳光采购电子投标文件制作工具”将投标文件上传至“台州市阳光采购平台网上投标系统（https://www.tzygcg.com/wstb/login.html）”。</w:t>
      </w:r>
    </w:p>
    <w:p w14:paraId="3CD52760">
      <w:pPr>
        <w:pStyle w:val="17"/>
        <w:keepNext w:val="0"/>
        <w:keepLines w:val="0"/>
        <w:pageBreakBefore w:val="0"/>
        <w:widowControl w:val="0"/>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rPr>
        <w:t>（技术支持电话：0574-26877268.18067100830）</w:t>
      </w:r>
    </w:p>
    <w:p w14:paraId="5B210197">
      <w:pPr>
        <w:pStyle w:val="17"/>
        <w:keepNext w:val="0"/>
        <w:keepLines w:val="0"/>
        <w:pageBreakBefore w:val="0"/>
        <w:widowControl w:val="0"/>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2.逾期未完成线上上传、未按规定加密的投标文件，招标人（或招标代理人）予以拒收。</w:t>
      </w:r>
    </w:p>
    <w:p w14:paraId="19A0F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3.纸质投标文件的递交：</w:t>
      </w:r>
      <w:r>
        <w:rPr>
          <w:rFonts w:hint="eastAsia" w:ascii="宋体" w:hAnsi="宋体" w:eastAsia="宋体" w:cs="宋体"/>
          <w:i w:val="0"/>
          <w:iCs w:val="0"/>
          <w:caps w:val="0"/>
          <w:color w:val="auto"/>
          <w:spacing w:val="0"/>
          <w:sz w:val="21"/>
          <w:szCs w:val="21"/>
          <w:highlight w:val="none"/>
          <w:shd w:val="clear" w:fill="FFFFFF"/>
          <w:lang w:val="en-US" w:eastAsia="zh-CN"/>
        </w:rPr>
        <w:t>投标阶段，</w:t>
      </w:r>
      <w:r>
        <w:rPr>
          <w:rFonts w:hint="eastAsia" w:ascii="宋体" w:hAnsi="宋体" w:eastAsia="宋体" w:cs="宋体"/>
          <w:i w:val="0"/>
          <w:iCs w:val="0"/>
          <w:caps w:val="0"/>
          <w:color w:val="auto"/>
          <w:spacing w:val="0"/>
          <w:sz w:val="21"/>
          <w:szCs w:val="21"/>
          <w:highlight w:val="none"/>
          <w:shd w:val="clear" w:fill="FFFFFF"/>
        </w:rPr>
        <w:t>本项目无须纸质文件。</w:t>
      </w:r>
    </w:p>
    <w:p w14:paraId="2B71BFE0">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hAnsi="宋体"/>
          <w:b/>
          <w:bCs/>
          <w:color w:val="auto"/>
          <w:highlight w:val="none"/>
        </w:rPr>
      </w:pPr>
      <w:r>
        <w:rPr>
          <w:rFonts w:hint="eastAsia" w:hAnsi="宋体"/>
          <w:b/>
          <w:bCs/>
          <w:color w:val="auto"/>
          <w:highlight w:val="none"/>
          <w:lang w:val="en-US" w:eastAsia="zh-CN"/>
        </w:rPr>
        <w:t>六</w:t>
      </w:r>
      <w:r>
        <w:rPr>
          <w:rFonts w:hint="eastAsia" w:hAnsi="宋体"/>
          <w:b/>
          <w:bCs/>
          <w:color w:val="auto"/>
          <w:highlight w:val="none"/>
        </w:rPr>
        <w:t>、开标时间及地点</w:t>
      </w:r>
    </w:p>
    <w:p w14:paraId="497E054F">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hAnsi="宋体" w:eastAsia="宋体"/>
          <w:b w:val="0"/>
          <w:bCs w:val="0"/>
          <w:color w:val="auto"/>
          <w:highlight w:val="none"/>
          <w:lang w:eastAsia="zh-CN"/>
        </w:rPr>
      </w:pPr>
      <w:r>
        <w:rPr>
          <w:rFonts w:hint="eastAsia" w:hAnsi="宋体"/>
          <w:b w:val="0"/>
          <w:bCs w:val="0"/>
          <w:color w:val="auto"/>
          <w:highlight w:val="none"/>
        </w:rPr>
        <w:t>开标时间：</w:t>
      </w:r>
      <w:r>
        <w:rPr>
          <w:rFonts w:hint="eastAsia" w:hAnsi="宋体" w:cs="宋体"/>
          <w:b w:val="0"/>
          <w:bCs w:val="0"/>
          <w:color w:val="auto"/>
          <w:sz w:val="21"/>
          <w:szCs w:val="21"/>
          <w:highlight w:val="none"/>
          <w:lang w:eastAsia="zh-CN"/>
        </w:rPr>
        <w:t>2025年  月  日14时00分</w:t>
      </w:r>
    </w:p>
    <w:p w14:paraId="0C171727">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hAnsi="宋体"/>
          <w:b w:val="0"/>
          <w:bCs w:val="0"/>
          <w:color w:val="auto"/>
          <w:highlight w:val="none"/>
        </w:rPr>
      </w:pPr>
      <w:r>
        <w:rPr>
          <w:rFonts w:hint="eastAsia" w:hAnsi="宋体"/>
          <w:b w:val="0"/>
          <w:bCs w:val="0"/>
          <w:color w:val="auto"/>
          <w:highlight w:val="none"/>
        </w:rPr>
        <w:t>开标地点：本次招标采用远程不见面开标。不见面开标大厅（https://www.tzygcg.com/live/）。</w:t>
      </w:r>
    </w:p>
    <w:p w14:paraId="7EC17CC9">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hAnsi="宋体"/>
          <w:color w:val="auto"/>
          <w:highlight w:val="none"/>
        </w:rPr>
      </w:pPr>
      <w:r>
        <w:rPr>
          <w:rFonts w:hint="eastAsia" w:hAnsi="宋体"/>
          <w:b/>
          <w:bCs/>
          <w:color w:val="auto"/>
          <w:highlight w:val="none"/>
          <w:lang w:val="en-US" w:eastAsia="zh-CN"/>
        </w:rPr>
        <w:t>七、</w:t>
      </w:r>
      <w:r>
        <w:rPr>
          <w:rFonts w:hint="eastAsia" w:hAnsi="宋体"/>
          <w:b/>
          <w:bCs/>
          <w:color w:val="auto"/>
          <w:highlight w:val="none"/>
        </w:rPr>
        <w:t>投标保证金：</w:t>
      </w:r>
    </w:p>
    <w:p w14:paraId="28EDDC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1.投标保证金金额（人民币）：</w:t>
      </w:r>
      <w:r>
        <w:rPr>
          <w:rFonts w:hint="eastAsia" w:ascii="宋体" w:hAnsi="宋体" w:cs="宋体"/>
          <w:color w:val="auto"/>
          <w:sz w:val="21"/>
          <w:szCs w:val="21"/>
          <w:highlight w:val="none"/>
          <w:lang w:val="en-US" w:eastAsia="zh-CN"/>
        </w:rPr>
        <w:t>100000</w:t>
      </w:r>
      <w:r>
        <w:rPr>
          <w:rFonts w:hint="eastAsia" w:ascii="宋体" w:hAnsi="宋体" w:eastAsia="宋体" w:cs="宋体"/>
          <w:color w:val="auto"/>
          <w:sz w:val="21"/>
          <w:szCs w:val="21"/>
          <w:highlight w:val="none"/>
        </w:rPr>
        <w:t>元。</w:t>
      </w:r>
    </w:p>
    <w:p w14:paraId="4B7E7B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提交方式（任选一种）：银行转账、电汇或纸质保函（银行保函、保险机构保证保险保单、融资担保公司保函）</w:t>
      </w:r>
    </w:p>
    <w:p w14:paraId="0F2E3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.投标保证金收款账号根据不同项目由系统随机生成，此账号只在本项目中使用有效，请注意核对。</w:t>
      </w:r>
    </w:p>
    <w:p w14:paraId="3E757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.提交要求</w:t>
      </w:r>
    </w:p>
    <w:p w14:paraId="4248B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（1）银行转账、电汇</w:t>
      </w:r>
    </w:p>
    <w:p w14:paraId="24007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①报名本项目后，通过“台州市阳光采购平台网上投标系统”取得投标保证金收款账户信息后一次性汇入（或转入）系统自动生成的虚拟子账号；</w:t>
      </w:r>
    </w:p>
    <w:p w14:paraId="6A0D8A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②投标保证金应在提交投标文件截止时间前到达指定账户。</w:t>
      </w:r>
    </w:p>
    <w:p w14:paraId="70E77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（2）纸质保函（银行保函、保险机构保证保险保单、融资担保公司保函）（以下合称“投标保函”）</w:t>
      </w:r>
    </w:p>
    <w:p w14:paraId="20FD9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①投标保函受益人：台州市章鱼出行科技有限公司；</w:t>
      </w:r>
    </w:p>
    <w:p w14:paraId="65C01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②投标保函的有效期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自项目招标公告期间保函生效日起不少于一年；</w:t>
      </w:r>
    </w:p>
    <w:p w14:paraId="2D1C1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保函文件中必须包含投标企业的信息，包含但不限于投标企业名称、保证方式、保证金额、保函获得时间、保证项目名称、保函有效期限、保费标准、费用支付账户（基本账户）等。保费应一函一付，通过企业基本账户支付。</w:t>
      </w:r>
    </w:p>
    <w:p w14:paraId="31C3AC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④投标人须将投标保函纸质原件、基本账户证明材料复印件（加盖公章）、保费支付的银行回单一并按要求递交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递交时间：</w:t>
      </w:r>
      <w:r>
        <w:rPr>
          <w:rFonts w:hint="eastAsia" w:hAnsi="宋体" w:cs="宋体"/>
          <w:b w:val="0"/>
          <w:bCs w:val="0"/>
          <w:color w:val="auto"/>
          <w:sz w:val="21"/>
          <w:szCs w:val="21"/>
          <w:highlight w:val="none"/>
          <w:lang w:eastAsia="zh-CN"/>
        </w:rPr>
        <w:t>2025年  月  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递交地点：台州市公共资源交易中心（市府大道777号）一楼西大厅；</w:t>
      </w:r>
    </w:p>
    <w:p w14:paraId="5E76D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5.因各银行系统到账时间不同，采用银行转账、电汇方式缴纳投标保证金的，请尽量提前缴纳，以实际到账时间为准。</w:t>
      </w:r>
    </w:p>
    <w:p w14:paraId="5A65E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6.以银行转账、电汇形式提交的投标保证金应当从投标人基本账户转出，购买投标保函的费用应当从投标人基本账户支付。</w:t>
      </w:r>
    </w:p>
    <w:p w14:paraId="360543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7.在提交投标文件截止时间后到账或提交的投标保证金将作为无效投标保证金处理。</w:t>
      </w:r>
    </w:p>
    <w:p w14:paraId="15979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8.投标保证金的退还</w:t>
      </w:r>
    </w:p>
    <w:p w14:paraId="74E89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（1）未中标（未成交）投标人的投标保证金在中标（成交）结果公告发布后5个工作日内退还；</w:t>
      </w:r>
    </w:p>
    <w:p w14:paraId="503E4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（2）中标（成交）投标人的投标保证金在采购合同签订上传后5个工作日内退还；</w:t>
      </w:r>
    </w:p>
    <w:p w14:paraId="056EA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（3）投标人在提交投标文件截止时间前书面通知招标人撤回已提交投标文件的，投标保证金在收到投标人书面撤回通知之日起5个自然日内退还；</w:t>
      </w:r>
    </w:p>
    <w:p w14:paraId="2778A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（4）非因中标人原因未能签订采购合同的，投标保证金在招标人作出处理结果之日起5个工作日内退还；</w:t>
      </w:r>
    </w:p>
    <w:p w14:paraId="607BD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采购项目流标的，应在确定流标之日起5个工作日内退还所有投标人的投标保证金。</w:t>
      </w:r>
    </w:p>
    <w:p w14:paraId="0E25BE85">
      <w:pPr>
        <w:pStyle w:val="5"/>
        <w:keepNext w:val="0"/>
        <w:keepLines w:val="0"/>
        <w:pageBreakBefore w:val="0"/>
        <w:widowControl w:val="0"/>
        <w:tabs>
          <w:tab w:val="left" w:pos="210"/>
        </w:tabs>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eastAsiaTheme="minorEastAsia"/>
          <w:b/>
          <w:bCs/>
          <w:color w:val="auto"/>
          <w:sz w:val="21"/>
          <w:szCs w:val="21"/>
          <w:highlight w:val="none"/>
          <w:lang w:val="en-US" w:eastAsia="zh-CN"/>
        </w:rPr>
        <w:t>八、</w:t>
      </w:r>
      <w:r>
        <w:rPr>
          <w:rFonts w:hint="eastAsia" w:ascii="宋体" w:hAnsi="宋体" w:eastAsia="宋体" w:cs="宋体"/>
          <w:b/>
          <w:bCs/>
          <w:color w:val="auto"/>
          <w:kern w:val="2"/>
          <w:sz w:val="21"/>
          <w:szCs w:val="21"/>
          <w:highlight w:val="none"/>
          <w:lang w:val="en-US" w:eastAsia="zh-CN" w:bidi="ar-SA"/>
        </w:rPr>
        <w:t>其他</w:t>
      </w:r>
    </w:p>
    <w:p w14:paraId="164E4C1B">
      <w:pPr>
        <w:pStyle w:val="56"/>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bookmarkStart w:id="0" w:name="_Hlk188128382"/>
      <w:r>
        <w:rPr>
          <w:rFonts w:hint="eastAsia" w:ascii="宋体" w:hAnsi="宋体" w:eastAsia="宋体" w:cs="宋体"/>
          <w:color w:val="auto"/>
          <w:sz w:val="21"/>
          <w:szCs w:val="21"/>
          <w:highlight w:val="none"/>
        </w:rPr>
        <w:t>.投标控制价</w:t>
      </w:r>
      <w:bookmarkEnd w:id="0"/>
      <w:r>
        <w:rPr>
          <w:rFonts w:hint="eastAsia" w:ascii="宋体" w:hAnsi="宋体" w:eastAsia="宋体" w:cs="宋体"/>
          <w:color w:val="auto"/>
          <w:sz w:val="21"/>
          <w:szCs w:val="21"/>
          <w:highlight w:val="none"/>
        </w:rPr>
        <w:t>：</w:t>
      </w:r>
    </w:p>
    <w:p w14:paraId="5CDD846C">
      <w:pPr>
        <w:pStyle w:val="56"/>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1）最高投标</w:t>
      </w:r>
      <w:r>
        <w:rPr>
          <w:rFonts w:hint="eastAsia" w:ascii="宋体" w:hAnsi="宋体" w:eastAsia="宋体" w:cs="宋体"/>
          <w:b/>
          <w:bCs/>
          <w:color w:val="auto"/>
          <w:sz w:val="21"/>
          <w:szCs w:val="21"/>
          <w:highlight w:val="none"/>
          <w:lang w:eastAsia="zh-CN"/>
        </w:rPr>
        <w:t>限价：</w:t>
      </w:r>
      <w:bookmarkStart w:id="1" w:name="_Hlk188128462"/>
      <w:r>
        <w:rPr>
          <w:rFonts w:hint="eastAsia" w:ascii="宋体" w:hAnsi="宋体" w:cs="宋体"/>
          <w:b/>
          <w:bCs/>
          <w:color w:val="auto"/>
          <w:sz w:val="21"/>
          <w:szCs w:val="21"/>
          <w:highlight w:val="none"/>
          <w:lang w:val="en-US" w:eastAsia="zh-CN"/>
        </w:rPr>
        <w:t>20000000</w:t>
      </w:r>
      <w:r>
        <w:rPr>
          <w:rFonts w:hint="eastAsia" w:ascii="宋体" w:hAnsi="宋体" w:eastAsia="宋体" w:cs="宋体"/>
          <w:b/>
          <w:bCs/>
          <w:color w:val="auto"/>
          <w:sz w:val="21"/>
          <w:szCs w:val="21"/>
          <w:highlight w:val="none"/>
          <w:lang w:eastAsia="zh-CN"/>
        </w:rPr>
        <w:t>元（大</w:t>
      </w:r>
      <w:r>
        <w:rPr>
          <w:rFonts w:hint="eastAsia" w:ascii="宋体" w:hAnsi="宋体" w:eastAsia="宋体" w:cs="宋体"/>
          <w:b/>
          <w:bCs/>
          <w:color w:val="auto"/>
          <w:sz w:val="21"/>
          <w:szCs w:val="21"/>
          <w:highlight w:val="none"/>
        </w:rPr>
        <w:t>写：</w:t>
      </w:r>
      <w:r>
        <w:rPr>
          <w:rFonts w:hint="eastAsia" w:ascii="宋体" w:hAnsi="宋体" w:cs="宋体"/>
          <w:b/>
          <w:bCs/>
          <w:color w:val="auto"/>
          <w:sz w:val="21"/>
          <w:szCs w:val="21"/>
          <w:highlight w:val="none"/>
          <w:lang w:val="en-US" w:eastAsia="zh-CN"/>
        </w:rPr>
        <w:t>贰仟万</w:t>
      </w:r>
      <w:r>
        <w:rPr>
          <w:rFonts w:hint="eastAsia" w:ascii="宋体" w:hAnsi="宋体" w:eastAsia="宋体" w:cs="宋体"/>
          <w:b/>
          <w:bCs/>
          <w:color w:val="auto"/>
          <w:sz w:val="21"/>
          <w:szCs w:val="21"/>
          <w:highlight w:val="none"/>
        </w:rPr>
        <w:t>元整）（含税）。</w:t>
      </w:r>
    </w:p>
    <w:p w14:paraId="3805009E">
      <w:pPr>
        <w:pStyle w:val="56"/>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报价高于招标人设定的最高投标限价的作否决投标处理。</w:t>
      </w:r>
    </w:p>
    <w:bookmarkEnd w:id="1"/>
    <w:p w14:paraId="49A8E3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本次招标公告同时在台州市阳光采购平台（https://tzygcg.com/）、台州市公共资源交易网（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"http://www.tzztb.com/tzcms"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https://tzztb.zjtz.gov.cn/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)、台州市产权交易网（http://www.tzpre.com）上发布。</w:t>
      </w:r>
    </w:p>
    <w:p w14:paraId="667980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九、联系方式：</w:t>
      </w:r>
    </w:p>
    <w:p w14:paraId="65D7C3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645386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14:paraId="05FF9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管</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69380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，18</w:t>
      </w:r>
      <w:r>
        <w:rPr>
          <w:rFonts w:hint="eastAsia" w:ascii="宋体" w:hAnsi="宋体" w:cs="宋体"/>
          <w:color w:val="auto"/>
          <w:sz w:val="21"/>
          <w:szCs w:val="21"/>
          <w:highlight w:val="none"/>
          <w:lang w:val="en-US" w:eastAsia="zh-CN"/>
        </w:rPr>
        <w:t>857611403</w:t>
      </w:r>
    </w:p>
    <w:p w14:paraId="39E096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14:paraId="25B78B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14:paraId="2FDA39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14:paraId="1922C4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14:paraId="4283D0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5E3EA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采购人名称：</w:t>
      </w:r>
      <w:r>
        <w:rPr>
          <w:rFonts w:hint="eastAsia" w:asciiTheme="minorEastAsia" w:hAnsiTheme="minorEastAsia" w:eastAsiaTheme="minorEastAsia" w:cstheme="minorEastAsia"/>
          <w:color w:val="auto"/>
          <w:sz w:val="21"/>
          <w:szCs w:val="21"/>
          <w:highlight w:val="none"/>
          <w:lang w:eastAsia="zh-CN"/>
        </w:rPr>
        <w:t>台州市章鱼出行科技有限公司</w:t>
      </w:r>
    </w:p>
    <w:p w14:paraId="21451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val="en-US" w:eastAsia="zh-CN"/>
        </w:rPr>
        <w:t>徐先生</w:t>
      </w:r>
      <w:r>
        <w:rPr>
          <w:rFonts w:hint="eastAsia" w:asciiTheme="minorEastAsia" w:hAnsiTheme="minorEastAsia" w:eastAsiaTheme="minorEastAsia" w:cstheme="minorEastAsia"/>
          <w:color w:val="auto"/>
          <w:sz w:val="21"/>
          <w:szCs w:val="21"/>
          <w:highlight w:val="none"/>
          <w:shd w:val="clear" w:color="auto" w:fill="auto"/>
        </w:rPr>
        <w:t xml:space="preserve">    </w:t>
      </w:r>
    </w:p>
    <w:p w14:paraId="243348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rPr>
        <w:t>联系电话：</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0576-82133881 </w:t>
      </w:r>
    </w:p>
    <w:p w14:paraId="4953A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台州市路桥区路桥街道卖芝桥东路888-5号</w:t>
      </w:r>
    </w:p>
    <w:p w14:paraId="642137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备注：请贵单位领取本次</w:t>
      </w:r>
      <w:r>
        <w:rPr>
          <w:rFonts w:hint="eastAsia" w:asciiTheme="minorEastAsia" w:hAnsiTheme="minorEastAsia" w:eastAsiaTheme="minorEastAsia" w:cstheme="minorEastAsia"/>
          <w:b/>
          <w:color w:val="auto"/>
          <w:szCs w:val="21"/>
          <w:highlight w:val="none"/>
          <w:lang w:val="en-US" w:eastAsia="zh-CN"/>
        </w:rPr>
        <w:t>招标</w:t>
      </w:r>
      <w:r>
        <w:rPr>
          <w:rFonts w:hint="eastAsia" w:asciiTheme="minorEastAsia" w:hAnsiTheme="minorEastAsia" w:eastAsiaTheme="minorEastAsia" w:cstheme="minorEastAsia"/>
          <w:b/>
          <w:color w:val="auto"/>
          <w:szCs w:val="21"/>
          <w:highlight w:val="none"/>
        </w:rPr>
        <w:t>文件后，认真阅读各项内容，进行必要的准备工作，按文件的要求详细填写和编制响应文件，并按以上确定的时间、地点准时参加投标。</w:t>
      </w:r>
    </w:p>
    <w:p w14:paraId="43686D3D">
      <w:pPr>
        <w:keepNext w:val="0"/>
        <w:keepLines w:val="0"/>
        <w:pageBreakBefore w:val="0"/>
        <w:kinsoku/>
        <w:wordWrap/>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p>
    <w:p w14:paraId="1AF572A2">
      <w:pPr>
        <w:keepNext w:val="0"/>
        <w:keepLines w:val="0"/>
        <w:pageBreakBefore w:val="0"/>
        <w:kinsoku/>
        <w:wordWrap/>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台州永安工程咨询有限公司</w:t>
      </w:r>
    </w:p>
    <w:p w14:paraId="52FE531B">
      <w:pPr>
        <w:pStyle w:val="9"/>
        <w:keepNext w:val="0"/>
        <w:keepLines w:val="0"/>
        <w:pageBreakBefore w:val="0"/>
        <w:kinsoku/>
        <w:wordWrap/>
        <w:topLinePunct w:val="0"/>
        <w:bidi w:val="0"/>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二○二五年六月</w:t>
      </w:r>
    </w:p>
    <w:p w14:paraId="74E33298">
      <w:pPr>
        <w:pStyle w:val="9"/>
        <w:jc w:val="right"/>
        <w:rPr>
          <w:rFonts w:hint="eastAsia" w:asciiTheme="minorEastAsia" w:hAnsiTheme="minorEastAsia" w:eastAsiaTheme="minorEastAsia" w:cstheme="minorEastAsia"/>
          <w:color w:val="auto"/>
          <w:sz w:val="21"/>
          <w:szCs w:val="21"/>
          <w:highlight w:val="none"/>
          <w:lang w:eastAsia="zh-CN"/>
        </w:rPr>
      </w:pPr>
    </w:p>
    <w:p w14:paraId="197DF5C6">
      <w:pPr>
        <w:pStyle w:val="9"/>
        <w:jc w:val="right"/>
        <w:rPr>
          <w:rFonts w:hint="eastAsia" w:asciiTheme="minorEastAsia" w:hAnsiTheme="minorEastAsia" w:eastAsiaTheme="minorEastAsia" w:cstheme="minorEastAsia"/>
          <w:color w:val="auto"/>
          <w:sz w:val="21"/>
          <w:szCs w:val="21"/>
          <w:highlight w:val="none"/>
          <w:lang w:eastAsia="zh-CN"/>
        </w:rPr>
      </w:pPr>
    </w:p>
    <w:p w14:paraId="5A770681">
      <w:pPr>
        <w:pStyle w:val="9"/>
        <w:jc w:val="right"/>
        <w:rPr>
          <w:rFonts w:hint="eastAsia" w:asciiTheme="minorEastAsia" w:hAnsiTheme="minorEastAsia" w:eastAsiaTheme="minorEastAsia" w:cstheme="minorEastAsia"/>
          <w:color w:val="auto"/>
          <w:sz w:val="21"/>
          <w:szCs w:val="21"/>
          <w:highlight w:val="none"/>
          <w:lang w:eastAsia="zh-CN"/>
        </w:rPr>
      </w:pPr>
    </w:p>
    <w:p w14:paraId="62770B29">
      <w:pPr>
        <w:pStyle w:val="9"/>
        <w:jc w:val="right"/>
        <w:rPr>
          <w:rFonts w:hint="eastAsia" w:asciiTheme="minorEastAsia" w:hAnsiTheme="minorEastAsia" w:eastAsiaTheme="minorEastAsia" w:cstheme="minorEastAsia"/>
          <w:color w:val="auto"/>
          <w:sz w:val="21"/>
          <w:szCs w:val="21"/>
          <w:highlight w:val="none"/>
          <w:lang w:eastAsia="zh-CN"/>
        </w:rPr>
      </w:pPr>
    </w:p>
    <w:p w14:paraId="2729F678">
      <w:pPr>
        <w:pStyle w:val="9"/>
        <w:jc w:val="right"/>
        <w:rPr>
          <w:rFonts w:hint="eastAsia" w:asciiTheme="minorEastAsia" w:hAnsiTheme="minorEastAsia" w:eastAsiaTheme="minorEastAsia" w:cstheme="minorEastAsia"/>
          <w:color w:val="auto"/>
          <w:sz w:val="21"/>
          <w:szCs w:val="21"/>
          <w:highlight w:val="none"/>
          <w:lang w:eastAsia="zh-CN"/>
        </w:rPr>
      </w:pPr>
    </w:p>
    <w:p w14:paraId="2A4DDE28">
      <w:pPr>
        <w:rPr>
          <w:rFonts w:hint="eastAsia" w:ascii="宋体" w:hAnsi="宋体"/>
          <w:b/>
          <w:color w:val="auto"/>
          <w:sz w:val="36"/>
          <w:szCs w:val="36"/>
          <w:highlight w:val="none"/>
          <w:lang w:val="en-US" w:eastAsia="zh-CN"/>
        </w:rPr>
      </w:pPr>
      <w:r>
        <w:rPr>
          <w:rFonts w:hint="eastAsia" w:ascii="宋体" w:hAnsi="宋体"/>
          <w:b/>
          <w:color w:val="auto"/>
          <w:sz w:val="36"/>
          <w:szCs w:val="36"/>
          <w:highlight w:val="none"/>
          <w:lang w:val="en-US" w:eastAsia="zh-CN"/>
        </w:rPr>
        <w:br w:type="page"/>
      </w:r>
    </w:p>
    <w:p w14:paraId="2984AC29">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14:paraId="62010B0F">
      <w:pPr>
        <w:keepNext w:val="0"/>
        <w:keepLines w:val="0"/>
        <w:pageBreakBefore w:val="0"/>
        <w:kinsoku/>
        <w:wordWrap/>
        <w:topLinePunct w:val="0"/>
        <w:bidi w:val="0"/>
        <w:spacing w:line="360" w:lineRule="auto"/>
        <w:jc w:val="center"/>
        <w:outlineLvl w:val="9"/>
        <w:rPr>
          <w:rFonts w:ascii="宋体"/>
          <w:b/>
          <w:color w:val="auto"/>
          <w:sz w:val="24"/>
          <w:highlight w:val="none"/>
        </w:rPr>
      </w:pPr>
      <w:r>
        <w:rPr>
          <w:rFonts w:hint="eastAsia" w:ascii="宋体" w:hAnsi="宋体"/>
          <w:b/>
          <w:color w:val="auto"/>
          <w:sz w:val="24"/>
          <w:highlight w:val="none"/>
        </w:rPr>
        <w:t>前</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附</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表</w:t>
      </w:r>
    </w:p>
    <w:tbl>
      <w:tblPr>
        <w:tblStyle w:val="19"/>
        <w:tblW w:w="92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85"/>
        <w:gridCol w:w="1946"/>
        <w:gridCol w:w="6112"/>
      </w:tblGrid>
      <w:tr w14:paraId="59F635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7" w:hRule="atLeast"/>
          <w:tblHeader/>
          <w:jc w:val="center"/>
        </w:trPr>
        <w:tc>
          <w:tcPr>
            <w:tcW w:w="1185" w:type="dxa"/>
            <w:noWrap w:val="0"/>
            <w:vAlign w:val="center"/>
          </w:tcPr>
          <w:p w14:paraId="6BF73D51">
            <w:pPr>
              <w:autoSpaceDE w:val="0"/>
              <w:autoSpaceDN w:val="0"/>
              <w:spacing w:line="288" w:lineRule="auto"/>
              <w:jc w:val="center"/>
              <w:rPr>
                <w:rFonts w:hint="eastAsia" w:ascii="宋体" w:cs="宋体"/>
                <w:b/>
                <w:color w:val="auto"/>
                <w:szCs w:val="21"/>
                <w:highlight w:val="none"/>
              </w:rPr>
            </w:pPr>
            <w:r>
              <w:rPr>
                <w:rFonts w:hint="eastAsia" w:ascii="宋体" w:cs="宋体"/>
                <w:b/>
                <w:color w:val="auto"/>
                <w:szCs w:val="21"/>
                <w:highlight w:val="none"/>
              </w:rPr>
              <w:t>条款号</w:t>
            </w:r>
          </w:p>
        </w:tc>
        <w:tc>
          <w:tcPr>
            <w:tcW w:w="1946" w:type="dxa"/>
            <w:noWrap w:val="0"/>
            <w:vAlign w:val="center"/>
          </w:tcPr>
          <w:p w14:paraId="49D5740D">
            <w:pPr>
              <w:autoSpaceDE w:val="0"/>
              <w:autoSpaceDN w:val="0"/>
              <w:spacing w:line="288" w:lineRule="auto"/>
              <w:jc w:val="center"/>
              <w:rPr>
                <w:rFonts w:hint="eastAsia" w:ascii="宋体" w:cs="宋体"/>
                <w:b/>
                <w:color w:val="auto"/>
                <w:szCs w:val="21"/>
                <w:highlight w:val="none"/>
              </w:rPr>
            </w:pPr>
            <w:r>
              <w:rPr>
                <w:rFonts w:hint="eastAsia" w:ascii="宋体" w:cs="宋体"/>
                <w:b/>
                <w:color w:val="auto"/>
                <w:szCs w:val="21"/>
                <w:highlight w:val="none"/>
              </w:rPr>
              <w:t>条款名称</w:t>
            </w:r>
          </w:p>
        </w:tc>
        <w:tc>
          <w:tcPr>
            <w:tcW w:w="6112" w:type="dxa"/>
            <w:noWrap w:val="0"/>
            <w:vAlign w:val="center"/>
          </w:tcPr>
          <w:p w14:paraId="6284A0C4">
            <w:pPr>
              <w:autoSpaceDE w:val="0"/>
              <w:autoSpaceDN w:val="0"/>
              <w:spacing w:line="288" w:lineRule="auto"/>
              <w:jc w:val="center"/>
              <w:rPr>
                <w:rFonts w:hint="eastAsia" w:ascii="宋体" w:cs="宋体"/>
                <w:b/>
                <w:color w:val="auto"/>
                <w:szCs w:val="21"/>
                <w:highlight w:val="none"/>
              </w:rPr>
            </w:pPr>
            <w:r>
              <w:rPr>
                <w:rFonts w:hint="eastAsia" w:ascii="宋体" w:cs="宋体"/>
                <w:b/>
                <w:color w:val="auto"/>
                <w:szCs w:val="21"/>
                <w:highlight w:val="none"/>
              </w:rPr>
              <w:t>编列内容</w:t>
            </w:r>
          </w:p>
        </w:tc>
      </w:tr>
      <w:tr w14:paraId="004AB7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3C885A13">
            <w:pPr>
              <w:keepNext w:val="0"/>
              <w:keepLines w:val="0"/>
              <w:widowControl/>
              <w:suppressLineNumbers w:val="0"/>
              <w:jc w:val="center"/>
              <w:textAlignment w:val="center"/>
              <w:rPr>
                <w:rFonts w:hint="eastAsia" w:ascii="宋体" w:eastAsia="宋体"/>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946" w:type="dxa"/>
            <w:noWrap w:val="0"/>
            <w:vAlign w:val="center"/>
          </w:tcPr>
          <w:p w14:paraId="4650032B">
            <w:pPr>
              <w:spacing w:line="288" w:lineRule="auto"/>
              <w:ind w:right="-1"/>
              <w:jc w:val="center"/>
              <w:rPr>
                <w:rFonts w:hint="eastAsia" w:ascii="宋体"/>
                <w:color w:val="auto"/>
                <w:szCs w:val="21"/>
                <w:highlight w:val="none"/>
              </w:rPr>
            </w:pPr>
            <w:r>
              <w:rPr>
                <w:rFonts w:hint="eastAsia" w:ascii="宋体"/>
                <w:color w:val="auto"/>
                <w:szCs w:val="21"/>
                <w:highlight w:val="none"/>
              </w:rPr>
              <w:t>招标人</w:t>
            </w:r>
          </w:p>
        </w:tc>
        <w:tc>
          <w:tcPr>
            <w:tcW w:w="6112" w:type="dxa"/>
            <w:noWrap w:val="0"/>
            <w:vAlign w:val="center"/>
          </w:tcPr>
          <w:p w14:paraId="7D4713B8">
            <w:pPr>
              <w:spacing w:line="288" w:lineRule="auto"/>
              <w:ind w:right="-1"/>
              <w:rPr>
                <w:rFonts w:hint="eastAsia" w:ascii="宋体"/>
                <w:color w:val="auto"/>
                <w:szCs w:val="21"/>
                <w:highlight w:val="none"/>
              </w:rPr>
            </w:pPr>
            <w:r>
              <w:rPr>
                <w:rFonts w:hint="eastAsia" w:ascii="宋体"/>
                <w:color w:val="auto"/>
                <w:szCs w:val="21"/>
                <w:highlight w:val="none"/>
              </w:rPr>
              <w:t>采购单位：</w:t>
            </w:r>
            <w:r>
              <w:rPr>
                <w:rFonts w:hint="eastAsia" w:asciiTheme="minorEastAsia" w:hAnsiTheme="minorEastAsia" w:eastAsiaTheme="minorEastAsia" w:cstheme="minorEastAsia"/>
                <w:color w:val="auto"/>
                <w:sz w:val="21"/>
                <w:szCs w:val="21"/>
                <w:highlight w:val="none"/>
                <w:lang w:eastAsia="zh-CN"/>
              </w:rPr>
              <w:t>台州市章鱼出行科技有限公司</w:t>
            </w:r>
          </w:p>
          <w:p w14:paraId="5B9AA4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val="en-US" w:eastAsia="zh-CN"/>
              </w:rPr>
              <w:t>徐先生</w:t>
            </w:r>
            <w:r>
              <w:rPr>
                <w:rFonts w:hint="eastAsia" w:asciiTheme="minorEastAsia" w:hAnsiTheme="minorEastAsia" w:eastAsiaTheme="minorEastAsia" w:cstheme="minorEastAsia"/>
                <w:color w:val="auto"/>
                <w:sz w:val="21"/>
                <w:szCs w:val="21"/>
                <w:highlight w:val="none"/>
                <w:shd w:val="clear" w:color="auto" w:fill="auto"/>
              </w:rPr>
              <w:t xml:space="preserve">    联系电话：</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0576-82133881 </w:t>
            </w:r>
          </w:p>
          <w:p w14:paraId="2FB01AB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color w:val="auto"/>
                <w:szCs w:val="21"/>
                <w:highlight w:val="none"/>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台州市路桥区路桥街道卖芝桥东路888-5号</w:t>
            </w:r>
          </w:p>
        </w:tc>
      </w:tr>
      <w:tr w14:paraId="20CDF4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185" w:type="dxa"/>
            <w:noWrap w:val="0"/>
            <w:vAlign w:val="center"/>
          </w:tcPr>
          <w:p w14:paraId="54202E51">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46" w:type="dxa"/>
            <w:noWrap w:val="0"/>
            <w:vAlign w:val="center"/>
          </w:tcPr>
          <w:p w14:paraId="5EDFA6A2">
            <w:pPr>
              <w:spacing w:line="288" w:lineRule="auto"/>
              <w:ind w:right="-1"/>
              <w:jc w:val="center"/>
              <w:rPr>
                <w:rFonts w:hint="eastAsia" w:ascii="宋体"/>
                <w:color w:val="auto"/>
                <w:szCs w:val="21"/>
                <w:highlight w:val="none"/>
              </w:rPr>
            </w:pPr>
            <w:r>
              <w:rPr>
                <w:rFonts w:hint="eastAsia" w:ascii="宋体"/>
                <w:color w:val="auto"/>
                <w:szCs w:val="21"/>
                <w:highlight w:val="none"/>
              </w:rPr>
              <w:t>招标项目名称</w:t>
            </w:r>
          </w:p>
        </w:tc>
        <w:tc>
          <w:tcPr>
            <w:tcW w:w="6112" w:type="dxa"/>
            <w:noWrap w:val="0"/>
            <w:vAlign w:val="center"/>
          </w:tcPr>
          <w:p w14:paraId="5E1D34DD">
            <w:pPr>
              <w:spacing w:line="288" w:lineRule="auto"/>
              <w:ind w:right="-1"/>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lang w:eastAsia="zh-CN"/>
              </w:rPr>
              <w:t>路桥区公共充电桩建设项目（二期）</w:t>
            </w:r>
          </w:p>
        </w:tc>
      </w:tr>
      <w:tr w14:paraId="1FC54B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079A48C7">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46" w:type="dxa"/>
            <w:noWrap w:val="0"/>
            <w:vAlign w:val="center"/>
          </w:tcPr>
          <w:p w14:paraId="33982AE7">
            <w:pPr>
              <w:spacing w:line="288" w:lineRule="auto"/>
              <w:ind w:right="-1"/>
              <w:jc w:val="center"/>
              <w:rPr>
                <w:rFonts w:hint="eastAsia" w:ascii="宋体"/>
                <w:color w:val="auto"/>
                <w:szCs w:val="21"/>
                <w:highlight w:val="none"/>
              </w:rPr>
            </w:pPr>
            <w:r>
              <w:rPr>
                <w:rFonts w:hint="eastAsia" w:ascii="宋体"/>
                <w:color w:val="auto"/>
                <w:szCs w:val="21"/>
                <w:highlight w:val="none"/>
              </w:rPr>
              <w:t>资金来源</w:t>
            </w:r>
          </w:p>
        </w:tc>
        <w:tc>
          <w:tcPr>
            <w:tcW w:w="6112" w:type="dxa"/>
            <w:noWrap w:val="0"/>
            <w:vAlign w:val="center"/>
          </w:tcPr>
          <w:p w14:paraId="4B641747">
            <w:pPr>
              <w:spacing w:line="288" w:lineRule="auto"/>
              <w:ind w:right="-1"/>
              <w:rPr>
                <w:rFonts w:hint="eastAsia" w:ascii="宋体"/>
                <w:color w:val="auto"/>
                <w:szCs w:val="21"/>
                <w:highlight w:val="none"/>
              </w:rPr>
            </w:pPr>
            <w:r>
              <w:rPr>
                <w:rFonts w:hint="eastAsia" w:ascii="宋体"/>
                <w:color w:val="auto"/>
                <w:szCs w:val="21"/>
                <w:highlight w:val="none"/>
              </w:rPr>
              <w:t>☑招标人自筹</w:t>
            </w:r>
          </w:p>
          <w:p w14:paraId="42B7D2D8">
            <w:pPr>
              <w:spacing w:line="288" w:lineRule="auto"/>
              <w:ind w:right="-1"/>
              <w:rPr>
                <w:rFonts w:hint="eastAsia" w:ascii="宋体"/>
                <w:color w:val="auto"/>
                <w:szCs w:val="21"/>
                <w:highlight w:val="none"/>
              </w:rPr>
            </w:pPr>
            <w:r>
              <w:rPr>
                <w:rFonts w:hint="eastAsia" w:ascii="宋体"/>
                <w:color w:val="auto"/>
                <w:szCs w:val="21"/>
                <w:highlight w:val="none"/>
              </w:rPr>
              <w:t>□使用财政资金</w:t>
            </w:r>
          </w:p>
          <w:p w14:paraId="573AE7FE">
            <w:pPr>
              <w:spacing w:line="288" w:lineRule="auto"/>
              <w:ind w:right="-1"/>
              <w:rPr>
                <w:rFonts w:hint="eastAsia" w:ascii="宋体"/>
                <w:color w:val="auto"/>
                <w:szCs w:val="21"/>
                <w:highlight w:val="none"/>
              </w:rPr>
            </w:pPr>
            <w:r>
              <w:rPr>
                <w:rFonts w:hint="eastAsia" w:ascii="宋体"/>
                <w:color w:val="auto"/>
                <w:szCs w:val="21"/>
                <w:highlight w:val="none"/>
              </w:rPr>
              <w:t>□银行贷款</w:t>
            </w:r>
          </w:p>
          <w:p w14:paraId="55E4CD9E">
            <w:pPr>
              <w:spacing w:line="288" w:lineRule="auto"/>
              <w:ind w:right="-1"/>
              <w:rPr>
                <w:rFonts w:hint="eastAsia" w:ascii="宋体"/>
                <w:color w:val="auto"/>
                <w:szCs w:val="21"/>
                <w:highlight w:val="none"/>
              </w:rPr>
            </w:pPr>
            <w:r>
              <w:rPr>
                <w:rFonts w:hint="eastAsia" w:ascii="宋体"/>
                <w:color w:val="auto"/>
                <w:szCs w:val="21"/>
                <w:highlight w:val="none"/>
              </w:rPr>
              <w:t>□国家融资</w:t>
            </w:r>
          </w:p>
          <w:p w14:paraId="0491773E">
            <w:pPr>
              <w:spacing w:line="288" w:lineRule="auto"/>
              <w:ind w:right="-1"/>
              <w:rPr>
                <w:rFonts w:hint="eastAsia" w:ascii="宋体"/>
                <w:color w:val="auto"/>
                <w:szCs w:val="21"/>
                <w:highlight w:val="none"/>
              </w:rPr>
            </w:pPr>
            <w:r>
              <w:rPr>
                <w:rFonts w:hint="eastAsia" w:ascii="宋体"/>
                <w:color w:val="auto"/>
                <w:szCs w:val="21"/>
                <w:highlight w:val="none"/>
              </w:rPr>
              <w:t>□其他：/</w:t>
            </w:r>
          </w:p>
        </w:tc>
      </w:tr>
      <w:tr w14:paraId="021E5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21" w:hRule="atLeast"/>
          <w:jc w:val="center"/>
        </w:trPr>
        <w:tc>
          <w:tcPr>
            <w:tcW w:w="1185" w:type="dxa"/>
            <w:noWrap w:val="0"/>
            <w:vAlign w:val="center"/>
          </w:tcPr>
          <w:p w14:paraId="1F526FE0">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46" w:type="dxa"/>
            <w:noWrap w:val="0"/>
            <w:vAlign w:val="center"/>
          </w:tcPr>
          <w:p w14:paraId="6AADCFC9">
            <w:pPr>
              <w:spacing w:line="288" w:lineRule="auto"/>
              <w:ind w:right="-1"/>
              <w:jc w:val="center"/>
              <w:rPr>
                <w:rFonts w:hint="eastAsia" w:ascii="宋体"/>
                <w:color w:val="auto"/>
                <w:szCs w:val="21"/>
                <w:highlight w:val="none"/>
              </w:rPr>
            </w:pPr>
            <w:r>
              <w:rPr>
                <w:rFonts w:hint="eastAsia" w:ascii="宋体"/>
                <w:color w:val="auto"/>
                <w:szCs w:val="21"/>
                <w:highlight w:val="none"/>
              </w:rPr>
              <w:t>标</w:t>
            </w:r>
            <w:r>
              <w:rPr>
                <w:rFonts w:hint="eastAsia"/>
                <w:color w:val="auto"/>
                <w:highlight w:val="none"/>
              </w:rPr>
              <w:t>段</w:t>
            </w:r>
            <w:r>
              <w:rPr>
                <w:rFonts w:hint="eastAsia" w:ascii="宋体"/>
                <w:color w:val="auto"/>
                <w:szCs w:val="21"/>
                <w:highlight w:val="none"/>
              </w:rPr>
              <w:t>划分</w:t>
            </w:r>
          </w:p>
        </w:tc>
        <w:tc>
          <w:tcPr>
            <w:tcW w:w="6112" w:type="dxa"/>
            <w:noWrap w:val="0"/>
            <w:vAlign w:val="center"/>
          </w:tcPr>
          <w:p w14:paraId="14C095AB">
            <w:pPr>
              <w:spacing w:line="288" w:lineRule="auto"/>
              <w:ind w:right="-1"/>
              <w:rPr>
                <w:rFonts w:hint="eastAsia"/>
                <w:color w:val="auto"/>
                <w:highlight w:val="none"/>
              </w:rPr>
            </w:pPr>
            <w:r>
              <w:rPr>
                <w:rFonts w:hint="eastAsia" w:ascii="宋体"/>
                <w:color w:val="auto"/>
                <w:szCs w:val="21"/>
                <w:highlight w:val="none"/>
              </w:rPr>
              <w:t>☑</w:t>
            </w:r>
            <w:r>
              <w:rPr>
                <w:rFonts w:hint="eastAsia"/>
                <w:color w:val="auto"/>
                <w:highlight w:val="none"/>
              </w:rPr>
              <w:t>不划分标段</w:t>
            </w:r>
          </w:p>
          <w:p w14:paraId="15871F94">
            <w:pPr>
              <w:widowControl/>
              <w:spacing w:line="288" w:lineRule="auto"/>
              <w:jc w:val="left"/>
              <w:rPr>
                <w:rFonts w:hint="eastAsia"/>
                <w:color w:val="auto"/>
                <w:highlight w:val="none"/>
              </w:rPr>
            </w:pPr>
            <w:r>
              <w:rPr>
                <w:rFonts w:hint="eastAsia"/>
                <w:color w:val="auto"/>
                <w:highlight w:val="none"/>
              </w:rPr>
              <w:t>□标段招标，标段划分情况如下：本次招标项</w:t>
            </w:r>
            <w:r>
              <w:rPr>
                <w:rFonts w:hint="eastAsia" w:ascii="宋体" w:hAnsi="宋体" w:eastAsia="宋体" w:cs="宋体"/>
                <w:color w:val="auto"/>
                <w:highlight w:val="none"/>
              </w:rPr>
              <w:t>目共设1个标段</w:t>
            </w:r>
          </w:p>
        </w:tc>
      </w:tr>
      <w:tr w14:paraId="737AC1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33D965E6">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946" w:type="dxa"/>
            <w:noWrap w:val="0"/>
            <w:vAlign w:val="center"/>
          </w:tcPr>
          <w:p w14:paraId="40C1D46D">
            <w:pPr>
              <w:spacing w:line="288" w:lineRule="auto"/>
              <w:ind w:right="-1"/>
              <w:jc w:val="center"/>
              <w:rPr>
                <w:rFonts w:hint="eastAsia" w:ascii="宋体"/>
                <w:color w:val="auto"/>
                <w:szCs w:val="21"/>
                <w:highlight w:val="none"/>
              </w:rPr>
            </w:pPr>
            <w:r>
              <w:rPr>
                <w:rFonts w:hint="eastAsia" w:ascii="宋体"/>
                <w:color w:val="auto"/>
                <w:szCs w:val="21"/>
                <w:highlight w:val="none"/>
              </w:rPr>
              <w:t>招标方式</w:t>
            </w:r>
          </w:p>
        </w:tc>
        <w:tc>
          <w:tcPr>
            <w:tcW w:w="6112" w:type="dxa"/>
            <w:noWrap w:val="0"/>
            <w:vAlign w:val="center"/>
          </w:tcPr>
          <w:p w14:paraId="78CB9D24">
            <w:pPr>
              <w:spacing w:line="288" w:lineRule="auto"/>
              <w:ind w:right="-1"/>
              <w:rPr>
                <w:rFonts w:hint="eastAsia" w:ascii="宋体"/>
                <w:color w:val="auto"/>
                <w:szCs w:val="21"/>
                <w:highlight w:val="none"/>
              </w:rPr>
            </w:pPr>
            <w:r>
              <w:rPr>
                <w:rFonts w:hint="eastAsia" w:ascii="宋体"/>
                <w:color w:val="auto"/>
                <w:szCs w:val="21"/>
                <w:highlight w:val="none"/>
              </w:rPr>
              <w:t>☑公开招标</w:t>
            </w:r>
          </w:p>
          <w:p w14:paraId="57B2C905">
            <w:pPr>
              <w:spacing w:line="288" w:lineRule="auto"/>
              <w:ind w:right="-1"/>
              <w:rPr>
                <w:rFonts w:hint="eastAsia" w:ascii="宋体"/>
                <w:color w:val="auto"/>
                <w:szCs w:val="21"/>
                <w:highlight w:val="none"/>
              </w:rPr>
            </w:pPr>
            <w:r>
              <w:rPr>
                <w:rFonts w:hint="eastAsia" w:ascii="宋体"/>
                <w:color w:val="auto"/>
                <w:szCs w:val="21"/>
                <w:highlight w:val="none"/>
              </w:rPr>
              <w:t>□邀请招标</w:t>
            </w:r>
          </w:p>
        </w:tc>
      </w:tr>
      <w:tr w14:paraId="1DEF3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185" w:type="dxa"/>
            <w:noWrap w:val="0"/>
            <w:vAlign w:val="center"/>
          </w:tcPr>
          <w:p w14:paraId="1E98B323">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946" w:type="dxa"/>
            <w:noWrap w:val="0"/>
            <w:vAlign w:val="center"/>
          </w:tcPr>
          <w:p w14:paraId="72A16B63">
            <w:pPr>
              <w:spacing w:line="288" w:lineRule="auto"/>
              <w:ind w:right="-1"/>
              <w:jc w:val="center"/>
              <w:rPr>
                <w:rFonts w:hint="eastAsia" w:ascii="宋体"/>
                <w:color w:val="auto"/>
                <w:szCs w:val="21"/>
                <w:highlight w:val="none"/>
              </w:rPr>
            </w:pPr>
            <w:r>
              <w:rPr>
                <w:rFonts w:hint="eastAsia" w:ascii="宋体"/>
                <w:color w:val="auto"/>
                <w:szCs w:val="21"/>
                <w:highlight w:val="none"/>
              </w:rPr>
              <w:t>招标组织形式</w:t>
            </w:r>
          </w:p>
        </w:tc>
        <w:tc>
          <w:tcPr>
            <w:tcW w:w="6112" w:type="dxa"/>
            <w:noWrap w:val="0"/>
            <w:vAlign w:val="center"/>
          </w:tcPr>
          <w:p w14:paraId="7E892015">
            <w:pPr>
              <w:spacing w:line="288" w:lineRule="auto"/>
              <w:ind w:right="-1"/>
              <w:rPr>
                <w:rFonts w:hint="eastAsia" w:ascii="宋体"/>
                <w:color w:val="auto"/>
                <w:szCs w:val="21"/>
                <w:highlight w:val="none"/>
              </w:rPr>
            </w:pPr>
            <w:r>
              <w:rPr>
                <w:rFonts w:hint="eastAsia" w:ascii="宋体"/>
                <w:color w:val="auto"/>
                <w:szCs w:val="21"/>
                <w:highlight w:val="none"/>
              </w:rPr>
              <w:t>□自行招标</w:t>
            </w:r>
          </w:p>
          <w:p w14:paraId="7318B8A6">
            <w:pPr>
              <w:spacing w:line="288" w:lineRule="auto"/>
              <w:ind w:right="-1"/>
              <w:rPr>
                <w:rFonts w:hint="eastAsia" w:ascii="宋体"/>
                <w:color w:val="auto"/>
                <w:szCs w:val="21"/>
                <w:highlight w:val="none"/>
              </w:rPr>
            </w:pPr>
            <w:r>
              <w:rPr>
                <w:rFonts w:hint="eastAsia" w:ascii="宋体"/>
                <w:color w:val="auto"/>
                <w:szCs w:val="21"/>
                <w:highlight w:val="none"/>
              </w:rPr>
              <w:t>☑委托招标代理机构代理招标</w:t>
            </w:r>
          </w:p>
          <w:p w14:paraId="71343A5E">
            <w:pPr>
              <w:spacing w:line="288" w:lineRule="auto"/>
              <w:ind w:right="-1"/>
              <w:rPr>
                <w:rFonts w:hint="eastAsia" w:ascii="宋体" w:eastAsia="宋体"/>
                <w:color w:val="auto"/>
                <w:kern w:val="2"/>
                <w:sz w:val="21"/>
                <w:szCs w:val="21"/>
                <w:highlight w:val="none"/>
              </w:rPr>
            </w:pPr>
            <w:r>
              <w:rPr>
                <w:rFonts w:hint="eastAsia" w:ascii="宋体"/>
                <w:color w:val="auto"/>
                <w:szCs w:val="21"/>
                <w:highlight w:val="none"/>
              </w:rPr>
              <w:t>招标代理机构名称：</w:t>
            </w:r>
            <w:r>
              <w:rPr>
                <w:rFonts w:hint="eastAsia" w:ascii="宋体"/>
                <w:color w:val="auto"/>
                <w:szCs w:val="21"/>
                <w:highlight w:val="none"/>
                <w:lang w:val="en-US" w:eastAsia="zh-CN"/>
              </w:rPr>
              <w:t>台州永安工程咨询有限公司</w:t>
            </w:r>
          </w:p>
        </w:tc>
      </w:tr>
      <w:tr w14:paraId="66119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6BC68A5F">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946" w:type="dxa"/>
            <w:noWrap w:val="0"/>
            <w:vAlign w:val="center"/>
          </w:tcPr>
          <w:p w14:paraId="5479034A">
            <w:pPr>
              <w:spacing w:line="288" w:lineRule="auto"/>
              <w:ind w:right="-1"/>
              <w:jc w:val="center"/>
              <w:rPr>
                <w:rFonts w:hint="eastAsia" w:ascii="宋体"/>
                <w:color w:val="auto"/>
                <w:szCs w:val="21"/>
                <w:highlight w:val="none"/>
              </w:rPr>
            </w:pPr>
            <w:r>
              <w:rPr>
                <w:rFonts w:hint="eastAsia" w:ascii="宋体"/>
                <w:color w:val="auto"/>
                <w:szCs w:val="21"/>
                <w:highlight w:val="none"/>
              </w:rPr>
              <w:t>资格审查方式</w:t>
            </w:r>
          </w:p>
        </w:tc>
        <w:tc>
          <w:tcPr>
            <w:tcW w:w="6112" w:type="dxa"/>
            <w:noWrap w:val="0"/>
            <w:vAlign w:val="center"/>
          </w:tcPr>
          <w:p w14:paraId="7CDCCD1D">
            <w:pPr>
              <w:spacing w:line="288" w:lineRule="auto"/>
              <w:ind w:right="-1"/>
              <w:rPr>
                <w:rFonts w:hint="eastAsia" w:ascii="宋体"/>
                <w:color w:val="auto"/>
                <w:szCs w:val="21"/>
                <w:highlight w:val="none"/>
              </w:rPr>
            </w:pPr>
            <w:r>
              <w:rPr>
                <w:rFonts w:hint="eastAsia" w:ascii="宋体"/>
                <w:color w:val="auto"/>
                <w:szCs w:val="21"/>
                <w:highlight w:val="none"/>
              </w:rPr>
              <w:t>□资格预审</w:t>
            </w:r>
          </w:p>
          <w:p w14:paraId="003CB0B0">
            <w:pPr>
              <w:spacing w:line="288" w:lineRule="auto"/>
              <w:ind w:right="-1"/>
              <w:rPr>
                <w:rFonts w:hint="eastAsia" w:ascii="宋体"/>
                <w:color w:val="auto"/>
                <w:szCs w:val="21"/>
                <w:highlight w:val="none"/>
              </w:rPr>
            </w:pPr>
            <w:r>
              <w:rPr>
                <w:rFonts w:hint="eastAsia" w:ascii="宋体"/>
                <w:color w:val="auto"/>
                <w:szCs w:val="21"/>
                <w:highlight w:val="none"/>
              </w:rPr>
              <w:t>☑资格后审，资格条件见第一章“</w:t>
            </w:r>
            <w:r>
              <w:rPr>
                <w:rFonts w:hint="eastAsia" w:ascii="宋体"/>
                <w:color w:val="auto"/>
                <w:szCs w:val="21"/>
                <w:highlight w:val="none"/>
                <w:lang w:val="en-US" w:eastAsia="zh-CN"/>
              </w:rPr>
              <w:t>公开</w:t>
            </w:r>
            <w:r>
              <w:rPr>
                <w:rFonts w:hint="eastAsia" w:ascii="宋体"/>
                <w:color w:val="auto"/>
                <w:szCs w:val="21"/>
                <w:highlight w:val="none"/>
              </w:rPr>
              <w:t>招标</w:t>
            </w:r>
            <w:r>
              <w:rPr>
                <w:rFonts w:hint="eastAsia" w:ascii="宋体"/>
                <w:color w:val="auto"/>
                <w:szCs w:val="21"/>
                <w:highlight w:val="none"/>
                <w:lang w:val="en-US" w:eastAsia="zh-CN"/>
              </w:rPr>
              <w:t>采购</w:t>
            </w:r>
            <w:r>
              <w:rPr>
                <w:rFonts w:hint="eastAsia" w:ascii="宋体"/>
                <w:color w:val="auto"/>
                <w:szCs w:val="21"/>
                <w:highlight w:val="none"/>
              </w:rPr>
              <w:t>公告”</w:t>
            </w:r>
          </w:p>
        </w:tc>
      </w:tr>
      <w:tr w14:paraId="0508B1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129EDAD1">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946" w:type="dxa"/>
            <w:noWrap w:val="0"/>
            <w:vAlign w:val="center"/>
          </w:tcPr>
          <w:p w14:paraId="41E6F3AD">
            <w:pPr>
              <w:spacing w:line="288" w:lineRule="auto"/>
              <w:ind w:right="-1"/>
              <w:jc w:val="center"/>
              <w:rPr>
                <w:rFonts w:hint="eastAsia" w:ascii="宋体"/>
                <w:color w:val="auto"/>
                <w:szCs w:val="21"/>
                <w:highlight w:val="none"/>
              </w:rPr>
            </w:pPr>
            <w:r>
              <w:rPr>
                <w:rFonts w:hint="eastAsia" w:ascii="宋体"/>
                <w:color w:val="auto"/>
                <w:szCs w:val="21"/>
                <w:highlight w:val="none"/>
              </w:rPr>
              <w:t>投标人不得存在的情形</w:t>
            </w:r>
          </w:p>
        </w:tc>
        <w:tc>
          <w:tcPr>
            <w:tcW w:w="6112" w:type="dxa"/>
            <w:noWrap w:val="0"/>
            <w:vAlign w:val="center"/>
          </w:tcPr>
          <w:p w14:paraId="611356E8">
            <w:pPr>
              <w:spacing w:line="288" w:lineRule="auto"/>
              <w:ind w:right="-1"/>
              <w:rPr>
                <w:rFonts w:hint="eastAsia" w:ascii="宋体"/>
                <w:color w:val="auto"/>
                <w:szCs w:val="21"/>
                <w:highlight w:val="none"/>
              </w:rPr>
            </w:pPr>
            <w:r>
              <w:rPr>
                <w:rFonts w:hint="eastAsia" w:ascii="宋体"/>
                <w:color w:val="auto"/>
                <w:szCs w:val="21"/>
                <w:highlight w:val="none"/>
              </w:rPr>
              <w:t>（1）被责令停业或破产状态的；</w:t>
            </w:r>
          </w:p>
          <w:p w14:paraId="34F192D9">
            <w:pPr>
              <w:spacing w:line="288" w:lineRule="auto"/>
              <w:ind w:right="-1"/>
              <w:rPr>
                <w:rFonts w:hint="eastAsia" w:ascii="宋体"/>
                <w:color w:val="auto"/>
                <w:szCs w:val="21"/>
                <w:highlight w:val="none"/>
              </w:rPr>
            </w:pPr>
            <w:r>
              <w:rPr>
                <w:rFonts w:hint="eastAsia" w:ascii="宋体"/>
                <w:color w:val="auto"/>
                <w:szCs w:val="21"/>
                <w:highlight w:val="none"/>
              </w:rPr>
              <w:t>（2）被暂停或取消投标资格的；</w:t>
            </w:r>
          </w:p>
          <w:p w14:paraId="05BD8868">
            <w:pPr>
              <w:spacing w:line="288" w:lineRule="auto"/>
              <w:ind w:right="-1"/>
              <w:rPr>
                <w:rFonts w:hint="eastAsia" w:ascii="宋体"/>
                <w:color w:val="auto"/>
                <w:szCs w:val="21"/>
                <w:highlight w:val="none"/>
              </w:rPr>
            </w:pPr>
            <w:r>
              <w:rPr>
                <w:rFonts w:hint="eastAsia" w:ascii="宋体"/>
                <w:color w:val="auto"/>
                <w:szCs w:val="21"/>
                <w:highlight w:val="none"/>
              </w:rPr>
              <w:t>（3）财产被重组、接管、查封、扣押或冻结的；</w:t>
            </w:r>
          </w:p>
          <w:p w14:paraId="3804DEBA">
            <w:pPr>
              <w:spacing w:line="288" w:lineRule="auto"/>
              <w:ind w:right="-1"/>
              <w:rPr>
                <w:rFonts w:hint="eastAsia" w:ascii="宋体"/>
                <w:color w:val="auto"/>
                <w:szCs w:val="21"/>
                <w:highlight w:val="none"/>
              </w:rPr>
            </w:pPr>
            <w:r>
              <w:rPr>
                <w:rFonts w:hint="eastAsia" w:ascii="宋体"/>
                <w:color w:val="auto"/>
                <w:szCs w:val="21"/>
                <w:highlight w:val="none"/>
              </w:rPr>
              <w:t>（4）在最近三年内有骗取中标、严重违约、重大工程质量或者安全问题的；</w:t>
            </w:r>
          </w:p>
          <w:p w14:paraId="4A10F3BF">
            <w:pPr>
              <w:spacing w:line="288" w:lineRule="auto"/>
              <w:ind w:right="-1"/>
              <w:rPr>
                <w:rFonts w:hint="eastAsia" w:ascii="宋体"/>
                <w:color w:val="auto"/>
                <w:szCs w:val="21"/>
                <w:highlight w:val="none"/>
              </w:rPr>
            </w:pPr>
            <w:r>
              <w:rPr>
                <w:rFonts w:hint="eastAsia" w:ascii="宋体"/>
                <w:color w:val="auto"/>
                <w:szCs w:val="21"/>
                <w:highlight w:val="none"/>
              </w:rPr>
              <w:t>（5）在最近三年内因严重违反合同约定被解除合同/协议，或取消投标资格的；</w:t>
            </w:r>
          </w:p>
          <w:p w14:paraId="6BF62469">
            <w:pPr>
              <w:spacing w:line="288" w:lineRule="auto"/>
              <w:ind w:right="-1"/>
              <w:rPr>
                <w:rFonts w:hint="eastAsia" w:ascii="宋体"/>
                <w:color w:val="auto"/>
                <w:szCs w:val="21"/>
                <w:highlight w:val="none"/>
              </w:rPr>
            </w:pPr>
            <w:r>
              <w:rPr>
                <w:rFonts w:hint="eastAsia" w:ascii="宋体"/>
                <w:color w:val="auto"/>
                <w:szCs w:val="21"/>
                <w:highlight w:val="none"/>
              </w:rPr>
              <w:t>（6）法律法规规定的其他情形。</w:t>
            </w:r>
          </w:p>
        </w:tc>
      </w:tr>
      <w:tr w14:paraId="5306C7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05117654">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946" w:type="dxa"/>
            <w:noWrap w:val="0"/>
            <w:vAlign w:val="center"/>
          </w:tcPr>
          <w:p w14:paraId="36FC2FFF">
            <w:pPr>
              <w:spacing w:line="288" w:lineRule="auto"/>
              <w:ind w:right="-1"/>
              <w:jc w:val="center"/>
              <w:rPr>
                <w:rFonts w:hint="eastAsia" w:ascii="宋体"/>
                <w:color w:val="auto"/>
                <w:szCs w:val="21"/>
                <w:highlight w:val="none"/>
              </w:rPr>
            </w:pPr>
            <w:r>
              <w:rPr>
                <w:rFonts w:hint="eastAsia" w:ascii="宋体"/>
                <w:color w:val="auto"/>
                <w:szCs w:val="21"/>
                <w:highlight w:val="none"/>
              </w:rPr>
              <w:t>踏勘现场</w:t>
            </w:r>
          </w:p>
        </w:tc>
        <w:tc>
          <w:tcPr>
            <w:tcW w:w="6112" w:type="dxa"/>
            <w:noWrap w:val="0"/>
            <w:vAlign w:val="center"/>
          </w:tcPr>
          <w:p w14:paraId="6D86CD18">
            <w:pPr>
              <w:spacing w:line="288" w:lineRule="auto"/>
              <w:ind w:right="-1"/>
              <w:rPr>
                <w:rFonts w:hint="eastAsia" w:ascii="宋体"/>
                <w:color w:val="auto"/>
                <w:szCs w:val="21"/>
                <w:highlight w:val="none"/>
              </w:rPr>
            </w:pPr>
            <w:r>
              <w:rPr>
                <w:rFonts w:hint="eastAsia" w:ascii="宋体"/>
                <w:color w:val="auto"/>
                <w:szCs w:val="21"/>
                <w:highlight w:val="none"/>
              </w:rPr>
              <w:t>☑不组织，投标人自行踏勘现场</w:t>
            </w:r>
          </w:p>
          <w:p w14:paraId="400C4573">
            <w:pPr>
              <w:spacing w:line="288" w:lineRule="auto"/>
              <w:ind w:right="-1"/>
              <w:rPr>
                <w:rFonts w:hint="eastAsia" w:ascii="宋体"/>
                <w:color w:val="auto"/>
                <w:szCs w:val="21"/>
                <w:highlight w:val="none"/>
              </w:rPr>
            </w:pPr>
            <w:r>
              <w:rPr>
                <w:rFonts w:hint="eastAsia" w:ascii="宋体"/>
                <w:color w:val="auto"/>
                <w:szCs w:val="21"/>
                <w:highlight w:val="none"/>
              </w:rPr>
              <w:t>□组织，踏勘现场的时间、地点：</w:t>
            </w:r>
          </w:p>
        </w:tc>
      </w:tr>
      <w:tr w14:paraId="51DC7F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2D0FEFDA">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946" w:type="dxa"/>
            <w:noWrap w:val="0"/>
            <w:vAlign w:val="center"/>
          </w:tcPr>
          <w:p w14:paraId="7BEAC743">
            <w:pPr>
              <w:spacing w:line="288" w:lineRule="auto"/>
              <w:ind w:right="-1"/>
              <w:jc w:val="center"/>
              <w:rPr>
                <w:rFonts w:hint="eastAsia" w:ascii="宋体"/>
                <w:color w:val="auto"/>
                <w:szCs w:val="21"/>
                <w:highlight w:val="none"/>
              </w:rPr>
            </w:pPr>
            <w:r>
              <w:rPr>
                <w:rFonts w:hint="eastAsia" w:ascii="宋体"/>
                <w:color w:val="auto"/>
                <w:szCs w:val="21"/>
                <w:highlight w:val="none"/>
              </w:rPr>
              <w:t>投标预备会</w:t>
            </w:r>
          </w:p>
        </w:tc>
        <w:tc>
          <w:tcPr>
            <w:tcW w:w="6112" w:type="dxa"/>
            <w:noWrap w:val="0"/>
            <w:vAlign w:val="center"/>
          </w:tcPr>
          <w:p w14:paraId="735A0CAE">
            <w:pPr>
              <w:spacing w:line="288" w:lineRule="auto"/>
              <w:ind w:right="-1"/>
              <w:rPr>
                <w:rFonts w:hint="eastAsia" w:ascii="宋体"/>
                <w:color w:val="auto"/>
                <w:szCs w:val="21"/>
                <w:highlight w:val="none"/>
              </w:rPr>
            </w:pPr>
            <w:r>
              <w:rPr>
                <w:rFonts w:hint="eastAsia" w:ascii="宋体"/>
                <w:color w:val="auto"/>
                <w:szCs w:val="21"/>
                <w:highlight w:val="none"/>
              </w:rPr>
              <w:t>☑不召开</w:t>
            </w:r>
          </w:p>
          <w:p w14:paraId="1C5496B5">
            <w:pPr>
              <w:spacing w:line="288" w:lineRule="auto"/>
              <w:ind w:right="-1"/>
              <w:rPr>
                <w:rFonts w:hint="eastAsia" w:ascii="宋体"/>
                <w:color w:val="auto"/>
                <w:szCs w:val="21"/>
                <w:highlight w:val="none"/>
              </w:rPr>
            </w:pPr>
            <w:r>
              <w:rPr>
                <w:rFonts w:hint="eastAsia" w:ascii="宋体"/>
                <w:color w:val="auto"/>
                <w:szCs w:val="21"/>
                <w:highlight w:val="none"/>
              </w:rPr>
              <w:t>□召开，召开投标预备会时间、地点：/</w:t>
            </w:r>
          </w:p>
        </w:tc>
      </w:tr>
      <w:tr w14:paraId="50AFF8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185" w:type="dxa"/>
            <w:noWrap w:val="0"/>
            <w:vAlign w:val="center"/>
          </w:tcPr>
          <w:p w14:paraId="78484E59">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946" w:type="dxa"/>
            <w:noWrap w:val="0"/>
            <w:vAlign w:val="center"/>
          </w:tcPr>
          <w:p w14:paraId="54C64D5E">
            <w:pPr>
              <w:spacing w:line="288" w:lineRule="auto"/>
              <w:ind w:right="-1"/>
              <w:jc w:val="center"/>
              <w:rPr>
                <w:rFonts w:hint="eastAsia" w:ascii="宋体"/>
                <w:color w:val="auto"/>
                <w:szCs w:val="21"/>
                <w:highlight w:val="none"/>
              </w:rPr>
            </w:pPr>
            <w:r>
              <w:rPr>
                <w:rFonts w:hint="eastAsia" w:ascii="宋体"/>
                <w:color w:val="auto"/>
                <w:szCs w:val="21"/>
                <w:highlight w:val="none"/>
              </w:rPr>
              <w:t>投标人提出澄清问题的截止时间和方式</w:t>
            </w:r>
          </w:p>
        </w:tc>
        <w:tc>
          <w:tcPr>
            <w:tcW w:w="6112" w:type="dxa"/>
            <w:noWrap w:val="0"/>
            <w:vAlign w:val="center"/>
          </w:tcPr>
          <w:p w14:paraId="607345B4">
            <w:pPr>
              <w:spacing w:line="288" w:lineRule="auto"/>
              <w:ind w:right="-1"/>
              <w:rPr>
                <w:rFonts w:hint="eastAsia" w:ascii="宋体"/>
                <w:color w:val="auto"/>
                <w:highlight w:val="none"/>
              </w:rPr>
            </w:pPr>
            <w:r>
              <w:rPr>
                <w:rFonts w:hint="eastAsia" w:ascii="宋体" w:cs="宋体"/>
                <w:color w:val="auto"/>
                <w:highlight w:val="none"/>
              </w:rPr>
              <w:t>截止时间：投标截止时间15日前</w:t>
            </w:r>
          </w:p>
          <w:p w14:paraId="09D8A969">
            <w:pPr>
              <w:spacing w:line="288" w:lineRule="auto"/>
              <w:ind w:right="-1"/>
              <w:rPr>
                <w:rFonts w:hint="eastAsia" w:ascii="宋体"/>
                <w:color w:val="auto"/>
                <w:szCs w:val="21"/>
                <w:highlight w:val="none"/>
              </w:rPr>
            </w:pPr>
            <w:r>
              <w:rPr>
                <w:rFonts w:hint="eastAsia" w:ascii="宋体" w:cs="宋体"/>
                <w:color w:val="auto"/>
                <w:highlight w:val="none"/>
              </w:rPr>
              <w:t>提出澄清的方式：网上投标系统</w:t>
            </w:r>
          </w:p>
        </w:tc>
      </w:tr>
      <w:tr w14:paraId="60F544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1DDB7695">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946" w:type="dxa"/>
            <w:noWrap w:val="0"/>
            <w:vAlign w:val="center"/>
          </w:tcPr>
          <w:p w14:paraId="0FF28468">
            <w:pPr>
              <w:spacing w:line="288" w:lineRule="auto"/>
              <w:ind w:right="-1"/>
              <w:jc w:val="center"/>
              <w:rPr>
                <w:rFonts w:hint="eastAsia" w:ascii="宋体"/>
                <w:color w:val="auto"/>
                <w:szCs w:val="21"/>
                <w:highlight w:val="none"/>
              </w:rPr>
            </w:pPr>
            <w:r>
              <w:rPr>
                <w:rFonts w:hint="eastAsia" w:ascii="宋体"/>
                <w:color w:val="auto"/>
                <w:szCs w:val="21"/>
                <w:highlight w:val="none"/>
              </w:rPr>
              <w:t>招标人发出招标文件澄清或者修改的截止时间和方式</w:t>
            </w:r>
          </w:p>
        </w:tc>
        <w:tc>
          <w:tcPr>
            <w:tcW w:w="6112" w:type="dxa"/>
            <w:noWrap w:val="0"/>
            <w:vAlign w:val="center"/>
          </w:tcPr>
          <w:p w14:paraId="7576269A">
            <w:pPr>
              <w:spacing w:line="288" w:lineRule="auto"/>
              <w:ind w:right="-1"/>
              <w:rPr>
                <w:rFonts w:hint="eastAsia" w:ascii="宋体"/>
                <w:color w:val="auto"/>
                <w:highlight w:val="none"/>
              </w:rPr>
            </w:pPr>
            <w:r>
              <w:rPr>
                <w:rFonts w:hint="eastAsia" w:ascii="宋体" w:cs="宋体"/>
                <w:color w:val="auto"/>
                <w:highlight w:val="none"/>
              </w:rPr>
              <w:t>截止时间：投标截止时间15日前</w:t>
            </w:r>
          </w:p>
          <w:p w14:paraId="111B807F">
            <w:pPr>
              <w:adjustRightInd w:val="0"/>
              <w:snapToGrid w:val="0"/>
              <w:spacing w:line="288" w:lineRule="auto"/>
              <w:rPr>
                <w:rFonts w:hint="eastAsia" w:ascii="宋体"/>
                <w:color w:val="auto"/>
                <w:szCs w:val="21"/>
                <w:highlight w:val="none"/>
              </w:rPr>
            </w:pPr>
            <w:r>
              <w:rPr>
                <w:rFonts w:hint="eastAsia" w:ascii="宋体" w:cs="宋体"/>
                <w:color w:val="auto"/>
                <w:highlight w:val="none"/>
              </w:rPr>
              <w:t>发出澄清或者修改的方式：</w:t>
            </w:r>
            <w:r>
              <w:rPr>
                <w:rFonts w:hint="eastAsia" w:ascii="宋体"/>
                <w:color w:val="auto"/>
                <w:szCs w:val="21"/>
                <w:highlight w:val="none"/>
              </w:rPr>
              <w:t>在台州市阳光采购平台（https://tzygcg.com/）发布。</w:t>
            </w:r>
          </w:p>
        </w:tc>
      </w:tr>
      <w:tr w14:paraId="1E581F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50B596A3">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946" w:type="dxa"/>
            <w:noWrap w:val="0"/>
            <w:vAlign w:val="center"/>
          </w:tcPr>
          <w:p w14:paraId="297D2455">
            <w:pPr>
              <w:spacing w:line="288" w:lineRule="auto"/>
              <w:ind w:right="-1"/>
              <w:jc w:val="center"/>
              <w:rPr>
                <w:rFonts w:hint="eastAsia" w:ascii="宋体"/>
                <w:color w:val="auto"/>
                <w:szCs w:val="21"/>
                <w:highlight w:val="none"/>
              </w:rPr>
            </w:pPr>
            <w:r>
              <w:rPr>
                <w:rFonts w:hint="eastAsia" w:ascii="宋体"/>
                <w:color w:val="auto"/>
                <w:szCs w:val="21"/>
                <w:highlight w:val="none"/>
              </w:rPr>
              <w:t>投标人确认收到澄清或者修改的时间和方式</w:t>
            </w:r>
          </w:p>
        </w:tc>
        <w:tc>
          <w:tcPr>
            <w:tcW w:w="6112" w:type="dxa"/>
            <w:noWrap w:val="0"/>
            <w:vAlign w:val="center"/>
          </w:tcPr>
          <w:p w14:paraId="2E7854F9">
            <w:pPr>
              <w:spacing w:line="288" w:lineRule="auto"/>
              <w:ind w:right="-1"/>
              <w:rPr>
                <w:rFonts w:hint="eastAsia" w:ascii="宋体"/>
                <w:color w:val="auto"/>
                <w:szCs w:val="21"/>
                <w:highlight w:val="none"/>
              </w:rPr>
            </w:pPr>
            <w:r>
              <w:rPr>
                <w:rFonts w:hint="eastAsia" w:ascii="宋体" w:cs="宋体"/>
                <w:color w:val="auto"/>
                <w:highlight w:val="none"/>
              </w:rPr>
              <w:t>投标人自行浏览和下载本项目的答疑和澄清，无需对答疑和澄清进行确认</w:t>
            </w:r>
          </w:p>
        </w:tc>
      </w:tr>
      <w:tr w14:paraId="224991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731C3195">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946" w:type="dxa"/>
            <w:noWrap w:val="0"/>
            <w:vAlign w:val="center"/>
          </w:tcPr>
          <w:p w14:paraId="0EE58B39">
            <w:pPr>
              <w:spacing w:line="288" w:lineRule="auto"/>
              <w:ind w:right="-1"/>
              <w:jc w:val="center"/>
              <w:rPr>
                <w:rFonts w:hint="eastAsia" w:ascii="宋体"/>
                <w:color w:val="auto"/>
                <w:szCs w:val="21"/>
                <w:highlight w:val="none"/>
              </w:rPr>
            </w:pPr>
            <w:r>
              <w:rPr>
                <w:rFonts w:hint="eastAsia" w:ascii="宋体"/>
                <w:color w:val="auto"/>
                <w:szCs w:val="21"/>
                <w:highlight w:val="none"/>
              </w:rPr>
              <w:t>投标</w:t>
            </w:r>
            <w:r>
              <w:rPr>
                <w:rFonts w:hint="eastAsia" w:ascii="宋体" w:hAnsi="宋体" w:eastAsia="宋体" w:cs="宋体"/>
                <w:color w:val="auto"/>
                <w:sz w:val="21"/>
                <w:szCs w:val="21"/>
                <w:highlight w:val="none"/>
                <w:lang w:val="en-US" w:eastAsia="zh-CN"/>
              </w:rPr>
              <w:t>总</w:t>
            </w:r>
            <w:r>
              <w:rPr>
                <w:rFonts w:hint="eastAsia" w:ascii="宋体"/>
                <w:color w:val="auto"/>
                <w:szCs w:val="21"/>
                <w:highlight w:val="none"/>
              </w:rPr>
              <w:t>报价优惠条件</w:t>
            </w:r>
          </w:p>
        </w:tc>
        <w:tc>
          <w:tcPr>
            <w:tcW w:w="6112" w:type="dxa"/>
            <w:noWrap w:val="0"/>
            <w:vAlign w:val="center"/>
          </w:tcPr>
          <w:p w14:paraId="18E9A95D">
            <w:pPr>
              <w:spacing w:line="288" w:lineRule="auto"/>
              <w:ind w:right="-1"/>
              <w:rPr>
                <w:rFonts w:hint="eastAsia" w:ascii="宋体"/>
                <w:color w:val="auto"/>
                <w:szCs w:val="21"/>
                <w:highlight w:val="none"/>
              </w:rPr>
            </w:pPr>
            <w:r>
              <w:rPr>
                <w:rFonts w:hint="eastAsia" w:ascii="宋体"/>
                <w:color w:val="auto"/>
                <w:szCs w:val="21"/>
                <w:highlight w:val="none"/>
              </w:rPr>
              <w:t>□报优惠价</w:t>
            </w:r>
          </w:p>
          <w:p w14:paraId="5B72DAD8">
            <w:pPr>
              <w:spacing w:line="288" w:lineRule="auto"/>
              <w:ind w:right="-1"/>
              <w:rPr>
                <w:rFonts w:hint="eastAsia" w:ascii="宋体"/>
                <w:color w:val="auto"/>
                <w:szCs w:val="21"/>
                <w:highlight w:val="none"/>
              </w:rPr>
            </w:pPr>
            <w:r>
              <w:rPr>
                <w:rFonts w:hint="eastAsia" w:ascii="宋体"/>
                <w:color w:val="auto"/>
                <w:szCs w:val="21"/>
                <w:highlight w:val="none"/>
              </w:rPr>
              <w:t>■不接受报优惠价：所有优惠体现在投标</w:t>
            </w:r>
            <w:r>
              <w:rPr>
                <w:rFonts w:hint="eastAsia" w:ascii="宋体" w:hAnsi="宋体" w:eastAsia="宋体" w:cs="宋体"/>
                <w:color w:val="auto"/>
                <w:sz w:val="21"/>
                <w:szCs w:val="21"/>
                <w:highlight w:val="none"/>
                <w:lang w:val="en-US" w:eastAsia="zh-CN"/>
              </w:rPr>
              <w:t>总</w:t>
            </w:r>
            <w:r>
              <w:rPr>
                <w:rFonts w:hint="eastAsia" w:ascii="宋体"/>
                <w:color w:val="auto"/>
                <w:szCs w:val="21"/>
                <w:highlight w:val="none"/>
              </w:rPr>
              <w:t>报价中。</w:t>
            </w:r>
          </w:p>
          <w:p w14:paraId="2470F10E">
            <w:pPr>
              <w:spacing w:line="288" w:lineRule="auto"/>
              <w:ind w:right="-1"/>
              <w:rPr>
                <w:rFonts w:hint="eastAsia" w:ascii="宋体"/>
                <w:color w:val="auto"/>
                <w:szCs w:val="21"/>
                <w:highlight w:val="none"/>
              </w:rPr>
            </w:pPr>
            <w:r>
              <w:rPr>
                <w:rFonts w:hint="eastAsia" w:ascii="宋体"/>
                <w:color w:val="auto"/>
                <w:szCs w:val="21"/>
                <w:highlight w:val="none"/>
              </w:rPr>
              <w:t>□报优惠价的其他方式：</w:t>
            </w:r>
          </w:p>
        </w:tc>
      </w:tr>
      <w:tr w14:paraId="500AB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710835A0">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946" w:type="dxa"/>
            <w:noWrap w:val="0"/>
            <w:vAlign w:val="center"/>
          </w:tcPr>
          <w:p w14:paraId="74F23A54">
            <w:pPr>
              <w:spacing w:line="288" w:lineRule="auto"/>
              <w:ind w:right="-1"/>
              <w:jc w:val="center"/>
              <w:rPr>
                <w:rFonts w:hint="eastAsia" w:ascii="宋体"/>
                <w:color w:val="auto"/>
                <w:szCs w:val="21"/>
                <w:highlight w:val="none"/>
              </w:rPr>
            </w:pPr>
            <w:r>
              <w:rPr>
                <w:rFonts w:hint="eastAsia" w:ascii="宋体"/>
                <w:color w:val="auto"/>
                <w:szCs w:val="21"/>
                <w:highlight w:val="none"/>
              </w:rPr>
              <w:t>投标</w:t>
            </w:r>
            <w:r>
              <w:rPr>
                <w:rFonts w:hint="eastAsia" w:ascii="宋体" w:hAnsi="宋体" w:eastAsia="宋体" w:cs="宋体"/>
                <w:color w:val="auto"/>
                <w:sz w:val="21"/>
                <w:szCs w:val="21"/>
                <w:highlight w:val="none"/>
                <w:lang w:val="en-US" w:eastAsia="zh-CN"/>
              </w:rPr>
              <w:t>总</w:t>
            </w:r>
            <w:r>
              <w:rPr>
                <w:rFonts w:hint="eastAsia" w:ascii="宋体"/>
                <w:color w:val="auto"/>
                <w:szCs w:val="21"/>
                <w:highlight w:val="none"/>
              </w:rPr>
              <w:t>报价具体要求</w:t>
            </w:r>
          </w:p>
        </w:tc>
        <w:tc>
          <w:tcPr>
            <w:tcW w:w="6112" w:type="dxa"/>
            <w:noWrap w:val="0"/>
            <w:vAlign w:val="center"/>
          </w:tcPr>
          <w:p w14:paraId="2FCB7463">
            <w:pPr>
              <w:spacing w:line="288" w:lineRule="auto"/>
              <w:ind w:right="-1"/>
              <w:rPr>
                <w:rFonts w:hint="eastAsia" w:ascii="宋体"/>
                <w:color w:val="auto"/>
                <w:szCs w:val="21"/>
                <w:highlight w:val="none"/>
              </w:rPr>
            </w:pPr>
            <w:r>
              <w:rPr>
                <w:rFonts w:hint="eastAsia" w:ascii="宋体"/>
                <w:color w:val="auto"/>
                <w:szCs w:val="21"/>
                <w:highlight w:val="none"/>
              </w:rPr>
              <w:t>详见招标文件第四章《</w:t>
            </w:r>
            <w:r>
              <w:rPr>
                <w:rFonts w:hint="eastAsia" w:ascii="宋体"/>
                <w:color w:val="auto"/>
                <w:szCs w:val="21"/>
                <w:highlight w:val="none"/>
                <w:lang w:val="en-US" w:eastAsia="zh-CN"/>
              </w:rPr>
              <w:t>公开招标需求</w:t>
            </w:r>
            <w:r>
              <w:rPr>
                <w:rFonts w:hint="eastAsia" w:ascii="宋体"/>
                <w:color w:val="auto"/>
                <w:szCs w:val="21"/>
                <w:highlight w:val="none"/>
              </w:rPr>
              <w:t>》。</w:t>
            </w:r>
          </w:p>
        </w:tc>
      </w:tr>
      <w:tr w14:paraId="0459D2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28B34A4F">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946" w:type="dxa"/>
            <w:noWrap w:val="0"/>
            <w:vAlign w:val="center"/>
          </w:tcPr>
          <w:p w14:paraId="1B75A4DC">
            <w:pPr>
              <w:spacing w:line="288" w:lineRule="auto"/>
              <w:ind w:right="-1"/>
              <w:jc w:val="center"/>
              <w:rPr>
                <w:rFonts w:hint="eastAsia" w:ascii="宋体"/>
                <w:color w:val="auto"/>
                <w:szCs w:val="21"/>
                <w:highlight w:val="none"/>
              </w:rPr>
            </w:pPr>
            <w:r>
              <w:rPr>
                <w:rFonts w:hint="eastAsia" w:ascii="宋体"/>
                <w:color w:val="auto"/>
                <w:szCs w:val="21"/>
                <w:highlight w:val="none"/>
              </w:rPr>
              <w:t>投标有效期</w:t>
            </w:r>
          </w:p>
        </w:tc>
        <w:tc>
          <w:tcPr>
            <w:tcW w:w="6112" w:type="dxa"/>
            <w:noWrap w:val="0"/>
            <w:vAlign w:val="center"/>
          </w:tcPr>
          <w:p w14:paraId="7EFE81DD">
            <w:pPr>
              <w:spacing w:line="288" w:lineRule="auto"/>
              <w:ind w:right="-1"/>
              <w:rPr>
                <w:rFonts w:hint="eastAsia" w:ascii="宋体"/>
                <w:color w:val="auto"/>
                <w:szCs w:val="21"/>
                <w:highlight w:val="none"/>
              </w:rPr>
            </w:pPr>
            <w:r>
              <w:rPr>
                <w:rFonts w:hint="eastAsia" w:ascii="宋体"/>
                <w:color w:val="auto"/>
                <w:szCs w:val="21"/>
                <w:highlight w:val="none"/>
              </w:rPr>
              <w:t>投标有效期：90日历天</w:t>
            </w:r>
          </w:p>
        </w:tc>
      </w:tr>
      <w:tr w14:paraId="627518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12BDF967">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946" w:type="dxa"/>
            <w:noWrap w:val="0"/>
            <w:vAlign w:val="center"/>
          </w:tcPr>
          <w:p w14:paraId="60BFBA9E">
            <w:pPr>
              <w:spacing w:line="288" w:lineRule="auto"/>
              <w:ind w:right="-1"/>
              <w:jc w:val="center"/>
              <w:rPr>
                <w:rFonts w:hint="eastAsia" w:ascii="宋体"/>
                <w:color w:val="auto"/>
                <w:szCs w:val="21"/>
                <w:highlight w:val="none"/>
              </w:rPr>
            </w:pPr>
            <w:r>
              <w:rPr>
                <w:rFonts w:hint="eastAsia" w:ascii="宋体"/>
                <w:color w:val="auto"/>
                <w:szCs w:val="21"/>
                <w:highlight w:val="none"/>
              </w:rPr>
              <w:t>投标保证金不予退还的其他规定</w:t>
            </w:r>
          </w:p>
        </w:tc>
        <w:tc>
          <w:tcPr>
            <w:tcW w:w="6112" w:type="dxa"/>
            <w:noWrap w:val="0"/>
            <w:vAlign w:val="center"/>
          </w:tcPr>
          <w:p w14:paraId="05A82F38">
            <w:pPr>
              <w:spacing w:line="288" w:lineRule="auto"/>
              <w:ind w:right="-1"/>
              <w:rPr>
                <w:rFonts w:hint="eastAsia" w:ascii="宋体"/>
                <w:color w:val="auto"/>
                <w:szCs w:val="21"/>
                <w:highlight w:val="none"/>
              </w:rPr>
            </w:pPr>
            <w:r>
              <w:rPr>
                <w:rFonts w:hint="eastAsia" w:ascii="宋体"/>
                <w:color w:val="auto"/>
                <w:szCs w:val="21"/>
                <w:highlight w:val="none"/>
              </w:rPr>
              <w:t>本条款增加以下规定：</w:t>
            </w:r>
          </w:p>
          <w:p w14:paraId="51B3743B">
            <w:pPr>
              <w:spacing w:line="288" w:lineRule="auto"/>
              <w:ind w:right="-1"/>
              <w:rPr>
                <w:rFonts w:hint="eastAsia" w:ascii="宋体"/>
                <w:color w:val="auto"/>
                <w:szCs w:val="21"/>
                <w:highlight w:val="none"/>
              </w:rPr>
            </w:pPr>
            <w:r>
              <w:rPr>
                <w:rFonts w:hint="eastAsia" w:ascii="宋体"/>
                <w:color w:val="auto"/>
                <w:szCs w:val="21"/>
                <w:highlight w:val="none"/>
              </w:rPr>
              <w:t>（1）中标候选人因不可抗力之外的原因放弃中标权的；</w:t>
            </w:r>
          </w:p>
          <w:p w14:paraId="7E463B86">
            <w:pPr>
              <w:spacing w:line="288" w:lineRule="auto"/>
              <w:ind w:right="-1"/>
              <w:rPr>
                <w:rFonts w:hint="eastAsia" w:ascii="宋体"/>
                <w:color w:val="auto"/>
                <w:szCs w:val="21"/>
                <w:highlight w:val="none"/>
              </w:rPr>
            </w:pPr>
            <w:r>
              <w:rPr>
                <w:rFonts w:hint="eastAsia" w:ascii="宋体"/>
                <w:color w:val="auto"/>
                <w:szCs w:val="21"/>
                <w:highlight w:val="none"/>
              </w:rPr>
              <w:t>（2）拒绝接受投标书中已确认的承诺或条款；</w:t>
            </w:r>
          </w:p>
          <w:p w14:paraId="4B07402C">
            <w:pPr>
              <w:spacing w:line="288" w:lineRule="auto"/>
              <w:ind w:right="-1"/>
              <w:rPr>
                <w:rFonts w:hint="eastAsia" w:ascii="宋体"/>
                <w:color w:val="auto"/>
                <w:szCs w:val="21"/>
                <w:highlight w:val="none"/>
              </w:rPr>
            </w:pPr>
            <w:r>
              <w:rPr>
                <w:rFonts w:hint="eastAsia" w:ascii="宋体"/>
                <w:color w:val="auto"/>
                <w:szCs w:val="21"/>
                <w:highlight w:val="none"/>
              </w:rPr>
              <w:t>（3）法律法规规定其他损害招标人利益和公共利益的情形。</w:t>
            </w:r>
          </w:p>
        </w:tc>
      </w:tr>
      <w:tr w14:paraId="3257DF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48DB247F">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946" w:type="dxa"/>
            <w:noWrap w:val="0"/>
            <w:vAlign w:val="center"/>
          </w:tcPr>
          <w:p w14:paraId="5179F3F0">
            <w:pPr>
              <w:spacing w:line="288" w:lineRule="auto"/>
              <w:ind w:right="-1"/>
              <w:jc w:val="center"/>
              <w:rPr>
                <w:rFonts w:hint="eastAsia" w:ascii="宋体"/>
                <w:color w:val="auto"/>
                <w:szCs w:val="21"/>
                <w:highlight w:val="none"/>
              </w:rPr>
            </w:pPr>
            <w:r>
              <w:rPr>
                <w:rFonts w:hint="eastAsia" w:ascii="宋体"/>
                <w:color w:val="auto"/>
                <w:szCs w:val="21"/>
                <w:highlight w:val="none"/>
              </w:rPr>
              <w:t>备选投标方案</w:t>
            </w:r>
          </w:p>
        </w:tc>
        <w:tc>
          <w:tcPr>
            <w:tcW w:w="6112" w:type="dxa"/>
            <w:noWrap w:val="0"/>
            <w:vAlign w:val="center"/>
          </w:tcPr>
          <w:p w14:paraId="69AA646D">
            <w:pPr>
              <w:spacing w:line="288" w:lineRule="auto"/>
              <w:ind w:right="-1"/>
              <w:rPr>
                <w:rFonts w:hint="eastAsia" w:ascii="宋体"/>
                <w:color w:val="auto"/>
                <w:szCs w:val="21"/>
                <w:highlight w:val="none"/>
              </w:rPr>
            </w:pPr>
            <w:r>
              <w:rPr>
                <w:rFonts w:hint="eastAsia" w:ascii="宋体"/>
                <w:color w:val="auto"/>
                <w:szCs w:val="21"/>
                <w:highlight w:val="none"/>
              </w:rPr>
              <w:t>■不允许</w:t>
            </w:r>
          </w:p>
          <w:p w14:paraId="49F7E7A2">
            <w:pPr>
              <w:spacing w:line="288" w:lineRule="auto"/>
              <w:ind w:right="-1"/>
              <w:rPr>
                <w:rFonts w:hint="eastAsia" w:ascii="宋体"/>
                <w:color w:val="auto"/>
                <w:szCs w:val="21"/>
                <w:highlight w:val="none"/>
              </w:rPr>
            </w:pPr>
            <w:r>
              <w:rPr>
                <w:rFonts w:hint="eastAsia" w:ascii="宋体"/>
                <w:color w:val="auto"/>
                <w:szCs w:val="21"/>
                <w:highlight w:val="none"/>
              </w:rPr>
              <w:t>□允许</w:t>
            </w:r>
          </w:p>
        </w:tc>
      </w:tr>
      <w:tr w14:paraId="7DC9B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2920E99A">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946" w:type="dxa"/>
            <w:noWrap w:val="0"/>
            <w:vAlign w:val="center"/>
          </w:tcPr>
          <w:p w14:paraId="18D88308">
            <w:pPr>
              <w:spacing w:line="288" w:lineRule="auto"/>
              <w:ind w:right="-1"/>
              <w:jc w:val="center"/>
              <w:rPr>
                <w:rFonts w:hint="eastAsia" w:ascii="宋体" w:eastAsia="宋体"/>
                <w:color w:val="auto"/>
                <w:szCs w:val="21"/>
                <w:highlight w:val="none"/>
                <w:lang w:eastAsia="zh-CN"/>
              </w:rPr>
            </w:pPr>
            <w:r>
              <w:rPr>
                <w:rFonts w:hint="eastAsia" w:ascii="宋体"/>
                <w:color w:val="auto"/>
                <w:szCs w:val="21"/>
                <w:highlight w:val="none"/>
              </w:rPr>
              <w:t>投标文件</w:t>
            </w:r>
            <w:r>
              <w:rPr>
                <w:rFonts w:hint="eastAsia" w:ascii="宋体"/>
                <w:color w:val="auto"/>
                <w:szCs w:val="21"/>
                <w:highlight w:val="none"/>
                <w:lang w:val="en-US" w:eastAsia="zh-CN"/>
              </w:rPr>
              <w:t>递交</w:t>
            </w:r>
          </w:p>
        </w:tc>
        <w:tc>
          <w:tcPr>
            <w:tcW w:w="6112" w:type="dxa"/>
            <w:noWrap w:val="0"/>
            <w:vAlign w:val="center"/>
          </w:tcPr>
          <w:p w14:paraId="05D0C80D">
            <w:pPr>
              <w:spacing w:line="288" w:lineRule="auto"/>
              <w:ind w:right="-1"/>
              <w:rPr>
                <w:rFonts w:hint="eastAsia" w:ascii="宋体"/>
                <w:color w:val="auto"/>
                <w:szCs w:val="21"/>
                <w:highlight w:val="none"/>
              </w:rPr>
            </w:pPr>
            <w:r>
              <w:rPr>
                <w:rFonts w:hint="eastAsia" w:ascii="宋体"/>
                <w:color w:val="auto"/>
                <w:szCs w:val="21"/>
                <w:highlight w:val="none"/>
              </w:rPr>
              <w:t>电子投标文件：上传至交易平台，作为投标文件正本。（</w:t>
            </w:r>
            <w:r>
              <w:rPr>
                <w:rFonts w:hint="eastAsia" w:ascii="宋体"/>
                <w:b/>
                <w:bCs/>
                <w:color w:val="auto"/>
                <w:szCs w:val="21"/>
                <w:highlight w:val="none"/>
              </w:rPr>
              <w:t>电子文件应签章齐全</w:t>
            </w:r>
            <w:r>
              <w:rPr>
                <w:rFonts w:hint="eastAsia" w:ascii="宋体"/>
                <w:color w:val="auto"/>
                <w:szCs w:val="21"/>
                <w:highlight w:val="none"/>
              </w:rPr>
              <w:t>）；</w:t>
            </w:r>
          </w:p>
        </w:tc>
      </w:tr>
      <w:tr w14:paraId="6A736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3B681478">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946" w:type="dxa"/>
            <w:noWrap w:val="0"/>
            <w:vAlign w:val="center"/>
          </w:tcPr>
          <w:p w14:paraId="7223572D">
            <w:pPr>
              <w:spacing w:line="288" w:lineRule="auto"/>
              <w:ind w:right="-1"/>
              <w:jc w:val="center"/>
              <w:rPr>
                <w:rFonts w:hint="eastAsia" w:ascii="宋体"/>
                <w:color w:val="auto"/>
                <w:szCs w:val="21"/>
                <w:highlight w:val="none"/>
              </w:rPr>
            </w:pPr>
            <w:r>
              <w:rPr>
                <w:rFonts w:hint="eastAsia" w:ascii="宋体"/>
                <w:color w:val="auto"/>
                <w:szCs w:val="21"/>
                <w:highlight w:val="none"/>
              </w:rPr>
              <w:t>电子招标的投标文件上传形式</w:t>
            </w:r>
          </w:p>
        </w:tc>
        <w:tc>
          <w:tcPr>
            <w:tcW w:w="6112" w:type="dxa"/>
            <w:noWrap w:val="0"/>
            <w:vAlign w:val="center"/>
          </w:tcPr>
          <w:p w14:paraId="1EF63BBD">
            <w:pPr>
              <w:spacing w:line="288" w:lineRule="auto"/>
              <w:ind w:right="-1"/>
              <w:rPr>
                <w:rFonts w:hint="eastAsia" w:ascii="宋体"/>
                <w:color w:val="auto"/>
                <w:szCs w:val="21"/>
                <w:highlight w:val="none"/>
              </w:rPr>
            </w:pPr>
            <w:r>
              <w:rPr>
                <w:rFonts w:hint="eastAsia" w:ascii="宋体"/>
                <w:color w:val="auto"/>
                <w:szCs w:val="21"/>
                <w:highlight w:val="none"/>
              </w:rPr>
              <w:t>1.投标文件应为CA加密的电子文件。投标文件递交的截止时间（投标截止时间，下同）为</w:t>
            </w:r>
            <w:r>
              <w:rPr>
                <w:rFonts w:hint="eastAsia" w:ascii="宋体"/>
                <w:color w:val="auto"/>
                <w:szCs w:val="21"/>
                <w:highlight w:val="none"/>
                <w:lang w:eastAsia="zh-CN"/>
              </w:rPr>
              <w:t>2025年  月  日14时00分</w:t>
            </w:r>
            <w:r>
              <w:rPr>
                <w:rFonts w:hint="eastAsia" w:ascii="宋体"/>
                <w:color w:val="auto"/>
                <w:szCs w:val="21"/>
                <w:highlight w:val="none"/>
              </w:rPr>
              <w:t>，投标人应在投标截止时间前通过“台州市阳光采购电子投标文件制作工具”将投标文件上传至“台州市阳光采购平台网上投标系统（https://www.tzygcg.com/wstb/login.html）”。</w:t>
            </w:r>
          </w:p>
          <w:p w14:paraId="0CB69314">
            <w:pPr>
              <w:spacing w:line="288" w:lineRule="auto"/>
              <w:ind w:right="-1"/>
              <w:jc w:val="left"/>
              <w:rPr>
                <w:rFonts w:hint="eastAsia" w:ascii="宋体"/>
                <w:color w:val="auto"/>
                <w:szCs w:val="21"/>
                <w:highlight w:val="none"/>
              </w:rPr>
            </w:pPr>
            <w:r>
              <w:rPr>
                <w:rFonts w:hint="eastAsia" w:ascii="宋体"/>
                <w:color w:val="auto"/>
                <w:szCs w:val="21"/>
                <w:highlight w:val="none"/>
              </w:rPr>
              <w:t>2.在制作电子投标文件前需安装“电子投标文件制作工具”及“数字证书驱动程序”“e签宝电子签章客户端”并完成CA证书绑定。</w:t>
            </w:r>
          </w:p>
        </w:tc>
      </w:tr>
      <w:tr w14:paraId="7AA00A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10FA545B">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946" w:type="dxa"/>
            <w:noWrap w:val="0"/>
            <w:vAlign w:val="center"/>
          </w:tcPr>
          <w:p w14:paraId="7C379F9B">
            <w:pPr>
              <w:spacing w:line="288" w:lineRule="auto"/>
              <w:ind w:right="-1"/>
              <w:jc w:val="center"/>
              <w:rPr>
                <w:rFonts w:hint="eastAsia" w:ascii="宋体"/>
                <w:color w:val="auto"/>
                <w:szCs w:val="21"/>
                <w:highlight w:val="none"/>
              </w:rPr>
            </w:pPr>
            <w:r>
              <w:rPr>
                <w:rFonts w:hint="eastAsia" w:ascii="宋体"/>
                <w:color w:val="auto"/>
                <w:szCs w:val="21"/>
                <w:highlight w:val="none"/>
              </w:rPr>
              <w:t>投标文件递交截止时间</w:t>
            </w:r>
          </w:p>
        </w:tc>
        <w:tc>
          <w:tcPr>
            <w:tcW w:w="6112" w:type="dxa"/>
            <w:noWrap w:val="0"/>
            <w:vAlign w:val="center"/>
          </w:tcPr>
          <w:p w14:paraId="00E868AF">
            <w:pPr>
              <w:spacing w:line="288" w:lineRule="auto"/>
              <w:ind w:right="-1"/>
              <w:rPr>
                <w:rFonts w:hint="eastAsia" w:ascii="宋体"/>
                <w:color w:val="auto"/>
                <w:szCs w:val="21"/>
                <w:highlight w:val="none"/>
              </w:rPr>
            </w:pPr>
            <w:r>
              <w:rPr>
                <w:rFonts w:hint="eastAsia" w:ascii="宋体"/>
                <w:color w:val="auto"/>
                <w:szCs w:val="21"/>
                <w:highlight w:val="none"/>
              </w:rPr>
              <w:t>详见公告</w:t>
            </w:r>
          </w:p>
        </w:tc>
      </w:tr>
      <w:tr w14:paraId="50BC64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146C9B41">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946" w:type="dxa"/>
            <w:noWrap w:val="0"/>
            <w:vAlign w:val="center"/>
          </w:tcPr>
          <w:p w14:paraId="7E8449EB">
            <w:pPr>
              <w:spacing w:line="288" w:lineRule="auto"/>
              <w:ind w:right="-1"/>
              <w:jc w:val="center"/>
              <w:rPr>
                <w:rFonts w:hint="eastAsia" w:ascii="宋体"/>
                <w:color w:val="auto"/>
                <w:szCs w:val="21"/>
                <w:highlight w:val="none"/>
              </w:rPr>
            </w:pPr>
            <w:r>
              <w:rPr>
                <w:rFonts w:hint="eastAsia" w:ascii="宋体"/>
                <w:color w:val="auto"/>
                <w:szCs w:val="21"/>
                <w:highlight w:val="none"/>
              </w:rPr>
              <w:t>开标时间和地点</w:t>
            </w:r>
          </w:p>
        </w:tc>
        <w:tc>
          <w:tcPr>
            <w:tcW w:w="6112" w:type="dxa"/>
            <w:noWrap w:val="0"/>
            <w:vAlign w:val="center"/>
          </w:tcPr>
          <w:p w14:paraId="473CF01C">
            <w:pPr>
              <w:wordWrap w:val="0"/>
              <w:spacing w:line="288" w:lineRule="auto"/>
              <w:rPr>
                <w:rFonts w:hint="eastAsia" w:ascii="宋体" w:cs="宋体"/>
                <w:color w:val="auto"/>
                <w:highlight w:val="none"/>
              </w:rPr>
            </w:pPr>
            <w:r>
              <w:rPr>
                <w:rFonts w:hint="eastAsia" w:ascii="宋体" w:cs="宋体"/>
                <w:color w:val="auto"/>
                <w:highlight w:val="none"/>
              </w:rPr>
              <w:t>开标时间：</w:t>
            </w:r>
            <w:r>
              <w:rPr>
                <w:rFonts w:hint="eastAsia" w:ascii="宋体"/>
                <w:color w:val="auto"/>
                <w:szCs w:val="21"/>
                <w:highlight w:val="none"/>
              </w:rPr>
              <w:t>详见公告</w:t>
            </w:r>
          </w:p>
          <w:p w14:paraId="677D6B93">
            <w:pPr>
              <w:wordWrap w:val="0"/>
              <w:spacing w:line="288" w:lineRule="auto"/>
              <w:rPr>
                <w:rFonts w:hint="eastAsia" w:ascii="宋体"/>
                <w:color w:val="auto"/>
                <w:szCs w:val="21"/>
                <w:highlight w:val="none"/>
              </w:rPr>
            </w:pPr>
            <w:r>
              <w:rPr>
                <w:rFonts w:hint="eastAsia" w:ascii="宋体" w:cs="宋体"/>
                <w:color w:val="auto"/>
                <w:highlight w:val="none"/>
              </w:rPr>
              <w:t>开标地点：</w:t>
            </w:r>
            <w:r>
              <w:rPr>
                <w:rFonts w:hint="eastAsia" w:ascii="宋体"/>
                <w:color w:val="auto"/>
                <w:szCs w:val="21"/>
                <w:highlight w:val="none"/>
              </w:rPr>
              <w:t>本次招标采用远程不见面开标。不见面开标大厅（https://www.tzygcg.com/live/）</w:t>
            </w:r>
          </w:p>
        </w:tc>
      </w:tr>
      <w:tr w14:paraId="74ED9B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679CE812">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946" w:type="dxa"/>
            <w:noWrap w:val="0"/>
            <w:vAlign w:val="center"/>
          </w:tcPr>
          <w:p w14:paraId="58D6E273">
            <w:pPr>
              <w:spacing w:line="288" w:lineRule="auto"/>
              <w:ind w:right="-1"/>
              <w:jc w:val="center"/>
              <w:rPr>
                <w:rFonts w:hint="eastAsia" w:ascii="宋体"/>
                <w:color w:val="auto"/>
                <w:szCs w:val="21"/>
                <w:highlight w:val="none"/>
              </w:rPr>
            </w:pPr>
            <w:r>
              <w:rPr>
                <w:rFonts w:hint="eastAsia" w:ascii="宋体" w:cs="宋体"/>
                <w:color w:val="auto"/>
                <w:highlight w:val="none"/>
              </w:rPr>
              <w:t>开标程序</w:t>
            </w:r>
          </w:p>
        </w:tc>
        <w:tc>
          <w:tcPr>
            <w:tcW w:w="6112" w:type="dxa"/>
            <w:noWrap w:val="0"/>
            <w:vAlign w:val="center"/>
          </w:tcPr>
          <w:p w14:paraId="75FB737A">
            <w:pPr>
              <w:wordWrap w:val="0"/>
              <w:spacing w:line="288" w:lineRule="auto"/>
              <w:rPr>
                <w:rFonts w:hint="eastAsia" w:ascii="宋体" w:cs="宋体"/>
                <w:color w:val="auto"/>
                <w:highlight w:val="none"/>
              </w:rPr>
            </w:pPr>
            <w:r>
              <w:rPr>
                <w:rFonts w:hint="eastAsia" w:ascii="宋体" w:cs="宋体"/>
                <w:color w:val="auto"/>
                <w:highlight w:val="none"/>
              </w:rPr>
              <w:t>招标人在“招标公告”规定的时间和地点公开开标。</w:t>
            </w:r>
          </w:p>
          <w:p w14:paraId="06D5D535">
            <w:pPr>
              <w:wordWrap w:val="0"/>
              <w:spacing w:line="288" w:lineRule="auto"/>
              <w:rPr>
                <w:rFonts w:hint="eastAsia" w:ascii="宋体" w:cs="宋体"/>
                <w:color w:val="auto"/>
                <w:highlight w:val="none"/>
              </w:rPr>
            </w:pPr>
            <w:r>
              <w:rPr>
                <w:rFonts w:hint="eastAsia" w:ascii="宋体" w:cs="宋体"/>
                <w:color w:val="auto"/>
                <w:highlight w:val="none"/>
              </w:rPr>
              <w:t>具体程序如下：</w:t>
            </w:r>
          </w:p>
          <w:p w14:paraId="38E451CD">
            <w:pPr>
              <w:wordWrap w:val="0"/>
              <w:spacing w:line="288" w:lineRule="auto"/>
              <w:rPr>
                <w:rFonts w:hint="eastAsia" w:ascii="宋体" w:cs="宋体"/>
                <w:color w:val="auto"/>
                <w:highlight w:val="none"/>
              </w:rPr>
            </w:pPr>
            <w:r>
              <w:rPr>
                <w:rFonts w:hint="eastAsia" w:ascii="宋体" w:cs="宋体"/>
                <w:color w:val="auto"/>
                <w:highlight w:val="none"/>
              </w:rPr>
              <w:t>一、开标程序如下：</w:t>
            </w:r>
          </w:p>
          <w:p w14:paraId="7DDF3773">
            <w:pPr>
              <w:wordWrap w:val="0"/>
              <w:spacing w:line="288" w:lineRule="auto"/>
              <w:rPr>
                <w:rFonts w:hint="eastAsia" w:ascii="宋体" w:cs="宋体"/>
                <w:color w:val="auto"/>
                <w:highlight w:val="none"/>
              </w:rPr>
            </w:pPr>
            <w:r>
              <w:rPr>
                <w:rFonts w:hint="eastAsia" w:ascii="宋体" w:cs="宋体"/>
                <w:color w:val="auto"/>
                <w:highlight w:val="none"/>
              </w:rPr>
              <w:t>1.项目所有投标人进入不见面开标大厅（</w:t>
            </w:r>
            <w:r>
              <w:rPr>
                <w:rFonts w:hint="eastAsia" w:ascii="宋体"/>
                <w:color w:val="auto"/>
                <w:szCs w:val="21"/>
                <w:highlight w:val="none"/>
              </w:rPr>
              <w:t>https://www.tzygcg.com/live/</w:t>
            </w:r>
            <w:r>
              <w:rPr>
                <w:rFonts w:hint="eastAsia" w:ascii="宋体" w:cs="宋体"/>
                <w:color w:val="auto"/>
                <w:highlight w:val="none"/>
              </w:rPr>
              <w:t>）。</w:t>
            </w:r>
          </w:p>
          <w:p w14:paraId="2176C621">
            <w:pPr>
              <w:wordWrap w:val="0"/>
              <w:spacing w:line="288" w:lineRule="auto"/>
              <w:rPr>
                <w:rFonts w:hint="eastAsia" w:ascii="宋体" w:cs="宋体"/>
                <w:color w:val="auto"/>
                <w:highlight w:val="none"/>
              </w:rPr>
            </w:pPr>
            <w:r>
              <w:rPr>
                <w:rFonts w:hint="eastAsia" w:ascii="宋体" w:cs="宋体"/>
                <w:color w:val="auto"/>
                <w:highlight w:val="none"/>
              </w:rPr>
              <w:t>2.由招标代理开启视频直播，对开标现场情况进行全程直播。项目开标解密按以下步骤进行。</w:t>
            </w:r>
          </w:p>
          <w:p w14:paraId="6D039E94">
            <w:pPr>
              <w:wordWrap w:val="0"/>
              <w:spacing w:line="288" w:lineRule="auto"/>
              <w:rPr>
                <w:rFonts w:hint="eastAsia" w:ascii="宋体" w:cs="宋体"/>
                <w:color w:val="auto"/>
                <w:highlight w:val="none"/>
              </w:rPr>
            </w:pPr>
            <w:r>
              <w:rPr>
                <w:rFonts w:hint="eastAsia"/>
                <w:color w:val="auto"/>
                <w:highlight w:val="none"/>
              </w:rPr>
              <w:t>（</w:t>
            </w:r>
            <w:r>
              <w:rPr>
                <w:rFonts w:hint="eastAsia" w:ascii="宋体" w:cs="宋体"/>
                <w:color w:val="auto"/>
                <w:highlight w:val="none"/>
              </w:rPr>
              <w:t>1）宣布开始</w:t>
            </w:r>
          </w:p>
          <w:p w14:paraId="45458C2C">
            <w:pPr>
              <w:wordWrap w:val="0"/>
              <w:spacing w:line="288" w:lineRule="auto"/>
              <w:rPr>
                <w:rFonts w:hint="eastAsia" w:ascii="宋体" w:cs="宋体"/>
                <w:color w:val="auto"/>
                <w:highlight w:val="none"/>
              </w:rPr>
            </w:pPr>
            <w:r>
              <w:rPr>
                <w:rFonts w:hint="eastAsia" w:ascii="宋体" w:cs="宋体"/>
                <w:color w:val="auto"/>
                <w:highlight w:val="none"/>
              </w:rPr>
              <w:t>至投标截止时间，招标代理宣布开始开标，并宣读开标项目相关信息。</w:t>
            </w:r>
          </w:p>
          <w:p w14:paraId="3FDD9399">
            <w:pPr>
              <w:wordWrap w:val="0"/>
              <w:spacing w:line="288" w:lineRule="auto"/>
              <w:rPr>
                <w:rFonts w:hint="eastAsia" w:ascii="宋体" w:cs="宋体"/>
                <w:color w:val="auto"/>
                <w:highlight w:val="none"/>
              </w:rPr>
            </w:pPr>
            <w:r>
              <w:rPr>
                <w:rFonts w:hint="eastAsia" w:ascii="宋体" w:cs="宋体"/>
                <w:color w:val="auto"/>
                <w:highlight w:val="none"/>
              </w:rPr>
              <w:t>（2）公布投标人数量</w:t>
            </w:r>
          </w:p>
          <w:p w14:paraId="16168065">
            <w:pPr>
              <w:wordWrap w:val="0"/>
              <w:spacing w:line="288" w:lineRule="auto"/>
              <w:rPr>
                <w:rFonts w:hint="eastAsia" w:ascii="宋体" w:cs="宋体"/>
                <w:color w:val="auto"/>
                <w:highlight w:val="none"/>
              </w:rPr>
            </w:pPr>
            <w:r>
              <w:rPr>
                <w:rFonts w:hint="eastAsia" w:ascii="宋体" w:cs="宋体"/>
                <w:color w:val="auto"/>
                <w:highlight w:val="none"/>
              </w:rPr>
              <w:t>招标代理公布参与项目投标人数量。若不见面开标系统显示已递交投标文件的单位数量少于3家，招标代理公布已递交投标文件的单位名称，当场宣布招标失败，结束开标。</w:t>
            </w:r>
          </w:p>
          <w:p w14:paraId="3120F44D">
            <w:pPr>
              <w:wordWrap w:val="0"/>
              <w:spacing w:line="288" w:lineRule="auto"/>
              <w:rPr>
                <w:rFonts w:ascii="宋体" w:cs="宋体"/>
                <w:color w:val="auto"/>
                <w:highlight w:val="none"/>
              </w:rPr>
            </w:pPr>
            <w:r>
              <w:rPr>
                <w:rFonts w:hint="eastAsia" w:ascii="宋体" w:cs="宋体"/>
                <w:color w:val="auto"/>
                <w:highlight w:val="none"/>
              </w:rPr>
              <w:t>（3）投标人解密</w:t>
            </w:r>
          </w:p>
          <w:p w14:paraId="3962F219">
            <w:pPr>
              <w:wordWrap w:val="0"/>
              <w:spacing w:line="288" w:lineRule="auto"/>
              <w:rPr>
                <w:rFonts w:ascii="宋体" w:cs="宋体"/>
                <w:color w:val="auto"/>
                <w:highlight w:val="none"/>
              </w:rPr>
            </w:pPr>
            <w:r>
              <w:rPr>
                <w:rFonts w:hint="eastAsia" w:ascii="宋体" w:cs="宋体"/>
                <w:color w:val="auto"/>
                <w:highlight w:val="none"/>
              </w:rPr>
              <w:t>投标人数量大于等于3家，进入投标人解密环节。</w:t>
            </w:r>
          </w:p>
          <w:p w14:paraId="2FB157DC">
            <w:pPr>
              <w:wordWrap w:val="0"/>
              <w:spacing w:line="288" w:lineRule="auto"/>
              <w:rPr>
                <w:rFonts w:ascii="宋体" w:cs="宋体"/>
                <w:color w:val="auto"/>
                <w:highlight w:val="none"/>
              </w:rPr>
            </w:pPr>
            <w:r>
              <w:rPr>
                <w:rFonts w:hint="eastAsia" w:ascii="宋体" w:cs="宋体"/>
                <w:color w:val="auto"/>
                <w:highlight w:val="none"/>
              </w:rPr>
              <w:t>投标人解密时间：</w:t>
            </w:r>
            <w:r>
              <w:rPr>
                <w:rFonts w:hint="eastAsia" w:ascii="宋体" w:cs="宋体"/>
                <w:color w:val="auto"/>
                <w:highlight w:val="none"/>
                <w:lang w:val="en-US" w:eastAsia="zh-CN"/>
              </w:rPr>
              <w:t>45</w:t>
            </w:r>
            <w:r>
              <w:rPr>
                <w:rFonts w:hint="eastAsia" w:ascii="宋体" w:cs="宋体"/>
                <w:color w:val="auto"/>
                <w:highlight w:val="none"/>
              </w:rPr>
              <w:t>分钟。</w:t>
            </w:r>
          </w:p>
          <w:p w14:paraId="046A7F60">
            <w:pPr>
              <w:wordWrap w:val="0"/>
              <w:spacing w:line="288" w:lineRule="auto"/>
              <w:rPr>
                <w:rFonts w:ascii="宋体" w:cs="宋体"/>
                <w:color w:val="auto"/>
                <w:highlight w:val="none"/>
              </w:rPr>
            </w:pPr>
            <w:r>
              <w:rPr>
                <w:rFonts w:hint="eastAsia" w:ascii="宋体" w:cs="宋体"/>
                <w:color w:val="auto"/>
                <w:highlight w:val="none"/>
              </w:rPr>
              <w:t>投标人解密方式：投标人使用加密上传投标文件的CA数字证书在线解密。</w:t>
            </w:r>
          </w:p>
          <w:p w14:paraId="7F8BDBE2">
            <w:pPr>
              <w:wordWrap w:val="0"/>
              <w:spacing w:line="288" w:lineRule="auto"/>
              <w:rPr>
                <w:rFonts w:ascii="宋体" w:cs="宋体"/>
                <w:color w:val="auto"/>
                <w:highlight w:val="none"/>
              </w:rPr>
            </w:pPr>
            <w:r>
              <w:rPr>
                <w:rFonts w:hint="eastAsia" w:ascii="宋体" w:cs="宋体"/>
                <w:color w:val="auto"/>
                <w:highlight w:val="none"/>
              </w:rPr>
              <w:t>若成功解密的投标人少于3家，招标人宣布本次招标失败。</w:t>
            </w:r>
          </w:p>
          <w:p w14:paraId="2C17EF76">
            <w:pPr>
              <w:wordWrap w:val="0"/>
              <w:spacing w:line="288" w:lineRule="auto"/>
              <w:rPr>
                <w:rFonts w:hint="eastAsia" w:ascii="宋体" w:cs="宋体"/>
                <w:color w:val="auto"/>
                <w:highlight w:val="none"/>
              </w:rPr>
            </w:pPr>
            <w:r>
              <w:rPr>
                <w:rFonts w:hint="eastAsia" w:ascii="宋体" w:cs="宋体"/>
                <w:color w:val="auto"/>
                <w:highlight w:val="none"/>
              </w:rPr>
              <w:t>（4）公布开标结果</w:t>
            </w:r>
          </w:p>
          <w:p w14:paraId="7C84B5F2">
            <w:pPr>
              <w:wordWrap w:val="0"/>
              <w:spacing w:line="288" w:lineRule="auto"/>
              <w:rPr>
                <w:rFonts w:hint="eastAsia" w:ascii="宋体" w:cs="宋体"/>
                <w:color w:val="auto"/>
                <w:highlight w:val="none"/>
              </w:rPr>
            </w:pPr>
            <w:r>
              <w:rPr>
                <w:rFonts w:hint="eastAsia" w:ascii="宋体" w:cs="宋体"/>
                <w:color w:val="auto"/>
                <w:highlight w:val="none"/>
              </w:rPr>
              <w:t>招标解密完成后，招标人公布解密成功的投标人名单等相关信息。</w:t>
            </w:r>
          </w:p>
          <w:p w14:paraId="0080EC46">
            <w:pPr>
              <w:wordWrap w:val="0"/>
              <w:spacing w:line="288" w:lineRule="auto"/>
              <w:rPr>
                <w:rFonts w:hint="eastAsia" w:ascii="宋体" w:cs="宋体"/>
                <w:color w:val="auto"/>
                <w:highlight w:val="none"/>
              </w:rPr>
            </w:pPr>
            <w:r>
              <w:rPr>
                <w:rFonts w:hint="eastAsia" w:ascii="宋体" w:cs="宋体"/>
                <w:color w:val="auto"/>
                <w:highlight w:val="none"/>
              </w:rPr>
              <w:t>3.评标委员会根据招标文件规定的评标程序进行评审，投标单位可自行在不见面开标大厅中观看开标过程。</w:t>
            </w:r>
          </w:p>
          <w:p w14:paraId="6EBD0DB7">
            <w:pPr>
              <w:wordWrap w:val="0"/>
              <w:spacing w:line="288" w:lineRule="auto"/>
              <w:rPr>
                <w:rFonts w:ascii="宋体" w:cs="宋体"/>
                <w:color w:val="auto"/>
                <w:highlight w:val="none"/>
              </w:rPr>
            </w:pPr>
            <w:r>
              <w:rPr>
                <w:rFonts w:hint="eastAsia" w:ascii="宋体" w:cs="宋体"/>
                <w:color w:val="auto"/>
                <w:highlight w:val="none"/>
              </w:rPr>
              <w:t>4.各投标单位委托代理人或法定代表人须在开评标期间保持电话及网络畅通。</w:t>
            </w:r>
          </w:p>
          <w:p w14:paraId="084DDCA4">
            <w:pPr>
              <w:wordWrap w:val="0"/>
              <w:spacing w:line="288" w:lineRule="auto"/>
              <w:rPr>
                <w:rFonts w:hint="eastAsia" w:ascii="宋体" w:cs="宋体"/>
                <w:color w:val="auto"/>
                <w:highlight w:val="none"/>
              </w:rPr>
            </w:pPr>
            <w:r>
              <w:rPr>
                <w:rFonts w:hint="eastAsia" w:ascii="宋体" w:cs="宋体"/>
                <w:color w:val="auto"/>
                <w:highlight w:val="none"/>
              </w:rPr>
              <w:t>5.系数抽取（如有）：系数抽取由招标代理负责组织，招标人代表负责现场抽取，监督单位负责对抽取过程进行监督，并在不见面开标大厅中进行视频直播；</w:t>
            </w:r>
          </w:p>
          <w:p w14:paraId="1BCA97E2">
            <w:pPr>
              <w:wordWrap w:val="0"/>
              <w:spacing w:line="288" w:lineRule="auto"/>
              <w:rPr>
                <w:rFonts w:hint="eastAsia" w:ascii="宋体" w:cs="宋体"/>
                <w:color w:val="auto"/>
                <w:highlight w:val="none"/>
              </w:rPr>
            </w:pPr>
            <w:r>
              <w:rPr>
                <w:rFonts w:hint="eastAsia" w:ascii="宋体" w:cs="宋体"/>
                <w:color w:val="auto"/>
                <w:highlight w:val="none"/>
              </w:rPr>
              <w:t>6.在使用不见面开标大厅过程中，如遇到异常情况，请及时与宁波杰瑞软件有限公司联系。</w:t>
            </w:r>
          </w:p>
          <w:p w14:paraId="13790BFA">
            <w:pPr>
              <w:wordWrap w:val="0"/>
              <w:spacing w:line="288" w:lineRule="auto"/>
              <w:rPr>
                <w:rFonts w:hint="eastAsia" w:ascii="宋体" w:cs="宋体"/>
                <w:color w:val="auto"/>
                <w:highlight w:val="none"/>
              </w:rPr>
            </w:pPr>
            <w:r>
              <w:rPr>
                <w:rFonts w:hint="eastAsia" w:ascii="宋体" w:cs="宋体"/>
                <w:color w:val="auto"/>
                <w:highlight w:val="none"/>
              </w:rPr>
              <w:t>（</w:t>
            </w:r>
            <w:r>
              <w:rPr>
                <w:rFonts w:hint="eastAsia" w:ascii="宋体" w:cs="宋体"/>
                <w:b/>
                <w:bCs/>
                <w:color w:val="auto"/>
                <w:highlight w:val="none"/>
              </w:rPr>
              <w:t>技术支持电话：0574-26877268.18067100830</w:t>
            </w:r>
            <w:r>
              <w:rPr>
                <w:rFonts w:hint="eastAsia" w:ascii="宋体" w:cs="宋体"/>
                <w:color w:val="auto"/>
                <w:highlight w:val="none"/>
              </w:rPr>
              <w:t>）</w:t>
            </w:r>
          </w:p>
          <w:p w14:paraId="319BB9F4">
            <w:pPr>
              <w:wordWrap w:val="0"/>
              <w:spacing w:line="288" w:lineRule="auto"/>
              <w:rPr>
                <w:rFonts w:hint="eastAsia" w:ascii="宋体" w:cs="宋体"/>
                <w:color w:val="auto"/>
                <w:highlight w:val="none"/>
              </w:rPr>
            </w:pPr>
            <w:r>
              <w:rPr>
                <w:rFonts w:hint="eastAsia" w:ascii="宋体" w:cs="宋体"/>
                <w:color w:val="auto"/>
                <w:highlight w:val="none"/>
              </w:rPr>
              <w:t>二、开标特别说明</w:t>
            </w:r>
          </w:p>
          <w:p w14:paraId="1348A153">
            <w:pPr>
              <w:wordWrap w:val="0"/>
              <w:spacing w:line="288" w:lineRule="auto"/>
              <w:rPr>
                <w:rFonts w:ascii="宋体" w:cs="宋体"/>
                <w:color w:val="auto"/>
                <w:highlight w:val="none"/>
              </w:rPr>
            </w:pPr>
            <w:r>
              <w:rPr>
                <w:rFonts w:hint="eastAsia" w:ascii="宋体" w:cs="宋体"/>
                <w:color w:val="auto"/>
                <w:highlight w:val="none"/>
              </w:rPr>
              <w:t>1.各投标单位授权委托人必须在开评标期间保持电话及网络畅通。</w:t>
            </w:r>
          </w:p>
          <w:p w14:paraId="755BC77B">
            <w:pPr>
              <w:wordWrap w:val="0"/>
              <w:spacing w:line="288" w:lineRule="auto"/>
              <w:rPr>
                <w:rFonts w:hint="eastAsia" w:ascii="宋体" w:cs="宋体"/>
                <w:color w:val="auto"/>
                <w:highlight w:val="none"/>
              </w:rPr>
            </w:pPr>
            <w:r>
              <w:rPr>
                <w:rFonts w:hint="eastAsia" w:ascii="宋体" w:cs="宋体"/>
                <w:color w:val="auto"/>
                <w:highlight w:val="none"/>
              </w:rPr>
              <w:t>2.因投标人原因造成其电子投标文件未解密的，视为撤销其投标文件；因投标人之外的原因造成电子投标文件未解密的，视为撤回其投标文件；</w:t>
            </w:r>
          </w:p>
          <w:p w14:paraId="1479A82E">
            <w:pPr>
              <w:wordWrap w:val="0"/>
              <w:spacing w:line="288" w:lineRule="auto"/>
              <w:rPr>
                <w:rFonts w:ascii="宋体" w:cs="宋体"/>
                <w:color w:val="auto"/>
                <w:highlight w:val="none"/>
              </w:rPr>
            </w:pPr>
            <w:r>
              <w:rPr>
                <w:rFonts w:hint="eastAsia" w:ascii="宋体" w:cs="宋体"/>
                <w:color w:val="auto"/>
                <w:highlight w:val="none"/>
              </w:rPr>
              <w:t>3.</w:t>
            </w:r>
            <w:r>
              <w:rPr>
                <w:rFonts w:hint="eastAsia" w:ascii="宋体" w:cs="宋体"/>
                <w:b/>
                <w:bCs/>
                <w:color w:val="auto"/>
                <w:highlight w:val="none"/>
              </w:rPr>
              <w:t>正常解密的投标文件在3家（含）以上时，部分投标人的电子投标文件无法解密的，其他投标文件的开标可以继续进行；</w:t>
            </w:r>
          </w:p>
          <w:p w14:paraId="38A3F2A4">
            <w:pPr>
              <w:wordWrap w:val="0"/>
              <w:spacing w:line="288" w:lineRule="auto"/>
              <w:rPr>
                <w:rFonts w:hint="eastAsia" w:ascii="宋体" w:cs="宋体"/>
                <w:color w:val="auto"/>
                <w:highlight w:val="none"/>
              </w:rPr>
            </w:pPr>
            <w:r>
              <w:rPr>
                <w:rFonts w:hint="eastAsia" w:ascii="宋体" w:cs="宋体"/>
                <w:color w:val="auto"/>
                <w:highlight w:val="none"/>
              </w:rPr>
              <w:t>4.对开评标过程有异议的，异议材料须转化为PDF（签章）后通过网上投标系统或通过不见面开标大厅向招标代理提出。</w:t>
            </w:r>
          </w:p>
        </w:tc>
      </w:tr>
      <w:tr w14:paraId="469E38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85" w:type="dxa"/>
            <w:noWrap w:val="0"/>
            <w:vAlign w:val="center"/>
          </w:tcPr>
          <w:p w14:paraId="0F6CB0E4">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946" w:type="dxa"/>
            <w:noWrap w:val="0"/>
            <w:vAlign w:val="center"/>
          </w:tcPr>
          <w:p w14:paraId="27918F13">
            <w:pPr>
              <w:spacing w:line="288" w:lineRule="auto"/>
              <w:ind w:right="-1"/>
              <w:jc w:val="center"/>
              <w:rPr>
                <w:rFonts w:hint="eastAsia" w:ascii="宋体"/>
                <w:color w:val="auto"/>
                <w:szCs w:val="21"/>
                <w:highlight w:val="none"/>
              </w:rPr>
            </w:pPr>
            <w:r>
              <w:rPr>
                <w:rFonts w:hint="eastAsia" w:ascii="宋体"/>
                <w:color w:val="auto"/>
                <w:szCs w:val="21"/>
                <w:highlight w:val="none"/>
              </w:rPr>
              <w:t>需要补充的其他内容</w:t>
            </w:r>
          </w:p>
        </w:tc>
        <w:tc>
          <w:tcPr>
            <w:tcW w:w="6112" w:type="dxa"/>
            <w:noWrap w:val="0"/>
            <w:vAlign w:val="center"/>
          </w:tcPr>
          <w:p w14:paraId="59104C6F">
            <w:pPr>
              <w:spacing w:line="288" w:lineRule="auto"/>
              <w:ind w:right="-1"/>
              <w:rPr>
                <w:rFonts w:hint="eastAsia" w:ascii="宋体"/>
                <w:color w:val="auto"/>
                <w:szCs w:val="21"/>
                <w:highlight w:val="none"/>
              </w:rPr>
            </w:pPr>
            <w:r>
              <w:rPr>
                <w:rFonts w:hint="eastAsia" w:ascii="宋体"/>
                <w:color w:val="auto"/>
                <w:szCs w:val="21"/>
                <w:highlight w:val="none"/>
              </w:rPr>
              <w:t>（1）如发现招标文件及其评标办法中存在含糊不清、相互矛盾、多种含义以及歧视性不公正条款或违法违规等内容时，请在投标截止日十天前同时向招标人、招标代理机构书面反映，逾期不得再对招标文件的条款提出质疑。</w:t>
            </w:r>
          </w:p>
          <w:p w14:paraId="6F25BA2D">
            <w:pPr>
              <w:spacing w:line="288" w:lineRule="auto"/>
              <w:ind w:right="-1"/>
              <w:rPr>
                <w:rFonts w:hint="eastAsia"/>
                <w:color w:val="auto"/>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）投标人须知正文内容如与本前附表不一致的，以本前附表为准。</w:t>
            </w:r>
          </w:p>
        </w:tc>
      </w:tr>
    </w:tbl>
    <w:p w14:paraId="51BDF96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cs="宋体"/>
          <w:color w:val="auto"/>
          <w:szCs w:val="21"/>
          <w:highlight w:val="none"/>
        </w:rPr>
      </w:pPr>
      <w:r>
        <w:rPr>
          <w:rFonts w:hint="eastAsia" w:ascii="宋体" w:cs="宋体"/>
          <w:color w:val="auto"/>
          <w:szCs w:val="21"/>
          <w:highlight w:val="none"/>
        </w:rPr>
        <w:t>本投标人须知前附表是对投标人须知正文的具体补充和修改，如有矛盾，以本前附表为准。</w:t>
      </w:r>
    </w:p>
    <w:p w14:paraId="5A04D998">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7C851564">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7832555">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ED2131D">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CFB78B4">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235D455D">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4E22A41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5419CC35">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1FFA7D6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68CE418D">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3A51685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2E1F823A">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557032E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75B99BB2">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706D12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7BD1E58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6352D4E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284BFF">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3BC36F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656BD52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7DFD6EDE">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00D7A0A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5916DBFC">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0AB2068D">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3229110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7427D6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rPr>
        <w:t>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r>
        <w:rPr>
          <w:rFonts w:hint="eastAsia" w:ascii="宋体" w:hAnsi="宋体" w:eastAsia="宋体" w:cs="宋体"/>
          <w:color w:val="auto"/>
          <w:szCs w:val="21"/>
          <w:highlight w:val="none"/>
        </w:rPr>
        <w:t>当招标文件、招标文件的澄清、修改、补充等在同一内容的表述上不一致时，以最后发出的文件为准</w:t>
      </w:r>
      <w:r>
        <w:rPr>
          <w:rFonts w:hint="eastAsia" w:ascii="宋体" w:hAnsi="宋体" w:eastAsia="宋体" w:cs="宋体"/>
          <w:color w:val="auto"/>
          <w:szCs w:val="21"/>
          <w:highlight w:val="none"/>
          <w:lang w:eastAsia="zh-CN"/>
        </w:rPr>
        <w:t>。</w:t>
      </w:r>
    </w:p>
    <w:p w14:paraId="20E718A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如发现招标文件及其评标办法中存在含糊不清、相互矛盾、多种含义以及歧视性不公正条款或违法违规等内容时，请在投标截止日十天前同时向招标人、招标代理机构书面反映，逾期不得再对招标文件的条款提出质疑。</w:t>
      </w:r>
    </w:p>
    <w:p w14:paraId="138A8E0B">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截止时间3日前，</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人无论出于自己的考虑，还是出于对投标供应商提问的澄清，均可对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用补充文件的方式进行修改。</w:t>
      </w:r>
    </w:p>
    <w:p w14:paraId="1A652BF6">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的修改，将以书面形式通知已购买</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的每一投标供应商。补充文件将作为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的组成部分，对所有投标供应商有约束力。</w:t>
      </w:r>
    </w:p>
    <w:p w14:paraId="5677C0E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为使投标供应商有足够的时间按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的修改要求考虑修正响应文件，采购人可酌情推迟</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的截止日期和</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日期，并将此变更通知上述每一投标供应商。</w:t>
      </w:r>
    </w:p>
    <w:p w14:paraId="24C2AD16">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（包括澄清、修改、补充文件、答复等）的解释权属采购人及采购代理机构。</w:t>
      </w:r>
    </w:p>
    <w:p w14:paraId="6355A90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7D01B26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62D77F4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资格证明文件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商务技术文件</w:t>
      </w:r>
      <w:r>
        <w:rPr>
          <w:rFonts w:hint="eastAsia" w:ascii="宋体" w:hAnsi="宋体" w:eastAsia="宋体" w:cs="宋体"/>
          <w:b w:val="0"/>
          <w:bCs w:val="0"/>
          <w:color w:val="auto"/>
          <w:sz w:val="21"/>
          <w:szCs w:val="21"/>
          <w:highlight w:val="none"/>
        </w:rPr>
        <w:t>和</w:t>
      </w:r>
      <w:r>
        <w:rPr>
          <w:rFonts w:hint="eastAsia" w:ascii="宋体" w:hAnsi="宋体" w:cs="宋体"/>
          <w:b w:val="0"/>
          <w:bCs w:val="0"/>
          <w:color w:val="auto"/>
          <w:sz w:val="21"/>
          <w:szCs w:val="21"/>
          <w:highlight w:val="none"/>
          <w:lang w:eastAsia="zh-CN"/>
        </w:rPr>
        <w:t>报价文件</w:t>
      </w:r>
      <w:r>
        <w:rPr>
          <w:rFonts w:hint="eastAsia" w:ascii="宋体" w:hAnsi="宋体" w:eastAsia="宋体" w:cs="宋体"/>
          <w:b w:val="0"/>
          <w:bCs w:val="0"/>
          <w:color w:val="auto"/>
          <w:sz w:val="21"/>
          <w:szCs w:val="21"/>
          <w:highlight w:val="none"/>
          <w:lang w:eastAsia="zh-CN"/>
        </w:rPr>
        <w:t>。</w:t>
      </w:r>
    </w:p>
    <w:p w14:paraId="54008CA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eastAsia="zh-CN"/>
        </w:rPr>
        <w:t>资格证明文件</w:t>
      </w:r>
      <w:r>
        <w:rPr>
          <w:rFonts w:hint="eastAsia" w:ascii="宋体" w:hAnsi="宋体" w:eastAsia="宋体" w:cs="宋体"/>
          <w:b/>
          <w:bCs/>
          <w:color w:val="auto"/>
          <w:sz w:val="21"/>
          <w:szCs w:val="21"/>
          <w:highlight w:val="none"/>
        </w:rPr>
        <w:t>的组成：</w:t>
      </w:r>
    </w:p>
    <w:p w14:paraId="49BBE49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2EAA8DE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233EEBDF">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10F52C8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）有效的①建设行政主管部门核发的输变电工程专业承包叁级及以上或电力工程施工总承包叁级及以上资质证书；②电监会/能源局颁发的电力设施许可证承装（修、试）伍级及以上资质证书；③安全生产许可证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提供有效期内的证书扫描件并加盖投标人公章</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6FDDAE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rPr>
        <w:t>项目负责人建造师证书及三类人员B类证书</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提供有效期内的证书扫描件并加盖投标人公章</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198DF15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rPr>
        <w:t>投标人认为需要说明的其他材料；</w:t>
      </w:r>
    </w:p>
    <w:p w14:paraId="3C459914">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eastAsia="zh-CN"/>
        </w:rPr>
        <w:t>商务技术文件</w:t>
      </w:r>
      <w:r>
        <w:rPr>
          <w:rFonts w:hint="eastAsia" w:ascii="宋体" w:hAnsi="宋体" w:eastAsia="宋体" w:cs="宋体"/>
          <w:b/>
          <w:bCs/>
          <w:color w:val="auto"/>
          <w:sz w:val="21"/>
          <w:szCs w:val="21"/>
          <w:highlight w:val="none"/>
        </w:rPr>
        <w:t>的组成：</w:t>
      </w:r>
    </w:p>
    <w:p w14:paraId="27E9E79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0D10741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2C819A3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投标人对项目现状及需求的理解情况，对项目现状和需求描述的全面性、准确性、针对性，对项目重点、难点的把握，解决方案及合理化建议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384348BC">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B.项目组织实施方案（包括项目工期、确保项目供货的措施或方案、项目实施进度安排、项目实施人员及项目负责人的资质、类似经验及社保证明等）。</w:t>
      </w:r>
    </w:p>
    <w:p w14:paraId="4DC545E3">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C.安装、调试及验收方案（包括项目验收标准和验收方法等）和措施；</w:t>
      </w:r>
    </w:p>
    <w:p w14:paraId="34CE0193">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（3）投标产品描述及相关资料：</w:t>
      </w:r>
    </w:p>
    <w:p w14:paraId="108DB366">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A.设备配置清单（均不含报价）。</w:t>
      </w:r>
    </w:p>
    <w:p w14:paraId="0BD999A0">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B.产品品牌及型号、技术参数指标、性能特点、图片资料以及所遵循的技术规范、产品质保期、出厂标准、产品质量相关检测报告等内容。</w:t>
      </w:r>
    </w:p>
    <w:p w14:paraId="713EFB5A">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C.商务及技术响应表。</w:t>
      </w:r>
    </w:p>
    <w:p w14:paraId="7854886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（4）投标人通过的质量管理和质量保证体系、环保体系、自主创新相关证书、软件著作权证等与本项目相关的认证证书或文件；</w:t>
      </w:r>
    </w:p>
    <w:p w14:paraId="0AC576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（5）类似项目的成功案例（投标人类似项目实施情况一览表、合同复印件</w:t>
      </w:r>
      <w:r>
        <w:rPr>
          <w:rFonts w:hint="eastAsia" w:ascii="宋体" w:hAnsi="宋体" w:eastAsia="宋体" w:cs="宋体"/>
          <w:b w:val="0"/>
          <w:bCs w:val="0"/>
          <w:color w:val="auto"/>
          <w:sz w:val="21"/>
          <w:szCs w:val="21"/>
          <w:highlight w:val="none"/>
          <w:lang w:eastAsia="zh-CN"/>
        </w:rPr>
        <w:t>及</w:t>
      </w:r>
      <w:r>
        <w:rPr>
          <w:rFonts w:hint="eastAsia" w:ascii="宋体" w:hAnsi="宋体" w:eastAsia="宋体" w:cs="宋体"/>
          <w:b w:val="0"/>
          <w:bCs w:val="0"/>
          <w:color w:val="auto"/>
          <w:sz w:val="21"/>
          <w:szCs w:val="21"/>
          <w:highlight w:val="none"/>
        </w:rPr>
        <w:t>相应的发票、用户验收报告等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5683F2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0A88FE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265BB69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2DD543A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B.针对本项目的售后服务措施及承诺（售后技术服务方案、人员配备、故障响应时间、技术培训方案等）。</w:t>
      </w:r>
    </w:p>
    <w:p w14:paraId="7542CE0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eastAsia="zh-CN"/>
        </w:rPr>
        <w:t>报价文件</w:t>
      </w:r>
      <w:r>
        <w:rPr>
          <w:rFonts w:hint="eastAsia" w:ascii="宋体" w:hAnsi="宋体" w:eastAsia="宋体" w:cs="宋体"/>
          <w:b/>
          <w:bCs/>
          <w:color w:val="auto"/>
          <w:sz w:val="21"/>
          <w:szCs w:val="21"/>
          <w:highlight w:val="none"/>
        </w:rPr>
        <w:t>的组成</w:t>
      </w:r>
    </w:p>
    <w:p w14:paraId="57BC334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以及投标人认为其他需要说明的内容组成。</w:t>
      </w:r>
    </w:p>
    <w:p w14:paraId="648A823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7DE3F33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w:t>
      </w:r>
      <w:r>
        <w:rPr>
          <w:rFonts w:hint="eastAsia" w:ascii="宋体" w:hAnsi="宋体"/>
          <w:color w:val="auto"/>
          <w:sz w:val="21"/>
          <w:szCs w:val="21"/>
          <w:highlight w:val="none"/>
        </w:rPr>
        <w:t>总</w:t>
      </w:r>
      <w:r>
        <w:rPr>
          <w:rFonts w:hint="eastAsia" w:ascii="宋体" w:hAnsi="宋体" w:eastAsia="宋体" w:cs="宋体"/>
          <w:b w:val="0"/>
          <w:bCs w:val="0"/>
          <w:color w:val="auto"/>
          <w:sz w:val="21"/>
          <w:szCs w:val="21"/>
          <w:highlight w:val="none"/>
          <w:lang w:val="en-US" w:eastAsia="zh-CN"/>
        </w:rPr>
        <w:t>报价为完成本项目的所有费用，充电桩及配套设备的采购及安装包括施工设计及配电充电深化设计、全套设备（含辅材、零部件）提供、运杂费、电源点接入、基础部分土建施工及材料（管线牵引施工等）、人工，配置照明和灭火设施、限位器、停车位划线、VI标示、场站导引、安装、调试、5年保质期内免费保修维护（含管理软件更新升级）、提供实时监测及统计充电项目（后台对接）、后台数据监控（网络连接）及信息化管理平台对接、培训采购人使用人员费用、税金、利润、管理费等本项目所有可能涉及的费用，全部费用已包含在投标</w:t>
      </w:r>
      <w:r>
        <w:rPr>
          <w:rFonts w:hint="eastAsia" w:ascii="宋体" w:hAnsi="宋体"/>
          <w:color w:val="auto"/>
          <w:sz w:val="21"/>
          <w:szCs w:val="21"/>
          <w:highlight w:val="none"/>
        </w:rPr>
        <w:t>总</w:t>
      </w:r>
      <w:r>
        <w:rPr>
          <w:rFonts w:hint="eastAsia" w:ascii="宋体" w:hAnsi="宋体" w:eastAsia="宋体" w:cs="宋体"/>
          <w:b w:val="0"/>
          <w:bCs w:val="0"/>
          <w:color w:val="auto"/>
          <w:sz w:val="21"/>
          <w:szCs w:val="21"/>
          <w:highlight w:val="none"/>
          <w:lang w:val="en-US" w:eastAsia="zh-CN"/>
        </w:rPr>
        <w:t>报价中</w:t>
      </w:r>
      <w:r>
        <w:rPr>
          <w:rFonts w:hint="eastAsia" w:ascii="宋体" w:hAnsi="宋体"/>
          <w:color w:val="auto"/>
          <w:kern w:val="0"/>
          <w:szCs w:val="21"/>
          <w:highlight w:val="none"/>
        </w:rPr>
        <w:t>。</w:t>
      </w:r>
    </w:p>
    <w:p w14:paraId="3F8F778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1F1E33D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5545A0D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3412C4C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6EFC04B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5658385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1AA9530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162E44FD">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3381D8B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0CA50D2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w:t>
      </w:r>
    </w:p>
    <w:p w14:paraId="173CE3F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2、投标文件的递交要求</w:t>
      </w:r>
    </w:p>
    <w:p w14:paraId="6094E12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投标供应商</w:t>
      </w:r>
      <w:r>
        <w:rPr>
          <w:rFonts w:hint="eastAsia" w:ascii="宋体" w:hAnsi="宋体" w:eastAsia="宋体" w:cs="宋体"/>
          <w:color w:val="auto"/>
          <w:szCs w:val="21"/>
          <w:highlight w:val="none"/>
          <w:lang w:val="zh-CN"/>
        </w:rPr>
        <w:t>应按本须知前附表</w:t>
      </w:r>
      <w:r>
        <w:rPr>
          <w:rFonts w:hint="eastAsia" w:ascii="宋体" w:hAnsi="宋体" w:eastAsia="宋体" w:cs="宋体"/>
          <w:color w:val="auto"/>
          <w:sz w:val="21"/>
          <w:szCs w:val="21"/>
          <w:highlight w:val="none"/>
          <w:lang w:val="zh-CN" w:eastAsia="zh-CN"/>
        </w:rPr>
        <w:t>规定的地点，在本须知前附表规定的截止时间前上传</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en-US" w:eastAsia="zh-CN"/>
        </w:rPr>
        <w:t>。</w:t>
      </w:r>
    </w:p>
    <w:p w14:paraId="72E665E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（2）投标</w:t>
      </w:r>
      <w:r>
        <w:rPr>
          <w:rFonts w:hint="eastAsia" w:ascii="宋体" w:hAnsi="宋体" w:eastAsia="宋体" w:cs="宋体"/>
          <w:color w:val="auto"/>
          <w:sz w:val="21"/>
          <w:szCs w:val="21"/>
          <w:highlight w:val="none"/>
          <w:lang w:val="zh-CN" w:eastAsia="zh-CN"/>
        </w:rPr>
        <w:t>供应商提交响应文件时需同时满足本须知前附表要求，否则该响应文件予以拒收。</w:t>
      </w:r>
    </w:p>
    <w:p w14:paraId="08FFE58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en-US" w:eastAsia="zh-CN"/>
        </w:rPr>
        <w:t>台州市阳光采购平台</w:t>
      </w:r>
      <w:r>
        <w:rPr>
          <w:rFonts w:hint="eastAsia" w:ascii="宋体" w:hAnsi="宋体" w:eastAsia="宋体" w:cs="宋体"/>
          <w:color w:val="auto"/>
          <w:sz w:val="21"/>
          <w:szCs w:val="21"/>
          <w:highlight w:val="none"/>
          <w:lang w:val="zh-CN" w:eastAsia="zh-CN"/>
        </w:rPr>
        <w:t>）收到</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响应文件后，向供应商发出确认投标成功的提示。</w:t>
      </w:r>
    </w:p>
    <w:p w14:paraId="338AA74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）逾期上传的或者未上传指定系统的，视为投标文件未送达。</w:t>
      </w:r>
    </w:p>
    <w:p w14:paraId="5103FC4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、投标文件的补充、修改和撤回。</w:t>
      </w:r>
    </w:p>
    <w:p w14:paraId="47EF514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（1）在规定的投标截止时间前，投标人可以修改或撤回已递交的电子投标文件。</w:t>
      </w:r>
    </w:p>
    <w:p w14:paraId="7CDC06B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（2）在投标截止时间至投标有效期满之前，投标人不得撤回其投标文件。</w:t>
      </w:r>
    </w:p>
    <w:p w14:paraId="7713769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（3）投标单位撤回投标文件后需重新登录投标文件编制工具进行投标文件编制，投标文件重新编制好后重新生成、重新上传加密的电子投标文件。</w:t>
      </w:r>
    </w:p>
    <w:p w14:paraId="301FB1D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866EC7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255402F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060A996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6DFA935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四、</w:t>
      </w:r>
      <w:r>
        <w:rPr>
          <w:rFonts w:hint="eastAsia" w:ascii="宋体" w:hAnsi="宋体" w:eastAsia="宋体" w:cs="宋体"/>
          <w:b/>
          <w:bCs/>
          <w:color w:val="auto"/>
          <w:sz w:val="21"/>
          <w:szCs w:val="21"/>
          <w:highlight w:val="none"/>
        </w:rPr>
        <w:t>开标</w:t>
      </w:r>
    </w:p>
    <w:p w14:paraId="29969CA4">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435B58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采购组织机构在“招标公告”规定的时间和地点公开开标。投标人的法定代表人或其授权代表未按时解密的，视同放弃开标监督权利、认可开标结果。评标委员会成员不得参加开标活动</w:t>
      </w:r>
      <w:r>
        <w:rPr>
          <w:rFonts w:hint="eastAsia" w:ascii="宋体" w:hAnsi="宋体" w:eastAsia="宋体" w:cs="宋体"/>
          <w:color w:val="auto"/>
          <w:sz w:val="21"/>
          <w:szCs w:val="21"/>
          <w:highlight w:val="none"/>
          <w:lang w:eastAsia="zh-CN"/>
        </w:rPr>
        <w:t>。</w:t>
      </w:r>
    </w:p>
    <w:p w14:paraId="7BC3226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62B4393D">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31282F2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4BCBF4B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提请有关人员回避；</w:t>
      </w:r>
    </w:p>
    <w:p w14:paraId="581D374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4、在规定的开标时间之后，即进入开标流程环节时，各投标人应在开标后</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分钟之内使用自身CA锁在</w:t>
      </w:r>
      <w:r>
        <w:rPr>
          <w:rFonts w:hint="eastAsia" w:ascii="宋体"/>
          <w:color w:val="auto"/>
          <w:szCs w:val="21"/>
          <w:highlight w:val="none"/>
        </w:rPr>
        <w:t>台州市阳光采购平台（https://tzygcg.com/）</w:t>
      </w:r>
      <w:r>
        <w:rPr>
          <w:rFonts w:hint="eastAsia" w:ascii="宋体" w:hAnsi="宋体" w:cs="宋体"/>
          <w:color w:val="auto"/>
          <w:szCs w:val="21"/>
          <w:highlight w:val="none"/>
        </w:rPr>
        <w:t>选择响应项目进行电子投标文件解密。开标后</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钟之内进行电子投标文件解密的或因投标人自身原因导致电子投标文件未成功解密的或超出解密规定时间解密电子投标文件的，均投标无效。如果解密失败，投标单位应在解密时间内提供在投标工具生成的未加密投标文件用于补救。原始电子标书作为招投标资料存档；</w:t>
      </w:r>
    </w:p>
    <w:p w14:paraId="3850545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5、采购组织机构做开标记录， 投标人对开标记录进行当场校核及勘误，并在规定时间内确认。投标人未在规定时间内确认的视为确认结果，不影响评标过程；</w:t>
      </w:r>
    </w:p>
    <w:p w14:paraId="78344EB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、在完成评标后，宣布评标结果，开标会议结束。</w:t>
      </w:r>
    </w:p>
    <w:p w14:paraId="1CBCB7B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5CC3411E">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747BDFB">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1769AD36">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129FA953">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651B2EFA">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4BA6334C">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13F2CDCE">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1A1275F">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4899939A">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625A581">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2095A1B0">
      <w:pPr>
        <w:keepNext w:val="0"/>
        <w:keepLines w:val="0"/>
        <w:pageBreakBefore w:val="0"/>
        <w:widowControl w:val="0"/>
        <w:shd w:val="clear" w:color="auto" w:fill="auto"/>
        <w:tabs>
          <w:tab w:val="left" w:pos="210"/>
        </w:tabs>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21591D8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1022048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w:t>
      </w:r>
      <w:r>
        <w:rPr>
          <w:rFonts w:hint="eastAsia" w:ascii="宋体" w:hAnsi="宋体" w:cs="宋体"/>
          <w:color w:val="auto"/>
          <w:sz w:val="21"/>
          <w:szCs w:val="21"/>
          <w:highlight w:val="none"/>
          <w:lang w:eastAsia="zh-CN"/>
        </w:rPr>
        <w:t>报价文件</w:t>
      </w:r>
      <w:r>
        <w:rPr>
          <w:rFonts w:hint="eastAsia" w:ascii="宋体" w:hAnsi="宋体" w:eastAsia="宋体" w:cs="宋体"/>
          <w:color w:val="auto"/>
          <w:sz w:val="21"/>
          <w:szCs w:val="21"/>
          <w:highlight w:val="none"/>
        </w:rPr>
        <w:t>进行复核，对于系统计算出的价格分及总得分进行确认；</w:t>
      </w:r>
    </w:p>
    <w:p w14:paraId="0D78CBB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7DC8F0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5482B66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5BD798BD">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210C1B9F">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3FFEEB9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5238793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57EEB6F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2FE2DBD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245BB25E">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5B40F8E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16780E5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479C07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AC087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4C22C83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w:t>
      </w:r>
      <w:r>
        <w:rPr>
          <w:rFonts w:hint="eastAsia" w:ascii="宋体" w:hAnsi="宋体" w:eastAsia="宋体" w:cs="宋体"/>
          <w:color w:val="auto"/>
          <w:sz w:val="21"/>
          <w:szCs w:val="21"/>
          <w:highlight w:val="none"/>
          <w:lang w:eastAsia="zh-CN"/>
        </w:rPr>
        <w:t>投标总报价</w:t>
      </w:r>
      <w:r>
        <w:rPr>
          <w:rFonts w:hint="eastAsia" w:ascii="宋体" w:hAnsi="宋体" w:eastAsia="宋体" w:cs="宋体"/>
          <w:color w:val="auto"/>
          <w:sz w:val="21"/>
          <w:szCs w:val="21"/>
          <w:highlight w:val="none"/>
        </w:rPr>
        <w:t>的，或者报价文件中报价的货物跟商务与技术文件中的投标货物出现重大偏差的；</w:t>
      </w:r>
    </w:p>
    <w:p w14:paraId="5FD4AE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5FF14DD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D3DDD7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05E3EE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w:t>
      </w:r>
      <w:r>
        <w:rPr>
          <w:rFonts w:hint="eastAsia" w:ascii="宋体" w:hAnsi="宋体" w:eastAsia="宋体" w:cs="宋体"/>
          <w:color w:val="auto"/>
          <w:sz w:val="21"/>
          <w:szCs w:val="21"/>
          <w:highlight w:val="none"/>
          <w:lang w:eastAsia="zh-CN"/>
        </w:rPr>
        <w:t>查的</w:t>
      </w:r>
      <w:r>
        <w:rPr>
          <w:rFonts w:hint="eastAsia" w:ascii="宋体" w:hAnsi="宋体" w:eastAsia="宋体" w:cs="宋体"/>
          <w:color w:val="auto"/>
          <w:sz w:val="21"/>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E9E50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1ED45E9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2B76932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36A7394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3F8938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6A45DC3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87212B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2D636E4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w:t>
      </w:r>
      <w:r>
        <w:rPr>
          <w:rFonts w:hint="eastAsia" w:ascii="宋体" w:hAnsi="宋体" w:eastAsia="宋体" w:cs="宋体"/>
          <w:color w:val="auto"/>
          <w:sz w:val="21"/>
          <w:szCs w:val="21"/>
          <w:highlight w:val="none"/>
          <w:lang w:eastAsia="zh-CN"/>
        </w:rPr>
        <w:t>投标总报价</w:t>
      </w:r>
      <w:r>
        <w:rPr>
          <w:rFonts w:hint="eastAsia" w:ascii="宋体" w:hAnsi="宋体" w:eastAsia="宋体" w:cs="宋体"/>
          <w:color w:val="auto"/>
          <w:sz w:val="21"/>
          <w:szCs w:val="21"/>
          <w:highlight w:val="none"/>
        </w:rPr>
        <w:t>呈规律性差异；</w:t>
      </w:r>
    </w:p>
    <w:p w14:paraId="7FDB883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7EAC46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75BE8B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616642F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2E263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986973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4F924E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66078F5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4512912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BFDFC8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2、评标办法。具体评标内容及评分标准等详见《第三章：评标方法及评分标准》。</w:t>
      </w:r>
    </w:p>
    <w:p w14:paraId="2A27BFB2">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D517CF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3DEA1FD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rPr>
        <w:t>、定标</w:t>
      </w:r>
    </w:p>
    <w:p w14:paraId="0B49A09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1、中标候选结果公示期：采购人自收到评标报告之日起3日内在</w:t>
      </w:r>
      <w:r>
        <w:rPr>
          <w:rFonts w:hint="eastAsia"/>
          <w:color w:val="auto"/>
          <w:highlight w:val="none"/>
        </w:rPr>
        <w:t>发布招标公告的媒体</w:t>
      </w:r>
      <w:r>
        <w:rPr>
          <w:rFonts w:hint="eastAsia"/>
          <w:color w:val="auto"/>
          <w:highlight w:val="none"/>
          <w:lang w:val="en-US" w:eastAsia="zh-CN"/>
        </w:rPr>
        <w:t>上</w:t>
      </w:r>
      <w:r>
        <w:rPr>
          <w:rFonts w:hint="eastAsia" w:ascii="宋体" w:hAnsi="宋体" w:eastAsia="宋体" w:cs="宋体"/>
          <w:color w:val="auto"/>
          <w:sz w:val="21"/>
          <w:szCs w:val="21"/>
          <w:highlight w:val="none"/>
        </w:rPr>
        <w:t>进行中标候选人公示，公示期不少于3日，且截止日须为工作日。</w:t>
      </w:r>
    </w:p>
    <w:p w14:paraId="7CA14E1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2、确定中标供应商和</w:t>
      </w:r>
      <w:r>
        <w:rPr>
          <w:rFonts w:hint="eastAsia" w:ascii="宋体" w:hAnsi="宋体" w:eastAsia="宋体" w:cs="宋体"/>
          <w:color w:val="auto"/>
          <w:sz w:val="21"/>
          <w:szCs w:val="21"/>
          <w:highlight w:val="none"/>
        </w:rPr>
        <w:t>发布中标结果公告</w:t>
      </w:r>
      <w:r>
        <w:rPr>
          <w:rFonts w:hint="eastAsia" w:ascii="宋体" w:hAnsi="宋体" w:cs="宋体"/>
          <w:color w:val="auto"/>
          <w:sz w:val="21"/>
          <w:szCs w:val="21"/>
          <w:highlight w:val="none"/>
          <w:lang w:val="en-US" w:eastAsia="zh-CN"/>
        </w:rPr>
        <w:t>：经公示无异议后，采购人应当从评标报告推荐的中标候选供应商名单中，根据招标文件约定的方式确定中标供应商，同时发布中标结果公告，并于7日内发出中标通知书。</w:t>
      </w:r>
    </w:p>
    <w:p w14:paraId="5177F681">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w:t>
      </w:r>
      <w:r>
        <w:rPr>
          <w:rFonts w:hint="eastAsia" w:ascii="宋体" w:hAnsi="宋体" w:cs="宋体"/>
          <w:color w:val="auto"/>
          <w:sz w:val="21"/>
          <w:szCs w:val="21"/>
          <w:highlight w:val="none"/>
          <w:lang w:val="en-US" w:eastAsia="zh-CN"/>
        </w:rPr>
        <w:t>公告后，于7日内</w:t>
      </w:r>
      <w:r>
        <w:rPr>
          <w:rFonts w:hint="eastAsia" w:ascii="宋体" w:hAnsi="宋体" w:eastAsia="宋体" w:cs="宋体"/>
          <w:color w:val="auto"/>
          <w:sz w:val="21"/>
          <w:szCs w:val="21"/>
          <w:highlight w:val="none"/>
        </w:rPr>
        <w:t>向中标人发出中标通知书。</w:t>
      </w:r>
    </w:p>
    <w:p w14:paraId="4A0CF269">
      <w:pPr>
        <w:pStyle w:val="17"/>
        <w:keepNext w:val="0"/>
        <w:keepLines w:val="0"/>
        <w:pageBreakBefore w:val="0"/>
        <w:widowControl w:val="0"/>
        <w:shd w:val="clear" w:color="auto" w:fill="auto"/>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F463F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w:t>
      </w:r>
      <w:r>
        <w:rPr>
          <w:rFonts w:hint="eastAsia" w:ascii="宋体" w:hAnsi="宋体" w:cs="宋体"/>
          <w:color w:val="auto"/>
          <w:szCs w:val="21"/>
          <w:highlight w:val="none"/>
          <w:lang w:val="en-US" w:eastAsia="zh-CN"/>
        </w:rPr>
        <w:t>的9.9%</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7D4D2B6C">
      <w:pPr>
        <w:keepNext w:val="0"/>
        <w:keepLines w:val="0"/>
        <w:pageBreakBefore w:val="0"/>
        <w:kinsoku/>
        <w:wordWrap/>
        <w:topLinePunct w:val="0"/>
        <w:bidi w:val="0"/>
        <w:jc w:val="center"/>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5408;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4384;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7038238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64CD7E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51D50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6681A5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611F3C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B2A0D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7A1B4B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C314D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433F8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、合同签订</w:t>
      </w:r>
    </w:p>
    <w:p w14:paraId="35DF8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309043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69A61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取消中标资格。</w:t>
      </w:r>
    </w:p>
    <w:p w14:paraId="08EE1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14:paraId="2AB57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5、采购人应当自与中标人订立合同之日起5日内将合同扫描件上传至阳光平台系统，完成合同订立信息公示（涉及国家秘密、商业秘密的除外）。涉密项目应在采购文件中表明项目涉及国家秘密或商业秘密。</w:t>
      </w:r>
    </w:p>
    <w:p w14:paraId="3A6BA3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异议及答复：投标人或其他利害关系人对评标结果有异议的，应当在中标候选人公示期间提出。采购人应该自收到异议之日起3日内作出答复；作出答复前，应当暂停相关采购活动。</w:t>
      </w:r>
    </w:p>
    <w:p w14:paraId="68337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3F6B3296">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5C7CE2F3">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317946B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CD0B9AC">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cs="宋体"/>
          <w:color w:val="auto"/>
          <w:sz w:val="21"/>
          <w:szCs w:val="21"/>
          <w:highlight w:val="none"/>
          <w:lang w:eastAsia="zh-CN"/>
        </w:rPr>
        <w:t>商务技术文件</w:t>
      </w:r>
      <w:r>
        <w:rPr>
          <w:rFonts w:hint="eastAsia" w:ascii="宋体" w:hAnsi="宋体" w:eastAsia="宋体" w:cs="宋体"/>
          <w:color w:val="auto"/>
          <w:sz w:val="21"/>
          <w:szCs w:val="21"/>
          <w:highlight w:val="none"/>
          <w:lang w:val="zh-CN"/>
        </w:rPr>
        <w:t>分值</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zh-CN"/>
        </w:rPr>
        <w:t>分，投标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val="zh-CN"/>
        </w:rPr>
        <w:t>报价分值</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655E9F4E">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r>
        <w:rPr>
          <w:rFonts w:hint="eastAsia" w:ascii="宋体" w:hAnsi="宋体" w:cs="宋体"/>
          <w:color w:val="auto"/>
          <w:sz w:val="21"/>
          <w:szCs w:val="21"/>
          <w:highlight w:val="none"/>
          <w:lang w:eastAsia="zh-CN"/>
        </w:rPr>
        <w:t>商务技术文件</w:t>
      </w:r>
      <w:r>
        <w:rPr>
          <w:rFonts w:hint="eastAsia" w:ascii="宋体" w:hAnsi="宋体" w:eastAsia="宋体" w:cs="宋体"/>
          <w:color w:val="auto"/>
          <w:sz w:val="21"/>
          <w:szCs w:val="21"/>
          <w:highlight w:val="none"/>
          <w:lang w:val="zh-CN"/>
        </w:rPr>
        <w:t>中的客观分由评标委员会讨论后统一打分；其余在规定的分值内单独评定打分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1BEBD6C0">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w:t>
      </w:r>
      <w:r>
        <w:rPr>
          <w:rFonts w:hint="eastAsia" w:ascii="宋体" w:hAnsi="宋体" w:eastAsia="宋体" w:cs="宋体"/>
          <w:color w:val="auto"/>
          <w:sz w:val="21"/>
          <w:szCs w:val="21"/>
          <w:highlight w:val="none"/>
          <w:lang w:val="zh-CN" w:eastAsia="zh-CN"/>
        </w:rPr>
        <w:t>商务技术文件</w:t>
      </w:r>
      <w:r>
        <w:rPr>
          <w:rFonts w:hint="eastAsia" w:ascii="宋体" w:hAnsi="宋体" w:eastAsia="宋体" w:cs="宋体"/>
          <w:color w:val="auto"/>
          <w:sz w:val="21"/>
          <w:szCs w:val="21"/>
          <w:highlight w:val="none"/>
          <w:lang w:val="zh-CN"/>
        </w:rPr>
        <w:t>得分按照评标委员会成员的独立评分结果汇总后的算术平均分计算（小数点后保留2位），计算公式为：</w:t>
      </w:r>
    </w:p>
    <w:p w14:paraId="079CAF46">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商务技术文件</w:t>
      </w:r>
      <w:r>
        <w:rPr>
          <w:rFonts w:hint="eastAsia" w:ascii="宋体" w:hAnsi="宋体" w:eastAsia="宋体" w:cs="宋体"/>
          <w:color w:val="auto"/>
          <w:sz w:val="21"/>
          <w:szCs w:val="21"/>
          <w:highlight w:val="none"/>
          <w:lang w:val="zh-CN"/>
        </w:rPr>
        <w:t>得分=评标委员会所有成员评分合计数/评标委员会组成人员数。</w:t>
      </w:r>
    </w:p>
    <w:p w14:paraId="2AEDEA89">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（三）评标基准价的计算</w:t>
      </w:r>
    </w:p>
    <w:p w14:paraId="72634A8B">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①通过价格符合性审查的投标人少于等于5家（≤5）时：</w:t>
      </w:r>
    </w:p>
    <w:p w14:paraId="5A72764B">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评标基准价＝所有有效投标人的评标总价的算术平均值</w:t>
      </w:r>
    </w:p>
    <w:p w14:paraId="25532966">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②通过价格符合性审查的投标人不少于6家（即≥6）时：</w:t>
      </w:r>
    </w:p>
    <w:p w14:paraId="7F01CDD6">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评标基准价＝所有有效投标人的评标总价去掉一个最高价和一个最低价后的算术平均值</w:t>
      </w:r>
    </w:p>
    <w:p w14:paraId="16093C38">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（四）价格评分</w:t>
      </w:r>
    </w:p>
    <w:p w14:paraId="137361CA">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投标人的投标报价等于评标基准价的得</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分。每高于评标基准价一个百分点的扣0.2分（报价分值＝</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－∣(投标报价-评标基准价)∣/评标基准价×100×0.2），每低于评标基准价一个百分点的扣0.1分（报价分值＝</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－∣(投标报价-评标基准价)∣/评标基准价×100×0.1），中间按内插法计算。（</w:t>
      </w:r>
      <w:r>
        <w:rPr>
          <w:rFonts w:hint="eastAsia" w:ascii="宋体" w:hAnsi="宋体" w:eastAsia="宋体" w:cs="宋体"/>
          <w:color w:val="auto"/>
          <w:sz w:val="21"/>
          <w:szCs w:val="21"/>
          <w:highlight w:val="none"/>
          <w:lang w:val="en-US" w:eastAsia="zh-CN"/>
        </w:rPr>
        <w:t>计算结果</w:t>
      </w:r>
      <w:r>
        <w:rPr>
          <w:rFonts w:hint="eastAsia" w:ascii="宋体" w:hAnsi="宋体" w:eastAsia="宋体" w:cs="宋体"/>
          <w:color w:val="auto"/>
          <w:sz w:val="21"/>
          <w:szCs w:val="21"/>
          <w:highlight w:val="none"/>
          <w:lang w:val="zh-CN"/>
        </w:rPr>
        <w:t>小数点后保留2位，小数点后第3位四舍五入）。</w:t>
      </w:r>
    </w:p>
    <w:p w14:paraId="7B2F3EDE">
      <w:pPr>
        <w:shd w:val="clea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投标人综合得分＝</w:t>
      </w:r>
      <w:r>
        <w:rPr>
          <w:rFonts w:hint="eastAsia" w:ascii="宋体" w:hAnsi="宋体" w:cs="宋体"/>
          <w:color w:val="auto"/>
          <w:sz w:val="21"/>
          <w:szCs w:val="21"/>
          <w:highlight w:val="none"/>
          <w:lang w:val="zh-CN"/>
        </w:rPr>
        <w:t>商务技术文件</w:t>
      </w:r>
      <w:r>
        <w:rPr>
          <w:rFonts w:hint="eastAsia" w:ascii="宋体" w:hAnsi="宋体" w:eastAsia="宋体" w:cs="宋体"/>
          <w:color w:val="auto"/>
          <w:sz w:val="21"/>
          <w:szCs w:val="21"/>
          <w:highlight w:val="none"/>
          <w:lang w:val="zh-CN"/>
        </w:rPr>
        <w:t>得分＋投标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val="zh-CN"/>
        </w:rPr>
        <w:t>报价得分。</w:t>
      </w:r>
    </w:p>
    <w:p w14:paraId="2A97D568">
      <w:pPr>
        <w:shd w:val="clea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4FD3116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6AFFCC14">
      <w:pPr>
        <w:autoSpaceDE w:val="0"/>
        <w:autoSpaceDN w:val="0"/>
        <w:adjustRightInd w:val="0"/>
        <w:spacing w:line="360" w:lineRule="auto"/>
        <w:ind w:right="85"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color w:val="auto"/>
          <w:sz w:val="21"/>
          <w:szCs w:val="21"/>
          <w:highlight w:val="none"/>
          <w:lang w:val="zh-CN"/>
        </w:rPr>
        <w:t>如综合得分相同，最后报价低者为先；如综合得分且最后报价相同的，以</w:t>
      </w:r>
      <w:r>
        <w:rPr>
          <w:rFonts w:hint="eastAsia" w:ascii="宋体" w:hAnsi="宋体" w:cs="宋体"/>
          <w:color w:val="auto"/>
          <w:sz w:val="21"/>
          <w:szCs w:val="21"/>
          <w:highlight w:val="none"/>
          <w:lang w:val="en-US" w:eastAsia="zh-CN"/>
        </w:rPr>
        <w:t>技术分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14:paraId="461097C7">
      <w:pPr>
        <w:spacing w:line="360" w:lineRule="auto"/>
        <w:ind w:firstLine="420" w:firstLineChars="200"/>
        <w:rPr>
          <w:rFonts w:hint="eastAsia" w:ascii="宋体" w:hAnsi="宋体" w:cs="宋体"/>
          <w:color w:val="auto"/>
          <w:sz w:val="24"/>
          <w:highlight w:val="none"/>
          <w:lang w:val="zh-CN"/>
        </w:rPr>
      </w:pPr>
      <w:r>
        <w:rPr>
          <w:rFonts w:hint="eastAsia" w:asciiTheme="minorEastAsia" w:hAnsiTheme="minorEastAsia" w:eastAsiaTheme="minorEastAsia" w:cstheme="minorEastAsia"/>
          <w:color w:val="auto"/>
          <w:sz w:val="21"/>
          <w:szCs w:val="21"/>
          <w:highlight w:val="none"/>
          <w:lang w:val="zh-CN"/>
        </w:rPr>
        <w:t>五、本次评分具体分值细化条款如下表：</w:t>
      </w:r>
      <w:r>
        <w:rPr>
          <w:rFonts w:hint="eastAsia" w:ascii="宋体" w:hAnsi="宋体" w:cs="宋体"/>
          <w:color w:val="auto"/>
          <w:sz w:val="24"/>
          <w:highlight w:val="none"/>
          <w:lang w:val="zh-CN"/>
        </w:rPr>
        <w:t xml:space="preserve">  </w:t>
      </w:r>
    </w:p>
    <w:p w14:paraId="3F8C2833">
      <w:pPr>
        <w:spacing w:line="300" w:lineRule="exact"/>
        <w:ind w:firstLine="422" w:firstLineChars="200"/>
        <w:jc w:val="center"/>
        <w:rPr>
          <w:color w:val="auto"/>
          <w:highlight w:val="none"/>
        </w:rPr>
      </w:pPr>
      <w:r>
        <w:rPr>
          <w:rFonts w:hint="eastAsia" w:ascii="宋体" w:hAnsi="宋体" w:eastAsia="宋体" w:cs="宋体"/>
          <w:b/>
          <w:color w:val="auto"/>
          <w:szCs w:val="21"/>
          <w:highlight w:val="none"/>
        </w:rPr>
        <w:t>评标打分标准</w:t>
      </w:r>
    </w:p>
    <w:tbl>
      <w:tblPr>
        <w:tblStyle w:val="19"/>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40"/>
        <w:gridCol w:w="6514"/>
        <w:gridCol w:w="715"/>
      </w:tblGrid>
      <w:tr w14:paraId="6074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90" w:type="dxa"/>
            <w:gridSpan w:val="2"/>
            <w:tcBorders>
              <w:bottom w:val="single" w:color="auto" w:sz="4" w:space="0"/>
            </w:tcBorders>
            <w:noWrap w:val="0"/>
            <w:vAlign w:val="center"/>
          </w:tcPr>
          <w:p w14:paraId="16739C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514" w:type="dxa"/>
            <w:tcBorders>
              <w:bottom w:val="single" w:color="auto" w:sz="4" w:space="0"/>
            </w:tcBorders>
            <w:noWrap w:val="0"/>
            <w:vAlign w:val="center"/>
          </w:tcPr>
          <w:p w14:paraId="76E18CB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5" w:type="dxa"/>
            <w:tcBorders>
              <w:bottom w:val="single" w:color="auto" w:sz="4" w:space="0"/>
            </w:tcBorders>
            <w:noWrap w:val="0"/>
            <w:vAlign w:val="center"/>
          </w:tcPr>
          <w:p w14:paraId="263546D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23F4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0" w:type="dxa"/>
            <w:vMerge w:val="restart"/>
            <w:noWrap w:val="0"/>
            <w:vAlign w:val="center"/>
          </w:tcPr>
          <w:p w14:paraId="3466290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0E5042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1040" w:type="dxa"/>
            <w:noWrap w:val="0"/>
            <w:vAlign w:val="center"/>
          </w:tcPr>
          <w:p w14:paraId="32DCA6E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rPr>
              <w:t>企业实力</w:t>
            </w:r>
          </w:p>
        </w:tc>
        <w:tc>
          <w:tcPr>
            <w:tcW w:w="6514" w:type="dxa"/>
            <w:noWrap w:val="0"/>
            <w:vAlign w:val="center"/>
          </w:tcPr>
          <w:p w14:paraId="6182A688">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投标人具有有效的质量管理体系认证证书、环境管理体系认证证书、职业健康安全管理体系认证证书、知识产权管理体系认证证书的得4分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缺少一个证书的扣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分，扣完为止。</w:t>
            </w:r>
          </w:p>
          <w:p w14:paraId="67BB93A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0"/>
                <w:szCs w:val="20"/>
                <w:highlight w:val="none"/>
              </w:rPr>
              <w:t>（证书</w:t>
            </w:r>
            <w:r>
              <w:rPr>
                <w:rFonts w:hint="eastAsia" w:ascii="宋体" w:hAnsi="宋体" w:cs="宋体"/>
                <w:b/>
                <w:bCs/>
                <w:color w:val="auto"/>
                <w:sz w:val="20"/>
                <w:szCs w:val="20"/>
                <w:highlight w:val="none"/>
                <w:lang w:val="en-US" w:eastAsia="zh-CN"/>
              </w:rPr>
              <w:t>扫描</w:t>
            </w:r>
            <w:r>
              <w:rPr>
                <w:rFonts w:hint="eastAsia" w:ascii="宋体" w:hAnsi="宋体" w:eastAsia="宋体" w:cs="宋体"/>
                <w:b/>
                <w:bCs/>
                <w:color w:val="auto"/>
                <w:sz w:val="20"/>
                <w:szCs w:val="20"/>
                <w:highlight w:val="none"/>
              </w:rPr>
              <w:t>件</w:t>
            </w:r>
            <w:r>
              <w:rPr>
                <w:rFonts w:hint="eastAsia" w:ascii="宋体" w:hAnsi="宋体" w:cs="宋体"/>
                <w:b/>
                <w:bCs/>
                <w:color w:val="auto"/>
                <w:sz w:val="20"/>
                <w:szCs w:val="20"/>
                <w:highlight w:val="none"/>
                <w:lang w:val="en-US" w:eastAsia="zh-CN"/>
              </w:rPr>
              <w:t>和</w:t>
            </w:r>
            <w:r>
              <w:rPr>
                <w:rFonts w:hint="eastAsia" w:ascii="宋体" w:hAnsi="宋体" w:eastAsia="宋体" w:cs="宋体"/>
                <w:b/>
                <w:bCs/>
                <w:color w:val="auto"/>
                <w:sz w:val="20"/>
                <w:szCs w:val="20"/>
                <w:highlight w:val="none"/>
              </w:rPr>
              <w:t>国家认证认可监督管理委员会官方网站上相关证书有效的网页截图或网站打印页</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未提供或提供不全不得分</w:t>
            </w:r>
            <w:r>
              <w:rPr>
                <w:rFonts w:hint="eastAsia" w:ascii="宋体" w:hAnsi="宋体" w:eastAsia="宋体" w:cs="宋体"/>
                <w:b/>
                <w:bCs/>
                <w:color w:val="auto"/>
                <w:sz w:val="20"/>
                <w:szCs w:val="20"/>
                <w:highlight w:val="none"/>
              </w:rPr>
              <w:t>）</w:t>
            </w:r>
          </w:p>
        </w:tc>
        <w:tc>
          <w:tcPr>
            <w:tcW w:w="715" w:type="dxa"/>
            <w:noWrap w:val="0"/>
            <w:vAlign w:val="center"/>
          </w:tcPr>
          <w:p w14:paraId="541849A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336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FF6AA2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651379CB">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0"/>
                <w:szCs w:val="20"/>
                <w:highlight w:val="none"/>
                <w:lang w:val="en-US" w:eastAsia="zh-CN"/>
              </w:rPr>
              <w:t>承接经验</w:t>
            </w:r>
          </w:p>
        </w:tc>
        <w:tc>
          <w:tcPr>
            <w:tcW w:w="6514" w:type="dxa"/>
            <w:noWrap w:val="0"/>
            <w:vAlign w:val="center"/>
          </w:tcPr>
          <w:p w14:paraId="737EAB5B">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rPr>
              <w:t>（以合同签订时间为准），投标人在全国范围内拥有的同行业（指</w:t>
            </w:r>
            <w:r>
              <w:rPr>
                <w:rFonts w:hint="eastAsia" w:ascii="宋体" w:hAnsi="宋体" w:eastAsia="宋体" w:cs="宋体"/>
                <w:color w:val="auto"/>
                <w:highlight w:val="none"/>
                <w:lang w:val="en-US" w:eastAsia="zh-CN"/>
              </w:rPr>
              <w:t>行政事业单位</w:t>
            </w:r>
            <w:r>
              <w:rPr>
                <w:rFonts w:hint="eastAsia" w:ascii="宋体" w:hAnsi="宋体" w:eastAsia="宋体" w:cs="宋体"/>
                <w:color w:val="auto"/>
                <w:highlight w:val="none"/>
              </w:rPr>
              <w:t>、国有</w:t>
            </w:r>
            <w:r>
              <w:rPr>
                <w:rFonts w:hint="eastAsia" w:ascii="宋体" w:hAnsi="宋体" w:eastAsia="宋体" w:cs="宋体"/>
                <w:color w:val="auto"/>
                <w:highlight w:val="none"/>
                <w:lang w:val="en-US" w:eastAsia="zh-CN"/>
              </w:rPr>
              <w:t>控股</w:t>
            </w:r>
            <w:r>
              <w:rPr>
                <w:rFonts w:hint="eastAsia" w:ascii="宋体" w:hAnsi="宋体" w:eastAsia="宋体" w:cs="宋体"/>
                <w:color w:val="auto"/>
                <w:highlight w:val="none"/>
              </w:rPr>
              <w:t>企业等）</w:t>
            </w:r>
            <w:r>
              <w:rPr>
                <w:rFonts w:hint="eastAsia" w:ascii="宋体" w:hAnsi="宋体" w:eastAsia="宋体" w:cs="宋体"/>
                <w:color w:val="auto"/>
                <w:highlight w:val="none"/>
                <w:lang w:val="en-US" w:eastAsia="zh-CN"/>
              </w:rPr>
              <w:t>同类型（公共充电桩）</w:t>
            </w:r>
            <w:r>
              <w:rPr>
                <w:rFonts w:hint="eastAsia" w:ascii="宋体" w:hAnsi="宋体" w:eastAsia="宋体" w:cs="宋体"/>
                <w:color w:val="auto"/>
                <w:highlight w:val="none"/>
              </w:rPr>
              <w:t>业绩</w:t>
            </w:r>
            <w:r>
              <w:rPr>
                <w:rFonts w:hint="eastAsia" w:ascii="宋体" w:hAnsi="宋体" w:cs="宋体"/>
                <w:color w:val="auto"/>
                <w:highlight w:val="none"/>
                <w:lang w:eastAsia="zh-CN"/>
              </w:rPr>
              <w:t>，</w:t>
            </w:r>
            <w:r>
              <w:rPr>
                <w:rFonts w:hint="eastAsia" w:ascii="宋体" w:hAnsi="宋体" w:eastAsia="宋体" w:cs="宋体"/>
                <w:color w:val="auto"/>
                <w:highlight w:val="none"/>
              </w:rPr>
              <w:t>每具备一个</w:t>
            </w:r>
            <w:r>
              <w:rPr>
                <w:rFonts w:hint="eastAsia" w:ascii="宋体" w:hAnsi="宋体" w:cs="宋体"/>
                <w:color w:val="auto"/>
                <w:highlight w:val="none"/>
                <w:lang w:val="en-US" w:eastAsia="zh-CN"/>
              </w:rPr>
              <w:t>业绩</w:t>
            </w:r>
            <w:r>
              <w:rPr>
                <w:rFonts w:hint="eastAsia" w:ascii="宋体" w:hAnsi="宋体" w:eastAsia="宋体" w:cs="宋体"/>
                <w:color w:val="auto"/>
                <w:highlight w:val="none"/>
              </w:rPr>
              <w:t>得0.5分，最高得2分。</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须</w:t>
            </w:r>
            <w:r>
              <w:rPr>
                <w:rFonts w:hint="eastAsia" w:ascii="宋体" w:hAnsi="宋体" w:eastAsia="宋体" w:cs="宋体"/>
                <w:b/>
                <w:bCs/>
                <w:color w:val="auto"/>
                <w:highlight w:val="none"/>
              </w:rPr>
              <w:t>提供合同</w:t>
            </w:r>
            <w:r>
              <w:rPr>
                <w:rFonts w:hint="eastAsia" w:ascii="宋体" w:hAnsi="宋体" w:cs="宋体"/>
                <w:b/>
                <w:bCs/>
                <w:color w:val="auto"/>
                <w:highlight w:val="none"/>
                <w:lang w:val="en-US" w:eastAsia="zh-CN"/>
              </w:rPr>
              <w:t>扫描</w:t>
            </w:r>
            <w:r>
              <w:rPr>
                <w:rFonts w:hint="eastAsia" w:ascii="宋体" w:hAnsi="宋体" w:eastAsia="宋体" w:cs="宋体"/>
                <w:b/>
                <w:bCs/>
                <w:color w:val="auto"/>
                <w:highlight w:val="none"/>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highlight w:val="none"/>
              </w:rPr>
              <w:t>）</w:t>
            </w:r>
          </w:p>
          <w:p w14:paraId="1F68C8E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rPr>
              <w:t>（以合同签订时间为准）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拟派项目负责人在全国范围内</w:t>
            </w:r>
            <w:r>
              <w:rPr>
                <w:rFonts w:hint="eastAsia" w:ascii="宋体" w:hAnsi="宋体" w:eastAsia="宋体" w:cs="宋体"/>
                <w:color w:val="auto"/>
                <w:highlight w:val="none"/>
              </w:rPr>
              <w:t>的同行业（指</w:t>
            </w:r>
            <w:r>
              <w:rPr>
                <w:rFonts w:hint="eastAsia" w:ascii="宋体" w:hAnsi="宋体" w:eastAsia="宋体" w:cs="宋体"/>
                <w:color w:val="auto"/>
                <w:highlight w:val="none"/>
                <w:lang w:val="en-US" w:eastAsia="zh-CN"/>
              </w:rPr>
              <w:t>行政事业单位</w:t>
            </w:r>
            <w:r>
              <w:rPr>
                <w:rFonts w:hint="eastAsia" w:ascii="宋体" w:hAnsi="宋体" w:eastAsia="宋体" w:cs="宋体"/>
                <w:color w:val="auto"/>
                <w:highlight w:val="none"/>
              </w:rPr>
              <w:t>、国有</w:t>
            </w:r>
            <w:r>
              <w:rPr>
                <w:rFonts w:hint="eastAsia" w:ascii="宋体" w:hAnsi="宋体" w:eastAsia="宋体" w:cs="宋体"/>
                <w:color w:val="auto"/>
                <w:highlight w:val="none"/>
                <w:lang w:val="en-US" w:eastAsia="zh-CN"/>
              </w:rPr>
              <w:t>控股</w:t>
            </w:r>
            <w:r>
              <w:rPr>
                <w:rFonts w:hint="eastAsia" w:ascii="宋体" w:hAnsi="宋体" w:eastAsia="宋体" w:cs="宋体"/>
                <w:color w:val="auto"/>
                <w:highlight w:val="none"/>
              </w:rPr>
              <w:t>企业等）</w:t>
            </w:r>
            <w:r>
              <w:rPr>
                <w:rFonts w:hint="eastAsia" w:ascii="宋体" w:hAnsi="宋体" w:eastAsia="宋体" w:cs="宋体"/>
                <w:color w:val="auto"/>
                <w:highlight w:val="none"/>
                <w:lang w:val="en-US" w:eastAsia="zh-CN"/>
              </w:rPr>
              <w:t>同类型（公共充电桩）</w:t>
            </w:r>
            <w:r>
              <w:rPr>
                <w:rFonts w:hint="eastAsia" w:ascii="宋体" w:hAnsi="宋体" w:eastAsia="宋体" w:cs="宋体"/>
                <w:color w:val="auto"/>
                <w:highlight w:val="none"/>
              </w:rPr>
              <w:t>业绩</w:t>
            </w:r>
            <w:r>
              <w:rPr>
                <w:rFonts w:hint="eastAsia" w:ascii="宋体" w:hAnsi="宋体" w:eastAsia="宋体" w:cs="宋体"/>
                <w:color w:val="auto"/>
                <w:highlight w:val="none"/>
                <w:lang w:val="en-US" w:eastAsia="zh-CN"/>
              </w:rPr>
              <w:t>中担任项目负责人</w:t>
            </w:r>
            <w:r>
              <w:rPr>
                <w:rFonts w:hint="eastAsia" w:ascii="宋体" w:hAnsi="宋体" w:cs="宋体"/>
                <w:color w:val="auto"/>
                <w:highlight w:val="none"/>
                <w:lang w:eastAsia="zh-CN"/>
              </w:rPr>
              <w:t>，</w:t>
            </w:r>
            <w:r>
              <w:rPr>
                <w:rFonts w:hint="eastAsia" w:ascii="宋体" w:hAnsi="宋体" w:eastAsia="宋体" w:cs="宋体"/>
                <w:color w:val="auto"/>
                <w:highlight w:val="none"/>
              </w:rPr>
              <w:t>每具备一个业绩得0.5分，最高得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须</w:t>
            </w:r>
            <w:r>
              <w:rPr>
                <w:rFonts w:hint="eastAsia" w:ascii="宋体" w:hAnsi="宋体" w:eastAsia="宋体" w:cs="宋体"/>
                <w:b/>
                <w:bCs/>
                <w:color w:val="auto"/>
                <w:highlight w:val="none"/>
              </w:rPr>
              <w:t>提供合同</w:t>
            </w:r>
            <w:r>
              <w:rPr>
                <w:rFonts w:hint="eastAsia" w:ascii="宋体" w:hAnsi="宋体" w:cs="宋体"/>
                <w:b/>
                <w:bCs/>
                <w:color w:val="auto"/>
                <w:highlight w:val="none"/>
                <w:lang w:val="en-US" w:eastAsia="zh-CN"/>
              </w:rPr>
              <w:t>扫描</w:t>
            </w:r>
            <w:r>
              <w:rPr>
                <w:rFonts w:hint="eastAsia" w:ascii="宋体" w:hAnsi="宋体" w:eastAsia="宋体" w:cs="宋体"/>
                <w:b/>
                <w:bCs/>
                <w:color w:val="auto"/>
                <w:highlight w:val="none"/>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eastAsia="宋体" w:cs="宋体"/>
                <w:b/>
                <w:bCs/>
                <w:color w:val="auto"/>
                <w:highlight w:val="none"/>
                <w:lang w:val="en-US" w:eastAsia="zh-CN"/>
              </w:rPr>
              <w:t>如</w:t>
            </w:r>
            <w:r>
              <w:rPr>
                <w:rFonts w:hint="eastAsia" w:ascii="宋体" w:hAnsi="宋体" w:cs="宋体"/>
                <w:b/>
                <w:bCs/>
                <w:color w:val="auto"/>
                <w:highlight w:val="none"/>
                <w:lang w:val="en-US" w:eastAsia="zh-CN"/>
              </w:rPr>
              <w:t>合同</w:t>
            </w:r>
            <w:r>
              <w:rPr>
                <w:rFonts w:hint="eastAsia" w:ascii="宋体" w:hAnsi="宋体" w:eastAsia="宋体" w:cs="宋体"/>
                <w:b/>
                <w:bCs/>
                <w:color w:val="auto"/>
                <w:highlight w:val="none"/>
                <w:lang w:val="en-US" w:eastAsia="zh-CN"/>
              </w:rPr>
              <w:t>无法体现项目负责人姓名的，则另须提供业绩项目业主的加盖业主公章的证明材料</w:t>
            </w:r>
            <w:r>
              <w:rPr>
                <w:rFonts w:hint="eastAsia" w:ascii="宋体" w:hAnsi="宋体" w:cs="宋体"/>
                <w:b/>
                <w:bCs/>
                <w:color w:val="auto"/>
                <w:highlight w:val="none"/>
                <w:lang w:val="en-US" w:eastAsia="zh-CN"/>
              </w:rPr>
              <w:t>扫描件</w:t>
            </w:r>
            <w:r>
              <w:rPr>
                <w:rFonts w:hint="eastAsia" w:ascii="宋体" w:hAnsi="宋体" w:eastAsia="宋体" w:cs="宋体"/>
                <w:b/>
                <w:bCs/>
                <w:color w:val="auto"/>
                <w:highlight w:val="none"/>
                <w:lang w:val="en-US" w:eastAsia="zh-CN"/>
              </w:rPr>
              <w:t>，</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highlight w:val="none"/>
                <w:lang w:val="en-US" w:eastAsia="zh-CN"/>
              </w:rPr>
              <w:t>）</w:t>
            </w:r>
          </w:p>
        </w:tc>
        <w:tc>
          <w:tcPr>
            <w:tcW w:w="715" w:type="dxa"/>
            <w:noWrap w:val="0"/>
            <w:vAlign w:val="center"/>
          </w:tcPr>
          <w:p w14:paraId="4C1665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676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restart"/>
            <w:noWrap w:val="0"/>
            <w:vAlign w:val="center"/>
          </w:tcPr>
          <w:p w14:paraId="18F76A8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技术分</w:t>
            </w:r>
          </w:p>
          <w:p w14:paraId="4721AD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lang w:val="en-US" w:eastAsia="zh-CN"/>
              </w:rPr>
              <w:t>分）</w:t>
            </w:r>
          </w:p>
        </w:tc>
        <w:tc>
          <w:tcPr>
            <w:tcW w:w="1040" w:type="dxa"/>
            <w:noWrap w:val="0"/>
            <w:vAlign w:val="center"/>
          </w:tcPr>
          <w:p w14:paraId="08937D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rPr>
              <w:t>技术方案</w:t>
            </w:r>
          </w:p>
        </w:tc>
        <w:tc>
          <w:tcPr>
            <w:tcW w:w="6514" w:type="dxa"/>
            <w:noWrap w:val="0"/>
            <w:vAlign w:val="center"/>
          </w:tcPr>
          <w:p w14:paraId="6CEF0DC3">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场站技术方案的合规性、先进性、安全性、实用性、灵活性，场站应急方案等维度进行综合评价，并附佐证材料，根据材料提供的完整性、准确性进行打分。包括但不仅限于：项目技术方案、对外宣传材料（如样册、单页等）、成功案例等。</w:t>
            </w:r>
          </w:p>
          <w:p w14:paraId="0E4E4EDF">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技术方案内容详实完善，附证材料充分，成功案例丰富的得</w:t>
            </w:r>
            <w:r>
              <w:rPr>
                <w:rFonts w:hint="eastAsia" w:ascii="宋体" w:hAnsi="宋体" w:eastAsia="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分；</w:t>
            </w:r>
          </w:p>
          <w:p w14:paraId="36CB1CA4">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技术方案内容较详实完善，附证材料提供较齐全，成功案例较丰富的得</w:t>
            </w:r>
            <w:r>
              <w:rPr>
                <w:rFonts w:hint="eastAsia" w:ascii="宋体" w:hAnsi="宋体" w:eastAsia="宋体" w:cs="宋体"/>
                <w:b w:val="0"/>
                <w:bCs w:val="0"/>
                <w:color w:val="auto"/>
                <w:sz w:val="21"/>
                <w:szCs w:val="21"/>
                <w:highlight w:val="none"/>
                <w:lang w:val="en-US" w:eastAsia="zh-CN"/>
              </w:rPr>
              <w:t>4.0-6.9</w:t>
            </w:r>
            <w:r>
              <w:rPr>
                <w:rFonts w:hint="eastAsia" w:ascii="宋体" w:hAnsi="宋体" w:eastAsia="宋体" w:cs="宋体"/>
                <w:b w:val="0"/>
                <w:bCs w:val="0"/>
                <w:color w:val="auto"/>
                <w:sz w:val="21"/>
                <w:szCs w:val="21"/>
                <w:highlight w:val="none"/>
              </w:rPr>
              <w:t>分；</w:t>
            </w:r>
          </w:p>
          <w:p w14:paraId="5E08710E">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技术方案内容一般，附证材料内容缺项较多，实施经验较少的得0</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14743BA5">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715" w:type="dxa"/>
            <w:noWrap w:val="0"/>
            <w:vAlign w:val="center"/>
          </w:tcPr>
          <w:p w14:paraId="7E61AD42">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14:paraId="19A9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1186C21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7C1EE62C">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项目组织实施方案</w:t>
            </w:r>
          </w:p>
        </w:tc>
        <w:tc>
          <w:tcPr>
            <w:tcW w:w="6514" w:type="dxa"/>
            <w:noWrap w:val="0"/>
            <w:vAlign w:val="center"/>
          </w:tcPr>
          <w:p w14:paraId="21B8EA5C">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依据以下方面进行综合评价（包含但不仅限于）：项目管理机构及协调、施工准备、施工进度控制、主要施工工艺、质量管理措施、安全文明施工管理措施等。</w:t>
            </w:r>
          </w:p>
          <w:p w14:paraId="2B3EBD41">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项目组织实施方案内容详实完善，可操作性强的</w:t>
            </w: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分；</w:t>
            </w:r>
          </w:p>
          <w:p w14:paraId="6D681E67">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项目组织实施方案内容较为详实完善，可操作性较强的得</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分；</w:t>
            </w:r>
          </w:p>
          <w:p w14:paraId="036F55AB">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项目组织实施方案内容一般的得0</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34BCA0FC">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715" w:type="dxa"/>
            <w:noWrap w:val="0"/>
            <w:vAlign w:val="center"/>
          </w:tcPr>
          <w:p w14:paraId="1915A3C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0"/>
                <w:szCs w:val="20"/>
                <w:highlight w:val="none"/>
                <w:lang w:val="en-US" w:eastAsia="zh-CN"/>
              </w:rPr>
              <w:t>5</w:t>
            </w:r>
          </w:p>
        </w:tc>
      </w:tr>
      <w:tr w14:paraId="0B5C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4BE53B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001182E7">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响应情况</w:t>
            </w:r>
          </w:p>
        </w:tc>
        <w:tc>
          <w:tcPr>
            <w:tcW w:w="6514" w:type="dxa"/>
            <w:noWrap w:val="0"/>
            <w:vAlign w:val="center"/>
          </w:tcPr>
          <w:p w14:paraId="408427F2">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根据投标人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rPr>
              <w:t>”中的各项配置要求的响应及承诺情况进行</w:t>
            </w:r>
            <w:r>
              <w:rPr>
                <w:rFonts w:hint="eastAsia" w:ascii="宋体" w:hAnsi="宋体" w:cs="宋体"/>
                <w:b w:val="0"/>
                <w:bCs w:val="0"/>
                <w:color w:val="auto"/>
                <w:sz w:val="21"/>
                <w:szCs w:val="21"/>
                <w:highlight w:val="none"/>
                <w:lang w:val="en-US" w:eastAsia="zh-CN"/>
              </w:rPr>
              <w:t>打</w:t>
            </w:r>
            <w:r>
              <w:rPr>
                <w:rFonts w:hint="eastAsia" w:ascii="宋体" w:hAnsi="宋体" w:eastAsia="宋体" w:cs="宋体"/>
                <w:b w:val="0"/>
                <w:bCs w:val="0"/>
                <w:color w:val="auto"/>
                <w:sz w:val="21"/>
                <w:szCs w:val="21"/>
                <w:highlight w:val="none"/>
              </w:rPr>
              <w:t>分,完全满足招标文件技术参数要求的得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分，每偏离一项扣0.5分，扣完为止。</w:t>
            </w:r>
          </w:p>
        </w:tc>
        <w:tc>
          <w:tcPr>
            <w:tcW w:w="715" w:type="dxa"/>
            <w:noWrap w:val="0"/>
            <w:vAlign w:val="center"/>
          </w:tcPr>
          <w:p w14:paraId="61AD15A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0C3B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0" w:type="dxa"/>
            <w:vMerge w:val="continue"/>
            <w:noWrap w:val="0"/>
            <w:vAlign w:val="center"/>
          </w:tcPr>
          <w:p w14:paraId="0FF995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3C6ED28A">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设备先进性</w:t>
            </w:r>
          </w:p>
          <w:p w14:paraId="3E37E4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6F9D7B01">
            <w:pPr>
              <w:spacing w:line="24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提供</w:t>
            </w:r>
            <w:r>
              <w:rPr>
                <w:rFonts w:hint="eastAsia" w:ascii="宋体" w:hAnsi="宋体" w:eastAsia="宋体" w:cs="宋体"/>
                <w:color w:val="auto"/>
                <w:sz w:val="20"/>
                <w:szCs w:val="20"/>
                <w:highlight w:val="none"/>
              </w:rPr>
              <w:t>箱体防腐测试报告</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得1分</w:t>
            </w:r>
            <w:r>
              <w:rPr>
                <w:rFonts w:hint="eastAsia" w:ascii="宋体" w:hAnsi="宋体" w:eastAsia="宋体" w:cs="宋体"/>
                <w:color w:val="auto"/>
                <w:sz w:val="20"/>
                <w:szCs w:val="20"/>
                <w:highlight w:val="none"/>
                <w:lang w:eastAsia="zh-CN"/>
              </w:rPr>
              <w:t>。</w:t>
            </w:r>
          </w:p>
          <w:p w14:paraId="4DDC6D14">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72A2AC5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634A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220304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125CBB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77FAB8C">
            <w:pPr>
              <w:numPr>
                <w:ilvl w:val="0"/>
                <w:numId w:val="0"/>
              </w:numPr>
              <w:spacing w:line="240" w:lineRule="auto"/>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highlight w:val="none"/>
              </w:rPr>
              <w:t>提供的箱体具有耐火检验报告，耐火极限能达180min的得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分，耐火极限能达120min的得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分，耐火极限能达60min的得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p w14:paraId="67E0165B">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w:t>
            </w:r>
            <w:r>
              <w:rPr>
                <w:rFonts w:hint="eastAsia" w:ascii="宋体" w:hAnsi="宋体" w:eastAsia="宋体" w:cs="宋体"/>
                <w:b/>
                <w:bCs/>
                <w:color w:val="auto"/>
                <w:sz w:val="20"/>
                <w:szCs w:val="20"/>
                <w:highlight w:val="none"/>
                <w:lang w:val="en-US" w:eastAsia="zh-CN"/>
              </w:rPr>
              <w:t>测</w:t>
            </w:r>
            <w:r>
              <w:rPr>
                <w:rFonts w:hint="eastAsia" w:ascii="宋体" w:hAnsi="宋体" w:eastAsia="宋体" w:cs="宋体"/>
                <w:b/>
                <w:bCs/>
                <w:color w:val="auto"/>
                <w:sz w:val="20"/>
                <w:szCs w:val="20"/>
                <w:highlight w:val="none"/>
              </w:rPr>
              <w:t>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416100E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5DB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64459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159F462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6CA5B72">
            <w:pPr>
              <w:numPr>
                <w:ilvl w:val="0"/>
                <w:numId w:val="0"/>
              </w:numPr>
              <w:spacing w:line="240"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充电机喷涂件外壳具备防盐雾功能，要求</w:t>
            </w:r>
            <w:r>
              <w:rPr>
                <w:rFonts w:hint="eastAsia" w:ascii="宋体" w:hAnsi="宋体" w:eastAsia="宋体" w:cs="宋体"/>
                <w:color w:val="auto"/>
                <w:sz w:val="20"/>
                <w:szCs w:val="20"/>
                <w:highlight w:val="none"/>
                <w:lang w:val="en-US" w:eastAsia="zh-CN"/>
              </w:rPr>
              <w:t>N小时</w:t>
            </w:r>
            <w:r>
              <w:rPr>
                <w:rFonts w:hint="eastAsia" w:ascii="宋体" w:hAnsi="宋体" w:eastAsia="宋体" w:cs="宋体"/>
                <w:color w:val="auto"/>
                <w:sz w:val="20"/>
                <w:szCs w:val="20"/>
                <w:highlight w:val="none"/>
              </w:rPr>
              <w:t>盐雾环境侵蚀后充电机无任何涂层起泡、脱落、基材腐蚀现象，涂层表面不出现红锈点等杂色斑点现象。</w:t>
            </w:r>
            <w:r>
              <w:rPr>
                <w:rFonts w:hint="eastAsia" w:ascii="宋体" w:hAnsi="宋体" w:eastAsia="宋体" w:cs="宋体"/>
                <w:color w:val="auto"/>
                <w:sz w:val="20"/>
                <w:szCs w:val="20"/>
                <w:highlight w:val="none"/>
                <w:lang w:val="en-US" w:eastAsia="zh-CN"/>
              </w:rPr>
              <w:t>其中N≥500的，得2分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400≤N＜500的，得1.5分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N＜400的，得1分。</w:t>
            </w:r>
          </w:p>
          <w:p w14:paraId="4F0346F6">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268FCD0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62D4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1C9BE7E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7032BD5B">
            <w:pPr>
              <w:spacing w:line="240" w:lineRule="auto"/>
              <w:jc w:val="center"/>
              <w:rPr>
                <w:rFonts w:hint="eastAsia" w:ascii="宋体" w:hAnsi="宋体" w:eastAsia="宋体" w:cs="宋体"/>
                <w:color w:val="auto"/>
                <w:sz w:val="20"/>
                <w:szCs w:val="20"/>
                <w:highlight w:val="none"/>
              </w:rPr>
            </w:pPr>
          </w:p>
          <w:p w14:paraId="22B29FD5">
            <w:pPr>
              <w:spacing w:line="240" w:lineRule="auto"/>
              <w:jc w:val="center"/>
              <w:rPr>
                <w:rFonts w:hint="eastAsia" w:ascii="宋体" w:hAnsi="宋体" w:eastAsia="宋体" w:cs="宋体"/>
                <w:color w:val="auto"/>
                <w:sz w:val="20"/>
                <w:szCs w:val="20"/>
                <w:highlight w:val="none"/>
              </w:rPr>
            </w:pPr>
          </w:p>
          <w:p w14:paraId="2B37D338">
            <w:pPr>
              <w:spacing w:line="240" w:lineRule="auto"/>
              <w:jc w:val="center"/>
              <w:rPr>
                <w:rFonts w:hint="eastAsia" w:ascii="宋体" w:hAnsi="宋体" w:eastAsia="宋体" w:cs="宋体"/>
                <w:color w:val="auto"/>
                <w:sz w:val="20"/>
                <w:szCs w:val="20"/>
                <w:highlight w:val="none"/>
              </w:rPr>
            </w:pPr>
          </w:p>
          <w:p w14:paraId="5185A5C2">
            <w:pPr>
              <w:spacing w:line="240" w:lineRule="auto"/>
              <w:jc w:val="center"/>
              <w:rPr>
                <w:rFonts w:hint="eastAsia" w:ascii="宋体" w:hAnsi="宋体" w:eastAsia="宋体" w:cs="宋体"/>
                <w:color w:val="auto"/>
                <w:sz w:val="20"/>
                <w:szCs w:val="20"/>
                <w:highlight w:val="none"/>
              </w:rPr>
            </w:pPr>
          </w:p>
          <w:p w14:paraId="7ADCE5FA">
            <w:pPr>
              <w:spacing w:line="240" w:lineRule="auto"/>
              <w:jc w:val="center"/>
              <w:rPr>
                <w:rFonts w:hint="eastAsia" w:ascii="宋体" w:hAnsi="宋体" w:eastAsia="宋体" w:cs="宋体"/>
                <w:color w:val="auto"/>
                <w:sz w:val="20"/>
                <w:szCs w:val="20"/>
                <w:highlight w:val="none"/>
              </w:rPr>
            </w:pPr>
          </w:p>
          <w:p w14:paraId="4BAC2D5F">
            <w:pPr>
              <w:spacing w:line="240" w:lineRule="auto"/>
              <w:jc w:val="center"/>
              <w:rPr>
                <w:rFonts w:hint="eastAsia" w:ascii="宋体" w:hAnsi="宋体" w:eastAsia="宋体" w:cs="宋体"/>
                <w:color w:val="auto"/>
                <w:sz w:val="20"/>
                <w:szCs w:val="20"/>
                <w:highlight w:val="none"/>
              </w:rPr>
            </w:pPr>
          </w:p>
          <w:p w14:paraId="1AF04394">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设备安全性</w:t>
            </w:r>
          </w:p>
          <w:p w14:paraId="31B5814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161A70A">
            <w:pPr>
              <w:spacing w:line="240" w:lineRule="auto"/>
              <w:rPr>
                <w:rFonts w:hint="eastAsia" w:ascii="宋体" w:hAnsi="宋体" w:eastAsia="宋体" w:cs="宋体"/>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充电机具备40项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的，得4分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的，得2分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的，得1分</w:t>
            </w:r>
            <w:r>
              <w:rPr>
                <w:rFonts w:hint="eastAsia" w:ascii="宋体" w:hAnsi="宋体" w:eastAsia="宋体" w:cs="宋体"/>
                <w:color w:val="auto"/>
                <w:sz w:val="20"/>
                <w:szCs w:val="20"/>
                <w:highlight w:val="none"/>
              </w:rPr>
              <w:t>；</w:t>
            </w:r>
          </w:p>
          <w:p w14:paraId="6F4EABBC">
            <w:pPr>
              <w:spacing w:line="240" w:lineRule="auto"/>
              <w:rPr>
                <w:rFonts w:hint="eastAsia" w:ascii="宋体" w:hAnsi="宋体" w:eastAsia="宋体" w:cs="宋体"/>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充电机具备40项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的，得2分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的，得1分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的，得0.5分；</w:t>
            </w:r>
          </w:p>
          <w:p w14:paraId="755A94D0">
            <w:pPr>
              <w:spacing w:line="240" w:lineRule="auto"/>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本项最高得4分。</w:t>
            </w:r>
          </w:p>
          <w:p w14:paraId="5F379CAC">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（投标人或产品制造商提供第三方测评机构（具备CNAS、CMA资质）出具的直流充电机检验报告进行证明，</w:t>
            </w:r>
            <w:r>
              <w:rPr>
                <w:rFonts w:hint="eastAsia" w:ascii="宋体" w:hAnsi="宋体" w:eastAsia="宋体" w:cs="宋体"/>
                <w:b/>
                <w:bCs/>
                <w:color w:val="auto"/>
                <w:sz w:val="20"/>
                <w:szCs w:val="20"/>
                <w:highlight w:val="none"/>
                <w:lang w:val="en-US" w:eastAsia="zh-CN"/>
              </w:rPr>
              <w:t>不提供不得分</w:t>
            </w: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本项最高得4</w:t>
            </w:r>
            <w:r>
              <w:rPr>
                <w:rFonts w:hint="eastAsia" w:ascii="宋体" w:hAnsi="宋体" w:eastAsia="宋体" w:cs="宋体"/>
                <w:b/>
                <w:bCs/>
                <w:color w:val="auto"/>
                <w:sz w:val="20"/>
                <w:szCs w:val="20"/>
                <w:highlight w:val="none"/>
              </w:rPr>
              <w:t>分。）</w:t>
            </w:r>
          </w:p>
        </w:tc>
        <w:tc>
          <w:tcPr>
            <w:tcW w:w="715" w:type="dxa"/>
            <w:noWrap w:val="0"/>
            <w:vAlign w:val="center"/>
          </w:tcPr>
          <w:p w14:paraId="071FEAE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p>
        </w:tc>
      </w:tr>
      <w:tr w14:paraId="5A0A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085634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49DE1F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2C22F3E2">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当环境温度为+60℃时，充电机应能正常工作</w:t>
            </w:r>
            <w:r>
              <w:rPr>
                <w:rFonts w:hint="eastAsia" w:ascii="宋体" w:hAnsi="宋体" w:eastAsia="宋体" w:cs="宋体"/>
                <w:color w:val="auto"/>
                <w:sz w:val="20"/>
                <w:szCs w:val="20"/>
                <w:highlight w:val="none"/>
                <w:lang w:val="en-US" w:eastAsia="zh-CN"/>
              </w:rPr>
              <w:t>的，得3分</w:t>
            </w:r>
            <w:r>
              <w:rPr>
                <w:rFonts w:hint="eastAsia" w:ascii="宋体" w:hAnsi="宋体" w:cs="宋体"/>
                <w:color w:val="auto"/>
                <w:sz w:val="20"/>
                <w:szCs w:val="20"/>
                <w:highlight w:val="none"/>
                <w:lang w:eastAsia="zh-CN"/>
              </w:rPr>
              <w:t>。</w:t>
            </w:r>
          </w:p>
          <w:p w14:paraId="521B06D4">
            <w:pPr>
              <w:numPr>
                <w:ilvl w:val="0"/>
                <w:numId w:val="0"/>
              </w:numPr>
              <w:spacing w:line="240" w:lineRule="auto"/>
              <w:rPr>
                <w:rFonts w:hint="eastAsia" w:ascii="宋体" w:hAnsi="宋体" w:cs="宋体"/>
                <w:color w:val="auto"/>
                <w:sz w:val="20"/>
                <w:szCs w:val="20"/>
                <w:highlight w:val="none"/>
                <w:lang w:val="en-US" w:eastAsia="zh-CN"/>
              </w:rPr>
            </w:pPr>
            <w:r>
              <w:rPr>
                <w:rFonts w:hint="eastAsia" w:ascii="宋体" w:hAnsi="宋体" w:eastAsia="宋体" w:cs="宋体"/>
                <w:color w:val="auto"/>
                <w:kern w:val="2"/>
                <w:sz w:val="20"/>
                <w:szCs w:val="20"/>
                <w:highlight w:val="none"/>
                <w:lang w:val="en-US" w:eastAsia="zh-CN" w:bidi="ar-SA"/>
              </w:rPr>
              <w:t>（2）</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cs="宋体"/>
                <w:color w:val="auto"/>
                <w:sz w:val="20"/>
                <w:szCs w:val="20"/>
                <w:highlight w:val="none"/>
                <w:lang w:val="en-US" w:eastAsia="zh-CN"/>
              </w:rPr>
              <w:t>当环境温度为+60℃时，充电机应能正常工作的，得1.5分。</w:t>
            </w:r>
          </w:p>
          <w:p w14:paraId="075DFFA9">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48955D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r>
      <w:tr w14:paraId="0C34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7D29D42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5CB0734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4B487DEA">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充电机具备柔性充电功能，可根据充电温度系数、充电时长系数和BMS需求电流系数等实时调整充电输出，实现对电池安全的柔性充电保护车辆电池</w:t>
            </w:r>
            <w:r>
              <w:rPr>
                <w:rFonts w:hint="eastAsia" w:ascii="宋体" w:hAnsi="宋体" w:eastAsia="宋体" w:cs="宋体"/>
                <w:color w:val="auto"/>
                <w:sz w:val="20"/>
                <w:szCs w:val="20"/>
                <w:highlight w:val="none"/>
                <w:lang w:val="en-US" w:eastAsia="zh-CN"/>
              </w:rPr>
              <w:t>的，得3分</w:t>
            </w:r>
            <w:r>
              <w:rPr>
                <w:rFonts w:hint="eastAsia" w:ascii="宋体" w:hAnsi="宋体" w:cs="宋体"/>
                <w:color w:val="auto"/>
                <w:sz w:val="20"/>
                <w:szCs w:val="20"/>
                <w:highlight w:val="none"/>
                <w:lang w:eastAsia="zh-CN"/>
              </w:rPr>
              <w:t>。</w:t>
            </w:r>
          </w:p>
          <w:p w14:paraId="30421DAD">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（2）</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充电机具备柔性充电功能，可根据充电温度系数、充电时长系数和BMS需求电流系数等实时调整充电输出，实现对电池安全的柔性充电保护车辆电池</w:t>
            </w:r>
            <w:r>
              <w:rPr>
                <w:rFonts w:hint="eastAsia" w:ascii="宋体" w:hAnsi="宋体" w:eastAsia="宋体" w:cs="宋体"/>
                <w:color w:val="auto"/>
                <w:sz w:val="20"/>
                <w:szCs w:val="20"/>
                <w:highlight w:val="none"/>
                <w:lang w:val="en-US" w:eastAsia="zh-CN"/>
              </w:rPr>
              <w:t>的，得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eastAsia="zh-CN"/>
              </w:rPr>
              <w:t>。</w:t>
            </w:r>
          </w:p>
          <w:p w14:paraId="00E2B359">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25A17E6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r>
      <w:tr w14:paraId="55D5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06D827F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5E58BC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0FE08BD6">
            <w:pPr>
              <w:numPr>
                <w:ilvl w:val="0"/>
                <w:numId w:val="0"/>
              </w:num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充电机具备故障录波功能，当出现了疑似故障特征或实际故障发生后，能够记录故障前后电池、充电机等关键信息</w:t>
            </w:r>
            <w:r>
              <w:rPr>
                <w:rFonts w:hint="eastAsia" w:ascii="宋体" w:hAnsi="宋体" w:eastAsia="宋体" w:cs="宋体"/>
                <w:color w:val="auto"/>
                <w:sz w:val="20"/>
                <w:szCs w:val="20"/>
                <w:highlight w:val="none"/>
                <w:lang w:val="en-US" w:eastAsia="zh-CN"/>
              </w:rPr>
              <w:t>的，得3分</w:t>
            </w:r>
            <w:r>
              <w:rPr>
                <w:rFonts w:hint="eastAsia" w:ascii="宋体" w:hAnsi="宋体" w:eastAsia="宋体" w:cs="宋体"/>
                <w:color w:val="auto"/>
                <w:sz w:val="20"/>
                <w:szCs w:val="20"/>
                <w:highlight w:val="none"/>
              </w:rPr>
              <w:t>；</w:t>
            </w:r>
          </w:p>
          <w:p w14:paraId="5D07603C">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充电机具备故障录波功能，当出现了疑似故障特征或实际故障发生后，能够记录故障前后电池、充电机等关键信息</w:t>
            </w:r>
            <w:r>
              <w:rPr>
                <w:rFonts w:hint="eastAsia" w:ascii="宋体" w:hAnsi="宋体" w:eastAsia="宋体" w:cs="宋体"/>
                <w:color w:val="auto"/>
                <w:sz w:val="20"/>
                <w:szCs w:val="20"/>
                <w:highlight w:val="none"/>
                <w:lang w:val="en-US" w:eastAsia="zh-CN"/>
              </w:rPr>
              <w:t>的，得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eastAsia="宋体" w:cs="宋体"/>
                <w:color w:val="auto"/>
                <w:sz w:val="20"/>
                <w:szCs w:val="20"/>
                <w:highlight w:val="none"/>
              </w:rPr>
              <w:t>；</w:t>
            </w:r>
          </w:p>
          <w:p w14:paraId="58682F95">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715" w:type="dxa"/>
            <w:noWrap w:val="0"/>
            <w:vAlign w:val="center"/>
          </w:tcPr>
          <w:p w14:paraId="2B3021E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r>
      <w:tr w14:paraId="393C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3B647D0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02C797B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4D8C0E6">
            <w:pPr>
              <w:numPr>
                <w:ilvl w:val="0"/>
                <w:numId w:val="0"/>
              </w:num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充电机具备能够对充电过程中动力电池的安全事故进行100%预警，至少包括电池组内温度偏高故障、单体电池超过截止电压故障、绝缘故障、热失控故障预警功能</w:t>
            </w:r>
            <w:r>
              <w:rPr>
                <w:rFonts w:hint="eastAsia" w:ascii="宋体" w:hAnsi="宋体" w:cs="宋体"/>
                <w:color w:val="auto"/>
                <w:sz w:val="20"/>
                <w:szCs w:val="20"/>
                <w:highlight w:val="none"/>
                <w:lang w:val="en-US" w:eastAsia="zh-CN"/>
              </w:rPr>
              <w:t>的。得2分</w:t>
            </w:r>
            <w:r>
              <w:rPr>
                <w:rFonts w:hint="eastAsia" w:ascii="宋体" w:hAnsi="宋体" w:eastAsia="宋体" w:cs="宋体"/>
                <w:color w:val="auto"/>
                <w:sz w:val="20"/>
                <w:szCs w:val="20"/>
                <w:highlight w:val="none"/>
              </w:rPr>
              <w:t>。</w:t>
            </w:r>
          </w:p>
          <w:p w14:paraId="51577BED">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rPr>
              <w:t>投标人或产品制造商提供第三方测评机构（具备CNAS、CMA资质）出具的检验报告进行证明</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lang w:eastAsia="zh-CN"/>
              </w:rPr>
              <w:t>）</w:t>
            </w:r>
          </w:p>
        </w:tc>
        <w:tc>
          <w:tcPr>
            <w:tcW w:w="715" w:type="dxa"/>
            <w:noWrap w:val="0"/>
            <w:vAlign w:val="center"/>
          </w:tcPr>
          <w:p w14:paraId="3EC9132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rPr>
              <w:t>2</w:t>
            </w:r>
          </w:p>
        </w:tc>
      </w:tr>
      <w:tr w14:paraId="3AD1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187994D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0BAEF8B4">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充电站监控平台先进性</w:t>
            </w:r>
          </w:p>
          <w:p w14:paraId="2FABDBB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67F3A9A9">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投标人提供的平台能够监控车辆充电安全，并对异常充电车辆发送预警信息</w:t>
            </w:r>
            <w:r>
              <w:rPr>
                <w:rFonts w:hint="eastAsia" w:ascii="宋体" w:hAnsi="宋体" w:cs="宋体"/>
                <w:color w:val="auto"/>
                <w:kern w:val="2"/>
                <w:sz w:val="20"/>
                <w:szCs w:val="20"/>
                <w:highlight w:val="none"/>
                <w:lang w:val="en-US" w:eastAsia="zh-CN" w:bidi="ar-SA"/>
              </w:rPr>
              <w:t>的</w:t>
            </w:r>
            <w:r>
              <w:rPr>
                <w:rFonts w:hint="eastAsia" w:ascii="宋体" w:hAnsi="宋体" w:eastAsia="宋体" w:cs="宋体"/>
                <w:color w:val="auto"/>
                <w:kern w:val="2"/>
                <w:sz w:val="20"/>
                <w:szCs w:val="20"/>
                <w:highlight w:val="none"/>
                <w:lang w:val="en-US" w:eastAsia="zh-CN" w:bidi="ar-SA"/>
              </w:rPr>
              <w:t>，得2分</w:t>
            </w:r>
            <w:r>
              <w:rPr>
                <w:rFonts w:hint="eastAsia" w:ascii="宋体" w:hAnsi="宋体" w:cs="宋体"/>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提供软件著作权登记证书</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715" w:type="dxa"/>
            <w:shd w:val="clear" w:color="auto" w:fill="auto"/>
            <w:noWrap w:val="0"/>
            <w:vAlign w:val="center"/>
          </w:tcPr>
          <w:p w14:paraId="3F6A783B">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r>
      <w:tr w14:paraId="55C5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17724E1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4876350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4C67AE1A">
            <w:pPr>
              <w:pStyle w:val="61"/>
              <w:widowControl w:val="0"/>
              <w:snapToGrid w:val="0"/>
              <w:spacing w:line="240" w:lineRule="auto"/>
              <w:ind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投标人所提供的运营管理及充电智能监控平台具有大数据充电安全防护功能，得2分。</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提供第三方测评机构（具备CNAS、CMA资质）提供的测试报告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715" w:type="dxa"/>
            <w:shd w:val="clear" w:color="auto" w:fill="auto"/>
            <w:noWrap w:val="0"/>
            <w:vAlign w:val="center"/>
          </w:tcPr>
          <w:p w14:paraId="63F1E0C4">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r>
      <w:tr w14:paraId="096F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07017E5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39B925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213745F5">
            <w:pPr>
              <w:pStyle w:val="61"/>
              <w:widowControl w:val="0"/>
              <w:snapToGrid w:val="0"/>
              <w:spacing w:line="240" w:lineRule="auto"/>
              <w:ind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大数据充电安全防护平台具备安全防护多维分析功能，可查看车型大类安全防护分析信息，得2分。</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提供第三方测评机构（具备CNAS、CMA资质）提供的测试报告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715" w:type="dxa"/>
            <w:shd w:val="clear" w:color="auto" w:fill="auto"/>
            <w:noWrap w:val="0"/>
            <w:vAlign w:val="center"/>
          </w:tcPr>
          <w:p w14:paraId="7C1DFE5B">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r>
      <w:tr w14:paraId="6F3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60AA61F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58BE8D10">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售后服务</w:t>
            </w:r>
          </w:p>
          <w:p w14:paraId="182203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07F75FA9">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投标人在台州市内设有本地化售后服务机构且</w:t>
            </w:r>
            <w:r>
              <w:rPr>
                <w:rFonts w:hint="eastAsia" w:ascii="宋体" w:hAnsi="宋体" w:cs="宋体"/>
                <w:color w:val="auto"/>
                <w:kern w:val="2"/>
                <w:sz w:val="20"/>
                <w:szCs w:val="20"/>
                <w:highlight w:val="none"/>
                <w:lang w:val="en-US" w:eastAsia="zh-CN" w:bidi="ar-SA"/>
              </w:rPr>
              <w:t>承诺</w:t>
            </w:r>
            <w:r>
              <w:rPr>
                <w:rFonts w:hint="eastAsia" w:ascii="宋体" w:hAnsi="宋体" w:eastAsia="宋体" w:cs="宋体"/>
                <w:color w:val="auto"/>
                <w:kern w:val="2"/>
                <w:sz w:val="20"/>
                <w:szCs w:val="20"/>
                <w:highlight w:val="none"/>
                <w:lang w:val="en-US" w:eastAsia="zh-CN" w:bidi="ar-SA"/>
              </w:rPr>
              <w:t>服务期限不低于5年的，</w:t>
            </w:r>
            <w:r>
              <w:rPr>
                <w:rFonts w:hint="eastAsia" w:ascii="宋体" w:hAnsi="宋体" w:cs="宋体"/>
                <w:color w:val="auto"/>
                <w:kern w:val="2"/>
                <w:sz w:val="20"/>
                <w:szCs w:val="20"/>
                <w:highlight w:val="none"/>
                <w:lang w:val="en-US" w:eastAsia="zh-CN" w:bidi="ar-SA"/>
              </w:rPr>
              <w:t>或</w:t>
            </w:r>
            <w:r>
              <w:rPr>
                <w:rFonts w:hint="eastAsia" w:ascii="宋体" w:hAnsi="宋体" w:eastAsia="宋体" w:cs="宋体"/>
                <w:color w:val="auto"/>
                <w:kern w:val="2"/>
                <w:sz w:val="20"/>
                <w:szCs w:val="20"/>
                <w:highlight w:val="none"/>
                <w:lang w:val="en-US" w:eastAsia="zh-CN" w:bidi="ar-SA"/>
              </w:rPr>
              <w:t>投标人承诺中标后一个月内在台州市设有本地化售后服务机构的，且</w:t>
            </w:r>
            <w:r>
              <w:rPr>
                <w:rFonts w:hint="eastAsia" w:ascii="宋体" w:hAnsi="宋体" w:cs="宋体"/>
                <w:color w:val="auto"/>
                <w:kern w:val="2"/>
                <w:sz w:val="20"/>
                <w:szCs w:val="20"/>
                <w:highlight w:val="none"/>
                <w:lang w:val="en-US" w:eastAsia="zh-CN" w:bidi="ar-SA"/>
              </w:rPr>
              <w:t>承诺</w:t>
            </w:r>
            <w:r>
              <w:rPr>
                <w:rFonts w:hint="eastAsia" w:ascii="宋体" w:hAnsi="宋体" w:eastAsia="宋体" w:cs="宋体"/>
                <w:color w:val="auto"/>
                <w:kern w:val="2"/>
                <w:sz w:val="20"/>
                <w:szCs w:val="20"/>
                <w:highlight w:val="none"/>
                <w:lang w:val="en-US" w:eastAsia="zh-CN" w:bidi="ar-SA"/>
              </w:rPr>
              <w:t>服务期限不低于5年的</w:t>
            </w:r>
            <w:r>
              <w:rPr>
                <w:rFonts w:hint="eastAsia" w:ascii="宋体" w:hAnsi="宋体" w:cs="宋体"/>
                <w:color w:val="auto"/>
                <w:kern w:val="2"/>
                <w:sz w:val="20"/>
                <w:szCs w:val="20"/>
                <w:highlight w:val="none"/>
                <w:lang w:val="en-US" w:eastAsia="zh-CN" w:bidi="ar-SA"/>
              </w:rPr>
              <w:t>，</w:t>
            </w:r>
            <w:r>
              <w:rPr>
                <w:rFonts w:hint="eastAsia" w:ascii="宋体" w:hAnsi="宋体" w:eastAsia="宋体" w:cs="宋体"/>
                <w:color w:val="auto"/>
                <w:kern w:val="2"/>
                <w:sz w:val="20"/>
                <w:szCs w:val="20"/>
                <w:highlight w:val="none"/>
                <w:lang w:val="en-US" w:eastAsia="zh-CN" w:bidi="ar-SA"/>
              </w:rPr>
              <w:t>得2分。</w:t>
            </w:r>
          </w:p>
          <w:p w14:paraId="0C43BB95">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已有的：</w:t>
            </w:r>
            <w:r>
              <w:rPr>
                <w:rFonts w:hint="eastAsia" w:ascii="宋体" w:hAnsi="宋体" w:eastAsia="宋体" w:cs="宋体"/>
                <w:b/>
                <w:bCs/>
                <w:color w:val="auto"/>
                <w:kern w:val="2"/>
                <w:sz w:val="20"/>
                <w:szCs w:val="20"/>
                <w:highlight w:val="none"/>
                <w:lang w:val="en-US" w:eastAsia="zh-CN" w:bidi="ar-SA"/>
              </w:rPr>
              <w:t>须同时提供投标人与售后服务机构关联声明（股权关系声明）、售后服务机构营业执照、服务机构有效期内的房屋产权证明或房屋租赁合同或场地使用证明、设立的本地化售后服务机构服务期限不低于5年的承诺函原件</w:t>
            </w:r>
            <w:r>
              <w:rPr>
                <w:rFonts w:hint="eastAsia" w:ascii="宋体" w:hAnsi="宋体" w:cs="宋体"/>
                <w:b/>
                <w:bCs/>
                <w:color w:val="auto"/>
                <w:kern w:val="2"/>
                <w:sz w:val="20"/>
                <w:szCs w:val="20"/>
                <w:highlight w:val="none"/>
                <w:lang w:val="en-US" w:eastAsia="zh-CN" w:bidi="ar-SA"/>
              </w:rPr>
              <w:t>并加盖投标人公章编入投标文件中；未有的：提供</w:t>
            </w:r>
            <w:r>
              <w:rPr>
                <w:rFonts w:hint="eastAsia" w:ascii="宋体" w:hAnsi="宋体" w:eastAsia="宋体" w:cs="宋体"/>
                <w:b/>
                <w:bCs/>
                <w:color w:val="auto"/>
                <w:kern w:val="2"/>
                <w:sz w:val="20"/>
                <w:szCs w:val="20"/>
                <w:highlight w:val="none"/>
                <w:lang w:val="en-US" w:eastAsia="zh-CN" w:bidi="ar-SA"/>
              </w:rPr>
              <w:t>中标后一个月内在台州市设有本地化售后服务机构的承诺函</w:t>
            </w:r>
            <w:r>
              <w:rPr>
                <w:rFonts w:hint="eastAsia" w:ascii="宋体" w:hAnsi="宋体" w:cs="宋体"/>
                <w:b/>
                <w:bCs/>
                <w:color w:val="auto"/>
                <w:kern w:val="2"/>
                <w:sz w:val="20"/>
                <w:szCs w:val="20"/>
                <w:highlight w:val="none"/>
                <w:lang w:val="en-US" w:eastAsia="zh-CN" w:bidi="ar-SA"/>
              </w:rPr>
              <w:t>原件以及</w:t>
            </w:r>
            <w:r>
              <w:rPr>
                <w:rFonts w:hint="eastAsia" w:ascii="宋体" w:hAnsi="宋体" w:eastAsia="宋体" w:cs="宋体"/>
                <w:b/>
                <w:bCs/>
                <w:color w:val="auto"/>
                <w:kern w:val="2"/>
                <w:sz w:val="20"/>
                <w:szCs w:val="20"/>
                <w:highlight w:val="none"/>
                <w:lang w:val="en-US" w:eastAsia="zh-CN" w:bidi="ar-SA"/>
              </w:rPr>
              <w:t>设立的本地化售后服务机构服务期限不低于5年的承诺函原件</w:t>
            </w:r>
            <w:r>
              <w:rPr>
                <w:rFonts w:hint="eastAsia" w:ascii="宋体" w:hAnsi="宋体" w:cs="宋体"/>
                <w:b/>
                <w:bCs/>
                <w:color w:val="auto"/>
                <w:kern w:val="2"/>
                <w:sz w:val="20"/>
                <w:szCs w:val="20"/>
                <w:highlight w:val="none"/>
                <w:lang w:val="en-US" w:eastAsia="zh-CN" w:bidi="ar-SA"/>
              </w:rPr>
              <w:t>并加盖投标人公章编入投标文件中</w:t>
            </w:r>
            <w:r>
              <w:rPr>
                <w:rFonts w:hint="eastAsia" w:ascii="宋体" w:hAnsi="宋体" w:eastAsia="宋体" w:cs="宋体"/>
                <w:b/>
                <w:bCs/>
                <w:color w:val="auto"/>
                <w:kern w:val="2"/>
                <w:sz w:val="20"/>
                <w:szCs w:val="20"/>
                <w:highlight w:val="none"/>
                <w:lang w:val="en-US" w:eastAsia="zh-CN" w:bidi="ar-SA"/>
              </w:rPr>
              <w:t>）</w:t>
            </w:r>
          </w:p>
        </w:tc>
        <w:tc>
          <w:tcPr>
            <w:tcW w:w="715" w:type="dxa"/>
            <w:shd w:val="clear" w:color="auto" w:fill="auto"/>
            <w:noWrap w:val="0"/>
            <w:vAlign w:val="center"/>
          </w:tcPr>
          <w:p w14:paraId="46DEAAF5">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r>
      <w:tr w14:paraId="0A8A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30BDF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70139C9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583FC499">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投标人</w:t>
            </w:r>
            <w:r>
              <w:rPr>
                <w:rFonts w:hint="eastAsia" w:ascii="宋体" w:hAnsi="宋体" w:eastAsia="宋体" w:cs="宋体"/>
                <w:color w:val="auto"/>
                <w:kern w:val="2"/>
                <w:sz w:val="20"/>
                <w:szCs w:val="20"/>
                <w:highlight w:val="none"/>
                <w:lang w:val="en-US" w:eastAsia="zh-CN" w:bidi="ar-SA"/>
              </w:rPr>
              <w:t>本地售后服务机构</w:t>
            </w:r>
            <w:r>
              <w:rPr>
                <w:rFonts w:hint="eastAsia" w:ascii="宋体" w:hAnsi="宋体" w:cs="宋体"/>
                <w:color w:val="auto"/>
                <w:kern w:val="2"/>
                <w:sz w:val="20"/>
                <w:szCs w:val="20"/>
                <w:highlight w:val="none"/>
                <w:lang w:val="en-US" w:eastAsia="zh-CN" w:bidi="ar-SA"/>
              </w:rPr>
              <w:t>现有</w:t>
            </w:r>
            <w:r>
              <w:rPr>
                <w:rFonts w:hint="eastAsia" w:ascii="宋体" w:hAnsi="宋体" w:eastAsia="宋体" w:cs="宋体"/>
                <w:color w:val="auto"/>
                <w:kern w:val="2"/>
                <w:sz w:val="20"/>
                <w:szCs w:val="20"/>
                <w:highlight w:val="none"/>
                <w:lang w:val="en-US" w:eastAsia="zh-CN" w:bidi="ar-SA"/>
              </w:rPr>
              <w:t>常驻专业售后服务人员</w:t>
            </w:r>
            <w:r>
              <w:rPr>
                <w:rFonts w:hint="eastAsia" w:ascii="宋体" w:hAnsi="宋体" w:cs="宋体"/>
                <w:color w:val="auto"/>
                <w:kern w:val="2"/>
                <w:sz w:val="20"/>
                <w:szCs w:val="20"/>
                <w:highlight w:val="none"/>
                <w:lang w:val="en-US" w:eastAsia="zh-CN" w:bidi="ar-SA"/>
              </w:rPr>
              <w:t>或承诺中标后提供的</w:t>
            </w:r>
            <w:r>
              <w:rPr>
                <w:rFonts w:hint="eastAsia" w:ascii="宋体" w:hAnsi="宋体" w:eastAsia="宋体" w:cs="宋体"/>
                <w:color w:val="auto"/>
                <w:kern w:val="2"/>
                <w:sz w:val="20"/>
                <w:szCs w:val="20"/>
                <w:highlight w:val="none"/>
                <w:lang w:val="en-US" w:eastAsia="zh-CN" w:bidi="ar-SA"/>
              </w:rPr>
              <w:t>常驻专业售后服务人员</w:t>
            </w:r>
            <w:r>
              <w:rPr>
                <w:rFonts w:hint="eastAsia" w:ascii="宋体" w:hAnsi="宋体" w:eastAsia="宋体" w:cs="宋体"/>
                <w:color w:val="auto"/>
                <w:kern w:val="2"/>
                <w:sz w:val="20"/>
                <w:szCs w:val="20"/>
                <w:highlight w:val="none"/>
                <w:lang w:val="en-US" w:eastAsia="zh-CN" w:bidi="ar-SA"/>
              </w:rPr>
              <w:t>，人数≥5人得3分，5＞人数≥3人得2分，3＞人数≥1人得1分。</w:t>
            </w:r>
          </w:p>
          <w:p w14:paraId="660CCC7C">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w:t>
            </w:r>
            <w:r>
              <w:rPr>
                <w:rFonts w:hint="eastAsia" w:ascii="宋体" w:hAnsi="宋体" w:cs="宋体"/>
                <w:b/>
                <w:bCs/>
                <w:color w:val="auto"/>
                <w:kern w:val="2"/>
                <w:sz w:val="20"/>
                <w:szCs w:val="20"/>
                <w:highlight w:val="none"/>
                <w:lang w:val="en-US" w:eastAsia="zh-CN" w:bidi="ar-SA"/>
              </w:rPr>
              <w:t>相关</w:t>
            </w:r>
            <w:r>
              <w:rPr>
                <w:rFonts w:hint="eastAsia" w:ascii="宋体" w:hAnsi="宋体" w:eastAsia="宋体" w:cs="宋体"/>
                <w:b/>
                <w:bCs/>
                <w:color w:val="auto"/>
                <w:kern w:val="2"/>
                <w:sz w:val="20"/>
                <w:szCs w:val="20"/>
                <w:highlight w:val="none"/>
                <w:lang w:val="en-US" w:eastAsia="zh-CN" w:bidi="ar-SA"/>
              </w:rPr>
              <w:t>人员所在机构近三个月缴纳社保证明及相应人员高压电工证或低压电工证证书</w:t>
            </w:r>
            <w:r>
              <w:rPr>
                <w:rFonts w:hint="eastAsia" w:ascii="宋体" w:hAnsi="宋体" w:cs="宋体"/>
                <w:b/>
                <w:bCs/>
                <w:color w:val="auto"/>
                <w:kern w:val="2"/>
                <w:sz w:val="20"/>
                <w:szCs w:val="20"/>
                <w:highlight w:val="none"/>
                <w:lang w:val="en-US" w:eastAsia="zh-CN" w:bidi="ar-SA"/>
              </w:rPr>
              <w:t>扫描</w:t>
            </w:r>
            <w:r>
              <w:rPr>
                <w:rFonts w:hint="eastAsia" w:ascii="宋体" w:hAnsi="宋体" w:eastAsia="宋体" w:cs="宋体"/>
                <w:b/>
                <w:bCs/>
                <w:color w:val="auto"/>
                <w:kern w:val="2"/>
                <w:sz w:val="20"/>
                <w:szCs w:val="20"/>
                <w:highlight w:val="none"/>
                <w:lang w:val="en-US" w:eastAsia="zh-CN" w:bidi="ar-SA"/>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未提供或提供不全不得分</w:t>
            </w:r>
            <w:r>
              <w:rPr>
                <w:rFonts w:hint="eastAsia" w:ascii="宋体" w:hAnsi="宋体" w:eastAsia="宋体" w:cs="宋体"/>
                <w:b/>
                <w:bCs/>
                <w:color w:val="auto"/>
                <w:kern w:val="2"/>
                <w:sz w:val="20"/>
                <w:szCs w:val="20"/>
                <w:highlight w:val="none"/>
                <w:lang w:val="en-US" w:eastAsia="zh-CN" w:bidi="ar-SA"/>
              </w:rPr>
              <w:t>）</w:t>
            </w:r>
          </w:p>
        </w:tc>
        <w:tc>
          <w:tcPr>
            <w:tcW w:w="715" w:type="dxa"/>
            <w:shd w:val="clear" w:color="auto" w:fill="auto"/>
            <w:noWrap w:val="0"/>
            <w:vAlign w:val="center"/>
          </w:tcPr>
          <w:p w14:paraId="50C357E2">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w:t>
            </w:r>
          </w:p>
        </w:tc>
      </w:tr>
      <w:tr w14:paraId="4D1C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0CFBE2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52A4A2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A5B381F">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根据各投标人售后服务方案及承诺、保障措施、培训计划、其他附加服务等情况综合评审。</w:t>
            </w:r>
          </w:p>
          <w:p w14:paraId="06B8D18C">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售后服务方案合理性、可操作性强的得3.0-4.0分；</w:t>
            </w:r>
          </w:p>
          <w:p w14:paraId="40599E17">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售后服务方案合理性、可操作性较强的得2.0-2.9分；</w:t>
            </w:r>
          </w:p>
          <w:p w14:paraId="3A2D0020">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售后服务方案合理性、可操作性均一般的得0.1-1.9分；</w:t>
            </w:r>
          </w:p>
          <w:p w14:paraId="5D2011DF">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715" w:type="dxa"/>
            <w:shd w:val="clear" w:color="auto" w:fill="auto"/>
            <w:noWrap w:val="0"/>
            <w:vAlign w:val="center"/>
          </w:tcPr>
          <w:p w14:paraId="1AC1C750">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p>
        </w:tc>
      </w:tr>
      <w:tr w14:paraId="58DF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4" w:type="dxa"/>
            <w:gridSpan w:val="3"/>
            <w:noWrap w:val="0"/>
            <w:vAlign w:val="center"/>
          </w:tcPr>
          <w:p w14:paraId="5765137D">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技术资信合计</w:t>
            </w:r>
          </w:p>
        </w:tc>
        <w:tc>
          <w:tcPr>
            <w:tcW w:w="715" w:type="dxa"/>
            <w:noWrap w:val="0"/>
            <w:vAlign w:val="center"/>
          </w:tcPr>
          <w:p w14:paraId="6E877CF6">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60</w:t>
            </w:r>
          </w:p>
        </w:tc>
      </w:tr>
    </w:tbl>
    <w:p w14:paraId="572F0C8F">
      <w:pPr>
        <w:pStyle w:val="9"/>
        <w:rPr>
          <w:color w:val="auto"/>
          <w:highlight w:val="none"/>
        </w:rPr>
        <w:sectPr>
          <w:footerReference r:id="rId6" w:type="default"/>
          <w:pgSz w:w="11906" w:h="16838"/>
          <w:pgMar w:top="1440" w:right="1440" w:bottom="1440" w:left="1803" w:header="851" w:footer="992" w:gutter="0"/>
          <w:pgNumType w:fmt="numberInDash"/>
          <w:cols w:space="0" w:num="1"/>
          <w:docGrid w:type="lines" w:linePitch="325" w:charSpace="0"/>
        </w:sectPr>
      </w:pPr>
    </w:p>
    <w:p w14:paraId="16CFEB91">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第四章 公开招标需求</w:t>
      </w:r>
    </w:p>
    <w:p w14:paraId="36E020D1">
      <w:pPr>
        <w:topLinePunct/>
        <w:adjustRightInd w:val="0"/>
        <w:snapToGrid w:val="0"/>
        <w:ind w:left="124" w:leftChars="59"/>
        <w:jc w:val="left"/>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b/>
          <w:bCs/>
          <w:color w:val="auto"/>
          <w:sz w:val="21"/>
          <w:szCs w:val="21"/>
          <w:highlight w:val="none"/>
        </w:rPr>
        <w:t>项目建设参考标准</w:t>
      </w:r>
    </w:p>
    <w:p w14:paraId="1D7A15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为保证项目建设质量，须遵循有关业务、技术、数据等标准和规范。</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199"/>
      </w:tblGrid>
      <w:tr w14:paraId="2B02E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2344" w:type="dxa"/>
            <w:noWrap w:val="0"/>
            <w:tcMar>
              <w:left w:w="0" w:type="dxa"/>
              <w:right w:w="0" w:type="dxa"/>
            </w:tcMar>
            <w:vAlign w:val="center"/>
          </w:tcPr>
          <w:p w14:paraId="64F127B4">
            <w:pPr>
              <w:overflowPunct w:val="0"/>
              <w:adjustRightInd w:val="0"/>
              <w:ind w:left="72" w:right="7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标   准   号</w:t>
            </w:r>
          </w:p>
        </w:tc>
        <w:tc>
          <w:tcPr>
            <w:tcW w:w="7199" w:type="dxa"/>
            <w:noWrap w:val="0"/>
            <w:tcMar>
              <w:left w:w="0" w:type="dxa"/>
              <w:right w:w="0" w:type="dxa"/>
            </w:tcMar>
            <w:vAlign w:val="center"/>
          </w:tcPr>
          <w:p w14:paraId="0942DBE6">
            <w:pPr>
              <w:overflowPunct w:val="0"/>
              <w:adjustRightInd w:val="0"/>
              <w:ind w:left="72" w:right="7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标  准  名  称</w:t>
            </w:r>
          </w:p>
        </w:tc>
      </w:tr>
      <w:tr w14:paraId="5DAA4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42ACDA4D">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2421.1-2008</w:t>
            </w:r>
          </w:p>
        </w:tc>
        <w:tc>
          <w:tcPr>
            <w:tcW w:w="7199" w:type="dxa"/>
            <w:noWrap w:val="0"/>
            <w:tcMar>
              <w:left w:w="0" w:type="dxa"/>
              <w:right w:w="0" w:type="dxa"/>
            </w:tcMar>
            <w:vAlign w:val="center"/>
          </w:tcPr>
          <w:p w14:paraId="7E90081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《电工电子产品环境试验概述和指南》</w:t>
            </w:r>
          </w:p>
        </w:tc>
      </w:tr>
      <w:tr w14:paraId="48366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3C34EBB6">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2423.1-2008</w:t>
            </w:r>
          </w:p>
        </w:tc>
        <w:tc>
          <w:tcPr>
            <w:tcW w:w="7199" w:type="dxa"/>
            <w:noWrap w:val="0"/>
            <w:tcMar>
              <w:left w:w="0" w:type="dxa"/>
              <w:right w:w="0" w:type="dxa"/>
            </w:tcMar>
            <w:vAlign w:val="center"/>
          </w:tcPr>
          <w:p w14:paraId="562FFE1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试验A：低温</w:t>
            </w:r>
          </w:p>
        </w:tc>
      </w:tr>
      <w:tr w14:paraId="44B24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34E09CF7">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2423.2-2008</w:t>
            </w:r>
          </w:p>
        </w:tc>
        <w:tc>
          <w:tcPr>
            <w:tcW w:w="7199" w:type="dxa"/>
            <w:noWrap w:val="0"/>
            <w:tcMar>
              <w:left w:w="0" w:type="dxa"/>
              <w:right w:w="0" w:type="dxa"/>
            </w:tcMar>
            <w:vAlign w:val="center"/>
          </w:tcPr>
          <w:p w14:paraId="734CAD7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试验B：高温</w:t>
            </w:r>
          </w:p>
        </w:tc>
      </w:tr>
      <w:tr w14:paraId="61824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35BC3F8E">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2423.4-2008</w:t>
            </w:r>
          </w:p>
        </w:tc>
        <w:tc>
          <w:tcPr>
            <w:tcW w:w="7199" w:type="dxa"/>
            <w:noWrap w:val="0"/>
            <w:tcMar>
              <w:left w:w="0" w:type="dxa"/>
              <w:right w:w="0" w:type="dxa"/>
            </w:tcMar>
            <w:vAlign w:val="center"/>
          </w:tcPr>
          <w:p w14:paraId="7BD2D50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试验Db：交变湿热（12h+12h循环）</w:t>
            </w:r>
          </w:p>
        </w:tc>
      </w:tr>
      <w:tr w14:paraId="64913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1D1DAFF7">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2423.17-2008</w:t>
            </w:r>
          </w:p>
        </w:tc>
        <w:tc>
          <w:tcPr>
            <w:tcW w:w="7199" w:type="dxa"/>
            <w:noWrap w:val="0"/>
            <w:tcMar>
              <w:left w:w="0" w:type="dxa"/>
              <w:right w:w="0" w:type="dxa"/>
            </w:tcMar>
            <w:vAlign w:val="center"/>
          </w:tcPr>
          <w:p w14:paraId="4DE67FF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试验Ka：盐雾</w:t>
            </w:r>
          </w:p>
        </w:tc>
      </w:tr>
      <w:tr w14:paraId="6D28E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93437FC">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2423.55-2006</w:t>
            </w:r>
          </w:p>
        </w:tc>
        <w:tc>
          <w:tcPr>
            <w:tcW w:w="7199" w:type="dxa"/>
            <w:noWrap w:val="0"/>
            <w:tcMar>
              <w:left w:w="0" w:type="dxa"/>
              <w:right w:w="0" w:type="dxa"/>
            </w:tcMar>
            <w:vAlign w:val="center"/>
          </w:tcPr>
          <w:p w14:paraId="16C5C5F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第2部分：环境测试实验Eh：锤击试验</w:t>
            </w:r>
          </w:p>
        </w:tc>
      </w:tr>
      <w:tr w14:paraId="63D1F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38BB17C">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4797.5-2008</w:t>
            </w:r>
          </w:p>
        </w:tc>
        <w:tc>
          <w:tcPr>
            <w:tcW w:w="7199" w:type="dxa"/>
            <w:noWrap w:val="0"/>
            <w:tcMar>
              <w:left w:w="0" w:type="dxa"/>
              <w:right w:w="0" w:type="dxa"/>
            </w:tcMar>
            <w:vAlign w:val="center"/>
          </w:tcPr>
          <w:p w14:paraId="0EAF8DB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《电工电子产品自然环境条件降水和风》</w:t>
            </w:r>
          </w:p>
        </w:tc>
      </w:tr>
      <w:tr w14:paraId="3C42B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5D691460">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13384-2008</w:t>
            </w:r>
          </w:p>
        </w:tc>
        <w:tc>
          <w:tcPr>
            <w:tcW w:w="7199" w:type="dxa"/>
            <w:noWrap w:val="0"/>
            <w:tcMar>
              <w:left w:w="0" w:type="dxa"/>
              <w:right w:w="0" w:type="dxa"/>
            </w:tcMar>
            <w:vAlign w:val="center"/>
          </w:tcPr>
          <w:p w14:paraId="5DD60D5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《机电产品包装通用技术条件》</w:t>
            </w:r>
          </w:p>
        </w:tc>
      </w:tr>
      <w:tr w14:paraId="1F71D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DFE5ACD">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13422-2013</w:t>
            </w:r>
          </w:p>
        </w:tc>
        <w:tc>
          <w:tcPr>
            <w:tcW w:w="7199" w:type="dxa"/>
            <w:noWrap w:val="0"/>
            <w:tcMar>
              <w:left w:w="0" w:type="dxa"/>
              <w:right w:w="0" w:type="dxa"/>
            </w:tcMar>
            <w:vAlign w:val="center"/>
          </w:tcPr>
          <w:p w14:paraId="595020C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《半导体电力变流器 电气试验方法》</w:t>
            </w:r>
          </w:p>
        </w:tc>
      </w:tr>
      <w:tr w14:paraId="48342B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5D6D71E8">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17625.1</w:t>
            </w:r>
          </w:p>
        </w:tc>
        <w:tc>
          <w:tcPr>
            <w:tcW w:w="7199" w:type="dxa"/>
            <w:noWrap w:val="0"/>
            <w:tcMar>
              <w:left w:w="0" w:type="dxa"/>
              <w:right w:w="0" w:type="dxa"/>
            </w:tcMar>
            <w:vAlign w:val="center"/>
          </w:tcPr>
          <w:p w14:paraId="7A4EC7E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限值》　谐波电流发射限值（设备每相输入电流≤16 A）</w:t>
            </w:r>
          </w:p>
        </w:tc>
      </w:tr>
      <w:tr w14:paraId="00A785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4848F6D7">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GB/Z 17625.6</w:t>
            </w:r>
          </w:p>
        </w:tc>
        <w:tc>
          <w:tcPr>
            <w:tcW w:w="7199" w:type="dxa"/>
            <w:noWrap w:val="0"/>
            <w:tcMar>
              <w:left w:w="0" w:type="dxa"/>
              <w:right w:w="0" w:type="dxa"/>
            </w:tcMar>
            <w:vAlign w:val="center"/>
          </w:tcPr>
          <w:p w14:paraId="6A7A8A1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限值》　对额定电流大于16 A的设备在低压供电系统中产生的谐波电流的限制</w:t>
            </w:r>
          </w:p>
        </w:tc>
      </w:tr>
      <w:tr w14:paraId="74564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15F76CFD">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17626.2-2006</w:t>
            </w:r>
          </w:p>
        </w:tc>
        <w:tc>
          <w:tcPr>
            <w:tcW w:w="7199" w:type="dxa"/>
            <w:noWrap w:val="0"/>
            <w:tcMar>
              <w:left w:w="0" w:type="dxa"/>
              <w:right w:w="0" w:type="dxa"/>
            </w:tcMar>
            <w:vAlign w:val="center"/>
          </w:tcPr>
          <w:p w14:paraId="7B887F4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静电放电抗扰度试验</w:t>
            </w:r>
          </w:p>
        </w:tc>
      </w:tr>
      <w:tr w14:paraId="47D44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BB155BD">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17626.3-2006</w:t>
            </w:r>
          </w:p>
        </w:tc>
        <w:tc>
          <w:tcPr>
            <w:tcW w:w="7199" w:type="dxa"/>
            <w:noWrap w:val="0"/>
            <w:tcMar>
              <w:left w:w="0" w:type="dxa"/>
              <w:right w:w="0" w:type="dxa"/>
            </w:tcMar>
            <w:vAlign w:val="center"/>
          </w:tcPr>
          <w:p w14:paraId="5C76BE9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射频电磁场辐射抗扰度试验</w:t>
            </w:r>
          </w:p>
        </w:tc>
      </w:tr>
      <w:tr w14:paraId="4D09F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512FC634">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17626.4-2008</w:t>
            </w:r>
          </w:p>
        </w:tc>
        <w:tc>
          <w:tcPr>
            <w:tcW w:w="7199" w:type="dxa"/>
            <w:noWrap w:val="0"/>
            <w:tcMar>
              <w:left w:w="0" w:type="dxa"/>
              <w:right w:w="0" w:type="dxa"/>
            </w:tcMar>
            <w:vAlign w:val="center"/>
          </w:tcPr>
          <w:p w14:paraId="131CBAC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电快速瞬变脉冲群抗扰度试验</w:t>
            </w:r>
          </w:p>
        </w:tc>
      </w:tr>
      <w:tr w14:paraId="51FF7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34083996">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17626.5-2008</w:t>
            </w:r>
          </w:p>
        </w:tc>
        <w:tc>
          <w:tcPr>
            <w:tcW w:w="7199" w:type="dxa"/>
            <w:noWrap w:val="0"/>
            <w:tcMar>
              <w:left w:w="0" w:type="dxa"/>
              <w:right w:w="0" w:type="dxa"/>
            </w:tcMar>
            <w:vAlign w:val="center"/>
          </w:tcPr>
          <w:p w14:paraId="34CE6E3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浪涌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抗扰度试验</w:t>
            </w:r>
          </w:p>
        </w:tc>
      </w:tr>
      <w:tr w14:paraId="151E7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71C8C790">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17626.11-2008</w:t>
            </w:r>
          </w:p>
        </w:tc>
        <w:tc>
          <w:tcPr>
            <w:tcW w:w="7199" w:type="dxa"/>
            <w:noWrap w:val="0"/>
            <w:tcMar>
              <w:left w:w="0" w:type="dxa"/>
              <w:right w:w="0" w:type="dxa"/>
            </w:tcMar>
            <w:vAlign w:val="center"/>
          </w:tcPr>
          <w:p w14:paraId="74C9056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电压暂降、短时中断和电压变化的抗扰度试验</w:t>
            </w:r>
          </w:p>
        </w:tc>
      </w:tr>
      <w:tr w14:paraId="14DBDD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7CDD7182">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19826-2005</w:t>
            </w:r>
          </w:p>
        </w:tc>
        <w:tc>
          <w:tcPr>
            <w:tcW w:w="7199" w:type="dxa"/>
            <w:noWrap w:val="0"/>
            <w:tcMar>
              <w:left w:w="0" w:type="dxa"/>
              <w:right w:w="0" w:type="dxa"/>
            </w:tcMar>
            <w:vAlign w:val="center"/>
          </w:tcPr>
          <w:p w14:paraId="4CA1F10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《电力工程直流电源设备通用技术条件及安全要求》</w:t>
            </w:r>
          </w:p>
        </w:tc>
      </w:tr>
      <w:tr w14:paraId="731E9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A0056EF">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29317-2012</w:t>
            </w:r>
          </w:p>
        </w:tc>
        <w:tc>
          <w:tcPr>
            <w:tcW w:w="7199" w:type="dxa"/>
            <w:noWrap w:val="0"/>
            <w:tcMar>
              <w:left w:w="0" w:type="dxa"/>
              <w:right w:w="0" w:type="dxa"/>
            </w:tcMar>
            <w:vAlign w:val="center"/>
          </w:tcPr>
          <w:p w14:paraId="1FFC28D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《电动汽车充换电设施术语》</w:t>
            </w:r>
          </w:p>
        </w:tc>
      </w:tr>
      <w:tr w14:paraId="3AFAE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5D379FD2">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18487.1-2015</w:t>
            </w:r>
          </w:p>
        </w:tc>
        <w:tc>
          <w:tcPr>
            <w:tcW w:w="7199" w:type="dxa"/>
            <w:noWrap w:val="0"/>
            <w:tcMar>
              <w:left w:w="0" w:type="dxa"/>
              <w:right w:w="0" w:type="dxa"/>
            </w:tcMar>
            <w:vAlign w:val="center"/>
          </w:tcPr>
          <w:p w14:paraId="1FB7F8D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《电动车辆传导充电系统》 第1部分：一般要求</w:t>
            </w:r>
          </w:p>
        </w:tc>
      </w:tr>
      <w:tr w14:paraId="756CF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2356A0F3">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27930-2015</w:t>
            </w:r>
          </w:p>
        </w:tc>
        <w:tc>
          <w:tcPr>
            <w:tcW w:w="7199" w:type="dxa"/>
            <w:noWrap w:val="0"/>
            <w:tcMar>
              <w:left w:w="0" w:type="dxa"/>
              <w:right w:w="0" w:type="dxa"/>
            </w:tcMar>
            <w:vAlign w:val="center"/>
          </w:tcPr>
          <w:p w14:paraId="1126B03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《电动汽车非车载传导式充电机与电池管理系统之间的通信协议》</w:t>
            </w:r>
          </w:p>
        </w:tc>
      </w:tr>
      <w:tr w14:paraId="2E53E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6A8DAE1F">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29318</w:t>
            </w:r>
          </w:p>
        </w:tc>
        <w:tc>
          <w:tcPr>
            <w:tcW w:w="7199" w:type="dxa"/>
            <w:noWrap w:val="0"/>
            <w:tcMar>
              <w:left w:w="0" w:type="dxa"/>
              <w:right w:w="0" w:type="dxa"/>
            </w:tcMar>
            <w:vAlign w:val="center"/>
          </w:tcPr>
          <w:p w14:paraId="205AD4D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《电动汽车非车载充电机电能计量》</w:t>
            </w:r>
          </w:p>
        </w:tc>
      </w:tr>
      <w:tr w14:paraId="32410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49E20860">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29316</w:t>
            </w:r>
          </w:p>
        </w:tc>
        <w:tc>
          <w:tcPr>
            <w:tcW w:w="7199" w:type="dxa"/>
            <w:noWrap w:val="0"/>
            <w:tcMar>
              <w:left w:w="0" w:type="dxa"/>
              <w:right w:w="0" w:type="dxa"/>
            </w:tcMar>
            <w:vAlign w:val="center"/>
          </w:tcPr>
          <w:p w14:paraId="2CD4452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《电动汽车充换电设施电能质量技术要求》</w:t>
            </w:r>
          </w:p>
        </w:tc>
      </w:tr>
      <w:tr w14:paraId="2BED4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5201344F">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GB/T20234.1-2015</w:t>
            </w:r>
          </w:p>
        </w:tc>
        <w:tc>
          <w:tcPr>
            <w:tcW w:w="7199" w:type="dxa"/>
            <w:noWrap w:val="0"/>
            <w:tcMar>
              <w:left w:w="0" w:type="dxa"/>
              <w:right w:w="0" w:type="dxa"/>
            </w:tcMar>
            <w:vAlign w:val="top"/>
          </w:tcPr>
          <w:p w14:paraId="5C873075">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《电动汽车传导充电用连接装置》第1部分：通用要求</w:t>
            </w:r>
          </w:p>
        </w:tc>
      </w:tr>
      <w:tr w14:paraId="73C45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33CD874D">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GB/T20234.3-2015</w:t>
            </w:r>
          </w:p>
        </w:tc>
        <w:tc>
          <w:tcPr>
            <w:tcW w:w="7199" w:type="dxa"/>
            <w:noWrap w:val="0"/>
            <w:tcMar>
              <w:left w:w="0" w:type="dxa"/>
              <w:right w:w="0" w:type="dxa"/>
            </w:tcMar>
            <w:vAlign w:val="top"/>
          </w:tcPr>
          <w:p w14:paraId="0C76E5B5">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《电动汽车传导充电用连接装置》第3部分：直流充电接口</w:t>
            </w:r>
          </w:p>
        </w:tc>
      </w:tr>
      <w:tr w14:paraId="54B4D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28A459C7">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GB/T20234.2-2015</w:t>
            </w:r>
          </w:p>
        </w:tc>
        <w:tc>
          <w:tcPr>
            <w:tcW w:w="7199" w:type="dxa"/>
            <w:noWrap w:val="0"/>
            <w:tcMar>
              <w:left w:w="0" w:type="dxa"/>
              <w:right w:w="0" w:type="dxa"/>
            </w:tcMar>
            <w:vAlign w:val="top"/>
          </w:tcPr>
          <w:p w14:paraId="6F2440D9">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《电动汽车传导充电用连接装置》第2部分：交流充电接口</w:t>
            </w:r>
          </w:p>
        </w:tc>
      </w:tr>
      <w:tr w14:paraId="16E04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06FDADA7">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NB/T 33001</w:t>
            </w:r>
          </w:p>
        </w:tc>
        <w:tc>
          <w:tcPr>
            <w:tcW w:w="7199" w:type="dxa"/>
            <w:noWrap w:val="0"/>
            <w:tcMar>
              <w:left w:w="0" w:type="dxa"/>
              <w:right w:w="0" w:type="dxa"/>
            </w:tcMar>
            <w:vAlign w:val="center"/>
          </w:tcPr>
          <w:p w14:paraId="7A1439E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《电动汽车非车载传导式充电机技术条件》</w:t>
            </w:r>
          </w:p>
        </w:tc>
      </w:tr>
      <w:tr w14:paraId="1326E9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79820019">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NB/T 33008.1</w:t>
            </w:r>
          </w:p>
        </w:tc>
        <w:tc>
          <w:tcPr>
            <w:tcW w:w="7199" w:type="dxa"/>
            <w:noWrap w:val="0"/>
            <w:tcMar>
              <w:left w:w="0" w:type="dxa"/>
              <w:right w:w="0" w:type="dxa"/>
            </w:tcMar>
            <w:vAlign w:val="center"/>
          </w:tcPr>
          <w:p w14:paraId="4EE84268">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《电动汽车充电设备检验试验规范》 第1部分：非车载充电机</w:t>
            </w:r>
          </w:p>
        </w:tc>
      </w:tr>
      <w:tr w14:paraId="6C1BA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1A80DFD4">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DL/T 645-2007</w:t>
            </w:r>
          </w:p>
        </w:tc>
        <w:tc>
          <w:tcPr>
            <w:tcW w:w="7199" w:type="dxa"/>
            <w:noWrap w:val="0"/>
            <w:tcMar>
              <w:left w:w="0" w:type="dxa"/>
              <w:right w:w="0" w:type="dxa"/>
            </w:tcMar>
            <w:vAlign w:val="center"/>
          </w:tcPr>
          <w:p w14:paraId="7CEA2B99">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《多功能电能表通信协议》</w:t>
            </w:r>
          </w:p>
        </w:tc>
      </w:tr>
      <w:tr w14:paraId="188B65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414106B2">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Q/GDW 1233-2014</w:t>
            </w:r>
          </w:p>
        </w:tc>
        <w:tc>
          <w:tcPr>
            <w:tcW w:w="7199" w:type="dxa"/>
            <w:noWrap w:val="0"/>
            <w:tcMar>
              <w:left w:w="0" w:type="dxa"/>
              <w:right w:w="0" w:type="dxa"/>
            </w:tcMar>
            <w:vAlign w:val="center"/>
          </w:tcPr>
          <w:p w14:paraId="73DF0A1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《电动汽车非车载充电机》 通用要求</w:t>
            </w:r>
          </w:p>
        </w:tc>
      </w:tr>
      <w:tr w14:paraId="0BAA5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0F1AE369">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Q/GDW 1234.1-2014</w:t>
            </w:r>
          </w:p>
        </w:tc>
        <w:tc>
          <w:tcPr>
            <w:tcW w:w="7199" w:type="dxa"/>
            <w:noWrap w:val="0"/>
            <w:tcMar>
              <w:left w:w="0" w:type="dxa"/>
              <w:right w:w="0" w:type="dxa"/>
            </w:tcMar>
            <w:vAlign w:val="center"/>
          </w:tcPr>
          <w:p w14:paraId="2AD4019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《电动汽车充电接口规范》 第1部分：通用要求</w:t>
            </w:r>
          </w:p>
        </w:tc>
      </w:tr>
      <w:tr w14:paraId="41E99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5D274B71">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Q/GDW 1234.3-2014</w:t>
            </w:r>
          </w:p>
        </w:tc>
        <w:tc>
          <w:tcPr>
            <w:tcW w:w="7199" w:type="dxa"/>
            <w:noWrap w:val="0"/>
            <w:tcMar>
              <w:left w:w="0" w:type="dxa"/>
              <w:right w:w="0" w:type="dxa"/>
            </w:tcMar>
            <w:vAlign w:val="center"/>
          </w:tcPr>
          <w:p w14:paraId="052CF2C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《电动汽车充电接口规范》 第3部分：直流充电接口</w:t>
            </w:r>
          </w:p>
        </w:tc>
      </w:tr>
      <w:tr w14:paraId="78AFE8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center"/>
          </w:tcPr>
          <w:p w14:paraId="741C58FE">
            <w:pPr>
              <w:topLinePunct/>
              <w:adjustRightInd w:val="0"/>
              <w:snapToGrid w:val="0"/>
              <w:ind w:left="15" w:leftChars="7" w:firstLine="184" w:firstLineChars="8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Q/GDW 1235-2014</w:t>
            </w:r>
          </w:p>
        </w:tc>
        <w:tc>
          <w:tcPr>
            <w:tcW w:w="7199" w:type="dxa"/>
            <w:noWrap w:val="0"/>
            <w:tcMar>
              <w:left w:w="0" w:type="dxa"/>
              <w:right w:w="0" w:type="dxa"/>
            </w:tcMar>
            <w:vAlign w:val="center"/>
          </w:tcPr>
          <w:p w14:paraId="6924A24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《电动汽车非车载充电机》 通信协议</w:t>
            </w:r>
          </w:p>
        </w:tc>
      </w:tr>
      <w:tr w14:paraId="774D1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4E848D34">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GB17467-2010</w:t>
            </w:r>
          </w:p>
        </w:tc>
        <w:tc>
          <w:tcPr>
            <w:tcW w:w="7199" w:type="dxa"/>
            <w:noWrap w:val="0"/>
            <w:tcMar>
              <w:left w:w="0" w:type="dxa"/>
              <w:right w:w="0" w:type="dxa"/>
            </w:tcMar>
            <w:vAlign w:val="top"/>
          </w:tcPr>
          <w:p w14:paraId="6DDCC131">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《高压/低压预装式变电站》</w:t>
            </w:r>
          </w:p>
        </w:tc>
      </w:tr>
      <w:tr w14:paraId="39699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611EBB70">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GB50169-2006</w:t>
            </w:r>
          </w:p>
        </w:tc>
        <w:tc>
          <w:tcPr>
            <w:tcW w:w="7199" w:type="dxa"/>
            <w:noWrap w:val="0"/>
            <w:tcMar>
              <w:left w:w="0" w:type="dxa"/>
              <w:right w:w="0" w:type="dxa"/>
            </w:tcMar>
            <w:vAlign w:val="top"/>
          </w:tcPr>
          <w:p w14:paraId="1C93A357">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《电气装置接地规范》</w:t>
            </w:r>
          </w:p>
        </w:tc>
      </w:tr>
      <w:tr w14:paraId="0899A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69ACBF00">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NB/T33001-2010</w:t>
            </w:r>
          </w:p>
        </w:tc>
        <w:tc>
          <w:tcPr>
            <w:tcW w:w="7199" w:type="dxa"/>
            <w:noWrap w:val="0"/>
            <w:tcMar>
              <w:left w:w="0" w:type="dxa"/>
              <w:right w:w="0" w:type="dxa"/>
            </w:tcMar>
            <w:vAlign w:val="top"/>
          </w:tcPr>
          <w:p w14:paraId="5C18B5B3">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《电动汽车非车载传导式充电机技术条件》</w:t>
            </w:r>
          </w:p>
        </w:tc>
      </w:tr>
      <w:tr w14:paraId="099B3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3A0DC5CC">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GB4208-2008</w:t>
            </w:r>
          </w:p>
        </w:tc>
        <w:tc>
          <w:tcPr>
            <w:tcW w:w="7199" w:type="dxa"/>
            <w:noWrap w:val="0"/>
            <w:tcMar>
              <w:left w:w="0" w:type="dxa"/>
              <w:right w:w="0" w:type="dxa"/>
            </w:tcMar>
            <w:vAlign w:val="top"/>
          </w:tcPr>
          <w:p w14:paraId="2A425EAB">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《外壳防护等级的分类》</w:t>
            </w:r>
          </w:p>
        </w:tc>
      </w:tr>
      <w:tr w14:paraId="7A8C9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1EF4FB1D">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GB/T14549-93</w:t>
            </w:r>
          </w:p>
        </w:tc>
        <w:tc>
          <w:tcPr>
            <w:tcW w:w="7199" w:type="dxa"/>
            <w:noWrap w:val="0"/>
            <w:tcMar>
              <w:left w:w="0" w:type="dxa"/>
              <w:right w:w="0" w:type="dxa"/>
            </w:tcMar>
            <w:vAlign w:val="top"/>
          </w:tcPr>
          <w:p w14:paraId="3771BA83">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《电能质量》—公用电网谐波</w:t>
            </w:r>
          </w:p>
        </w:tc>
      </w:tr>
      <w:tr w14:paraId="6E340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5B7CCAC5">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GB/T18487.1-2015</w:t>
            </w:r>
          </w:p>
        </w:tc>
        <w:tc>
          <w:tcPr>
            <w:tcW w:w="7199" w:type="dxa"/>
            <w:noWrap w:val="0"/>
            <w:tcMar>
              <w:left w:w="0" w:type="dxa"/>
              <w:right w:w="0" w:type="dxa"/>
            </w:tcMar>
            <w:vAlign w:val="top"/>
          </w:tcPr>
          <w:p w14:paraId="2E39B084">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《电动汽车传导充电系统》第1部分：通用要求</w:t>
            </w:r>
          </w:p>
        </w:tc>
      </w:tr>
      <w:tr w14:paraId="0FAD7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3079B419">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GB/T27930-2015</w:t>
            </w:r>
          </w:p>
        </w:tc>
        <w:tc>
          <w:tcPr>
            <w:tcW w:w="7199" w:type="dxa"/>
            <w:noWrap w:val="0"/>
            <w:tcMar>
              <w:left w:w="0" w:type="dxa"/>
              <w:right w:w="0" w:type="dxa"/>
            </w:tcMar>
            <w:vAlign w:val="top"/>
          </w:tcPr>
          <w:p w14:paraId="5C307749">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《电动汽车非车载传导式充电机与电池管理系统之间的通信协议》</w:t>
            </w:r>
          </w:p>
        </w:tc>
      </w:tr>
      <w:tr w14:paraId="011FC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42A3BD02">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50026-2007</w:t>
            </w:r>
          </w:p>
        </w:tc>
        <w:tc>
          <w:tcPr>
            <w:tcW w:w="7199" w:type="dxa"/>
            <w:noWrap w:val="0"/>
            <w:tcMar>
              <w:left w:w="0" w:type="dxa"/>
              <w:right w:w="0" w:type="dxa"/>
            </w:tcMar>
            <w:vAlign w:val="top"/>
          </w:tcPr>
          <w:p w14:paraId="2AB0FBA3">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《工程测量规范》</w:t>
            </w:r>
          </w:p>
        </w:tc>
      </w:tr>
      <w:tr w14:paraId="670B2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55CE8A53">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50966-2014</w:t>
            </w:r>
          </w:p>
        </w:tc>
        <w:tc>
          <w:tcPr>
            <w:tcW w:w="7199" w:type="dxa"/>
            <w:noWrap w:val="0"/>
            <w:tcMar>
              <w:left w:w="0" w:type="dxa"/>
              <w:right w:w="0" w:type="dxa"/>
            </w:tcMar>
            <w:vAlign w:val="top"/>
          </w:tcPr>
          <w:p w14:paraId="743C4465">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《电动汽车充电站设计规范》</w:t>
            </w:r>
          </w:p>
        </w:tc>
      </w:tr>
      <w:tr w14:paraId="3C0B7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276BCB0D">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50217-2007</w:t>
            </w:r>
          </w:p>
        </w:tc>
        <w:tc>
          <w:tcPr>
            <w:tcW w:w="7199" w:type="dxa"/>
            <w:noWrap w:val="0"/>
            <w:tcMar>
              <w:left w:w="0" w:type="dxa"/>
              <w:right w:w="0" w:type="dxa"/>
            </w:tcMar>
            <w:vAlign w:val="top"/>
          </w:tcPr>
          <w:p w14:paraId="50F827E1">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《电力工程电缆设计规范》</w:t>
            </w:r>
          </w:p>
        </w:tc>
      </w:tr>
      <w:tr w14:paraId="71C86C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52D3EE87">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50054-2011</w:t>
            </w:r>
          </w:p>
        </w:tc>
        <w:tc>
          <w:tcPr>
            <w:tcW w:w="7199" w:type="dxa"/>
            <w:noWrap w:val="0"/>
            <w:tcMar>
              <w:left w:w="0" w:type="dxa"/>
              <w:right w:w="0" w:type="dxa"/>
            </w:tcMar>
            <w:vAlign w:val="top"/>
          </w:tcPr>
          <w:p w14:paraId="4689FA5E">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《低压配电设计规范》</w:t>
            </w:r>
          </w:p>
        </w:tc>
      </w:tr>
      <w:tr w14:paraId="66454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64BC0A45">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50150-2016</w:t>
            </w:r>
          </w:p>
        </w:tc>
        <w:tc>
          <w:tcPr>
            <w:tcW w:w="7199" w:type="dxa"/>
            <w:noWrap w:val="0"/>
            <w:tcMar>
              <w:left w:w="0" w:type="dxa"/>
              <w:right w:w="0" w:type="dxa"/>
            </w:tcMar>
            <w:vAlign w:val="top"/>
          </w:tcPr>
          <w:p w14:paraId="605146BE">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《电气装置安装工程电气设备交接试验标准》</w:t>
            </w:r>
          </w:p>
        </w:tc>
      </w:tr>
      <w:tr w14:paraId="66AF9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2B8E0CF5">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50016-2014</w:t>
            </w:r>
          </w:p>
        </w:tc>
        <w:tc>
          <w:tcPr>
            <w:tcW w:w="7199" w:type="dxa"/>
            <w:noWrap w:val="0"/>
            <w:tcMar>
              <w:left w:w="0" w:type="dxa"/>
              <w:right w:w="0" w:type="dxa"/>
            </w:tcMar>
            <w:vAlign w:val="top"/>
          </w:tcPr>
          <w:p w14:paraId="63CB09EB">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《建筑设计防火规范》</w:t>
            </w:r>
          </w:p>
        </w:tc>
      </w:tr>
      <w:tr w14:paraId="6C45F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6C5235CC">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GBT13869-2008</w:t>
            </w:r>
          </w:p>
        </w:tc>
        <w:tc>
          <w:tcPr>
            <w:tcW w:w="7199" w:type="dxa"/>
            <w:noWrap w:val="0"/>
            <w:tcMar>
              <w:left w:w="0" w:type="dxa"/>
              <w:right w:w="0" w:type="dxa"/>
            </w:tcMar>
            <w:vAlign w:val="top"/>
          </w:tcPr>
          <w:p w14:paraId="6BE4E605">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《用电安全导则》</w:t>
            </w:r>
          </w:p>
        </w:tc>
      </w:tr>
      <w:tr w14:paraId="1F4D2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1B7898A9">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GB50303-2015</w:t>
            </w:r>
          </w:p>
        </w:tc>
        <w:tc>
          <w:tcPr>
            <w:tcW w:w="7199" w:type="dxa"/>
            <w:noWrap w:val="0"/>
            <w:tcMar>
              <w:left w:w="0" w:type="dxa"/>
              <w:right w:w="0" w:type="dxa"/>
            </w:tcMar>
            <w:vAlign w:val="top"/>
          </w:tcPr>
          <w:p w14:paraId="1149B408">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《建筑电气工程施工质量验收规范》</w:t>
            </w:r>
          </w:p>
        </w:tc>
      </w:tr>
      <w:tr w14:paraId="223934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noWrap w:val="0"/>
            <w:tcMar>
              <w:left w:w="0" w:type="dxa"/>
              <w:right w:w="0" w:type="dxa"/>
            </w:tcMar>
            <w:vAlign w:val="top"/>
          </w:tcPr>
          <w:p w14:paraId="115D1542">
            <w:pPr>
              <w:pStyle w:val="62"/>
              <w:spacing w:line="240" w:lineRule="auto"/>
              <w:ind w:left="15" w:leftChars="7" w:firstLine="184" w:firstLineChars="8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GB50168-2006</w:t>
            </w:r>
          </w:p>
        </w:tc>
        <w:tc>
          <w:tcPr>
            <w:tcW w:w="7199" w:type="dxa"/>
            <w:noWrap w:val="0"/>
            <w:tcMar>
              <w:left w:w="0" w:type="dxa"/>
              <w:right w:w="0" w:type="dxa"/>
            </w:tcMar>
            <w:vAlign w:val="top"/>
          </w:tcPr>
          <w:p w14:paraId="3B55721D">
            <w:pPr>
              <w:pStyle w:val="62"/>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《电气装置安装工程_电缆线路施工及验收规范》</w:t>
            </w:r>
          </w:p>
        </w:tc>
      </w:tr>
    </w:tbl>
    <w:p w14:paraId="3122FABC">
      <w:pPr>
        <w:keepNext w:val="0"/>
        <w:keepLines w:val="0"/>
        <w:pageBreakBefore w:val="0"/>
        <w:widowControl w:val="0"/>
        <w:kinsoku/>
        <w:wordWrap/>
        <w:overflowPunct/>
        <w:topLinePunct/>
        <w:autoSpaceDE/>
        <w:autoSpaceDN/>
        <w:bidi w:val="0"/>
        <w:adjustRightInd w:val="0"/>
        <w:snapToGrid w:val="0"/>
        <w:spacing w:line="312"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注：以上标准如有最新标准的，按最新标准执行。</w:t>
      </w:r>
    </w:p>
    <w:p w14:paraId="76C3F56D">
      <w:pPr>
        <w:pStyle w:val="9"/>
        <w:rPr>
          <w:rFonts w:hint="eastAsia"/>
          <w:color w:val="auto"/>
          <w:highlight w:val="none"/>
        </w:rPr>
      </w:pPr>
    </w:p>
    <w:p w14:paraId="2DC2AAFB">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二、采购清单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2934"/>
      </w:tblGrid>
      <w:tr w14:paraId="560E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6" w:type="dxa"/>
            <w:vAlign w:val="bottom"/>
          </w:tcPr>
          <w:p w14:paraId="04D68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名称</w:t>
            </w:r>
          </w:p>
        </w:tc>
        <w:tc>
          <w:tcPr>
            <w:tcW w:w="2934" w:type="dxa"/>
            <w:vAlign w:val="bottom"/>
          </w:tcPr>
          <w:p w14:paraId="0EA956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数量</w:t>
            </w:r>
          </w:p>
        </w:tc>
      </w:tr>
      <w:tr w14:paraId="2714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6" w:type="dxa"/>
            <w:vAlign w:val="bottom"/>
          </w:tcPr>
          <w:p w14:paraId="03BB9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大型超充站</w:t>
            </w:r>
          </w:p>
        </w:tc>
        <w:tc>
          <w:tcPr>
            <w:tcW w:w="2934" w:type="dxa"/>
            <w:vAlign w:val="bottom"/>
          </w:tcPr>
          <w:p w14:paraId="066F5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10个</w:t>
            </w:r>
          </w:p>
        </w:tc>
      </w:tr>
      <w:tr w14:paraId="4728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466" w:type="dxa"/>
            <w:vAlign w:val="bottom"/>
          </w:tcPr>
          <w:p w14:paraId="1A7428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微型超充站</w:t>
            </w:r>
          </w:p>
        </w:tc>
        <w:tc>
          <w:tcPr>
            <w:tcW w:w="2934" w:type="dxa"/>
            <w:vAlign w:val="bottom"/>
          </w:tcPr>
          <w:p w14:paraId="40E6B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20个</w:t>
            </w:r>
          </w:p>
        </w:tc>
      </w:tr>
      <w:tr w14:paraId="325D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6" w:type="dxa"/>
            <w:vAlign w:val="bottom"/>
          </w:tcPr>
          <w:p w14:paraId="35A180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慢充桩</w:t>
            </w:r>
          </w:p>
        </w:tc>
        <w:tc>
          <w:tcPr>
            <w:tcW w:w="2934" w:type="dxa"/>
            <w:vAlign w:val="bottom"/>
          </w:tcPr>
          <w:p w14:paraId="757D7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50个</w:t>
            </w:r>
          </w:p>
        </w:tc>
      </w:tr>
    </w:tbl>
    <w:p w14:paraId="324A2CF5">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color w:val="auto"/>
          <w:sz w:val="21"/>
          <w:szCs w:val="21"/>
          <w:highlight w:val="none"/>
        </w:rPr>
      </w:pPr>
    </w:p>
    <w:p w14:paraId="4535BEFE">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项目建设配置清单</w:t>
      </w:r>
    </w:p>
    <w:tbl>
      <w:tblPr>
        <w:tblStyle w:val="19"/>
        <w:tblW w:w="957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64"/>
        <w:gridCol w:w="3143"/>
        <w:gridCol w:w="634"/>
        <w:gridCol w:w="673"/>
        <w:gridCol w:w="1481"/>
        <w:gridCol w:w="1935"/>
      </w:tblGrid>
      <w:tr w14:paraId="288C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570" w:type="dxa"/>
            <w:gridSpan w:val="7"/>
            <w:vAlign w:val="center"/>
          </w:tcPr>
          <w:p w14:paraId="6B9F928E">
            <w:pPr>
              <w:widowControl/>
              <w:adjustRightInd w:val="0"/>
              <w:snapToGrid w:val="0"/>
              <w:jc w:val="center"/>
              <w:rPr>
                <w:rFonts w:hint="eastAsia" w:ascii="宋体" w:hAnsi="宋体" w:cs="宋体"/>
                <w:color w:val="auto"/>
                <w:highlight w:val="none"/>
              </w:rPr>
            </w:pPr>
            <w:r>
              <w:rPr>
                <w:rFonts w:hint="eastAsia" w:ascii="宋体" w:hAnsi="宋体" w:cs="宋体"/>
                <w:b/>
                <w:bCs/>
                <w:color w:val="auto"/>
                <w:highlight w:val="none"/>
              </w:rPr>
              <w:t>一、大型超充站（单位：元）</w:t>
            </w:r>
          </w:p>
        </w:tc>
      </w:tr>
      <w:tr w14:paraId="1A4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5CB7A44">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064" w:type="dxa"/>
            <w:vAlign w:val="center"/>
          </w:tcPr>
          <w:p w14:paraId="129EA2D6">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货物名称</w:t>
            </w:r>
          </w:p>
        </w:tc>
        <w:tc>
          <w:tcPr>
            <w:tcW w:w="3143" w:type="dxa"/>
            <w:vAlign w:val="center"/>
          </w:tcPr>
          <w:p w14:paraId="04F978B7">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规格</w:t>
            </w:r>
          </w:p>
        </w:tc>
        <w:tc>
          <w:tcPr>
            <w:tcW w:w="634" w:type="dxa"/>
            <w:vAlign w:val="center"/>
          </w:tcPr>
          <w:p w14:paraId="79369560">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单位</w:t>
            </w:r>
          </w:p>
        </w:tc>
        <w:tc>
          <w:tcPr>
            <w:tcW w:w="673" w:type="dxa"/>
            <w:vAlign w:val="center"/>
          </w:tcPr>
          <w:p w14:paraId="0818EBFA">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w:t>
            </w:r>
          </w:p>
        </w:tc>
        <w:tc>
          <w:tcPr>
            <w:tcW w:w="1481" w:type="dxa"/>
            <w:vAlign w:val="center"/>
          </w:tcPr>
          <w:p w14:paraId="6B777438">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lang w:bidi="ar"/>
              </w:rPr>
              <w:t>最高上限单价（元）</w:t>
            </w:r>
          </w:p>
        </w:tc>
        <w:tc>
          <w:tcPr>
            <w:tcW w:w="1935" w:type="dxa"/>
            <w:vAlign w:val="center"/>
          </w:tcPr>
          <w:p w14:paraId="2C358AA6">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备注</w:t>
            </w:r>
          </w:p>
        </w:tc>
      </w:tr>
      <w:tr w14:paraId="0DA0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restart"/>
            <w:vAlign w:val="center"/>
          </w:tcPr>
          <w:p w14:paraId="6B3184D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064" w:type="dxa"/>
            <w:vAlign w:val="center"/>
          </w:tcPr>
          <w:p w14:paraId="03A56852">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箱式变电站壳体</w:t>
            </w:r>
          </w:p>
        </w:tc>
        <w:tc>
          <w:tcPr>
            <w:tcW w:w="3143" w:type="dxa"/>
            <w:vAlign w:val="center"/>
          </w:tcPr>
          <w:p w14:paraId="03F6449E">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组成为高压室、变电室、低压及充电机室，含低压进线柜及SVG无功补偿，可装800kW充电机柜体尺寸，符合当地国网验收要求（具体见技术要求）</w:t>
            </w:r>
          </w:p>
        </w:tc>
        <w:tc>
          <w:tcPr>
            <w:tcW w:w="634" w:type="dxa"/>
            <w:vAlign w:val="center"/>
          </w:tcPr>
          <w:p w14:paraId="7BE62AD7">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台</w:t>
            </w:r>
          </w:p>
        </w:tc>
        <w:tc>
          <w:tcPr>
            <w:tcW w:w="673" w:type="dxa"/>
            <w:vAlign w:val="center"/>
          </w:tcPr>
          <w:p w14:paraId="23A8037A">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481" w:type="dxa"/>
            <w:vAlign w:val="center"/>
          </w:tcPr>
          <w:p w14:paraId="330F6B91">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3B05FD44">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15C5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6486B2C0">
            <w:pPr>
              <w:adjustRightInd w:val="0"/>
              <w:snapToGrid w:val="0"/>
              <w:jc w:val="center"/>
              <w:rPr>
                <w:rFonts w:hint="eastAsia" w:ascii="宋体" w:hAnsi="宋体" w:cs="宋体"/>
                <w:color w:val="auto"/>
                <w:highlight w:val="none"/>
              </w:rPr>
            </w:pPr>
          </w:p>
        </w:tc>
        <w:tc>
          <w:tcPr>
            <w:tcW w:w="1064" w:type="dxa"/>
            <w:vAlign w:val="center"/>
          </w:tcPr>
          <w:p w14:paraId="62CD70F0">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分体式直流充电机</w:t>
            </w:r>
          </w:p>
        </w:tc>
        <w:tc>
          <w:tcPr>
            <w:tcW w:w="3143" w:type="dxa"/>
            <w:vAlign w:val="center"/>
          </w:tcPr>
          <w:p w14:paraId="3F0F46FE">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满足同时充电车位总数量：12个；总装机功率720kW含模块；每个车位均可达最大充电功率：250kW；最大可达600kw</w:t>
            </w:r>
          </w:p>
        </w:tc>
        <w:tc>
          <w:tcPr>
            <w:tcW w:w="634" w:type="dxa"/>
            <w:vAlign w:val="center"/>
          </w:tcPr>
          <w:p w14:paraId="5A5AB3CD">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台</w:t>
            </w:r>
          </w:p>
        </w:tc>
        <w:tc>
          <w:tcPr>
            <w:tcW w:w="673" w:type="dxa"/>
            <w:vAlign w:val="center"/>
          </w:tcPr>
          <w:p w14:paraId="5C4DEC0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481" w:type="dxa"/>
            <w:vAlign w:val="center"/>
          </w:tcPr>
          <w:p w14:paraId="62070AB1">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17416FAF">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41E0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435D8559">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2</w:t>
            </w:r>
          </w:p>
        </w:tc>
        <w:tc>
          <w:tcPr>
            <w:tcW w:w="1064" w:type="dxa"/>
            <w:vAlign w:val="center"/>
          </w:tcPr>
          <w:p w14:paraId="4A2CBE39">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直流充电终端（桩）</w:t>
            </w:r>
          </w:p>
        </w:tc>
        <w:tc>
          <w:tcPr>
            <w:tcW w:w="3143" w:type="dxa"/>
            <w:vAlign w:val="center"/>
          </w:tcPr>
          <w:p w14:paraId="7B4412A1">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落地式，单枪，3.5米枪线，600A</w:t>
            </w:r>
          </w:p>
        </w:tc>
        <w:tc>
          <w:tcPr>
            <w:tcW w:w="634" w:type="dxa"/>
            <w:vAlign w:val="center"/>
          </w:tcPr>
          <w:p w14:paraId="3519A0F4">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台</w:t>
            </w:r>
          </w:p>
        </w:tc>
        <w:tc>
          <w:tcPr>
            <w:tcW w:w="673" w:type="dxa"/>
            <w:vAlign w:val="center"/>
          </w:tcPr>
          <w:p w14:paraId="629787E0">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2</w:t>
            </w:r>
          </w:p>
        </w:tc>
        <w:tc>
          <w:tcPr>
            <w:tcW w:w="1481" w:type="dxa"/>
            <w:vAlign w:val="center"/>
          </w:tcPr>
          <w:p w14:paraId="30D2E94C">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70E7AC13">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156F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3BDD6796">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3</w:t>
            </w:r>
          </w:p>
        </w:tc>
        <w:tc>
          <w:tcPr>
            <w:tcW w:w="1064" w:type="dxa"/>
            <w:vAlign w:val="center"/>
          </w:tcPr>
          <w:p w14:paraId="7D43B5FB">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直流充电终端（桩）</w:t>
            </w:r>
          </w:p>
        </w:tc>
        <w:tc>
          <w:tcPr>
            <w:tcW w:w="3143" w:type="dxa"/>
            <w:vAlign w:val="center"/>
          </w:tcPr>
          <w:p w14:paraId="36D2D3DF">
            <w:pPr>
              <w:widowControl/>
              <w:adjustRightInd w:val="0"/>
              <w:snapToGrid w:val="0"/>
              <w:jc w:val="left"/>
              <w:textAlignment w:val="center"/>
              <w:rPr>
                <w:rFonts w:hint="eastAsia" w:ascii="宋体" w:hAnsi="宋体" w:cs="宋体"/>
                <w:color w:val="auto"/>
                <w:highlight w:val="none"/>
                <w:lang w:bidi="ar"/>
              </w:rPr>
            </w:pPr>
            <w:r>
              <w:rPr>
                <w:rFonts w:hint="eastAsia" w:ascii="宋体" w:hAnsi="宋体" w:cs="宋体"/>
                <w:color w:val="auto"/>
                <w:highlight w:val="none"/>
                <w:lang w:bidi="ar"/>
              </w:rPr>
              <w:t>落地式，单桩双枪，5米枪线，250A</w:t>
            </w:r>
          </w:p>
        </w:tc>
        <w:tc>
          <w:tcPr>
            <w:tcW w:w="634" w:type="dxa"/>
            <w:vAlign w:val="center"/>
          </w:tcPr>
          <w:p w14:paraId="2B3FD417">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台</w:t>
            </w:r>
          </w:p>
        </w:tc>
        <w:tc>
          <w:tcPr>
            <w:tcW w:w="673" w:type="dxa"/>
            <w:vAlign w:val="center"/>
          </w:tcPr>
          <w:p w14:paraId="0B348C93">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5</w:t>
            </w:r>
          </w:p>
        </w:tc>
        <w:tc>
          <w:tcPr>
            <w:tcW w:w="1481" w:type="dxa"/>
            <w:vAlign w:val="center"/>
          </w:tcPr>
          <w:p w14:paraId="79E763FF">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34C599C2">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4877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4987B0A5">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4</w:t>
            </w:r>
          </w:p>
        </w:tc>
        <w:tc>
          <w:tcPr>
            <w:tcW w:w="1064" w:type="dxa"/>
            <w:vAlign w:val="center"/>
          </w:tcPr>
          <w:p w14:paraId="1620F26F">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低压电缆</w:t>
            </w:r>
          </w:p>
        </w:tc>
        <w:tc>
          <w:tcPr>
            <w:tcW w:w="3143" w:type="dxa"/>
            <w:vAlign w:val="center"/>
          </w:tcPr>
          <w:p w14:paraId="07962D71">
            <w:pPr>
              <w:widowControl/>
              <w:adjustRightInd w:val="0"/>
              <w:snapToGrid w:val="0"/>
              <w:jc w:val="left"/>
              <w:textAlignment w:val="center"/>
              <w:rPr>
                <w:rFonts w:hint="eastAsia" w:ascii="宋体" w:hAnsi="宋体" w:cs="宋体"/>
                <w:color w:val="auto"/>
                <w:highlight w:val="none"/>
                <w:lang w:bidi="ar"/>
              </w:rPr>
            </w:pPr>
            <w:r>
              <w:rPr>
                <w:rFonts w:hint="eastAsia" w:ascii="宋体" w:hAnsi="宋体" w:cs="宋体"/>
                <w:color w:val="auto"/>
                <w:highlight w:val="none"/>
                <w:lang w:bidi="ar"/>
              </w:rPr>
              <w:t>快充桩液冷主机供电电缆（ZC-YJV22-0.6/1-4×185+1×95）</w:t>
            </w:r>
          </w:p>
          <w:p w14:paraId="18D3307A">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快充桩液冷终端供电电缆（ZC-YJV22-1.8/3-4×120+1×70）UTP6类网线</w:t>
            </w:r>
          </w:p>
        </w:tc>
        <w:tc>
          <w:tcPr>
            <w:tcW w:w="634" w:type="dxa"/>
            <w:vAlign w:val="center"/>
          </w:tcPr>
          <w:p w14:paraId="1F99A599">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米</w:t>
            </w:r>
          </w:p>
        </w:tc>
        <w:tc>
          <w:tcPr>
            <w:tcW w:w="673" w:type="dxa"/>
            <w:vAlign w:val="center"/>
          </w:tcPr>
          <w:p w14:paraId="2723CE12">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300</w:t>
            </w:r>
          </w:p>
        </w:tc>
        <w:tc>
          <w:tcPr>
            <w:tcW w:w="1481" w:type="dxa"/>
            <w:vAlign w:val="center"/>
          </w:tcPr>
          <w:p w14:paraId="1E63A4E2">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1F17E3CE">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低压电缆品牌根据要求，数量按实结算</w:t>
            </w:r>
          </w:p>
        </w:tc>
      </w:tr>
      <w:tr w14:paraId="114D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466B345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5</w:t>
            </w:r>
          </w:p>
        </w:tc>
        <w:tc>
          <w:tcPr>
            <w:tcW w:w="1064" w:type="dxa"/>
            <w:vAlign w:val="center"/>
          </w:tcPr>
          <w:p w14:paraId="75BDB4F1">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低压电缆施工费用</w:t>
            </w:r>
          </w:p>
        </w:tc>
        <w:tc>
          <w:tcPr>
            <w:tcW w:w="3143" w:type="dxa"/>
            <w:vAlign w:val="center"/>
          </w:tcPr>
          <w:p w14:paraId="171A5F0E">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包含但不限于电缆路径施工开挖排管、电缆井、现状恢复、接线端子等费用（以低压电缆I型米数为准）</w:t>
            </w:r>
          </w:p>
        </w:tc>
        <w:tc>
          <w:tcPr>
            <w:tcW w:w="634" w:type="dxa"/>
            <w:vAlign w:val="center"/>
          </w:tcPr>
          <w:p w14:paraId="02A8240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米</w:t>
            </w:r>
          </w:p>
        </w:tc>
        <w:tc>
          <w:tcPr>
            <w:tcW w:w="673" w:type="dxa"/>
            <w:vAlign w:val="center"/>
          </w:tcPr>
          <w:p w14:paraId="0AD2BA6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300</w:t>
            </w:r>
          </w:p>
        </w:tc>
        <w:tc>
          <w:tcPr>
            <w:tcW w:w="1481" w:type="dxa"/>
            <w:vAlign w:val="center"/>
          </w:tcPr>
          <w:p w14:paraId="4BEB45BD">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5EDD50C6">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工程量按实结算</w:t>
            </w:r>
          </w:p>
        </w:tc>
      </w:tr>
      <w:tr w14:paraId="32FA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40" w:type="dxa"/>
            <w:vAlign w:val="center"/>
          </w:tcPr>
          <w:p w14:paraId="01907504">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rPr>
              <w:t>6</w:t>
            </w:r>
          </w:p>
        </w:tc>
        <w:tc>
          <w:tcPr>
            <w:tcW w:w="1064" w:type="dxa"/>
            <w:vAlign w:val="center"/>
          </w:tcPr>
          <w:p w14:paraId="2F01521F">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车位施工费</w:t>
            </w:r>
          </w:p>
        </w:tc>
        <w:tc>
          <w:tcPr>
            <w:tcW w:w="3143" w:type="dxa"/>
            <w:vAlign w:val="center"/>
          </w:tcPr>
          <w:p w14:paraId="5A69F388">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包括车位字体喷字、车档器、充电桩基础制作安装、调试、场站指示牌、品牌柱、照明、手推式消防器材、高清摄像头，以上施工含主材及辅材，符合政府工程建设相关标准。</w:t>
            </w:r>
          </w:p>
        </w:tc>
        <w:tc>
          <w:tcPr>
            <w:tcW w:w="634" w:type="dxa"/>
            <w:vAlign w:val="center"/>
          </w:tcPr>
          <w:p w14:paraId="06611BD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车位</w:t>
            </w:r>
          </w:p>
        </w:tc>
        <w:tc>
          <w:tcPr>
            <w:tcW w:w="673" w:type="dxa"/>
            <w:vAlign w:val="center"/>
          </w:tcPr>
          <w:p w14:paraId="634A677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12</w:t>
            </w:r>
          </w:p>
        </w:tc>
        <w:tc>
          <w:tcPr>
            <w:tcW w:w="1481" w:type="dxa"/>
            <w:vAlign w:val="center"/>
          </w:tcPr>
          <w:p w14:paraId="556072EE">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18E90B13">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工程量按实结算</w:t>
            </w:r>
          </w:p>
        </w:tc>
      </w:tr>
      <w:tr w14:paraId="5F74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5C938632">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7</w:t>
            </w:r>
          </w:p>
        </w:tc>
        <w:tc>
          <w:tcPr>
            <w:tcW w:w="1064" w:type="dxa"/>
            <w:vAlign w:val="center"/>
          </w:tcPr>
          <w:p w14:paraId="061B817A">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固定施工费</w:t>
            </w:r>
          </w:p>
        </w:tc>
        <w:tc>
          <w:tcPr>
            <w:tcW w:w="3143" w:type="dxa"/>
            <w:vAlign w:val="center"/>
          </w:tcPr>
          <w:p w14:paraId="633AAD3F">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施工固定费用（包含箱变基础施工费用、箱变安装、高低压整合及低压柜安装调试、箱变围栏（一个箱变为一项，单个站以箱变个数为准）</w:t>
            </w:r>
          </w:p>
        </w:tc>
        <w:tc>
          <w:tcPr>
            <w:tcW w:w="634" w:type="dxa"/>
            <w:vAlign w:val="center"/>
          </w:tcPr>
          <w:p w14:paraId="342AFD75">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项</w:t>
            </w:r>
          </w:p>
        </w:tc>
        <w:tc>
          <w:tcPr>
            <w:tcW w:w="673" w:type="dxa"/>
            <w:vAlign w:val="center"/>
          </w:tcPr>
          <w:p w14:paraId="3A90B342">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1</w:t>
            </w:r>
          </w:p>
        </w:tc>
        <w:tc>
          <w:tcPr>
            <w:tcW w:w="1481" w:type="dxa"/>
            <w:vAlign w:val="center"/>
          </w:tcPr>
          <w:p w14:paraId="0DDB7A09">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6199DB64">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w:t>
            </w:r>
          </w:p>
        </w:tc>
      </w:tr>
      <w:tr w14:paraId="2522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0FC76A96">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8</w:t>
            </w:r>
          </w:p>
        </w:tc>
        <w:tc>
          <w:tcPr>
            <w:tcW w:w="1064" w:type="dxa"/>
            <w:vAlign w:val="center"/>
          </w:tcPr>
          <w:p w14:paraId="09EF23C7">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充电运营监控平台服务费</w:t>
            </w:r>
          </w:p>
        </w:tc>
        <w:tc>
          <w:tcPr>
            <w:tcW w:w="3143" w:type="dxa"/>
            <w:vAlign w:val="center"/>
          </w:tcPr>
          <w:p w14:paraId="6C6A1BE1">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充电操作、运行管理平台，所需的操作系统、数据库等需正版（一个箱变对应一套平台服务）。详见技术要求</w:t>
            </w:r>
          </w:p>
        </w:tc>
        <w:tc>
          <w:tcPr>
            <w:tcW w:w="634" w:type="dxa"/>
            <w:vAlign w:val="center"/>
          </w:tcPr>
          <w:p w14:paraId="263B3401">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套</w:t>
            </w:r>
          </w:p>
        </w:tc>
        <w:tc>
          <w:tcPr>
            <w:tcW w:w="673" w:type="dxa"/>
            <w:vAlign w:val="center"/>
          </w:tcPr>
          <w:p w14:paraId="727F1ECB">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1</w:t>
            </w:r>
          </w:p>
        </w:tc>
        <w:tc>
          <w:tcPr>
            <w:tcW w:w="1481" w:type="dxa"/>
            <w:vAlign w:val="center"/>
          </w:tcPr>
          <w:p w14:paraId="78FE227D">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配套提供</w:t>
            </w:r>
          </w:p>
        </w:tc>
        <w:tc>
          <w:tcPr>
            <w:tcW w:w="1935" w:type="dxa"/>
            <w:vAlign w:val="center"/>
          </w:tcPr>
          <w:p w14:paraId="4E134C9E">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需接入第三方平台（钱包互通）</w:t>
            </w:r>
          </w:p>
        </w:tc>
      </w:tr>
      <w:tr w14:paraId="3B4F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570" w:type="dxa"/>
            <w:gridSpan w:val="7"/>
            <w:vAlign w:val="center"/>
          </w:tcPr>
          <w:p w14:paraId="3B75D8C8">
            <w:pPr>
              <w:widowControl/>
              <w:adjustRightInd w:val="0"/>
              <w:snapToGrid w:val="0"/>
              <w:jc w:val="center"/>
              <w:rPr>
                <w:rFonts w:hint="eastAsia" w:ascii="宋体" w:hAnsi="宋体" w:cs="宋体"/>
                <w:color w:val="auto"/>
                <w:highlight w:val="none"/>
              </w:rPr>
            </w:pPr>
            <w:r>
              <w:rPr>
                <w:rFonts w:hint="eastAsia" w:ascii="宋体" w:hAnsi="宋体" w:cs="宋体"/>
                <w:b/>
                <w:bCs/>
                <w:color w:val="auto"/>
                <w:highlight w:val="none"/>
                <w:lang w:val="en-US" w:eastAsia="zh-CN"/>
              </w:rPr>
              <w:t>二</w:t>
            </w:r>
            <w:r>
              <w:rPr>
                <w:rFonts w:hint="eastAsia" w:ascii="宋体" w:hAnsi="宋体" w:cs="宋体"/>
                <w:b/>
                <w:bCs/>
                <w:color w:val="auto"/>
                <w:highlight w:val="none"/>
              </w:rPr>
              <w:t>、微型超充站（单位：元）</w:t>
            </w:r>
          </w:p>
        </w:tc>
      </w:tr>
      <w:tr w14:paraId="7A60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3DA8A639">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064" w:type="dxa"/>
            <w:vAlign w:val="center"/>
          </w:tcPr>
          <w:p w14:paraId="73630C92">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货物名称</w:t>
            </w:r>
          </w:p>
        </w:tc>
        <w:tc>
          <w:tcPr>
            <w:tcW w:w="3143" w:type="dxa"/>
            <w:vAlign w:val="center"/>
          </w:tcPr>
          <w:p w14:paraId="7FC9A823">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规格</w:t>
            </w:r>
          </w:p>
        </w:tc>
        <w:tc>
          <w:tcPr>
            <w:tcW w:w="634" w:type="dxa"/>
            <w:vAlign w:val="center"/>
          </w:tcPr>
          <w:p w14:paraId="4EF734F8">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单位</w:t>
            </w:r>
          </w:p>
        </w:tc>
        <w:tc>
          <w:tcPr>
            <w:tcW w:w="673" w:type="dxa"/>
            <w:vAlign w:val="center"/>
          </w:tcPr>
          <w:p w14:paraId="2A5D8DBE">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w:t>
            </w:r>
          </w:p>
        </w:tc>
        <w:tc>
          <w:tcPr>
            <w:tcW w:w="1481" w:type="dxa"/>
            <w:vAlign w:val="center"/>
          </w:tcPr>
          <w:p w14:paraId="6C9BBC94">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lang w:bidi="ar"/>
              </w:rPr>
              <w:t>最高上限单价（元）</w:t>
            </w:r>
          </w:p>
        </w:tc>
        <w:tc>
          <w:tcPr>
            <w:tcW w:w="1935" w:type="dxa"/>
            <w:vAlign w:val="center"/>
          </w:tcPr>
          <w:p w14:paraId="37F89149">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备注</w:t>
            </w:r>
          </w:p>
        </w:tc>
      </w:tr>
      <w:tr w14:paraId="378A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40" w:type="dxa"/>
            <w:vAlign w:val="center"/>
          </w:tcPr>
          <w:p w14:paraId="561BCA2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064" w:type="dxa"/>
            <w:vAlign w:val="center"/>
          </w:tcPr>
          <w:p w14:paraId="68785212">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分体式直流充电机</w:t>
            </w:r>
          </w:p>
        </w:tc>
        <w:tc>
          <w:tcPr>
            <w:tcW w:w="3143" w:type="dxa"/>
            <w:vAlign w:val="center"/>
          </w:tcPr>
          <w:p w14:paraId="6313A1ED">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满足同时充电车位总数量：6个；总装机功率360kW含模块；每个车位均可达最大充电功率：250kW；</w:t>
            </w:r>
          </w:p>
        </w:tc>
        <w:tc>
          <w:tcPr>
            <w:tcW w:w="634" w:type="dxa"/>
            <w:vAlign w:val="center"/>
          </w:tcPr>
          <w:p w14:paraId="2EC28320">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台</w:t>
            </w:r>
          </w:p>
        </w:tc>
        <w:tc>
          <w:tcPr>
            <w:tcW w:w="673" w:type="dxa"/>
            <w:vAlign w:val="center"/>
          </w:tcPr>
          <w:p w14:paraId="7AF87C24">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481" w:type="dxa"/>
            <w:vAlign w:val="center"/>
          </w:tcPr>
          <w:p w14:paraId="7F2F7F3D">
            <w:pPr>
              <w:widowControl/>
              <w:adjustRightInd w:val="0"/>
              <w:snapToGrid w:val="0"/>
              <w:jc w:val="center"/>
              <w:textAlignment w:val="center"/>
              <w:rPr>
                <w:rFonts w:hint="eastAsia" w:ascii="宋体" w:hAnsi="宋体" w:cs="宋体"/>
                <w:color w:val="auto"/>
                <w:highlight w:val="none"/>
              </w:rPr>
            </w:pPr>
          </w:p>
        </w:tc>
        <w:tc>
          <w:tcPr>
            <w:tcW w:w="1935" w:type="dxa"/>
            <w:noWrap/>
            <w:vAlign w:val="center"/>
          </w:tcPr>
          <w:p w14:paraId="6B69AF36">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29FA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AACA607">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2</w:t>
            </w:r>
          </w:p>
        </w:tc>
        <w:tc>
          <w:tcPr>
            <w:tcW w:w="1064" w:type="dxa"/>
            <w:vAlign w:val="center"/>
          </w:tcPr>
          <w:p w14:paraId="2B5D76F1">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直流充电终端（桩）</w:t>
            </w:r>
          </w:p>
        </w:tc>
        <w:tc>
          <w:tcPr>
            <w:tcW w:w="3143" w:type="dxa"/>
            <w:vAlign w:val="center"/>
          </w:tcPr>
          <w:p w14:paraId="5C31D34E">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落地式，单枪，5米枪线，250A</w:t>
            </w:r>
          </w:p>
        </w:tc>
        <w:tc>
          <w:tcPr>
            <w:tcW w:w="634" w:type="dxa"/>
            <w:vAlign w:val="center"/>
          </w:tcPr>
          <w:p w14:paraId="4E62639D">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台</w:t>
            </w:r>
          </w:p>
        </w:tc>
        <w:tc>
          <w:tcPr>
            <w:tcW w:w="673" w:type="dxa"/>
            <w:vAlign w:val="center"/>
          </w:tcPr>
          <w:p w14:paraId="798133C0">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3</w:t>
            </w:r>
          </w:p>
        </w:tc>
        <w:tc>
          <w:tcPr>
            <w:tcW w:w="1481" w:type="dxa"/>
            <w:vAlign w:val="center"/>
          </w:tcPr>
          <w:p w14:paraId="53473786">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284971D9">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数量按实结算</w:t>
            </w:r>
          </w:p>
        </w:tc>
      </w:tr>
      <w:tr w14:paraId="43F6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5F7AAFD4">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3</w:t>
            </w:r>
          </w:p>
        </w:tc>
        <w:tc>
          <w:tcPr>
            <w:tcW w:w="1064" w:type="dxa"/>
            <w:vAlign w:val="center"/>
          </w:tcPr>
          <w:p w14:paraId="3EA75D24">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低压电缆I型</w:t>
            </w:r>
          </w:p>
        </w:tc>
        <w:tc>
          <w:tcPr>
            <w:tcW w:w="3143" w:type="dxa"/>
            <w:vAlign w:val="center"/>
          </w:tcPr>
          <w:p w14:paraId="531A52A3">
            <w:pPr>
              <w:widowControl/>
              <w:adjustRightInd w:val="0"/>
              <w:snapToGrid w:val="0"/>
              <w:jc w:val="left"/>
              <w:textAlignment w:val="center"/>
              <w:rPr>
                <w:rFonts w:hint="eastAsia" w:ascii="宋体" w:hAnsi="宋体" w:cs="宋体"/>
                <w:color w:val="auto"/>
                <w:highlight w:val="none"/>
                <w:lang w:bidi="ar"/>
              </w:rPr>
            </w:pPr>
            <w:r>
              <w:rPr>
                <w:rFonts w:hint="eastAsia" w:ascii="宋体" w:hAnsi="宋体" w:cs="宋体"/>
                <w:color w:val="auto"/>
                <w:highlight w:val="none"/>
                <w:lang w:bidi="ar"/>
              </w:rPr>
              <w:t>快充桩液冷主机供电电缆（ZC-YJV22-0.6/1-4×185+1×95）</w:t>
            </w:r>
          </w:p>
          <w:p w14:paraId="636830EE">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快充桩液冷终端供电电缆（ZC-YJV22-1.8/3-4×120+1×70）UTP6类网线</w:t>
            </w:r>
          </w:p>
        </w:tc>
        <w:tc>
          <w:tcPr>
            <w:tcW w:w="634" w:type="dxa"/>
            <w:vAlign w:val="center"/>
          </w:tcPr>
          <w:p w14:paraId="214C3E2B">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米</w:t>
            </w:r>
          </w:p>
        </w:tc>
        <w:tc>
          <w:tcPr>
            <w:tcW w:w="673" w:type="dxa"/>
            <w:vAlign w:val="center"/>
          </w:tcPr>
          <w:p w14:paraId="77667D72">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80</w:t>
            </w:r>
          </w:p>
        </w:tc>
        <w:tc>
          <w:tcPr>
            <w:tcW w:w="1481" w:type="dxa"/>
            <w:vAlign w:val="center"/>
          </w:tcPr>
          <w:p w14:paraId="639C8DFA">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54A0A3EC">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低压电缆品牌根据要求，数量按实结算</w:t>
            </w:r>
          </w:p>
        </w:tc>
      </w:tr>
      <w:tr w14:paraId="0857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79952CE5">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4</w:t>
            </w:r>
          </w:p>
        </w:tc>
        <w:tc>
          <w:tcPr>
            <w:tcW w:w="1064" w:type="dxa"/>
            <w:vAlign w:val="center"/>
          </w:tcPr>
          <w:p w14:paraId="249CF0A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低压电缆施工费用</w:t>
            </w:r>
          </w:p>
        </w:tc>
        <w:tc>
          <w:tcPr>
            <w:tcW w:w="3143" w:type="dxa"/>
            <w:vAlign w:val="center"/>
          </w:tcPr>
          <w:p w14:paraId="26B3EC74">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包含但不限于电缆路径施工开挖排管、电缆井、现状恢复、接线端子等费用（以低压电缆I型米数为准）</w:t>
            </w:r>
          </w:p>
        </w:tc>
        <w:tc>
          <w:tcPr>
            <w:tcW w:w="634" w:type="dxa"/>
            <w:vAlign w:val="center"/>
          </w:tcPr>
          <w:p w14:paraId="65C66EA5">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米</w:t>
            </w:r>
          </w:p>
        </w:tc>
        <w:tc>
          <w:tcPr>
            <w:tcW w:w="673" w:type="dxa"/>
            <w:vAlign w:val="center"/>
          </w:tcPr>
          <w:p w14:paraId="06B1517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80</w:t>
            </w:r>
          </w:p>
        </w:tc>
        <w:tc>
          <w:tcPr>
            <w:tcW w:w="1481" w:type="dxa"/>
            <w:vAlign w:val="center"/>
          </w:tcPr>
          <w:p w14:paraId="6C2E7733">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1F35298B">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工程量按实结算</w:t>
            </w:r>
          </w:p>
        </w:tc>
      </w:tr>
      <w:tr w14:paraId="193C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FE40C28">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5</w:t>
            </w:r>
          </w:p>
        </w:tc>
        <w:tc>
          <w:tcPr>
            <w:tcW w:w="1064" w:type="dxa"/>
            <w:vAlign w:val="center"/>
          </w:tcPr>
          <w:p w14:paraId="5CF93226">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车位施工费</w:t>
            </w:r>
          </w:p>
        </w:tc>
        <w:tc>
          <w:tcPr>
            <w:tcW w:w="3143" w:type="dxa"/>
            <w:vAlign w:val="center"/>
          </w:tcPr>
          <w:p w14:paraId="6A5063E4">
            <w:pPr>
              <w:widowControl/>
              <w:adjustRightInd w:val="0"/>
              <w:snapToGrid w:val="0"/>
              <w:jc w:val="left"/>
              <w:textAlignment w:val="center"/>
              <w:rPr>
                <w:rFonts w:hint="eastAsia" w:ascii="宋体" w:hAnsi="宋体" w:cs="宋体"/>
                <w:color w:val="auto"/>
                <w:highlight w:val="none"/>
                <w:lang w:bidi="ar"/>
              </w:rPr>
            </w:pPr>
            <w:r>
              <w:rPr>
                <w:rFonts w:hint="eastAsia" w:ascii="宋体" w:hAnsi="宋体" w:cs="宋体"/>
                <w:color w:val="auto"/>
                <w:highlight w:val="none"/>
                <w:lang w:bidi="ar"/>
              </w:rPr>
              <w:t>包括车位字体喷字、车档器、充电桩基础制作安装、调试、场站指示牌、品牌柱、照明、手推式消防器材、高清摄像头，以上施工含主材及辅材，符合政府工程建设相关标准。</w:t>
            </w:r>
          </w:p>
        </w:tc>
        <w:tc>
          <w:tcPr>
            <w:tcW w:w="634" w:type="dxa"/>
            <w:vAlign w:val="center"/>
          </w:tcPr>
          <w:p w14:paraId="7613DC1A">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车位</w:t>
            </w:r>
          </w:p>
        </w:tc>
        <w:tc>
          <w:tcPr>
            <w:tcW w:w="673" w:type="dxa"/>
            <w:vAlign w:val="center"/>
          </w:tcPr>
          <w:p w14:paraId="164DED9B">
            <w:pPr>
              <w:widowControl/>
              <w:adjustRightInd w:val="0"/>
              <w:snapToGrid w:val="0"/>
              <w:jc w:val="center"/>
              <w:textAlignment w:val="center"/>
              <w:rPr>
                <w:rFonts w:hint="eastAsia" w:ascii="宋体" w:hAnsi="宋体" w:cs="宋体"/>
                <w:color w:val="auto"/>
                <w:highlight w:val="none"/>
                <w:lang w:bidi="ar"/>
              </w:rPr>
            </w:pPr>
            <w:r>
              <w:rPr>
                <w:rFonts w:hint="eastAsia" w:ascii="宋体" w:hAnsi="宋体" w:cs="宋体"/>
                <w:color w:val="auto"/>
                <w:highlight w:val="none"/>
                <w:lang w:bidi="ar"/>
              </w:rPr>
              <w:t>6</w:t>
            </w:r>
          </w:p>
        </w:tc>
        <w:tc>
          <w:tcPr>
            <w:tcW w:w="1481" w:type="dxa"/>
            <w:vAlign w:val="center"/>
          </w:tcPr>
          <w:p w14:paraId="418A8B51">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3A708D0B">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工程量按实结算</w:t>
            </w:r>
          </w:p>
        </w:tc>
      </w:tr>
      <w:tr w14:paraId="5E8C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3E9071DC">
            <w:pPr>
              <w:widowControl/>
              <w:adjustRightInd w:val="0"/>
              <w:snapToGrid w:val="0"/>
              <w:jc w:val="center"/>
              <w:textAlignment w:val="center"/>
              <w:rPr>
                <w:rFonts w:hint="eastAsia" w:ascii="宋体" w:hAnsi="宋体" w:cs="宋体"/>
                <w:b/>
                <w:bCs/>
                <w:color w:val="auto"/>
                <w:highlight w:val="none"/>
              </w:rPr>
            </w:pPr>
            <w:r>
              <w:rPr>
                <w:rFonts w:hint="eastAsia" w:ascii="宋体" w:hAnsi="宋体" w:cs="宋体"/>
                <w:color w:val="auto"/>
                <w:highlight w:val="none"/>
                <w:lang w:bidi="ar"/>
              </w:rPr>
              <w:t>6</w:t>
            </w:r>
          </w:p>
        </w:tc>
        <w:tc>
          <w:tcPr>
            <w:tcW w:w="1064" w:type="dxa"/>
            <w:vAlign w:val="center"/>
          </w:tcPr>
          <w:p w14:paraId="22BD8CAE">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固定施工费</w:t>
            </w:r>
          </w:p>
        </w:tc>
        <w:tc>
          <w:tcPr>
            <w:tcW w:w="3143" w:type="dxa"/>
            <w:vAlign w:val="center"/>
          </w:tcPr>
          <w:p w14:paraId="2EAA0444">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施工固定费用（包含充电机基础施工费用、充电机安装、调试（一个充电机为一项）</w:t>
            </w:r>
          </w:p>
        </w:tc>
        <w:tc>
          <w:tcPr>
            <w:tcW w:w="634" w:type="dxa"/>
            <w:vAlign w:val="center"/>
          </w:tcPr>
          <w:p w14:paraId="33BB8E3F">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项</w:t>
            </w:r>
          </w:p>
        </w:tc>
        <w:tc>
          <w:tcPr>
            <w:tcW w:w="673" w:type="dxa"/>
            <w:vAlign w:val="center"/>
          </w:tcPr>
          <w:p w14:paraId="5EE62538">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481" w:type="dxa"/>
            <w:vAlign w:val="center"/>
          </w:tcPr>
          <w:p w14:paraId="090B4504">
            <w:pPr>
              <w:widowControl/>
              <w:adjustRightInd w:val="0"/>
              <w:snapToGrid w:val="0"/>
              <w:jc w:val="center"/>
              <w:textAlignment w:val="center"/>
              <w:rPr>
                <w:rFonts w:hint="eastAsia" w:ascii="宋体" w:hAnsi="宋体" w:cs="宋体"/>
                <w:color w:val="auto"/>
                <w:highlight w:val="none"/>
              </w:rPr>
            </w:pPr>
          </w:p>
        </w:tc>
        <w:tc>
          <w:tcPr>
            <w:tcW w:w="1935" w:type="dxa"/>
            <w:vAlign w:val="center"/>
          </w:tcPr>
          <w:p w14:paraId="117DAA2F">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w:t>
            </w:r>
          </w:p>
        </w:tc>
      </w:tr>
      <w:tr w14:paraId="778C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5C7F6FEA">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7</w:t>
            </w:r>
          </w:p>
        </w:tc>
        <w:tc>
          <w:tcPr>
            <w:tcW w:w="1064" w:type="dxa"/>
            <w:vAlign w:val="center"/>
          </w:tcPr>
          <w:p w14:paraId="1F0DA8A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充电运营监控平台服务费</w:t>
            </w:r>
          </w:p>
        </w:tc>
        <w:tc>
          <w:tcPr>
            <w:tcW w:w="3143" w:type="dxa"/>
            <w:vAlign w:val="center"/>
          </w:tcPr>
          <w:p w14:paraId="70DB53CA">
            <w:pPr>
              <w:widowControl/>
              <w:adjustRightInd w:val="0"/>
              <w:snapToGrid w:val="0"/>
              <w:jc w:val="left"/>
              <w:textAlignment w:val="center"/>
              <w:rPr>
                <w:rFonts w:hint="eastAsia" w:ascii="宋体" w:hAnsi="宋体" w:cs="宋体"/>
                <w:color w:val="auto"/>
                <w:highlight w:val="none"/>
              </w:rPr>
            </w:pPr>
            <w:r>
              <w:rPr>
                <w:rFonts w:hint="eastAsia" w:ascii="宋体" w:hAnsi="宋体" w:cs="宋体"/>
                <w:color w:val="auto"/>
                <w:highlight w:val="none"/>
                <w:lang w:bidi="ar"/>
              </w:rPr>
              <w:t>充电操作、运行管理平台，所需的操作系统、数据库等需正版（一个充电机对应一套平台服务）。详见技术要求</w:t>
            </w:r>
          </w:p>
        </w:tc>
        <w:tc>
          <w:tcPr>
            <w:tcW w:w="634" w:type="dxa"/>
            <w:vAlign w:val="center"/>
          </w:tcPr>
          <w:p w14:paraId="262A8091">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套</w:t>
            </w:r>
          </w:p>
        </w:tc>
        <w:tc>
          <w:tcPr>
            <w:tcW w:w="673" w:type="dxa"/>
            <w:vAlign w:val="center"/>
          </w:tcPr>
          <w:p w14:paraId="6FF2101E">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1</w:t>
            </w:r>
          </w:p>
        </w:tc>
        <w:tc>
          <w:tcPr>
            <w:tcW w:w="1481" w:type="dxa"/>
            <w:vAlign w:val="center"/>
          </w:tcPr>
          <w:p w14:paraId="4ACB0E0C">
            <w:pPr>
              <w:widowControl/>
              <w:adjustRightInd w:val="0"/>
              <w:snapToGrid w:val="0"/>
              <w:jc w:val="center"/>
              <w:textAlignment w:val="center"/>
              <w:rPr>
                <w:rFonts w:hint="eastAsia" w:ascii="宋体" w:hAnsi="宋体" w:cs="宋体"/>
                <w:color w:val="auto"/>
                <w:highlight w:val="none"/>
              </w:rPr>
            </w:pPr>
            <w:r>
              <w:rPr>
                <w:rFonts w:hint="eastAsia" w:ascii="宋体" w:hAnsi="宋体" w:cs="宋体"/>
                <w:color w:val="auto"/>
                <w:highlight w:val="none"/>
                <w:lang w:bidi="ar"/>
              </w:rPr>
              <w:t>配套提供</w:t>
            </w:r>
          </w:p>
        </w:tc>
        <w:tc>
          <w:tcPr>
            <w:tcW w:w="1935" w:type="dxa"/>
            <w:vAlign w:val="center"/>
          </w:tcPr>
          <w:p w14:paraId="4068E9E5">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需接入第三方平台（钱包互通）</w:t>
            </w:r>
          </w:p>
        </w:tc>
      </w:tr>
      <w:tr w14:paraId="676C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70" w:type="dxa"/>
            <w:gridSpan w:val="7"/>
            <w:vAlign w:val="center"/>
          </w:tcPr>
          <w:p w14:paraId="509B50C3">
            <w:pPr>
              <w:widowControl/>
              <w:adjustRightInd w:val="0"/>
              <w:snapToGrid w:val="0"/>
              <w:jc w:val="left"/>
              <w:rPr>
                <w:rFonts w:hint="eastAsia" w:ascii="宋体" w:hAnsi="宋体" w:cs="宋体"/>
                <w:color w:val="auto"/>
                <w:highlight w:val="none"/>
              </w:rPr>
            </w:pPr>
            <w:r>
              <w:rPr>
                <w:rFonts w:hint="eastAsia" w:ascii="宋体" w:hAnsi="宋体" w:cs="宋体"/>
                <w:color w:val="auto"/>
                <w:highlight w:val="none"/>
              </w:rPr>
              <w:t>注：招标人根据后期实际需求从清单中选择设备并同中标单位进行对接确认后进行采购。</w:t>
            </w:r>
          </w:p>
        </w:tc>
      </w:tr>
    </w:tbl>
    <w:p w14:paraId="1C100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32EA91E9">
      <w:pPr>
        <w:keepNext w:val="0"/>
        <w:keepLines w:val="0"/>
        <w:pageBreakBefore w:val="0"/>
        <w:widowControl w:val="0"/>
        <w:kinsoku/>
        <w:wordWrap/>
        <w:overflowPunct/>
        <w:topLinePunct/>
        <w:autoSpaceDE/>
        <w:autoSpaceDN/>
        <w:bidi w:val="0"/>
        <w:adjustRightInd w:val="0"/>
        <w:snapToGrid w:val="0"/>
        <w:spacing w:line="312" w:lineRule="auto"/>
        <w:ind w:left="124" w:leftChars="59"/>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rPr>
        <w:t>技术要求及说明</w:t>
      </w:r>
    </w:p>
    <w:p w14:paraId="4F126104">
      <w:pPr>
        <w:keepNext w:val="0"/>
        <w:keepLines w:val="0"/>
        <w:pageBreakBefore w:val="0"/>
        <w:widowControl w:val="0"/>
        <w:kinsoku/>
        <w:wordWrap/>
        <w:overflowPunct/>
        <w:topLinePunct/>
        <w:autoSpaceDE/>
        <w:autoSpaceDN/>
        <w:bidi w:val="0"/>
        <w:adjustRightInd w:val="0"/>
        <w:snapToGrid w:val="0"/>
        <w:spacing w:line="312" w:lineRule="auto"/>
        <w:ind w:left="124" w:leftChars="59"/>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1、箱体技术要求</w:t>
      </w:r>
    </w:p>
    <w:p w14:paraId="1379EA4D">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箱式变电站由高压柜体、配电变压器、低压配电柜、分体式直流充电机及外壳五部分组成，其中高压柜体、配电变压器、低压配电柜为甲供产品。</w:t>
      </w:r>
    </w:p>
    <w:p w14:paraId="72401496">
      <w:pPr>
        <w:keepNext w:val="0"/>
        <w:keepLines w:val="0"/>
        <w:pageBreakBefore w:val="0"/>
        <w:widowControl w:val="0"/>
        <w:kinsoku/>
        <w:wordWrap/>
        <w:overflowPunct/>
        <w:topLinePunct/>
        <w:autoSpaceDE/>
        <w:autoSpaceDN/>
        <w:bidi w:val="0"/>
        <w:adjustRightInd w:val="0"/>
        <w:snapToGrid w:val="0"/>
        <w:spacing w:line="312" w:lineRule="auto"/>
        <w:ind w:left="122" w:leftChars="58"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具体设计由投标厂家根据使用需求配置确定，需满足供电部门</w:t>
      </w:r>
      <w:r>
        <w:rPr>
          <w:rFonts w:hint="eastAsia" w:asciiTheme="minorEastAsia" w:hAnsiTheme="minorEastAsia" w:eastAsiaTheme="minorEastAsia" w:cstheme="minorEastAsia"/>
          <w:color w:val="auto"/>
          <w:sz w:val="21"/>
          <w:szCs w:val="21"/>
          <w:highlight w:val="none"/>
          <w:lang w:val="en-US" w:eastAsia="zh-CN"/>
        </w:rPr>
        <w:t>安装及</w:t>
      </w:r>
      <w:r>
        <w:rPr>
          <w:rFonts w:hint="eastAsia" w:asciiTheme="minorEastAsia" w:hAnsiTheme="minorEastAsia" w:eastAsiaTheme="minorEastAsia" w:cstheme="minorEastAsia"/>
          <w:color w:val="auto"/>
          <w:sz w:val="21"/>
          <w:szCs w:val="21"/>
          <w:highlight w:val="none"/>
        </w:rPr>
        <w:t>验收要求（</w:t>
      </w:r>
      <w:r>
        <w:rPr>
          <w:rFonts w:hint="eastAsia" w:asciiTheme="minorEastAsia" w:hAnsiTheme="minorEastAsia" w:eastAsiaTheme="minorEastAsia" w:cstheme="minorEastAsia"/>
          <w:b/>
          <w:bCs/>
          <w:color w:val="auto"/>
          <w:sz w:val="21"/>
          <w:szCs w:val="21"/>
          <w:highlight w:val="none"/>
        </w:rPr>
        <w:t>投标时，提供承诺函</w:t>
      </w:r>
      <w:r>
        <w:rPr>
          <w:rFonts w:hint="eastAsia" w:asciiTheme="minorEastAsia" w:hAnsiTheme="minorEastAsia" w:eastAsiaTheme="minorEastAsia" w:cstheme="minorEastAsia"/>
          <w:color w:val="auto"/>
          <w:sz w:val="21"/>
          <w:szCs w:val="21"/>
          <w:highlight w:val="none"/>
        </w:rPr>
        <w:t>）。</w:t>
      </w:r>
    </w:p>
    <w:p w14:paraId="744D75E4">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中标人提供的箱变应具备结构稳定的设计，在11级风（28.5~32.6m/s）工况条件下持续风吹1个小时，设备无可见异常变形，柜门保持正常的开启、关闭和锁固，</w:t>
      </w:r>
      <w:r>
        <w:rPr>
          <w:rFonts w:hint="eastAsia" w:asciiTheme="minorEastAsia" w:hAnsiTheme="minorEastAsia" w:eastAsiaTheme="minorEastAsia" w:cstheme="minorEastAsia"/>
          <w:color w:val="auto"/>
          <w:sz w:val="21"/>
          <w:szCs w:val="21"/>
          <w:highlight w:val="none"/>
          <w:lang w:val="en-US" w:eastAsia="zh-CN"/>
        </w:rPr>
        <w:t>安装前</w:t>
      </w:r>
      <w:r>
        <w:rPr>
          <w:rFonts w:hint="eastAsia" w:asciiTheme="minorEastAsia" w:hAnsiTheme="minorEastAsia" w:eastAsiaTheme="minorEastAsia" w:cstheme="minorEastAsia"/>
          <w:color w:val="auto"/>
          <w:sz w:val="21"/>
          <w:szCs w:val="21"/>
          <w:highlight w:val="none"/>
        </w:rPr>
        <w:t>提供第三方检验机构（具备CMA</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CNAS资质）出具的检验报告</w:t>
      </w:r>
      <w:r>
        <w:rPr>
          <w:rFonts w:hint="eastAsia" w:asciiTheme="minorEastAsia" w:hAnsiTheme="minorEastAsia" w:eastAsiaTheme="minorEastAsia" w:cstheme="minorEastAsia"/>
          <w:color w:val="auto"/>
          <w:sz w:val="21"/>
          <w:szCs w:val="21"/>
          <w:highlight w:val="none"/>
          <w:lang w:eastAsia="zh-CN"/>
        </w:rPr>
        <w:t>。</w:t>
      </w:r>
    </w:p>
    <w:p w14:paraId="72F6EA05">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采用高精度焊装式结构。箱体采用双层、密封、防腐蚀、隔温结构，内部采用钢板及阻燃绝缘隔板严密分割成高压室、变压器室、低压室，各室防护等级为IP3X。双层箱体必须都采用2mm厚度以上的冷轧钢板制作，双层之间必须有建设部允许的防火隔温材料。箱体的底架部件由槽钢焊接而成，框架及门采用优质冷轧钢板，框架钢板厚度不得小于2.5mm，门和顶盖钢板厚度不得小于1.5mm。箱变所有门轴必须采用不锈钢材料制作，防止摩擦部位生锈，箱变所有锁盒采用户外铝合金锁盒（防水型）。</w:t>
      </w:r>
    </w:p>
    <w:p w14:paraId="5BF4FC73">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金属构件应进行在25年内不锈蚀的防腐处理，箱变双层箱体冷轧钢板采用喷砂、热喷锌、喷锌加防腐、喷户外高档聚氨酯面漆防腐处理，不锈钢板采用喷砂、喷户外高档聚氨酯面漆防腐处理。金属材料经防腐处理后表面覆盖层应有牢固的附着力，并均匀一致。箱体底架槽钢必须经过喷砂、喷锌处理后，采用沥青漆重度防腐处理，保证底架20年不生锈。</w:t>
      </w:r>
    </w:p>
    <w:p w14:paraId="0E3B1E5A">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箱体密封所采用的密封条必须是长寿命、高弹性产品，高压和低压的进出线电缆孔采用方便于密封的敲落孔并配有足够数量的密封胶圈。</w:t>
      </w:r>
    </w:p>
    <w:p w14:paraId="4B65EB2D">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外壳必须设计足够的机械强度，在起吊、运输和隧道内搬运、安装时不会变形或损伤；箱变外壳必须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应防水、防震、防腐、防尘、防电燃。</w:t>
      </w:r>
    </w:p>
    <w:p w14:paraId="000F67DC">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门应向外开，开启角度大于100°，并设置定位装置。门有密封措施，并装有把手和暗锁，门的设计尺寸与所装设备的尺寸相配合。设门控自动开闭的照明设施。箱体顶盖应有明显散水坡度，不应小于5°，顶盖边沿应设有滴水沿，防止雨水回流进入箱体。</w:t>
      </w:r>
    </w:p>
    <w:p w14:paraId="0D6EFB31">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变压器室采用通风结构，门板带有为防尘通风防水百叶窗门。</w:t>
      </w:r>
    </w:p>
    <w:p w14:paraId="2E67DE7D">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式变电站的箱体应设专用接地导体，高低压接地贯通，该接地导体上应设有与接地网相连接的固定接地端子，箱变内部各个隔室接地端子数量不少于2个，箱变外部接地端子数量不少于四个，并应有明显的接地标志。接地端子为直径不小于12mm的钢质螺栓。箱式变电站的金属骨架，高压配电装置、低压配电装置和变压器室的金属支架均应有符合技术条件的接地端子，并与专用接地导体可靠地连接在一起，箱变的接地电阻阻值符合标准。</w:t>
      </w:r>
    </w:p>
    <w:p w14:paraId="110DBB8F">
      <w:pPr>
        <w:keepNext w:val="0"/>
        <w:keepLines w:val="0"/>
        <w:pageBreakBefore w:val="0"/>
        <w:widowControl w:val="0"/>
        <w:kinsoku/>
        <w:wordWrap/>
        <w:overflowPunct/>
        <w:topLinePunct/>
        <w:autoSpaceDE/>
        <w:autoSpaceDN/>
        <w:bidi w:val="0"/>
        <w:adjustRightInd w:val="0"/>
        <w:snapToGrid w:val="0"/>
        <w:spacing w:line="312" w:lineRule="auto"/>
        <w:ind w:left="124" w:leftChars="59"/>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2、分体式直流充电机技术要求</w:t>
      </w:r>
    </w:p>
    <w:p w14:paraId="45454B78">
      <w:pPr>
        <w:keepNext w:val="0"/>
        <w:keepLines w:val="0"/>
        <w:pageBreakBefore w:val="0"/>
        <w:widowControl w:val="0"/>
        <w:kinsoku/>
        <w:wordWrap/>
        <w:overflowPunct/>
        <w:topLinePunct/>
        <w:autoSpaceDE/>
        <w:autoSpaceDN/>
        <w:bidi w:val="0"/>
        <w:adjustRightInd w:val="0"/>
        <w:snapToGrid w:val="0"/>
        <w:spacing w:line="312"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（1）技术参数</w:t>
      </w:r>
    </w:p>
    <w:p w14:paraId="47B35836">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1）环境条件</w:t>
      </w:r>
    </w:p>
    <w:p w14:paraId="332DF5E2">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环境温度：-20℃～50℃；</w:t>
      </w:r>
    </w:p>
    <w:p w14:paraId="539F0C42">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相对湿度：5％～95％；</w:t>
      </w:r>
    </w:p>
    <w:p w14:paraId="70C869B0">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海拔高度：≤2000m；</w:t>
      </w:r>
    </w:p>
    <w:p w14:paraId="17EA4C10">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大气压强：80kPa～110kPa；</w:t>
      </w:r>
    </w:p>
    <w:p w14:paraId="0559CC80">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2）电源条件</w:t>
      </w:r>
    </w:p>
    <w:p w14:paraId="1DD563FC">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交流输入电压：380V±15％；</w:t>
      </w:r>
    </w:p>
    <w:p w14:paraId="6E9A063C">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交流电源频率：50Hz±1Hz。</w:t>
      </w:r>
    </w:p>
    <w:p w14:paraId="6DEBC1BA">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3）输出电压</w:t>
      </w:r>
    </w:p>
    <w:p w14:paraId="652CE11D">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直流输出电压：200V-750V，具备恒功率充电功能。</w:t>
      </w:r>
    </w:p>
    <w:p w14:paraId="136942A6">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4）低压辅助电源</w:t>
      </w:r>
    </w:p>
    <w:p w14:paraId="5A8AB717">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充电机应能为电动汽车提供低压辅助电源，且具备过负荷、过压、过温保护功能。</w:t>
      </w:r>
    </w:p>
    <w:p w14:paraId="20139A61">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辅助电源电压：12V；</w:t>
      </w:r>
    </w:p>
    <w:p w14:paraId="190DE47C">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纹波峰值系数：不超过±1%。</w:t>
      </w:r>
    </w:p>
    <w:p w14:paraId="65BBA8CF">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5）结构要求</w:t>
      </w:r>
    </w:p>
    <w:p w14:paraId="33D1886A">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充电机分采用分体式结构形式。基本构成包括：功率单元、功率分配单元、充电管理单元、集中控制器、计量表计等。</w:t>
      </w:r>
    </w:p>
    <w:p w14:paraId="08968FE2">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5.1分体式充电机</w:t>
      </w:r>
    </w:p>
    <w:p w14:paraId="4B770108">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体式充电机由整流柜和直流充电终端两部分构成，它们之间通过电缆连接组成一套完整的充电机。形式：一套整流柜连接多个直流充电终端，多个直流充电终端同时输出电流，具备直流输出功率自动分配功能。且每个直流充电终端均可调用每个充电模块。</w:t>
      </w:r>
    </w:p>
    <w:p w14:paraId="6F4B5ECD">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5.2功率分配单元</w:t>
      </w:r>
    </w:p>
    <w:p w14:paraId="25092F94">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充电机所有模块独立自动功率分配，功率分配单元要求模块化结构设计，易运维维护。</w:t>
      </w:r>
    </w:p>
    <w:p w14:paraId="1632912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6）功能要求</w:t>
      </w:r>
    </w:p>
    <w:p w14:paraId="32A743A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6.1充电设定方式</w:t>
      </w:r>
    </w:p>
    <w:p w14:paraId="7FED5842">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在充电过程中，充电机依据电动汽车电池管理系统提供的数据动态调整充电参数，执行相应动作，完成充电过程。</w:t>
      </w:r>
    </w:p>
    <w:p w14:paraId="7B78A2A6">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6.2充电模式和连接方式</w:t>
      </w:r>
    </w:p>
    <w:p w14:paraId="0C4B211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充电机采用GB/T18487.1-2015附录B中规定的充电模式4和连接方式C对电动汽车进行充电。充电接口应满足GB/T20234.1-2015和 GB/T20234.3-2015的规定。</w:t>
      </w:r>
    </w:p>
    <w:p w14:paraId="52E7E511">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6.3充电控制</w:t>
      </w:r>
    </w:p>
    <w:p w14:paraId="24CFEFE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备VIN自动识别充电：通过插枪，自动识别车辆BMS传回的VIN码，集中控制器识别正确，自动启动充电或遵循后台设置的启动充电时间，自动启动；充电结束后，自动停止，充电未结束时，通过手机、PAD、PC等终端，可直接选择充电枪，终止充电。</w:t>
      </w:r>
    </w:p>
    <w:p w14:paraId="3402259B">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定时充电功能：可以自动或手动设置充电时间，充分利用低谷电价，降低运营成本。</w:t>
      </w:r>
    </w:p>
    <w:p w14:paraId="178C407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一键启动充电功能：可以通过一键启动给所有通过绝缘检测通信正常的车辆启动充电。</w:t>
      </w:r>
    </w:p>
    <w:p w14:paraId="21200222">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6.4功率智能分配</w:t>
      </w:r>
    </w:p>
    <w:p w14:paraId="3951BB1F">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功率智能分配充电技术，能够根据充电车辆充电要求，自动分配输出功率。即：在满足首先接入充电车辆功率需求的前提下，可以根据充电过程中功率需求变化，智能分配多余功率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智能分配以单模块功率为一个自动调节的单元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，给后接入的充电车辆；既能够满足日间大功率快速充电，又能满足夜间所有充电车位车辆同时充电，且不超过每个场站供电负荷上限。</w:t>
      </w:r>
    </w:p>
    <w:p w14:paraId="746FA80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6.5集中管控功能</w:t>
      </w:r>
    </w:p>
    <w:p w14:paraId="4B140304">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所有直流充电机可区域组网实现集群控制和管理功能，通过实时变压器容量，进行动态负荷调度或设定固定负荷上限，实时调控充电桩功率输出。</w:t>
      </w:r>
    </w:p>
    <w:p w14:paraId="0E0445CC">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6.6充电策略</w:t>
      </w:r>
    </w:p>
    <w:p w14:paraId="3E2B518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均充充电策略：当只有一辆车在充电时，充电机所有充电模块最大限度满足车辆需求。第二辆车来到时功率自动进行均分，每辆车输入的最大功率为充电机最大输出功率的一半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以此类推。此策略适合夜间慢平衡充电，最大限度保护电池。</w:t>
      </w:r>
    </w:p>
    <w:p w14:paraId="74ED6D2D">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主有次充电策略：当第一辆车进行充电时，充电机所有充电模块最大限度满足第一辆车的充电需求，当第二辆车进行充电时，优先保障第一辆车充电的同时，剩余模块自动分配给第二辆车使用，第三辆车进行充电时，在保证前两辆车最大限度进行充电时，剩余模块给第三辆充电，依此类推，但是至少保证后来车辆至少有一个模块使用。此策略适合白天快补充电。</w:t>
      </w:r>
    </w:p>
    <w:p w14:paraId="61E32B96">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至少分配一个模块单元充电策略：当有车辆接入充电时，至少保证所有接入的车辆至少有一个充电模块为其充电，多余模块按顺序分配或按发车需求分配。</w:t>
      </w:r>
    </w:p>
    <w:p w14:paraId="15F769C7">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三种模式可自由切换。</w:t>
      </w:r>
    </w:p>
    <w:p w14:paraId="766E3FA3">
      <w:pPr>
        <w:keepNext w:val="0"/>
        <w:keepLines w:val="0"/>
        <w:pageBreakBefore w:val="0"/>
        <w:widowControl w:val="0"/>
        <w:kinsoku/>
        <w:wordWrap/>
        <w:overflowPunct/>
        <w:topLinePunct/>
        <w:autoSpaceDE/>
        <w:autoSpaceDN/>
        <w:bidi w:val="0"/>
        <w:adjustRightInd w:val="0"/>
        <w:snapToGrid w:val="0"/>
        <w:spacing w:line="312" w:lineRule="auto"/>
        <w:ind w:left="122" w:leftChars="58"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6.7并机输出功能</w:t>
      </w:r>
    </w:p>
    <w:p w14:paraId="0794C58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车辆有双枪快充需求，可单独设置相邻两车位实现双枪大功率快充，并机输出模式可手动配置在集中控制器，也可根据VIN自动识别充电模式自动配置，或根据车辆需求设置日间双枪大功率快充，夜间均分或有主有次慢充。</w:t>
      </w:r>
    </w:p>
    <w:p w14:paraId="0C651AF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6.8与电池管理系统通信功能</w:t>
      </w:r>
    </w:p>
    <w:p w14:paraId="39F8169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充电机应具有与电池管理系统通信的CAN接口，获得电池管理系统的充电参数和充电实时数据。通信协议应能满足GB/T 27930-2015的规定。</w:t>
      </w:r>
    </w:p>
    <w:p w14:paraId="00570E3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6.9主动防护过充设计</w:t>
      </w:r>
    </w:p>
    <w:p w14:paraId="0A35396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具备主动监测电动汽车BMS运行状态、电池特性参数及充电机自身的运行状态等功能，须采用安全冗余设计，主动诊断并处理故障和异常，实现电动汽车充电过程的主动防护。</w:t>
      </w:r>
    </w:p>
    <w:p w14:paraId="02E691D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6.10计量功能</w:t>
      </w:r>
    </w:p>
    <w:p w14:paraId="35C5E79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充电机采用直流侧计量，应具有对每个充电接口输出电能进行计量的功能。电能计量装置应符合国家计量器具检定相关要求。精确度等级1.0级，电能计量装置具备1个RS485接口，通信协议遵循《DL/T 645-2007多功能电能表通信协议》技术要求，并可实现平台远程抄表功能。</w:t>
      </w:r>
    </w:p>
    <w:p w14:paraId="3D0F350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6.11通信功能</w:t>
      </w:r>
    </w:p>
    <w:p w14:paraId="604CDA5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w:t>
      </w:r>
      <w:r>
        <w:rPr>
          <w:rFonts w:hint="eastAsia" w:asciiTheme="minorEastAsia" w:hAnsiTheme="minorEastAsia" w:eastAsiaTheme="minorEastAsia" w:cstheme="minorEastAsia"/>
          <w:color w:val="auto"/>
          <w:sz w:val="21"/>
          <w:szCs w:val="21"/>
          <w:highlight w:val="none"/>
          <w:lang w:val="en-US" w:eastAsia="zh-CN"/>
        </w:rPr>
        <w:t>或以上</w:t>
      </w:r>
      <w:r>
        <w:rPr>
          <w:rFonts w:hint="eastAsia" w:asciiTheme="minorEastAsia" w:hAnsiTheme="minorEastAsia" w:eastAsiaTheme="minorEastAsia" w:cstheme="minorEastAsia"/>
          <w:color w:val="auto"/>
          <w:sz w:val="21"/>
          <w:szCs w:val="21"/>
          <w:highlight w:val="none"/>
        </w:rPr>
        <w:t>通讯模块，采用4G</w:t>
      </w:r>
      <w:r>
        <w:rPr>
          <w:rFonts w:hint="eastAsia" w:asciiTheme="minorEastAsia" w:hAnsiTheme="minorEastAsia" w:eastAsiaTheme="minorEastAsia" w:cstheme="minorEastAsia"/>
          <w:color w:val="auto"/>
          <w:sz w:val="21"/>
          <w:szCs w:val="21"/>
          <w:highlight w:val="none"/>
          <w:lang w:val="en-US" w:eastAsia="zh-CN"/>
        </w:rPr>
        <w:t>或以上</w:t>
      </w:r>
      <w:r>
        <w:rPr>
          <w:rFonts w:hint="eastAsia" w:asciiTheme="minorEastAsia" w:hAnsiTheme="minorEastAsia" w:eastAsiaTheme="minorEastAsia" w:cstheme="minorEastAsia"/>
          <w:color w:val="auto"/>
          <w:sz w:val="21"/>
          <w:szCs w:val="21"/>
          <w:highlight w:val="none"/>
        </w:rPr>
        <w:t>通讯流量卡连接网络，手机APP、PAD、PC登陆云平台进行充电状态的监控、查询及控制功能。每个车位可单独计量、计费、通信，自行配置工业级无线路由器（全网通通信模块，兼容4G/3G/2G频段，有线加无线双网互备）。</w:t>
      </w:r>
    </w:p>
    <w:p w14:paraId="045C5EF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6.12调度功能</w:t>
      </w:r>
    </w:p>
    <w:p w14:paraId="1075F6B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ascii="宋体" w:hAnsi="宋体" w:eastAsia="宋体"/>
          <w:color w:val="auto"/>
          <w:sz w:val="21"/>
          <w:szCs w:val="21"/>
          <w:highlight w:val="none"/>
        </w:rPr>
        <w:t>充电系统具备全矩阵调度、功率级联、均分调度、动态按需功率分配、功率利用率最大化、模块效率最优、优先级调度充电等</w:t>
      </w:r>
      <w:r>
        <w:rPr>
          <w:rFonts w:hint="eastAsia" w:ascii="宋体" w:hAnsi="宋体" w:eastAsia="宋体"/>
          <w:color w:val="auto"/>
          <w:sz w:val="21"/>
          <w:szCs w:val="21"/>
          <w:highlight w:val="none"/>
        </w:rPr>
        <w:t>不少于</w:t>
      </w:r>
      <w:r>
        <w:rPr>
          <w:rFonts w:ascii="宋体" w:hAnsi="宋体" w:eastAsia="宋体"/>
          <w:color w:val="auto"/>
          <w:sz w:val="21"/>
          <w:szCs w:val="21"/>
          <w:highlight w:val="none"/>
        </w:rPr>
        <w:t>7种功率分配充电策略</w:t>
      </w:r>
      <w:r>
        <w:rPr>
          <w:rFonts w:hint="eastAsia" w:ascii="宋体" w:hAnsi="宋体" w:eastAsia="宋体"/>
          <w:color w:val="auto"/>
          <w:sz w:val="21"/>
          <w:szCs w:val="21"/>
          <w:highlight w:val="none"/>
        </w:rPr>
        <w:t>，</w:t>
      </w:r>
      <w:r>
        <w:rPr>
          <w:rFonts w:ascii="宋体" w:hAnsi="宋体" w:eastAsia="宋体"/>
          <w:color w:val="auto"/>
          <w:sz w:val="21"/>
          <w:szCs w:val="21"/>
          <w:highlight w:val="none"/>
        </w:rPr>
        <w:t>实现功率的自主寻优算法，保证最大输出功率。</w:t>
      </w:r>
    </w:p>
    <w:p w14:paraId="7D0667B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6.13功率分配单元寿命</w:t>
      </w:r>
    </w:p>
    <w:p w14:paraId="5454C12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切换寿命不低于10万次。</w:t>
      </w:r>
    </w:p>
    <w:p w14:paraId="173CD56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6.14远程升级</w:t>
      </w:r>
    </w:p>
    <w:p w14:paraId="0AA9AE0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w:t>
      </w:r>
      <w:r>
        <w:rPr>
          <w:rFonts w:hint="eastAsia" w:asciiTheme="minorEastAsia" w:hAnsiTheme="minorEastAsia" w:eastAsiaTheme="minorEastAsia" w:cstheme="minorEastAsia"/>
          <w:color w:val="auto"/>
          <w:sz w:val="21"/>
          <w:szCs w:val="21"/>
          <w:highlight w:val="none"/>
          <w:lang w:val="en-US" w:eastAsia="zh-CN"/>
        </w:rPr>
        <w:t>或以上</w:t>
      </w:r>
      <w:r>
        <w:rPr>
          <w:rFonts w:hint="eastAsia" w:asciiTheme="minorEastAsia" w:hAnsiTheme="minorEastAsia" w:eastAsiaTheme="minorEastAsia" w:cstheme="minorEastAsia"/>
          <w:color w:val="auto"/>
          <w:sz w:val="21"/>
          <w:szCs w:val="21"/>
          <w:highlight w:val="none"/>
        </w:rPr>
        <w:t>通讯模块，充电机烧写程序可通过联网后通过监控运维平台控制，远程一键升级，远程更新所有通信协议，以及新国标更新等带来的控制模式升级。</w:t>
      </w:r>
    </w:p>
    <w:p w14:paraId="23ACF51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6.15远程断电</w:t>
      </w:r>
    </w:p>
    <w:p w14:paraId="45D9080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w:t>
      </w:r>
      <w:r>
        <w:rPr>
          <w:rFonts w:hint="eastAsia" w:asciiTheme="minorEastAsia" w:hAnsiTheme="minorEastAsia" w:eastAsiaTheme="minorEastAsia" w:cstheme="minorEastAsia"/>
          <w:color w:val="auto"/>
          <w:sz w:val="21"/>
          <w:szCs w:val="21"/>
          <w:highlight w:val="none"/>
          <w:lang w:val="en-US" w:eastAsia="zh-CN"/>
        </w:rPr>
        <w:t>或以上</w:t>
      </w:r>
      <w:r>
        <w:rPr>
          <w:rFonts w:hint="eastAsia" w:asciiTheme="minorEastAsia" w:hAnsiTheme="minorEastAsia" w:eastAsiaTheme="minorEastAsia" w:cstheme="minorEastAsia"/>
          <w:color w:val="auto"/>
          <w:sz w:val="21"/>
          <w:szCs w:val="21"/>
          <w:highlight w:val="none"/>
        </w:rPr>
        <w:t>通讯模块，具备面对应急突发事件，可通过调度室的远程监控运维平台，远程操作断电，闭合进线开关。</w:t>
      </w:r>
    </w:p>
    <w:p w14:paraId="5E6931A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6.16开关矩阵配置</w:t>
      </w:r>
    </w:p>
    <w:p w14:paraId="227722F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采用矩阵式功率控制设计，实现以单模块功率为切换功率单元自由切换，不接受桥接矩阵与环形矩阵配置，矩阵功率切换不允许使用高压直流接触器，要求每一路充电接口配置一个功率分配单元模块，将矩阵式控制开关置于分配单元模块内，要求单路充电接口可以通过插拔功率分配单元模块，实现快速运维、检修。</w:t>
      </w:r>
    </w:p>
    <w:p w14:paraId="1C66968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6.17柔性输出设计</w:t>
      </w:r>
    </w:p>
    <w:p w14:paraId="30EF29B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可按照电池理想的充电电流和充电电压参数，使电池得到一个充分的充电和均衡过程，行程输出柔性曲线。柔性曲线的生成需考虑了电池的环境温度、SOC区间和单体电压、总电压等因素，在初充阶段、电压平抬阶段和充电末段均调整不同的电流，并严格控制电池的温升，使电池能在最优的工况环境下，进行深度的充电，并在尾端提供足够的用以内部均衡的时间。</w:t>
      </w:r>
    </w:p>
    <w:p w14:paraId="335F12D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6.18备份存储自动上传</w:t>
      </w:r>
    </w:p>
    <w:p w14:paraId="6B5E6BA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本地系统自动备份离网数据，并实现上传。</w:t>
      </w:r>
    </w:p>
    <w:p w14:paraId="16EE1C0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6.19锁止功能</w:t>
      </w:r>
    </w:p>
    <w:p w14:paraId="464B151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充电枪应安装电子锁止装置，具有锁止功能，须防止充电过程中的意外断开，无法拔枪。当电子锁未可靠锁止时，供电设备或电动汽车应停止充电或不启动充电。</w:t>
      </w:r>
    </w:p>
    <w:p w14:paraId="367DC8D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6.20超温断电</w:t>
      </w:r>
    </w:p>
    <w:p w14:paraId="36B9A78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要求充电枪带有超温断电功能，提升安全性。</w:t>
      </w:r>
    </w:p>
    <w:p w14:paraId="35A5915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6.21智能环控</w:t>
      </w:r>
    </w:p>
    <w:p w14:paraId="0620C88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充电桩内部设立智能温控和环控系统、门禁系统，保证设备的可靠运行。</w:t>
      </w:r>
    </w:p>
    <w:p w14:paraId="12E0178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7）耐气候环境要求</w:t>
      </w:r>
    </w:p>
    <w:p w14:paraId="7EFED1F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7.1防护等级</w:t>
      </w:r>
    </w:p>
    <w:p w14:paraId="19163A9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充电机的柜体和桩体防护等级不应低于GB 4208-2008中IP32（室内）或IP54（室外）的规定。</w:t>
      </w:r>
    </w:p>
    <w:p w14:paraId="64A2C2C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7.2三防（防潮湿，防霉变，防盐雾）保护</w:t>
      </w:r>
    </w:p>
    <w:p w14:paraId="0472F60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充电机内印刷线路板、接插件等电路应进行防潮湿、防霉变、防盐雾处理。</w:t>
      </w:r>
    </w:p>
    <w:p w14:paraId="5C0878F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7.3防锈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防氧化</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保护</w:t>
      </w:r>
    </w:p>
    <w:p w14:paraId="7EA67C2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充电机铁质外壳和暴露在外的铁质支架、零件应采取双层防锈措施，非铁质的金属外壳也应具有防氧化保护膜或进行防氧化处理。</w:t>
      </w:r>
    </w:p>
    <w:p w14:paraId="26DE1D8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7.4防风保护</w:t>
      </w:r>
    </w:p>
    <w:p w14:paraId="32CB539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充电机应能承受GB/T 4797.5-2008中规定的不同地区最大风速的侵袭。</w:t>
      </w:r>
    </w:p>
    <w:p w14:paraId="51DAE5E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8）防护要求</w:t>
      </w:r>
    </w:p>
    <w:p w14:paraId="6F8BE67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8.1允许温度</w:t>
      </w:r>
    </w:p>
    <w:p w14:paraId="736F8D3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在40℃环境温度下，充电机可用手接触部分允许的最高温度应为：</w:t>
      </w:r>
    </w:p>
    <w:p w14:paraId="0669FE6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——金属部分，50℃；</w:t>
      </w:r>
    </w:p>
    <w:p w14:paraId="15B88B7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——非金属部分，60℃。</w:t>
      </w:r>
    </w:p>
    <w:p w14:paraId="1B39F54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可以用手接触但不必紧握的部分，在同样条件下允许的最高温度应为：</w:t>
      </w:r>
    </w:p>
    <w:p w14:paraId="1C7FA17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——金属部分，60℃；</w:t>
      </w:r>
    </w:p>
    <w:p w14:paraId="2545392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——非金属部分，85℃。</w:t>
      </w:r>
    </w:p>
    <w:p w14:paraId="145E437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8.2电击防护</w:t>
      </w:r>
    </w:p>
    <w:p w14:paraId="64910D4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充电机的电击防护应符合GB/T 18487.1-2015中第7章的要求。</w:t>
      </w:r>
    </w:p>
    <w:p w14:paraId="12525D3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8.3电气间隙和爬电距离</w:t>
      </w:r>
    </w:p>
    <w:p w14:paraId="1B2C891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充电机的电气间隙和爬电距离应符合下表的规定。</w:t>
      </w:r>
    </w:p>
    <w:p w14:paraId="7C21A39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电气间隙和爬电距离</w:t>
      </w:r>
    </w:p>
    <w:tbl>
      <w:tblPr>
        <w:tblStyle w:val="19"/>
        <w:tblW w:w="0" w:type="auto"/>
        <w:tblInd w:w="4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600"/>
        <w:gridCol w:w="2676"/>
      </w:tblGrid>
      <w:tr w14:paraId="725E4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16" w:type="dxa"/>
            <w:tcBorders>
              <w:top w:val="single" w:color="auto" w:sz="8" w:space="0"/>
              <w:bottom w:val="single" w:color="auto" w:sz="8" w:space="0"/>
            </w:tcBorders>
            <w:noWrap w:val="0"/>
            <w:vAlign w:val="center"/>
          </w:tcPr>
          <w:p w14:paraId="7AEA8236">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额定绝缘电压Ui（V）</w:t>
            </w:r>
          </w:p>
        </w:tc>
        <w:tc>
          <w:tcPr>
            <w:tcW w:w="2600" w:type="dxa"/>
            <w:tcBorders>
              <w:top w:val="single" w:color="auto" w:sz="8" w:space="0"/>
              <w:bottom w:val="single" w:color="auto" w:sz="8" w:space="0"/>
            </w:tcBorders>
            <w:noWrap w:val="0"/>
            <w:vAlign w:val="center"/>
          </w:tcPr>
          <w:p w14:paraId="4CDC14FC">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电气间隙（mm）</w:t>
            </w:r>
          </w:p>
        </w:tc>
        <w:tc>
          <w:tcPr>
            <w:tcW w:w="2676" w:type="dxa"/>
            <w:tcBorders>
              <w:top w:val="single" w:color="auto" w:sz="8" w:space="0"/>
              <w:bottom w:val="single" w:color="auto" w:sz="8" w:space="0"/>
            </w:tcBorders>
            <w:noWrap w:val="0"/>
            <w:vAlign w:val="center"/>
          </w:tcPr>
          <w:p w14:paraId="1797E1FB">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爬电距离（mm）</w:t>
            </w:r>
          </w:p>
        </w:tc>
      </w:tr>
      <w:tr w14:paraId="43339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16" w:type="dxa"/>
            <w:tcBorders>
              <w:top w:val="single" w:color="auto" w:sz="8" w:space="0"/>
              <w:bottom w:val="single" w:color="auto" w:sz="8" w:space="0"/>
            </w:tcBorders>
            <w:noWrap w:val="0"/>
            <w:vAlign w:val="center"/>
          </w:tcPr>
          <w:p w14:paraId="32DF58C6">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Ui≤60</w:t>
            </w:r>
          </w:p>
        </w:tc>
        <w:tc>
          <w:tcPr>
            <w:tcW w:w="2600" w:type="dxa"/>
            <w:tcBorders>
              <w:top w:val="single" w:color="auto" w:sz="8" w:space="0"/>
              <w:bottom w:val="single" w:color="auto" w:sz="8" w:space="0"/>
            </w:tcBorders>
            <w:noWrap w:val="0"/>
            <w:vAlign w:val="center"/>
          </w:tcPr>
          <w:p w14:paraId="7292F336">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676" w:type="dxa"/>
            <w:tcBorders>
              <w:top w:val="single" w:color="auto" w:sz="8" w:space="0"/>
              <w:bottom w:val="single" w:color="auto" w:sz="8" w:space="0"/>
            </w:tcBorders>
            <w:noWrap w:val="0"/>
            <w:vAlign w:val="center"/>
          </w:tcPr>
          <w:p w14:paraId="28BD1CAB">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14:paraId="71867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16" w:type="dxa"/>
            <w:tcBorders>
              <w:top w:val="single" w:color="auto" w:sz="8" w:space="0"/>
              <w:bottom w:val="single" w:color="auto" w:sz="8" w:space="0"/>
            </w:tcBorders>
            <w:noWrap w:val="0"/>
            <w:vAlign w:val="center"/>
          </w:tcPr>
          <w:p w14:paraId="3343FA20">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60＜Ui≤300</w:t>
            </w:r>
          </w:p>
        </w:tc>
        <w:tc>
          <w:tcPr>
            <w:tcW w:w="2600" w:type="dxa"/>
            <w:tcBorders>
              <w:top w:val="single" w:color="auto" w:sz="8" w:space="0"/>
              <w:bottom w:val="single" w:color="auto" w:sz="8" w:space="0"/>
            </w:tcBorders>
            <w:noWrap w:val="0"/>
            <w:vAlign w:val="center"/>
          </w:tcPr>
          <w:p w14:paraId="26B578BC">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2676" w:type="dxa"/>
            <w:tcBorders>
              <w:top w:val="single" w:color="auto" w:sz="8" w:space="0"/>
              <w:bottom w:val="single" w:color="auto" w:sz="8" w:space="0"/>
            </w:tcBorders>
            <w:noWrap w:val="0"/>
            <w:vAlign w:val="center"/>
          </w:tcPr>
          <w:p w14:paraId="26093645">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r w14:paraId="7453B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16" w:type="dxa"/>
            <w:tcBorders>
              <w:top w:val="single" w:color="auto" w:sz="8" w:space="0"/>
              <w:bottom w:val="single" w:color="auto" w:sz="8" w:space="0"/>
            </w:tcBorders>
            <w:noWrap w:val="0"/>
            <w:vAlign w:val="center"/>
          </w:tcPr>
          <w:p w14:paraId="1C5BDB68">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300＜Ui≤700</w:t>
            </w:r>
          </w:p>
        </w:tc>
        <w:tc>
          <w:tcPr>
            <w:tcW w:w="2600" w:type="dxa"/>
            <w:tcBorders>
              <w:top w:val="single" w:color="auto" w:sz="8" w:space="0"/>
              <w:bottom w:val="single" w:color="auto" w:sz="8" w:space="0"/>
            </w:tcBorders>
            <w:noWrap w:val="0"/>
            <w:vAlign w:val="center"/>
          </w:tcPr>
          <w:p w14:paraId="0681853C">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c>
          <w:tcPr>
            <w:tcW w:w="2676" w:type="dxa"/>
            <w:tcBorders>
              <w:top w:val="single" w:color="auto" w:sz="8" w:space="0"/>
              <w:bottom w:val="single" w:color="auto" w:sz="8" w:space="0"/>
            </w:tcBorders>
            <w:noWrap w:val="0"/>
            <w:vAlign w:val="center"/>
          </w:tcPr>
          <w:p w14:paraId="1E0761D9">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14:paraId="569D2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92" w:type="dxa"/>
            <w:gridSpan w:val="3"/>
            <w:tcBorders>
              <w:top w:val="single" w:color="auto" w:sz="8" w:space="0"/>
              <w:bottom w:val="single" w:color="auto" w:sz="8" w:space="0"/>
            </w:tcBorders>
            <w:noWrap w:val="0"/>
            <w:vAlign w:val="center"/>
          </w:tcPr>
          <w:p w14:paraId="074235EB">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注1：当主电路与控制电路或辅助电路的额定绝缘电压不一致时，其电气间隙和爬电距离可分别按其额定值选取。</w:t>
            </w:r>
          </w:p>
          <w:p w14:paraId="1CC00207">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注2：具有不同额定值主电路或控制电路导电部分之间的电气间隙与爬电距离，应按最高额定绝缘电压选取。</w:t>
            </w:r>
          </w:p>
          <w:p w14:paraId="5FBDAC60">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注3：小母线、汇流排或不同级的裸露的带电导体之间，以及裸露的带电导体与未经绝缘的不带电导体之间的电气间隙不小于12mm，爬电距离不小于20mm。</w:t>
            </w:r>
          </w:p>
        </w:tc>
      </w:tr>
    </w:tbl>
    <w:p w14:paraId="5422A62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8.4接地要求</w:t>
      </w:r>
    </w:p>
    <w:p w14:paraId="37D0238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充电机的接地要求应能满足以下的规定：</w:t>
      </w:r>
    </w:p>
    <w:p w14:paraId="7176894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充电机金属壳体应设置接地螺栓，其直径不得小于6mm，并应有接地标志。</w:t>
      </w:r>
    </w:p>
    <w:p w14:paraId="4A48022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所有作为隔离带电导体的金属隔板、电气元件的金属外壳以及金属手柄等均应有效接地，连续性电阻不应大于0.1Ω。</w:t>
      </w:r>
    </w:p>
    <w:p w14:paraId="264C5C7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充电机的门、盖板、覆板和类似部件，应采用保护导体将这些部件和充电机主体框架连接，此保护导体的截面积不得小于2.5</w:t>
      </w:r>
      <w:r>
        <w:rPr>
          <w:rFonts w:hint="eastAsia" w:asciiTheme="minorEastAsia" w:hAnsiTheme="minorEastAsia" w:eastAsiaTheme="minorEastAsia" w:cstheme="minorEastAsia"/>
          <w:color w:val="auto"/>
          <w:sz w:val="21"/>
          <w:szCs w:val="21"/>
          <w:highlight w:val="none"/>
          <w:lang w:val="en-US" w:eastAsia="zh-CN"/>
        </w:rPr>
        <w:t>mm²</w:t>
      </w:r>
      <w:r>
        <w:rPr>
          <w:rFonts w:hint="eastAsia" w:asciiTheme="minorEastAsia" w:hAnsiTheme="minorEastAsia" w:eastAsiaTheme="minorEastAsia" w:cstheme="minorEastAsia"/>
          <w:color w:val="auto"/>
          <w:sz w:val="21"/>
          <w:szCs w:val="21"/>
          <w:highlight w:val="none"/>
        </w:rPr>
        <w:t>。</w:t>
      </w:r>
    </w:p>
    <w:p w14:paraId="66A64E2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接地母线和柜体之间的所有连接应躲开（或穿透绝缘层）喷漆层，以保证有效的电气连接。</w:t>
      </w:r>
    </w:p>
    <w:p w14:paraId="0E36B1A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9）绝缘性能</w:t>
      </w:r>
    </w:p>
    <w:p w14:paraId="71B4F98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9.1绝缘电阻</w:t>
      </w:r>
    </w:p>
    <w:p w14:paraId="71638C4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用开路电压为规定电压的测试仪器测量，充电机非电气连接的各带电回路之间、各独立带电回路与地（金属外壳）之间绝缘电阻不应小于10MΩ。</w:t>
      </w:r>
    </w:p>
    <w:p w14:paraId="33D5D04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9.2工频耐压</w:t>
      </w:r>
    </w:p>
    <w:p w14:paraId="53D0DE9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14:paraId="680300F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9.3冲击电压</w:t>
      </w:r>
    </w:p>
    <w:p w14:paraId="2068E46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充电机各带电回路、各带电电路对地（金属外壳）之间，按其工作电压应能承受所规定标准雷电波的短时冲击电压试验。试验过程中应无击穿放电。</w:t>
      </w:r>
    </w:p>
    <w:p w14:paraId="2820B27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绝缘试验的试验等级</w:t>
      </w:r>
      <w:r>
        <w:rPr>
          <w:rFonts w:hint="eastAsia" w:asciiTheme="minorEastAsia" w:hAnsiTheme="minorEastAsia" w:eastAsiaTheme="minorEastAsia" w:cstheme="minorEastAsia"/>
          <w:color w:val="auto"/>
          <w:sz w:val="21"/>
          <w:szCs w:val="21"/>
          <w:highlight w:val="none"/>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69"/>
        <w:gridCol w:w="2161"/>
        <w:gridCol w:w="2135"/>
        <w:gridCol w:w="1937"/>
      </w:tblGrid>
      <w:tr w14:paraId="6AFF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2669" w:type="dxa"/>
            <w:noWrap w:val="0"/>
            <w:vAlign w:val="center"/>
          </w:tcPr>
          <w:p w14:paraId="7FF33698">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额定绝缘电压Ui（V）</w:t>
            </w:r>
          </w:p>
        </w:tc>
        <w:tc>
          <w:tcPr>
            <w:tcW w:w="2161" w:type="dxa"/>
            <w:noWrap w:val="0"/>
            <w:vAlign w:val="center"/>
          </w:tcPr>
          <w:p w14:paraId="0D7584CE">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绝缘电阻测试仪器的电压等级（V）</w:t>
            </w:r>
          </w:p>
        </w:tc>
        <w:tc>
          <w:tcPr>
            <w:tcW w:w="2135" w:type="dxa"/>
            <w:noWrap w:val="0"/>
            <w:vAlign w:val="center"/>
          </w:tcPr>
          <w:p w14:paraId="36B55AE4">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工频耐压试验电压（kV）</w:t>
            </w:r>
          </w:p>
        </w:tc>
        <w:tc>
          <w:tcPr>
            <w:tcW w:w="1937" w:type="dxa"/>
            <w:noWrap w:val="0"/>
            <w:vAlign w:val="center"/>
          </w:tcPr>
          <w:p w14:paraId="7BA63C39">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冲击耐压试验电压（kV）</w:t>
            </w:r>
          </w:p>
        </w:tc>
      </w:tr>
      <w:tr w14:paraId="2978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669" w:type="dxa"/>
            <w:noWrap w:val="0"/>
            <w:vAlign w:val="center"/>
          </w:tcPr>
          <w:p w14:paraId="62327C82">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60</w:t>
            </w:r>
          </w:p>
        </w:tc>
        <w:tc>
          <w:tcPr>
            <w:tcW w:w="2161" w:type="dxa"/>
            <w:noWrap w:val="0"/>
            <w:vAlign w:val="center"/>
          </w:tcPr>
          <w:p w14:paraId="51891ADC">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250</w:t>
            </w:r>
          </w:p>
        </w:tc>
        <w:tc>
          <w:tcPr>
            <w:tcW w:w="2135" w:type="dxa"/>
            <w:noWrap w:val="0"/>
            <w:vAlign w:val="center"/>
          </w:tcPr>
          <w:p w14:paraId="07AEAAF6">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p>
        </w:tc>
        <w:tc>
          <w:tcPr>
            <w:tcW w:w="1937" w:type="dxa"/>
            <w:noWrap w:val="0"/>
            <w:vAlign w:val="center"/>
          </w:tcPr>
          <w:p w14:paraId="188AE74E">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14:paraId="1EE8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noWrap w:val="0"/>
            <w:vAlign w:val="center"/>
          </w:tcPr>
          <w:p w14:paraId="6FDD0BF3">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 ＜ UI ≤ 300</w:t>
            </w:r>
          </w:p>
        </w:tc>
        <w:tc>
          <w:tcPr>
            <w:tcW w:w="2161" w:type="dxa"/>
            <w:noWrap w:val="0"/>
            <w:vAlign w:val="center"/>
          </w:tcPr>
          <w:p w14:paraId="27DCC837">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2135" w:type="dxa"/>
            <w:noWrap w:val="0"/>
            <w:vAlign w:val="center"/>
          </w:tcPr>
          <w:p w14:paraId="04A9D38A">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z w:val="21"/>
                <w:szCs w:val="21"/>
                <w:highlight w:val="none"/>
                <w:lang w:eastAsia="zh-CN"/>
              </w:rPr>
              <w:t>）</w:t>
            </w:r>
          </w:p>
        </w:tc>
        <w:tc>
          <w:tcPr>
            <w:tcW w:w="1937" w:type="dxa"/>
            <w:noWrap w:val="0"/>
            <w:vAlign w:val="center"/>
          </w:tcPr>
          <w:p w14:paraId="44514AE6">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r>
      <w:tr w14:paraId="4A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noWrap w:val="0"/>
            <w:vAlign w:val="center"/>
          </w:tcPr>
          <w:p w14:paraId="6372F441">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 ＜ UI ≤ 700</w:t>
            </w:r>
          </w:p>
        </w:tc>
        <w:tc>
          <w:tcPr>
            <w:tcW w:w="2161" w:type="dxa"/>
            <w:noWrap w:val="0"/>
            <w:vAlign w:val="center"/>
          </w:tcPr>
          <w:p w14:paraId="174C1082">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2135" w:type="dxa"/>
            <w:noWrap w:val="0"/>
            <w:vAlign w:val="center"/>
          </w:tcPr>
          <w:p w14:paraId="50681FB9">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3.36</w:t>
            </w:r>
            <w:r>
              <w:rPr>
                <w:rFonts w:hint="eastAsia" w:asciiTheme="minorEastAsia" w:hAnsiTheme="minorEastAsia" w:eastAsiaTheme="minorEastAsia" w:cstheme="minorEastAsia"/>
                <w:color w:val="auto"/>
                <w:sz w:val="21"/>
                <w:szCs w:val="21"/>
                <w:highlight w:val="none"/>
                <w:lang w:eastAsia="zh-CN"/>
              </w:rPr>
              <w:t>）</w:t>
            </w:r>
          </w:p>
        </w:tc>
        <w:tc>
          <w:tcPr>
            <w:tcW w:w="1937" w:type="dxa"/>
            <w:noWrap w:val="0"/>
            <w:vAlign w:val="center"/>
          </w:tcPr>
          <w:p w14:paraId="638517E5">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14:paraId="2CEF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noWrap w:val="0"/>
            <w:vAlign w:val="center"/>
          </w:tcPr>
          <w:p w14:paraId="0B61D07C">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 ＜ UI ≤ 950</w:t>
            </w:r>
          </w:p>
        </w:tc>
        <w:tc>
          <w:tcPr>
            <w:tcW w:w="2161" w:type="dxa"/>
            <w:noWrap w:val="0"/>
            <w:vAlign w:val="center"/>
          </w:tcPr>
          <w:p w14:paraId="16FDD635">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2135" w:type="dxa"/>
            <w:noWrap w:val="0"/>
            <w:vAlign w:val="center"/>
          </w:tcPr>
          <w:p w14:paraId="413C5910">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2×UI +1.0</w:t>
            </w:r>
          </w:p>
          <w:p w14:paraId="40B39513">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2.8×UI +1.4</w:t>
            </w:r>
            <w:r>
              <w:rPr>
                <w:rFonts w:hint="eastAsia" w:asciiTheme="minorEastAsia" w:hAnsiTheme="minorEastAsia" w:eastAsiaTheme="minorEastAsia" w:cstheme="minorEastAsia"/>
                <w:color w:val="auto"/>
                <w:sz w:val="21"/>
                <w:szCs w:val="21"/>
                <w:highlight w:val="none"/>
                <w:lang w:eastAsia="zh-CN"/>
              </w:rPr>
              <w:t>）</w:t>
            </w:r>
          </w:p>
        </w:tc>
        <w:tc>
          <w:tcPr>
            <w:tcW w:w="1937" w:type="dxa"/>
            <w:noWrap w:val="0"/>
            <w:vAlign w:val="center"/>
          </w:tcPr>
          <w:p w14:paraId="18BFE040">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14:paraId="51CA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8902" w:type="dxa"/>
            <w:gridSpan w:val="4"/>
            <w:noWrap w:val="0"/>
            <w:vAlign w:val="center"/>
          </w:tcPr>
          <w:p w14:paraId="571F3E92">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注：括号内数据为直流介质强度试验值。</w:t>
            </w:r>
          </w:p>
        </w:tc>
      </w:tr>
    </w:tbl>
    <w:p w14:paraId="702A487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10）安全要求</w:t>
      </w:r>
    </w:p>
    <w:p w14:paraId="1EC7401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充电机的安全性要求应满足GB/T 18487.1-2015附录B中对应的描述及技术参数要求。</w:t>
      </w:r>
    </w:p>
    <w:p w14:paraId="4B5576B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10.1充电机应具备电源输入侧的过压保护和欠压保护。</w:t>
      </w:r>
    </w:p>
    <w:p w14:paraId="4B9F640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10.2充电机应具备输出过压保护。</w:t>
      </w:r>
    </w:p>
    <w:p w14:paraId="53632C6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10.3充电机应具备输出过电流和短路保护。</w:t>
      </w:r>
    </w:p>
    <w:p w14:paraId="70485C8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10.4充电机应具备内部过温保护，当内部温度达到保护值时，采取降功率或停止输出。需具备超温断电功能，当温度过高时，可自动切断充电，防止发生高温自燃等意外，保护充电设备及新能源汽车安全。</w:t>
      </w:r>
    </w:p>
    <w:p w14:paraId="10804A6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10.5充电过程中20</w:t>
      </w:r>
      <w:r>
        <w:rPr>
          <w:rFonts w:hint="eastAsia" w:asciiTheme="minorEastAsia" w:hAnsiTheme="minorEastAsia" w:eastAsiaTheme="minorEastAsia" w:cstheme="minorEastAsia"/>
          <w:color w:val="auto"/>
          <w:sz w:val="21"/>
          <w:szCs w:val="21"/>
          <w:highlight w:val="none"/>
          <w:lang w:val="en-US" w:eastAsia="zh-CN"/>
        </w:rPr>
        <w:t>min</w:t>
      </w:r>
      <w:r>
        <w:rPr>
          <w:rFonts w:hint="eastAsia" w:asciiTheme="minorEastAsia" w:hAnsiTheme="minorEastAsia" w:eastAsiaTheme="minorEastAsia" w:cstheme="minorEastAsia"/>
          <w:color w:val="auto"/>
          <w:sz w:val="21"/>
          <w:szCs w:val="21"/>
          <w:highlight w:val="none"/>
        </w:rPr>
        <w:t>内温度升高超过15度保护。</w:t>
      </w:r>
    </w:p>
    <w:p w14:paraId="392B0D5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10.6充电机的绝缘检测功能应与车辆绝缘检测功能相配合。</w:t>
      </w:r>
    </w:p>
    <w:p w14:paraId="41D0FA0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10.7充电过程中当发生下列情况时，充电机应能在100ms内断开直流输出接触器，且直流输出电压应在1s内下降至60V以下。</w:t>
      </w:r>
    </w:p>
    <w:p w14:paraId="40DDD4D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启动急停开关；</w:t>
      </w:r>
    </w:p>
    <w:p w14:paraId="4B4C6D0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控制导引故障。</w:t>
      </w:r>
    </w:p>
    <w:p w14:paraId="40474A3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10.8充电机在启动充电时应人工确认启动。</w:t>
      </w:r>
    </w:p>
    <w:p w14:paraId="77FC4A7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10.9充电机应具备限制冲击电流功能，冲击电流不应超过额定输入电流的110%。</w:t>
      </w:r>
    </w:p>
    <w:p w14:paraId="1F0D113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10.10充电机应具备电池反接保护功能。</w:t>
      </w:r>
    </w:p>
    <w:p w14:paraId="6190854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10.11充电机在自动充电前，应具有电池电压检测功能。</w:t>
      </w:r>
    </w:p>
    <w:p w14:paraId="62F34DA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10.12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-2015附录C。</w:t>
      </w:r>
    </w:p>
    <w:p w14:paraId="6F91C44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10.13充电过程中BMS传递的SOC/V/I/Vcell Max/Tempture这些信息维持不变超过3</w:t>
      </w:r>
      <w:r>
        <w:rPr>
          <w:rFonts w:hint="eastAsia" w:asciiTheme="minorEastAsia" w:hAnsiTheme="minorEastAsia" w:eastAsiaTheme="minorEastAsia" w:cstheme="minorEastAsia"/>
          <w:color w:val="auto"/>
          <w:sz w:val="21"/>
          <w:szCs w:val="21"/>
          <w:highlight w:val="none"/>
          <w:lang w:val="en-US" w:eastAsia="zh-CN"/>
        </w:rPr>
        <w:t>min</w:t>
      </w:r>
      <w:r>
        <w:rPr>
          <w:rFonts w:hint="eastAsia" w:asciiTheme="minorEastAsia" w:hAnsiTheme="minorEastAsia" w:eastAsiaTheme="minorEastAsia" w:cstheme="minorEastAsia"/>
          <w:color w:val="auto"/>
          <w:sz w:val="21"/>
          <w:szCs w:val="21"/>
          <w:highlight w:val="none"/>
        </w:rPr>
        <w:t>保护。</w:t>
      </w:r>
    </w:p>
    <w:p w14:paraId="00F217A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10.14充电机应具备防止电池电流倒灌功能。</w:t>
      </w:r>
    </w:p>
    <w:p w14:paraId="0556960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10.15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3725E21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10.16充电机在每个充电周期内进行接触器触点烧结检测。当检测到接触器触点出现粘连的情况后，充电机不得继续工作。</w:t>
      </w:r>
    </w:p>
    <w:p w14:paraId="1C14562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10.17充电机必须保证充电机输出接触器闭合发生在车辆直流充电接触器闭合之后，其时间间隔不得低于500ms。</w:t>
      </w:r>
    </w:p>
    <w:p w14:paraId="5BBB333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10.18充电机在充电停止状态下，应保证直流输出回路处于断开状态。</w:t>
      </w:r>
    </w:p>
    <w:p w14:paraId="3C0995F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11）温升</w:t>
      </w:r>
    </w:p>
    <w:p w14:paraId="256F0F2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正常试验条件下，交流输入为额定值，在额定负载下长期连续运行，充电机内部各发热元器件及各部位的温升不应超过规定。</w:t>
      </w:r>
    </w:p>
    <w:p w14:paraId="7BCF0F4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充电机各部件极限温升</w:t>
      </w:r>
    </w:p>
    <w:tbl>
      <w:tblPr>
        <w:tblStyle w:val="19"/>
        <w:tblW w:w="0" w:type="auto"/>
        <w:jc w:val="center"/>
        <w:tblLayout w:type="fixed"/>
        <w:tblCellMar>
          <w:top w:w="0" w:type="dxa"/>
          <w:left w:w="108" w:type="dxa"/>
          <w:bottom w:w="0" w:type="dxa"/>
          <w:right w:w="108" w:type="dxa"/>
        </w:tblCellMar>
      </w:tblPr>
      <w:tblGrid>
        <w:gridCol w:w="2379"/>
        <w:gridCol w:w="3564"/>
        <w:gridCol w:w="3061"/>
      </w:tblGrid>
      <w:tr w14:paraId="620E2000">
        <w:tblPrEx>
          <w:tblCellMar>
            <w:top w:w="0" w:type="dxa"/>
            <w:left w:w="108" w:type="dxa"/>
            <w:bottom w:w="0" w:type="dxa"/>
            <w:right w:w="108" w:type="dxa"/>
          </w:tblCellMar>
        </w:tblPrEx>
        <w:trPr>
          <w:jc w:val="center"/>
        </w:trPr>
        <w:tc>
          <w:tcPr>
            <w:tcW w:w="5943" w:type="dxa"/>
            <w:gridSpan w:val="2"/>
            <w:tcBorders>
              <w:top w:val="single" w:color="000000" w:sz="8" w:space="0"/>
              <w:left w:val="single" w:color="000000" w:sz="8" w:space="0"/>
              <w:bottom w:val="single" w:color="000000" w:sz="8" w:space="0"/>
              <w:right w:val="single" w:color="000000" w:sz="8" w:space="0"/>
            </w:tcBorders>
            <w:noWrap w:val="0"/>
            <w:vAlign w:val="center"/>
          </w:tcPr>
          <w:p w14:paraId="281DFCC4">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 件 或 器 件</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8EE3A51">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极 限 温 升（K）</w:t>
            </w:r>
          </w:p>
        </w:tc>
      </w:tr>
      <w:tr w14:paraId="2A658580">
        <w:tblPrEx>
          <w:tblCellMar>
            <w:top w:w="0" w:type="dxa"/>
            <w:left w:w="108" w:type="dxa"/>
            <w:bottom w:w="0" w:type="dxa"/>
            <w:right w:w="108" w:type="dxa"/>
          </w:tblCellMar>
        </w:tblPrEx>
        <w:trPr>
          <w:jc w:val="center"/>
        </w:trPr>
        <w:tc>
          <w:tcPr>
            <w:tcW w:w="5943" w:type="dxa"/>
            <w:gridSpan w:val="2"/>
            <w:tcBorders>
              <w:top w:val="single" w:color="000000" w:sz="8" w:space="0"/>
              <w:left w:val="single" w:color="000000" w:sz="8" w:space="0"/>
              <w:bottom w:val="single" w:color="000000" w:sz="8" w:space="0"/>
              <w:right w:val="single" w:color="000000" w:sz="8" w:space="0"/>
            </w:tcBorders>
            <w:noWrap w:val="0"/>
            <w:vAlign w:val="center"/>
          </w:tcPr>
          <w:p w14:paraId="74841D38">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功率开关器件</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2C956CA9">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w:t>
            </w:r>
          </w:p>
        </w:tc>
      </w:tr>
      <w:tr w14:paraId="2FA33E19">
        <w:tblPrEx>
          <w:tblCellMar>
            <w:top w:w="0" w:type="dxa"/>
            <w:left w:w="108" w:type="dxa"/>
            <w:bottom w:w="0" w:type="dxa"/>
            <w:right w:w="108" w:type="dxa"/>
          </w:tblCellMar>
        </w:tblPrEx>
        <w:trPr>
          <w:jc w:val="center"/>
        </w:trPr>
        <w:tc>
          <w:tcPr>
            <w:tcW w:w="5943" w:type="dxa"/>
            <w:gridSpan w:val="2"/>
            <w:tcBorders>
              <w:top w:val="single" w:color="000000" w:sz="8" w:space="0"/>
              <w:left w:val="single" w:color="000000" w:sz="8" w:space="0"/>
              <w:bottom w:val="single" w:color="000000" w:sz="8" w:space="0"/>
              <w:right w:val="single" w:color="000000" w:sz="8" w:space="0"/>
            </w:tcBorders>
            <w:noWrap w:val="0"/>
            <w:vAlign w:val="center"/>
          </w:tcPr>
          <w:p w14:paraId="0808D049">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整流变压器、电抗器（B级绝缘绕组）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354E8A13">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r>
      <w:tr w14:paraId="3A301194">
        <w:tblPrEx>
          <w:tblCellMar>
            <w:top w:w="0" w:type="dxa"/>
            <w:left w:w="108" w:type="dxa"/>
            <w:bottom w:w="0" w:type="dxa"/>
            <w:right w:w="108" w:type="dxa"/>
          </w:tblCellMar>
        </w:tblPrEx>
        <w:trPr>
          <w:jc w:val="center"/>
        </w:trPr>
        <w:tc>
          <w:tcPr>
            <w:tcW w:w="5943" w:type="dxa"/>
            <w:gridSpan w:val="2"/>
            <w:tcBorders>
              <w:top w:val="single" w:color="000000" w:sz="8" w:space="0"/>
              <w:left w:val="single" w:color="000000" w:sz="8" w:space="0"/>
              <w:bottom w:val="single" w:color="000000" w:sz="8" w:space="0"/>
              <w:right w:val="single" w:color="000000" w:sz="8" w:space="0"/>
            </w:tcBorders>
            <w:noWrap w:val="0"/>
            <w:vAlign w:val="center"/>
          </w:tcPr>
          <w:p w14:paraId="0476D5C1">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与半导体器件的连接处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14:paraId="158E2F5B">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r>
      <w:tr w14:paraId="7E067E8B">
        <w:tblPrEx>
          <w:tblCellMar>
            <w:top w:w="0" w:type="dxa"/>
            <w:left w:w="108" w:type="dxa"/>
            <w:bottom w:w="0" w:type="dxa"/>
            <w:right w:w="108" w:type="dxa"/>
          </w:tblCellMar>
        </w:tblPrEx>
        <w:trPr>
          <w:jc w:val="center"/>
        </w:trPr>
        <w:tc>
          <w:tcPr>
            <w:tcW w:w="5943" w:type="dxa"/>
            <w:gridSpan w:val="2"/>
            <w:tcBorders>
              <w:top w:val="single" w:color="000000" w:sz="8" w:space="0"/>
              <w:left w:val="single" w:color="000000" w:sz="8" w:space="0"/>
              <w:bottom w:val="single" w:color="auto" w:sz="4" w:space="0"/>
              <w:right w:val="single" w:color="000000" w:sz="8" w:space="0"/>
            </w:tcBorders>
            <w:noWrap w:val="0"/>
            <w:vAlign w:val="center"/>
          </w:tcPr>
          <w:p w14:paraId="39B82C2B">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与半导体器件的连接处的塑料绝缘线</w:t>
            </w:r>
          </w:p>
        </w:tc>
        <w:tc>
          <w:tcPr>
            <w:tcW w:w="3061" w:type="dxa"/>
            <w:tcBorders>
              <w:top w:val="single" w:color="000000" w:sz="8" w:space="0"/>
              <w:left w:val="single" w:color="000000" w:sz="8" w:space="0"/>
              <w:bottom w:val="single" w:color="auto" w:sz="4" w:space="0"/>
              <w:right w:val="single" w:color="000000" w:sz="8" w:space="0"/>
            </w:tcBorders>
            <w:noWrap w:val="0"/>
            <w:vAlign w:val="center"/>
          </w:tcPr>
          <w:p w14:paraId="3979DC6D">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r>
      <w:tr w14:paraId="6EB6BA87">
        <w:tblPrEx>
          <w:tblCellMar>
            <w:top w:w="0" w:type="dxa"/>
            <w:left w:w="108" w:type="dxa"/>
            <w:bottom w:w="0" w:type="dxa"/>
            <w:right w:w="108" w:type="dxa"/>
          </w:tblCellMar>
        </w:tblPrEx>
        <w:trPr>
          <w:jc w:val="center"/>
        </w:trPr>
        <w:tc>
          <w:tcPr>
            <w:tcW w:w="2379" w:type="dxa"/>
            <w:vMerge w:val="restart"/>
            <w:tcBorders>
              <w:top w:val="single" w:color="auto" w:sz="4" w:space="0"/>
              <w:left w:val="single" w:color="auto" w:sz="4" w:space="0"/>
              <w:bottom w:val="single" w:color="auto" w:sz="4" w:space="0"/>
              <w:right w:val="single" w:color="auto" w:sz="4" w:space="0"/>
            </w:tcBorders>
            <w:noWrap w:val="0"/>
            <w:vAlign w:val="center"/>
          </w:tcPr>
          <w:p w14:paraId="466F1474">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母线连接处</w:t>
            </w:r>
          </w:p>
        </w:tc>
        <w:tc>
          <w:tcPr>
            <w:tcW w:w="3564" w:type="dxa"/>
            <w:tcBorders>
              <w:top w:val="single" w:color="auto" w:sz="4" w:space="0"/>
              <w:left w:val="single" w:color="auto" w:sz="4" w:space="0"/>
              <w:bottom w:val="single" w:color="auto" w:sz="4" w:space="0"/>
              <w:right w:val="single" w:color="auto" w:sz="4" w:space="0"/>
            </w:tcBorders>
            <w:noWrap w:val="0"/>
            <w:vAlign w:val="center"/>
          </w:tcPr>
          <w:p w14:paraId="14B7EDE2">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铜搪锡——铜搪锡</w:t>
            </w:r>
          </w:p>
        </w:tc>
        <w:tc>
          <w:tcPr>
            <w:tcW w:w="3061" w:type="dxa"/>
            <w:vMerge w:val="restart"/>
            <w:tcBorders>
              <w:top w:val="single" w:color="auto" w:sz="4" w:space="0"/>
              <w:left w:val="single" w:color="auto" w:sz="4" w:space="0"/>
              <w:bottom w:val="single" w:color="auto" w:sz="4" w:space="0"/>
              <w:right w:val="single" w:color="auto" w:sz="4" w:space="0"/>
            </w:tcBorders>
            <w:noWrap w:val="0"/>
            <w:vAlign w:val="center"/>
          </w:tcPr>
          <w:p w14:paraId="68EBE0C3">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p w14:paraId="5C55E44D">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r w14:paraId="7F299EC8">
        <w:tblPrEx>
          <w:tblCellMar>
            <w:top w:w="0" w:type="dxa"/>
            <w:left w:w="108" w:type="dxa"/>
            <w:bottom w:w="0" w:type="dxa"/>
            <w:right w:w="108" w:type="dxa"/>
          </w:tblCellMar>
        </w:tblPrEx>
        <w:trPr>
          <w:jc w:val="center"/>
        </w:trPr>
        <w:tc>
          <w:tcPr>
            <w:tcW w:w="2379" w:type="dxa"/>
            <w:vMerge w:val="continue"/>
            <w:tcBorders>
              <w:top w:val="single" w:color="auto" w:sz="4" w:space="0"/>
              <w:left w:val="single" w:color="000000" w:sz="8" w:space="0"/>
              <w:bottom w:val="single" w:color="000000" w:sz="8" w:space="0"/>
              <w:right w:val="single" w:color="000000" w:sz="8" w:space="0"/>
            </w:tcBorders>
            <w:noWrap w:val="0"/>
            <w:vAlign w:val="center"/>
          </w:tcPr>
          <w:p w14:paraId="5908AEF4">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p>
        </w:tc>
        <w:tc>
          <w:tcPr>
            <w:tcW w:w="3564" w:type="dxa"/>
            <w:tcBorders>
              <w:top w:val="single" w:color="auto" w:sz="4" w:space="0"/>
              <w:left w:val="single" w:color="000000" w:sz="8" w:space="0"/>
              <w:bottom w:val="single" w:color="000000" w:sz="8" w:space="0"/>
              <w:right w:val="single" w:color="000000" w:sz="8" w:space="0"/>
            </w:tcBorders>
            <w:noWrap w:val="0"/>
            <w:vAlign w:val="center"/>
          </w:tcPr>
          <w:p w14:paraId="26C8F45C">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铜与铜</w:t>
            </w:r>
          </w:p>
        </w:tc>
        <w:tc>
          <w:tcPr>
            <w:tcW w:w="3061" w:type="dxa"/>
            <w:vMerge w:val="continue"/>
            <w:tcBorders>
              <w:top w:val="single" w:color="auto" w:sz="4" w:space="0"/>
              <w:left w:val="single" w:color="000000" w:sz="8" w:space="0"/>
              <w:bottom w:val="single" w:color="000000" w:sz="8" w:space="0"/>
              <w:right w:val="single" w:color="000000" w:sz="8" w:space="0"/>
            </w:tcBorders>
            <w:noWrap w:val="0"/>
            <w:vAlign w:val="center"/>
          </w:tcPr>
          <w:p w14:paraId="5FBDF461">
            <w:pPr>
              <w:keepNext w:val="0"/>
              <w:keepLines w:val="0"/>
              <w:pageBreakBefore w:val="0"/>
              <w:widowControl w:val="0"/>
              <w:kinsoku/>
              <w:wordWrap/>
              <w:overflowPunct/>
              <w:topLinePunct/>
              <w:autoSpaceDE/>
              <w:autoSpaceDN/>
              <w:bidi w:val="0"/>
              <w:adjustRightInd w:val="0"/>
              <w:snapToGrid w:val="0"/>
              <w:spacing w:line="312"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p>
        </w:tc>
      </w:tr>
    </w:tbl>
    <w:p w14:paraId="013D615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12）高低温和湿热性能</w:t>
      </w:r>
    </w:p>
    <w:p w14:paraId="3E666D6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12.1低温性能</w:t>
      </w:r>
    </w:p>
    <w:p w14:paraId="4EECD15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2423.1-2008中试验Ad规定的方法进行试验，试验温度规定的下限值，待达到试验温度后启动充电机，充电机应能正常工作。试验温度持续2小时后，测试充电机的稳流精度应符合规定。</w:t>
      </w:r>
    </w:p>
    <w:p w14:paraId="76D2F53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12.2高温性能</w:t>
      </w:r>
    </w:p>
    <w:p w14:paraId="6615861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2423.2-2008中试验Bd规定的方法进行试验，试验温度为规定的上限值，待达到试验温度后启动充电机，充电机应能正常工作。试验温度持续2小时后，测试充电机的稳流精度应符合规定。</w:t>
      </w:r>
    </w:p>
    <w:p w14:paraId="7B2502C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12.3湿热性能</w:t>
      </w:r>
    </w:p>
    <w:p w14:paraId="4DD841A3">
      <w:pPr>
        <w:keepNext w:val="0"/>
        <w:keepLines w:val="0"/>
        <w:pageBreakBefore w:val="0"/>
        <w:widowControl w:val="0"/>
        <w:kinsoku/>
        <w:wordWrap/>
        <w:overflowPunct/>
        <w:topLinePunct/>
        <w:autoSpaceDE/>
        <w:autoSpaceDN/>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ascii="宋体" w:hAnsi="宋体" w:eastAsia="宋体"/>
          <w:color w:val="auto"/>
          <w:sz w:val="21"/>
          <w:szCs w:val="21"/>
          <w:highlight w:val="none"/>
        </w:rPr>
        <w:t>按 GB/T 2423</w:t>
      </w:r>
      <w:r>
        <w:rPr>
          <w:rFonts w:hint="eastAsia" w:ascii="宋体" w:hAnsi="宋体" w:eastAsia="宋体"/>
          <w:color w:val="auto"/>
          <w:sz w:val="21"/>
          <w:szCs w:val="21"/>
          <w:highlight w:val="none"/>
          <w:lang w:val="en-US" w:eastAsia="zh-CN"/>
        </w:rPr>
        <w:t>.</w:t>
      </w:r>
      <w:r>
        <w:rPr>
          <w:rFonts w:ascii="宋体" w:hAnsi="宋体" w:eastAsia="宋体"/>
          <w:color w:val="auto"/>
          <w:sz w:val="21"/>
          <w:szCs w:val="21"/>
          <w:highlight w:val="none"/>
        </w:rPr>
        <w:t>4-2008 中试验D</w:t>
      </w:r>
      <w:r>
        <w:rPr>
          <w:rFonts w:hint="eastAsia" w:ascii="宋体" w:hAnsi="宋体" w:eastAsia="宋体"/>
          <w:color w:val="auto"/>
          <w:sz w:val="21"/>
          <w:szCs w:val="21"/>
          <w:highlight w:val="none"/>
          <w:lang w:val="en-US" w:eastAsia="zh-CN"/>
        </w:rPr>
        <w:t>b</w:t>
      </w:r>
      <w:r>
        <w:rPr>
          <w:rFonts w:ascii="宋体" w:hAnsi="宋体" w:eastAsia="宋体"/>
          <w:color w:val="auto"/>
          <w:sz w:val="21"/>
          <w:szCs w:val="21"/>
          <w:highlight w:val="none"/>
        </w:rPr>
        <w:t>规定的方法进行试验，试验温度为</w:t>
      </w:r>
      <w:r>
        <w:rPr>
          <w:rFonts w:ascii="宋体" w:hAnsi="宋体" w:eastAsia="宋体"/>
          <w:color w:val="auto"/>
          <w:sz w:val="21"/>
          <w:szCs w:val="21"/>
          <w:highlight w:val="none"/>
        </w:rPr>
        <w:t>55℃</w:t>
      </w:r>
      <w:r>
        <w:rPr>
          <w:rFonts w:ascii="宋体" w:hAnsi="宋体" w:eastAsia="宋体"/>
          <w:color w:val="auto"/>
          <w:sz w:val="21"/>
          <w:szCs w:val="21"/>
          <w:highlight w:val="none"/>
        </w:rPr>
        <w:t>，循环次数为</w:t>
      </w:r>
      <w:r>
        <w:rPr>
          <w:rFonts w:ascii="宋体" w:hAnsi="宋体" w:eastAsia="宋体"/>
          <w:color w:val="auto"/>
          <w:sz w:val="21"/>
          <w:szCs w:val="21"/>
          <w:highlight w:val="none"/>
        </w:rPr>
        <w:t>6次</w:t>
      </w:r>
      <w:r>
        <w:rPr>
          <w:rFonts w:ascii="宋体" w:hAnsi="宋体" w:eastAsia="宋体"/>
          <w:color w:val="auto"/>
          <w:sz w:val="21"/>
          <w:szCs w:val="21"/>
          <w:highlight w:val="none"/>
        </w:rPr>
        <w:t>，在试验结束前2h进行绝缘电阻和介电强度检测，其中绝缘电阻不应小于1MΩ，介电强度按规定值的75%施加测量电压。试验结束后，恢复至正常大气条件，通电后检查充电机各项功能应正常。</w:t>
      </w:r>
    </w:p>
    <w:p w14:paraId="4614B8E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13）机械强度</w:t>
      </w:r>
    </w:p>
    <w:p w14:paraId="33AE61A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2423.55-2006规定的方法进行试验，剧烈冲击能量为20J（5kg，在0.4m）。试验结束后，充电机的IP等级不受影响，绝缘性能不应降低，门的操作和锁止点不应损坏。</w:t>
      </w:r>
    </w:p>
    <w:p w14:paraId="63670CE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充电输出参数、电磁兼容、可靠性要求</w:t>
      </w:r>
    </w:p>
    <w:tbl>
      <w:tblPr>
        <w:tblStyle w:val="19"/>
        <w:tblW w:w="0" w:type="auto"/>
        <w:jc w:val="center"/>
        <w:tblLayout w:type="fixed"/>
        <w:tblCellMar>
          <w:top w:w="0" w:type="dxa"/>
          <w:left w:w="108" w:type="dxa"/>
          <w:bottom w:w="0" w:type="dxa"/>
          <w:right w:w="108" w:type="dxa"/>
        </w:tblCellMar>
      </w:tblPr>
      <w:tblGrid>
        <w:gridCol w:w="715"/>
        <w:gridCol w:w="1082"/>
        <w:gridCol w:w="3279"/>
        <w:gridCol w:w="1077"/>
        <w:gridCol w:w="2851"/>
      </w:tblGrid>
      <w:tr w14:paraId="387F5715">
        <w:tblPrEx>
          <w:tblCellMar>
            <w:top w:w="0" w:type="dxa"/>
            <w:left w:w="108" w:type="dxa"/>
            <w:bottom w:w="0" w:type="dxa"/>
            <w:right w:w="108" w:type="dxa"/>
          </w:tblCellMar>
        </w:tblPrEx>
        <w:trPr>
          <w:tblHeader/>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58B7CFCC">
            <w:pPr>
              <w:topLinePunct/>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082" w:type="dxa"/>
            <w:tcBorders>
              <w:top w:val="single" w:color="auto" w:sz="4" w:space="0"/>
              <w:left w:val="nil"/>
              <w:bottom w:val="single" w:color="auto" w:sz="4" w:space="0"/>
              <w:right w:val="single" w:color="auto" w:sz="4" w:space="0"/>
            </w:tcBorders>
            <w:noWrap w:val="0"/>
            <w:vAlign w:val="center"/>
          </w:tcPr>
          <w:p w14:paraId="78A7133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3279" w:type="dxa"/>
            <w:tcBorders>
              <w:top w:val="single" w:color="auto" w:sz="4" w:space="0"/>
              <w:left w:val="nil"/>
              <w:bottom w:val="single" w:color="auto" w:sz="4" w:space="0"/>
              <w:right w:val="single" w:color="auto" w:sz="4" w:space="0"/>
            </w:tcBorders>
            <w:noWrap w:val="0"/>
            <w:vAlign w:val="center"/>
          </w:tcPr>
          <w:p w14:paraId="41D1B229">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077" w:type="dxa"/>
            <w:tcBorders>
              <w:top w:val="single" w:color="auto" w:sz="4" w:space="0"/>
              <w:left w:val="nil"/>
              <w:bottom w:val="single" w:color="auto" w:sz="4" w:space="0"/>
              <w:right w:val="single" w:color="auto" w:sz="4" w:space="0"/>
            </w:tcBorders>
            <w:noWrap w:val="0"/>
            <w:vAlign w:val="center"/>
          </w:tcPr>
          <w:p w14:paraId="406BD9E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851" w:type="dxa"/>
            <w:tcBorders>
              <w:top w:val="single" w:color="auto" w:sz="4" w:space="0"/>
              <w:left w:val="nil"/>
              <w:bottom w:val="single" w:color="auto" w:sz="4" w:space="0"/>
              <w:right w:val="single" w:color="auto" w:sz="4" w:space="0"/>
            </w:tcBorders>
            <w:noWrap w:val="0"/>
            <w:vAlign w:val="center"/>
          </w:tcPr>
          <w:p w14:paraId="7769700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技术参数要求</w:t>
            </w:r>
          </w:p>
        </w:tc>
      </w:tr>
      <w:tr w14:paraId="0B9260AD">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2B62DD54">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restart"/>
            <w:tcBorders>
              <w:top w:val="nil"/>
              <w:left w:val="single" w:color="auto" w:sz="4" w:space="0"/>
              <w:bottom w:val="single" w:color="auto" w:sz="4" w:space="0"/>
              <w:right w:val="single" w:color="auto" w:sz="4" w:space="0"/>
            </w:tcBorders>
            <w:noWrap w:val="0"/>
            <w:vAlign w:val="center"/>
          </w:tcPr>
          <w:p w14:paraId="209EB004">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直流充电机（整机，含充电桩）</w:t>
            </w:r>
          </w:p>
        </w:tc>
        <w:tc>
          <w:tcPr>
            <w:tcW w:w="3279" w:type="dxa"/>
            <w:tcBorders>
              <w:top w:val="nil"/>
              <w:left w:val="nil"/>
              <w:bottom w:val="single" w:color="auto" w:sz="4" w:space="0"/>
              <w:right w:val="single" w:color="auto" w:sz="4" w:space="0"/>
            </w:tcBorders>
            <w:noWrap w:val="0"/>
            <w:vAlign w:val="center"/>
          </w:tcPr>
          <w:p w14:paraId="24EE962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交流输入电压</w:t>
            </w:r>
          </w:p>
        </w:tc>
        <w:tc>
          <w:tcPr>
            <w:tcW w:w="1077" w:type="dxa"/>
            <w:tcBorders>
              <w:top w:val="nil"/>
              <w:left w:val="nil"/>
              <w:bottom w:val="single" w:color="auto" w:sz="4" w:space="0"/>
              <w:right w:val="single" w:color="auto" w:sz="4" w:space="0"/>
            </w:tcBorders>
            <w:noWrap w:val="0"/>
            <w:vAlign w:val="center"/>
          </w:tcPr>
          <w:p w14:paraId="51B8D79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w:t>
            </w:r>
          </w:p>
        </w:tc>
        <w:tc>
          <w:tcPr>
            <w:tcW w:w="2851" w:type="dxa"/>
            <w:tcBorders>
              <w:top w:val="nil"/>
              <w:left w:val="nil"/>
              <w:bottom w:val="single" w:color="auto" w:sz="4" w:space="0"/>
              <w:right w:val="single" w:color="auto" w:sz="4" w:space="0"/>
            </w:tcBorders>
            <w:noWrap w:val="0"/>
            <w:vAlign w:val="center"/>
          </w:tcPr>
          <w:p w14:paraId="627D47B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三相380：323～437</w:t>
            </w:r>
          </w:p>
        </w:tc>
      </w:tr>
      <w:tr w14:paraId="0E65D892">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12BB1BF5">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77229A8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61C4D50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交流电源频率</w:t>
            </w:r>
          </w:p>
        </w:tc>
        <w:tc>
          <w:tcPr>
            <w:tcW w:w="1077" w:type="dxa"/>
            <w:tcBorders>
              <w:top w:val="nil"/>
              <w:left w:val="nil"/>
              <w:bottom w:val="single" w:color="auto" w:sz="4" w:space="0"/>
              <w:right w:val="single" w:color="auto" w:sz="4" w:space="0"/>
            </w:tcBorders>
            <w:noWrap w:val="0"/>
            <w:vAlign w:val="center"/>
          </w:tcPr>
          <w:p w14:paraId="49B82B2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Hz</w:t>
            </w:r>
          </w:p>
        </w:tc>
        <w:tc>
          <w:tcPr>
            <w:tcW w:w="2851" w:type="dxa"/>
            <w:tcBorders>
              <w:top w:val="nil"/>
              <w:left w:val="nil"/>
              <w:bottom w:val="single" w:color="auto" w:sz="4" w:space="0"/>
              <w:right w:val="single" w:color="auto" w:sz="4" w:space="0"/>
            </w:tcBorders>
            <w:noWrap w:val="0"/>
            <w:vAlign w:val="center"/>
          </w:tcPr>
          <w:p w14:paraId="4AC07B2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w:t>
            </w:r>
          </w:p>
        </w:tc>
      </w:tr>
      <w:tr w14:paraId="2A3A75BD">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1C71B951">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31EABD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43BEDE3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输入功率因数</w:t>
            </w:r>
          </w:p>
        </w:tc>
        <w:tc>
          <w:tcPr>
            <w:tcW w:w="1077" w:type="dxa"/>
            <w:tcBorders>
              <w:top w:val="nil"/>
              <w:left w:val="nil"/>
              <w:bottom w:val="single" w:color="auto" w:sz="4" w:space="0"/>
              <w:right w:val="single" w:color="auto" w:sz="4" w:space="0"/>
            </w:tcBorders>
            <w:noWrap w:val="0"/>
            <w:vAlign w:val="center"/>
          </w:tcPr>
          <w:p w14:paraId="79CC3F9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50E77AF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≥0.99</w:t>
            </w:r>
          </w:p>
        </w:tc>
      </w:tr>
      <w:tr w14:paraId="0B7C0BFC">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478BB2EF">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082ABC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7485B37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直流电压调节范围</w:t>
            </w:r>
          </w:p>
        </w:tc>
        <w:tc>
          <w:tcPr>
            <w:tcW w:w="1077" w:type="dxa"/>
            <w:tcBorders>
              <w:top w:val="nil"/>
              <w:left w:val="nil"/>
              <w:bottom w:val="single" w:color="auto" w:sz="4" w:space="0"/>
              <w:right w:val="single" w:color="auto" w:sz="4" w:space="0"/>
            </w:tcBorders>
            <w:noWrap w:val="0"/>
            <w:vAlign w:val="center"/>
          </w:tcPr>
          <w:p w14:paraId="043A4A28">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w:t>
            </w:r>
          </w:p>
        </w:tc>
        <w:tc>
          <w:tcPr>
            <w:tcW w:w="2851" w:type="dxa"/>
            <w:tcBorders>
              <w:top w:val="nil"/>
              <w:left w:val="nil"/>
              <w:bottom w:val="single" w:color="auto" w:sz="4" w:space="0"/>
              <w:right w:val="single" w:color="auto" w:sz="4" w:space="0"/>
            </w:tcBorders>
            <w:noWrap w:val="0"/>
            <w:vAlign w:val="center"/>
          </w:tcPr>
          <w:p w14:paraId="5AB1D8D8">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200-750V</w:t>
            </w:r>
          </w:p>
        </w:tc>
      </w:tr>
      <w:tr w14:paraId="7D13F641">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1B38A410">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4A5B917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451078D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电压精度</w:t>
            </w:r>
          </w:p>
        </w:tc>
        <w:tc>
          <w:tcPr>
            <w:tcW w:w="1077" w:type="dxa"/>
            <w:tcBorders>
              <w:top w:val="nil"/>
              <w:left w:val="nil"/>
              <w:bottom w:val="single" w:color="auto" w:sz="4" w:space="0"/>
              <w:right w:val="single" w:color="auto" w:sz="4" w:space="0"/>
            </w:tcBorders>
            <w:noWrap w:val="0"/>
            <w:vAlign w:val="center"/>
          </w:tcPr>
          <w:p w14:paraId="30A9C8B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3D628F2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不超过±0.5</w:t>
            </w:r>
          </w:p>
        </w:tc>
      </w:tr>
      <w:tr w14:paraId="792143D2">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7DB6E627">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287800F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17554C0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电流精度</w:t>
            </w:r>
          </w:p>
        </w:tc>
        <w:tc>
          <w:tcPr>
            <w:tcW w:w="1077" w:type="dxa"/>
            <w:tcBorders>
              <w:top w:val="nil"/>
              <w:left w:val="nil"/>
              <w:bottom w:val="single" w:color="auto" w:sz="4" w:space="0"/>
              <w:right w:val="single" w:color="auto" w:sz="4" w:space="0"/>
            </w:tcBorders>
            <w:noWrap w:val="0"/>
            <w:vAlign w:val="center"/>
          </w:tcPr>
          <w:p w14:paraId="17004BB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493DDA7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≥30A：不超过±1%</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＜30A：不超过±0.3A</w:t>
            </w:r>
          </w:p>
        </w:tc>
      </w:tr>
      <w:tr w14:paraId="13F05FBF">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1A55AA3A">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490719B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0B67361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稳压精度</w:t>
            </w:r>
          </w:p>
        </w:tc>
        <w:tc>
          <w:tcPr>
            <w:tcW w:w="1077" w:type="dxa"/>
            <w:tcBorders>
              <w:top w:val="nil"/>
              <w:left w:val="nil"/>
              <w:bottom w:val="single" w:color="auto" w:sz="4" w:space="0"/>
              <w:right w:val="single" w:color="auto" w:sz="4" w:space="0"/>
            </w:tcBorders>
            <w:noWrap w:val="0"/>
            <w:vAlign w:val="center"/>
          </w:tcPr>
          <w:p w14:paraId="7F7AF3A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42C67AD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不超过±0.5</w:t>
            </w:r>
          </w:p>
        </w:tc>
      </w:tr>
      <w:tr w14:paraId="03E0C9A4">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2439002F">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3DB4EB67">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2A499F6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稳流精度</w:t>
            </w:r>
          </w:p>
        </w:tc>
        <w:tc>
          <w:tcPr>
            <w:tcW w:w="1077" w:type="dxa"/>
            <w:tcBorders>
              <w:top w:val="nil"/>
              <w:left w:val="nil"/>
              <w:bottom w:val="single" w:color="auto" w:sz="4" w:space="0"/>
              <w:right w:val="single" w:color="auto" w:sz="4" w:space="0"/>
            </w:tcBorders>
            <w:noWrap w:val="0"/>
            <w:vAlign w:val="center"/>
          </w:tcPr>
          <w:p w14:paraId="029E1C7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2C146002">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不超过±1</w:t>
            </w:r>
          </w:p>
        </w:tc>
      </w:tr>
      <w:tr w14:paraId="78E8AD47">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5969ACDC">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2252CC5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03203B69">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纹波系数</w:t>
            </w:r>
          </w:p>
        </w:tc>
        <w:tc>
          <w:tcPr>
            <w:tcW w:w="1077" w:type="dxa"/>
            <w:tcBorders>
              <w:top w:val="nil"/>
              <w:left w:val="nil"/>
              <w:bottom w:val="single" w:color="auto" w:sz="4" w:space="0"/>
              <w:right w:val="single" w:color="auto" w:sz="4" w:space="0"/>
            </w:tcBorders>
            <w:noWrap w:val="0"/>
            <w:vAlign w:val="center"/>
          </w:tcPr>
          <w:p w14:paraId="05A5E30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06C60487">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有效值：不超过±0.5</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峰值：不超过±1</w:t>
            </w:r>
          </w:p>
        </w:tc>
      </w:tr>
      <w:tr w14:paraId="0086629E">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669D9E3B">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0D87506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2BCB9D3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待机功耗</w:t>
            </w:r>
          </w:p>
        </w:tc>
        <w:tc>
          <w:tcPr>
            <w:tcW w:w="1077" w:type="dxa"/>
            <w:tcBorders>
              <w:top w:val="nil"/>
              <w:left w:val="nil"/>
              <w:bottom w:val="single" w:color="auto" w:sz="4" w:space="0"/>
              <w:right w:val="single" w:color="auto" w:sz="4" w:space="0"/>
            </w:tcBorders>
            <w:noWrap w:val="0"/>
            <w:vAlign w:val="center"/>
          </w:tcPr>
          <w:p w14:paraId="1F0E2B3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w:t>
            </w:r>
          </w:p>
        </w:tc>
        <w:tc>
          <w:tcPr>
            <w:tcW w:w="2851" w:type="dxa"/>
            <w:tcBorders>
              <w:top w:val="nil"/>
              <w:left w:val="nil"/>
              <w:bottom w:val="single" w:color="auto" w:sz="4" w:space="0"/>
              <w:right w:val="single" w:color="auto" w:sz="4" w:space="0"/>
            </w:tcBorders>
            <w:noWrap w:val="0"/>
            <w:vAlign w:val="center"/>
          </w:tcPr>
          <w:p w14:paraId="6A648BE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≤0.15%输出额定功率</w:t>
            </w:r>
          </w:p>
        </w:tc>
      </w:tr>
      <w:tr w14:paraId="5137E83B">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7172BD25">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318F22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553A8A2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输入冲击电流</w:t>
            </w:r>
          </w:p>
        </w:tc>
        <w:tc>
          <w:tcPr>
            <w:tcW w:w="1077" w:type="dxa"/>
            <w:tcBorders>
              <w:top w:val="nil"/>
              <w:left w:val="nil"/>
              <w:bottom w:val="single" w:color="auto" w:sz="4" w:space="0"/>
              <w:right w:val="single" w:color="auto" w:sz="4" w:space="0"/>
            </w:tcBorders>
            <w:noWrap w:val="0"/>
            <w:vAlign w:val="center"/>
          </w:tcPr>
          <w:p w14:paraId="0F33290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w:t>
            </w:r>
          </w:p>
        </w:tc>
        <w:tc>
          <w:tcPr>
            <w:tcW w:w="2851" w:type="dxa"/>
            <w:tcBorders>
              <w:top w:val="nil"/>
              <w:left w:val="nil"/>
              <w:bottom w:val="single" w:color="auto" w:sz="4" w:space="0"/>
              <w:right w:val="single" w:color="auto" w:sz="4" w:space="0"/>
            </w:tcBorders>
            <w:noWrap w:val="0"/>
            <w:vAlign w:val="center"/>
          </w:tcPr>
          <w:p w14:paraId="3BA1BD7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≤120%额定输入电流</w:t>
            </w:r>
          </w:p>
        </w:tc>
      </w:tr>
      <w:tr w14:paraId="240818B7">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528C6ED2">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0F9A346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6B252DD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输出过冲电压</w:t>
            </w:r>
          </w:p>
        </w:tc>
        <w:tc>
          <w:tcPr>
            <w:tcW w:w="1077" w:type="dxa"/>
            <w:tcBorders>
              <w:top w:val="nil"/>
              <w:left w:val="nil"/>
              <w:bottom w:val="single" w:color="auto" w:sz="4" w:space="0"/>
              <w:right w:val="single" w:color="auto" w:sz="4" w:space="0"/>
            </w:tcBorders>
            <w:noWrap w:val="0"/>
            <w:vAlign w:val="center"/>
          </w:tcPr>
          <w:p w14:paraId="26F4D31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w:t>
            </w:r>
          </w:p>
        </w:tc>
        <w:tc>
          <w:tcPr>
            <w:tcW w:w="2851" w:type="dxa"/>
            <w:tcBorders>
              <w:top w:val="nil"/>
              <w:left w:val="nil"/>
              <w:bottom w:val="single" w:color="auto" w:sz="4" w:space="0"/>
              <w:right w:val="single" w:color="auto" w:sz="4" w:space="0"/>
            </w:tcBorders>
            <w:noWrap w:val="0"/>
            <w:vAlign w:val="center"/>
          </w:tcPr>
          <w:p w14:paraId="132F524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≤110%稳态输出电压</w:t>
            </w:r>
          </w:p>
        </w:tc>
      </w:tr>
      <w:tr w14:paraId="140F7686">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55A81E30">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0BD2CEA7">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2C6BCD34">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满载工作效率</w:t>
            </w:r>
          </w:p>
        </w:tc>
        <w:tc>
          <w:tcPr>
            <w:tcW w:w="1077" w:type="dxa"/>
            <w:tcBorders>
              <w:top w:val="nil"/>
              <w:left w:val="nil"/>
              <w:bottom w:val="single" w:color="auto" w:sz="4" w:space="0"/>
              <w:right w:val="single" w:color="auto" w:sz="4" w:space="0"/>
            </w:tcBorders>
            <w:noWrap w:val="0"/>
            <w:vAlign w:val="center"/>
          </w:tcPr>
          <w:p w14:paraId="368B3944">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21E73F8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≥94</w:t>
            </w:r>
          </w:p>
        </w:tc>
      </w:tr>
      <w:tr w14:paraId="659B0E0E">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4DADD952">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9DF410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05C14AB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噪声</w:t>
            </w:r>
          </w:p>
        </w:tc>
        <w:tc>
          <w:tcPr>
            <w:tcW w:w="1077" w:type="dxa"/>
            <w:tcBorders>
              <w:top w:val="nil"/>
              <w:left w:val="nil"/>
              <w:bottom w:val="single" w:color="auto" w:sz="4" w:space="0"/>
              <w:right w:val="single" w:color="auto" w:sz="4" w:space="0"/>
            </w:tcBorders>
            <w:noWrap w:val="0"/>
            <w:vAlign w:val="center"/>
          </w:tcPr>
          <w:p w14:paraId="1053E47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0C2CFFD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II级</w:t>
            </w:r>
          </w:p>
        </w:tc>
      </w:tr>
      <w:tr w14:paraId="697489D8">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6E87E02A">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73E05B3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68DA8E85">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振荡波抗扰度</w:t>
            </w:r>
          </w:p>
        </w:tc>
        <w:tc>
          <w:tcPr>
            <w:tcW w:w="1077" w:type="dxa"/>
            <w:tcBorders>
              <w:top w:val="nil"/>
              <w:left w:val="nil"/>
              <w:bottom w:val="single" w:color="auto" w:sz="4" w:space="0"/>
              <w:right w:val="single" w:color="auto" w:sz="4" w:space="0"/>
            </w:tcBorders>
            <w:noWrap w:val="0"/>
            <w:vAlign w:val="center"/>
          </w:tcPr>
          <w:p w14:paraId="7536715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312DD899">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3级（1MHz和100kHz）</w:t>
            </w:r>
          </w:p>
        </w:tc>
      </w:tr>
      <w:tr w14:paraId="14C4753D">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4234D7A8">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33D2490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2690CC97">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静电放电抗扰度</w:t>
            </w:r>
          </w:p>
        </w:tc>
        <w:tc>
          <w:tcPr>
            <w:tcW w:w="1077" w:type="dxa"/>
            <w:tcBorders>
              <w:top w:val="nil"/>
              <w:left w:val="nil"/>
              <w:bottom w:val="single" w:color="auto" w:sz="4" w:space="0"/>
              <w:right w:val="single" w:color="auto" w:sz="4" w:space="0"/>
            </w:tcBorders>
            <w:noWrap w:val="0"/>
            <w:vAlign w:val="center"/>
          </w:tcPr>
          <w:p w14:paraId="7420807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6E7AB7B4">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w:t>
            </w:r>
          </w:p>
        </w:tc>
      </w:tr>
      <w:tr w14:paraId="0EA2F963">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331A7EA2">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1919740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7EA1BE3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射频电磁场辐射抗扰度</w:t>
            </w:r>
          </w:p>
        </w:tc>
        <w:tc>
          <w:tcPr>
            <w:tcW w:w="1077" w:type="dxa"/>
            <w:tcBorders>
              <w:top w:val="nil"/>
              <w:left w:val="nil"/>
              <w:bottom w:val="single" w:color="auto" w:sz="4" w:space="0"/>
              <w:right w:val="single" w:color="auto" w:sz="4" w:space="0"/>
            </w:tcBorders>
            <w:noWrap w:val="0"/>
            <w:vAlign w:val="center"/>
          </w:tcPr>
          <w:p w14:paraId="7368DF4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5C7318E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w:t>
            </w:r>
          </w:p>
        </w:tc>
      </w:tr>
      <w:tr w14:paraId="038323FC">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4A7437A2">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41EB915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1054558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电快速瞬变脉冲群抗扰度</w:t>
            </w:r>
          </w:p>
        </w:tc>
        <w:tc>
          <w:tcPr>
            <w:tcW w:w="1077" w:type="dxa"/>
            <w:tcBorders>
              <w:top w:val="nil"/>
              <w:left w:val="nil"/>
              <w:bottom w:val="single" w:color="auto" w:sz="4" w:space="0"/>
              <w:right w:val="single" w:color="auto" w:sz="4" w:space="0"/>
            </w:tcBorders>
            <w:noWrap w:val="0"/>
            <w:vAlign w:val="center"/>
          </w:tcPr>
          <w:p w14:paraId="37378EA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4BBA097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w:t>
            </w:r>
          </w:p>
        </w:tc>
      </w:tr>
      <w:tr w14:paraId="65EA9365">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1103AFD4">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18689E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6CADA2C8">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浪涌（冲击）抗扰度</w:t>
            </w:r>
          </w:p>
        </w:tc>
        <w:tc>
          <w:tcPr>
            <w:tcW w:w="1077" w:type="dxa"/>
            <w:tcBorders>
              <w:top w:val="nil"/>
              <w:left w:val="nil"/>
              <w:bottom w:val="single" w:color="auto" w:sz="4" w:space="0"/>
              <w:right w:val="single" w:color="auto" w:sz="4" w:space="0"/>
            </w:tcBorders>
            <w:noWrap w:val="0"/>
            <w:vAlign w:val="center"/>
          </w:tcPr>
          <w:p w14:paraId="3FE435E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2384196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w:t>
            </w:r>
          </w:p>
        </w:tc>
      </w:tr>
      <w:tr w14:paraId="5D366048">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085ABB93">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2D9E623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4561065A">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射频场感应的传导骚扰抗扰度</w:t>
            </w:r>
          </w:p>
        </w:tc>
        <w:tc>
          <w:tcPr>
            <w:tcW w:w="1077" w:type="dxa"/>
            <w:tcBorders>
              <w:top w:val="nil"/>
              <w:left w:val="nil"/>
              <w:bottom w:val="single" w:color="auto" w:sz="4" w:space="0"/>
              <w:right w:val="single" w:color="auto" w:sz="4" w:space="0"/>
            </w:tcBorders>
            <w:noWrap w:val="0"/>
            <w:vAlign w:val="center"/>
          </w:tcPr>
          <w:p w14:paraId="1EC8850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2964ECD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3级</w:t>
            </w:r>
          </w:p>
        </w:tc>
      </w:tr>
      <w:tr w14:paraId="2BDAD20C">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6EA17D87">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48B89AC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1F41D0D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谐波电流限值要求（THD）</w:t>
            </w:r>
          </w:p>
        </w:tc>
        <w:tc>
          <w:tcPr>
            <w:tcW w:w="1077" w:type="dxa"/>
            <w:tcBorders>
              <w:top w:val="nil"/>
              <w:left w:val="nil"/>
              <w:bottom w:val="single" w:color="auto" w:sz="4" w:space="0"/>
              <w:right w:val="single" w:color="auto" w:sz="4" w:space="0"/>
            </w:tcBorders>
            <w:noWrap w:val="0"/>
            <w:vAlign w:val="center"/>
          </w:tcPr>
          <w:p w14:paraId="1AD72FC6">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32F4CA7E">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14:paraId="289EC80F">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015878D3">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7800E49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53C7EE6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充电机结构形式</w:t>
            </w:r>
          </w:p>
        </w:tc>
        <w:tc>
          <w:tcPr>
            <w:tcW w:w="1077" w:type="dxa"/>
            <w:tcBorders>
              <w:top w:val="nil"/>
              <w:left w:val="nil"/>
              <w:bottom w:val="single" w:color="auto" w:sz="4" w:space="0"/>
              <w:right w:val="single" w:color="auto" w:sz="4" w:space="0"/>
            </w:tcBorders>
            <w:noWrap w:val="0"/>
            <w:vAlign w:val="center"/>
          </w:tcPr>
          <w:p w14:paraId="3D2A1199">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7F80991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分体式</w:t>
            </w:r>
          </w:p>
        </w:tc>
      </w:tr>
      <w:tr w14:paraId="0FEE6482">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6F54150F">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70CADD3C">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1BEEAFA0">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有源功率因数校正电路</w:t>
            </w:r>
          </w:p>
        </w:tc>
        <w:tc>
          <w:tcPr>
            <w:tcW w:w="1077" w:type="dxa"/>
            <w:tcBorders>
              <w:top w:val="nil"/>
              <w:left w:val="nil"/>
              <w:bottom w:val="single" w:color="auto" w:sz="4" w:space="0"/>
              <w:right w:val="single" w:color="auto" w:sz="4" w:space="0"/>
            </w:tcBorders>
            <w:noWrap w:val="0"/>
            <w:vAlign w:val="center"/>
          </w:tcPr>
          <w:p w14:paraId="1F19E8C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51" w:type="dxa"/>
            <w:tcBorders>
              <w:top w:val="nil"/>
              <w:left w:val="nil"/>
              <w:bottom w:val="single" w:color="auto" w:sz="4" w:space="0"/>
              <w:right w:val="single" w:color="auto" w:sz="4" w:space="0"/>
            </w:tcBorders>
            <w:noWrap w:val="0"/>
            <w:vAlign w:val="center"/>
          </w:tcPr>
          <w:p w14:paraId="54EADB64">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w:t>
            </w:r>
          </w:p>
        </w:tc>
      </w:tr>
      <w:tr w14:paraId="55564828">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3954EBDB">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65F000C3">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65AA622D">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直流输出接口</w:t>
            </w:r>
          </w:p>
        </w:tc>
        <w:tc>
          <w:tcPr>
            <w:tcW w:w="1077" w:type="dxa"/>
            <w:tcBorders>
              <w:top w:val="nil"/>
              <w:left w:val="nil"/>
              <w:bottom w:val="single" w:color="auto" w:sz="4" w:space="0"/>
              <w:right w:val="single" w:color="auto" w:sz="4" w:space="0"/>
            </w:tcBorders>
            <w:noWrap w:val="0"/>
            <w:vAlign w:val="center"/>
          </w:tcPr>
          <w:p w14:paraId="1E5271D7">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2851" w:type="dxa"/>
            <w:tcBorders>
              <w:top w:val="nil"/>
              <w:left w:val="nil"/>
              <w:bottom w:val="single" w:color="auto" w:sz="4" w:space="0"/>
              <w:right w:val="single" w:color="auto" w:sz="4" w:space="0"/>
            </w:tcBorders>
            <w:noWrap w:val="0"/>
            <w:vAlign w:val="center"/>
          </w:tcPr>
          <w:p w14:paraId="33EFB3B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GB／T20234.3-2015</w:t>
            </w:r>
          </w:p>
        </w:tc>
      </w:tr>
      <w:tr w14:paraId="2E53B8D0">
        <w:tblPrEx>
          <w:tblCellMar>
            <w:top w:w="0" w:type="dxa"/>
            <w:left w:w="108" w:type="dxa"/>
            <w:bottom w:w="0" w:type="dxa"/>
            <w:right w:w="108" w:type="dxa"/>
          </w:tblCellMar>
        </w:tblPrEx>
        <w:trPr>
          <w:jc w:val="center"/>
        </w:trPr>
        <w:tc>
          <w:tcPr>
            <w:tcW w:w="715" w:type="dxa"/>
            <w:tcBorders>
              <w:top w:val="nil"/>
              <w:left w:val="single" w:color="auto" w:sz="4" w:space="0"/>
              <w:bottom w:val="single" w:color="auto" w:sz="4" w:space="0"/>
              <w:right w:val="single" w:color="auto" w:sz="4" w:space="0"/>
            </w:tcBorders>
            <w:noWrap w:val="0"/>
            <w:vAlign w:val="center"/>
          </w:tcPr>
          <w:p w14:paraId="260E67EA">
            <w:pPr>
              <w:pStyle w:val="12"/>
              <w:numPr>
                <w:ilvl w:val="0"/>
                <w:numId w:val="2"/>
              </w:numPr>
              <w:topLinePunct/>
              <w:snapToGrid w:val="0"/>
              <w:rPr>
                <w:rFonts w:hint="eastAsia" w:asciiTheme="minorEastAsia" w:hAnsiTheme="minorEastAsia" w:eastAsiaTheme="minorEastAsia" w:cstheme="minorEastAsia"/>
                <w:color w:val="auto"/>
                <w:sz w:val="21"/>
                <w:szCs w:val="21"/>
                <w:highlight w:val="none"/>
              </w:rPr>
            </w:pPr>
          </w:p>
        </w:tc>
        <w:tc>
          <w:tcPr>
            <w:tcW w:w="1082" w:type="dxa"/>
            <w:vMerge w:val="continue"/>
            <w:tcBorders>
              <w:top w:val="nil"/>
              <w:left w:val="single" w:color="auto" w:sz="4" w:space="0"/>
              <w:bottom w:val="single" w:color="auto" w:sz="4" w:space="0"/>
              <w:right w:val="single" w:color="auto" w:sz="4" w:space="0"/>
            </w:tcBorders>
            <w:noWrap w:val="0"/>
            <w:vAlign w:val="center"/>
          </w:tcPr>
          <w:p w14:paraId="3E38BAB8">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p>
        </w:tc>
        <w:tc>
          <w:tcPr>
            <w:tcW w:w="3279" w:type="dxa"/>
            <w:tcBorders>
              <w:top w:val="nil"/>
              <w:left w:val="nil"/>
              <w:bottom w:val="single" w:color="auto" w:sz="4" w:space="0"/>
              <w:right w:val="single" w:color="auto" w:sz="4" w:space="0"/>
            </w:tcBorders>
            <w:noWrap w:val="0"/>
            <w:vAlign w:val="center"/>
          </w:tcPr>
          <w:p w14:paraId="0871D441">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平均无故障时间</w:t>
            </w:r>
          </w:p>
        </w:tc>
        <w:tc>
          <w:tcPr>
            <w:tcW w:w="1077" w:type="dxa"/>
            <w:tcBorders>
              <w:top w:val="nil"/>
              <w:left w:val="nil"/>
              <w:bottom w:val="single" w:color="auto" w:sz="4" w:space="0"/>
              <w:right w:val="single" w:color="auto" w:sz="4" w:space="0"/>
            </w:tcBorders>
            <w:noWrap w:val="0"/>
            <w:vAlign w:val="center"/>
          </w:tcPr>
          <w:p w14:paraId="6713F26B">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w:t>
            </w:r>
          </w:p>
        </w:tc>
        <w:tc>
          <w:tcPr>
            <w:tcW w:w="2851" w:type="dxa"/>
            <w:tcBorders>
              <w:top w:val="nil"/>
              <w:left w:val="nil"/>
              <w:bottom w:val="single" w:color="auto" w:sz="4" w:space="0"/>
              <w:right w:val="single" w:color="auto" w:sz="4" w:space="0"/>
            </w:tcBorders>
            <w:noWrap w:val="0"/>
            <w:vAlign w:val="center"/>
          </w:tcPr>
          <w:p w14:paraId="705F3C4F">
            <w:pPr>
              <w:topLinePunct/>
              <w:adjustRightInd w:val="0"/>
              <w:snapToGrid w:val="0"/>
              <w:ind w:left="124" w:leftChars="5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≥17520h</w:t>
            </w:r>
          </w:p>
        </w:tc>
      </w:tr>
    </w:tbl>
    <w:p w14:paraId="4370A906">
      <w:pPr>
        <w:keepNext w:val="0"/>
        <w:keepLines w:val="0"/>
        <w:pageBreakBefore w:val="0"/>
        <w:widowControl w:val="0"/>
        <w:kinsoku/>
        <w:wordWrap/>
        <w:overflowPunct/>
        <w:topLinePunct/>
        <w:autoSpaceDE/>
        <w:autoSpaceDN/>
        <w:bidi w:val="0"/>
        <w:adjustRightInd w:val="0"/>
        <w:snapToGrid w:val="0"/>
        <w:spacing w:line="312"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（2）直流充（放）电终端（桩）技术要求</w:t>
      </w:r>
    </w:p>
    <w:p w14:paraId="58C9B78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1）技术参数</w:t>
      </w:r>
    </w:p>
    <w:p w14:paraId="7DEA6F7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A环境条件</w:t>
      </w:r>
    </w:p>
    <w:p w14:paraId="60C5ED5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环境温度：-20℃～50℃；</w:t>
      </w:r>
    </w:p>
    <w:p w14:paraId="6DBD4B5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相对湿度：5％～95％；</w:t>
      </w:r>
    </w:p>
    <w:p w14:paraId="0C182DE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海拔高度：≤2000m；</w:t>
      </w:r>
    </w:p>
    <w:p w14:paraId="7CFB84C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大气压强：80kPa～110kPa；</w:t>
      </w:r>
    </w:p>
    <w:p w14:paraId="18F1933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2）结构要求</w:t>
      </w:r>
    </w:p>
    <w:p w14:paraId="40C86FD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充电桩终端挂有充电枪线，枪线长度不小于6米，载流能力250A，电力主缆不低于80mm²。</w:t>
      </w:r>
    </w:p>
    <w:p w14:paraId="1897742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3）耐气候环境要求</w:t>
      </w:r>
    </w:p>
    <w:p w14:paraId="7CFE869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防护等级</w:t>
      </w:r>
    </w:p>
    <w:p w14:paraId="72BA620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充电桩（终端）防护等级不应低于GB 4208-2008中IP54（室外）的规定。</w:t>
      </w:r>
    </w:p>
    <w:p w14:paraId="3D4D6A2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防盐雾保护</w:t>
      </w:r>
    </w:p>
    <w:p w14:paraId="1DD6376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充电桩（终端）应进行防盐雾处理。</w:t>
      </w:r>
    </w:p>
    <w:p w14:paraId="002FFE8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防氧化</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保护</w:t>
      </w:r>
    </w:p>
    <w:p w14:paraId="0BBE755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充电机铁质外壳和暴露在外的铁质支架、零件应采取双层防锈措施，非铁质的金属外壳也应具有防氧化保护膜或进行防氧化处理。</w:t>
      </w:r>
    </w:p>
    <w:p w14:paraId="03F622B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4）防护要求</w:t>
      </w:r>
    </w:p>
    <w:p w14:paraId="22160BE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允许温度</w:t>
      </w:r>
    </w:p>
    <w:p w14:paraId="551A313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在40℃环境温度下，充电终端可用手接触部分：外壳前部、后部、顶部、左侧、右侧、底部、枪座部位、空腔内部靠近端子部位允许的最高温度应为：45℃。</w:t>
      </w:r>
    </w:p>
    <w:p w14:paraId="2B849EB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超温断电功能</w:t>
      </w:r>
    </w:p>
    <w:p w14:paraId="7C13AE2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要求充电终端带有超温断电功能，提升安全性。</w:t>
      </w:r>
    </w:p>
    <w:p w14:paraId="3E986B4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当确认充电枪头温度达到90℃两分钟后，充电机限制输出电流为当前直流电表检测值的90%；</w:t>
      </w:r>
    </w:p>
    <w:p w14:paraId="2A09D3B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当确认充电枪头温度达到95℃两分钟后，充电机限制输出电流为当前直流电表检测值的80%；</w:t>
      </w:r>
    </w:p>
    <w:p w14:paraId="7D24A52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当确认充电枪头温度达到100℃两分钟后，充电机限制输出电流为当前直流电表检测值的70%；</w:t>
      </w:r>
    </w:p>
    <w:p w14:paraId="44885B32">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当确认充电枪头温度达到110℃两秒钟后，充电机应能发出过温故障报警信号。</w:t>
      </w:r>
    </w:p>
    <w:p w14:paraId="08C6694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电气间隙和爬电距离</w:t>
      </w:r>
    </w:p>
    <w:p w14:paraId="0052C42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充电终端的电气间隙和爬电距离应符合的规定。</w:t>
      </w:r>
    </w:p>
    <w:p w14:paraId="585AACA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电气间隙和爬电距离</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2856"/>
        <w:gridCol w:w="3002"/>
      </w:tblGrid>
      <w:tr w14:paraId="37594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146" w:type="dxa"/>
            <w:tcBorders>
              <w:top w:val="single" w:color="auto" w:sz="8" w:space="0"/>
              <w:bottom w:val="single" w:color="auto" w:sz="8" w:space="0"/>
            </w:tcBorders>
            <w:noWrap w:val="0"/>
            <w:vAlign w:val="center"/>
          </w:tcPr>
          <w:p w14:paraId="393D6981">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额定绝缘电压Ui（V）</w:t>
            </w:r>
          </w:p>
        </w:tc>
        <w:tc>
          <w:tcPr>
            <w:tcW w:w="2856" w:type="dxa"/>
            <w:tcBorders>
              <w:top w:val="single" w:color="auto" w:sz="8" w:space="0"/>
              <w:bottom w:val="single" w:color="auto" w:sz="8" w:space="0"/>
            </w:tcBorders>
            <w:noWrap w:val="0"/>
            <w:vAlign w:val="center"/>
          </w:tcPr>
          <w:p w14:paraId="7635550E">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电气间隙（mm）</w:t>
            </w:r>
          </w:p>
        </w:tc>
        <w:tc>
          <w:tcPr>
            <w:tcW w:w="3002" w:type="dxa"/>
            <w:tcBorders>
              <w:top w:val="single" w:color="auto" w:sz="8" w:space="0"/>
              <w:bottom w:val="single" w:color="auto" w:sz="8" w:space="0"/>
            </w:tcBorders>
            <w:noWrap w:val="0"/>
            <w:vAlign w:val="center"/>
          </w:tcPr>
          <w:p w14:paraId="3C08FD4B">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爬电距离（mm）</w:t>
            </w:r>
          </w:p>
        </w:tc>
      </w:tr>
      <w:tr w14:paraId="40334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146" w:type="dxa"/>
            <w:tcBorders>
              <w:top w:val="single" w:color="auto" w:sz="8" w:space="0"/>
              <w:bottom w:val="single" w:color="auto" w:sz="8" w:space="0"/>
            </w:tcBorders>
            <w:noWrap w:val="0"/>
            <w:vAlign w:val="center"/>
          </w:tcPr>
          <w:p w14:paraId="59E9D211">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Ui≤60</w:t>
            </w:r>
          </w:p>
        </w:tc>
        <w:tc>
          <w:tcPr>
            <w:tcW w:w="2856" w:type="dxa"/>
            <w:tcBorders>
              <w:top w:val="single" w:color="auto" w:sz="8" w:space="0"/>
              <w:bottom w:val="single" w:color="auto" w:sz="8" w:space="0"/>
            </w:tcBorders>
            <w:noWrap w:val="0"/>
            <w:vAlign w:val="center"/>
          </w:tcPr>
          <w:p w14:paraId="5A037FA3">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3002" w:type="dxa"/>
            <w:tcBorders>
              <w:top w:val="single" w:color="auto" w:sz="8" w:space="0"/>
              <w:bottom w:val="single" w:color="auto" w:sz="8" w:space="0"/>
            </w:tcBorders>
            <w:noWrap w:val="0"/>
            <w:vAlign w:val="center"/>
          </w:tcPr>
          <w:p w14:paraId="5C9F1D7C">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14:paraId="4CC2F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146" w:type="dxa"/>
            <w:tcBorders>
              <w:top w:val="single" w:color="auto" w:sz="8" w:space="0"/>
              <w:bottom w:val="single" w:color="auto" w:sz="8" w:space="0"/>
            </w:tcBorders>
            <w:noWrap w:val="0"/>
            <w:vAlign w:val="center"/>
          </w:tcPr>
          <w:p w14:paraId="4B05BCE8">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60＜Ui≤300</w:t>
            </w:r>
          </w:p>
        </w:tc>
        <w:tc>
          <w:tcPr>
            <w:tcW w:w="2856" w:type="dxa"/>
            <w:tcBorders>
              <w:top w:val="single" w:color="auto" w:sz="8" w:space="0"/>
              <w:bottom w:val="single" w:color="auto" w:sz="8" w:space="0"/>
            </w:tcBorders>
            <w:noWrap w:val="0"/>
            <w:vAlign w:val="center"/>
          </w:tcPr>
          <w:p w14:paraId="3C10FCBF">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3002" w:type="dxa"/>
            <w:tcBorders>
              <w:top w:val="single" w:color="auto" w:sz="8" w:space="0"/>
              <w:bottom w:val="single" w:color="auto" w:sz="8" w:space="0"/>
            </w:tcBorders>
            <w:noWrap w:val="0"/>
            <w:vAlign w:val="center"/>
          </w:tcPr>
          <w:p w14:paraId="56D635E5">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r w14:paraId="2B566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3146" w:type="dxa"/>
            <w:tcBorders>
              <w:top w:val="single" w:color="auto" w:sz="8" w:space="0"/>
              <w:bottom w:val="single" w:color="auto" w:sz="8" w:space="0"/>
            </w:tcBorders>
            <w:noWrap w:val="0"/>
            <w:vAlign w:val="center"/>
          </w:tcPr>
          <w:p w14:paraId="0DCA102E">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300＜Ui≤700</w:t>
            </w:r>
          </w:p>
        </w:tc>
        <w:tc>
          <w:tcPr>
            <w:tcW w:w="2856" w:type="dxa"/>
            <w:tcBorders>
              <w:top w:val="single" w:color="auto" w:sz="8" w:space="0"/>
              <w:bottom w:val="single" w:color="auto" w:sz="8" w:space="0"/>
            </w:tcBorders>
            <w:noWrap w:val="0"/>
            <w:vAlign w:val="center"/>
          </w:tcPr>
          <w:p w14:paraId="48328236">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c>
          <w:tcPr>
            <w:tcW w:w="3002" w:type="dxa"/>
            <w:tcBorders>
              <w:top w:val="single" w:color="auto" w:sz="8" w:space="0"/>
              <w:bottom w:val="single" w:color="auto" w:sz="8" w:space="0"/>
            </w:tcBorders>
            <w:noWrap w:val="0"/>
            <w:vAlign w:val="center"/>
          </w:tcPr>
          <w:p w14:paraId="4A2B1D7B">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14:paraId="658BB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004" w:type="dxa"/>
            <w:gridSpan w:val="3"/>
            <w:tcBorders>
              <w:top w:val="single" w:color="auto" w:sz="8" w:space="0"/>
              <w:bottom w:val="single" w:color="auto" w:sz="8" w:space="0"/>
            </w:tcBorders>
            <w:noWrap w:val="0"/>
            <w:vAlign w:val="center"/>
          </w:tcPr>
          <w:p w14:paraId="11514CE4">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注1：当主电路与控制电路或辅助电路的额定绝缘电压不一致时，其电气间隙和爬电距离可分别按其额定值选取。</w:t>
            </w:r>
          </w:p>
          <w:p w14:paraId="6301BC6D">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注2：具有不同额定值主电路或控制电路导电部分之间的电气间隙与爬电距离，应按最高额定绝缘电压选取。</w:t>
            </w:r>
          </w:p>
          <w:p w14:paraId="40E221E2">
            <w:pPr>
              <w:keepNext w:val="0"/>
              <w:keepLines w:val="0"/>
              <w:pageBreakBefore w:val="0"/>
              <w:widowControl w:val="0"/>
              <w:kinsoku/>
              <w:wordWrap/>
              <w:overflowPunct/>
              <w:topLinePunct/>
              <w:autoSpaceDE/>
              <w:autoSpaceDN/>
              <w:bidi w:val="0"/>
              <w:adjustRightInd w:val="0"/>
              <w:snapToGrid w:val="0"/>
              <w:spacing w:line="240" w:lineRule="auto"/>
              <w:ind w:left="122" w:leftChars="58" w:firstLine="281" w:firstLineChars="13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注3：小母线、汇流排或不同级的裸露的带电导体之间，以及裸露的带电导体与未经绝缘的不带电导体之间的电气间隙不小于12mm，爬电距离不小于20mm。</w:t>
            </w:r>
          </w:p>
        </w:tc>
      </w:tr>
    </w:tbl>
    <w:p w14:paraId="65B8689E">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接地要求</w:t>
      </w:r>
    </w:p>
    <w:p w14:paraId="1A6C3C3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充电机的接地要求应能满足以下的规定：</w:t>
      </w:r>
    </w:p>
    <w:p w14:paraId="6373A4E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充电终端金属壳体应设置接地螺栓，其直径不得小于6mm，并应有接地标志。</w:t>
      </w:r>
    </w:p>
    <w:p w14:paraId="74E68ABA">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所有作为隔离带电导体的金属隔板、电气元件的金属外壳以及金属手柄等均应有效接地，连续性电阻不应大于0.1Ω。</w:t>
      </w:r>
    </w:p>
    <w:p w14:paraId="35D8A6A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充电机的门、盖板、覆板和类似部件，应采用保护导体将这些部件和充电机主体框架连接，此保护导体的截面积不得小于2.5mm²。</w:t>
      </w:r>
    </w:p>
    <w:p w14:paraId="1B8488F9">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接地母线和柜体之间的所有连接应躲开（或穿透绝缘层）喷漆层，以保证有效的电气连接。</w:t>
      </w:r>
    </w:p>
    <w:p w14:paraId="794F4A5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5）绝缘性能</w:t>
      </w:r>
    </w:p>
    <w:p w14:paraId="17D9074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绝缘电阻</w:t>
      </w:r>
    </w:p>
    <w:p w14:paraId="67B7BC6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用开路电压为500V，充电终端（桩）非电气连接的各带电回路之间、各独立带电回路与地（金属外壳）之间绝缘电阻不应小于10MΩ。</w:t>
      </w:r>
    </w:p>
    <w:p w14:paraId="122B170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工频耐压</w:t>
      </w:r>
    </w:p>
    <w:p w14:paraId="1671CD54">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充电机非电气连接的各带电回路之间、各独立带电回路与地（金属外壳）之间，按其工作电压应DC2.8kV历时1 min的工频耐压试验。试验过程中应无绝缘击穿和闪络现象。</w:t>
      </w:r>
    </w:p>
    <w:p w14:paraId="420361B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冲击电压</w:t>
      </w:r>
    </w:p>
    <w:p w14:paraId="177B398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充电机各带电回路、各带电电路对地（金属外壳）之间，按其工作电压应能承受标准雷电波5kV的短时冲击电压试验。试验过程中应无击穿放电。</w:t>
      </w:r>
    </w:p>
    <w:p w14:paraId="397A7BB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6）高低温和湿热性能</w:t>
      </w:r>
    </w:p>
    <w:p w14:paraId="5D43E443">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低温性能</w:t>
      </w:r>
    </w:p>
    <w:p w14:paraId="7DD7829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2423.1-2008中试验Ad规定的方法进行试验，试验温度为规定的下限值，待达到试验温度后启动充电机，充电机应能正常工作。试验温度持续2小时后，充电枪可以正常拉伸，输入输出保持连通性，无短路现象。</w:t>
      </w:r>
    </w:p>
    <w:p w14:paraId="7E23D28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高温性能</w:t>
      </w:r>
    </w:p>
    <w:p w14:paraId="1607AA1C">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2423.2-2008中试验Bd规定的方法进行试验，试验温度为规定的上限值，待达到试验温度后启动充电机，充电机应能正常工作。试验温度持续2小时后，充电枪可以正常拉伸，输入输出保持连通性，无短路现象。</w:t>
      </w:r>
    </w:p>
    <w:p w14:paraId="2152250D">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湿热性能</w:t>
      </w:r>
    </w:p>
    <w:p w14:paraId="49B3893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2423.4-2008中试验Db规定的方法进行试验，试验温度为（40±2）℃，循环次数为2次，在试验结束前2h进行绝缘电阻和介电强度检测，其中绝缘电阻不应小于1MΩ，介电强度按规定值的75％施加测量电压。试验结束后，恢复至正常大气条件，通电后检查充电机各项功能应正常。</w:t>
      </w:r>
    </w:p>
    <w:p w14:paraId="39306EA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耐热检验</w:t>
      </w:r>
    </w:p>
    <w:p w14:paraId="79BC4B8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在温度85±3℃环境中保持24h，试验后产品不发生任何形变。</w:t>
      </w:r>
    </w:p>
    <w:p w14:paraId="6856805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耐燃检验</w:t>
      </w:r>
    </w:p>
    <w:p w14:paraId="0EB1F707">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外壳对点燃和火焰蔓延应是具备抵抗力的：</w:t>
      </w:r>
    </w:p>
    <w:p w14:paraId="71F3CC3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外壳承受GB／T 5169.11的灼热丝试验，试验温度为850℃，厚度应取外壳的最薄厚度或以实际测量的最薄厚度为准，不起燃。</w:t>
      </w:r>
    </w:p>
    <w:p w14:paraId="3AD8CE0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外壳承受GB／T 5169.16的垂直燃烧试验，其燃烧等级需达到V－0/1.5mm。</w:t>
      </w:r>
    </w:p>
    <w:p w14:paraId="4746FE0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7）机械强度</w:t>
      </w:r>
    </w:p>
    <w:p w14:paraId="4526AE0F">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2423.55-2006规定的方法进行试验，剧烈冲击能量为20J（5kg，在0.4m）。试验结束后，充电机的IP等级不受影响，绝缘性能不应降低，设备的操作和锁止点不应损坏。</w:t>
      </w:r>
    </w:p>
    <w:p w14:paraId="67110F58">
      <w:pPr>
        <w:keepNext w:val="0"/>
        <w:keepLines w:val="0"/>
        <w:pageBreakBefore w:val="0"/>
        <w:widowControl w:val="0"/>
        <w:kinsoku/>
        <w:wordWrap/>
        <w:overflowPunct/>
        <w:topLinePunct/>
        <w:autoSpaceDE/>
        <w:autoSpaceDN/>
        <w:bidi w:val="0"/>
        <w:adjustRightInd w:val="0"/>
        <w:snapToGrid w:val="0"/>
        <w:spacing w:line="312" w:lineRule="auto"/>
        <w:ind w:left="0" w:leftChars="0"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（3）充电机柜体（桩体）要求</w:t>
      </w:r>
    </w:p>
    <w:p w14:paraId="4D3BC72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1）充电机柜体（桩体）应外观线条流畅、整体紧凑、简洁时尚，与安装地点周边环境相协调</w:t>
      </w:r>
      <w:r>
        <w:rPr>
          <w:rFonts w:hint="eastAsia" w:asciiTheme="minorEastAsia" w:hAnsiTheme="minorEastAsia" w:eastAsiaTheme="minorEastAsia" w:cstheme="minorEastAsia"/>
          <w:color w:val="auto"/>
          <w:sz w:val="21"/>
          <w:szCs w:val="21"/>
          <w:highlight w:val="none"/>
          <w:lang w:eastAsia="zh-CN"/>
        </w:rPr>
        <w:t>。</w:t>
      </w:r>
    </w:p>
    <w:p w14:paraId="739974D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2）充电机柜体（桩体）应具备确保壳体不对通信模块接收信号产生负面影响。</w:t>
      </w:r>
    </w:p>
    <w:p w14:paraId="27EC4101">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3）充电机柜体（桩体）内部线束，应排布整齐、规整，标识清楚，捆扎牢固。</w:t>
      </w:r>
    </w:p>
    <w:p w14:paraId="49747A58">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4）充电机柜体（桩体）内元器件应布局合理，易耗易损元件方便更换。</w:t>
      </w:r>
    </w:p>
    <w:p w14:paraId="331474B5">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5）充电机柜体（桩体）安装于户外时，应便于特殊天气条件下的日常维护。</w:t>
      </w:r>
    </w:p>
    <w:p w14:paraId="0224CF6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6）充电机柜体（桩体）应采用抗冲击力强、抗老化的材质。</w:t>
      </w:r>
    </w:p>
    <w:p w14:paraId="3B7086B6">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7）充电机柜体（桩体）表面涂覆色泽层应均匀光洁，不起泡、不龟裂、不脱落。</w:t>
      </w:r>
    </w:p>
    <w:p w14:paraId="4773003B">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8）非绝缘材料外壳应可靠接地，结构上应防止操作人员触及带电部件。</w:t>
      </w:r>
    </w:p>
    <w:p w14:paraId="39647F00">
      <w:pPr>
        <w:keepNext w:val="0"/>
        <w:keepLines w:val="0"/>
        <w:pageBreakBefore w:val="0"/>
        <w:widowControl w:val="0"/>
        <w:kinsoku/>
        <w:wordWrap/>
        <w:overflowPunct/>
        <w:topLinePunct/>
        <w:autoSpaceDE/>
        <w:autoSpaceDN/>
        <w:bidi w:val="0"/>
        <w:adjustRightInd w:val="0"/>
        <w:snapToGrid w:val="0"/>
        <w:spacing w:line="312"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9）要求充电枪在非充电状态下，整体不带电，拔下充电枪，就地充电装置没有任何电源，插入充电枪、认证信息后通电，无安全隐患。</w:t>
      </w:r>
    </w:p>
    <w:p w14:paraId="551D0EC6">
      <w:pPr>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3、充电运营平台技术要求</w:t>
      </w:r>
    </w:p>
    <w:p w14:paraId="2751A005">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1</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功能需求</w:t>
      </w:r>
    </w:p>
    <w:p w14:paraId="3D1290FA">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项目主要包括运营管理模块，订单销售模块、监控调度模块、运维管理模块、统计分析模块、财务管理模块、大数据分析模块。系统架构满足接入</w:t>
      </w:r>
      <w:r>
        <w:rPr>
          <w:rFonts w:hint="eastAsia" w:asciiTheme="minorEastAsia" w:hAnsiTheme="minorEastAsia" w:eastAsiaTheme="minorEastAsia" w:cstheme="minorEastAsia"/>
          <w:color w:val="auto"/>
          <w:spacing w:val="1"/>
          <w:sz w:val="21"/>
          <w:szCs w:val="21"/>
          <w:highlight w:val="none"/>
          <w:lang w:eastAsia="zh-CN"/>
        </w:rPr>
        <w:t>5</w:t>
      </w:r>
      <w:r>
        <w:rPr>
          <w:rFonts w:hint="eastAsia" w:asciiTheme="minorEastAsia" w:hAnsiTheme="minorEastAsia" w:eastAsiaTheme="minorEastAsia" w:cstheme="minorEastAsia"/>
          <w:color w:val="auto"/>
          <w:spacing w:val="1"/>
          <w:sz w:val="21"/>
          <w:szCs w:val="21"/>
          <w:highlight w:val="none"/>
          <w:lang w:val="en-US" w:eastAsia="zh-CN"/>
        </w:rPr>
        <w:t>55</w:t>
      </w:r>
      <w:r>
        <w:rPr>
          <w:rFonts w:hint="eastAsia" w:asciiTheme="minorEastAsia" w:hAnsiTheme="minorEastAsia" w:eastAsiaTheme="minorEastAsia" w:cstheme="minorEastAsia"/>
          <w:color w:val="auto"/>
          <w:spacing w:val="1"/>
          <w:sz w:val="21"/>
          <w:szCs w:val="21"/>
          <w:highlight w:val="none"/>
        </w:rPr>
        <w:t>个以上充电基础设施信息技术指标；提供系统接口，逐步将充电基础设施设备信息接入管理平台；建立数据分析系统，以平台采集的数据为基础，进行统计分析，为下一步科学规划充电基础设施建设等决策提供依据；建立新能源汽车充电服务系统，为用户提供充电业务服务；具备兼容能力，满足可扩展的接口条件。</w:t>
      </w:r>
    </w:p>
    <w:p w14:paraId="2C42353F">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具体功能列表如下：</w:t>
      </w:r>
    </w:p>
    <w:tbl>
      <w:tblPr>
        <w:tblStyle w:val="19"/>
        <w:tblW w:w="0" w:type="auto"/>
        <w:tblInd w:w="0" w:type="dxa"/>
        <w:tblLayout w:type="fixed"/>
        <w:tblCellMar>
          <w:top w:w="0" w:type="dxa"/>
          <w:left w:w="108" w:type="dxa"/>
          <w:bottom w:w="0" w:type="dxa"/>
          <w:right w:w="108" w:type="dxa"/>
        </w:tblCellMar>
      </w:tblPr>
      <w:tblGrid>
        <w:gridCol w:w="2037"/>
        <w:gridCol w:w="2141"/>
        <w:gridCol w:w="1741"/>
        <w:gridCol w:w="3137"/>
      </w:tblGrid>
      <w:tr w14:paraId="51FEA758">
        <w:tblPrEx>
          <w:tblCellMar>
            <w:top w:w="0" w:type="dxa"/>
            <w:left w:w="108" w:type="dxa"/>
            <w:bottom w:w="0" w:type="dxa"/>
            <w:right w:w="108" w:type="dxa"/>
          </w:tblCellMar>
        </w:tblPrEx>
        <w:trPr>
          <w:cantSplit/>
          <w:trHeight w:val="246" w:hRule="atLeast"/>
          <w:tblHeader/>
        </w:trPr>
        <w:tc>
          <w:tcPr>
            <w:tcW w:w="2037" w:type="dxa"/>
            <w:tcBorders>
              <w:top w:val="single" w:color="auto" w:sz="4" w:space="0"/>
              <w:left w:val="single" w:color="auto" w:sz="4" w:space="0"/>
              <w:bottom w:val="single" w:color="auto" w:sz="4" w:space="0"/>
              <w:right w:val="single" w:color="auto" w:sz="4" w:space="0"/>
            </w:tcBorders>
            <w:shd w:val="clear" w:color="auto" w:fill="AEAAAA"/>
            <w:noWrap w:val="0"/>
            <w:vAlign w:val="center"/>
          </w:tcPr>
          <w:p w14:paraId="2F9B85C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模块</w:t>
            </w:r>
          </w:p>
        </w:tc>
        <w:tc>
          <w:tcPr>
            <w:tcW w:w="2141" w:type="dxa"/>
            <w:tcBorders>
              <w:top w:val="single" w:color="auto" w:sz="4" w:space="0"/>
              <w:left w:val="nil"/>
              <w:bottom w:val="single" w:color="auto" w:sz="4" w:space="0"/>
              <w:right w:val="single" w:color="auto" w:sz="4" w:space="0"/>
            </w:tcBorders>
            <w:shd w:val="clear" w:color="auto" w:fill="AEAAAA"/>
            <w:noWrap w:val="0"/>
            <w:vAlign w:val="center"/>
          </w:tcPr>
          <w:p w14:paraId="059BD70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菜单组</w:t>
            </w:r>
          </w:p>
        </w:tc>
        <w:tc>
          <w:tcPr>
            <w:tcW w:w="1741" w:type="dxa"/>
            <w:tcBorders>
              <w:top w:val="single" w:color="auto" w:sz="4" w:space="0"/>
              <w:left w:val="nil"/>
              <w:bottom w:val="single" w:color="auto" w:sz="4" w:space="0"/>
              <w:right w:val="single" w:color="auto" w:sz="4" w:space="0"/>
            </w:tcBorders>
            <w:shd w:val="clear" w:color="auto" w:fill="AEAAAA"/>
            <w:noWrap w:val="0"/>
            <w:vAlign w:val="center"/>
          </w:tcPr>
          <w:p w14:paraId="5C85426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菜单名</w:t>
            </w:r>
          </w:p>
        </w:tc>
        <w:tc>
          <w:tcPr>
            <w:tcW w:w="3137" w:type="dxa"/>
            <w:tcBorders>
              <w:top w:val="single" w:color="auto" w:sz="4" w:space="0"/>
              <w:left w:val="nil"/>
              <w:bottom w:val="single" w:color="auto" w:sz="4" w:space="0"/>
              <w:right w:val="single" w:color="auto" w:sz="4" w:space="0"/>
            </w:tcBorders>
            <w:shd w:val="clear" w:color="auto" w:fill="AEAAAA"/>
            <w:noWrap w:val="0"/>
            <w:vAlign w:val="center"/>
          </w:tcPr>
          <w:p w14:paraId="6A8675B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功能描述</w:t>
            </w:r>
          </w:p>
        </w:tc>
      </w:tr>
      <w:tr w14:paraId="4B7AE45C">
        <w:tblPrEx>
          <w:tblCellMar>
            <w:top w:w="0" w:type="dxa"/>
            <w:left w:w="108" w:type="dxa"/>
            <w:bottom w:w="0" w:type="dxa"/>
            <w:right w:w="108" w:type="dxa"/>
          </w:tblCellMar>
        </w:tblPrEx>
        <w:trPr>
          <w:cantSplit/>
          <w:trHeight w:val="943"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0755E62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运营管理</w:t>
            </w:r>
          </w:p>
        </w:tc>
        <w:tc>
          <w:tcPr>
            <w:tcW w:w="2141" w:type="dxa"/>
            <w:tcBorders>
              <w:top w:val="nil"/>
              <w:left w:val="nil"/>
              <w:bottom w:val="single" w:color="auto" w:sz="4" w:space="0"/>
              <w:right w:val="single" w:color="auto" w:sz="4" w:space="0"/>
            </w:tcBorders>
            <w:noWrap w:val="0"/>
            <w:vAlign w:val="center"/>
          </w:tcPr>
          <w:p w14:paraId="7F6C2A3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客户卡管理</w:t>
            </w:r>
          </w:p>
        </w:tc>
        <w:tc>
          <w:tcPr>
            <w:tcW w:w="1741" w:type="dxa"/>
            <w:tcBorders>
              <w:top w:val="nil"/>
              <w:left w:val="nil"/>
              <w:bottom w:val="single" w:color="auto" w:sz="4" w:space="0"/>
              <w:right w:val="single" w:color="auto" w:sz="4" w:space="0"/>
            </w:tcBorders>
            <w:noWrap w:val="0"/>
            <w:vAlign w:val="center"/>
          </w:tcPr>
          <w:p w14:paraId="09335E5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客户卡信息管理</w:t>
            </w:r>
          </w:p>
        </w:tc>
        <w:tc>
          <w:tcPr>
            <w:tcW w:w="3137" w:type="dxa"/>
            <w:tcBorders>
              <w:top w:val="nil"/>
              <w:left w:val="nil"/>
              <w:bottom w:val="single" w:color="auto" w:sz="4" w:space="0"/>
              <w:right w:val="single" w:color="auto" w:sz="4" w:space="0"/>
            </w:tcBorders>
            <w:noWrap w:val="0"/>
            <w:vAlign w:val="center"/>
          </w:tcPr>
          <w:p w14:paraId="71244B8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对公司的所有充电客户卡进行统一管理，实现激活，冻结，接触冻结，指定使用人，作废，充电记录查询等操作</w:t>
            </w:r>
          </w:p>
        </w:tc>
      </w:tr>
      <w:tr w14:paraId="5A2D1D59">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FA80EE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5C827BF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计费计价策略</w:t>
            </w:r>
          </w:p>
        </w:tc>
        <w:tc>
          <w:tcPr>
            <w:tcW w:w="1741" w:type="dxa"/>
            <w:tcBorders>
              <w:top w:val="nil"/>
              <w:left w:val="nil"/>
              <w:bottom w:val="single" w:color="auto" w:sz="4" w:space="0"/>
              <w:right w:val="single" w:color="auto" w:sz="4" w:space="0"/>
            </w:tcBorders>
            <w:noWrap w:val="0"/>
            <w:vAlign w:val="center"/>
          </w:tcPr>
          <w:p w14:paraId="26E47FD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定价策略</w:t>
            </w:r>
          </w:p>
        </w:tc>
        <w:tc>
          <w:tcPr>
            <w:tcW w:w="3137" w:type="dxa"/>
            <w:tcBorders>
              <w:top w:val="nil"/>
              <w:left w:val="nil"/>
              <w:bottom w:val="single" w:color="auto" w:sz="4" w:space="0"/>
              <w:right w:val="single" w:color="auto" w:sz="4" w:space="0"/>
            </w:tcBorders>
            <w:noWrap w:val="0"/>
            <w:vAlign w:val="center"/>
          </w:tcPr>
          <w:p w14:paraId="37A1DA2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设定充电站对外定价的策略，制定的定价策略支持设置版本，周期等方式。</w:t>
            </w:r>
          </w:p>
        </w:tc>
      </w:tr>
      <w:tr w14:paraId="123E5C04">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2F1C5DF">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4D50C8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609CD9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折扣策略设置</w:t>
            </w:r>
          </w:p>
        </w:tc>
        <w:tc>
          <w:tcPr>
            <w:tcW w:w="3137" w:type="dxa"/>
            <w:tcBorders>
              <w:top w:val="nil"/>
              <w:left w:val="nil"/>
              <w:bottom w:val="single" w:color="auto" w:sz="4" w:space="0"/>
              <w:right w:val="single" w:color="auto" w:sz="4" w:space="0"/>
            </w:tcBorders>
            <w:noWrap w:val="0"/>
            <w:vAlign w:val="center"/>
          </w:tcPr>
          <w:p w14:paraId="4FC1866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对维护好的折扣策略进行关联绑定操作，包括指定客户组，设置电站范围等。</w:t>
            </w:r>
          </w:p>
        </w:tc>
      </w:tr>
      <w:tr w14:paraId="5659858C">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5424785">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0C890F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51850A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终端包月策略管理</w:t>
            </w:r>
          </w:p>
        </w:tc>
        <w:tc>
          <w:tcPr>
            <w:tcW w:w="3137" w:type="dxa"/>
            <w:tcBorders>
              <w:top w:val="nil"/>
              <w:left w:val="nil"/>
              <w:bottom w:val="single" w:color="auto" w:sz="4" w:space="0"/>
              <w:right w:val="single" w:color="auto" w:sz="4" w:space="0"/>
            </w:tcBorders>
            <w:noWrap w:val="0"/>
            <w:vAlign w:val="center"/>
          </w:tcPr>
          <w:p w14:paraId="21B90DD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支持场站对外面向特定的客户提供终端包月功能</w:t>
            </w:r>
          </w:p>
        </w:tc>
      </w:tr>
      <w:tr w14:paraId="071BC2FB">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1B55D6D">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BABD3B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BEAB4F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折扣策略管理</w:t>
            </w:r>
          </w:p>
        </w:tc>
        <w:tc>
          <w:tcPr>
            <w:tcW w:w="3137" w:type="dxa"/>
            <w:tcBorders>
              <w:top w:val="nil"/>
              <w:left w:val="nil"/>
              <w:bottom w:val="single" w:color="auto" w:sz="4" w:space="0"/>
              <w:right w:val="single" w:color="auto" w:sz="4" w:space="0"/>
            </w:tcBorders>
            <w:noWrap w:val="0"/>
            <w:vAlign w:val="center"/>
          </w:tcPr>
          <w:p w14:paraId="6BCD5A5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新增，查看和维护折扣策略信息</w:t>
            </w:r>
          </w:p>
        </w:tc>
      </w:tr>
      <w:tr w14:paraId="7BD6500E">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691610C">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4627ED7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电站运营</w:t>
            </w:r>
          </w:p>
        </w:tc>
        <w:tc>
          <w:tcPr>
            <w:tcW w:w="1741" w:type="dxa"/>
            <w:tcBorders>
              <w:top w:val="nil"/>
              <w:left w:val="nil"/>
              <w:bottom w:val="single" w:color="auto" w:sz="4" w:space="0"/>
              <w:right w:val="single" w:color="auto" w:sz="4" w:space="0"/>
            </w:tcBorders>
            <w:noWrap w:val="0"/>
            <w:vAlign w:val="center"/>
          </w:tcPr>
          <w:p w14:paraId="26B2CCD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客户组管理</w:t>
            </w:r>
          </w:p>
        </w:tc>
        <w:tc>
          <w:tcPr>
            <w:tcW w:w="3137" w:type="dxa"/>
            <w:tcBorders>
              <w:top w:val="nil"/>
              <w:left w:val="nil"/>
              <w:bottom w:val="single" w:color="auto" w:sz="4" w:space="0"/>
              <w:right w:val="single" w:color="auto" w:sz="4" w:space="0"/>
            </w:tcBorders>
            <w:noWrap w:val="0"/>
            <w:vAlign w:val="center"/>
          </w:tcPr>
          <w:p w14:paraId="1E07905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支持将特定的个人和企业用户设置成特殊客户群体，用户绑定专属收费策略，实现差异化收费。</w:t>
            </w:r>
          </w:p>
        </w:tc>
      </w:tr>
      <w:tr w14:paraId="531D1B43">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79B78F3">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E620F0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198BCB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电站管理</w:t>
            </w:r>
          </w:p>
        </w:tc>
        <w:tc>
          <w:tcPr>
            <w:tcW w:w="3137" w:type="dxa"/>
            <w:tcBorders>
              <w:top w:val="nil"/>
              <w:left w:val="nil"/>
              <w:bottom w:val="single" w:color="auto" w:sz="4" w:space="0"/>
              <w:right w:val="single" w:color="auto" w:sz="4" w:space="0"/>
            </w:tcBorders>
            <w:noWrap w:val="0"/>
            <w:vAlign w:val="center"/>
          </w:tcPr>
          <w:p w14:paraId="0D1908D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新建，编辑，调整和管理电站的基本信息，支持对电站的运营信息进行维护，包括开始运营，暂停运营，结算信息维护等。</w:t>
            </w:r>
          </w:p>
        </w:tc>
      </w:tr>
      <w:tr w14:paraId="17D81D14">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905EFA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E47BCE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E171E8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公司客户查询</w:t>
            </w:r>
          </w:p>
        </w:tc>
        <w:tc>
          <w:tcPr>
            <w:tcW w:w="3137" w:type="dxa"/>
            <w:tcBorders>
              <w:top w:val="nil"/>
              <w:left w:val="nil"/>
              <w:bottom w:val="single" w:color="auto" w:sz="4" w:space="0"/>
              <w:right w:val="single" w:color="auto" w:sz="4" w:space="0"/>
            </w:tcBorders>
            <w:noWrap w:val="0"/>
            <w:vAlign w:val="center"/>
          </w:tcPr>
          <w:p w14:paraId="56ACC22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用于查询统计在该运营商的所属电站上充过电的个人用户信息</w:t>
            </w:r>
          </w:p>
        </w:tc>
      </w:tr>
      <w:tr w14:paraId="08D24AE9">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8B149D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29BE8B4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车辆管理</w:t>
            </w:r>
          </w:p>
        </w:tc>
        <w:tc>
          <w:tcPr>
            <w:tcW w:w="1741" w:type="dxa"/>
            <w:tcBorders>
              <w:top w:val="nil"/>
              <w:left w:val="nil"/>
              <w:bottom w:val="single" w:color="auto" w:sz="4" w:space="0"/>
              <w:right w:val="single" w:color="auto" w:sz="4" w:space="0"/>
            </w:tcBorders>
            <w:noWrap w:val="0"/>
            <w:vAlign w:val="center"/>
          </w:tcPr>
          <w:p w14:paraId="623DA4E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路线管理</w:t>
            </w:r>
          </w:p>
        </w:tc>
        <w:tc>
          <w:tcPr>
            <w:tcW w:w="3137" w:type="dxa"/>
            <w:tcBorders>
              <w:top w:val="nil"/>
              <w:left w:val="nil"/>
              <w:bottom w:val="single" w:color="auto" w:sz="4" w:space="0"/>
              <w:right w:val="single" w:color="auto" w:sz="4" w:space="0"/>
            </w:tcBorders>
            <w:noWrap w:val="0"/>
            <w:vAlign w:val="center"/>
          </w:tcPr>
          <w:p w14:paraId="1B1EB11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对公交路线进行新增，删除，编辑等操作，支持将路线与车辆进行绑定配置，用于关联统计分析。</w:t>
            </w:r>
          </w:p>
        </w:tc>
      </w:tr>
      <w:tr w14:paraId="0837C412">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F405C6C">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0BEBF3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6ABDF4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车辆信息一览表</w:t>
            </w:r>
          </w:p>
        </w:tc>
        <w:tc>
          <w:tcPr>
            <w:tcW w:w="3137" w:type="dxa"/>
            <w:tcBorders>
              <w:top w:val="nil"/>
              <w:left w:val="nil"/>
              <w:bottom w:val="single" w:color="auto" w:sz="4" w:space="0"/>
              <w:right w:val="single" w:color="auto" w:sz="4" w:space="0"/>
            </w:tcBorders>
            <w:noWrap w:val="0"/>
            <w:vAlign w:val="center"/>
          </w:tcPr>
          <w:p w14:paraId="04D5C9C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支持对所属充电车辆信息进行导出分析。</w:t>
            </w:r>
          </w:p>
        </w:tc>
      </w:tr>
      <w:tr w14:paraId="7D9D00B0">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5D82C9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C9857B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50796B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车辆信息管理</w:t>
            </w:r>
          </w:p>
        </w:tc>
        <w:tc>
          <w:tcPr>
            <w:tcW w:w="3137" w:type="dxa"/>
            <w:tcBorders>
              <w:top w:val="nil"/>
              <w:left w:val="nil"/>
              <w:bottom w:val="single" w:color="auto" w:sz="4" w:space="0"/>
              <w:right w:val="single" w:color="auto" w:sz="4" w:space="0"/>
            </w:tcBorders>
            <w:noWrap w:val="0"/>
            <w:vAlign w:val="center"/>
          </w:tcPr>
          <w:p w14:paraId="297B575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用户通过此功能维护车辆信息，用于实现车充识别，车辆充电统计等</w:t>
            </w:r>
          </w:p>
        </w:tc>
      </w:tr>
      <w:tr w14:paraId="3FFA1483">
        <w:tblPrEx>
          <w:tblCellMar>
            <w:top w:w="0" w:type="dxa"/>
            <w:left w:w="108" w:type="dxa"/>
            <w:bottom w:w="0" w:type="dxa"/>
            <w:right w:w="108" w:type="dxa"/>
          </w:tblCellMar>
        </w:tblPrEx>
        <w:trPr>
          <w:cantSplit/>
          <w:trHeight w:val="1643"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01C7CEBF">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订单销售</w:t>
            </w:r>
          </w:p>
        </w:tc>
        <w:tc>
          <w:tcPr>
            <w:tcW w:w="2141" w:type="dxa"/>
            <w:vMerge w:val="restart"/>
            <w:tcBorders>
              <w:top w:val="nil"/>
              <w:left w:val="single" w:color="auto" w:sz="4" w:space="0"/>
              <w:bottom w:val="single" w:color="auto" w:sz="4" w:space="0"/>
              <w:right w:val="single" w:color="auto" w:sz="4" w:space="0"/>
            </w:tcBorders>
            <w:noWrap w:val="0"/>
            <w:vAlign w:val="center"/>
          </w:tcPr>
          <w:p w14:paraId="0836F84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订单管理</w:t>
            </w:r>
          </w:p>
        </w:tc>
        <w:tc>
          <w:tcPr>
            <w:tcW w:w="1741" w:type="dxa"/>
            <w:tcBorders>
              <w:top w:val="nil"/>
              <w:left w:val="nil"/>
              <w:bottom w:val="single" w:color="auto" w:sz="4" w:space="0"/>
              <w:right w:val="single" w:color="auto" w:sz="4" w:space="0"/>
            </w:tcBorders>
            <w:noWrap w:val="0"/>
            <w:vAlign w:val="center"/>
          </w:tcPr>
          <w:p w14:paraId="41412ED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充电记录尖峰平谷信息</w:t>
            </w:r>
          </w:p>
        </w:tc>
        <w:tc>
          <w:tcPr>
            <w:tcW w:w="3137" w:type="dxa"/>
            <w:tcBorders>
              <w:top w:val="nil"/>
              <w:left w:val="nil"/>
              <w:bottom w:val="single" w:color="auto" w:sz="4" w:space="0"/>
              <w:right w:val="single" w:color="auto" w:sz="4" w:space="0"/>
            </w:tcBorders>
            <w:noWrap w:val="0"/>
            <w:vAlign w:val="center"/>
          </w:tcPr>
          <w:p w14:paraId="4E5F2C5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按运营公司，电站名称，充电开始时间，充电结束时间等维度统计尖峰平谷各个时间段的总电量和总电费，可按照电站，开始时间，结束时间等丰富的筛选查询条件，过滤输出充电记录尖峰平谷统计报表</w:t>
            </w:r>
          </w:p>
        </w:tc>
      </w:tr>
      <w:tr w14:paraId="7716B59A">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4D790D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755041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9CBD3A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车辆充电尖峰平谷统计</w:t>
            </w:r>
          </w:p>
        </w:tc>
        <w:tc>
          <w:tcPr>
            <w:tcW w:w="3137" w:type="dxa"/>
            <w:tcBorders>
              <w:top w:val="nil"/>
              <w:left w:val="nil"/>
              <w:bottom w:val="single" w:color="auto" w:sz="4" w:space="0"/>
              <w:right w:val="single" w:color="auto" w:sz="4" w:space="0"/>
            </w:tcBorders>
            <w:noWrap w:val="0"/>
            <w:vAlign w:val="center"/>
          </w:tcPr>
          <w:p w14:paraId="247A2EE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统计车辆的尖峰平谷充电记录，可按路线，按车架号，按车牌，按时间等条件查询，用于单车分析考核。</w:t>
            </w:r>
          </w:p>
        </w:tc>
      </w:tr>
      <w:tr w14:paraId="4378B901">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390ABF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D102D5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6A6F2A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充电记录明细（全部）</w:t>
            </w:r>
          </w:p>
        </w:tc>
        <w:tc>
          <w:tcPr>
            <w:tcW w:w="3137" w:type="dxa"/>
            <w:tcBorders>
              <w:top w:val="nil"/>
              <w:left w:val="nil"/>
              <w:bottom w:val="single" w:color="auto" w:sz="4" w:space="0"/>
              <w:right w:val="single" w:color="auto" w:sz="4" w:space="0"/>
            </w:tcBorders>
            <w:noWrap w:val="0"/>
            <w:vAlign w:val="center"/>
          </w:tcPr>
          <w:p w14:paraId="7BD3EA8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该功能用于统计所有充电订单信息，包括充电中的订单和已完成的订单，还支持筛选出异常订单用于分析。</w:t>
            </w:r>
          </w:p>
        </w:tc>
      </w:tr>
      <w:tr w14:paraId="38B6D1C5">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83A678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38D3EF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5C2DBD9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充电成功记录明细</w:t>
            </w:r>
          </w:p>
        </w:tc>
        <w:tc>
          <w:tcPr>
            <w:tcW w:w="3137" w:type="dxa"/>
            <w:tcBorders>
              <w:top w:val="nil"/>
              <w:left w:val="nil"/>
              <w:bottom w:val="single" w:color="auto" w:sz="4" w:space="0"/>
              <w:right w:val="single" w:color="auto" w:sz="4" w:space="0"/>
            </w:tcBorders>
            <w:noWrap w:val="0"/>
            <w:vAlign w:val="center"/>
          </w:tcPr>
          <w:p w14:paraId="21573D4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提供充电明细统计报表，包括订单编号、状态、设备信息、用户信息、充电时长、充电策略、订单费用等</w:t>
            </w:r>
          </w:p>
        </w:tc>
      </w:tr>
      <w:tr w14:paraId="5B64F066">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68858A0">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0C0DE79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代金券管理</w:t>
            </w:r>
          </w:p>
        </w:tc>
        <w:tc>
          <w:tcPr>
            <w:tcW w:w="1741" w:type="dxa"/>
            <w:tcBorders>
              <w:top w:val="nil"/>
              <w:left w:val="nil"/>
              <w:bottom w:val="single" w:color="auto" w:sz="4" w:space="0"/>
              <w:right w:val="single" w:color="auto" w:sz="4" w:space="0"/>
            </w:tcBorders>
            <w:noWrap w:val="0"/>
            <w:vAlign w:val="center"/>
          </w:tcPr>
          <w:p w14:paraId="30A025E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电子券申请</w:t>
            </w:r>
          </w:p>
        </w:tc>
        <w:tc>
          <w:tcPr>
            <w:tcW w:w="3137" w:type="dxa"/>
            <w:tcBorders>
              <w:top w:val="nil"/>
              <w:left w:val="nil"/>
              <w:bottom w:val="single" w:color="auto" w:sz="4" w:space="0"/>
              <w:right w:val="single" w:color="auto" w:sz="4" w:space="0"/>
            </w:tcBorders>
            <w:noWrap w:val="0"/>
            <w:vAlign w:val="center"/>
          </w:tcPr>
          <w:p w14:paraId="080DF97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用于发起代金券申请业务</w:t>
            </w:r>
          </w:p>
        </w:tc>
      </w:tr>
      <w:tr w14:paraId="011A3870">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2F1AAC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6BEC3F8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31FD2F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电子券申请审核</w:t>
            </w:r>
          </w:p>
        </w:tc>
        <w:tc>
          <w:tcPr>
            <w:tcW w:w="3137" w:type="dxa"/>
            <w:tcBorders>
              <w:top w:val="nil"/>
              <w:left w:val="nil"/>
              <w:bottom w:val="single" w:color="auto" w:sz="4" w:space="0"/>
              <w:right w:val="single" w:color="auto" w:sz="4" w:space="0"/>
            </w:tcBorders>
            <w:noWrap w:val="0"/>
            <w:vAlign w:val="center"/>
          </w:tcPr>
          <w:p w14:paraId="3CFDB7A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用于对代金券业务进行审核</w:t>
            </w:r>
          </w:p>
        </w:tc>
      </w:tr>
      <w:tr w14:paraId="2762DA6C">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3D6CAA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F91473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153FA9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电子券发放管理</w:t>
            </w:r>
          </w:p>
        </w:tc>
        <w:tc>
          <w:tcPr>
            <w:tcW w:w="3137" w:type="dxa"/>
            <w:tcBorders>
              <w:top w:val="nil"/>
              <w:left w:val="nil"/>
              <w:bottom w:val="single" w:color="auto" w:sz="4" w:space="0"/>
              <w:right w:val="single" w:color="auto" w:sz="4" w:space="0"/>
            </w:tcBorders>
            <w:noWrap w:val="0"/>
            <w:vAlign w:val="center"/>
          </w:tcPr>
          <w:p w14:paraId="023496B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用于对代金券进行个人或企业发放</w:t>
            </w:r>
          </w:p>
        </w:tc>
      </w:tr>
      <w:tr w14:paraId="1CD22C6D">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57C3EF3">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3762BD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1DA19D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电子券发放审核</w:t>
            </w:r>
          </w:p>
        </w:tc>
        <w:tc>
          <w:tcPr>
            <w:tcW w:w="3137" w:type="dxa"/>
            <w:tcBorders>
              <w:top w:val="nil"/>
              <w:left w:val="nil"/>
              <w:bottom w:val="single" w:color="auto" w:sz="4" w:space="0"/>
              <w:right w:val="single" w:color="auto" w:sz="4" w:space="0"/>
            </w:tcBorders>
            <w:noWrap w:val="0"/>
            <w:vAlign w:val="center"/>
          </w:tcPr>
          <w:p w14:paraId="20FBB0C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用于对代金券发放进行审核</w:t>
            </w:r>
          </w:p>
        </w:tc>
      </w:tr>
      <w:tr w14:paraId="0E9E62FD">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7AFE24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AAC237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6F4CB0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代金券管理</w:t>
            </w:r>
          </w:p>
        </w:tc>
        <w:tc>
          <w:tcPr>
            <w:tcW w:w="3137" w:type="dxa"/>
            <w:tcBorders>
              <w:top w:val="nil"/>
              <w:left w:val="nil"/>
              <w:bottom w:val="single" w:color="auto" w:sz="4" w:space="0"/>
              <w:right w:val="single" w:color="auto" w:sz="4" w:space="0"/>
            </w:tcBorders>
            <w:noWrap w:val="0"/>
            <w:vAlign w:val="center"/>
          </w:tcPr>
          <w:p w14:paraId="48772B6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用于对代金券业务数据进行管理</w:t>
            </w:r>
          </w:p>
        </w:tc>
      </w:tr>
      <w:tr w14:paraId="542A2F7D">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CA3B16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13AFFA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16799FE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代金券作废申请</w:t>
            </w:r>
          </w:p>
        </w:tc>
        <w:tc>
          <w:tcPr>
            <w:tcW w:w="3137" w:type="dxa"/>
            <w:tcBorders>
              <w:top w:val="nil"/>
              <w:left w:val="nil"/>
              <w:bottom w:val="single" w:color="auto" w:sz="4" w:space="0"/>
              <w:right w:val="single" w:color="auto" w:sz="4" w:space="0"/>
            </w:tcBorders>
            <w:noWrap w:val="0"/>
            <w:vAlign w:val="center"/>
          </w:tcPr>
          <w:p w14:paraId="1477AE0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对已生成的代金券进行作废处理</w:t>
            </w:r>
          </w:p>
        </w:tc>
      </w:tr>
      <w:tr w14:paraId="43EF8A45">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4869FD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21DF7B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1F20A7D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代金券作废申请审核</w:t>
            </w:r>
          </w:p>
        </w:tc>
        <w:tc>
          <w:tcPr>
            <w:tcW w:w="3137" w:type="dxa"/>
            <w:tcBorders>
              <w:top w:val="nil"/>
              <w:left w:val="nil"/>
              <w:bottom w:val="single" w:color="auto" w:sz="4" w:space="0"/>
              <w:right w:val="single" w:color="auto" w:sz="4" w:space="0"/>
            </w:tcBorders>
            <w:noWrap w:val="0"/>
            <w:vAlign w:val="center"/>
          </w:tcPr>
          <w:p w14:paraId="60FF86A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对已生成的代金券进行作废审核</w:t>
            </w:r>
          </w:p>
        </w:tc>
      </w:tr>
      <w:tr w14:paraId="5277AB7B">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1E4D541">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56D0B4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599B3B2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发券组管理</w:t>
            </w:r>
          </w:p>
        </w:tc>
        <w:tc>
          <w:tcPr>
            <w:tcW w:w="3137" w:type="dxa"/>
            <w:tcBorders>
              <w:top w:val="nil"/>
              <w:left w:val="nil"/>
              <w:bottom w:val="single" w:color="auto" w:sz="4" w:space="0"/>
              <w:right w:val="single" w:color="auto" w:sz="4" w:space="0"/>
            </w:tcBorders>
            <w:noWrap w:val="0"/>
            <w:vAlign w:val="center"/>
          </w:tcPr>
          <w:p w14:paraId="5E7A72E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定义发券组，方便用户发券时选择</w:t>
            </w:r>
          </w:p>
        </w:tc>
      </w:tr>
      <w:tr w14:paraId="61F2E0A7">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56792F8">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0EC3A6A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开票管理</w:t>
            </w:r>
          </w:p>
        </w:tc>
        <w:tc>
          <w:tcPr>
            <w:tcW w:w="1741" w:type="dxa"/>
            <w:tcBorders>
              <w:top w:val="nil"/>
              <w:left w:val="nil"/>
              <w:bottom w:val="single" w:color="auto" w:sz="4" w:space="0"/>
              <w:right w:val="single" w:color="auto" w:sz="4" w:space="0"/>
            </w:tcBorders>
            <w:noWrap w:val="0"/>
            <w:vAlign w:val="center"/>
          </w:tcPr>
          <w:p w14:paraId="2593512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开票申请</w:t>
            </w:r>
          </w:p>
        </w:tc>
        <w:tc>
          <w:tcPr>
            <w:tcW w:w="3137" w:type="dxa"/>
            <w:tcBorders>
              <w:top w:val="nil"/>
              <w:left w:val="nil"/>
              <w:bottom w:val="single" w:color="auto" w:sz="4" w:space="0"/>
              <w:right w:val="single" w:color="auto" w:sz="4" w:space="0"/>
            </w:tcBorders>
            <w:noWrap w:val="0"/>
            <w:vAlign w:val="center"/>
          </w:tcPr>
          <w:p w14:paraId="0E3A76E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用于处理用户发起的开票申请</w:t>
            </w:r>
          </w:p>
        </w:tc>
      </w:tr>
      <w:tr w14:paraId="53392FF2">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8C6B4D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EBDA5D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15B30F1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发票管理</w:t>
            </w:r>
          </w:p>
        </w:tc>
        <w:tc>
          <w:tcPr>
            <w:tcW w:w="3137" w:type="dxa"/>
            <w:tcBorders>
              <w:top w:val="nil"/>
              <w:left w:val="nil"/>
              <w:bottom w:val="single" w:color="auto" w:sz="4" w:space="0"/>
              <w:right w:val="single" w:color="auto" w:sz="4" w:space="0"/>
            </w:tcBorders>
            <w:noWrap w:val="0"/>
            <w:vAlign w:val="center"/>
          </w:tcPr>
          <w:p w14:paraId="3D8595D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用于查看和管理开票记录数据</w:t>
            </w:r>
          </w:p>
        </w:tc>
      </w:tr>
      <w:tr w14:paraId="0853A188">
        <w:tblPrEx>
          <w:tblCellMar>
            <w:top w:w="0" w:type="dxa"/>
            <w:left w:w="108" w:type="dxa"/>
            <w:bottom w:w="0" w:type="dxa"/>
            <w:right w:w="108" w:type="dxa"/>
          </w:tblCellMar>
        </w:tblPrEx>
        <w:trPr>
          <w:cantSplit/>
          <w:trHeight w:val="710"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2572BEA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监控调度</w:t>
            </w:r>
          </w:p>
        </w:tc>
        <w:tc>
          <w:tcPr>
            <w:tcW w:w="2141" w:type="dxa"/>
            <w:vMerge w:val="restart"/>
            <w:tcBorders>
              <w:top w:val="nil"/>
              <w:left w:val="single" w:color="auto" w:sz="4" w:space="0"/>
              <w:bottom w:val="single" w:color="auto" w:sz="4" w:space="0"/>
              <w:right w:val="single" w:color="auto" w:sz="4" w:space="0"/>
            </w:tcBorders>
            <w:noWrap w:val="0"/>
            <w:vAlign w:val="center"/>
          </w:tcPr>
          <w:p w14:paraId="7C82C8E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场站监控</w:t>
            </w:r>
          </w:p>
        </w:tc>
        <w:tc>
          <w:tcPr>
            <w:tcW w:w="1741" w:type="dxa"/>
            <w:tcBorders>
              <w:top w:val="nil"/>
              <w:left w:val="nil"/>
              <w:bottom w:val="single" w:color="auto" w:sz="4" w:space="0"/>
              <w:right w:val="single" w:color="auto" w:sz="4" w:space="0"/>
            </w:tcBorders>
            <w:noWrap w:val="0"/>
            <w:vAlign w:val="center"/>
          </w:tcPr>
          <w:p w14:paraId="71951D4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监控平台</w:t>
            </w:r>
          </w:p>
        </w:tc>
        <w:tc>
          <w:tcPr>
            <w:tcW w:w="3137" w:type="dxa"/>
            <w:tcBorders>
              <w:top w:val="nil"/>
              <w:left w:val="nil"/>
              <w:bottom w:val="single" w:color="auto" w:sz="4" w:space="0"/>
              <w:right w:val="single" w:color="auto" w:sz="4" w:space="0"/>
            </w:tcBorders>
            <w:noWrap w:val="0"/>
            <w:vAlign w:val="center"/>
          </w:tcPr>
          <w:p w14:paraId="44DEEA4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通过地图的方式显示充电站的布局情况，对电站总体数据进行展示。</w:t>
            </w:r>
          </w:p>
        </w:tc>
      </w:tr>
      <w:tr w14:paraId="6650E721">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E82F6D5">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0BB23B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278890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电站情况一览</w:t>
            </w:r>
          </w:p>
        </w:tc>
        <w:tc>
          <w:tcPr>
            <w:tcW w:w="3137" w:type="dxa"/>
            <w:tcBorders>
              <w:top w:val="nil"/>
              <w:left w:val="nil"/>
              <w:bottom w:val="single" w:color="auto" w:sz="4" w:space="0"/>
              <w:right w:val="single" w:color="auto" w:sz="4" w:space="0"/>
            </w:tcBorders>
            <w:noWrap w:val="0"/>
            <w:vAlign w:val="center"/>
          </w:tcPr>
          <w:p w14:paraId="42074CE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可以查看电站的基本信息、电站汇总数据、电站终端实时状态等信息</w:t>
            </w:r>
          </w:p>
        </w:tc>
      </w:tr>
      <w:tr w14:paraId="7875ACDD">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6C72A7C">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D5D9A8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11FB920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电站实时监控</w:t>
            </w:r>
          </w:p>
        </w:tc>
        <w:tc>
          <w:tcPr>
            <w:tcW w:w="3137" w:type="dxa"/>
            <w:tcBorders>
              <w:top w:val="nil"/>
              <w:left w:val="nil"/>
              <w:bottom w:val="single" w:color="auto" w:sz="4" w:space="0"/>
              <w:right w:val="single" w:color="auto" w:sz="4" w:space="0"/>
            </w:tcBorders>
            <w:noWrap w:val="0"/>
            <w:vAlign w:val="center"/>
          </w:tcPr>
          <w:p w14:paraId="29A03DD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对电站实时数据进行监控，并通过图形化的方式展现每个充电终端实时参数。</w:t>
            </w:r>
          </w:p>
          <w:p w14:paraId="52C3751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站点本地具备20天及以上视频存储功能，并可在电脑端及手机app管理端实时查看及回放。</w:t>
            </w:r>
          </w:p>
        </w:tc>
      </w:tr>
      <w:tr w14:paraId="0EE7C725">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D955880">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tcBorders>
              <w:top w:val="nil"/>
              <w:left w:val="nil"/>
              <w:bottom w:val="single" w:color="auto" w:sz="4" w:space="0"/>
              <w:right w:val="single" w:color="auto" w:sz="4" w:space="0"/>
            </w:tcBorders>
            <w:noWrap w:val="0"/>
            <w:vAlign w:val="center"/>
          </w:tcPr>
          <w:p w14:paraId="0B96538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充电调度</w:t>
            </w:r>
          </w:p>
        </w:tc>
        <w:tc>
          <w:tcPr>
            <w:tcW w:w="1741" w:type="dxa"/>
            <w:tcBorders>
              <w:top w:val="nil"/>
              <w:left w:val="nil"/>
              <w:bottom w:val="single" w:color="auto" w:sz="4" w:space="0"/>
              <w:right w:val="single" w:color="auto" w:sz="4" w:space="0"/>
            </w:tcBorders>
            <w:noWrap w:val="0"/>
            <w:vAlign w:val="center"/>
          </w:tcPr>
          <w:p w14:paraId="18D5DC8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调度充电</w:t>
            </w:r>
          </w:p>
        </w:tc>
        <w:tc>
          <w:tcPr>
            <w:tcW w:w="3137" w:type="dxa"/>
            <w:tcBorders>
              <w:top w:val="nil"/>
              <w:left w:val="nil"/>
              <w:bottom w:val="single" w:color="auto" w:sz="4" w:space="0"/>
              <w:right w:val="single" w:color="auto" w:sz="4" w:space="0"/>
            </w:tcBorders>
            <w:noWrap w:val="0"/>
            <w:vAlign w:val="center"/>
          </w:tcPr>
          <w:p w14:paraId="78E3FC0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通过调度充电的页面来实现对充电设施控制充电，支持手工，定时，智能等调度方式。</w:t>
            </w:r>
          </w:p>
        </w:tc>
      </w:tr>
      <w:tr w14:paraId="28712C86">
        <w:tblPrEx>
          <w:tblCellMar>
            <w:top w:w="0" w:type="dxa"/>
            <w:left w:w="108" w:type="dxa"/>
            <w:bottom w:w="0" w:type="dxa"/>
            <w:right w:w="108" w:type="dxa"/>
          </w:tblCellMar>
        </w:tblPrEx>
        <w:trPr>
          <w:cantSplit/>
          <w:trHeight w:val="476"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0AA4D2D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运维管理</w:t>
            </w:r>
          </w:p>
        </w:tc>
        <w:tc>
          <w:tcPr>
            <w:tcW w:w="2141" w:type="dxa"/>
            <w:vMerge w:val="restart"/>
            <w:tcBorders>
              <w:top w:val="nil"/>
              <w:left w:val="single" w:color="auto" w:sz="4" w:space="0"/>
              <w:bottom w:val="single" w:color="auto" w:sz="4" w:space="0"/>
              <w:right w:val="single" w:color="auto" w:sz="4" w:space="0"/>
            </w:tcBorders>
            <w:noWrap w:val="0"/>
            <w:vAlign w:val="center"/>
          </w:tcPr>
          <w:p w14:paraId="63FA0CD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运维管理</w:t>
            </w:r>
          </w:p>
        </w:tc>
        <w:tc>
          <w:tcPr>
            <w:tcW w:w="1741" w:type="dxa"/>
            <w:tcBorders>
              <w:top w:val="nil"/>
              <w:left w:val="nil"/>
              <w:bottom w:val="single" w:color="auto" w:sz="4" w:space="0"/>
              <w:right w:val="single" w:color="auto" w:sz="4" w:space="0"/>
            </w:tcBorders>
            <w:noWrap w:val="0"/>
            <w:vAlign w:val="center"/>
          </w:tcPr>
          <w:p w14:paraId="5E85F52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设备报文查看</w:t>
            </w:r>
          </w:p>
        </w:tc>
        <w:tc>
          <w:tcPr>
            <w:tcW w:w="3137" w:type="dxa"/>
            <w:tcBorders>
              <w:top w:val="nil"/>
              <w:left w:val="nil"/>
              <w:bottom w:val="single" w:color="auto" w:sz="4" w:space="0"/>
              <w:right w:val="single" w:color="auto" w:sz="4" w:space="0"/>
            </w:tcBorders>
            <w:noWrap w:val="0"/>
            <w:vAlign w:val="center"/>
          </w:tcPr>
          <w:p w14:paraId="652EA36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查看设备上传平台的实时日志报文，便于定位分析问题。</w:t>
            </w:r>
          </w:p>
        </w:tc>
      </w:tr>
      <w:tr w14:paraId="4920EC0F">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6CA2B1F">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C73E52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543CD8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充电实时状况监控</w:t>
            </w:r>
          </w:p>
        </w:tc>
        <w:tc>
          <w:tcPr>
            <w:tcW w:w="3137" w:type="dxa"/>
            <w:tcBorders>
              <w:top w:val="nil"/>
              <w:left w:val="nil"/>
              <w:bottom w:val="single" w:color="auto" w:sz="4" w:space="0"/>
              <w:right w:val="single" w:color="auto" w:sz="4" w:space="0"/>
            </w:tcBorders>
            <w:noWrap w:val="0"/>
            <w:vAlign w:val="center"/>
          </w:tcPr>
          <w:p w14:paraId="57DC0A9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用于展示电站的充电实时状态，用于运维人员了解现状，合理安排运维任务。</w:t>
            </w:r>
          </w:p>
        </w:tc>
      </w:tr>
      <w:tr w14:paraId="392065D3">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5813E8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944850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B69381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运维工单</w:t>
            </w:r>
          </w:p>
        </w:tc>
        <w:tc>
          <w:tcPr>
            <w:tcW w:w="3137" w:type="dxa"/>
            <w:tcBorders>
              <w:top w:val="nil"/>
              <w:left w:val="nil"/>
              <w:bottom w:val="single" w:color="auto" w:sz="4" w:space="0"/>
              <w:right w:val="single" w:color="auto" w:sz="4" w:space="0"/>
            </w:tcBorders>
            <w:noWrap w:val="0"/>
            <w:vAlign w:val="center"/>
          </w:tcPr>
          <w:p w14:paraId="4B40EF7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针对充电场站的故障情况，自动生成运维工单。</w:t>
            </w:r>
          </w:p>
        </w:tc>
      </w:tr>
      <w:tr w14:paraId="4B9DF55F">
        <w:tblPrEx>
          <w:tblCellMar>
            <w:top w:w="0" w:type="dxa"/>
            <w:left w:w="108" w:type="dxa"/>
            <w:bottom w:w="0" w:type="dxa"/>
            <w:right w:w="108" w:type="dxa"/>
          </w:tblCellMar>
        </w:tblPrEx>
        <w:trPr>
          <w:cantSplit/>
          <w:trHeight w:val="1643"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563870B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统计分析</w:t>
            </w:r>
          </w:p>
        </w:tc>
        <w:tc>
          <w:tcPr>
            <w:tcW w:w="2141" w:type="dxa"/>
            <w:tcBorders>
              <w:top w:val="nil"/>
              <w:left w:val="nil"/>
              <w:bottom w:val="single" w:color="auto" w:sz="4" w:space="0"/>
              <w:right w:val="single" w:color="auto" w:sz="4" w:space="0"/>
            </w:tcBorders>
            <w:noWrap w:val="0"/>
            <w:vAlign w:val="center"/>
          </w:tcPr>
          <w:p w14:paraId="4724B71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业务分析</w:t>
            </w:r>
          </w:p>
        </w:tc>
        <w:tc>
          <w:tcPr>
            <w:tcW w:w="1741" w:type="dxa"/>
            <w:tcBorders>
              <w:top w:val="nil"/>
              <w:left w:val="nil"/>
              <w:bottom w:val="single" w:color="auto" w:sz="4" w:space="0"/>
              <w:right w:val="single" w:color="auto" w:sz="4" w:space="0"/>
            </w:tcBorders>
            <w:noWrap w:val="0"/>
            <w:vAlign w:val="center"/>
          </w:tcPr>
          <w:p w14:paraId="50F1A22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电站数据分析</w:t>
            </w:r>
          </w:p>
        </w:tc>
        <w:tc>
          <w:tcPr>
            <w:tcW w:w="3137" w:type="dxa"/>
            <w:tcBorders>
              <w:top w:val="nil"/>
              <w:left w:val="nil"/>
              <w:bottom w:val="single" w:color="auto" w:sz="4" w:space="0"/>
              <w:right w:val="single" w:color="auto" w:sz="4" w:space="0"/>
            </w:tcBorders>
            <w:noWrap w:val="0"/>
            <w:vAlign w:val="center"/>
          </w:tcPr>
          <w:p w14:paraId="6ECB856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对单个电站的运营情况进行分析，实现电站充电运营的汇总信息。包括充电次数日趋势分析、充电电量本月及上月日趋势分析、充电时长本月及上月日趋势分析、充电利用率本月及上月日趋势分析。</w:t>
            </w:r>
          </w:p>
        </w:tc>
      </w:tr>
      <w:tr w14:paraId="39BE7092">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BDA8B0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tcBorders>
              <w:top w:val="nil"/>
              <w:left w:val="nil"/>
              <w:bottom w:val="single" w:color="auto" w:sz="4" w:space="0"/>
              <w:right w:val="single" w:color="auto" w:sz="4" w:space="0"/>
            </w:tcBorders>
            <w:noWrap w:val="0"/>
            <w:vAlign w:val="center"/>
          </w:tcPr>
          <w:p w14:paraId="4933614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数据分析</w:t>
            </w:r>
          </w:p>
        </w:tc>
        <w:tc>
          <w:tcPr>
            <w:tcW w:w="1741" w:type="dxa"/>
            <w:tcBorders>
              <w:top w:val="nil"/>
              <w:left w:val="nil"/>
              <w:bottom w:val="single" w:color="auto" w:sz="4" w:space="0"/>
              <w:right w:val="single" w:color="auto" w:sz="4" w:space="0"/>
            </w:tcBorders>
            <w:noWrap w:val="0"/>
            <w:vAlign w:val="center"/>
          </w:tcPr>
          <w:p w14:paraId="5313B4A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充电功率分时分析</w:t>
            </w:r>
          </w:p>
        </w:tc>
        <w:tc>
          <w:tcPr>
            <w:tcW w:w="3137" w:type="dxa"/>
            <w:tcBorders>
              <w:top w:val="nil"/>
              <w:left w:val="nil"/>
              <w:bottom w:val="single" w:color="auto" w:sz="4" w:space="0"/>
              <w:right w:val="single" w:color="auto" w:sz="4" w:space="0"/>
            </w:tcBorders>
            <w:noWrap w:val="0"/>
            <w:vAlign w:val="center"/>
          </w:tcPr>
          <w:p w14:paraId="31B6AB5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以充电站为检索条件，按时间维度分析功率变化情况</w:t>
            </w:r>
          </w:p>
        </w:tc>
      </w:tr>
      <w:tr w14:paraId="1A73641D">
        <w:tblPrEx>
          <w:tblCellMar>
            <w:top w:w="0" w:type="dxa"/>
            <w:left w:w="108" w:type="dxa"/>
            <w:bottom w:w="0" w:type="dxa"/>
            <w:right w:w="108" w:type="dxa"/>
          </w:tblCellMar>
        </w:tblPrEx>
        <w:trPr>
          <w:cantSplit/>
          <w:trHeight w:val="16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F05AB65">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14B5015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运维统计报表</w:t>
            </w:r>
          </w:p>
        </w:tc>
        <w:tc>
          <w:tcPr>
            <w:tcW w:w="1741" w:type="dxa"/>
            <w:tcBorders>
              <w:top w:val="nil"/>
              <w:left w:val="nil"/>
              <w:bottom w:val="single" w:color="auto" w:sz="4" w:space="0"/>
              <w:right w:val="single" w:color="auto" w:sz="4" w:space="0"/>
            </w:tcBorders>
            <w:noWrap w:val="0"/>
            <w:vAlign w:val="center"/>
          </w:tcPr>
          <w:p w14:paraId="376B628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终端状态明细</w:t>
            </w:r>
          </w:p>
        </w:tc>
        <w:tc>
          <w:tcPr>
            <w:tcW w:w="3137" w:type="dxa"/>
            <w:tcBorders>
              <w:top w:val="nil"/>
              <w:left w:val="nil"/>
              <w:bottom w:val="single" w:color="auto" w:sz="4" w:space="0"/>
              <w:right w:val="single" w:color="auto" w:sz="4" w:space="0"/>
            </w:tcBorders>
            <w:noWrap w:val="0"/>
            <w:vAlign w:val="center"/>
          </w:tcPr>
          <w:p w14:paraId="4BBD645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提供终端状态明细统计报表，包括终端编号、名称、状态，状态变化时间、数据收集时间、上报时间、数据延迟时长、集控器地址、集控名称、电站编号、电站名称、所属城市、终端型号、充电接口、充电功率等</w:t>
            </w:r>
          </w:p>
        </w:tc>
      </w:tr>
      <w:tr w14:paraId="600FDE2A">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508428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DD6FAB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600F45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电站失败率</w:t>
            </w:r>
          </w:p>
        </w:tc>
        <w:tc>
          <w:tcPr>
            <w:tcW w:w="3137" w:type="dxa"/>
            <w:tcBorders>
              <w:top w:val="nil"/>
              <w:left w:val="nil"/>
              <w:bottom w:val="single" w:color="auto" w:sz="4" w:space="0"/>
              <w:right w:val="single" w:color="auto" w:sz="4" w:space="0"/>
            </w:tcBorders>
            <w:noWrap w:val="0"/>
            <w:vAlign w:val="center"/>
          </w:tcPr>
          <w:p w14:paraId="5414C44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提供电站失败率统计报表，包括电站详细信息、运营公司详细信息、终端详细信息、失败次数、失败率等</w:t>
            </w:r>
          </w:p>
        </w:tc>
      </w:tr>
      <w:tr w14:paraId="72193503">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76BEF78">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FCEC2A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AE4FA2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充电失败记录明细</w:t>
            </w:r>
          </w:p>
        </w:tc>
        <w:tc>
          <w:tcPr>
            <w:tcW w:w="3137" w:type="dxa"/>
            <w:tcBorders>
              <w:top w:val="nil"/>
              <w:left w:val="nil"/>
              <w:bottom w:val="single" w:color="auto" w:sz="4" w:space="0"/>
              <w:right w:val="single" w:color="auto" w:sz="4" w:space="0"/>
            </w:tcBorders>
            <w:noWrap w:val="0"/>
            <w:vAlign w:val="center"/>
          </w:tcPr>
          <w:p w14:paraId="737C88B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提供充电失败明细统计报表，包括订单编号、状态、设备信息、用户信息、充电时长、时间等</w:t>
            </w:r>
          </w:p>
        </w:tc>
      </w:tr>
      <w:tr w14:paraId="62E41637">
        <w:tblPrEx>
          <w:tblCellMar>
            <w:top w:w="0" w:type="dxa"/>
            <w:left w:w="108" w:type="dxa"/>
            <w:bottom w:w="0" w:type="dxa"/>
            <w:right w:w="108" w:type="dxa"/>
          </w:tblCellMar>
        </w:tblPrEx>
        <w:trPr>
          <w:cantSplit/>
          <w:trHeight w:val="14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E39C849">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2271E6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E9F175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设备故障信息</w:t>
            </w:r>
          </w:p>
        </w:tc>
        <w:tc>
          <w:tcPr>
            <w:tcW w:w="3137" w:type="dxa"/>
            <w:tcBorders>
              <w:top w:val="nil"/>
              <w:left w:val="nil"/>
              <w:bottom w:val="single" w:color="auto" w:sz="4" w:space="0"/>
              <w:right w:val="single" w:color="auto" w:sz="4" w:space="0"/>
            </w:tcBorders>
            <w:noWrap w:val="0"/>
            <w:vAlign w:val="center"/>
          </w:tcPr>
          <w:p w14:paraId="7729909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提供设备故障信息统计报表，包括电站编号、电站名称、集控器编号、名称、CAN地址、终端编号、名称、故障状态、故障发生时间、恢复时间、持续时间、恢复状态等</w:t>
            </w:r>
          </w:p>
        </w:tc>
      </w:tr>
      <w:tr w14:paraId="014CD249">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F5C7EE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968343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3F7148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集控器离网信息</w:t>
            </w:r>
          </w:p>
        </w:tc>
        <w:tc>
          <w:tcPr>
            <w:tcW w:w="3137" w:type="dxa"/>
            <w:tcBorders>
              <w:top w:val="nil"/>
              <w:left w:val="nil"/>
              <w:bottom w:val="single" w:color="auto" w:sz="4" w:space="0"/>
              <w:right w:val="single" w:color="auto" w:sz="4" w:space="0"/>
            </w:tcBorders>
            <w:noWrap w:val="0"/>
            <w:vAlign w:val="center"/>
          </w:tcPr>
          <w:p w14:paraId="1F2AD76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提供集控器其的离网信息统计，包括电站，集控器编号，名称，离线时间，上线时间等</w:t>
            </w:r>
          </w:p>
        </w:tc>
      </w:tr>
      <w:tr w14:paraId="39E9574D">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A4029D8">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69E63D6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运营统计报表</w:t>
            </w:r>
          </w:p>
        </w:tc>
        <w:tc>
          <w:tcPr>
            <w:tcW w:w="1741" w:type="dxa"/>
            <w:tcBorders>
              <w:top w:val="nil"/>
              <w:left w:val="nil"/>
              <w:bottom w:val="single" w:color="auto" w:sz="4" w:space="0"/>
              <w:right w:val="single" w:color="auto" w:sz="4" w:space="0"/>
            </w:tcBorders>
            <w:noWrap w:val="0"/>
            <w:vAlign w:val="center"/>
          </w:tcPr>
          <w:p w14:paraId="216FD5B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电站基本信息</w:t>
            </w:r>
          </w:p>
        </w:tc>
        <w:tc>
          <w:tcPr>
            <w:tcW w:w="3137" w:type="dxa"/>
            <w:tcBorders>
              <w:top w:val="nil"/>
              <w:left w:val="nil"/>
              <w:bottom w:val="single" w:color="auto" w:sz="4" w:space="0"/>
              <w:right w:val="single" w:color="auto" w:sz="4" w:space="0"/>
            </w:tcBorders>
            <w:noWrap w:val="0"/>
            <w:vAlign w:val="center"/>
          </w:tcPr>
          <w:p w14:paraId="3E3A247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提供电站详细信息查询统计，包括电站编号、名称、项目编号、所属城市、电站类型电站终端详情等</w:t>
            </w:r>
          </w:p>
        </w:tc>
      </w:tr>
      <w:tr w14:paraId="25FD6CEE">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6C77293">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60605EE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A442C9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电站历史数据</w:t>
            </w:r>
          </w:p>
        </w:tc>
        <w:tc>
          <w:tcPr>
            <w:tcW w:w="3137" w:type="dxa"/>
            <w:tcBorders>
              <w:top w:val="nil"/>
              <w:left w:val="nil"/>
              <w:bottom w:val="single" w:color="auto" w:sz="4" w:space="0"/>
              <w:right w:val="single" w:color="auto" w:sz="4" w:space="0"/>
            </w:tcBorders>
            <w:noWrap w:val="0"/>
            <w:vAlign w:val="center"/>
          </w:tcPr>
          <w:p w14:paraId="11F37B5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统计展示电站基本信息、历史订单数据。并可以做充电量日趋势分析、充电时长日趋势分析、利用率日趋势分析。</w:t>
            </w:r>
          </w:p>
        </w:tc>
      </w:tr>
      <w:tr w14:paraId="7306F8E9">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20C8FA9">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DF6295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783C7A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电站运营状况</w:t>
            </w:r>
          </w:p>
        </w:tc>
        <w:tc>
          <w:tcPr>
            <w:tcW w:w="3137" w:type="dxa"/>
            <w:tcBorders>
              <w:top w:val="nil"/>
              <w:left w:val="nil"/>
              <w:bottom w:val="single" w:color="auto" w:sz="4" w:space="0"/>
              <w:right w:val="single" w:color="auto" w:sz="4" w:space="0"/>
            </w:tcBorders>
            <w:noWrap w:val="0"/>
            <w:vAlign w:val="center"/>
          </w:tcPr>
          <w:p w14:paraId="32F1896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用于查询分析电站运营的运营汇总数据。</w:t>
            </w:r>
          </w:p>
        </w:tc>
      </w:tr>
      <w:tr w14:paraId="3CB85E36">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B9D734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941E97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2BB105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运营电站利用率</w:t>
            </w:r>
          </w:p>
        </w:tc>
        <w:tc>
          <w:tcPr>
            <w:tcW w:w="3137" w:type="dxa"/>
            <w:tcBorders>
              <w:top w:val="nil"/>
              <w:left w:val="nil"/>
              <w:bottom w:val="single" w:color="auto" w:sz="4" w:space="0"/>
              <w:right w:val="single" w:color="auto" w:sz="4" w:space="0"/>
            </w:tcBorders>
            <w:noWrap w:val="0"/>
            <w:vAlign w:val="center"/>
          </w:tcPr>
          <w:p w14:paraId="41A4945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查看运营电站的充电利用率，包括时间利用率和功率利用率等</w:t>
            </w:r>
          </w:p>
        </w:tc>
      </w:tr>
      <w:tr w14:paraId="6671865E">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67A3A60">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D8D30B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C63AA0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运营终端利用率</w:t>
            </w:r>
          </w:p>
        </w:tc>
        <w:tc>
          <w:tcPr>
            <w:tcW w:w="3137" w:type="dxa"/>
            <w:tcBorders>
              <w:top w:val="nil"/>
              <w:left w:val="nil"/>
              <w:bottom w:val="single" w:color="auto" w:sz="4" w:space="0"/>
              <w:right w:val="single" w:color="auto" w:sz="4" w:space="0"/>
            </w:tcBorders>
            <w:noWrap w:val="0"/>
            <w:vAlign w:val="center"/>
          </w:tcPr>
          <w:p w14:paraId="3EB1FA4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查看运营终端的充电利用率，包括时间利用率和功率利用率等</w:t>
            </w:r>
          </w:p>
        </w:tc>
      </w:tr>
      <w:tr w14:paraId="383BD89B">
        <w:tblPrEx>
          <w:tblCellMar>
            <w:top w:w="0" w:type="dxa"/>
            <w:left w:w="108" w:type="dxa"/>
            <w:bottom w:w="0" w:type="dxa"/>
            <w:right w:w="108" w:type="dxa"/>
          </w:tblCellMar>
        </w:tblPrEx>
        <w:trPr>
          <w:cantSplit/>
          <w:trHeight w:val="16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102C42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BDCC89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9645BF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充电记录尖峰平谷信息</w:t>
            </w:r>
          </w:p>
        </w:tc>
        <w:tc>
          <w:tcPr>
            <w:tcW w:w="3137" w:type="dxa"/>
            <w:tcBorders>
              <w:top w:val="nil"/>
              <w:left w:val="nil"/>
              <w:bottom w:val="single" w:color="auto" w:sz="4" w:space="0"/>
              <w:right w:val="single" w:color="auto" w:sz="4" w:space="0"/>
            </w:tcBorders>
            <w:noWrap w:val="0"/>
            <w:vAlign w:val="center"/>
          </w:tcPr>
          <w:p w14:paraId="6F178A9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按运营公司，电站名称，充电开始时间，充电结束时间等维度统计尖峰平谷各个时间段的总电量和总电费，可按照电站，开始时间，结束时间等丰富的筛选查询条件，过滤输出充电记录尖峰平谷统计报表</w:t>
            </w:r>
          </w:p>
        </w:tc>
      </w:tr>
      <w:tr w14:paraId="4204CB39">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E39208D">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8C5F44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A1D86C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车辆充电尖峰平谷统计</w:t>
            </w:r>
          </w:p>
        </w:tc>
        <w:tc>
          <w:tcPr>
            <w:tcW w:w="3137" w:type="dxa"/>
            <w:tcBorders>
              <w:top w:val="nil"/>
              <w:left w:val="nil"/>
              <w:bottom w:val="single" w:color="auto" w:sz="4" w:space="0"/>
              <w:right w:val="single" w:color="auto" w:sz="4" w:space="0"/>
            </w:tcBorders>
            <w:noWrap w:val="0"/>
            <w:vAlign w:val="center"/>
          </w:tcPr>
          <w:p w14:paraId="59AFE95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统计车辆的尖峰平谷充电记录，可按路线，按车架号，按车牌，按时间等条件查询，用于单车分析考核。</w:t>
            </w:r>
          </w:p>
        </w:tc>
      </w:tr>
      <w:tr w14:paraId="6D3DA2E4">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A53C47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9D3239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E0B9BC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充电记录明细（全部）</w:t>
            </w:r>
          </w:p>
        </w:tc>
        <w:tc>
          <w:tcPr>
            <w:tcW w:w="3137" w:type="dxa"/>
            <w:tcBorders>
              <w:top w:val="nil"/>
              <w:left w:val="nil"/>
              <w:bottom w:val="single" w:color="auto" w:sz="4" w:space="0"/>
              <w:right w:val="single" w:color="auto" w:sz="4" w:space="0"/>
            </w:tcBorders>
            <w:noWrap w:val="0"/>
            <w:vAlign w:val="center"/>
          </w:tcPr>
          <w:p w14:paraId="5C87FCC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该功能用于统计所有充电订单信息，包括充电中的订单和已完成的订单，还支持筛选出异常订单用于分析。</w:t>
            </w:r>
          </w:p>
        </w:tc>
      </w:tr>
      <w:tr w14:paraId="338757CB">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EABC27C">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1C9E3D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3FE253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充电成功记录明细</w:t>
            </w:r>
          </w:p>
        </w:tc>
        <w:tc>
          <w:tcPr>
            <w:tcW w:w="3137" w:type="dxa"/>
            <w:tcBorders>
              <w:top w:val="nil"/>
              <w:left w:val="nil"/>
              <w:bottom w:val="single" w:color="auto" w:sz="4" w:space="0"/>
              <w:right w:val="single" w:color="auto" w:sz="4" w:space="0"/>
            </w:tcBorders>
            <w:noWrap w:val="0"/>
            <w:vAlign w:val="center"/>
          </w:tcPr>
          <w:p w14:paraId="1C23078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提供充电明细统计报表，包括订单编号、状态、设备信息、用户信息、充电时长、充电策略、订单费用等</w:t>
            </w:r>
          </w:p>
        </w:tc>
      </w:tr>
      <w:tr w14:paraId="766E324F">
        <w:tblPrEx>
          <w:tblCellMar>
            <w:top w:w="0" w:type="dxa"/>
            <w:left w:w="108" w:type="dxa"/>
            <w:bottom w:w="0" w:type="dxa"/>
            <w:right w:w="108" w:type="dxa"/>
          </w:tblCellMar>
        </w:tblPrEx>
        <w:trPr>
          <w:cantSplit/>
          <w:trHeight w:val="476"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4D09082B">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财务管理</w:t>
            </w:r>
          </w:p>
        </w:tc>
        <w:tc>
          <w:tcPr>
            <w:tcW w:w="2141" w:type="dxa"/>
            <w:vMerge w:val="restart"/>
            <w:tcBorders>
              <w:top w:val="nil"/>
              <w:left w:val="single" w:color="auto" w:sz="4" w:space="0"/>
              <w:bottom w:val="single" w:color="auto" w:sz="4" w:space="0"/>
              <w:right w:val="single" w:color="auto" w:sz="4" w:space="0"/>
            </w:tcBorders>
            <w:noWrap w:val="0"/>
            <w:vAlign w:val="center"/>
          </w:tcPr>
          <w:p w14:paraId="12C6FB4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账户管理</w:t>
            </w:r>
          </w:p>
        </w:tc>
        <w:tc>
          <w:tcPr>
            <w:tcW w:w="1741" w:type="dxa"/>
            <w:tcBorders>
              <w:top w:val="nil"/>
              <w:left w:val="nil"/>
              <w:bottom w:val="single" w:color="auto" w:sz="4" w:space="0"/>
              <w:right w:val="single" w:color="auto" w:sz="4" w:space="0"/>
            </w:tcBorders>
            <w:noWrap w:val="0"/>
            <w:vAlign w:val="center"/>
          </w:tcPr>
          <w:p w14:paraId="3FE684C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企业客户管理</w:t>
            </w:r>
          </w:p>
        </w:tc>
        <w:tc>
          <w:tcPr>
            <w:tcW w:w="3137" w:type="dxa"/>
            <w:tcBorders>
              <w:top w:val="nil"/>
              <w:left w:val="nil"/>
              <w:bottom w:val="single" w:color="auto" w:sz="4" w:space="0"/>
              <w:right w:val="single" w:color="auto" w:sz="4" w:space="0"/>
            </w:tcBorders>
            <w:noWrap w:val="0"/>
            <w:vAlign w:val="center"/>
          </w:tcPr>
          <w:p w14:paraId="17729CB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支持企业客户的新增，编辑，人员管理等功能</w:t>
            </w:r>
          </w:p>
        </w:tc>
      </w:tr>
      <w:tr w14:paraId="4E4F3C07">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8D493B9">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07C6A8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6E0DE2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企业账户一览</w:t>
            </w:r>
          </w:p>
        </w:tc>
        <w:tc>
          <w:tcPr>
            <w:tcW w:w="3137" w:type="dxa"/>
            <w:tcBorders>
              <w:top w:val="nil"/>
              <w:left w:val="nil"/>
              <w:bottom w:val="single" w:color="auto" w:sz="4" w:space="0"/>
              <w:right w:val="single" w:color="auto" w:sz="4" w:space="0"/>
            </w:tcBorders>
            <w:noWrap w:val="0"/>
            <w:vAlign w:val="center"/>
          </w:tcPr>
          <w:p w14:paraId="4039F49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查看管理企业客户信息及账户余额</w:t>
            </w:r>
          </w:p>
        </w:tc>
      </w:tr>
      <w:tr w14:paraId="42A42B67">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1BE5CC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2CFDB0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71775B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企业信用账户管理</w:t>
            </w:r>
          </w:p>
        </w:tc>
        <w:tc>
          <w:tcPr>
            <w:tcW w:w="3137" w:type="dxa"/>
            <w:tcBorders>
              <w:top w:val="nil"/>
              <w:left w:val="nil"/>
              <w:bottom w:val="single" w:color="auto" w:sz="4" w:space="0"/>
              <w:right w:val="single" w:color="auto" w:sz="4" w:space="0"/>
            </w:tcBorders>
            <w:noWrap w:val="0"/>
            <w:vAlign w:val="center"/>
          </w:tcPr>
          <w:p w14:paraId="3CC84B0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开通管理信用的企业账户状态及额度。</w:t>
            </w:r>
          </w:p>
        </w:tc>
      </w:tr>
      <w:tr w14:paraId="48BF3837">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C3676C0">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7AA305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C6E829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企业信用额度设置审核</w:t>
            </w:r>
          </w:p>
        </w:tc>
        <w:tc>
          <w:tcPr>
            <w:tcW w:w="3137" w:type="dxa"/>
            <w:tcBorders>
              <w:top w:val="nil"/>
              <w:left w:val="nil"/>
              <w:bottom w:val="single" w:color="auto" w:sz="4" w:space="0"/>
              <w:right w:val="single" w:color="auto" w:sz="4" w:space="0"/>
            </w:tcBorders>
            <w:noWrap w:val="0"/>
            <w:vAlign w:val="center"/>
          </w:tcPr>
          <w:p w14:paraId="7BE32C1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对申请开通信用的企业账户额度进行审核。</w:t>
            </w:r>
          </w:p>
        </w:tc>
      </w:tr>
      <w:tr w14:paraId="3FE91381">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11FE442">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06C65F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5938E37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信用额度调整申请</w:t>
            </w:r>
          </w:p>
        </w:tc>
        <w:tc>
          <w:tcPr>
            <w:tcW w:w="3137" w:type="dxa"/>
            <w:tcBorders>
              <w:top w:val="nil"/>
              <w:left w:val="nil"/>
              <w:bottom w:val="single" w:color="auto" w:sz="4" w:space="0"/>
              <w:right w:val="single" w:color="auto" w:sz="4" w:space="0"/>
            </w:tcBorders>
            <w:noWrap w:val="0"/>
            <w:vAlign w:val="center"/>
          </w:tcPr>
          <w:p w14:paraId="67BB730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查看进行信用额度调整申请的企业数据</w:t>
            </w:r>
          </w:p>
        </w:tc>
      </w:tr>
      <w:tr w14:paraId="06C536FA">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178730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E4F4BD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82A236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企业信用额度调整审核</w:t>
            </w:r>
          </w:p>
        </w:tc>
        <w:tc>
          <w:tcPr>
            <w:tcW w:w="3137" w:type="dxa"/>
            <w:tcBorders>
              <w:top w:val="nil"/>
              <w:left w:val="nil"/>
              <w:bottom w:val="single" w:color="auto" w:sz="4" w:space="0"/>
              <w:right w:val="single" w:color="auto" w:sz="4" w:space="0"/>
            </w:tcBorders>
            <w:noWrap w:val="0"/>
            <w:vAlign w:val="center"/>
          </w:tcPr>
          <w:p w14:paraId="527640E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对申请调整信用额度的企业账户进行审核</w:t>
            </w:r>
          </w:p>
        </w:tc>
      </w:tr>
      <w:tr w14:paraId="600A0AA1">
        <w:tblPrEx>
          <w:tblCellMar>
            <w:top w:w="0" w:type="dxa"/>
            <w:left w:w="108" w:type="dxa"/>
            <w:bottom w:w="0" w:type="dxa"/>
            <w:right w:w="108" w:type="dxa"/>
          </w:tblCellMar>
        </w:tblPrEx>
        <w:trPr>
          <w:cantSplit/>
          <w:trHeight w:val="710"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BA074B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5B2A46C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财务管理</w:t>
            </w:r>
          </w:p>
        </w:tc>
        <w:tc>
          <w:tcPr>
            <w:tcW w:w="1741" w:type="dxa"/>
            <w:tcBorders>
              <w:top w:val="nil"/>
              <w:left w:val="nil"/>
              <w:bottom w:val="single" w:color="auto" w:sz="4" w:space="0"/>
              <w:right w:val="single" w:color="auto" w:sz="4" w:space="0"/>
            </w:tcBorders>
            <w:noWrap w:val="0"/>
            <w:vAlign w:val="center"/>
          </w:tcPr>
          <w:p w14:paraId="6F7C104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账户信息汇总</w:t>
            </w:r>
          </w:p>
        </w:tc>
        <w:tc>
          <w:tcPr>
            <w:tcW w:w="3137" w:type="dxa"/>
            <w:tcBorders>
              <w:top w:val="nil"/>
              <w:left w:val="nil"/>
              <w:bottom w:val="single" w:color="auto" w:sz="4" w:space="0"/>
              <w:right w:val="single" w:color="auto" w:sz="4" w:space="0"/>
            </w:tcBorders>
            <w:noWrap w:val="0"/>
            <w:vAlign w:val="center"/>
          </w:tcPr>
          <w:p w14:paraId="074F4DF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查看本公司所有账户的信息汇总数据，包括充值，消费，余额等</w:t>
            </w:r>
          </w:p>
        </w:tc>
      </w:tr>
      <w:tr w14:paraId="658D9E68">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5A5D2C9">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5918EF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438FB1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账户充值明细</w:t>
            </w:r>
          </w:p>
        </w:tc>
        <w:tc>
          <w:tcPr>
            <w:tcW w:w="3137" w:type="dxa"/>
            <w:tcBorders>
              <w:top w:val="nil"/>
              <w:left w:val="nil"/>
              <w:bottom w:val="single" w:color="auto" w:sz="4" w:space="0"/>
              <w:right w:val="single" w:color="auto" w:sz="4" w:space="0"/>
            </w:tcBorders>
            <w:noWrap w:val="0"/>
            <w:vAlign w:val="center"/>
          </w:tcPr>
          <w:p w14:paraId="2BB4284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此报表用来展示所有充值记录明细信息。</w:t>
            </w:r>
          </w:p>
        </w:tc>
      </w:tr>
      <w:tr w14:paraId="32A1A76E">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EA5EED8">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2A93A46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CA42C3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账户退款明细</w:t>
            </w:r>
          </w:p>
        </w:tc>
        <w:tc>
          <w:tcPr>
            <w:tcW w:w="3137" w:type="dxa"/>
            <w:tcBorders>
              <w:top w:val="nil"/>
              <w:left w:val="nil"/>
              <w:bottom w:val="single" w:color="auto" w:sz="4" w:space="0"/>
              <w:right w:val="single" w:color="auto" w:sz="4" w:space="0"/>
            </w:tcBorders>
            <w:noWrap w:val="0"/>
            <w:vAlign w:val="center"/>
          </w:tcPr>
          <w:p w14:paraId="3B38901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查询所有账户的退款信息</w:t>
            </w:r>
          </w:p>
        </w:tc>
      </w:tr>
      <w:tr w14:paraId="2CBF9A88">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B6AD60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7165CB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B9509F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订单扣费明细</w:t>
            </w:r>
          </w:p>
        </w:tc>
        <w:tc>
          <w:tcPr>
            <w:tcW w:w="3137" w:type="dxa"/>
            <w:tcBorders>
              <w:top w:val="nil"/>
              <w:left w:val="nil"/>
              <w:bottom w:val="single" w:color="auto" w:sz="4" w:space="0"/>
              <w:right w:val="single" w:color="auto" w:sz="4" w:space="0"/>
            </w:tcBorders>
            <w:noWrap w:val="0"/>
            <w:vAlign w:val="center"/>
          </w:tcPr>
          <w:p w14:paraId="521D0D4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用户查询每条订单的详细扣费信息</w:t>
            </w:r>
          </w:p>
        </w:tc>
      </w:tr>
      <w:tr w14:paraId="1ACBD4C4">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D9FEA3C">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3F7831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4F48B8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账单</w:t>
            </w:r>
          </w:p>
        </w:tc>
        <w:tc>
          <w:tcPr>
            <w:tcW w:w="3137" w:type="dxa"/>
            <w:tcBorders>
              <w:top w:val="nil"/>
              <w:left w:val="nil"/>
              <w:bottom w:val="single" w:color="auto" w:sz="4" w:space="0"/>
              <w:right w:val="single" w:color="auto" w:sz="4" w:space="0"/>
            </w:tcBorders>
            <w:noWrap w:val="0"/>
            <w:vAlign w:val="center"/>
          </w:tcPr>
          <w:p w14:paraId="4342507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查看企业信用账户消费情况及生成的账单信息。并可以发起还款、查看收款单、发送邮件通知以及核销账单等</w:t>
            </w:r>
          </w:p>
        </w:tc>
      </w:tr>
      <w:tr w14:paraId="4CD0D98B">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3CB71830">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4F684AE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个人收退款</w:t>
            </w:r>
          </w:p>
        </w:tc>
        <w:tc>
          <w:tcPr>
            <w:tcW w:w="1741" w:type="dxa"/>
            <w:tcBorders>
              <w:top w:val="nil"/>
              <w:left w:val="nil"/>
              <w:bottom w:val="single" w:color="auto" w:sz="4" w:space="0"/>
              <w:right w:val="single" w:color="auto" w:sz="4" w:space="0"/>
            </w:tcBorders>
            <w:noWrap w:val="0"/>
            <w:vAlign w:val="center"/>
          </w:tcPr>
          <w:p w14:paraId="7350D00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个人充值退款</w:t>
            </w:r>
          </w:p>
        </w:tc>
        <w:tc>
          <w:tcPr>
            <w:tcW w:w="3137" w:type="dxa"/>
            <w:tcBorders>
              <w:top w:val="nil"/>
              <w:left w:val="nil"/>
              <w:bottom w:val="single" w:color="auto" w:sz="4" w:space="0"/>
              <w:right w:val="single" w:color="auto" w:sz="4" w:space="0"/>
            </w:tcBorders>
            <w:noWrap w:val="0"/>
            <w:vAlign w:val="center"/>
          </w:tcPr>
          <w:p w14:paraId="5E5D858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运营人员可以通过这个功能处理针对个人账户发起充值和退款申请，并根据申请的结果来完成充值和退款操作。</w:t>
            </w:r>
          </w:p>
        </w:tc>
      </w:tr>
      <w:tr w14:paraId="5C45D473">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782BF97">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7BADFE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37D654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个人充值管理</w:t>
            </w:r>
          </w:p>
        </w:tc>
        <w:tc>
          <w:tcPr>
            <w:tcW w:w="3137" w:type="dxa"/>
            <w:tcBorders>
              <w:top w:val="nil"/>
              <w:left w:val="nil"/>
              <w:bottom w:val="single" w:color="auto" w:sz="4" w:space="0"/>
              <w:right w:val="single" w:color="auto" w:sz="4" w:space="0"/>
            </w:tcBorders>
            <w:noWrap w:val="0"/>
            <w:vAlign w:val="center"/>
          </w:tcPr>
          <w:p w14:paraId="0BD1BB8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对个人充值订单进行管理</w:t>
            </w:r>
          </w:p>
        </w:tc>
      </w:tr>
      <w:tr w14:paraId="1D37B3D4">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AC94E5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00A7B0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5C82A92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个人充值审核</w:t>
            </w:r>
          </w:p>
        </w:tc>
        <w:tc>
          <w:tcPr>
            <w:tcW w:w="3137" w:type="dxa"/>
            <w:tcBorders>
              <w:top w:val="nil"/>
              <w:left w:val="nil"/>
              <w:bottom w:val="single" w:color="auto" w:sz="4" w:space="0"/>
              <w:right w:val="single" w:color="auto" w:sz="4" w:space="0"/>
            </w:tcBorders>
            <w:noWrap w:val="0"/>
            <w:vAlign w:val="center"/>
          </w:tcPr>
          <w:p w14:paraId="1B4D3C1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对个人充值订单进行审核</w:t>
            </w:r>
          </w:p>
        </w:tc>
      </w:tr>
      <w:tr w14:paraId="708C2BC2">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8311171">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EAA064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2D60FB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个人充值记账</w:t>
            </w:r>
          </w:p>
        </w:tc>
        <w:tc>
          <w:tcPr>
            <w:tcW w:w="3137" w:type="dxa"/>
            <w:tcBorders>
              <w:top w:val="nil"/>
              <w:left w:val="nil"/>
              <w:bottom w:val="single" w:color="auto" w:sz="4" w:space="0"/>
              <w:right w:val="single" w:color="auto" w:sz="4" w:space="0"/>
            </w:tcBorders>
            <w:noWrap w:val="0"/>
            <w:vAlign w:val="center"/>
          </w:tcPr>
          <w:p w14:paraId="5AEFAEC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对个人充值订单进行记账</w:t>
            </w:r>
          </w:p>
        </w:tc>
      </w:tr>
      <w:tr w14:paraId="632F2B4E">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5D2D8A6">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1B56893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50DCD0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个人退款管理</w:t>
            </w:r>
          </w:p>
        </w:tc>
        <w:tc>
          <w:tcPr>
            <w:tcW w:w="3137" w:type="dxa"/>
            <w:tcBorders>
              <w:top w:val="nil"/>
              <w:left w:val="nil"/>
              <w:bottom w:val="single" w:color="auto" w:sz="4" w:space="0"/>
              <w:right w:val="single" w:color="auto" w:sz="4" w:space="0"/>
            </w:tcBorders>
            <w:noWrap w:val="0"/>
            <w:vAlign w:val="center"/>
          </w:tcPr>
          <w:p w14:paraId="0CEFC1BC">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对个人退款订单进行管理</w:t>
            </w:r>
          </w:p>
        </w:tc>
      </w:tr>
      <w:tr w14:paraId="3B43CD38">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26E1BE9">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854D19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C96720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个人退款审核</w:t>
            </w:r>
          </w:p>
        </w:tc>
        <w:tc>
          <w:tcPr>
            <w:tcW w:w="3137" w:type="dxa"/>
            <w:tcBorders>
              <w:top w:val="nil"/>
              <w:left w:val="nil"/>
              <w:bottom w:val="single" w:color="auto" w:sz="4" w:space="0"/>
              <w:right w:val="single" w:color="auto" w:sz="4" w:space="0"/>
            </w:tcBorders>
            <w:noWrap w:val="0"/>
            <w:vAlign w:val="center"/>
          </w:tcPr>
          <w:p w14:paraId="1172733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对个人退款订单进行审核</w:t>
            </w:r>
          </w:p>
        </w:tc>
      </w:tr>
      <w:tr w14:paraId="0589AA0E">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D5900D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30E5A63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50E834A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个人退款记账</w:t>
            </w:r>
          </w:p>
        </w:tc>
        <w:tc>
          <w:tcPr>
            <w:tcW w:w="3137" w:type="dxa"/>
            <w:tcBorders>
              <w:top w:val="nil"/>
              <w:left w:val="nil"/>
              <w:bottom w:val="single" w:color="auto" w:sz="4" w:space="0"/>
              <w:right w:val="single" w:color="auto" w:sz="4" w:space="0"/>
            </w:tcBorders>
            <w:noWrap w:val="0"/>
            <w:vAlign w:val="center"/>
          </w:tcPr>
          <w:p w14:paraId="14948CC7">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对个人退款订单进行记账</w:t>
            </w:r>
          </w:p>
        </w:tc>
      </w:tr>
      <w:tr w14:paraId="1D25F605">
        <w:tblPrEx>
          <w:tblCellMar>
            <w:top w:w="0" w:type="dxa"/>
            <w:left w:w="108" w:type="dxa"/>
            <w:bottom w:w="0" w:type="dxa"/>
            <w:right w:w="108" w:type="dxa"/>
          </w:tblCellMar>
        </w:tblPrEx>
        <w:trPr>
          <w:cantSplit/>
          <w:trHeight w:val="943"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62D360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restart"/>
            <w:tcBorders>
              <w:top w:val="nil"/>
              <w:left w:val="single" w:color="auto" w:sz="4" w:space="0"/>
              <w:bottom w:val="single" w:color="auto" w:sz="4" w:space="0"/>
              <w:right w:val="single" w:color="auto" w:sz="4" w:space="0"/>
            </w:tcBorders>
            <w:noWrap w:val="0"/>
            <w:vAlign w:val="center"/>
          </w:tcPr>
          <w:p w14:paraId="31E795E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企业收退款</w:t>
            </w:r>
          </w:p>
        </w:tc>
        <w:tc>
          <w:tcPr>
            <w:tcW w:w="1741" w:type="dxa"/>
            <w:tcBorders>
              <w:top w:val="nil"/>
              <w:left w:val="nil"/>
              <w:bottom w:val="single" w:color="auto" w:sz="4" w:space="0"/>
              <w:right w:val="single" w:color="auto" w:sz="4" w:space="0"/>
            </w:tcBorders>
            <w:noWrap w:val="0"/>
            <w:vAlign w:val="center"/>
          </w:tcPr>
          <w:p w14:paraId="103C38B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企业充值退款</w:t>
            </w:r>
          </w:p>
        </w:tc>
        <w:tc>
          <w:tcPr>
            <w:tcW w:w="3137" w:type="dxa"/>
            <w:tcBorders>
              <w:top w:val="nil"/>
              <w:left w:val="nil"/>
              <w:bottom w:val="single" w:color="auto" w:sz="4" w:space="0"/>
              <w:right w:val="single" w:color="auto" w:sz="4" w:space="0"/>
            </w:tcBorders>
            <w:noWrap w:val="0"/>
            <w:vAlign w:val="center"/>
          </w:tcPr>
          <w:p w14:paraId="7EBAB71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运营人员可以通过这个功能处理针对企业账户发起充值和退款申请，并根据申请的结果来完成充值和退款操作。</w:t>
            </w:r>
          </w:p>
        </w:tc>
      </w:tr>
      <w:tr w14:paraId="7A404B1F">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071A5764">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4168FD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AED2B2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企业充值管理</w:t>
            </w:r>
          </w:p>
        </w:tc>
        <w:tc>
          <w:tcPr>
            <w:tcW w:w="3137" w:type="dxa"/>
            <w:tcBorders>
              <w:top w:val="nil"/>
              <w:left w:val="nil"/>
              <w:bottom w:val="single" w:color="auto" w:sz="4" w:space="0"/>
              <w:right w:val="single" w:color="auto" w:sz="4" w:space="0"/>
            </w:tcBorders>
            <w:noWrap w:val="0"/>
            <w:vAlign w:val="center"/>
          </w:tcPr>
          <w:p w14:paraId="4ECD3D9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对企业充值订单进行管理</w:t>
            </w:r>
          </w:p>
        </w:tc>
      </w:tr>
      <w:tr w14:paraId="44AF3A43">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04ECA66">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BDE2FB6">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6B2329A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企业充值审核</w:t>
            </w:r>
          </w:p>
        </w:tc>
        <w:tc>
          <w:tcPr>
            <w:tcW w:w="3137" w:type="dxa"/>
            <w:tcBorders>
              <w:top w:val="nil"/>
              <w:left w:val="nil"/>
              <w:bottom w:val="single" w:color="auto" w:sz="4" w:space="0"/>
              <w:right w:val="single" w:color="auto" w:sz="4" w:space="0"/>
            </w:tcBorders>
            <w:noWrap w:val="0"/>
            <w:vAlign w:val="center"/>
          </w:tcPr>
          <w:p w14:paraId="35CFD65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对企业充值订单进行审核</w:t>
            </w:r>
          </w:p>
        </w:tc>
      </w:tr>
      <w:tr w14:paraId="2AA33D04">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126DAFF1">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35143F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F3B04C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企业充值记账</w:t>
            </w:r>
          </w:p>
        </w:tc>
        <w:tc>
          <w:tcPr>
            <w:tcW w:w="3137" w:type="dxa"/>
            <w:tcBorders>
              <w:top w:val="nil"/>
              <w:left w:val="nil"/>
              <w:bottom w:val="single" w:color="auto" w:sz="4" w:space="0"/>
              <w:right w:val="single" w:color="auto" w:sz="4" w:space="0"/>
            </w:tcBorders>
            <w:noWrap w:val="0"/>
            <w:vAlign w:val="center"/>
          </w:tcPr>
          <w:p w14:paraId="192CAA6D">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对企业充值订单进行记账</w:t>
            </w:r>
          </w:p>
        </w:tc>
      </w:tr>
      <w:tr w14:paraId="5C75738C">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613C1CBB">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81A99D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461E18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企业退款管理</w:t>
            </w:r>
          </w:p>
        </w:tc>
        <w:tc>
          <w:tcPr>
            <w:tcW w:w="3137" w:type="dxa"/>
            <w:tcBorders>
              <w:top w:val="nil"/>
              <w:left w:val="nil"/>
              <w:bottom w:val="single" w:color="auto" w:sz="4" w:space="0"/>
              <w:right w:val="single" w:color="auto" w:sz="4" w:space="0"/>
            </w:tcBorders>
            <w:noWrap w:val="0"/>
            <w:vAlign w:val="center"/>
          </w:tcPr>
          <w:p w14:paraId="415FAE4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对企业退款订单进行管理</w:t>
            </w:r>
          </w:p>
        </w:tc>
      </w:tr>
      <w:tr w14:paraId="39F20F50">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513FFAC6">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EB76F0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4FC47F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企业退款审核</w:t>
            </w:r>
          </w:p>
        </w:tc>
        <w:tc>
          <w:tcPr>
            <w:tcW w:w="3137" w:type="dxa"/>
            <w:tcBorders>
              <w:top w:val="nil"/>
              <w:left w:val="nil"/>
              <w:bottom w:val="single" w:color="auto" w:sz="4" w:space="0"/>
              <w:right w:val="single" w:color="auto" w:sz="4" w:space="0"/>
            </w:tcBorders>
            <w:noWrap w:val="0"/>
            <w:vAlign w:val="center"/>
          </w:tcPr>
          <w:p w14:paraId="59B2115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对企业退款订单进行审核</w:t>
            </w:r>
          </w:p>
        </w:tc>
      </w:tr>
      <w:tr w14:paraId="3D33695C">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D93AF9E">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47C69D1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722C13D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企业退款记账</w:t>
            </w:r>
          </w:p>
        </w:tc>
        <w:tc>
          <w:tcPr>
            <w:tcW w:w="3137" w:type="dxa"/>
            <w:tcBorders>
              <w:top w:val="nil"/>
              <w:left w:val="nil"/>
              <w:bottom w:val="single" w:color="auto" w:sz="4" w:space="0"/>
              <w:right w:val="single" w:color="auto" w:sz="4" w:space="0"/>
            </w:tcBorders>
            <w:noWrap w:val="0"/>
            <w:vAlign w:val="center"/>
          </w:tcPr>
          <w:p w14:paraId="4BA6847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对企业退款订单进行记账</w:t>
            </w:r>
          </w:p>
        </w:tc>
      </w:tr>
      <w:tr w14:paraId="31D41486">
        <w:tblPrEx>
          <w:tblCellMar>
            <w:top w:w="0" w:type="dxa"/>
            <w:left w:w="108" w:type="dxa"/>
            <w:bottom w:w="0" w:type="dxa"/>
            <w:right w:w="108" w:type="dxa"/>
          </w:tblCellMar>
        </w:tblPrEx>
        <w:trPr>
          <w:cantSplit/>
          <w:trHeight w:val="1526" w:hRule="atLeast"/>
        </w:trPr>
        <w:tc>
          <w:tcPr>
            <w:tcW w:w="2037" w:type="dxa"/>
            <w:tcBorders>
              <w:top w:val="nil"/>
              <w:left w:val="single" w:color="auto" w:sz="4" w:space="0"/>
              <w:bottom w:val="single" w:color="auto" w:sz="4" w:space="0"/>
              <w:right w:val="single" w:color="auto" w:sz="4" w:space="0"/>
            </w:tcBorders>
            <w:noWrap w:val="0"/>
            <w:vAlign w:val="center"/>
          </w:tcPr>
          <w:p w14:paraId="1E1AB2E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大数据平台</w:t>
            </w:r>
          </w:p>
        </w:tc>
        <w:tc>
          <w:tcPr>
            <w:tcW w:w="2141" w:type="dxa"/>
            <w:tcBorders>
              <w:top w:val="nil"/>
              <w:left w:val="nil"/>
              <w:bottom w:val="single" w:color="auto" w:sz="4" w:space="0"/>
              <w:right w:val="single" w:color="auto" w:sz="4" w:space="0"/>
            </w:tcBorders>
            <w:noWrap w:val="0"/>
            <w:vAlign w:val="center"/>
          </w:tcPr>
          <w:p w14:paraId="2E04F61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大数据分析</w:t>
            </w:r>
          </w:p>
        </w:tc>
        <w:tc>
          <w:tcPr>
            <w:tcW w:w="1741" w:type="dxa"/>
            <w:tcBorders>
              <w:top w:val="nil"/>
              <w:left w:val="nil"/>
              <w:bottom w:val="single" w:color="auto" w:sz="4" w:space="0"/>
              <w:right w:val="single" w:color="auto" w:sz="4" w:space="0"/>
            </w:tcBorders>
            <w:noWrap w:val="0"/>
            <w:vAlign w:val="center"/>
          </w:tcPr>
          <w:p w14:paraId="141DEEB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主动防护分析</w:t>
            </w:r>
          </w:p>
        </w:tc>
        <w:tc>
          <w:tcPr>
            <w:tcW w:w="3137" w:type="dxa"/>
            <w:tcBorders>
              <w:top w:val="nil"/>
              <w:left w:val="nil"/>
              <w:bottom w:val="single" w:color="auto" w:sz="4" w:space="0"/>
              <w:right w:val="single" w:color="auto" w:sz="4" w:space="0"/>
            </w:tcBorders>
            <w:noWrap w:val="0"/>
            <w:vAlign w:val="center"/>
          </w:tcPr>
          <w:p w14:paraId="4E1D0D9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利用大数据分析技术，根据充电企业，汽车大类，品牌及车型等不同的维度，按时间统计出的总订单数，主动防护及异常中止订单数，订单占比等。</w:t>
            </w:r>
          </w:p>
        </w:tc>
      </w:tr>
      <w:tr w14:paraId="7D9B4437">
        <w:tblPrEx>
          <w:tblCellMar>
            <w:top w:w="0" w:type="dxa"/>
            <w:left w:w="108" w:type="dxa"/>
            <w:bottom w:w="0" w:type="dxa"/>
            <w:right w:w="108" w:type="dxa"/>
          </w:tblCellMar>
        </w:tblPrEx>
        <w:trPr>
          <w:cantSplit/>
          <w:trHeight w:val="246" w:hRule="atLeast"/>
        </w:trPr>
        <w:tc>
          <w:tcPr>
            <w:tcW w:w="2037" w:type="dxa"/>
            <w:vMerge w:val="restart"/>
            <w:tcBorders>
              <w:top w:val="nil"/>
              <w:left w:val="single" w:color="auto" w:sz="4" w:space="0"/>
              <w:bottom w:val="single" w:color="auto" w:sz="4" w:space="0"/>
              <w:right w:val="single" w:color="auto" w:sz="4" w:space="0"/>
            </w:tcBorders>
            <w:noWrap w:val="0"/>
            <w:vAlign w:val="center"/>
          </w:tcPr>
          <w:p w14:paraId="37F3C97A">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App管理</w:t>
            </w:r>
          </w:p>
        </w:tc>
        <w:tc>
          <w:tcPr>
            <w:tcW w:w="2141" w:type="dxa"/>
            <w:vMerge w:val="restart"/>
            <w:tcBorders>
              <w:top w:val="nil"/>
              <w:left w:val="single" w:color="auto" w:sz="4" w:space="0"/>
              <w:bottom w:val="single" w:color="auto" w:sz="4" w:space="0"/>
              <w:right w:val="single" w:color="auto" w:sz="4" w:space="0"/>
            </w:tcBorders>
            <w:noWrap w:val="0"/>
            <w:vAlign w:val="center"/>
          </w:tcPr>
          <w:p w14:paraId="4FB69A5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App管理</w:t>
            </w:r>
          </w:p>
        </w:tc>
        <w:tc>
          <w:tcPr>
            <w:tcW w:w="1741" w:type="dxa"/>
            <w:tcBorders>
              <w:top w:val="nil"/>
              <w:left w:val="nil"/>
              <w:bottom w:val="single" w:color="auto" w:sz="4" w:space="0"/>
              <w:right w:val="single" w:color="auto" w:sz="4" w:space="0"/>
            </w:tcBorders>
            <w:noWrap w:val="0"/>
            <w:vAlign w:val="center"/>
          </w:tcPr>
          <w:p w14:paraId="301FAD2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终端运营配置</w:t>
            </w:r>
          </w:p>
        </w:tc>
        <w:tc>
          <w:tcPr>
            <w:tcW w:w="3137" w:type="dxa"/>
            <w:tcBorders>
              <w:top w:val="nil"/>
              <w:left w:val="nil"/>
              <w:bottom w:val="single" w:color="auto" w:sz="4" w:space="0"/>
              <w:right w:val="single" w:color="auto" w:sz="4" w:space="0"/>
            </w:tcBorders>
            <w:noWrap w:val="0"/>
            <w:vAlign w:val="center"/>
          </w:tcPr>
          <w:p w14:paraId="7D824645">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维护app端新闻及轮播图信息</w:t>
            </w:r>
          </w:p>
        </w:tc>
      </w:tr>
      <w:tr w14:paraId="69FB07D3">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EB05D91">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6FB0BFB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3EAFA12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系统消息管理</w:t>
            </w:r>
          </w:p>
        </w:tc>
        <w:tc>
          <w:tcPr>
            <w:tcW w:w="3137" w:type="dxa"/>
            <w:tcBorders>
              <w:top w:val="nil"/>
              <w:left w:val="nil"/>
              <w:bottom w:val="single" w:color="auto" w:sz="4" w:space="0"/>
              <w:right w:val="single" w:color="auto" w:sz="4" w:space="0"/>
            </w:tcBorders>
            <w:noWrap w:val="0"/>
            <w:vAlign w:val="center"/>
          </w:tcPr>
          <w:p w14:paraId="26C3492E">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管理向客户端发送系统消息</w:t>
            </w:r>
          </w:p>
        </w:tc>
      </w:tr>
      <w:tr w14:paraId="12FD9391">
        <w:tblPrEx>
          <w:tblCellMar>
            <w:top w:w="0" w:type="dxa"/>
            <w:left w:w="108" w:type="dxa"/>
            <w:bottom w:w="0" w:type="dxa"/>
            <w:right w:w="108" w:type="dxa"/>
          </w:tblCellMar>
        </w:tblPrEx>
        <w:trPr>
          <w:cantSplit/>
          <w:trHeight w:val="24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2242623F">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5C4572C3">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0DC7E79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反馈内容管理</w:t>
            </w:r>
          </w:p>
        </w:tc>
        <w:tc>
          <w:tcPr>
            <w:tcW w:w="3137" w:type="dxa"/>
            <w:tcBorders>
              <w:top w:val="nil"/>
              <w:left w:val="nil"/>
              <w:bottom w:val="single" w:color="auto" w:sz="4" w:space="0"/>
              <w:right w:val="single" w:color="auto" w:sz="4" w:space="0"/>
            </w:tcBorders>
            <w:noWrap w:val="0"/>
            <w:vAlign w:val="center"/>
          </w:tcPr>
          <w:p w14:paraId="1C4D03B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处理用户反馈的信息</w:t>
            </w:r>
          </w:p>
        </w:tc>
      </w:tr>
      <w:tr w14:paraId="77A94ED5">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7AD9E8B5">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7AC6B77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4CED93C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电站评论管理</w:t>
            </w:r>
          </w:p>
        </w:tc>
        <w:tc>
          <w:tcPr>
            <w:tcW w:w="3137" w:type="dxa"/>
            <w:tcBorders>
              <w:top w:val="nil"/>
              <w:left w:val="nil"/>
              <w:bottom w:val="single" w:color="auto" w:sz="4" w:space="0"/>
              <w:right w:val="single" w:color="auto" w:sz="4" w:space="0"/>
            </w:tcBorders>
            <w:noWrap w:val="0"/>
            <w:vAlign w:val="center"/>
          </w:tcPr>
          <w:p w14:paraId="3818887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管理和维护充电用户对电站的评论信息</w:t>
            </w:r>
          </w:p>
        </w:tc>
      </w:tr>
      <w:tr w14:paraId="25C97907">
        <w:tblPrEx>
          <w:tblCellMar>
            <w:top w:w="0" w:type="dxa"/>
            <w:left w:w="108" w:type="dxa"/>
            <w:bottom w:w="0" w:type="dxa"/>
            <w:right w:w="108" w:type="dxa"/>
          </w:tblCellMar>
        </w:tblPrEx>
        <w:trPr>
          <w:cantSplit/>
          <w:trHeight w:val="476" w:hRule="atLeast"/>
        </w:trPr>
        <w:tc>
          <w:tcPr>
            <w:tcW w:w="2037" w:type="dxa"/>
            <w:vMerge w:val="continue"/>
            <w:tcBorders>
              <w:top w:val="nil"/>
              <w:left w:val="single" w:color="auto" w:sz="4" w:space="0"/>
              <w:bottom w:val="single" w:color="auto" w:sz="4" w:space="0"/>
              <w:right w:val="single" w:color="auto" w:sz="4" w:space="0"/>
            </w:tcBorders>
            <w:noWrap w:val="0"/>
            <w:vAlign w:val="center"/>
          </w:tcPr>
          <w:p w14:paraId="47EE8DAB">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p>
        </w:tc>
        <w:tc>
          <w:tcPr>
            <w:tcW w:w="2141" w:type="dxa"/>
            <w:vMerge w:val="continue"/>
            <w:tcBorders>
              <w:top w:val="nil"/>
              <w:left w:val="single" w:color="auto" w:sz="4" w:space="0"/>
              <w:bottom w:val="single" w:color="auto" w:sz="4" w:space="0"/>
              <w:right w:val="single" w:color="auto" w:sz="4" w:space="0"/>
            </w:tcBorders>
            <w:noWrap w:val="0"/>
            <w:vAlign w:val="center"/>
          </w:tcPr>
          <w:p w14:paraId="0369D0D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p>
        </w:tc>
        <w:tc>
          <w:tcPr>
            <w:tcW w:w="1741" w:type="dxa"/>
            <w:tcBorders>
              <w:top w:val="nil"/>
              <w:left w:val="nil"/>
              <w:bottom w:val="single" w:color="auto" w:sz="4" w:space="0"/>
              <w:right w:val="single" w:color="auto" w:sz="4" w:space="0"/>
            </w:tcBorders>
            <w:noWrap w:val="0"/>
            <w:vAlign w:val="center"/>
          </w:tcPr>
          <w:p w14:paraId="2614304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私信组管理</w:t>
            </w:r>
          </w:p>
        </w:tc>
        <w:tc>
          <w:tcPr>
            <w:tcW w:w="3137" w:type="dxa"/>
            <w:tcBorders>
              <w:top w:val="nil"/>
              <w:left w:val="nil"/>
              <w:bottom w:val="single" w:color="auto" w:sz="4" w:space="0"/>
              <w:right w:val="single" w:color="auto" w:sz="4" w:space="0"/>
            </w:tcBorders>
            <w:noWrap w:val="0"/>
            <w:vAlign w:val="center"/>
          </w:tcPr>
          <w:p w14:paraId="3E7E73A8">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管理和查看充电用户间的私信内容</w:t>
            </w:r>
          </w:p>
        </w:tc>
      </w:tr>
      <w:tr w14:paraId="3E77B28B">
        <w:tblPrEx>
          <w:tblCellMar>
            <w:top w:w="0" w:type="dxa"/>
            <w:left w:w="108" w:type="dxa"/>
            <w:bottom w:w="0" w:type="dxa"/>
            <w:right w:w="108" w:type="dxa"/>
          </w:tblCellMar>
        </w:tblPrEx>
        <w:trPr>
          <w:cantSplit/>
          <w:trHeight w:val="476"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14:paraId="769E0748">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系统管理</w:t>
            </w:r>
          </w:p>
        </w:tc>
        <w:tc>
          <w:tcPr>
            <w:tcW w:w="2141" w:type="dxa"/>
            <w:tcBorders>
              <w:top w:val="single" w:color="auto" w:sz="4" w:space="0"/>
              <w:left w:val="nil"/>
              <w:bottom w:val="single" w:color="auto" w:sz="4" w:space="0"/>
              <w:right w:val="single" w:color="auto" w:sz="4" w:space="0"/>
            </w:tcBorders>
            <w:noWrap w:val="0"/>
            <w:vAlign w:val="center"/>
          </w:tcPr>
          <w:p w14:paraId="253B05E0">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系统管理</w:t>
            </w:r>
          </w:p>
        </w:tc>
        <w:tc>
          <w:tcPr>
            <w:tcW w:w="1741" w:type="dxa"/>
            <w:tcBorders>
              <w:top w:val="single" w:color="auto" w:sz="4" w:space="0"/>
              <w:left w:val="nil"/>
              <w:bottom w:val="single" w:color="auto" w:sz="4" w:space="0"/>
              <w:right w:val="single" w:color="auto" w:sz="4" w:space="0"/>
            </w:tcBorders>
            <w:noWrap w:val="0"/>
            <w:vAlign w:val="center"/>
          </w:tcPr>
          <w:p w14:paraId="7EAF9DA4">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商户信息管理</w:t>
            </w:r>
          </w:p>
        </w:tc>
        <w:tc>
          <w:tcPr>
            <w:tcW w:w="3137" w:type="dxa"/>
            <w:tcBorders>
              <w:top w:val="single" w:color="auto" w:sz="4" w:space="0"/>
              <w:left w:val="nil"/>
              <w:bottom w:val="single" w:color="auto" w:sz="4" w:space="0"/>
              <w:right w:val="single" w:color="auto" w:sz="4" w:space="0"/>
            </w:tcBorders>
            <w:noWrap w:val="0"/>
            <w:vAlign w:val="center"/>
          </w:tcPr>
          <w:p w14:paraId="706BA8FA">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管理和维护商户下的平台用户权限</w:t>
            </w:r>
          </w:p>
        </w:tc>
      </w:tr>
      <w:tr w14:paraId="20675C68">
        <w:tblPrEx>
          <w:tblCellMar>
            <w:top w:w="0" w:type="dxa"/>
            <w:left w:w="108" w:type="dxa"/>
            <w:bottom w:w="0" w:type="dxa"/>
            <w:right w:w="108" w:type="dxa"/>
          </w:tblCellMar>
        </w:tblPrEx>
        <w:trPr>
          <w:cantSplit/>
          <w:trHeight w:val="476"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14:paraId="04F4637B">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第三方设备</w:t>
            </w:r>
          </w:p>
          <w:p w14:paraId="095D944F">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接入</w:t>
            </w:r>
          </w:p>
        </w:tc>
        <w:tc>
          <w:tcPr>
            <w:tcW w:w="2141" w:type="dxa"/>
            <w:tcBorders>
              <w:top w:val="single" w:color="auto" w:sz="4" w:space="0"/>
              <w:left w:val="nil"/>
              <w:bottom w:val="single" w:color="auto" w:sz="4" w:space="0"/>
              <w:right w:val="single" w:color="auto" w:sz="4" w:space="0"/>
            </w:tcBorders>
            <w:noWrap w:val="0"/>
            <w:vAlign w:val="center"/>
          </w:tcPr>
          <w:p w14:paraId="64316F52">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w:t>
            </w:r>
          </w:p>
        </w:tc>
        <w:tc>
          <w:tcPr>
            <w:tcW w:w="1741" w:type="dxa"/>
            <w:tcBorders>
              <w:top w:val="single" w:color="auto" w:sz="4" w:space="0"/>
              <w:left w:val="nil"/>
              <w:bottom w:val="single" w:color="auto" w:sz="4" w:space="0"/>
              <w:right w:val="single" w:color="auto" w:sz="4" w:space="0"/>
            </w:tcBorders>
            <w:noWrap w:val="0"/>
            <w:vAlign w:val="center"/>
          </w:tcPr>
          <w:p w14:paraId="13C3C401">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w:t>
            </w:r>
          </w:p>
        </w:tc>
        <w:tc>
          <w:tcPr>
            <w:tcW w:w="3137" w:type="dxa"/>
            <w:tcBorders>
              <w:top w:val="single" w:color="auto" w:sz="4" w:space="0"/>
              <w:left w:val="nil"/>
              <w:bottom w:val="single" w:color="auto" w:sz="4" w:space="0"/>
              <w:right w:val="single" w:color="auto" w:sz="4" w:space="0"/>
            </w:tcBorders>
            <w:noWrap w:val="0"/>
            <w:vAlign w:val="center"/>
          </w:tcPr>
          <w:p w14:paraId="2A47952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支持接入第三方设备，由平台统一运营监控管理。</w:t>
            </w:r>
          </w:p>
        </w:tc>
      </w:tr>
      <w:tr w14:paraId="48927CD4">
        <w:tblPrEx>
          <w:tblCellMar>
            <w:top w:w="0" w:type="dxa"/>
            <w:left w:w="108" w:type="dxa"/>
            <w:bottom w:w="0" w:type="dxa"/>
            <w:right w:w="108" w:type="dxa"/>
          </w:tblCellMar>
        </w:tblPrEx>
        <w:trPr>
          <w:cantSplit/>
          <w:trHeight w:val="951"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14:paraId="47ACFBA3">
            <w:pPr>
              <w:autoSpaceDE w:val="0"/>
              <w:autoSpaceDN w:val="0"/>
              <w:adjustRightInd w:val="0"/>
              <w:snapToGrid w:val="0"/>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互联互通</w:t>
            </w:r>
          </w:p>
        </w:tc>
        <w:tc>
          <w:tcPr>
            <w:tcW w:w="2141" w:type="dxa"/>
            <w:tcBorders>
              <w:top w:val="single" w:color="auto" w:sz="4" w:space="0"/>
              <w:left w:val="nil"/>
              <w:bottom w:val="single" w:color="auto" w:sz="4" w:space="0"/>
              <w:right w:val="single" w:color="auto" w:sz="4" w:space="0"/>
            </w:tcBorders>
            <w:noWrap w:val="0"/>
            <w:vAlign w:val="center"/>
          </w:tcPr>
          <w:p w14:paraId="7EDBD0A9">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w:t>
            </w:r>
          </w:p>
        </w:tc>
        <w:tc>
          <w:tcPr>
            <w:tcW w:w="1741" w:type="dxa"/>
            <w:tcBorders>
              <w:top w:val="single" w:color="auto" w:sz="4" w:space="0"/>
              <w:left w:val="nil"/>
              <w:bottom w:val="single" w:color="auto" w:sz="4" w:space="0"/>
              <w:right w:val="single" w:color="auto" w:sz="4" w:space="0"/>
            </w:tcBorders>
            <w:noWrap w:val="0"/>
            <w:vAlign w:val="center"/>
          </w:tcPr>
          <w:p w14:paraId="7618511F">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w:t>
            </w:r>
          </w:p>
        </w:tc>
        <w:tc>
          <w:tcPr>
            <w:tcW w:w="3137" w:type="dxa"/>
            <w:tcBorders>
              <w:top w:val="single" w:color="auto" w:sz="4" w:space="0"/>
              <w:left w:val="nil"/>
              <w:bottom w:val="single" w:color="auto" w:sz="4" w:space="0"/>
              <w:right w:val="single" w:color="auto" w:sz="4" w:space="0"/>
            </w:tcBorders>
            <w:noWrap w:val="0"/>
            <w:vAlign w:val="center"/>
          </w:tcPr>
          <w:p w14:paraId="2C57588F">
            <w:pPr>
              <w:autoSpaceDE w:val="0"/>
              <w:autoSpaceDN w:val="0"/>
              <w:adjustRightInd w:val="0"/>
              <w:snapToGrid w:val="0"/>
              <w:jc w:val="left"/>
              <w:rPr>
                <w:rFonts w:hint="eastAsia" w:asciiTheme="minorEastAsia" w:hAnsiTheme="minorEastAsia" w:eastAsiaTheme="minorEastAsia" w:cstheme="minorEastAsia"/>
                <w:b/>
                <w:bCs w:val="0"/>
                <w:color w:val="auto"/>
                <w:sz w:val="21"/>
                <w:szCs w:val="21"/>
                <w:highlight w:val="none"/>
                <w:u w:val="single"/>
                <w:lang w:val="en-US" w:eastAsia="zh-CN"/>
              </w:rPr>
            </w:pPr>
            <w:r>
              <w:rPr>
                <w:rFonts w:hint="eastAsia" w:asciiTheme="minorEastAsia" w:hAnsiTheme="minorEastAsia" w:eastAsiaTheme="minorEastAsia" w:cstheme="minorEastAsia"/>
                <w:b/>
                <w:bCs w:val="0"/>
                <w:color w:val="auto"/>
                <w:sz w:val="21"/>
                <w:szCs w:val="21"/>
                <w:highlight w:val="none"/>
                <w:u w:val="single"/>
              </w:rPr>
              <w:t>▲1.</w:t>
            </w:r>
            <w:r>
              <w:rPr>
                <w:rFonts w:hint="eastAsia" w:asciiTheme="minorEastAsia" w:hAnsiTheme="minorEastAsia" w:eastAsiaTheme="minorEastAsia" w:cstheme="minorEastAsia"/>
                <w:b/>
                <w:bCs w:val="0"/>
                <w:color w:val="auto"/>
                <w:sz w:val="21"/>
                <w:szCs w:val="21"/>
                <w:highlight w:val="none"/>
                <w:u w:val="single"/>
                <w:lang w:val="en-US" w:eastAsia="zh-CN"/>
              </w:rPr>
              <w:t>供应商应遵守中电联协议，通过api接口与外部平台实现数据对接，保证平台的开放性，实现数据监管等实际应用场景；</w:t>
            </w:r>
            <w:r>
              <w:rPr>
                <w:rFonts w:hint="eastAsia" w:asciiTheme="minorEastAsia" w:hAnsiTheme="minorEastAsia" w:eastAsiaTheme="minorEastAsia" w:cstheme="minorEastAsia"/>
                <w:b/>
                <w:bCs w:val="0"/>
                <w:color w:val="auto"/>
                <w:sz w:val="21"/>
                <w:szCs w:val="21"/>
                <w:highlight w:val="none"/>
                <w:u w:val="single"/>
                <w:lang w:eastAsia="zh-CN"/>
              </w:rPr>
              <w:t>（</w:t>
            </w:r>
            <w:r>
              <w:rPr>
                <w:rFonts w:hint="eastAsia" w:asciiTheme="minorEastAsia" w:hAnsiTheme="minorEastAsia" w:eastAsiaTheme="minorEastAsia" w:cstheme="minorEastAsia"/>
                <w:b/>
                <w:bCs w:val="0"/>
                <w:color w:val="auto"/>
                <w:sz w:val="21"/>
                <w:szCs w:val="21"/>
                <w:highlight w:val="none"/>
                <w:u w:val="single"/>
                <w:lang w:val="en-US" w:eastAsia="zh-CN"/>
              </w:rPr>
              <w:t>投标时，提供承诺函</w:t>
            </w:r>
            <w:r>
              <w:rPr>
                <w:rFonts w:hint="eastAsia" w:asciiTheme="minorEastAsia" w:hAnsiTheme="minorEastAsia" w:eastAsiaTheme="minorEastAsia" w:cstheme="minorEastAsia"/>
                <w:b/>
                <w:bCs w:val="0"/>
                <w:color w:val="auto"/>
                <w:sz w:val="21"/>
                <w:szCs w:val="21"/>
                <w:highlight w:val="none"/>
                <w:u w:val="single"/>
                <w:lang w:eastAsia="zh-CN"/>
              </w:rPr>
              <w:t>）</w:t>
            </w:r>
          </w:p>
          <w:p w14:paraId="7BFD02E7">
            <w:pPr>
              <w:autoSpaceDE w:val="0"/>
              <w:autoSpaceDN w:val="0"/>
              <w:adjustRightInd w:val="0"/>
              <w:snapToGrid w:val="0"/>
              <w:jc w:val="left"/>
              <w:rPr>
                <w:rFonts w:hint="eastAsia" w:asciiTheme="minorEastAsia" w:hAnsiTheme="minorEastAsia" w:eastAsiaTheme="minorEastAsia" w:cstheme="minorEastAsia"/>
                <w:b/>
                <w:bCs w:val="0"/>
                <w:color w:val="auto"/>
                <w:sz w:val="21"/>
                <w:szCs w:val="21"/>
                <w:highlight w:val="none"/>
                <w:u w:val="single"/>
                <w:lang w:eastAsia="zh-CN"/>
              </w:rPr>
            </w:pPr>
            <w:r>
              <w:rPr>
                <w:rFonts w:hint="eastAsia" w:asciiTheme="minorEastAsia" w:hAnsiTheme="minorEastAsia" w:eastAsiaTheme="minorEastAsia" w:cstheme="minorEastAsia"/>
                <w:b/>
                <w:bCs w:val="0"/>
                <w:color w:val="auto"/>
                <w:sz w:val="21"/>
                <w:szCs w:val="21"/>
                <w:highlight w:val="none"/>
                <w:u w:val="single"/>
              </w:rPr>
              <w:t>▲</w:t>
            </w:r>
            <w:r>
              <w:rPr>
                <w:rFonts w:hint="eastAsia" w:asciiTheme="minorEastAsia" w:hAnsiTheme="minorEastAsia" w:eastAsiaTheme="minorEastAsia" w:cstheme="minorEastAsia"/>
                <w:b/>
                <w:bCs w:val="0"/>
                <w:color w:val="auto"/>
                <w:sz w:val="21"/>
                <w:szCs w:val="21"/>
                <w:highlight w:val="none"/>
                <w:u w:val="single"/>
                <w:lang w:val="en-US" w:eastAsia="zh-CN"/>
              </w:rPr>
              <w:t>2</w:t>
            </w:r>
            <w:r>
              <w:rPr>
                <w:rFonts w:hint="eastAsia" w:asciiTheme="minorEastAsia" w:hAnsiTheme="minorEastAsia" w:eastAsiaTheme="minorEastAsia" w:cstheme="minorEastAsia"/>
                <w:b/>
                <w:bCs w:val="0"/>
                <w:color w:val="auto"/>
                <w:sz w:val="21"/>
                <w:szCs w:val="21"/>
                <w:highlight w:val="none"/>
                <w:u w:val="single"/>
              </w:rPr>
              <w:t>.运营监控平台在设备使用周期内免费提供甲方使用，并提供免费升级、维护工作</w:t>
            </w:r>
            <w:r>
              <w:rPr>
                <w:rFonts w:hint="eastAsia" w:asciiTheme="minorEastAsia" w:hAnsiTheme="minorEastAsia" w:eastAsiaTheme="minorEastAsia" w:cstheme="minorEastAsia"/>
                <w:b/>
                <w:bCs w:val="0"/>
                <w:color w:val="auto"/>
                <w:sz w:val="21"/>
                <w:szCs w:val="21"/>
                <w:highlight w:val="none"/>
                <w:u w:val="single"/>
                <w:lang w:eastAsia="zh-CN"/>
              </w:rPr>
              <w:t>；（</w:t>
            </w:r>
            <w:r>
              <w:rPr>
                <w:rFonts w:hint="eastAsia" w:asciiTheme="minorEastAsia" w:hAnsiTheme="minorEastAsia" w:eastAsiaTheme="minorEastAsia" w:cstheme="minorEastAsia"/>
                <w:b/>
                <w:bCs w:val="0"/>
                <w:color w:val="auto"/>
                <w:sz w:val="21"/>
                <w:szCs w:val="21"/>
                <w:highlight w:val="none"/>
                <w:u w:val="single"/>
                <w:lang w:val="en-US" w:eastAsia="zh-CN"/>
              </w:rPr>
              <w:t>投标时，提供承诺函</w:t>
            </w:r>
            <w:r>
              <w:rPr>
                <w:rFonts w:hint="eastAsia" w:asciiTheme="minorEastAsia" w:hAnsiTheme="minorEastAsia" w:eastAsiaTheme="minorEastAsia" w:cstheme="minorEastAsia"/>
                <w:b/>
                <w:bCs w:val="0"/>
                <w:color w:val="auto"/>
                <w:sz w:val="21"/>
                <w:szCs w:val="21"/>
                <w:highlight w:val="none"/>
                <w:u w:val="single"/>
                <w:lang w:eastAsia="zh-CN"/>
              </w:rPr>
              <w:t>）</w:t>
            </w:r>
          </w:p>
          <w:p w14:paraId="34EA01EB">
            <w:pPr>
              <w:autoSpaceDE w:val="0"/>
              <w:autoSpaceDN w:val="0"/>
              <w:adjustRightInd w:val="0"/>
              <w:snapToGrid w:val="0"/>
              <w:jc w:val="lef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b/>
                <w:bCs w:val="0"/>
                <w:color w:val="auto"/>
                <w:sz w:val="21"/>
                <w:szCs w:val="21"/>
                <w:highlight w:val="none"/>
                <w:u w:val="single"/>
              </w:rPr>
              <w:t>▲</w:t>
            </w:r>
            <w:r>
              <w:rPr>
                <w:rFonts w:hint="eastAsia" w:asciiTheme="minorEastAsia" w:hAnsiTheme="minorEastAsia" w:eastAsiaTheme="minorEastAsia" w:cstheme="minorEastAsia"/>
                <w:b/>
                <w:bCs w:val="0"/>
                <w:color w:val="auto"/>
                <w:sz w:val="21"/>
                <w:szCs w:val="21"/>
                <w:highlight w:val="none"/>
                <w:u w:val="single"/>
                <w:lang w:val="en-US" w:eastAsia="zh-CN"/>
              </w:rPr>
              <w:t>3</w:t>
            </w:r>
            <w:r>
              <w:rPr>
                <w:rFonts w:hint="eastAsia" w:asciiTheme="minorEastAsia" w:hAnsiTheme="minorEastAsia" w:eastAsiaTheme="minorEastAsia" w:cstheme="minorEastAsia"/>
                <w:b/>
                <w:bCs w:val="0"/>
                <w:color w:val="auto"/>
                <w:sz w:val="21"/>
                <w:szCs w:val="21"/>
                <w:highlight w:val="none"/>
                <w:u w:val="single"/>
              </w:rPr>
              <w:t>.运营监控平台在设备使用周期内配合做好跨平台开发工作，维护期内免费配合开发工作，维护期满后每次开发收费不超过2000元。</w:t>
            </w:r>
            <w:r>
              <w:rPr>
                <w:rFonts w:hint="eastAsia" w:asciiTheme="minorEastAsia" w:hAnsiTheme="minorEastAsia" w:eastAsiaTheme="minorEastAsia" w:cstheme="minorEastAsia"/>
                <w:b/>
                <w:bCs w:val="0"/>
                <w:color w:val="auto"/>
                <w:sz w:val="21"/>
                <w:szCs w:val="21"/>
                <w:highlight w:val="none"/>
                <w:u w:val="single"/>
                <w:lang w:eastAsia="zh-CN"/>
              </w:rPr>
              <w:t>（</w:t>
            </w:r>
            <w:r>
              <w:rPr>
                <w:rFonts w:hint="eastAsia" w:asciiTheme="minorEastAsia" w:hAnsiTheme="minorEastAsia" w:eastAsiaTheme="minorEastAsia" w:cstheme="minorEastAsia"/>
                <w:b/>
                <w:bCs w:val="0"/>
                <w:color w:val="auto"/>
                <w:sz w:val="21"/>
                <w:szCs w:val="21"/>
                <w:highlight w:val="none"/>
                <w:u w:val="single"/>
                <w:lang w:val="en-US" w:eastAsia="zh-CN"/>
              </w:rPr>
              <w:t>投标时，提供承诺函</w:t>
            </w:r>
            <w:r>
              <w:rPr>
                <w:rFonts w:hint="eastAsia" w:asciiTheme="minorEastAsia" w:hAnsiTheme="minorEastAsia" w:eastAsiaTheme="minorEastAsia" w:cstheme="minorEastAsia"/>
                <w:b/>
                <w:bCs w:val="0"/>
                <w:color w:val="auto"/>
                <w:sz w:val="21"/>
                <w:szCs w:val="21"/>
                <w:highlight w:val="none"/>
                <w:u w:val="single"/>
                <w:lang w:eastAsia="zh-CN"/>
              </w:rPr>
              <w:t>）</w:t>
            </w:r>
          </w:p>
        </w:tc>
      </w:tr>
    </w:tbl>
    <w:p w14:paraId="573DA2BF">
      <w:pPr>
        <w:keepNext w:val="0"/>
        <w:keepLines w:val="0"/>
        <w:pageBreakBefore w:val="0"/>
        <w:kinsoku/>
        <w:wordWrap/>
        <w:overflowPunct/>
        <w:autoSpaceDE w:val="0"/>
        <w:autoSpaceDN w:val="0"/>
        <w:bidi w:val="0"/>
        <w:adjustRightInd w:val="0"/>
        <w:snapToGrid w:val="0"/>
        <w:spacing w:line="312" w:lineRule="auto"/>
        <w:ind w:firstLine="426" w:firstLineChars="200"/>
        <w:jc w:val="left"/>
        <w:textAlignment w:val="auto"/>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2</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技术性能需求</w:t>
      </w:r>
    </w:p>
    <w:p w14:paraId="0B2340B9">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为了保证系统能够长期、安全、稳定、可靠、高效的运行，需满足以下性能需求：</w:t>
      </w:r>
    </w:p>
    <w:p w14:paraId="5ABF58E2">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1）操作简单：普通操作人员经简单培训就可操作，或者参考简明手册就可方便操作。</w:t>
      </w:r>
    </w:p>
    <w:p w14:paraId="299998E2">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功能完善：系统能够完成设计要求的所有分类统计、模糊查询、分析等功能操作，同时具有良好的运行速度和稳定性，有较高的数据承载能力，在网络稳定的环境下，单一界面操作的系统操作响应时间应小于5秒。</w:t>
      </w:r>
    </w:p>
    <w:p w14:paraId="001D21F7">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易于管理：系统查询、分析、统计流程可后台定制化，统计报表可通过流程设计界面自定义、无需重新编程，维护方便，能够方便快速的利用已有基础数据。系统必须是构件化、面向对象的，以及可实现未来自定义业务管理功能、统计分析管理辅助功能的升级、扩展，对一些后续性的功能，能够方便进行扩充或者二次开发。</w:t>
      </w:r>
    </w:p>
    <w:p w14:paraId="1F6B9822">
      <w:pPr>
        <w:keepNext w:val="0"/>
        <w:keepLines w:val="0"/>
        <w:pageBreakBefore w:val="0"/>
        <w:widowControl w:val="0"/>
        <w:kinsoku/>
        <w:wordWrap/>
        <w:overflowPunct/>
        <w:topLinePunct w:val="0"/>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4）信息量要求：本期项目的主要数据来源为电站上报的充电基础设施运行数据，数据内容主要为关系型数据、GIS数据等信息。</w:t>
      </w:r>
    </w:p>
    <w:p w14:paraId="74CF7B82">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平台具备故障预警和预测能力，故障预警率达到100%，远程运维通过平台远程管理，提升处理效率，平台可用率（SLA）＞99.999%，日均不可用时间小于1秒。</w:t>
      </w:r>
    </w:p>
    <w:p w14:paraId="5346FD24">
      <w:pPr>
        <w:keepNext w:val="0"/>
        <w:keepLines w:val="0"/>
        <w:pageBreakBefore w:val="0"/>
        <w:widowControl w:val="0"/>
        <w:kinsoku/>
        <w:wordWrap/>
        <w:overflowPunct/>
        <w:topLinePunct w:val="0"/>
        <w:autoSpaceDE w:val="0"/>
        <w:autoSpaceDN w:val="0"/>
        <w:bidi w:val="0"/>
        <w:adjustRightInd w:val="0"/>
        <w:snapToGrid w:val="0"/>
        <w:spacing w:line="312"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w:t>
      </w:r>
      <w:r>
        <w:rPr>
          <w:rFonts w:ascii="宋体" w:hAnsi="宋体" w:eastAsia="宋体"/>
          <w:color w:val="auto"/>
          <w:sz w:val="21"/>
          <w:szCs w:val="21"/>
          <w:highlight w:val="none"/>
        </w:rPr>
        <w:t>平台具备充电安全防护，针对SOC异常防护、电池过温防护、温升异常防护、温差异常防护、单体过压防护、过充防护的页面，出具柱状统计图、防护信息和联查日志信息形成报告下载。</w:t>
      </w:r>
    </w:p>
    <w:p w14:paraId="2EBAD3B5">
      <w:pPr>
        <w:keepNext w:val="0"/>
        <w:keepLines w:val="0"/>
        <w:pageBreakBefore w:val="0"/>
        <w:kinsoku/>
        <w:wordWrap/>
        <w:overflowPunct/>
        <w:autoSpaceDE w:val="0"/>
        <w:autoSpaceDN w:val="0"/>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宋体" w:hAnsi="宋体" w:eastAsia="宋体"/>
          <w:color w:val="auto"/>
          <w:sz w:val="21"/>
          <w:szCs w:val="21"/>
          <w:highlight w:val="none"/>
        </w:rPr>
        <w:t>7）</w:t>
      </w:r>
      <w:r>
        <w:rPr>
          <w:rFonts w:ascii="宋体" w:hAnsi="宋体" w:eastAsia="宋体"/>
          <w:color w:val="auto"/>
          <w:sz w:val="21"/>
          <w:szCs w:val="21"/>
          <w:highlight w:val="none"/>
        </w:rPr>
        <w:t>平台具有大数据安全防护模型，包括电池容量衰减预警模型、电池短路热失控分析模型、电池漏电流防护、电池压差防护、容量预警模型、高危车型防护模型。</w:t>
      </w:r>
    </w:p>
    <w:p w14:paraId="310F924F">
      <w:pPr>
        <w:keepNext w:val="0"/>
        <w:keepLines w:val="0"/>
        <w:pageBreakBefore w:val="0"/>
        <w:kinsoku/>
        <w:wordWrap/>
        <w:overflowPunct/>
        <w:autoSpaceDE w:val="0"/>
        <w:autoSpaceDN w:val="0"/>
        <w:bidi w:val="0"/>
        <w:adjustRightInd w:val="0"/>
        <w:snapToGrid w:val="0"/>
        <w:spacing w:line="312" w:lineRule="auto"/>
        <w:ind w:firstLine="426" w:firstLineChars="200"/>
        <w:jc w:val="left"/>
        <w:textAlignment w:val="auto"/>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3</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管理需求</w:t>
      </w:r>
    </w:p>
    <w:p w14:paraId="62136BB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需要实现的系统管理需求如下：</w:t>
      </w:r>
    </w:p>
    <w:p w14:paraId="2582AB37">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1）拥有完善的用户权限管理功能，对数据调阅、原始数据下载提供权限设置；</w:t>
      </w:r>
    </w:p>
    <w:p w14:paraId="46A60777">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2）实现强大的权限设定功能；</w:t>
      </w:r>
    </w:p>
    <w:p w14:paraId="473C995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3）实现用户权限及用户访问范围的设定；</w:t>
      </w:r>
    </w:p>
    <w:p w14:paraId="53D4FAF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4）实现日常管理维护及功能使用的详细操作日志管理；</w:t>
      </w:r>
    </w:p>
    <w:p w14:paraId="06A3285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5）实现下载操作人员的使用内容、时间、数据容量等基础信息统计；</w:t>
      </w:r>
    </w:p>
    <w:p w14:paraId="22B5749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6）经办人员的具体使用记录其上级主管可实现监控及管理；</w:t>
      </w:r>
    </w:p>
    <w:p w14:paraId="5676B42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7）实现自定义统计分析模块的定期更新和系统功能平滑在线升级（不停机状态）；</w:t>
      </w:r>
    </w:p>
    <w:p w14:paraId="5653ED0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8）实现以所有操作日志的自动定期离线数据下载备份管理和下载后定时清空；</w:t>
      </w:r>
    </w:p>
    <w:p w14:paraId="6FCA7D8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rPr>
        <w:t>9）系统升级后对系统管理、后台维护和业务部门进行分类使用培训</w:t>
      </w:r>
      <w:r>
        <w:rPr>
          <w:rFonts w:hint="eastAsia" w:asciiTheme="minorEastAsia" w:hAnsiTheme="minorEastAsia" w:eastAsiaTheme="minorEastAsia" w:cstheme="minorEastAsia"/>
          <w:color w:val="auto"/>
          <w:spacing w:val="1"/>
          <w:sz w:val="21"/>
          <w:szCs w:val="21"/>
          <w:highlight w:val="none"/>
          <w:lang w:eastAsia="zh-CN"/>
        </w:rPr>
        <w:t>；</w:t>
      </w:r>
    </w:p>
    <w:p w14:paraId="0EEA53B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10）实现采购人本区域管理平台的超级管理员用户权限。</w:t>
      </w:r>
    </w:p>
    <w:p w14:paraId="76FCBEB5">
      <w:pPr>
        <w:keepNext w:val="0"/>
        <w:keepLines w:val="0"/>
        <w:pageBreakBefore w:val="0"/>
        <w:kinsoku/>
        <w:wordWrap/>
        <w:overflowPunct/>
        <w:autoSpaceDE w:val="0"/>
        <w:autoSpaceDN w:val="0"/>
        <w:bidi w:val="0"/>
        <w:adjustRightInd w:val="0"/>
        <w:snapToGrid w:val="0"/>
        <w:spacing w:line="312" w:lineRule="auto"/>
        <w:ind w:firstLine="426" w:firstLineChars="200"/>
        <w:jc w:val="left"/>
        <w:textAlignment w:val="auto"/>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4）安全需求</w:t>
      </w:r>
    </w:p>
    <w:p w14:paraId="5CEB5E2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系统需保证提供7天×24小时连续运行，平均年故障时间</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12小时，平均故障修复时间</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30分钟；系统具有操作授权及权限控制，防止非法入侵；提供运行日志管理及审计功能；要求系统具备数据在线和离线备份及数据恢复能力，确保数据安全可靠。提供较强的系统安全性和灾难恢复能力，系统具有安全审计功能及其他强有力的安全保障措施；保证终端上下载的业务数据下载前在服务器端有合法性审核记录并记录操作过程必要信息。</w:t>
      </w:r>
    </w:p>
    <w:p w14:paraId="71CEC122">
      <w:pPr>
        <w:keepNext w:val="0"/>
        <w:keepLines w:val="0"/>
        <w:pageBreakBefore w:val="0"/>
        <w:kinsoku/>
        <w:wordWrap/>
        <w:overflowPunct/>
        <w:autoSpaceDE w:val="0"/>
        <w:autoSpaceDN w:val="0"/>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宋体" w:hAnsi="宋体" w:eastAsia="宋体"/>
          <w:color w:val="auto"/>
          <w:sz w:val="21"/>
          <w:szCs w:val="21"/>
          <w:highlight w:val="none"/>
        </w:rPr>
        <w:t>所</w:t>
      </w:r>
      <w:r>
        <w:rPr>
          <w:rFonts w:ascii="宋体" w:hAnsi="宋体" w:eastAsia="宋体"/>
          <w:color w:val="auto"/>
          <w:sz w:val="21"/>
          <w:szCs w:val="21"/>
          <w:highlight w:val="none"/>
        </w:rPr>
        <w:t>投品牌充电运营平台配套APP应从未被国家工信部列入侵害用户权益名单内。（股权关联企业若只有一款APP同样认定为同品牌）</w:t>
      </w:r>
    </w:p>
    <w:p w14:paraId="31B8C703">
      <w:pPr>
        <w:keepNext w:val="0"/>
        <w:keepLines w:val="0"/>
        <w:pageBreakBefore w:val="0"/>
        <w:numPr>
          <w:ilvl w:val="0"/>
          <w:numId w:val="3"/>
        </w:numPr>
        <w:kinsoku/>
        <w:wordWrap/>
        <w:overflowPunct/>
        <w:bidi w:val="0"/>
        <w:adjustRightInd w:val="0"/>
        <w:snapToGrid w:val="0"/>
        <w:spacing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高清摄像头：</w:t>
      </w:r>
    </w:p>
    <w:p w14:paraId="2E77DFE2">
      <w:pPr>
        <w:keepNext w:val="0"/>
        <w:keepLines w:val="0"/>
        <w:pageBreakBefore w:val="0"/>
        <w:numPr>
          <w:ilvl w:val="0"/>
          <w:numId w:val="0"/>
        </w:numPr>
        <w:kinsoku/>
        <w:wordWrap/>
        <w:overflowPunct/>
        <w:bidi w:val="0"/>
        <w:adjustRightInd w:val="0"/>
        <w:snapToGrid w:val="0"/>
        <w:spacing w:line="312" w:lineRule="auto"/>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（1）每个站点至少配备1个400万全彩网络摄像机；</w:t>
      </w:r>
    </w:p>
    <w:p w14:paraId="2C286DCA">
      <w:pPr>
        <w:keepNext w:val="0"/>
        <w:keepLines w:val="0"/>
        <w:pageBreakBefore w:val="0"/>
        <w:kinsoku/>
        <w:wordWrap/>
        <w:overflowPunct/>
        <w:bidi w:val="0"/>
        <w:adjustRightInd w:val="0"/>
        <w:snapToGrid w:val="0"/>
        <w:spacing w:line="312"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（2）参数要求：最高分辨率可达2560×1440@25fps, 并可输出实时图像，码流平滑设置，适应不同场景下对图像质量、流畅性的不同要求，支持GBK字库，支持更多汉字及生僻字叠加，支持OSD颜色自选，支持3D数字降噪，支持120dB宽动态，支持心跳，镜像等功能，支持暖光灯补光，照射距离最远可达30米。</w:t>
      </w:r>
    </w:p>
    <w:p w14:paraId="6EF541EF">
      <w:pPr>
        <w:keepNext w:val="0"/>
        <w:keepLines w:val="0"/>
        <w:pageBreakBefore w:val="0"/>
        <w:kinsoku/>
        <w:wordWrap/>
        <w:overflowPunct/>
        <w:bidi w:val="0"/>
        <w:adjustRightInd w:val="0"/>
        <w:snapToGrid w:val="0"/>
        <w:spacing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、施工及其配套设施要求</w:t>
      </w:r>
    </w:p>
    <w:p w14:paraId="3882DB7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（1）接地施工要求</w:t>
      </w:r>
    </w:p>
    <w:p w14:paraId="693AABD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1）接地极施工：接地极可采用50mm×50mm×3mm的热镀锌角钢、直径14mm的圆钢或者直径为20mm，壁厚为3mm的钢管，垂直打入地面，埋设深度距地表≥2500mm。</w:t>
      </w:r>
    </w:p>
    <w:p w14:paraId="706C780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接地网施工：接地网采用热镀锌扁钢，其规格不低于40mm×4mm，接地网的外缘应闭合，外缘各角应做成圆弧形，埋设深度距地表≥1000mm。箱变接地网敷设要求与基础距离≥100mm，其他充电设备接地网与础距离要求≥1000mm。</w:t>
      </w:r>
    </w:p>
    <w:p w14:paraId="45480A2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3）接地体连接</w:t>
      </w:r>
    </w:p>
    <w:p w14:paraId="36A9FDE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a 接地网与接地极连接时应采用搭接焊，扁钢与钢管、扁钢与圆钢、扁钢与角钢焊接时，为了连接可靠，除应在其接触部位进行焊接外，并应焊以由钢带弯成的弧形卡子或直接由扁钢本身弯成弧形与钢管、圆钢或角钢焊接。</w:t>
      </w:r>
    </w:p>
    <w:p w14:paraId="3F7DCBC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b 扁钢与扁钢和角钢连接时，搭接长度为扁钢宽度的2倍</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至少3个棱边焊接</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 xml:space="preserve">； </w:t>
      </w:r>
    </w:p>
    <w:p w14:paraId="7839C9B7">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c 扁钢与钢管、圆钢连接时，其搭接长度为钢管或圆钢直径的6倍（至少两边焊接）；</w:t>
      </w:r>
    </w:p>
    <w:p w14:paraId="7C123CD3">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d 接地搭接完成后，采用规格不低于40mm×4mm的热镀锌扁钢作为接地上引线，引出至需要位置（通常2处，为设备的2个对角），留有足够的连接长度，以保证其与设备的搭接长度大于等于其宽度的2倍，至少3个棱边焊接，焊接时需将设备搭接处的油漆打磨掉，焊接完成后在焊缝周围100mm范围内做防腐处理。</w:t>
      </w:r>
    </w:p>
    <w:p w14:paraId="362DD44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4）接地体核验：接地焊接处焊口、焊面，不得有夹渣、咬肉、裂纹、气孔、药皮，且已做防腐处理。箱体接地电阻不得大于4Ω，当接地完成后实测阻值大于4Ω时，需敷设引外接地网或外延伸接地体。</w:t>
      </w:r>
    </w:p>
    <w:p w14:paraId="46EA980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5）接地体回填：室外接地回填宜有100～300mm高度的防沉层，在山区石厚地段或电阻率较高的土质区段应在土沟中至少先回填100mm厚的净土垫层，再敷接地体，然后用净土分层夯实回填。</w:t>
      </w:r>
    </w:p>
    <w:p w14:paraId="1042663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（2）箱变砖砌基础施工要求</w:t>
      </w:r>
    </w:p>
    <w:p w14:paraId="59610333">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1）在基础开挖前应根据箱变的安装位置和设备尺寸进行放线定位，需要拆除的绿化植被必须征得相关管理部同意后才能拆除。若箱变采用砖砌结构，所用砖块为烧结页岩砖，不得使用水泥沙砖。</w:t>
      </w:r>
    </w:p>
    <w:p w14:paraId="38E71D9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2）砖砌充电设备基础均要求用M10水泥砂浆[水泥（kg）：砂（kg）：水（kg）=1:5.09:0.96]进行砌筑；</w:t>
      </w:r>
    </w:p>
    <w:p w14:paraId="4757CDE7">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3）砖砌充电设备基础的灰缝应横平竖直厚薄均匀，水平灰缝砂浆饱满度不得小于80%，厚度宜为10mm，但不应小于8mm也不应大于12mm。</w:t>
      </w:r>
    </w:p>
    <w:p w14:paraId="2CDF2FB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4）砖砌充电设备基础竖向灰缝砂浆需填充饱满，不得出现透明缝、瞎缝和假缝，基础整体砌筑完成后长度大于或等于300mm的竖向通缝不超过3处且不得位于同一面墙体上。</w:t>
      </w:r>
    </w:p>
    <w:p w14:paraId="5163BE4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5）砖砌充电设备基础施工临时间断处补砌时，必须将接处表面清理干净，浇水湿润，并填实砂浆保持灰缝平直。</w:t>
      </w:r>
    </w:p>
    <w:p w14:paraId="1BEC0A0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6）砖砌充电设备基础的最上一层砖，应整砖丁砌（即砖的长边垂直于墙面的砌法）。</w:t>
      </w:r>
    </w:p>
    <w:p w14:paraId="48539C2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7）砖砌充电设备基础须用1:2水泥砂浆进行内外抹面收光，抹面厚度100mm，同时应确保基础顶面平整。</w:t>
      </w:r>
    </w:p>
    <w:p w14:paraId="450303F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（3）混凝土基础施工要求</w:t>
      </w:r>
    </w:p>
    <w:p w14:paraId="590615F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1）该项目充电设备主要用于电动车辆充电，为保证充电终端的安装牢固可靠，电终桩基础采用C20现浇混凝土制作。</w:t>
      </w:r>
    </w:p>
    <w:p w14:paraId="7BB928B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2）为防止基础下沉，在开挖完成后必须对基坑夯实处理。在混凝土浇筑前依据基础尺寸进行模板支设和加固，保证在混凝土浇筑过程中不漏浆、不涨模。</w:t>
      </w:r>
    </w:p>
    <w:p w14:paraId="0396EE4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3）在浇筑混凝土的同时依据基础施工图纸预埋相应的设备安装螺栓，埋设深度不得小于15cm，外露长度应保证设备安装拧紧后露出3~4个丝牙。</w:t>
      </w:r>
    </w:p>
    <w:p w14:paraId="12D82A1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4）基础在浇筑时必须振捣密实，预埋螺栓必须保证螺栓与基础表面垂直，螺栓间距、锚固长度均应满足施工图纸要求。</w:t>
      </w:r>
    </w:p>
    <w:p w14:paraId="78BADB92">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5）基础浇筑完成后必须在养护强度达到设计强度的75%后才能实施设备的安装固定。</w:t>
      </w:r>
    </w:p>
    <w:p w14:paraId="595278D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（4）电缆敷设施工要求</w:t>
      </w:r>
    </w:p>
    <w:p w14:paraId="160D4E1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1）电缆沟负挖深度满足要求，确保电缆埋地深度≥0.5米，电缆管叠加时层数不大于2层，之间垫100mm软土或细砂；</w:t>
      </w:r>
    </w:p>
    <w:p w14:paraId="12B0172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2）电缆敷设前应对整盘电缆进行绝缘测试，测试合格后方能进行电缆敷设；</w:t>
      </w:r>
    </w:p>
    <w:p w14:paraId="3A8F892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3）电缆敷设的弯曲半径应≥10D（D：电缆直径）；</w:t>
      </w:r>
    </w:p>
    <w:p w14:paraId="7B89EBE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4）预埋电缆穿PVC管，一根DN75PVC管穿1个直流终端的电缆，若采用其他规格PVC管、波纹管、玻璃钢管及镀锌钢管等应保证所穿电缆的填充率不大于管道的70%；</w:t>
      </w:r>
    </w:p>
    <w:p w14:paraId="7F10A42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5）PVC管不应有穿孔，裂缝和显著的凹凸不平，均壁应光滑</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管口应无毛刺和尖锐棱角，PVC管在弯制后，不应有裂缝和显著凹瘪现象，其弯扁程度不大于管子外径的10％，PVC管插接或套接时，其插入深度宜为管子内径的1.1～1.8倍，连接件处均匀涂抹密封胶以保证其牢固可靠、密封防水；</w:t>
      </w:r>
    </w:p>
    <w:p w14:paraId="274EE84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6）当电缆与热力管道（沟）及热力设备平行，交叉时应采取隔热措施，使电缆周围土壤的温升不超过10℃；</w:t>
      </w:r>
    </w:p>
    <w:p w14:paraId="203AE56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7）电缆敷设完成后在箱变及接线井悬挂电缆标识牌，标明电缆规格型号、长度、起端和终端；</w:t>
      </w:r>
    </w:p>
    <w:p w14:paraId="37033E7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8）埋地电缆在拐弯、接头、交叉，进出建筑物等地段应设明显的方位标桩，标桩应牢固，标志应清晰，标桩露出地面以15-20cm为宜。</w:t>
      </w:r>
    </w:p>
    <w:p w14:paraId="2BAE4CB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9）本项目的电缆主要敷设于场站内，由于车辆往来多，影响车辆和人员的通行，在施工前应提前进行现场勘查并将拟施工的区域告知采购人，以征得采购人配合协调调度车辆，在绿化地内动土作业应征得相关管理单位的认可。</w:t>
      </w:r>
    </w:p>
    <w:p w14:paraId="03CB743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10）施工前应检查确保电缆保护管内壁光滑无毛刺，管材应满足电缆保护所需的机械强度和耐久性要求。</w:t>
      </w:r>
    </w:p>
    <w:p w14:paraId="143EE44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11）电缆沟开挖深度不得小于0.7m</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在电缆拐弯处或直线距离超过50m时应设置电缆井，方便放线和检修。回填完毕后及时打场地卫生，回复原貌。</w:t>
      </w:r>
    </w:p>
    <w:p w14:paraId="50B7AF9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（5）土方回填及充电设备基础养护施工要求</w:t>
      </w:r>
    </w:p>
    <w:p w14:paraId="2AD491F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1）土方回填前应将基坑杂物进行清理，回填土不含植物残体、垃圾等杂质，分层铺摊夯实，每层厚度不超过200mm，其中回填土所含砂石颗粒径不超过100mm；</w:t>
      </w:r>
    </w:p>
    <w:p w14:paraId="0F50BF1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2）充电设备基础施工完成后，均应在12小时内浇水和用塑料薄膜加以覆盖，浇水次数应能够保持砌体墙面有足够的湿润状态，养护期不少于3天，确保基础表面美观可靠，无蜂窝麻面、隙缝夹渣、不规则裂纹等。</w:t>
      </w:r>
    </w:p>
    <w:p w14:paraId="4A59E9F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（6）电缆端接施工要求</w:t>
      </w:r>
    </w:p>
    <w:p w14:paraId="7A8CA2D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1）根据线鼻子腔深度确定绝缘层剥切长度（绝缘层剥切长度=线鼻子腔深度+2mm），用剥线钳环切将绝缘层剥掉，剥切过程中应避免用力过大伤及线芯导体部分；</w:t>
      </w:r>
    </w:p>
    <w:p w14:paraId="76FC2723">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2）选择与电缆型号相等，并与元器件或铜排配套的线鼻子进行压接，压接时须使用液压钳及配套模具，不得使用铁锤砸击的方式进行压接；</w:t>
      </w:r>
    </w:p>
    <w:p w14:paraId="1D9BF6A2">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3）铜鼻压接结束以后，对绝缘皮与线鼻子用PVC胶带缠绕保护至少2圈后加绝缘软护套（信号线除外），对于压接后的端子有压接不牢或虚接情况时，须使用裸导线对线芯进行填充后再压接或重新制作端子。</w:t>
      </w:r>
    </w:p>
    <w:p w14:paraId="4853301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（7）安全文明施工要求</w:t>
      </w:r>
    </w:p>
    <w:p w14:paraId="2F9745F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1）施工单位在施工过程中应设立统一的安全施工围挡，以区分作业区和非作业区。</w:t>
      </w:r>
    </w:p>
    <w:p w14:paraId="3AFAB08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2）施工单位在施工过程中，应在施工现场设置统一的施工指示牌。</w:t>
      </w:r>
    </w:p>
    <w:p w14:paraId="5F69FB5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3）施工单位的施工现场应保持整洁，合理规划，设置作业区、材料堆放区，垃圾或废料应集中堆放、及时清除，做到“工完、 料尽、场地清”。</w:t>
      </w:r>
    </w:p>
    <w:p w14:paraId="69CDEFE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4）施工单位施工完成后应对施工过程中对场地造成的无可避免的污染和损坏进行原样恢复，其中进行混凝土及砂浆搅拌时应垫三防布或采取其它措施进行防护避免对施工场地原有地面造成污染。</w:t>
      </w:r>
    </w:p>
    <w:p w14:paraId="382AF00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5）施工单位进行低压电源接入操作的施工人员必须是有合格操作证的电工，同时应采取有效的防护措施和机具。</w:t>
      </w:r>
    </w:p>
    <w:p w14:paraId="29F7C0F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6）施工单位进行高空和危险作业时，施工人员须采取有效的防护措施，并佩戴相应的个人安全防护用品。</w:t>
      </w:r>
    </w:p>
    <w:p w14:paraId="6271564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（8）冬期施工措施要求</w:t>
      </w:r>
    </w:p>
    <w:p w14:paraId="742E999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1）现场准备、检查、防护</w:t>
      </w:r>
    </w:p>
    <w:p w14:paraId="1DED87F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1.1进入现场的设备、材料必须避免放在低洼处，要将设备垫高，设备露天存放时应加雨布盖好，以防雨淋日晒，料场周围应有畅通的排水沟以防积水。</w:t>
      </w:r>
    </w:p>
    <w:p w14:paraId="15891BF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rPr>
        <w:t>1.2冬期施工对供电线路加强检查，防止出现用电事故。施工机具要有防雨罩或置于遮雨棚内，电气设备的电源线要悬挂固定，不得拖拉在地，下班后要拉闸断电</w:t>
      </w:r>
      <w:r>
        <w:rPr>
          <w:rFonts w:hint="eastAsia" w:asciiTheme="minorEastAsia" w:hAnsiTheme="minorEastAsia" w:eastAsiaTheme="minorEastAsia" w:cstheme="minorEastAsia"/>
          <w:color w:val="auto"/>
          <w:spacing w:val="1"/>
          <w:sz w:val="21"/>
          <w:szCs w:val="21"/>
          <w:highlight w:val="none"/>
          <w:lang w:eastAsia="zh-CN"/>
        </w:rPr>
        <w:t>。</w:t>
      </w:r>
    </w:p>
    <w:p w14:paraId="45F4AA92">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1.3冬期施工，应做好五防“防火、防滑、防冻、防风、防煤气中毒”。电缆保护管和各类容器中的水要泄净，防止冻裂设备和电缆保护管；冬期放电缆要采取相应的加温保护措施。</w:t>
      </w:r>
    </w:p>
    <w:p w14:paraId="7BDE92A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1.4室外工程均应避免在雨天安排作业，尽量避免在不利条件下施工，如确有特殊需要，要做好防护措施。</w:t>
      </w:r>
    </w:p>
    <w:p w14:paraId="4AB0683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1.5冬期施工的混凝土浇筑和砌体施工应采取保温覆盖做好保温防冻措施。</w:t>
      </w:r>
    </w:p>
    <w:p w14:paraId="1D5F0E3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2）砂浆和混凝土外加剂应用</w:t>
      </w:r>
    </w:p>
    <w:p w14:paraId="1A0D683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2.1当施工环境温度≥-5℃时，应采用早强剂，优先选择三乙醇胺，掺量占水泥量的2%-5%，选用其他类型早强剂，掺量比根据产品使用说明确定；</w:t>
      </w:r>
    </w:p>
    <w:p w14:paraId="7C64C3D2">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2.2当施工环境温度＜-5℃时，采用防冻剂，防冻剂以水溶性有机化合物类为主，掺量比根据产品使用说明确定，防冻剂的选用应以浇筑后5天内的预计日最低气温来确定。在日最低气温为-5～-10℃、-10～-15℃、-15～-20℃，混凝土及砂浆覆盖塑料薄膜和保温材料后，宜分别采用规定温度为-5℃、-10℃、-15℃的防冻剂；</w:t>
      </w:r>
    </w:p>
    <w:p w14:paraId="2BD31650">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2.3由于充电设备带有直流充电结构并结合充电设备本身特点，根据《混凝土外加剂应用技术规范》GB50119-2013中第6.2.3条、第6.3.4条规定，充电项目施工过程中禁止使用含有强电解质无机盐（氯盐类、氯盐阻锈类、无氯盐类）的早强剂和防冻剂。</w:t>
      </w:r>
    </w:p>
    <w:p w14:paraId="1B99E5F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砌筑及混凝土施工</w:t>
      </w:r>
    </w:p>
    <w:p w14:paraId="7B7EABA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3.1宜选用硅酸盐水泥或普通硅酸盐水泥，水泥出厂日期不超过三个月。</w:t>
      </w:r>
    </w:p>
    <w:p w14:paraId="3768F670">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3.2砖、砌块在砌筑前，应清除表面污物、冰雪等，不得使用遭受水浸和受冻后表面结冰、污染的砖或砌块。</w:t>
      </w:r>
    </w:p>
    <w:p w14:paraId="58B6DF5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3.3现场拌制砂浆及混凝土所用砂中不得含有直径大于10mm的冻结块或冰块，拌制混凝土所用的粗、细骨料必须清洁，不得含有冰、雪等冻结物及易冻裂的物质。</w:t>
      </w:r>
    </w:p>
    <w:p w14:paraId="111F53D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3.4采用热水进行砂浆及混凝土搅拌，水温不易超过65℃，水温超过65℃时，热水应与砂石、骨料拌合再加入水泥。</w:t>
      </w:r>
    </w:p>
    <w:p w14:paraId="5886C2E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3.5冬期砌砖应按“三一”砌砖法操作，提高砌体的砂浆饱和度，砂浆强度等级为M10[水泥（kg）：砂（kg）：水（kg）=1:5.09:0.96]，负温下不得对砖及砌块洒水湿润，应适当增大砂浆稠度。</w:t>
      </w:r>
    </w:p>
    <w:p w14:paraId="44BFBE6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3.6砌筑间歇期，宜及时在砌体表面进行保护性覆盖，砌体面层不得留有砂浆。继续砌筑前，应将砌体表面清理干净。</w:t>
      </w:r>
    </w:p>
    <w:p w14:paraId="4C56808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3.7添加早强剂和防冻剂的混凝土或砂浆搅拌时间应延长50%，室外搅拌场所应选取避风、向阳位置，搭设防护棚并采取一定的保温措施，搅拌完成后使用温度不得低于5℃。</w:t>
      </w:r>
    </w:p>
    <w:p w14:paraId="29E4696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3.8添加早强剂或早强减水剂的混凝土及砂浆，施工完成后应及时覆盖塑料薄膜和保温材料，采用“综合蓄热法”进行养护。</w:t>
      </w:r>
    </w:p>
    <w:p w14:paraId="20B8BC5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3.9添加防冻剂的混凝土及砂浆，施工完成后应及时覆盖塑料薄膜和保温材料按照“负温养护法”进行养护，在负温条件下，不得洒水，严寒地区应加强保温措施，初期养护温度不得低于5℃。</w:t>
      </w:r>
    </w:p>
    <w:p w14:paraId="451A7AA3">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钢筋混凝土工程</w:t>
      </w:r>
    </w:p>
    <w:p w14:paraId="2FAEC0E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4.1加强与气象部门联系，争取在寒潮来临之前作好混凝土浇捣工作。</w:t>
      </w:r>
    </w:p>
    <w:p w14:paraId="41D6B72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4.2施工中所使用的混凝土骨料必须清洁，不得含有冰雪等冻结物及易开裂物质。</w:t>
      </w:r>
    </w:p>
    <w:p w14:paraId="47F4FD5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4.3合理地使用外加剂，外加剂的使用应符合国家标准及产品说明书的规定。</w:t>
      </w:r>
    </w:p>
    <w:p w14:paraId="173FA3D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4.4钢筋砼结构浇筑成型后，立即进行覆盖养护。</w:t>
      </w:r>
    </w:p>
    <w:p w14:paraId="3CA4E51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9</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车挡、场站VI施工要求</w:t>
      </w:r>
    </w:p>
    <w:p w14:paraId="21A0534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1</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为保证充设备和人员的安全，本项目在每个充电车位上设置坚固抗碾压的钢制车挡器，防止车辆倒车时冲撞充电终端。</w:t>
      </w:r>
    </w:p>
    <w:p w14:paraId="20DE5CC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要求场站VI有统一设计风格，能直观体现服务区功能与使用说明。</w:t>
      </w:r>
    </w:p>
    <w:p w14:paraId="5D745B5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10</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其他要求：</w:t>
      </w:r>
    </w:p>
    <w:p w14:paraId="0B611368">
      <w:pPr>
        <w:keepNext w:val="0"/>
        <w:keepLines w:val="0"/>
        <w:pageBreakBefore w:val="0"/>
        <w:kinsoku/>
        <w:wordWrap/>
        <w:overflowPunct/>
        <w:autoSpaceDE w:val="0"/>
        <w:autoSpaceDN w:val="0"/>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z w:val="21"/>
          <w:szCs w:val="21"/>
          <w:highlight w:val="none"/>
        </w:rPr>
        <w:t>根据场地实际情况选择场地硬化要求，原则停车位采用水泥硬化（加喷字），对已有的停车场，设备施工完成后按原状恢复。</w:t>
      </w:r>
    </w:p>
    <w:p w14:paraId="0CAFB694">
      <w:pPr>
        <w:keepNext w:val="0"/>
        <w:keepLines w:val="0"/>
        <w:pageBreakBefore w:val="0"/>
        <w:kinsoku/>
        <w:wordWrap/>
        <w:overflowPunct/>
        <w:bidi w:val="0"/>
        <w:adjustRightInd w:val="0"/>
        <w:snapToGrid w:val="0"/>
        <w:spacing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、关键器件要求</w:t>
      </w:r>
    </w:p>
    <w:p w14:paraId="3A1F9914">
      <w:pPr>
        <w:keepNext w:val="0"/>
        <w:keepLines w:val="0"/>
        <w:pageBreakBefore w:val="0"/>
        <w:kinsoku/>
        <w:wordWrap/>
        <w:overflowPunct/>
        <w:topLinePunct/>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要求充电枪品牌厂商选择：</w:t>
      </w:r>
      <w:r>
        <w:rPr>
          <w:rFonts w:hint="eastAsia" w:asciiTheme="minorEastAsia" w:hAnsiTheme="minorEastAsia" w:eastAsiaTheme="minorEastAsia" w:cstheme="minorEastAsia"/>
          <w:strike w:val="0"/>
          <w:dstrike w:val="0"/>
          <w:color w:val="auto"/>
          <w:sz w:val="21"/>
          <w:szCs w:val="21"/>
          <w:highlight w:val="none"/>
        </w:rPr>
        <w:t>详见本章节项目建设配置清单，符合相关标准要求。</w:t>
      </w:r>
    </w:p>
    <w:p w14:paraId="4C04C287">
      <w:pPr>
        <w:keepNext w:val="0"/>
        <w:keepLines w:val="0"/>
        <w:pageBreakBefore w:val="0"/>
        <w:kinsoku/>
        <w:wordWrap/>
        <w:overflowPunct/>
        <w:topLinePunct/>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rPr>
        <w:t>要求低压电缆品牌厂商选择：符合相关标准要求。</w:t>
      </w:r>
    </w:p>
    <w:p w14:paraId="67E5C474">
      <w:pPr>
        <w:keepNext w:val="0"/>
        <w:keepLines w:val="0"/>
        <w:pageBreakBefore w:val="0"/>
        <w:kinsoku/>
        <w:wordWrap/>
        <w:overflowPunct/>
        <w:topLinePunct/>
        <w:bidi w:val="0"/>
        <w:adjustRightInd w:val="0"/>
        <w:snapToGrid w:val="0"/>
        <w:spacing w:line="312"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充电设备含无线接入，无线通讯SIM卡（含5年SIM卡流量），每台充电桩均可单独通信、记录。</w:t>
      </w:r>
    </w:p>
    <w:p w14:paraId="7E22DF23">
      <w:pPr>
        <w:keepNext w:val="0"/>
        <w:keepLines w:val="0"/>
        <w:pageBreakBefore w:val="0"/>
        <w:kinsoku/>
        <w:wordWrap/>
        <w:overflowPunct/>
        <w:bidi w:val="0"/>
        <w:adjustRightInd w:val="0"/>
        <w:snapToGrid w:val="0"/>
        <w:spacing w:line="312"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rPr>
        <w:t>、工程量：</w:t>
      </w:r>
      <w:r>
        <w:rPr>
          <w:rFonts w:hint="eastAsia" w:asciiTheme="minorEastAsia" w:hAnsiTheme="minorEastAsia" w:eastAsiaTheme="minorEastAsia" w:cstheme="minorEastAsia"/>
          <w:b w:val="0"/>
          <w:bCs w:val="0"/>
          <w:color w:val="auto"/>
          <w:sz w:val="21"/>
          <w:szCs w:val="21"/>
          <w:highlight w:val="none"/>
        </w:rPr>
        <w:t>施工条件以现场实际为准，投标人自行踏勘获取相关信息，如有遗漏，由供应商负责自行承担。</w:t>
      </w:r>
    </w:p>
    <w:p w14:paraId="7DDCD8F3">
      <w:pPr>
        <w:keepNext w:val="0"/>
        <w:keepLines w:val="0"/>
        <w:pageBreakBefore w:val="0"/>
        <w:kinsoku/>
        <w:wordWrap/>
        <w:overflowPunct/>
        <w:bidi w:val="0"/>
        <w:adjustRightInd w:val="0"/>
        <w:snapToGrid w:val="0"/>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四、商务要求</w:t>
      </w:r>
    </w:p>
    <w:p w14:paraId="2EE2CFF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充电桩及配套设备的采购及安装，包括施工设计及配电充电深化设计、全套设备（含辅材、零部件）提供、运杂费、电源点接入、基础部分土建施工及材料（管线牵引施工等）、人工，配置照明和灭火设施、限位器、停车位划线、VI标示、场站导引、安装、调试、5年保质期内免费保修维护（含管理软件更新升级）、提供实时监测及统计充电项目（后台对接）、后台数据监控（网络连接）及信息化管理平台对接、培训采购人使用人员费用、税金、利润、管理费等本项目所有可能涉及的费用。上述如有未列出的费用，则视为已包含在合同价内，采购人不再另行支付。充电桩须接至供电接口，试运行合格后方可交付使用。</w:t>
      </w:r>
    </w:p>
    <w:p w14:paraId="20D7E63E">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项目实施过程中的风险及责任，由中标人自行承担。</w:t>
      </w:r>
    </w:p>
    <w:p w14:paraId="2FD3BBF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2、本项目建成后所产生的充电电费收入及服务费收益归采购人所有。</w:t>
      </w:r>
    </w:p>
    <w:p w14:paraId="3411BC3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合同期及工期：</w:t>
      </w:r>
    </w:p>
    <w:p w14:paraId="4FC1561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3.1合同期：</w:t>
      </w:r>
      <w:r>
        <w:rPr>
          <w:rFonts w:hint="eastAsia" w:ascii="宋体" w:hAnsi="宋体" w:eastAsia="宋体" w:cs="宋体"/>
          <w:color w:val="auto"/>
          <w:spacing w:val="1"/>
          <w:sz w:val="21"/>
          <w:szCs w:val="21"/>
          <w:highlight w:val="none"/>
          <w:lang w:val="en-US" w:eastAsia="zh-CN"/>
        </w:rPr>
        <w:t>总合同额到达（或接近）</w:t>
      </w:r>
      <w:r>
        <w:rPr>
          <w:rFonts w:hint="eastAsia" w:ascii="宋体" w:hAnsi="宋体" w:cs="宋体"/>
          <w:color w:val="auto"/>
          <w:spacing w:val="1"/>
          <w:sz w:val="21"/>
          <w:szCs w:val="21"/>
          <w:highlight w:val="none"/>
          <w:lang w:val="en-US" w:eastAsia="zh-CN"/>
        </w:rPr>
        <w:t>2000</w:t>
      </w:r>
      <w:r>
        <w:rPr>
          <w:rFonts w:hint="eastAsia" w:ascii="宋体" w:hAnsi="宋体" w:eastAsia="宋体" w:cs="宋体"/>
          <w:color w:val="auto"/>
          <w:spacing w:val="1"/>
          <w:sz w:val="21"/>
          <w:szCs w:val="21"/>
          <w:highlight w:val="none"/>
          <w:lang w:val="en-US" w:eastAsia="zh-CN"/>
        </w:rPr>
        <w:t>万元时或合同生效之日起满3年时结束（以先到者为准）。</w:t>
      </w:r>
    </w:p>
    <w:p w14:paraId="2F765DA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3.2</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pacing w:val="1"/>
          <w:sz w:val="21"/>
          <w:szCs w:val="21"/>
          <w:highlight w:val="none"/>
          <w:u w:val="single"/>
        </w:rPr>
        <w:t>工期：</w:t>
      </w:r>
      <w:r>
        <w:rPr>
          <w:rFonts w:hint="eastAsia" w:ascii="宋体" w:hAnsi="宋体" w:eastAsia="宋体" w:cs="宋体"/>
          <w:b/>
          <w:bCs w:val="0"/>
          <w:color w:val="auto"/>
          <w:spacing w:val="1"/>
          <w:sz w:val="21"/>
          <w:szCs w:val="21"/>
          <w:highlight w:val="none"/>
          <w:u w:val="single"/>
          <w:lang w:val="zh-CN"/>
        </w:rPr>
        <w:t>中标人应在采购人确定相应地块及充电桩建设形式后</w:t>
      </w:r>
      <w:r>
        <w:rPr>
          <w:rFonts w:hint="eastAsia" w:ascii="宋体" w:hAnsi="宋体" w:eastAsia="宋体" w:cs="宋体"/>
          <w:b/>
          <w:bCs w:val="0"/>
          <w:color w:val="auto"/>
          <w:spacing w:val="1"/>
          <w:sz w:val="21"/>
          <w:szCs w:val="21"/>
          <w:highlight w:val="none"/>
          <w:u w:val="single"/>
          <w:lang w:val="en-US" w:eastAsia="zh-CN"/>
        </w:rPr>
        <w:t>60</w:t>
      </w:r>
      <w:r>
        <w:rPr>
          <w:rFonts w:hint="eastAsia" w:ascii="宋体" w:hAnsi="宋体" w:eastAsia="宋体" w:cs="宋体"/>
          <w:b/>
          <w:bCs w:val="0"/>
          <w:color w:val="auto"/>
          <w:spacing w:val="1"/>
          <w:sz w:val="21"/>
          <w:szCs w:val="21"/>
          <w:highlight w:val="none"/>
          <w:u w:val="single"/>
          <w:lang w:val="zh-CN"/>
        </w:rPr>
        <w:t>个日历天内完成充电桩建设且能正常投入使用</w:t>
      </w:r>
      <w:r>
        <w:rPr>
          <w:rFonts w:hint="eastAsia" w:ascii="宋体" w:hAnsi="宋体" w:eastAsia="宋体" w:cs="宋体"/>
          <w:b/>
          <w:bCs w:val="0"/>
          <w:color w:val="auto"/>
          <w:spacing w:val="1"/>
          <w:sz w:val="21"/>
          <w:szCs w:val="21"/>
          <w:highlight w:val="none"/>
          <w:u w:val="single"/>
        </w:rPr>
        <w:t>。在规定的时间内由于中标人的原因不能完成安装、调试、验收合格并投入使用的，采购人有权没收履约保证金，且中标人应承担由此给采购人造成的其他损失。</w:t>
      </w:r>
    </w:p>
    <w:p w14:paraId="1ED5D30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3.3在每批次供货前，采购人以书面形式向供应商出具供货任务书，供应商根据供货任务书要求供货安装。</w:t>
      </w:r>
    </w:p>
    <w:p w14:paraId="102564C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4、本项目运维所需电力由采购人负责。</w:t>
      </w:r>
    </w:p>
    <w:p w14:paraId="6471F99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5、投标单位在台州市内设有服务网点（或承诺中标后1个月内在台州市设立本地化运维服务机构）。</w:t>
      </w:r>
    </w:p>
    <w:p w14:paraId="10BA0E6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6、质保期要求：</w:t>
      </w:r>
    </w:p>
    <w:p w14:paraId="3EDCECC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pacing w:val="1"/>
          <w:sz w:val="21"/>
          <w:szCs w:val="21"/>
          <w:highlight w:val="none"/>
          <w:u w:val="single"/>
        </w:rPr>
        <w:t>免费保修期：</w:t>
      </w:r>
      <w:r>
        <w:rPr>
          <w:rFonts w:hint="eastAsia" w:ascii="宋体" w:hAnsi="宋体" w:eastAsia="宋体" w:cs="宋体"/>
          <w:b/>
          <w:bCs w:val="0"/>
          <w:color w:val="auto"/>
          <w:spacing w:val="1"/>
          <w:sz w:val="21"/>
          <w:szCs w:val="21"/>
          <w:highlight w:val="none"/>
          <w:u w:val="single"/>
        </w:rPr>
        <w:t>整体质保期为5年</w:t>
      </w:r>
      <w:r>
        <w:rPr>
          <w:rFonts w:hint="eastAsia" w:ascii="宋体" w:hAnsi="宋体" w:eastAsia="宋体" w:cs="宋体"/>
          <w:b/>
          <w:bCs w:val="0"/>
          <w:color w:val="auto"/>
          <w:spacing w:val="1"/>
          <w:sz w:val="21"/>
          <w:szCs w:val="21"/>
          <w:highlight w:val="none"/>
          <w:u w:val="single"/>
        </w:rPr>
        <w:t>，其保修价已包含在投标报价内。保修价包括所有主、配件维修及现场上门服务等所需的费用。</w:t>
      </w:r>
    </w:p>
    <w:p w14:paraId="08B55680">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6.2质保期内：实行“三包”，所购设备各部件发生因质量原因导致的故障，供货方免费更换同种品牌不低于原价位、规格、型号的部件。当设备需要升级时免费升级。在质保期内，供货方每三个月免费上门检修一次，并提供完整的检修报告。在质保期内产品如有质量问题，供货方必须在接到故障通知后1小时内电话响应，在3小时内赶到现场并在到达现场后8小时内解决故障。</w:t>
      </w:r>
    </w:p>
    <w:p w14:paraId="468D1EEE">
      <w:pPr>
        <w:keepNext w:val="0"/>
        <w:keepLines w:val="0"/>
        <w:pageBreakBefore w:val="0"/>
        <w:kinsoku/>
        <w:wordWrap/>
        <w:overflowPunct/>
        <w:autoSpaceDE w:val="0"/>
        <w:autoSpaceDN w:val="0"/>
        <w:bidi w:val="0"/>
        <w:adjustRightInd w:val="0"/>
        <w:snapToGrid w:val="0"/>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6.3质保期后：供货方提供终身优惠服务和技术支持，设备出现故障需要修理时，所换零件按成本价收取。</w:t>
      </w:r>
    </w:p>
    <w:p w14:paraId="56215800">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b/>
          <w:bCs w:val="0"/>
          <w:color w:val="auto"/>
          <w:spacing w:val="1"/>
          <w:sz w:val="21"/>
          <w:szCs w:val="21"/>
          <w:highlight w:val="none"/>
          <w:u w:val="single"/>
        </w:rPr>
      </w:pPr>
      <w:r>
        <w:rPr>
          <w:rFonts w:hint="eastAsia" w:ascii="宋体" w:hAnsi="宋体" w:eastAsia="宋体" w:cs="宋体"/>
          <w:color w:val="auto"/>
          <w:spacing w:val="1"/>
          <w:sz w:val="21"/>
          <w:szCs w:val="21"/>
          <w:highlight w:val="none"/>
        </w:rPr>
        <w:t>7、</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pacing w:val="1"/>
          <w:sz w:val="21"/>
          <w:szCs w:val="21"/>
          <w:highlight w:val="none"/>
          <w:u w:val="single"/>
        </w:rPr>
        <w:t>付款方式：</w:t>
      </w:r>
    </w:p>
    <w:p w14:paraId="1B23F535">
      <w:pPr>
        <w:keepNext w:val="0"/>
        <w:keepLines w:val="0"/>
        <w:pageBreakBefore w:val="0"/>
        <w:widowControl/>
        <w:numPr>
          <w:ilvl w:val="0"/>
          <w:numId w:val="4"/>
        </w:numPr>
        <w:kinsoku/>
        <w:wordWrap/>
        <w:overflowPunct/>
        <w:bidi w:val="0"/>
        <w:adjustRightInd w:val="0"/>
        <w:snapToGrid w:val="0"/>
        <w:spacing w:line="312" w:lineRule="auto"/>
        <w:ind w:firstLine="426" w:firstLineChars="200"/>
        <w:jc w:val="left"/>
        <w:textAlignment w:val="auto"/>
        <w:rPr>
          <w:rFonts w:hint="eastAsia" w:ascii="宋体" w:hAnsi="宋体" w:eastAsia="宋体" w:cs="宋体"/>
          <w:b/>
          <w:bCs w:val="0"/>
          <w:color w:val="auto"/>
          <w:spacing w:val="1"/>
          <w:sz w:val="21"/>
          <w:szCs w:val="21"/>
          <w:highlight w:val="none"/>
          <w:u w:val="single"/>
          <w:lang w:eastAsia="zh-CN"/>
        </w:rPr>
      </w:pPr>
      <w:r>
        <w:rPr>
          <w:rFonts w:hint="eastAsia" w:ascii="宋体" w:hAnsi="宋体" w:eastAsia="宋体" w:cs="宋体"/>
          <w:b/>
          <w:bCs w:val="0"/>
          <w:color w:val="auto"/>
          <w:spacing w:val="1"/>
          <w:sz w:val="21"/>
          <w:szCs w:val="21"/>
          <w:highlight w:val="none"/>
          <w:u w:val="single"/>
        </w:rPr>
        <w:t>接</w:t>
      </w:r>
      <w:r>
        <w:rPr>
          <w:rFonts w:hint="eastAsia" w:ascii="宋体" w:hAnsi="宋体" w:cs="宋体"/>
          <w:b/>
          <w:bCs w:val="0"/>
          <w:color w:val="auto"/>
          <w:spacing w:val="1"/>
          <w:sz w:val="21"/>
          <w:szCs w:val="21"/>
          <w:highlight w:val="none"/>
          <w:u w:val="single"/>
          <w:lang w:val="en-US" w:eastAsia="zh-CN"/>
        </w:rPr>
        <w:t>采购</w:t>
      </w:r>
      <w:r>
        <w:rPr>
          <w:rFonts w:hint="eastAsia" w:ascii="宋体" w:hAnsi="宋体" w:eastAsia="宋体" w:cs="宋体"/>
          <w:b/>
          <w:bCs w:val="0"/>
          <w:color w:val="auto"/>
          <w:spacing w:val="1"/>
          <w:sz w:val="21"/>
          <w:szCs w:val="21"/>
          <w:highlight w:val="none"/>
          <w:u w:val="single"/>
        </w:rPr>
        <w:t>方建设通知后5个工作日内，</w:t>
      </w:r>
      <w:r>
        <w:rPr>
          <w:rFonts w:hint="eastAsia" w:ascii="宋体" w:hAnsi="宋体" w:cs="宋体"/>
          <w:b/>
          <w:bCs w:val="0"/>
          <w:color w:val="auto"/>
          <w:spacing w:val="1"/>
          <w:sz w:val="21"/>
          <w:szCs w:val="21"/>
          <w:highlight w:val="none"/>
          <w:u w:val="single"/>
          <w:lang w:val="en-US" w:eastAsia="zh-CN"/>
        </w:rPr>
        <w:t>采购</w:t>
      </w:r>
      <w:r>
        <w:rPr>
          <w:rFonts w:hint="eastAsia" w:ascii="宋体" w:hAnsi="宋体" w:eastAsia="宋体" w:cs="宋体"/>
          <w:b/>
          <w:bCs w:val="0"/>
          <w:color w:val="auto"/>
          <w:spacing w:val="1"/>
          <w:sz w:val="21"/>
          <w:szCs w:val="21"/>
          <w:highlight w:val="none"/>
          <w:u w:val="single"/>
        </w:rPr>
        <w:t>方向</w:t>
      </w:r>
      <w:r>
        <w:rPr>
          <w:rFonts w:hint="eastAsia" w:ascii="宋体" w:hAnsi="宋体" w:cs="宋体"/>
          <w:b/>
          <w:bCs w:val="0"/>
          <w:color w:val="auto"/>
          <w:spacing w:val="1"/>
          <w:sz w:val="21"/>
          <w:szCs w:val="21"/>
          <w:highlight w:val="none"/>
          <w:u w:val="single"/>
          <w:lang w:val="en-US" w:eastAsia="zh-CN"/>
        </w:rPr>
        <w:t>中标</w:t>
      </w:r>
      <w:r>
        <w:rPr>
          <w:rFonts w:hint="eastAsia" w:ascii="宋体" w:hAnsi="宋体" w:eastAsia="宋体" w:cs="宋体"/>
          <w:b/>
          <w:bCs w:val="0"/>
          <w:color w:val="auto"/>
          <w:spacing w:val="1"/>
          <w:sz w:val="21"/>
          <w:szCs w:val="21"/>
          <w:highlight w:val="none"/>
          <w:u w:val="single"/>
        </w:rPr>
        <w:t>方支付预付款，支付比例为当期供货金额的30%；设备</w:t>
      </w:r>
      <w:r>
        <w:rPr>
          <w:rFonts w:hint="eastAsia" w:ascii="宋体" w:hAnsi="宋体" w:eastAsia="宋体" w:cs="宋体"/>
          <w:b/>
          <w:bCs w:val="0"/>
          <w:color w:val="auto"/>
          <w:spacing w:val="1"/>
          <w:sz w:val="21"/>
          <w:szCs w:val="21"/>
          <w:highlight w:val="none"/>
          <w:u w:val="single"/>
          <w:lang w:val="en-US" w:eastAsia="zh-CN"/>
        </w:rPr>
        <w:t>安装完成</w:t>
      </w:r>
      <w:r>
        <w:rPr>
          <w:rFonts w:hint="eastAsia" w:ascii="宋体" w:hAnsi="宋体" w:eastAsia="宋体" w:cs="宋体"/>
          <w:b/>
          <w:bCs w:val="0"/>
          <w:color w:val="auto"/>
          <w:spacing w:val="1"/>
          <w:sz w:val="21"/>
          <w:szCs w:val="21"/>
          <w:highlight w:val="none"/>
          <w:u w:val="single"/>
        </w:rPr>
        <w:t>后支付至当期供货金额的70%；在货物最终试运行验收合格且结算后付至结算价的</w:t>
      </w:r>
      <w:r>
        <w:rPr>
          <w:rFonts w:hint="eastAsia" w:ascii="宋体" w:hAnsi="宋体" w:eastAsia="宋体" w:cs="宋体"/>
          <w:b/>
          <w:bCs w:val="0"/>
          <w:color w:val="auto"/>
          <w:spacing w:val="1"/>
          <w:sz w:val="21"/>
          <w:szCs w:val="21"/>
          <w:highlight w:val="none"/>
          <w:u w:val="single"/>
          <w:lang w:val="en-US" w:eastAsia="zh-CN"/>
        </w:rPr>
        <w:t>97.5</w:t>
      </w:r>
      <w:r>
        <w:rPr>
          <w:rFonts w:hint="eastAsia" w:ascii="宋体" w:hAnsi="宋体" w:eastAsia="宋体" w:cs="宋体"/>
          <w:b/>
          <w:bCs w:val="0"/>
          <w:color w:val="auto"/>
          <w:spacing w:val="1"/>
          <w:sz w:val="21"/>
          <w:szCs w:val="21"/>
          <w:highlight w:val="none"/>
          <w:u w:val="single"/>
        </w:rPr>
        <w:t>%</w:t>
      </w:r>
      <w:r>
        <w:rPr>
          <w:rFonts w:hint="eastAsia" w:ascii="宋体" w:hAnsi="宋体" w:eastAsia="宋体" w:cs="宋体"/>
          <w:b/>
          <w:bCs w:val="0"/>
          <w:color w:val="auto"/>
          <w:spacing w:val="1"/>
          <w:sz w:val="21"/>
          <w:szCs w:val="21"/>
          <w:highlight w:val="none"/>
          <w:u w:val="single"/>
          <w:lang w:eastAsia="zh-CN"/>
        </w:rPr>
        <w:t>，剩余</w:t>
      </w:r>
      <w:r>
        <w:rPr>
          <w:rFonts w:hint="eastAsia" w:ascii="宋体" w:hAnsi="宋体" w:eastAsia="宋体" w:cs="宋体"/>
          <w:b/>
          <w:bCs w:val="0"/>
          <w:color w:val="auto"/>
          <w:spacing w:val="1"/>
          <w:sz w:val="21"/>
          <w:szCs w:val="21"/>
          <w:highlight w:val="none"/>
          <w:u w:val="single"/>
          <w:lang w:val="en-US" w:eastAsia="zh-CN"/>
        </w:rPr>
        <w:t>2.5%作为质保金</w:t>
      </w:r>
      <w:r>
        <w:rPr>
          <w:rFonts w:hint="eastAsia" w:ascii="宋体" w:hAnsi="宋体" w:eastAsia="宋体" w:cs="宋体"/>
          <w:b/>
          <w:bCs w:val="0"/>
          <w:color w:val="auto"/>
          <w:spacing w:val="1"/>
          <w:sz w:val="21"/>
          <w:szCs w:val="21"/>
          <w:highlight w:val="none"/>
          <w:u w:val="single"/>
          <w:lang w:eastAsia="zh-CN"/>
        </w:rPr>
        <w:t>；</w:t>
      </w:r>
    </w:p>
    <w:p w14:paraId="3858AEFC">
      <w:pPr>
        <w:keepNext w:val="0"/>
        <w:keepLines w:val="0"/>
        <w:pageBreakBefore w:val="0"/>
        <w:widowControl/>
        <w:numPr>
          <w:ilvl w:val="0"/>
          <w:numId w:val="4"/>
        </w:numPr>
        <w:kinsoku/>
        <w:wordWrap/>
        <w:overflowPunct/>
        <w:bidi w:val="0"/>
        <w:adjustRightInd w:val="0"/>
        <w:snapToGrid w:val="0"/>
        <w:spacing w:line="312" w:lineRule="auto"/>
        <w:ind w:firstLine="426" w:firstLineChars="200"/>
        <w:jc w:val="left"/>
        <w:textAlignment w:val="auto"/>
        <w:rPr>
          <w:rFonts w:hint="eastAsia" w:ascii="宋体" w:hAnsi="宋体" w:eastAsia="宋体" w:cs="宋体"/>
          <w:b/>
          <w:bCs w:val="0"/>
          <w:color w:val="auto"/>
          <w:spacing w:val="1"/>
          <w:sz w:val="21"/>
          <w:szCs w:val="21"/>
          <w:highlight w:val="none"/>
          <w:u w:val="single"/>
        </w:rPr>
      </w:pPr>
      <w:r>
        <w:rPr>
          <w:rFonts w:hint="eastAsia" w:ascii="宋体" w:hAnsi="宋体" w:eastAsia="宋体" w:cs="宋体"/>
          <w:b/>
          <w:bCs w:val="0"/>
          <w:color w:val="auto"/>
          <w:spacing w:val="1"/>
          <w:sz w:val="21"/>
          <w:szCs w:val="21"/>
          <w:highlight w:val="none"/>
          <w:u w:val="single"/>
          <w:lang w:val="en-US" w:eastAsia="zh-CN"/>
        </w:rPr>
        <w:t>2.5%的质保金分2期支付：在项目</w:t>
      </w:r>
      <w:r>
        <w:rPr>
          <w:rFonts w:hint="eastAsia" w:ascii="宋体" w:hAnsi="宋体" w:eastAsia="宋体" w:cs="宋体"/>
          <w:b/>
          <w:bCs w:val="0"/>
          <w:color w:val="auto"/>
          <w:spacing w:val="1"/>
          <w:sz w:val="21"/>
          <w:szCs w:val="21"/>
          <w:highlight w:val="none"/>
          <w:u w:val="single"/>
        </w:rPr>
        <w:t>终验收合格</w:t>
      </w:r>
      <w:r>
        <w:rPr>
          <w:rFonts w:hint="eastAsia" w:ascii="宋体" w:hAnsi="宋体" w:eastAsia="宋体" w:cs="宋体"/>
          <w:b/>
          <w:bCs w:val="0"/>
          <w:color w:val="auto"/>
          <w:spacing w:val="1"/>
          <w:sz w:val="21"/>
          <w:szCs w:val="21"/>
          <w:highlight w:val="none"/>
          <w:u w:val="single"/>
          <w:lang w:val="en-US" w:eastAsia="zh-CN"/>
        </w:rPr>
        <w:t>3年后支付结算价款的1.25%，剩余质保金在项目</w:t>
      </w:r>
      <w:r>
        <w:rPr>
          <w:rFonts w:hint="eastAsia" w:ascii="宋体" w:hAnsi="宋体" w:eastAsia="宋体" w:cs="宋体"/>
          <w:b/>
          <w:bCs w:val="0"/>
          <w:color w:val="auto"/>
          <w:spacing w:val="1"/>
          <w:sz w:val="21"/>
          <w:szCs w:val="21"/>
          <w:highlight w:val="none"/>
          <w:u w:val="single"/>
        </w:rPr>
        <w:t>终验收合格</w:t>
      </w:r>
      <w:r>
        <w:rPr>
          <w:rFonts w:hint="eastAsia" w:ascii="宋体" w:hAnsi="宋体" w:eastAsia="宋体" w:cs="宋体"/>
          <w:b/>
          <w:bCs w:val="0"/>
          <w:color w:val="auto"/>
          <w:spacing w:val="1"/>
          <w:sz w:val="21"/>
          <w:szCs w:val="21"/>
          <w:highlight w:val="none"/>
          <w:u w:val="single"/>
          <w:lang w:val="en-US" w:eastAsia="zh-CN"/>
        </w:rPr>
        <w:t>5年后付清</w:t>
      </w:r>
      <w:r>
        <w:rPr>
          <w:rFonts w:hint="eastAsia" w:ascii="宋体" w:hAnsi="宋体" w:eastAsia="宋体" w:cs="宋体"/>
          <w:b/>
          <w:bCs w:val="0"/>
          <w:color w:val="auto"/>
          <w:spacing w:val="1"/>
          <w:sz w:val="21"/>
          <w:szCs w:val="21"/>
          <w:highlight w:val="none"/>
          <w:u w:val="single"/>
        </w:rPr>
        <w:t>。</w:t>
      </w:r>
    </w:p>
    <w:p w14:paraId="4CA4186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8、验收</w:t>
      </w:r>
    </w:p>
    <w:p w14:paraId="3CF9FAA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中标人应按合同规定提供了符合招标文件规定的要求的货物和服务，向采购人提供所有的技术资料和清单，若因中标人质量问题等导致验收不合格，中标人应及时予以整改，直至验收合格，期间发生的一切费用由中标人承担，采购人保留向中标人索赔的权利。</w:t>
      </w:r>
    </w:p>
    <w:p w14:paraId="228ACA1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9、培训</w:t>
      </w:r>
    </w:p>
    <w:p w14:paraId="4538726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9.1中标人有义务对采购人采购设备的正常使用和维护提供必要的培训。</w:t>
      </w:r>
    </w:p>
    <w:p w14:paraId="481050D0">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9.2培训的内容包括主要设备和软件的安装、使用、配置管理、性能优化以及硬件基本维护知识。</w:t>
      </w:r>
    </w:p>
    <w:p w14:paraId="1D82C56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9.3 采购人如有培训需求，投标供应商必须派出具有相应专业资格和实际工作经验的人员进行培训。</w:t>
      </w:r>
    </w:p>
    <w:p w14:paraId="181EF11C">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投标供应商应按照采购人要求在用户地培训。</w:t>
      </w:r>
    </w:p>
    <w:p w14:paraId="68FC93F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9.4 培训所需费用已包含在合同价中。</w:t>
      </w:r>
    </w:p>
    <w:p w14:paraId="35BAEEEA">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b/>
          <w:bCs w:val="0"/>
          <w:color w:val="auto"/>
          <w:spacing w:val="1"/>
          <w:sz w:val="21"/>
          <w:szCs w:val="21"/>
          <w:highlight w:val="none"/>
          <w:u w:val="single"/>
        </w:rPr>
      </w:pPr>
      <w:r>
        <w:rPr>
          <w:rFonts w:hint="eastAsia" w:ascii="宋体" w:hAnsi="宋体" w:eastAsia="宋体" w:cs="宋体"/>
          <w:color w:val="auto"/>
          <w:spacing w:val="1"/>
          <w:sz w:val="21"/>
          <w:szCs w:val="21"/>
          <w:highlight w:val="none"/>
        </w:rPr>
        <w:t>10、</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pacing w:val="1"/>
          <w:sz w:val="21"/>
          <w:szCs w:val="21"/>
          <w:highlight w:val="none"/>
          <w:u w:val="single"/>
        </w:rPr>
        <w:t>中标人须在供货安装前提供设备原厂商授权文件、质保证明等材料，包装内均需有生产厂商标识、装箱清单、使用说明书、质保卡、联系方式等（投标时，提供承诺函）。</w:t>
      </w:r>
    </w:p>
    <w:p w14:paraId="79A0781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11、</w:t>
      </w:r>
      <w:r>
        <w:rPr>
          <w:rFonts w:hint="eastAsia" w:ascii="宋体" w:hAnsi="宋体" w:eastAsia="宋体" w:cs="宋体"/>
          <w:b/>
          <w:bCs/>
          <w:color w:val="auto"/>
          <w:spacing w:val="1"/>
          <w:sz w:val="21"/>
          <w:szCs w:val="21"/>
          <w:highlight w:val="none"/>
          <w:u w:val="single"/>
        </w:rPr>
        <w:t>▲如果中标人售后服务达不到要求或因产品质量导致充电车辆、人员受损的，中标人负责赔偿一切损失。采购方有权单方面解除合同，并保留向中标人追赔损失的权利（投标时，提供承诺函）。</w:t>
      </w:r>
    </w:p>
    <w:p w14:paraId="2B25B8E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12、</w:t>
      </w:r>
      <w:r>
        <w:rPr>
          <w:rFonts w:hint="eastAsia" w:ascii="宋体" w:hAnsi="宋体" w:eastAsia="宋体" w:cs="宋体"/>
          <w:b/>
          <w:bCs/>
          <w:color w:val="auto"/>
          <w:spacing w:val="1"/>
          <w:sz w:val="21"/>
          <w:szCs w:val="21"/>
          <w:highlight w:val="none"/>
          <w:u w:val="single"/>
        </w:rPr>
        <w:t>▲</w:t>
      </w:r>
      <w:r>
        <w:rPr>
          <w:rFonts w:hint="eastAsia" w:ascii="宋体" w:hAnsi="宋体" w:eastAsia="宋体" w:cs="宋体"/>
          <w:b/>
          <w:bCs/>
          <w:color w:val="auto"/>
          <w:spacing w:val="1"/>
          <w:sz w:val="21"/>
          <w:szCs w:val="21"/>
          <w:highlight w:val="none"/>
          <w:u w:val="single"/>
          <w:lang w:val="en-US" w:eastAsia="zh-CN"/>
        </w:rPr>
        <w:t>中标人须确保项目正常运行的所有数据均终身免费提供给采购人使用</w:t>
      </w:r>
      <w:r>
        <w:rPr>
          <w:rFonts w:hint="eastAsia" w:ascii="宋体" w:hAnsi="宋体" w:eastAsia="宋体" w:cs="宋体"/>
          <w:b/>
          <w:bCs/>
          <w:color w:val="auto"/>
          <w:spacing w:val="1"/>
          <w:sz w:val="21"/>
          <w:szCs w:val="21"/>
          <w:highlight w:val="none"/>
          <w:u w:val="single"/>
        </w:rPr>
        <w:t>（投标时，提供承诺函）</w:t>
      </w:r>
      <w:r>
        <w:rPr>
          <w:rFonts w:hint="eastAsia" w:ascii="宋体" w:hAnsi="宋体" w:eastAsia="宋体" w:cs="宋体"/>
          <w:b/>
          <w:bCs/>
          <w:color w:val="auto"/>
          <w:spacing w:val="1"/>
          <w:sz w:val="21"/>
          <w:szCs w:val="21"/>
          <w:highlight w:val="none"/>
          <w:u w:val="single"/>
          <w:lang w:val="en-US" w:eastAsia="zh-CN"/>
        </w:rPr>
        <w:t>。</w:t>
      </w:r>
    </w:p>
    <w:p w14:paraId="692C8165">
      <w:pPr>
        <w:pStyle w:val="10"/>
        <w:keepNext w:val="0"/>
        <w:keepLines w:val="0"/>
        <w:pageBreakBefore w:val="0"/>
        <w:kinsoku/>
        <w:wordWrap/>
        <w:overflowPunct/>
        <w:bidi w:val="0"/>
        <w:adjustRightInd w:val="0"/>
        <w:snapToGrid w:val="0"/>
        <w:spacing w:line="312" w:lineRule="auto"/>
        <w:ind w:firstLine="424"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13、在项目5年免费质保期内，项目正常运行所需的平台均由中标人免费提供，此费用已在投标报价中综合考虑，不另行计费。</w:t>
      </w:r>
    </w:p>
    <w:p w14:paraId="117542E2">
      <w:pPr>
        <w:keepNext w:val="0"/>
        <w:keepLines w:val="0"/>
        <w:pageBreakBefore w:val="0"/>
        <w:kinsoku/>
        <w:wordWrap/>
        <w:overflowPunct/>
        <w:bidi w:val="0"/>
        <w:adjustRightInd w:val="0"/>
        <w:snapToGrid w:val="0"/>
        <w:spacing w:line="312" w:lineRule="auto"/>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本次招标的货物如涉及国家规定强制认证的，均视为供应商投标产品符合了工业品生产许可证，3C认证、环保产品认证、节能产品认证等强制认证规定的，中标人须在采购人对上述货物验收时提供相关证书证明资料，否则作验收不能通过处理，</w:t>
      </w:r>
      <w:r>
        <w:rPr>
          <w:rFonts w:hint="eastAsia" w:ascii="宋体" w:hAnsi="宋体" w:eastAsia="宋体" w:cs="宋体"/>
          <w:color w:val="auto"/>
          <w:sz w:val="21"/>
          <w:szCs w:val="21"/>
          <w:highlight w:val="none"/>
        </w:rPr>
        <w:t>采购人有权要求中标人支付合同总金额5%的违约金，同时采购人有权解除合同。</w:t>
      </w:r>
    </w:p>
    <w:p w14:paraId="033EF2C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、安全生产责任：在合同执行过程中，中标人应承担人身伤害、财产损失或损坏的责任，无论何种原因所造成，采购人概不负责。</w:t>
      </w:r>
    </w:p>
    <w:p w14:paraId="73E2554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、知识产权</w:t>
      </w:r>
    </w:p>
    <w:p w14:paraId="7EB8DAC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中标人应保证在本项目使用的任何产品和服务（包括部分使用）时，不会产生因第三方提出侵犯其专利权、商标权或其它知识产权而引起的法律和经济纠纷，如因专利权、商标权或其它知识产权而引起法律和经济纠纷，由中标人承担所有相关责任；</w:t>
      </w:r>
      <w:r>
        <w:rPr>
          <w:rFonts w:hint="eastAsia" w:ascii="宋体" w:hAnsi="宋体" w:eastAsia="宋体" w:cs="宋体"/>
          <w:color w:val="auto"/>
          <w:sz w:val="21"/>
          <w:szCs w:val="21"/>
          <w:highlight w:val="none"/>
        </w:rPr>
        <w:t>若采购人承担责任，有权向中标人全额追偿</w:t>
      </w:r>
      <w:r>
        <w:rPr>
          <w:rFonts w:hint="eastAsia" w:ascii="宋体" w:hAnsi="宋体" w:eastAsia="宋体" w:cs="宋体"/>
          <w:color w:val="auto"/>
          <w:spacing w:val="1"/>
          <w:sz w:val="21"/>
          <w:szCs w:val="21"/>
          <w:highlight w:val="none"/>
        </w:rPr>
        <w:t>。</w:t>
      </w:r>
    </w:p>
    <w:p w14:paraId="4A8F6D9F">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（2）采购人享有本项目实施过程中产生的知识成果及知识产权。</w:t>
      </w:r>
    </w:p>
    <w:p w14:paraId="349338A1">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中标人如欲在项目实施过程中采用自有知识成果，需在投标文件中声明，并提供相关知识产权证明文件。使用该知识成果后，中标人需提供开发接口和开发手册等技术文档，并承诺提供无限期技术支持，采购人享有永久使用权（含采购人委托第三方在该项目后续开发的使用权）。</w:t>
      </w:r>
    </w:p>
    <w:p w14:paraId="7D032E95">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（4）如采用中标人所不拥有的知识产权，则在报价中必须包括合法获取该知识产权的相关费用。</w:t>
      </w:r>
    </w:p>
    <w:p w14:paraId="66777F6D">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、安全文明施工</w:t>
      </w:r>
    </w:p>
    <w:p w14:paraId="35EDDFE4">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合同当事人对文明施工的要求：按省、市发有关安全文明施工管理规定执行。</w:t>
      </w:r>
    </w:p>
    <w:p w14:paraId="77C75578">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安全文明施工费包含在签约合同价内。</w:t>
      </w:r>
    </w:p>
    <w:p w14:paraId="571823A6">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实际施工时，未达到施工安全文明的有关规定的，在结算时采购人可扣减相应费用</w:t>
      </w:r>
      <w:r>
        <w:rPr>
          <w:rFonts w:hint="eastAsia" w:ascii="宋体" w:hAnsi="宋体" w:cs="宋体"/>
          <w:color w:val="auto"/>
          <w:spacing w:val="1"/>
          <w:sz w:val="21"/>
          <w:szCs w:val="21"/>
          <w:highlight w:val="none"/>
          <w:lang w:val="en-US" w:eastAsia="zh-CN"/>
        </w:rPr>
        <w:t>。</w:t>
      </w:r>
    </w:p>
    <w:p w14:paraId="6A63E440">
      <w:pPr>
        <w:keepNext w:val="0"/>
        <w:keepLines w:val="0"/>
        <w:pageBreakBefore w:val="0"/>
        <w:numPr>
          <w:ilvl w:val="0"/>
          <w:numId w:val="5"/>
        </w:numPr>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履约保证金</w:t>
      </w:r>
    </w:p>
    <w:p w14:paraId="0167EDF1">
      <w:pPr>
        <w:keepNext w:val="0"/>
        <w:keepLines w:val="0"/>
        <w:pageBreakBefore w:val="0"/>
        <w:numPr>
          <w:ilvl w:val="0"/>
          <w:numId w:val="0"/>
        </w:numPr>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1）金额：100万元</w:t>
      </w:r>
      <w:r>
        <w:rPr>
          <w:rFonts w:hint="eastAsia" w:ascii="宋体" w:hAnsi="宋体" w:cs="宋体"/>
          <w:color w:val="auto"/>
          <w:spacing w:val="1"/>
          <w:sz w:val="21"/>
          <w:szCs w:val="21"/>
          <w:highlight w:val="none"/>
          <w:lang w:val="en-US" w:eastAsia="zh-CN"/>
        </w:rPr>
        <w:t>。</w:t>
      </w:r>
    </w:p>
    <w:p w14:paraId="6783916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2）收取方式：网银、汇票、电汇、转账支付或银行保函、保险公司保单形式；</w:t>
      </w:r>
    </w:p>
    <w:p w14:paraId="2E94BDF9">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default" w:ascii="宋体" w:hAnsi="宋体" w:eastAsia="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3）履约保证金的退还：</w:t>
      </w:r>
      <w:r>
        <w:rPr>
          <w:rFonts w:hint="eastAsia" w:ascii="宋体" w:hAnsi="宋体" w:cs="宋体"/>
          <w:color w:val="auto"/>
          <w:spacing w:val="1"/>
          <w:sz w:val="21"/>
          <w:szCs w:val="21"/>
          <w:highlight w:val="none"/>
          <w:lang w:val="en-US" w:eastAsia="zh-CN"/>
        </w:rPr>
        <w:t>履约保证金在合同履行到期且无异议情况下10日内退还（采用银行保函或保险公司保单形式的，在合同履行到期且无异议情况下10日内自动解除）。</w:t>
      </w:r>
    </w:p>
    <w:p w14:paraId="69325B2A">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1EE89B62">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第五章 合同主要条款</w:t>
      </w:r>
    </w:p>
    <w:p w14:paraId="001270D3">
      <w:pPr>
        <w:pStyle w:val="45"/>
        <w:pageBreakBefore w:val="0"/>
        <w:widowControl w:val="0"/>
        <w:kinsoku/>
        <w:wordWrap/>
        <w:overflowPunct/>
        <w:topLinePunct w:val="0"/>
        <w:bidi w:val="0"/>
        <w:snapToGrid/>
        <w:spacing w:line="360" w:lineRule="auto"/>
        <w:jc w:val="center"/>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bidi="ar-SA"/>
        </w:rPr>
        <w:t>（此稿为合同样本，最终定稿待双方协商后定）</w:t>
      </w:r>
      <w:r>
        <w:rPr>
          <w:rFonts w:hint="eastAsia" w:asciiTheme="minorEastAsia" w:hAnsiTheme="minorEastAsia" w:eastAsiaTheme="minorEastAsia" w:cstheme="minorEastAsia"/>
          <w:color w:val="auto"/>
          <w:sz w:val="21"/>
          <w:szCs w:val="21"/>
          <w:highlight w:val="none"/>
        </w:rPr>
        <w:t xml:space="preserve">            </w:t>
      </w:r>
    </w:p>
    <w:p w14:paraId="0D30A2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台州市章鱼出行科技有限公司</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w:t>
      </w:r>
      <w:r>
        <w:rPr>
          <w:rFonts w:hint="eastAsia" w:ascii="宋体" w:hAnsi="宋体" w:cs="宋体"/>
          <w:color w:val="auto"/>
          <w:sz w:val="21"/>
          <w:szCs w:val="21"/>
          <w:highlight w:val="none"/>
          <w:lang w:eastAsia="zh-CN"/>
        </w:rPr>
        <w:t>作</w:t>
      </w:r>
      <w:r>
        <w:rPr>
          <w:rFonts w:hint="eastAsia" w:ascii="宋体" w:hAnsi="宋体" w:eastAsia="宋体" w:cs="宋体"/>
          <w:color w:val="auto"/>
          <w:sz w:val="21"/>
          <w:szCs w:val="21"/>
          <w:highlight w:val="none"/>
        </w:rPr>
        <w:t>拒绝或提出调整完善要求的，采购人将视作认同。具体如下：</w:t>
      </w:r>
    </w:p>
    <w:p w14:paraId="6F4F7011">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382DAF8F">
      <w:pPr>
        <w:pStyle w:val="12"/>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5B60A351">
      <w:pPr>
        <w:pStyle w:val="12"/>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41FEDC9D">
      <w:pPr>
        <w:pStyle w:val="12"/>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路桥区公共充电桩建设项目（二期）</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79CEAD12">
      <w:pPr>
        <w:pStyle w:val="12"/>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第一条：</w:t>
      </w:r>
      <w:r>
        <w:rPr>
          <w:rFonts w:hint="eastAsia" w:ascii="宋体" w:hAnsi="宋体" w:eastAsia="宋体" w:cs="宋体"/>
          <w:b/>
          <w:color w:val="auto"/>
          <w:sz w:val="21"/>
          <w:szCs w:val="21"/>
          <w:highlight w:val="none"/>
        </w:rPr>
        <w:t>服务内容</w:t>
      </w:r>
    </w:p>
    <w:p w14:paraId="62C943B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hAnsi="宋体" w:cs="宋体"/>
          <w:bCs/>
          <w:color w:val="auto"/>
          <w:sz w:val="21"/>
          <w:szCs w:val="21"/>
          <w:highlight w:val="none"/>
          <w:lang w:val="en-US" w:eastAsia="zh-CN"/>
        </w:rPr>
        <w:t>四章</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46CBB7F0">
      <w:pPr>
        <w:pStyle w:val="12"/>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第二条：</w:t>
      </w:r>
      <w:r>
        <w:rPr>
          <w:rFonts w:hint="eastAsia" w:ascii="宋体" w:hAnsi="宋体" w:eastAsia="宋体" w:cs="宋体"/>
          <w:b/>
          <w:color w:val="auto"/>
          <w:sz w:val="21"/>
          <w:szCs w:val="21"/>
          <w:highlight w:val="none"/>
        </w:rPr>
        <w:t>合同金额</w:t>
      </w:r>
    </w:p>
    <w:p w14:paraId="19848C08">
      <w:pPr>
        <w:spacing w:line="312" w:lineRule="auto"/>
        <w:ind w:right="-42" w:rightChars="-20" w:firstLine="367" w:firstLineChars="17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0DC76601">
      <w:pPr>
        <w:spacing w:line="312" w:lineRule="auto"/>
        <w:ind w:right="-42" w:rightChars="-2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包括施工设计及配电充电深化设计、全套设备（含辅材、零部件）提供、运杂费、电源点接入、基础部分土建施工及材料（管线牵引施工等）、人工，配置照明和灭火设施、限位器、停车位划线、VI标示、场站导引、安装、调试、5年质保期内免费保修维护（含管理软件更新升级）、提供实时监测及统计充电项目（后台对接）、后台数据监控（网络连接）及信息化管理平台对接、培训采购人使用人员费用、税金、利润、管理费等本项目所有可能涉及的费用。上述如有未列出的费用，则视为已包含在合同价内，甲方不再另行支付。</w:t>
      </w:r>
    </w:p>
    <w:p w14:paraId="1E335BD0">
      <w:pPr>
        <w:spacing w:line="312" w:lineRule="auto"/>
        <w:ind w:right="-42" w:rightChars="-2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、供货清单：详见合同附件</w:t>
      </w:r>
    </w:p>
    <w:p w14:paraId="4DEB0046">
      <w:pPr>
        <w:spacing w:line="312" w:lineRule="auto"/>
        <w:ind w:right="-42" w:rightChars="-2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、合同期：</w:t>
      </w:r>
      <w:r>
        <w:rPr>
          <w:rFonts w:hint="eastAsia" w:ascii="宋体" w:hAnsi="宋体" w:eastAsia="宋体" w:cs="宋体"/>
          <w:color w:val="auto"/>
          <w:sz w:val="21"/>
          <w:szCs w:val="21"/>
          <w:highlight w:val="none"/>
        </w:rPr>
        <w:t>总合同额到达（或接近）</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万元时或合同生效之日起满3年时结束（以先到者为准）。</w:t>
      </w:r>
    </w:p>
    <w:p w14:paraId="7CF0D588">
      <w:pPr>
        <w:spacing w:line="312" w:lineRule="auto"/>
        <w:ind w:right="-42" w:rightChars="-20"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、本项目建成后所产生的充电电费收入及服务费收益归</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所有。</w:t>
      </w:r>
    </w:p>
    <w:p w14:paraId="723B875A">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第三条：质量标准和要求</w:t>
      </w:r>
    </w:p>
    <w:p w14:paraId="08EE445C">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0BD51E17">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2、乙方所出售的货物还应符合国家和浙江省有关安全、环保、卫生之规定。</w:t>
      </w:r>
    </w:p>
    <w:p w14:paraId="5FE8AFEB">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3、产品质量要求：</w:t>
      </w:r>
    </w:p>
    <w:p w14:paraId="327E6D12">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所有设备在到达安装现场时须经甲方代表验收后才可进行设备安装，验货时须提交该产品的原厂质量合格证明。</w:t>
      </w:r>
    </w:p>
    <w:p w14:paraId="01FA3A6B">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所有设备、附（配）件应具备该类产品的功能要求，无瑕疵和缺陷，质量为合格产品，同时有明确的生产厂商或制造厂商；</w:t>
      </w:r>
    </w:p>
    <w:p w14:paraId="18CDBD17">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缺陷保修：如果设备交付使用后，缺陷多次反复出现，乙方必须提出分析报告和解决方案，直到最后纠正缺陷、乙方提供的质保从纠正之日起重新计算质保期。</w:t>
      </w:r>
    </w:p>
    <w:p w14:paraId="0070EBD9">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如果是超出甲方的责任范围的疏忽、误操作等情况而导致的更换修正，应由乙方进行修理，其额外费用由双方协商承担。</w:t>
      </w:r>
    </w:p>
    <w:p w14:paraId="340BE22A">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4、充电桩须接至供电接口，试运行合格后方可交付使用。</w:t>
      </w:r>
    </w:p>
    <w:p w14:paraId="1DC4AC2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条：权利瑕疵担保</w:t>
      </w:r>
    </w:p>
    <w:p w14:paraId="0B528CCD">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1、乙方保证对其出售的货物享有合法的权利。</w:t>
      </w:r>
    </w:p>
    <w:p w14:paraId="5E73D000">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2、乙方保证在其出售的货物上不存在任何未曾向甲方透露的担保物权，如抵押权、质押权、留置权等。</w:t>
      </w:r>
    </w:p>
    <w:p w14:paraId="2C631419">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乙方应保证甲方免除且乙方承担由于甲方在其本国使用该设备或设备任何一部分时而引起第三方提出的侵犯专利权、商标权或工业设计权的起诉、行动、行政程序索赔、请求等以及甲方为此而产生的损失和损害、费用和支出（包括律师费）。</w:t>
      </w:r>
    </w:p>
    <w:p w14:paraId="5724780D">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4、如甲方使用该货物构成上述侵权的，则由乙方承担全部责任。</w:t>
      </w:r>
    </w:p>
    <w:p w14:paraId="43B480BD">
      <w:pPr>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第五条：</w:t>
      </w:r>
      <w:r>
        <w:rPr>
          <w:rFonts w:hint="eastAsia" w:ascii="宋体" w:hAnsi="宋体" w:eastAsia="宋体" w:cs="宋体"/>
          <w:b/>
          <w:color w:val="auto"/>
          <w:szCs w:val="21"/>
          <w:highlight w:val="none"/>
        </w:rPr>
        <w:t>交货期、验收方式及地点</w:t>
      </w:r>
    </w:p>
    <w:p w14:paraId="3B65C83C">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cs="宋体"/>
          <w:color w:val="auto"/>
          <w:szCs w:val="21"/>
          <w:highlight w:val="none"/>
          <w:u w:val="none"/>
          <w:lang w:val="en-US" w:eastAsia="zh-CN"/>
        </w:rPr>
        <w:t>乙方</w:t>
      </w:r>
      <w:r>
        <w:rPr>
          <w:rFonts w:hint="eastAsia" w:ascii="宋体" w:hAnsi="宋体" w:eastAsia="宋体" w:cs="宋体"/>
          <w:color w:val="auto"/>
          <w:szCs w:val="21"/>
          <w:highlight w:val="none"/>
          <w:u w:val="none"/>
          <w:lang w:val="en-US" w:eastAsia="zh-CN"/>
        </w:rPr>
        <w:t>应在</w:t>
      </w:r>
      <w:r>
        <w:rPr>
          <w:rFonts w:hint="eastAsia" w:ascii="宋体" w:hAnsi="宋体" w:cs="宋体"/>
          <w:color w:val="auto"/>
          <w:szCs w:val="21"/>
          <w:highlight w:val="none"/>
          <w:u w:val="none"/>
          <w:lang w:val="en-US" w:eastAsia="zh-CN"/>
        </w:rPr>
        <w:t>甲方</w:t>
      </w:r>
      <w:r>
        <w:rPr>
          <w:rFonts w:hint="eastAsia" w:ascii="宋体" w:hAnsi="宋体" w:eastAsia="宋体" w:cs="宋体"/>
          <w:color w:val="auto"/>
          <w:szCs w:val="21"/>
          <w:highlight w:val="none"/>
          <w:u w:val="none"/>
          <w:lang w:val="en-US" w:eastAsia="zh-CN"/>
        </w:rPr>
        <w:t>确定相应地块及充电桩建设形式后60个日历天内完成充电桩建设且能正常投入使用。在规定的时间内由于</w:t>
      </w:r>
      <w:r>
        <w:rPr>
          <w:rFonts w:hint="eastAsia" w:ascii="宋体" w:hAnsi="宋体" w:cs="宋体"/>
          <w:color w:val="auto"/>
          <w:szCs w:val="21"/>
          <w:highlight w:val="none"/>
          <w:u w:val="none"/>
          <w:lang w:val="en-US" w:eastAsia="zh-CN"/>
        </w:rPr>
        <w:t>乙方</w:t>
      </w:r>
      <w:r>
        <w:rPr>
          <w:rFonts w:hint="eastAsia" w:ascii="宋体" w:hAnsi="宋体" w:eastAsia="宋体" w:cs="宋体"/>
          <w:color w:val="auto"/>
          <w:szCs w:val="21"/>
          <w:highlight w:val="none"/>
          <w:u w:val="none"/>
          <w:lang w:val="en-US" w:eastAsia="zh-CN"/>
        </w:rPr>
        <w:t>的原因不能完成安装、调试、验收合格并投入使用的，</w:t>
      </w:r>
      <w:r>
        <w:rPr>
          <w:rFonts w:hint="eastAsia" w:ascii="宋体" w:hAnsi="宋体" w:cs="宋体"/>
          <w:color w:val="auto"/>
          <w:szCs w:val="21"/>
          <w:highlight w:val="none"/>
          <w:u w:val="none"/>
          <w:lang w:val="en-US" w:eastAsia="zh-CN"/>
        </w:rPr>
        <w:t>甲方</w:t>
      </w:r>
      <w:r>
        <w:rPr>
          <w:rFonts w:hint="eastAsia" w:ascii="宋体" w:hAnsi="宋体" w:eastAsia="宋体" w:cs="宋体"/>
          <w:color w:val="auto"/>
          <w:szCs w:val="21"/>
          <w:highlight w:val="none"/>
          <w:u w:val="none"/>
          <w:lang w:val="en-US" w:eastAsia="zh-CN"/>
        </w:rPr>
        <w:t>有权没收履约保证金，且</w:t>
      </w:r>
      <w:r>
        <w:rPr>
          <w:rFonts w:hint="eastAsia" w:ascii="宋体" w:hAnsi="宋体" w:cs="宋体"/>
          <w:color w:val="auto"/>
          <w:szCs w:val="21"/>
          <w:highlight w:val="none"/>
          <w:u w:val="none"/>
          <w:lang w:val="en-US" w:eastAsia="zh-CN"/>
        </w:rPr>
        <w:t>乙方</w:t>
      </w:r>
      <w:r>
        <w:rPr>
          <w:rFonts w:hint="eastAsia" w:ascii="宋体" w:hAnsi="宋体" w:eastAsia="宋体" w:cs="宋体"/>
          <w:color w:val="auto"/>
          <w:szCs w:val="21"/>
          <w:highlight w:val="none"/>
          <w:u w:val="none"/>
          <w:lang w:val="en-US" w:eastAsia="zh-CN"/>
        </w:rPr>
        <w:t>应承担由此给采购人造成的其他损失。</w:t>
      </w:r>
    </w:p>
    <w:p w14:paraId="4AC60C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2、供货要求：</w:t>
      </w:r>
    </w:p>
    <w:p w14:paraId="201BEBD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u w:val="none"/>
        </w:rPr>
        <w:t>在每批次供货前，</w:t>
      </w:r>
      <w:r>
        <w:rPr>
          <w:rFonts w:hint="eastAsia" w:ascii="宋体" w:hAnsi="宋体" w:cs="宋体"/>
          <w:color w:val="auto"/>
          <w:szCs w:val="21"/>
          <w:highlight w:val="none"/>
          <w:u w:val="none"/>
          <w:lang w:val="en-US" w:eastAsia="zh-CN"/>
        </w:rPr>
        <w:t>甲方</w:t>
      </w:r>
      <w:r>
        <w:rPr>
          <w:rFonts w:hint="eastAsia" w:ascii="宋体" w:hAnsi="宋体" w:eastAsia="宋体" w:cs="宋体"/>
          <w:color w:val="auto"/>
          <w:szCs w:val="21"/>
          <w:highlight w:val="none"/>
          <w:u w:val="none"/>
        </w:rPr>
        <w:t>以书面形式向</w:t>
      </w:r>
      <w:r>
        <w:rPr>
          <w:rFonts w:hint="eastAsia" w:ascii="宋体" w:hAnsi="宋体" w:cs="宋体"/>
          <w:color w:val="auto"/>
          <w:szCs w:val="21"/>
          <w:highlight w:val="none"/>
          <w:u w:val="none"/>
          <w:lang w:val="en-US" w:eastAsia="zh-CN"/>
        </w:rPr>
        <w:t>乙方</w:t>
      </w:r>
      <w:r>
        <w:rPr>
          <w:rFonts w:hint="eastAsia" w:ascii="宋体" w:hAnsi="宋体" w:eastAsia="宋体" w:cs="宋体"/>
          <w:color w:val="auto"/>
          <w:szCs w:val="21"/>
          <w:highlight w:val="none"/>
          <w:u w:val="none"/>
        </w:rPr>
        <w:t>出具供货任务书，</w:t>
      </w:r>
      <w:r>
        <w:rPr>
          <w:rFonts w:hint="eastAsia" w:ascii="宋体" w:hAnsi="宋体" w:cs="宋体"/>
          <w:color w:val="auto"/>
          <w:szCs w:val="21"/>
          <w:highlight w:val="none"/>
          <w:u w:val="none"/>
          <w:lang w:val="en-US" w:eastAsia="zh-CN"/>
        </w:rPr>
        <w:t>乙方</w:t>
      </w:r>
      <w:r>
        <w:rPr>
          <w:rFonts w:hint="eastAsia" w:ascii="宋体" w:hAnsi="宋体" w:eastAsia="宋体" w:cs="宋体"/>
          <w:color w:val="auto"/>
          <w:szCs w:val="21"/>
          <w:highlight w:val="none"/>
          <w:u w:val="none"/>
        </w:rPr>
        <w:t>根据供货任务书要求供货安装</w:t>
      </w:r>
      <w:r>
        <w:rPr>
          <w:rFonts w:hint="eastAsia" w:ascii="宋体" w:hAnsi="宋体" w:eastAsia="宋体" w:cs="宋体"/>
          <w:color w:val="auto"/>
          <w:szCs w:val="21"/>
          <w:highlight w:val="none"/>
          <w:u w:val="none"/>
          <w:lang w:eastAsia="zh-CN"/>
        </w:rPr>
        <w:t>。</w:t>
      </w:r>
    </w:p>
    <w:p w14:paraId="6E42D97D">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2.2乙方须在供货安装前提供设备原厂商授权文件、质保证明等材料，包装内均需有生产厂商标识、装箱清单、使用说明书、质保卡、联系方式等。</w:t>
      </w:r>
    </w:p>
    <w:p w14:paraId="05C05561">
      <w:p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2.3乙方须确保项目正常运行的所有数据均终身免费提供给甲方使用。</w:t>
      </w:r>
    </w:p>
    <w:p w14:paraId="1B0DCFA8">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3、验收及培训</w:t>
      </w:r>
    </w:p>
    <w:p w14:paraId="45224A72">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3.1甲方在收到乙方的竣工验收报告的7天内组织有关人员进行验收，并在验收后7天内给予批准或提出修改意见，乙方按照要求进行修改，发生的费用由乙方承担；</w:t>
      </w:r>
    </w:p>
    <w:p w14:paraId="4AC93609">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3.2验收：</w:t>
      </w:r>
    </w:p>
    <w:p w14:paraId="3B1628B0">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（1）投标货物由甲方进行验收；</w:t>
      </w:r>
    </w:p>
    <w:p w14:paraId="07603556">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（2）设备到达甲方指定地点，经甲方、监理（如有）及乙方共同验收合格后方能进场；</w:t>
      </w:r>
    </w:p>
    <w:p w14:paraId="160D7BC1">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乙方应按合同规定提供了符合招标文件及投标文件的货物和服务，并向甲方提供所有的技术资料和清单，若因乙方质量问题等导致验收不合格，乙方应及时予以处理，直至验收合格，期间发生的一切费用由乙方承担，甲方保留向乙方索赔的权利。</w:t>
      </w:r>
    </w:p>
    <w:p w14:paraId="6DF95C88">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（4）验收合格后乙方须向甲方提供整套设备质保书、保修证明、调试说明书。</w:t>
      </w:r>
    </w:p>
    <w:p w14:paraId="54AF0399">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5）本次货物如涉及国家规定强制认证的，均视为乙方产品符合了工业品生产许可证，3C认证、环保产品认证、节能产品认证等强制认证规定的，乙方须在甲方对上述货物验收时提供相关证书证明资料，否则作验收不能通过处理，甲方有权要求乙方支付合同总金额5%的违约金，同时甲方有权解除合同。</w:t>
      </w:r>
    </w:p>
    <w:p w14:paraId="44928F36">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3.3.培训：</w:t>
      </w:r>
    </w:p>
    <w:p w14:paraId="08B77EBF">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（1）乙方有义务对甲方采购设备的正常使用和维护提供必要的培训。</w:t>
      </w:r>
    </w:p>
    <w:p w14:paraId="29EC5DE5">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（2）培训的内容包括主要设备和软件的安装、使用、配置管理、性能优化以及硬件基本维护知识。</w:t>
      </w:r>
    </w:p>
    <w:p w14:paraId="5E206739">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（3）对于所有培训，乙方必须派出具有相应专业资格和实际工作经验的人员进行培训。乙方应按照甲方要求在用户地培训。</w:t>
      </w:r>
    </w:p>
    <w:p w14:paraId="63F54F81">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none"/>
          <w:lang w:val="en-US" w:eastAsia="zh-CN"/>
        </w:rPr>
        <w:t>（4）培训所需费用已包含在合同价中。</w:t>
      </w:r>
    </w:p>
    <w:p w14:paraId="7B2825A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条：质保期</w:t>
      </w:r>
    </w:p>
    <w:p w14:paraId="1D3988AD">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年（自设备验收合格之日起计算）</w:t>
      </w:r>
      <w:r>
        <w:rPr>
          <w:rFonts w:hint="eastAsia" w:ascii="宋体" w:hAnsi="宋体" w:cs="宋体"/>
          <w:color w:val="auto"/>
          <w:szCs w:val="21"/>
          <w:highlight w:val="none"/>
          <w:lang w:eastAsia="zh-CN"/>
        </w:rPr>
        <w:t>，其保修价已包含在投标报价内。保修价包括所有主、配件维修及现场上门服务等所需的费用</w:t>
      </w:r>
      <w:r>
        <w:rPr>
          <w:rFonts w:hint="eastAsia" w:ascii="宋体" w:hAnsi="宋体" w:eastAsia="宋体" w:cs="宋体"/>
          <w:color w:val="auto"/>
          <w:szCs w:val="21"/>
          <w:highlight w:val="none"/>
        </w:rPr>
        <w:t>。</w:t>
      </w:r>
    </w:p>
    <w:p w14:paraId="77B3F9F7">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质保期内：实行“三包”，所购设备各部件发生因质量原因导致的故障，</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免费更换同种品牌不低于原价位、规格、型号的部件。当设备需要升级时免费升级。在质保期内，</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每三个月免费上门检修一次，并提供完整的检修报告。在质保期内产品如有质量问题，</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必须在接到故障通知后1小时内电话响应，在3小时内赶到现场并在到达现场后8小时内解决故障。</w:t>
      </w:r>
    </w:p>
    <w:p w14:paraId="5C52384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3、在项目免费质保期内，项目正常运行所需的平台均由乙方免费提供，此费用已在投标报价中综合考虑，不另行计费。</w:t>
      </w:r>
    </w:p>
    <w:p w14:paraId="7E051E5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质保期后：</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提供终身优惠服务和技术支持，设备出现故障需要修理时，所换零件按成本价收取。</w:t>
      </w:r>
    </w:p>
    <w:p w14:paraId="6BA0339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条：货物包装、发运及运输</w:t>
      </w:r>
    </w:p>
    <w:p w14:paraId="3138D7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676E6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02182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5D6BE4DB">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4DBF459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条：调试和验收</w:t>
      </w:r>
    </w:p>
    <w:p w14:paraId="066EE2D8">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37B0F146">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74249BC1">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23C5E34E">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1455B039">
      <w:pPr>
        <w:keepNext w:val="0"/>
        <w:keepLines w:val="0"/>
        <w:pageBreakBefore w:val="0"/>
        <w:widowControl w:val="0"/>
        <w:numPr>
          <w:ilvl w:val="0"/>
          <w:numId w:val="0"/>
        </w:numPr>
        <w:kinsoku/>
        <w:wordWrap/>
        <w:overflowPunct/>
        <w:topLinePunct w:val="0"/>
        <w:bidi w:val="0"/>
        <w:spacing w:line="36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条：知识产权</w:t>
      </w:r>
    </w:p>
    <w:p w14:paraId="02B762D8">
      <w:pPr>
        <w:autoSpaceDE w:val="0"/>
        <w:autoSpaceDN w:val="0"/>
        <w:spacing w:line="360" w:lineRule="auto"/>
        <w:ind w:firstLine="420" w:firstLineChars="200"/>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若甲方承担责任，有权向乙方全额追偿。</w:t>
      </w:r>
    </w:p>
    <w:p w14:paraId="32BB82BF">
      <w:pPr>
        <w:autoSpaceDE w:val="0"/>
        <w:autoSpaceDN w:val="0"/>
        <w:spacing w:line="360" w:lineRule="auto"/>
        <w:ind w:firstLine="420" w:firstLineChars="200"/>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2、甲方享有本项目实施过程中产生的知识成果及知识产权。</w:t>
      </w:r>
    </w:p>
    <w:p w14:paraId="1263F405">
      <w:pPr>
        <w:autoSpaceDE w:val="0"/>
        <w:autoSpaceDN w:val="0"/>
        <w:spacing w:line="360" w:lineRule="auto"/>
        <w:ind w:firstLine="420" w:firstLineChars="200"/>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如欲在项目实施过程中采用自有知识成果，需在投标文件中声明，并提供相关知识产权证明文件。使用该知识成果后，乙方需提供开发接口和开发手册等技术文档，并承诺提供无限期技术支持，甲方享有永久使用权（含甲方委托第三方在该项目后续开发的使用权）。</w:t>
      </w:r>
    </w:p>
    <w:p w14:paraId="3B9010AA">
      <w:pPr>
        <w:keepNext w:val="0"/>
        <w:keepLines w:val="0"/>
        <w:pageBreakBefore w:val="0"/>
        <w:widowControl w:val="0"/>
        <w:numPr>
          <w:ilvl w:val="0"/>
          <w:numId w:val="0"/>
        </w:numPr>
        <w:kinsoku/>
        <w:wordWrap/>
        <w:overflowPunct/>
        <w:topLinePunct w:val="0"/>
        <w:bidi w:val="0"/>
        <w:spacing w:line="360" w:lineRule="auto"/>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第十条：</w:t>
      </w:r>
      <w:r>
        <w:rPr>
          <w:rFonts w:hint="eastAsia" w:ascii="宋体" w:hAnsi="宋体" w:eastAsia="宋体" w:cs="宋体"/>
          <w:b/>
          <w:bCs/>
          <w:color w:val="auto"/>
          <w:sz w:val="21"/>
          <w:szCs w:val="21"/>
          <w:highlight w:val="none"/>
          <w:lang w:val="en-US" w:eastAsia="zh-CN"/>
        </w:rPr>
        <w:t>履约保证金：</w:t>
      </w:r>
    </w:p>
    <w:p w14:paraId="41CD7830">
      <w:pPr>
        <w:keepNext w:val="0"/>
        <w:keepLines w:val="0"/>
        <w:pageBreakBefore w:val="0"/>
        <w:numPr>
          <w:ilvl w:val="0"/>
          <w:numId w:val="0"/>
        </w:numPr>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1、金额：100万元</w:t>
      </w:r>
      <w:r>
        <w:rPr>
          <w:rFonts w:hint="eastAsia" w:ascii="宋体" w:hAnsi="宋体" w:cs="宋体"/>
          <w:color w:val="auto"/>
          <w:spacing w:val="1"/>
          <w:sz w:val="21"/>
          <w:szCs w:val="21"/>
          <w:highlight w:val="none"/>
          <w:lang w:val="en-US" w:eastAsia="zh-CN"/>
        </w:rPr>
        <w:t>。</w:t>
      </w:r>
    </w:p>
    <w:p w14:paraId="34075F4B">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cs="宋体"/>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2、收取方式：网银、汇票、电汇、转账支付或银行保函、保险公司保单形式；</w:t>
      </w:r>
    </w:p>
    <w:p w14:paraId="08C12C52">
      <w:pPr>
        <w:keepNext w:val="0"/>
        <w:keepLines w:val="0"/>
        <w:pageBreakBefore w:val="0"/>
        <w:kinsoku/>
        <w:wordWrap/>
        <w:overflowPunct/>
        <w:autoSpaceDE w:val="0"/>
        <w:autoSpaceDN w:val="0"/>
        <w:bidi w:val="0"/>
        <w:adjustRightInd w:val="0"/>
        <w:snapToGrid w:val="0"/>
        <w:spacing w:line="312" w:lineRule="auto"/>
        <w:ind w:firstLine="424"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1"/>
          <w:sz w:val="21"/>
          <w:szCs w:val="21"/>
          <w:highlight w:val="none"/>
          <w:lang w:val="en-US" w:eastAsia="zh-CN"/>
        </w:rPr>
        <w:t>3、履约保证金的退还：</w:t>
      </w:r>
      <w:r>
        <w:rPr>
          <w:rFonts w:hint="eastAsia" w:ascii="宋体" w:hAnsi="宋体" w:cs="宋体"/>
          <w:color w:val="auto"/>
          <w:spacing w:val="1"/>
          <w:sz w:val="21"/>
          <w:szCs w:val="21"/>
          <w:highlight w:val="none"/>
          <w:lang w:val="en-US" w:eastAsia="zh-CN"/>
        </w:rPr>
        <w:t>履约保证金在合同履行到期且无异议情况下10日内退还（采用银行保函或保险公司保单形式的，在合同履行到期且无异议情况下10日内自动解除）。</w:t>
      </w:r>
    </w:p>
    <w:p w14:paraId="77CE374D">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w:t>
      </w:r>
      <w:r>
        <w:rPr>
          <w:rFonts w:hint="eastAsia" w:ascii="宋体" w:hAnsi="宋体" w:cs="宋体"/>
          <w:b/>
          <w:color w:val="auto"/>
          <w:szCs w:val="21"/>
          <w:highlight w:val="none"/>
          <w:lang w:val="en-US" w:eastAsia="zh-CN"/>
        </w:rPr>
        <w:t>十一</w:t>
      </w:r>
      <w:r>
        <w:rPr>
          <w:rFonts w:hint="eastAsia" w:ascii="宋体" w:hAnsi="宋体" w:eastAsia="宋体" w:cs="宋体"/>
          <w:b/>
          <w:color w:val="auto"/>
          <w:szCs w:val="21"/>
          <w:highlight w:val="none"/>
          <w:lang w:val="en-US" w:eastAsia="zh-CN"/>
        </w:rPr>
        <w:t>条：</w:t>
      </w:r>
      <w:r>
        <w:rPr>
          <w:rFonts w:hint="eastAsia" w:ascii="宋体" w:hAnsi="宋体" w:eastAsia="宋体" w:cs="宋体"/>
          <w:b/>
          <w:color w:val="auto"/>
          <w:szCs w:val="21"/>
          <w:highlight w:val="none"/>
        </w:rPr>
        <w:t>付款方式</w:t>
      </w:r>
    </w:p>
    <w:p w14:paraId="7305183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接甲方建设通知后5个工作日内，甲方向乙方支付预付款，支付比例为当期供货金额的30%；设备安装完成后支付至当期供货金额的70%；在货物最终试运行验收合格且结算后付至结算价的97.5%，剩余2.5%作为质保金；</w:t>
      </w:r>
    </w:p>
    <w:p w14:paraId="71D38F7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2.5%的质保金分2期支付：在项目终验收合格3年后支付结算价款的1.25%，剩余质保金在项目终验收合格5年后付清。</w:t>
      </w:r>
    </w:p>
    <w:p w14:paraId="446E484B">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第十二条：项目要求</w:t>
      </w:r>
    </w:p>
    <w:p w14:paraId="46AFE79B">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1、安全生产责任：在合同执行过程中，乙方应承担人身伤害、财产损失或损坏的责任，无论何种原因所造成，甲方概不负责。</w:t>
      </w:r>
    </w:p>
    <w:p w14:paraId="4DDD2F1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2、安全文明施工</w:t>
      </w:r>
    </w:p>
    <w:p w14:paraId="582BE673">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合同当事人对文明施工的要求：按省、市发有关安全文明施工管理规定执行。</w:t>
      </w:r>
    </w:p>
    <w:p w14:paraId="28C45AC0">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安全文明施工费包含在签约合同价内。</w:t>
      </w:r>
    </w:p>
    <w:p w14:paraId="1E1F1635">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实际施工时，未达到施工安全文明的有关规定的，在结算时甲方可扣减相应费用。</w:t>
      </w:r>
    </w:p>
    <w:p w14:paraId="37314C63">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条：违约责任</w:t>
      </w:r>
    </w:p>
    <w:p w14:paraId="58189E43">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5000元。逾期超过30日的，甲方有权单方面解除合同并没收全额履约保证金作为赔偿，履约保证金金额不足以覆盖甲方损失的，乙方应赔偿损失至全额覆盖。</w:t>
      </w:r>
    </w:p>
    <w:p w14:paraId="4A2690D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甲方有权从未付款或履约保证金中扣除违约金或要求乙方另行支付该违约金。</w:t>
      </w:r>
    </w:p>
    <w:p w14:paraId="785AC83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62677B62">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38E957DF">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62464B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6F024074">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04EDB3A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6202327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1C7D793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条：质量保证及售后服务</w:t>
      </w:r>
    </w:p>
    <w:p w14:paraId="1AD3BC77">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00D799DE">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14:paraId="4C6A23F6">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107A092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081D5ADB">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6F8D039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26F92E0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31277C2A">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238C147C">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00C4F94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cs="宋体"/>
          <w:color w:val="auto"/>
          <w:spacing w:val="1"/>
          <w:sz w:val="21"/>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pacing w:val="1"/>
          <w:sz w:val="21"/>
          <w:szCs w:val="21"/>
          <w:highlight w:val="none"/>
          <w:lang w:val="en-US" w:eastAsia="zh-CN"/>
        </w:rPr>
        <w:t>乙方</w:t>
      </w:r>
      <w:r>
        <w:rPr>
          <w:rFonts w:hint="eastAsia" w:ascii="宋体" w:hAnsi="宋体" w:eastAsia="宋体" w:cs="宋体"/>
          <w:color w:val="auto"/>
          <w:spacing w:val="1"/>
          <w:sz w:val="21"/>
          <w:szCs w:val="21"/>
          <w:highlight w:val="none"/>
        </w:rPr>
        <w:t>在台州市内设有服务网点</w:t>
      </w:r>
      <w:r>
        <w:rPr>
          <w:rFonts w:hint="eastAsia" w:ascii="宋体" w:hAnsi="宋体" w:cs="宋体"/>
          <w:color w:val="auto"/>
          <w:spacing w:val="1"/>
          <w:sz w:val="21"/>
          <w:szCs w:val="21"/>
          <w:highlight w:val="none"/>
          <w:lang w:eastAsia="zh-CN"/>
        </w:rPr>
        <w:t>。</w:t>
      </w:r>
    </w:p>
    <w:p w14:paraId="121B01D5">
      <w:pPr>
        <w:keepNext w:val="0"/>
        <w:keepLines w:val="0"/>
        <w:pageBreakBefore w:val="0"/>
        <w:widowControl w:val="0"/>
        <w:kinsoku/>
        <w:wordWrap/>
        <w:overflowPunct/>
        <w:topLinePunct w:val="0"/>
        <w:autoSpaceDE/>
        <w:autoSpaceDN/>
        <w:bidi w:val="0"/>
        <w:adjustRightInd/>
        <w:snapToGrid w:val="0"/>
        <w:spacing w:before="120" w:after="120" w:line="360" w:lineRule="auto"/>
        <w:ind w:firstLine="424"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pacing w:val="1"/>
          <w:sz w:val="21"/>
          <w:szCs w:val="21"/>
          <w:highlight w:val="none"/>
          <w:lang w:val="en-US" w:eastAsia="zh-CN"/>
        </w:rPr>
        <w:t>8、如果乙方售后服务达不到要求或因产品质量导致充电车辆、人员受损的，乙方负责赔偿一切损失。甲方有权单方面解除合同，并保留向乙方追赔损失的权利。</w:t>
      </w:r>
    </w:p>
    <w:p w14:paraId="11654A2A">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其他</w:t>
      </w:r>
    </w:p>
    <w:p w14:paraId="169C17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29F24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27CF5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226F71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0588E1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275685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23EEBC8E">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4BEB3B1C">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5B5A46C1">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411A3129">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5BB9E21D">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6E463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3FC21E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3AA418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6F311D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1E6AB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4）本合同中如有未尽事宜，由双方协商另行解决;</w:t>
      </w:r>
    </w:p>
    <w:p w14:paraId="6197E23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5）合同附件</w:t>
      </w:r>
      <w:r>
        <w:rPr>
          <w:rFonts w:hint="eastAsia" w:ascii="宋体" w:hAnsi="宋体" w:cs="宋体"/>
          <w:color w:val="auto"/>
          <w:szCs w:val="21"/>
          <w:highlight w:val="none"/>
          <w:lang w:eastAsia="zh-CN"/>
        </w:rPr>
        <w:t>。</w:t>
      </w:r>
    </w:p>
    <w:p w14:paraId="44EFB3E0">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2E8525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3AA8F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2B631D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68A257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CF1E9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4F2EA34C">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512A1FA7">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3BEE2C01">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日      期：</w:t>
      </w:r>
    </w:p>
    <w:p w14:paraId="186205EE">
      <w:pPr>
        <w:tabs>
          <w:tab w:val="left" w:pos="4140"/>
          <w:tab w:val="left" w:pos="4320"/>
        </w:tabs>
        <w:spacing w:line="360" w:lineRule="auto"/>
        <w:rPr>
          <w:rFonts w:hint="eastAsia" w:ascii="宋体" w:hAnsi="宋体" w:eastAsia="宋体" w:cs="宋体"/>
          <w:color w:val="auto"/>
          <w:szCs w:val="21"/>
          <w:highlight w:val="none"/>
        </w:rPr>
      </w:pPr>
    </w:p>
    <w:p w14:paraId="0C91272C">
      <w:pPr>
        <w:tabs>
          <w:tab w:val="left" w:pos="4140"/>
          <w:tab w:val="left" w:pos="4320"/>
        </w:tabs>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14:paraId="31389740">
      <w:pPr>
        <w:keepNext w:val="0"/>
        <w:keepLines w:val="0"/>
        <w:pageBreakBefore w:val="0"/>
        <w:kinsoku/>
        <w:wordWrap/>
        <w:overflowPunct/>
        <w:topLinePunct w:val="0"/>
        <w:bidi w:val="0"/>
        <w:spacing w:line="500" w:lineRule="exact"/>
        <w:ind w:firstLine="420" w:firstLineChars="200"/>
        <w:jc w:val="right"/>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116A0C90">
      <w:pPr>
        <w:pStyle w:val="45"/>
        <w:rPr>
          <w:rFonts w:hint="eastAsia" w:ascii="宋体" w:hAnsi="宋体" w:eastAsia="宋体" w:cs="宋体"/>
          <w:color w:val="auto"/>
          <w:sz w:val="24"/>
          <w:szCs w:val="24"/>
          <w:highlight w:val="none"/>
        </w:rPr>
      </w:pPr>
    </w:p>
    <w:p w14:paraId="5CA3076F">
      <w:pPr>
        <w:rPr>
          <w:rFonts w:hint="eastAsia" w:ascii="宋体" w:hAnsi="宋体" w:eastAsia="宋体" w:cs="宋体"/>
          <w:color w:val="auto"/>
          <w:sz w:val="24"/>
          <w:szCs w:val="24"/>
          <w:highlight w:val="none"/>
        </w:rPr>
      </w:pPr>
    </w:p>
    <w:p w14:paraId="0C314D9F">
      <w:pPr>
        <w:rPr>
          <w:rFonts w:hint="eastAsia" w:asciiTheme="minorEastAsia" w:hAnsiTheme="minorEastAsia" w:eastAsiaTheme="minorEastAsia" w:cstheme="minorEastAsia"/>
          <w:b/>
          <w:color w:val="auto"/>
          <w:sz w:val="44"/>
          <w:szCs w:val="44"/>
          <w:highlight w:val="none"/>
          <w:lang w:val="en-US" w:eastAsia="zh-CN" w:bidi="ar-SA"/>
        </w:rPr>
      </w:pPr>
      <w:r>
        <w:rPr>
          <w:rFonts w:hint="eastAsia" w:asciiTheme="minorEastAsia" w:hAnsiTheme="minorEastAsia" w:eastAsiaTheme="minorEastAsia" w:cstheme="minorEastAsia"/>
          <w:b/>
          <w:color w:val="auto"/>
          <w:sz w:val="44"/>
          <w:szCs w:val="44"/>
          <w:highlight w:val="none"/>
          <w:lang w:val="en-US" w:eastAsia="zh-CN" w:bidi="ar-SA"/>
        </w:rPr>
        <w:br w:type="page"/>
      </w:r>
    </w:p>
    <w:p w14:paraId="09382F38">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553E59A9">
      <w:pPr>
        <w:keepNext w:val="0"/>
        <w:keepLines w:val="0"/>
        <w:pageBreakBefore w:val="0"/>
        <w:kinsoku/>
        <w:wordWrap/>
        <w:overflowPunct/>
        <w:topLinePunct w:val="0"/>
        <w:bidi w:val="0"/>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w:t>
      </w:r>
    </w:p>
    <w:p w14:paraId="6305448F">
      <w:pPr>
        <w:keepNext w:val="0"/>
        <w:keepLines w:val="0"/>
        <w:pageBreakBefore w:val="0"/>
        <w:numPr>
          <w:ilvl w:val="0"/>
          <w:numId w:val="0"/>
        </w:numPr>
        <w:kinsoku/>
        <w:wordWrap/>
        <w:overflowPunct/>
        <w:topLinePunct w:val="0"/>
        <w:bidi w:val="0"/>
        <w:spacing w:line="360" w:lineRule="auto"/>
        <w:jc w:val="both"/>
        <w:outlineLvl w:val="9"/>
        <w:rPr>
          <w:rFonts w:asciiTheme="minorEastAsia" w:hAnsiTheme="minorEastAsia" w:eastAsiaTheme="minorEastAsia"/>
          <w:b/>
          <w:color w:val="auto"/>
          <w:sz w:val="30"/>
          <w:szCs w:val="30"/>
          <w:highlight w:val="none"/>
        </w:rPr>
      </w:pPr>
    </w:p>
    <w:p w14:paraId="724EC25A">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F63DB9D">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4781E48C">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4E2A54E8">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6EB33A0">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184E07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30646D1">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A95C97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lang w:eastAsia="zh-CN"/>
        </w:rPr>
        <w:t>资格证明文件</w:t>
      </w:r>
      <w:r>
        <w:rPr>
          <w:rFonts w:hint="eastAsia" w:ascii="宋体" w:hAnsi="宋体"/>
          <w:b/>
          <w:color w:val="auto"/>
          <w:spacing w:val="40"/>
          <w:sz w:val="28"/>
          <w:szCs w:val="28"/>
          <w:highlight w:val="none"/>
        </w:rPr>
        <w:t>）</w:t>
      </w:r>
    </w:p>
    <w:p w14:paraId="5BA16E62">
      <w:pPr>
        <w:pStyle w:val="45"/>
        <w:keepNext w:val="0"/>
        <w:keepLines w:val="0"/>
        <w:pageBreakBefore w:val="0"/>
        <w:kinsoku/>
        <w:wordWrap/>
        <w:overflowPunct/>
        <w:topLinePunct w:val="0"/>
        <w:bidi w:val="0"/>
        <w:outlineLvl w:val="9"/>
        <w:rPr>
          <w:color w:val="auto"/>
          <w:highlight w:val="none"/>
        </w:rPr>
      </w:pPr>
    </w:p>
    <w:p w14:paraId="4BDC8905">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投标人全称（公章）：</w:t>
      </w:r>
    </w:p>
    <w:p w14:paraId="299BF36A">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7599CD7F">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63BDF669">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hAnsi="宋体"/>
          <w:b/>
          <w:bCs/>
          <w:color w:val="auto"/>
          <w:sz w:val="36"/>
          <w:szCs w:val="36"/>
          <w:highlight w:val="none"/>
        </w:rPr>
      </w:pPr>
      <w:r>
        <w:rPr>
          <w:rFonts w:hint="eastAsia" w:ascii="宋体" w:hAnsi="宋体"/>
          <w:b/>
          <w:bCs/>
          <w:color w:val="auto"/>
          <w:sz w:val="36"/>
          <w:szCs w:val="36"/>
          <w:highlight w:val="none"/>
          <w:lang w:val="en-US" w:eastAsia="zh-CN"/>
        </w:rPr>
        <w:t>资格证明文件</w:t>
      </w:r>
      <w:r>
        <w:rPr>
          <w:rFonts w:hint="eastAsia" w:ascii="宋体" w:hAnsi="宋体"/>
          <w:b/>
          <w:bCs/>
          <w:color w:val="auto"/>
          <w:sz w:val="36"/>
          <w:szCs w:val="36"/>
          <w:highlight w:val="none"/>
        </w:rPr>
        <w:t>目录</w:t>
      </w:r>
    </w:p>
    <w:p w14:paraId="4D1FDD8A">
      <w:pPr>
        <w:keepNext w:val="0"/>
        <w:keepLines w:val="0"/>
        <w:pageBreakBefore w:val="0"/>
        <w:kinsoku/>
        <w:wordWrap/>
        <w:overflowPunct/>
        <w:topLinePunct w:val="0"/>
        <w:bidi w:val="0"/>
        <w:snapToGrid w:val="0"/>
        <w:spacing w:before="50" w:after="50" w:line="360" w:lineRule="auto"/>
        <w:jc w:val="center"/>
        <w:outlineLvl w:val="9"/>
        <w:rPr>
          <w:rFonts w:ascii="仿宋_GB2312" w:hAnsi="宋体" w:eastAsia="仿宋_GB2312"/>
          <w:b/>
          <w:bCs/>
          <w:color w:val="auto"/>
          <w:sz w:val="32"/>
          <w:szCs w:val="32"/>
          <w:highlight w:val="none"/>
        </w:rPr>
      </w:pPr>
    </w:p>
    <w:p w14:paraId="1CDBE7BF">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sz w:val="24"/>
          <w:szCs w:val="24"/>
          <w:highlight w:val="none"/>
        </w:rPr>
      </w:pPr>
      <w:r>
        <w:rPr>
          <w:rFonts w:hint="eastAsia" w:ascii="Times New Roman" w:hAnsi="Times New Roman" w:cs="Times New Roman"/>
          <w:bCs/>
          <w:color w:val="auto"/>
          <w:sz w:val="24"/>
          <w:szCs w:val="24"/>
          <w:highlight w:val="none"/>
          <w:lang w:val="en-US" w:eastAsia="zh-CN"/>
        </w:rPr>
        <w:t>1、</w:t>
      </w:r>
      <w:r>
        <w:rPr>
          <w:rFonts w:hint="eastAsia" w:ascii="Times New Roman" w:hAnsi="Times New Roman" w:cs="Times New Roman"/>
          <w:bCs/>
          <w:color w:val="auto"/>
          <w:sz w:val="24"/>
          <w:szCs w:val="24"/>
          <w:highlight w:val="none"/>
        </w:rPr>
        <w:t>投标声明书</w:t>
      </w:r>
      <w:r>
        <w:rPr>
          <w:rFonts w:hint="eastAsia" w:ascii="宋体" w:hAnsi="宋体"/>
          <w:color w:val="auto"/>
          <w:sz w:val="24"/>
          <w:szCs w:val="24"/>
          <w:highlight w:val="none"/>
        </w:rPr>
        <w:t>（附件2）</w:t>
      </w:r>
    </w:p>
    <w:p w14:paraId="71F6F1E8">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bCs/>
          <w:color w:val="auto"/>
          <w:sz w:val="24"/>
          <w:szCs w:val="24"/>
          <w:highlight w:val="none"/>
          <w:lang w:val="en-US" w:eastAsia="zh-CN"/>
        </w:rPr>
        <w:t>2、</w:t>
      </w:r>
      <w:r>
        <w:rPr>
          <w:bCs/>
          <w:color w:val="auto"/>
          <w:sz w:val="24"/>
          <w:szCs w:val="24"/>
          <w:highlight w:val="none"/>
        </w:rPr>
        <w:t>授权</w:t>
      </w:r>
      <w:r>
        <w:rPr>
          <w:rFonts w:hint="eastAsia"/>
          <w:bCs/>
          <w:color w:val="auto"/>
          <w:sz w:val="24"/>
          <w:szCs w:val="24"/>
          <w:highlight w:val="none"/>
        </w:rPr>
        <w:t>委托</w:t>
      </w:r>
      <w:r>
        <w:rPr>
          <w:bCs/>
          <w:color w:val="auto"/>
          <w:sz w:val="24"/>
          <w:szCs w:val="24"/>
          <w:highlight w:val="none"/>
        </w:rPr>
        <w:t>书</w:t>
      </w:r>
      <w:r>
        <w:rPr>
          <w:rFonts w:hint="eastAsia" w:ascii="宋体" w:hAnsi="宋体"/>
          <w:bCs/>
          <w:color w:val="auto"/>
          <w:sz w:val="24"/>
          <w:szCs w:val="24"/>
          <w:highlight w:val="none"/>
        </w:rPr>
        <w:t>（附件3）</w:t>
      </w:r>
    </w:p>
    <w:p w14:paraId="0A406C71">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color w:val="auto"/>
          <w:sz w:val="24"/>
          <w:szCs w:val="24"/>
          <w:highlight w:val="none"/>
          <w:lang w:val="en-US" w:eastAsia="zh-CN"/>
        </w:rPr>
        <w:t>3、</w:t>
      </w:r>
      <w:r>
        <w:rPr>
          <w:color w:val="auto"/>
          <w:sz w:val="24"/>
          <w:szCs w:val="24"/>
          <w:highlight w:val="none"/>
        </w:rPr>
        <w:t>法人或者其他组织的营业执照等证明文件，自然人的身份证明</w:t>
      </w:r>
    </w:p>
    <w:p w14:paraId="770D0E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有效的①建设行政主管部门核发的输变电工程专业承包叁级及以上或电力工程施工总承包叁级及以上资质证书；②电监会/能源局颁发的电力设施许可证承装（修、试）伍级及以上资质证书；③安全生产许可证（提供有效期内的证书扫描件并加盖投标人公章）； </w:t>
      </w:r>
    </w:p>
    <w:p w14:paraId="26D216F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项目负责人建造师证书及三类人员B类证书（提供有效期内的证书扫描件并加盖投标人公章）。</w:t>
      </w:r>
    </w:p>
    <w:p w14:paraId="20D33333">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投标人认为需要说明的其他材料；</w:t>
      </w:r>
    </w:p>
    <w:p w14:paraId="668BB305">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ascii="宋体"/>
          <w:b/>
          <w:bCs/>
          <w:color w:val="auto"/>
          <w:sz w:val="36"/>
          <w:szCs w:val="32"/>
          <w:highlight w:val="none"/>
        </w:rPr>
      </w:pPr>
    </w:p>
    <w:p w14:paraId="3C8069BA">
      <w:pPr>
        <w:keepNext w:val="0"/>
        <w:keepLines w:val="0"/>
        <w:pageBreakBefore w:val="0"/>
        <w:kinsoku/>
        <w:wordWrap/>
        <w:overflowPunct/>
        <w:topLinePunct w:val="0"/>
        <w:bidi w:val="0"/>
        <w:spacing w:line="360" w:lineRule="auto"/>
        <w:outlineLvl w:val="9"/>
        <w:rPr>
          <w:rFonts w:ascii="宋体"/>
          <w:b/>
          <w:color w:val="auto"/>
          <w:sz w:val="28"/>
          <w:highlight w:val="none"/>
        </w:rPr>
      </w:pPr>
    </w:p>
    <w:p w14:paraId="2CB4060B">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78663B13">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68DB3E9">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A787C1F">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4FC7D2D0">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77A53D24">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B59BA33">
      <w:pPr>
        <w:pStyle w:val="24"/>
        <w:keepNext w:val="0"/>
        <w:keepLines w:val="0"/>
        <w:pageBreakBefore w:val="0"/>
        <w:kinsoku/>
        <w:wordWrap/>
        <w:overflowPunct/>
        <w:topLinePunct w:val="0"/>
        <w:bidi w:val="0"/>
        <w:outlineLvl w:val="9"/>
        <w:rPr>
          <w:color w:val="auto"/>
          <w:highlight w:val="none"/>
        </w:rPr>
      </w:pPr>
    </w:p>
    <w:p w14:paraId="48A956A6">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65728496">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7909EC41">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27C476D">
      <w:pPr>
        <w:keepNext w:val="0"/>
        <w:keepLines w:val="0"/>
        <w:pageBreakBefore w:val="0"/>
        <w:kinsoku/>
        <w:wordWrap/>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14:paraId="7E021608">
      <w:pPr>
        <w:keepNext w:val="0"/>
        <w:keepLines w:val="0"/>
        <w:pageBreakBefore w:val="0"/>
        <w:kinsoku/>
        <w:wordWrap/>
        <w:overflowPunct/>
        <w:topLinePunct w:val="0"/>
        <w:bidi w:val="0"/>
        <w:spacing w:line="360" w:lineRule="auto"/>
        <w:jc w:val="center"/>
        <w:outlineLvl w:val="9"/>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3295EE16">
      <w:pPr>
        <w:keepNext w:val="0"/>
        <w:keepLines w:val="0"/>
        <w:pageBreakBefore w:val="0"/>
        <w:kinsoku/>
        <w:wordWrap/>
        <w:overflowPunct/>
        <w:topLinePunct w:val="0"/>
        <w:bidi w:val="0"/>
        <w:spacing w:line="360" w:lineRule="auto"/>
        <w:outlineLvl w:val="9"/>
        <w:rPr>
          <w:color w:val="auto"/>
          <w:sz w:val="21"/>
          <w:szCs w:val="21"/>
          <w:highlight w:val="none"/>
          <w:u w:val="single"/>
        </w:rPr>
      </w:pPr>
      <w:r>
        <w:rPr>
          <w:rFonts w:hint="eastAsia"/>
          <w:color w:val="auto"/>
          <w:sz w:val="21"/>
          <w:szCs w:val="21"/>
          <w:highlight w:val="none"/>
          <w:u w:val="single"/>
          <w:lang w:eastAsia="zh-CN"/>
        </w:rPr>
        <w:t>台州市章鱼出行科技有限公司</w:t>
      </w:r>
      <w:r>
        <w:rPr>
          <w:rFonts w:hint="eastAsia"/>
          <w:color w:val="auto"/>
          <w:sz w:val="21"/>
          <w:szCs w:val="21"/>
          <w:highlight w:val="none"/>
          <w:u w:val="single"/>
        </w:rPr>
        <w:t>、</w:t>
      </w:r>
      <w:r>
        <w:rPr>
          <w:rFonts w:hint="eastAsia"/>
          <w:color w:val="auto"/>
          <w:sz w:val="21"/>
          <w:szCs w:val="21"/>
          <w:highlight w:val="none"/>
          <w:u w:val="single"/>
          <w:lang w:eastAsia="zh-CN"/>
        </w:rPr>
        <w:t>台州永安工程咨询有限公司</w:t>
      </w:r>
      <w:r>
        <w:rPr>
          <w:rFonts w:hint="eastAsia"/>
          <w:color w:val="auto"/>
          <w:sz w:val="21"/>
          <w:szCs w:val="21"/>
          <w:highlight w:val="none"/>
          <w:u w:val="single"/>
        </w:rPr>
        <w:t>：</w:t>
      </w:r>
    </w:p>
    <w:p w14:paraId="14B09B24">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w:t>
      </w:r>
      <w:r>
        <w:rPr>
          <w:rFonts w:hint="eastAsia"/>
          <w:color w:val="auto"/>
          <w:sz w:val="21"/>
          <w:szCs w:val="21"/>
          <w:highlight w:val="none"/>
          <w:u w:val="single"/>
        </w:rPr>
        <w:t xml:space="preserve"> 投标人名称 </w:t>
      </w:r>
      <w:r>
        <w:rPr>
          <w:rFonts w:hint="eastAsia"/>
          <w:color w:val="auto"/>
          <w:sz w:val="21"/>
          <w:szCs w:val="21"/>
          <w:highlight w:val="none"/>
        </w:rPr>
        <w:t>）系中华人民共和国合法企业，经营地址。</w:t>
      </w:r>
    </w:p>
    <w:p w14:paraId="11E74F15">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我（</w:t>
      </w:r>
      <w:r>
        <w:rPr>
          <w:rFonts w:hint="eastAsia" w:ascii="宋体" w:hAnsi="宋体" w:cs="宋体"/>
          <w:color w:val="auto"/>
          <w:sz w:val="21"/>
          <w:szCs w:val="21"/>
          <w:highlight w:val="none"/>
          <w:u w:val="single"/>
        </w:rPr>
        <w:t xml:space="preserve"> 姓名 </w:t>
      </w:r>
      <w:r>
        <w:rPr>
          <w:rFonts w:hint="eastAsia"/>
          <w:color w:val="auto"/>
          <w:sz w:val="21"/>
          <w:szCs w:val="21"/>
          <w:highlight w:val="none"/>
        </w:rPr>
        <w:t>）系（</w:t>
      </w:r>
      <w:r>
        <w:rPr>
          <w:rFonts w:hint="eastAsia" w:ascii="宋体" w:hAnsi="宋体" w:cs="宋体"/>
          <w:color w:val="auto"/>
          <w:sz w:val="21"/>
          <w:szCs w:val="21"/>
          <w:highlight w:val="none"/>
          <w:u w:val="single"/>
        </w:rPr>
        <w:t xml:space="preserve"> 投标人名称 </w:t>
      </w:r>
      <w:r>
        <w:rPr>
          <w:rFonts w:hint="eastAsia"/>
          <w:color w:val="auto"/>
          <w:sz w:val="21"/>
          <w:szCs w:val="21"/>
          <w:highlight w:val="none"/>
        </w:rPr>
        <w:t>）的法定代表人，我公司自愿参加贵方组织的</w:t>
      </w:r>
      <w:r>
        <w:rPr>
          <w:rFonts w:hint="eastAsia"/>
          <w:color w:val="auto"/>
          <w:sz w:val="21"/>
          <w:szCs w:val="21"/>
          <w:highlight w:val="none"/>
          <w:u w:val="single"/>
          <w:lang w:eastAsia="zh-CN"/>
        </w:rPr>
        <w:t>路桥区公共充电桩建设项目（二期）</w:t>
      </w:r>
      <w:r>
        <w:rPr>
          <w:rFonts w:hint="eastAsia"/>
          <w:color w:val="auto"/>
          <w:sz w:val="21"/>
          <w:szCs w:val="21"/>
          <w:highlight w:val="none"/>
        </w:rPr>
        <w:t>（编号为</w:t>
      </w:r>
      <w:r>
        <w:rPr>
          <w:rFonts w:hint="eastAsia" w:ascii="宋体" w:hAnsi="宋体" w:cs="宋体"/>
          <w:color w:val="auto"/>
          <w:sz w:val="21"/>
          <w:szCs w:val="21"/>
          <w:highlight w:val="none"/>
          <w:u w:val="single"/>
          <w:lang w:val="en-US" w:eastAsia="zh-CN"/>
        </w:rPr>
        <w:t xml:space="preserve">tzya2025-lq30 </w:t>
      </w:r>
      <w:r>
        <w:rPr>
          <w:rFonts w:hint="eastAsia"/>
          <w:color w:val="auto"/>
          <w:sz w:val="21"/>
          <w:szCs w:val="21"/>
          <w:highlight w:val="none"/>
        </w:rPr>
        <w:t>）的投标，为此，我公司就本次投标有关事项郑重声明如下：</w:t>
      </w:r>
    </w:p>
    <w:p w14:paraId="62885729">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2B1EB410">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3909C0C">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702E7C92">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w:t>
      </w:r>
      <w:r>
        <w:rPr>
          <w:rFonts w:hint="eastAsia" w:ascii="宋体" w:hAnsi="宋体" w:eastAsia="宋体" w:cs="宋体"/>
          <w:color w:val="auto"/>
          <w:sz w:val="21"/>
          <w:szCs w:val="21"/>
          <w:highlight w:val="none"/>
          <w:lang w:val="en-US" w:eastAsia="zh-CN"/>
        </w:rPr>
        <w:t>总</w:t>
      </w:r>
      <w:r>
        <w:rPr>
          <w:rFonts w:hint="eastAsia" w:ascii="宋体" w:hAnsi="宋体" w:cs="宋体"/>
          <w:color w:val="auto"/>
          <w:sz w:val="21"/>
          <w:szCs w:val="21"/>
          <w:highlight w:val="none"/>
          <w:lang w:val="en-US" w:eastAsia="zh-CN"/>
        </w:rPr>
        <w:t>报价已包含所有应向所有权人支付的专利权、商标权或其它知识产权的一切相关费用。</w:t>
      </w:r>
    </w:p>
    <w:p w14:paraId="4D7B7492">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我公司严格履行采购合同，不降低合同约定的产品质量和服务，不擅自变更、中止、终止合同，或拒绝履行合同义务；</w:t>
      </w:r>
    </w:p>
    <w:p w14:paraId="12E583E3">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3182FDED">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cs="宋体"/>
          <w:color w:val="auto"/>
          <w:sz w:val="21"/>
          <w:szCs w:val="21"/>
          <w:highlight w:val="none"/>
        </w:rPr>
        <w:t>。</w:t>
      </w:r>
    </w:p>
    <w:p w14:paraId="7477B562">
      <w:pPr>
        <w:keepNext w:val="0"/>
        <w:keepLines w:val="0"/>
        <w:pageBreakBefore w:val="0"/>
        <w:kinsoku/>
        <w:wordWrap/>
        <w:overflowPunct/>
        <w:topLinePunct w:val="0"/>
        <w:bidi w:val="0"/>
        <w:spacing w:line="360" w:lineRule="auto"/>
        <w:ind w:firstLine="3360" w:firstLineChars="1600"/>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投标人名称（公章）：</w:t>
      </w:r>
    </w:p>
    <w:p w14:paraId="5A57DF04">
      <w:pPr>
        <w:keepNext w:val="0"/>
        <w:keepLines w:val="0"/>
        <w:pageBreakBefore w:val="0"/>
        <w:kinsoku/>
        <w:wordWrap/>
        <w:overflowPunct/>
        <w:topLinePunct w:val="0"/>
        <w:bidi w:val="0"/>
        <w:spacing w:line="360" w:lineRule="auto"/>
        <w:ind w:firstLine="1050" w:firstLineChars="500"/>
        <w:outlineLvl w:val="9"/>
        <w:rPr>
          <w:rFonts w:ascii="宋体" w:hAnsi="宋体" w:cs="宋体"/>
          <w:color w:val="auto"/>
          <w:sz w:val="21"/>
          <w:szCs w:val="21"/>
          <w:highlight w:val="none"/>
        </w:rPr>
      </w:pPr>
      <w:r>
        <w:rPr>
          <w:rFonts w:hint="eastAsia" w:ascii="宋体" w:hAnsi="宋体" w:cs="宋体"/>
          <w:color w:val="auto"/>
          <w:sz w:val="21"/>
          <w:szCs w:val="21"/>
          <w:highlight w:val="none"/>
          <w:lang w:val="zh-CN"/>
        </w:rPr>
        <w:t>法定代表人或授权委托</w:t>
      </w:r>
      <w:r>
        <w:rPr>
          <w:rFonts w:hint="eastAsia" w:ascii="宋体" w:hAnsi="宋体" w:cs="宋体"/>
          <w:color w:val="auto"/>
          <w:sz w:val="21"/>
          <w:szCs w:val="21"/>
          <w:highlight w:val="none"/>
          <w:lang w:val="en-US" w:eastAsia="zh-CN"/>
        </w:rPr>
        <w:t>代理</w:t>
      </w:r>
      <w:r>
        <w:rPr>
          <w:rFonts w:hint="eastAsia" w:ascii="宋体" w:hAnsi="宋体" w:cs="宋体"/>
          <w:color w:val="auto"/>
          <w:sz w:val="21"/>
          <w:szCs w:val="21"/>
          <w:highlight w:val="none"/>
          <w:lang w:val="zh-CN"/>
        </w:rPr>
        <w:t>人</w:t>
      </w:r>
      <w:r>
        <w:rPr>
          <w:rFonts w:hint="eastAsia" w:ascii="宋体" w:hAnsi="宋体"/>
          <w:color w:val="auto"/>
          <w:szCs w:val="21"/>
          <w:highlight w:val="none"/>
        </w:rPr>
        <w:t>（签字或盖章）</w:t>
      </w:r>
      <w:r>
        <w:rPr>
          <w:rFonts w:hint="eastAsia" w:ascii="宋体" w:hAnsi="宋体" w:cs="宋体"/>
          <w:color w:val="auto"/>
          <w:sz w:val="21"/>
          <w:szCs w:val="21"/>
          <w:highlight w:val="none"/>
          <w:lang w:val="zh-CN"/>
        </w:rPr>
        <w:t>：</w:t>
      </w:r>
    </w:p>
    <w:p w14:paraId="1BEE7612">
      <w:pPr>
        <w:keepNext w:val="0"/>
        <w:keepLines w:val="0"/>
        <w:pageBreakBefore w:val="0"/>
        <w:kinsoku/>
        <w:wordWrap/>
        <w:overflowPunct/>
        <w:topLinePunct w:val="0"/>
        <w:bidi w:val="0"/>
        <w:spacing w:line="360" w:lineRule="auto"/>
        <w:ind w:firstLine="420" w:firstLineChars="200"/>
        <w:jc w:val="center"/>
        <w:outlineLvl w:val="9"/>
        <w:rPr>
          <w:rFonts w:ascii="宋体" w:hAnsi="宋体" w:cs="宋体"/>
          <w:color w:val="auto"/>
          <w:sz w:val="24"/>
          <w:szCs w:val="3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711BF267">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28"/>
          <w:highlight w:val="none"/>
        </w:rPr>
      </w:pPr>
    </w:p>
    <w:p w14:paraId="6A7A9354">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14:paraId="547BCA50">
      <w:pPr>
        <w:keepNext w:val="0"/>
        <w:keepLines w:val="0"/>
        <w:pageBreakBefore w:val="0"/>
        <w:kinsoku/>
        <w:wordWrap/>
        <w:overflowPunct/>
        <w:topLinePunct w:val="0"/>
        <w:bidi w:val="0"/>
        <w:spacing w:line="360" w:lineRule="auto"/>
        <w:ind w:firstLine="321" w:firstLineChars="100"/>
        <w:jc w:val="center"/>
        <w:outlineLvl w:val="9"/>
        <w:rPr>
          <w:rFonts w:hAnsi="宋体"/>
          <w:b/>
          <w:color w:val="auto"/>
          <w:sz w:val="32"/>
          <w:szCs w:val="32"/>
          <w:highlight w:val="none"/>
          <w:u w:val="single"/>
        </w:rPr>
      </w:pPr>
      <w:r>
        <w:rPr>
          <w:rFonts w:hint="eastAsia"/>
          <w:b/>
          <w:color w:val="auto"/>
          <w:sz w:val="32"/>
          <w:szCs w:val="32"/>
          <w:highlight w:val="none"/>
        </w:rPr>
        <w:t>授权委托书</w:t>
      </w:r>
    </w:p>
    <w:p w14:paraId="57397807">
      <w:pPr>
        <w:pStyle w:val="12"/>
        <w:keepNext w:val="0"/>
        <w:keepLines w:val="0"/>
        <w:pageBreakBefore w:val="0"/>
        <w:kinsoku/>
        <w:wordWrap/>
        <w:overflowPunct/>
        <w:topLinePunct w:val="0"/>
        <w:bidi w:val="0"/>
        <w:spacing w:line="360" w:lineRule="auto"/>
        <w:ind w:left="240" w:hanging="210" w:hangingChars="100"/>
        <w:outlineLvl w:val="9"/>
        <w:rPr>
          <w:rFonts w:hAnsi="宋体" w:cs="宋体"/>
          <w:color w:val="auto"/>
          <w:kern w:val="0"/>
          <w:sz w:val="21"/>
          <w:szCs w:val="21"/>
          <w:highlight w:val="none"/>
        </w:rPr>
      </w:pPr>
      <w:r>
        <w:rPr>
          <w:rFonts w:hint="eastAsia" w:hAnsi="宋体"/>
          <w:color w:val="auto"/>
          <w:sz w:val="21"/>
          <w:szCs w:val="21"/>
          <w:highlight w:val="none"/>
          <w:u w:val="single"/>
          <w:lang w:eastAsia="zh-CN"/>
        </w:rPr>
        <w:t>台州市章鱼出行科技有限公司</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台州永安工程咨询有限公司</w:t>
      </w:r>
      <w:r>
        <w:rPr>
          <w:rFonts w:hint="eastAsia" w:hAnsi="宋体" w:cs="宋体"/>
          <w:color w:val="auto"/>
          <w:kern w:val="0"/>
          <w:sz w:val="21"/>
          <w:szCs w:val="21"/>
          <w:highlight w:val="none"/>
        </w:rPr>
        <w:t>：</w:t>
      </w:r>
    </w:p>
    <w:p w14:paraId="63BFD609">
      <w:pPr>
        <w:pStyle w:val="12"/>
        <w:keepNext w:val="0"/>
        <w:keepLines w:val="0"/>
        <w:pageBreakBefore w:val="0"/>
        <w:kinsoku/>
        <w:wordWrap/>
        <w:overflowPunct/>
        <w:topLinePunct w:val="0"/>
        <w:bidi w:val="0"/>
        <w:spacing w:line="360" w:lineRule="auto"/>
        <w:ind w:left="240" w:hanging="210" w:hangingChars="100"/>
        <w:outlineLvl w:val="9"/>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路桥区公共充电桩建设项目（二期）</w:t>
      </w:r>
      <w:r>
        <w:rPr>
          <w:rFonts w:hint="eastAsia" w:hAnsi="宋体"/>
          <w:color w:val="auto"/>
          <w:sz w:val="21"/>
          <w:szCs w:val="21"/>
          <w:highlight w:val="none"/>
        </w:rPr>
        <w:t>的采购活动，并代表我方全权办理针对上述项目的投标、开标、评标、签约等具体事务和签署相关文件。我方对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14:paraId="26964D94">
      <w:pPr>
        <w:pStyle w:val="12"/>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5FB96DDC">
      <w:pPr>
        <w:pStyle w:val="12"/>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5C98C22E">
      <w:pPr>
        <w:keepNext w:val="0"/>
        <w:keepLines w:val="0"/>
        <w:pageBreakBefore w:val="0"/>
        <w:kinsoku/>
        <w:wordWrap/>
        <w:overflowPunct/>
        <w:topLinePunct w:val="0"/>
        <w:bidi w:val="0"/>
        <w:spacing w:line="360" w:lineRule="auto"/>
        <w:outlineLvl w:val="9"/>
        <w:rPr>
          <w:color w:val="auto"/>
          <w:sz w:val="21"/>
          <w:szCs w:val="21"/>
          <w:highlight w:val="none"/>
        </w:rPr>
      </w:pPr>
    </w:p>
    <w:p w14:paraId="6B2E2571">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法定代表人签字或盖章：</w:t>
      </w:r>
    </w:p>
    <w:p w14:paraId="28B598E1">
      <w:pPr>
        <w:keepNext w:val="0"/>
        <w:keepLines w:val="0"/>
        <w:pageBreakBefore w:val="0"/>
        <w:kinsoku/>
        <w:wordWrap/>
        <w:overflowPunct/>
        <w:topLinePunct w:val="0"/>
        <w:bidi w:val="0"/>
        <w:spacing w:line="360" w:lineRule="auto"/>
        <w:outlineLvl w:val="9"/>
        <w:rPr>
          <w:rFonts w:hint="eastAsia" w:ascii="宋体"/>
          <w:color w:val="auto"/>
          <w:sz w:val="21"/>
          <w:szCs w:val="21"/>
          <w:highlight w:val="none"/>
        </w:rPr>
      </w:pPr>
      <w:r>
        <w:rPr>
          <w:rFonts w:hint="eastAsia" w:ascii="宋体"/>
          <w:color w:val="auto"/>
          <w:sz w:val="21"/>
          <w:szCs w:val="21"/>
          <w:highlight w:val="none"/>
        </w:rPr>
        <w:t>投标人全称（公章）：</w:t>
      </w:r>
    </w:p>
    <w:p w14:paraId="60D25993">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日期：</w:t>
      </w:r>
    </w:p>
    <w:p w14:paraId="725A7A8C">
      <w:pPr>
        <w:keepNext w:val="0"/>
        <w:keepLines w:val="0"/>
        <w:pageBreakBefore w:val="0"/>
        <w:kinsoku/>
        <w:wordWrap/>
        <w:overflowPunct/>
        <w:topLinePunct w:val="0"/>
        <w:bidi w:val="0"/>
        <w:spacing w:line="360" w:lineRule="auto"/>
        <w:outlineLvl w:val="9"/>
        <w:rPr>
          <w:color w:val="auto"/>
          <w:sz w:val="24"/>
          <w:highlight w:val="none"/>
        </w:rPr>
      </w:pPr>
    </w:p>
    <w:p w14:paraId="61DE675C">
      <w:pPr>
        <w:keepNext w:val="0"/>
        <w:keepLines w:val="0"/>
        <w:pageBreakBefore w:val="0"/>
        <w:kinsoku/>
        <w:wordWrap/>
        <w:overflowPunct/>
        <w:topLinePunct w:val="0"/>
        <w:bidi w:val="0"/>
        <w:spacing w:line="360" w:lineRule="auto"/>
        <w:outlineLvl w:val="9"/>
        <w:rPr>
          <w:b/>
          <w:color w:val="auto"/>
          <w:sz w:val="24"/>
          <w:highlight w:val="none"/>
        </w:rPr>
      </w:pPr>
      <w:r>
        <w:rPr>
          <w:rFonts w:hint="eastAsia" w:ascii="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999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E452D6D">
            <w:pPr>
              <w:keepNext w:val="0"/>
              <w:keepLines w:val="0"/>
              <w:pageBreakBefore w:val="0"/>
              <w:kinsoku/>
              <w:wordWrap/>
              <w:overflowPunct/>
              <w:topLinePunct w:val="0"/>
              <w:bidi w:val="0"/>
              <w:spacing w:line="360" w:lineRule="auto"/>
              <w:outlineLvl w:val="9"/>
              <w:rPr>
                <w:rFonts w:ascii="宋体"/>
                <w:b/>
                <w:color w:val="auto"/>
                <w:sz w:val="24"/>
                <w:highlight w:val="none"/>
              </w:rPr>
            </w:pPr>
          </w:p>
          <w:p w14:paraId="61AD5377">
            <w:pPr>
              <w:keepNext w:val="0"/>
              <w:keepLines w:val="0"/>
              <w:pageBreakBefore w:val="0"/>
              <w:kinsoku/>
              <w:wordWrap/>
              <w:overflowPunct/>
              <w:topLinePunct w:val="0"/>
              <w:bidi w:val="0"/>
              <w:spacing w:line="360" w:lineRule="auto"/>
              <w:jc w:val="center"/>
              <w:outlineLvl w:val="9"/>
              <w:rPr>
                <w:rFonts w:ascii="宋体"/>
                <w:b/>
                <w:color w:val="auto"/>
                <w:sz w:val="24"/>
                <w:highlight w:val="none"/>
              </w:rPr>
            </w:pPr>
            <w:r>
              <w:rPr>
                <w:rFonts w:hint="eastAsia" w:ascii="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b/>
                <w:color w:val="auto"/>
                <w:sz w:val="24"/>
                <w:highlight w:val="none"/>
              </w:rPr>
              <w:t>复印件</w:t>
            </w:r>
            <w:r>
              <w:rPr>
                <w:rFonts w:hint="eastAsia" w:ascii="宋体"/>
                <w:b/>
                <w:color w:val="auto"/>
                <w:sz w:val="24"/>
                <w:highlight w:val="none"/>
                <w:lang w:eastAsia="zh-CN"/>
              </w:rPr>
              <w:t>粘贴</w:t>
            </w:r>
            <w:r>
              <w:rPr>
                <w:rFonts w:hint="eastAsia" w:ascii="宋体"/>
                <w:b/>
                <w:color w:val="auto"/>
                <w:sz w:val="24"/>
                <w:highlight w:val="none"/>
              </w:rPr>
              <w:t>处</w:t>
            </w:r>
          </w:p>
        </w:tc>
      </w:tr>
    </w:tbl>
    <w:p w14:paraId="78D04B84">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法定代表人姓名：</w:t>
      </w:r>
    </w:p>
    <w:p w14:paraId="69CBBE79">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54A12E5E">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74498C5C">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1806E573">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0F9BB6A8">
      <w:pPr>
        <w:keepNext w:val="0"/>
        <w:keepLines w:val="0"/>
        <w:pageBreakBefore w:val="0"/>
        <w:kinsoku/>
        <w:wordWrap/>
        <w:overflowPunct/>
        <w:topLinePunct w:val="0"/>
        <w:bidi w:val="0"/>
        <w:spacing w:line="360" w:lineRule="auto"/>
        <w:outlineLvl w:val="9"/>
        <w:rPr>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A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8DA37C2">
            <w:pPr>
              <w:keepNext w:val="0"/>
              <w:keepLines w:val="0"/>
              <w:pageBreakBefore w:val="0"/>
              <w:kinsoku/>
              <w:wordWrap/>
              <w:overflowPunct/>
              <w:topLinePunct w:val="0"/>
              <w:bidi w:val="0"/>
              <w:spacing w:line="360" w:lineRule="auto"/>
              <w:outlineLvl w:val="9"/>
              <w:rPr>
                <w:rFonts w:ascii="宋体"/>
                <w:b/>
                <w:color w:val="auto"/>
                <w:sz w:val="21"/>
                <w:szCs w:val="21"/>
                <w:highlight w:val="none"/>
              </w:rPr>
            </w:pPr>
          </w:p>
          <w:p w14:paraId="52803EE3">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Times New Roman" w:eastAsia="宋体" w:cs="Times New Roman"/>
                <w:b/>
                <w:color w:val="auto"/>
                <w:sz w:val="24"/>
                <w:highlight w:val="none"/>
                <w:lang w:eastAsia="zh-CN"/>
              </w:rPr>
              <w:t>授权委托代理人</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正、反面</w:t>
            </w:r>
            <w:r>
              <w:rPr>
                <w:rFonts w:hint="eastAsia" w:ascii="宋体" w:hAnsi="Times New Roman" w:eastAsia="宋体" w:cs="Times New Roman"/>
                <w:b/>
                <w:color w:val="auto"/>
                <w:sz w:val="24"/>
                <w:highlight w:val="none"/>
              </w:rPr>
              <w:t>复印件</w:t>
            </w:r>
            <w:r>
              <w:rPr>
                <w:rFonts w:hint="eastAsia" w:ascii="宋体" w:hAnsi="Times New Roman" w:eastAsia="宋体" w:cs="Times New Roman"/>
                <w:b/>
                <w:color w:val="auto"/>
                <w:sz w:val="24"/>
                <w:highlight w:val="none"/>
                <w:lang w:val="en-US" w:eastAsia="zh-CN"/>
              </w:rPr>
              <w:t>粘贴</w:t>
            </w:r>
            <w:r>
              <w:rPr>
                <w:rFonts w:hint="eastAsia" w:ascii="宋体" w:hAnsi="Times New Roman" w:eastAsia="宋体" w:cs="Times New Roman"/>
                <w:b/>
                <w:color w:val="auto"/>
                <w:sz w:val="24"/>
                <w:highlight w:val="none"/>
              </w:rPr>
              <w:t>处</w:t>
            </w:r>
          </w:p>
        </w:tc>
      </w:tr>
    </w:tbl>
    <w:p w14:paraId="07326D50">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14:paraId="6935847C">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职务：</w:t>
      </w:r>
    </w:p>
    <w:p w14:paraId="24031882">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2028D1A8">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57560072">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4230C66C">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2B874EF8">
      <w:pPr>
        <w:keepNext w:val="0"/>
        <w:keepLines w:val="0"/>
        <w:pageBreakBefore w:val="0"/>
        <w:kinsoku/>
        <w:wordWrap/>
        <w:overflowPunct/>
        <w:topLinePunct w:val="0"/>
        <w:bidi w:val="0"/>
        <w:spacing w:line="360" w:lineRule="auto"/>
        <w:ind w:right="-110"/>
        <w:jc w:val="both"/>
        <w:outlineLvl w:val="9"/>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65128972">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35C7B49">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7B607259">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6EC32391">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289DFF6">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6BAB50B">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7B220251">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AFCA0C4">
      <w:pPr>
        <w:keepNext w:val="0"/>
        <w:keepLines w:val="0"/>
        <w:pageBreakBefore w:val="0"/>
        <w:kinsoku/>
        <w:wordWrap/>
        <w:overflowPunct/>
        <w:topLinePunct w:val="0"/>
        <w:bidi w:val="0"/>
        <w:spacing w:after="100" w:afterAutospacing="1" w:line="360" w:lineRule="auto"/>
        <w:ind w:right="-108"/>
        <w:jc w:val="center"/>
        <w:outlineLvl w:val="9"/>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lang w:val="zh-CN"/>
        </w:rPr>
        <w:t>商务技术文件</w:t>
      </w:r>
      <w:r>
        <w:rPr>
          <w:rFonts w:hint="eastAsia" w:ascii="宋体" w:hAnsi="宋体"/>
          <w:b/>
          <w:color w:val="auto"/>
          <w:spacing w:val="40"/>
          <w:sz w:val="28"/>
          <w:szCs w:val="28"/>
          <w:highlight w:val="none"/>
        </w:rPr>
        <w:t>）</w:t>
      </w:r>
    </w:p>
    <w:p w14:paraId="78D250C0">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投标人全称（公章）：</w:t>
      </w:r>
    </w:p>
    <w:p w14:paraId="482FA0FA">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地    址：</w:t>
      </w:r>
    </w:p>
    <w:p w14:paraId="02713C3A">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时    间：</w:t>
      </w:r>
    </w:p>
    <w:p w14:paraId="7F3115CF">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p>
    <w:p w14:paraId="258CAAF8">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pPr>
    </w:p>
    <w:p w14:paraId="2DA7EC0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14:paraId="117A710D">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bookmarkStart w:id="2" w:name="_GoBack"/>
      <w:bookmarkEnd w:id="2"/>
      <w:r>
        <w:rPr>
          <w:rFonts w:hint="eastAsia" w:ascii="宋体" w:hAnsi="宋体" w:cs="宋体"/>
          <w:b/>
          <w:bCs/>
          <w:color w:val="auto"/>
          <w:sz w:val="32"/>
          <w:szCs w:val="32"/>
          <w:highlight w:val="none"/>
          <w:lang w:val="zh-CN"/>
        </w:rPr>
        <w:t>商务技术文件</w:t>
      </w:r>
      <w:r>
        <w:rPr>
          <w:rFonts w:hint="eastAsia" w:ascii="宋体" w:hAnsi="宋体" w:eastAsia="宋体" w:cs="宋体"/>
          <w:b/>
          <w:bCs/>
          <w:color w:val="auto"/>
          <w:sz w:val="32"/>
          <w:szCs w:val="32"/>
          <w:highlight w:val="none"/>
        </w:rPr>
        <w:t>目录</w:t>
      </w:r>
    </w:p>
    <w:p w14:paraId="3BBB4507">
      <w:pPr>
        <w:keepNext w:val="0"/>
        <w:keepLines w:val="0"/>
        <w:pageBreakBefore w:val="0"/>
        <w:kinsoku/>
        <w:wordWrap/>
        <w:overflowPunct/>
        <w:topLinePunct w:val="0"/>
        <w:bidi w:val="0"/>
        <w:snapToGrid w:val="0"/>
        <w:spacing w:line="360" w:lineRule="auto"/>
        <w:ind w:firstLine="482" w:firstLineChars="200"/>
        <w:outlineLvl w:val="9"/>
        <w:rPr>
          <w:rFonts w:ascii="宋体" w:hAnsi="宋体"/>
          <w:b/>
          <w:bCs/>
          <w:color w:val="auto"/>
          <w:sz w:val="24"/>
          <w:highlight w:val="none"/>
        </w:rPr>
      </w:pPr>
    </w:p>
    <w:p w14:paraId="0316FC65">
      <w:pPr>
        <w:numPr>
          <w:ilvl w:val="0"/>
          <w:numId w:val="6"/>
        </w:numPr>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089094A6">
      <w:pPr>
        <w:pStyle w:val="9"/>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p>
    <w:p w14:paraId="77153315">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 xml:space="preserve"> 技术方案描述部分</w:t>
      </w:r>
    </w:p>
    <w:p w14:paraId="4E8A3B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564752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项目需求的理解与分析</w:t>
      </w:r>
      <w:r>
        <w:rPr>
          <w:rFonts w:hint="eastAsia" w:ascii="宋体" w:hAnsi="宋体" w:eastAsia="宋体" w:cs="宋体"/>
          <w:color w:val="auto"/>
          <w:sz w:val="21"/>
          <w:szCs w:val="21"/>
          <w:highlight w:val="none"/>
        </w:rPr>
        <w:t>；</w:t>
      </w:r>
    </w:p>
    <w:p w14:paraId="6B28A7D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项目组织实施方案</w:t>
      </w:r>
      <w:r>
        <w:rPr>
          <w:rFonts w:hint="eastAsia" w:ascii="宋体" w:hAnsi="宋体" w:eastAsia="宋体" w:cs="宋体"/>
          <w:color w:val="auto"/>
          <w:sz w:val="21"/>
          <w:szCs w:val="21"/>
          <w:highlight w:val="none"/>
        </w:rPr>
        <w:t xml:space="preserve">； </w:t>
      </w:r>
    </w:p>
    <w:p w14:paraId="4D8FC924">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6C5ABB7D">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77D5BF7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p>
    <w:p w14:paraId="69630594">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7E82A870">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投标描述部分</w:t>
      </w:r>
    </w:p>
    <w:p w14:paraId="777D408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1BE27041">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14:paraId="65B126D2">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0933B441">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、商务响应部分</w:t>
      </w:r>
    </w:p>
    <w:p w14:paraId="31122496">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p>
    <w:p w14:paraId="61F8FF79">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w:t>
      </w:r>
    </w:p>
    <w:p w14:paraId="5B219F7E">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5FEE4FB9">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53B3BF1">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3D53AF71">
      <w:pPr>
        <w:keepNext w:val="0"/>
        <w:keepLines w:val="0"/>
        <w:pageBreakBefore w:val="0"/>
        <w:kinsoku/>
        <w:wordWrap/>
        <w:overflowPunct/>
        <w:topLinePunct w:val="0"/>
        <w:bidi w:val="0"/>
        <w:snapToGrid w:val="0"/>
        <w:spacing w:before="50" w:after="50" w:line="360" w:lineRule="auto"/>
        <w:outlineLvl w:val="9"/>
        <w:rPr>
          <w:rFonts w:ascii="仿宋_GB2312" w:hAnsi="宋体" w:eastAsia="仿宋_GB2312"/>
          <w:b/>
          <w:color w:val="auto"/>
          <w:sz w:val="36"/>
          <w:szCs w:val="36"/>
          <w:highlight w:val="none"/>
        </w:rPr>
      </w:pPr>
    </w:p>
    <w:p w14:paraId="1BD1B3D4">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0224C405">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072A4F36">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15B64B7C">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7CC765B0">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31DDA46F">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506400B0">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lang w:val="en-US" w:eastAsia="zh-CN"/>
        </w:rPr>
        <w:t>评标索引：自评表</w:t>
      </w:r>
    </w:p>
    <w:tbl>
      <w:tblPr>
        <w:tblStyle w:val="1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40"/>
        <w:gridCol w:w="6514"/>
        <w:gridCol w:w="676"/>
        <w:gridCol w:w="676"/>
        <w:gridCol w:w="676"/>
      </w:tblGrid>
      <w:tr w14:paraId="122D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90" w:type="dxa"/>
            <w:gridSpan w:val="2"/>
            <w:tcBorders>
              <w:bottom w:val="single" w:color="auto" w:sz="4" w:space="0"/>
            </w:tcBorders>
            <w:noWrap w:val="0"/>
            <w:vAlign w:val="center"/>
          </w:tcPr>
          <w:p w14:paraId="3916CE3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514" w:type="dxa"/>
            <w:tcBorders>
              <w:bottom w:val="single" w:color="auto" w:sz="4" w:space="0"/>
            </w:tcBorders>
            <w:noWrap w:val="0"/>
            <w:vAlign w:val="center"/>
          </w:tcPr>
          <w:p w14:paraId="4928D8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76" w:type="dxa"/>
            <w:tcBorders>
              <w:bottom w:val="single" w:color="auto" w:sz="4" w:space="0"/>
            </w:tcBorders>
            <w:noWrap w:val="0"/>
            <w:vAlign w:val="center"/>
          </w:tcPr>
          <w:p w14:paraId="3C62642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76" w:type="dxa"/>
            <w:tcBorders>
              <w:bottom w:val="single" w:color="auto" w:sz="4" w:space="0"/>
            </w:tcBorders>
            <w:noWrap w:val="0"/>
            <w:vAlign w:val="center"/>
          </w:tcPr>
          <w:p w14:paraId="230246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76" w:type="dxa"/>
            <w:tcBorders>
              <w:bottom w:val="single" w:color="auto" w:sz="4" w:space="0"/>
            </w:tcBorders>
            <w:noWrap w:val="0"/>
            <w:vAlign w:val="center"/>
          </w:tcPr>
          <w:p w14:paraId="542E42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785F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0" w:type="dxa"/>
            <w:vMerge w:val="restart"/>
            <w:noWrap w:val="0"/>
            <w:vAlign w:val="center"/>
          </w:tcPr>
          <w:p w14:paraId="78FA8B8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2415AAF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1040" w:type="dxa"/>
            <w:noWrap w:val="0"/>
            <w:vAlign w:val="center"/>
          </w:tcPr>
          <w:p w14:paraId="3192C104">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rPr>
              <w:t>企业实力</w:t>
            </w:r>
          </w:p>
        </w:tc>
        <w:tc>
          <w:tcPr>
            <w:tcW w:w="6514" w:type="dxa"/>
            <w:noWrap w:val="0"/>
            <w:vAlign w:val="center"/>
          </w:tcPr>
          <w:p w14:paraId="786DBB1B">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投标人具有有效的质量管理体系认证证书、环境管理体系认证证书、职业健康安全管理体系认证证书、知识产权管理体系认证证书的得4分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缺少一个证书的扣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分，扣完为止。</w:t>
            </w:r>
          </w:p>
          <w:p w14:paraId="1367054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0"/>
                <w:szCs w:val="20"/>
                <w:highlight w:val="none"/>
              </w:rPr>
              <w:t>（证书</w:t>
            </w:r>
            <w:r>
              <w:rPr>
                <w:rFonts w:hint="eastAsia" w:ascii="宋体" w:hAnsi="宋体" w:cs="宋体"/>
                <w:b/>
                <w:bCs/>
                <w:color w:val="auto"/>
                <w:sz w:val="20"/>
                <w:szCs w:val="20"/>
                <w:highlight w:val="none"/>
                <w:lang w:val="en-US" w:eastAsia="zh-CN"/>
              </w:rPr>
              <w:t>扫描</w:t>
            </w:r>
            <w:r>
              <w:rPr>
                <w:rFonts w:hint="eastAsia" w:ascii="宋体" w:hAnsi="宋体" w:eastAsia="宋体" w:cs="宋体"/>
                <w:b/>
                <w:bCs/>
                <w:color w:val="auto"/>
                <w:sz w:val="20"/>
                <w:szCs w:val="20"/>
                <w:highlight w:val="none"/>
              </w:rPr>
              <w:t>件</w:t>
            </w:r>
            <w:r>
              <w:rPr>
                <w:rFonts w:hint="eastAsia" w:ascii="宋体" w:hAnsi="宋体" w:cs="宋体"/>
                <w:b/>
                <w:bCs/>
                <w:color w:val="auto"/>
                <w:sz w:val="20"/>
                <w:szCs w:val="20"/>
                <w:highlight w:val="none"/>
                <w:lang w:val="en-US" w:eastAsia="zh-CN"/>
              </w:rPr>
              <w:t>和</w:t>
            </w:r>
            <w:r>
              <w:rPr>
                <w:rFonts w:hint="eastAsia" w:ascii="宋体" w:hAnsi="宋体" w:eastAsia="宋体" w:cs="宋体"/>
                <w:b/>
                <w:bCs/>
                <w:color w:val="auto"/>
                <w:sz w:val="20"/>
                <w:szCs w:val="20"/>
                <w:highlight w:val="none"/>
              </w:rPr>
              <w:t>国家认证认可监督管理委员会官方网站上相关证书有效的网页截图或网站打印页</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未提供或提供不全不得分</w:t>
            </w:r>
            <w:r>
              <w:rPr>
                <w:rFonts w:hint="eastAsia" w:ascii="宋体" w:hAnsi="宋体" w:eastAsia="宋体" w:cs="宋体"/>
                <w:b/>
                <w:bCs/>
                <w:color w:val="auto"/>
                <w:sz w:val="20"/>
                <w:szCs w:val="20"/>
                <w:highlight w:val="none"/>
              </w:rPr>
              <w:t>）</w:t>
            </w:r>
          </w:p>
        </w:tc>
        <w:tc>
          <w:tcPr>
            <w:tcW w:w="676" w:type="dxa"/>
            <w:noWrap w:val="0"/>
            <w:vAlign w:val="center"/>
          </w:tcPr>
          <w:p w14:paraId="24C748F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76" w:type="dxa"/>
            <w:noWrap w:val="0"/>
            <w:vAlign w:val="center"/>
          </w:tcPr>
          <w:p w14:paraId="1BE54E2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0157171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6B24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0E1913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6CD73A30">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0"/>
                <w:szCs w:val="20"/>
                <w:highlight w:val="none"/>
                <w:lang w:val="en-US" w:eastAsia="zh-CN"/>
              </w:rPr>
              <w:t>承接经验</w:t>
            </w:r>
          </w:p>
        </w:tc>
        <w:tc>
          <w:tcPr>
            <w:tcW w:w="6514" w:type="dxa"/>
            <w:noWrap w:val="0"/>
            <w:vAlign w:val="center"/>
          </w:tcPr>
          <w:p w14:paraId="1D45F0C3">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rPr>
              <w:t>（以合同签订时间为准），投标人在全国范围内拥有的同行业（指</w:t>
            </w:r>
            <w:r>
              <w:rPr>
                <w:rFonts w:hint="eastAsia" w:ascii="宋体" w:hAnsi="宋体" w:eastAsia="宋体" w:cs="宋体"/>
                <w:color w:val="auto"/>
                <w:highlight w:val="none"/>
                <w:lang w:val="en-US" w:eastAsia="zh-CN"/>
              </w:rPr>
              <w:t>行政事业单位</w:t>
            </w:r>
            <w:r>
              <w:rPr>
                <w:rFonts w:hint="eastAsia" w:ascii="宋体" w:hAnsi="宋体" w:eastAsia="宋体" w:cs="宋体"/>
                <w:color w:val="auto"/>
                <w:highlight w:val="none"/>
              </w:rPr>
              <w:t>、国有</w:t>
            </w:r>
            <w:r>
              <w:rPr>
                <w:rFonts w:hint="eastAsia" w:ascii="宋体" w:hAnsi="宋体" w:eastAsia="宋体" w:cs="宋体"/>
                <w:color w:val="auto"/>
                <w:highlight w:val="none"/>
                <w:lang w:val="en-US" w:eastAsia="zh-CN"/>
              </w:rPr>
              <w:t>控股</w:t>
            </w:r>
            <w:r>
              <w:rPr>
                <w:rFonts w:hint="eastAsia" w:ascii="宋体" w:hAnsi="宋体" w:eastAsia="宋体" w:cs="宋体"/>
                <w:color w:val="auto"/>
                <w:highlight w:val="none"/>
              </w:rPr>
              <w:t>企业等）</w:t>
            </w:r>
            <w:r>
              <w:rPr>
                <w:rFonts w:hint="eastAsia" w:ascii="宋体" w:hAnsi="宋体" w:eastAsia="宋体" w:cs="宋体"/>
                <w:color w:val="auto"/>
                <w:highlight w:val="none"/>
                <w:lang w:val="en-US" w:eastAsia="zh-CN"/>
              </w:rPr>
              <w:t>同类型（公共充电桩）</w:t>
            </w:r>
            <w:r>
              <w:rPr>
                <w:rFonts w:hint="eastAsia" w:ascii="宋体" w:hAnsi="宋体" w:eastAsia="宋体" w:cs="宋体"/>
                <w:color w:val="auto"/>
                <w:highlight w:val="none"/>
              </w:rPr>
              <w:t>业绩</w:t>
            </w:r>
            <w:r>
              <w:rPr>
                <w:rFonts w:hint="eastAsia" w:ascii="宋体" w:hAnsi="宋体" w:cs="宋体"/>
                <w:color w:val="auto"/>
                <w:highlight w:val="none"/>
                <w:lang w:eastAsia="zh-CN"/>
              </w:rPr>
              <w:t>，</w:t>
            </w:r>
            <w:r>
              <w:rPr>
                <w:rFonts w:hint="eastAsia" w:ascii="宋体" w:hAnsi="宋体" w:eastAsia="宋体" w:cs="宋体"/>
                <w:color w:val="auto"/>
                <w:highlight w:val="none"/>
              </w:rPr>
              <w:t>每具备一个</w:t>
            </w:r>
            <w:r>
              <w:rPr>
                <w:rFonts w:hint="eastAsia" w:ascii="宋体" w:hAnsi="宋体" w:cs="宋体"/>
                <w:color w:val="auto"/>
                <w:highlight w:val="none"/>
                <w:lang w:val="en-US" w:eastAsia="zh-CN"/>
              </w:rPr>
              <w:t>业绩</w:t>
            </w:r>
            <w:r>
              <w:rPr>
                <w:rFonts w:hint="eastAsia" w:ascii="宋体" w:hAnsi="宋体" w:eastAsia="宋体" w:cs="宋体"/>
                <w:color w:val="auto"/>
                <w:highlight w:val="none"/>
              </w:rPr>
              <w:t>得0.5分，最高得2分。</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须</w:t>
            </w:r>
            <w:r>
              <w:rPr>
                <w:rFonts w:hint="eastAsia" w:ascii="宋体" w:hAnsi="宋体" w:eastAsia="宋体" w:cs="宋体"/>
                <w:b/>
                <w:bCs/>
                <w:color w:val="auto"/>
                <w:highlight w:val="none"/>
              </w:rPr>
              <w:t>提供合同</w:t>
            </w:r>
            <w:r>
              <w:rPr>
                <w:rFonts w:hint="eastAsia" w:ascii="宋体" w:hAnsi="宋体" w:cs="宋体"/>
                <w:b/>
                <w:bCs/>
                <w:color w:val="auto"/>
                <w:highlight w:val="none"/>
                <w:lang w:val="en-US" w:eastAsia="zh-CN"/>
              </w:rPr>
              <w:t>扫描</w:t>
            </w:r>
            <w:r>
              <w:rPr>
                <w:rFonts w:hint="eastAsia" w:ascii="宋体" w:hAnsi="宋体" w:eastAsia="宋体" w:cs="宋体"/>
                <w:b/>
                <w:bCs/>
                <w:color w:val="auto"/>
                <w:highlight w:val="none"/>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highlight w:val="none"/>
              </w:rPr>
              <w:t>）</w:t>
            </w:r>
          </w:p>
          <w:p w14:paraId="3E51B3A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rPr>
              <w:t>（以合同签订时间为准）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拟派项目负责人在全国范围内</w:t>
            </w:r>
            <w:r>
              <w:rPr>
                <w:rFonts w:hint="eastAsia" w:ascii="宋体" w:hAnsi="宋体" w:eastAsia="宋体" w:cs="宋体"/>
                <w:color w:val="auto"/>
                <w:highlight w:val="none"/>
              </w:rPr>
              <w:t>的同行业（指</w:t>
            </w:r>
            <w:r>
              <w:rPr>
                <w:rFonts w:hint="eastAsia" w:ascii="宋体" w:hAnsi="宋体" w:eastAsia="宋体" w:cs="宋体"/>
                <w:color w:val="auto"/>
                <w:highlight w:val="none"/>
                <w:lang w:val="en-US" w:eastAsia="zh-CN"/>
              </w:rPr>
              <w:t>行政事业单位</w:t>
            </w:r>
            <w:r>
              <w:rPr>
                <w:rFonts w:hint="eastAsia" w:ascii="宋体" w:hAnsi="宋体" w:eastAsia="宋体" w:cs="宋体"/>
                <w:color w:val="auto"/>
                <w:highlight w:val="none"/>
              </w:rPr>
              <w:t>、国有</w:t>
            </w:r>
            <w:r>
              <w:rPr>
                <w:rFonts w:hint="eastAsia" w:ascii="宋体" w:hAnsi="宋体" w:eastAsia="宋体" w:cs="宋体"/>
                <w:color w:val="auto"/>
                <w:highlight w:val="none"/>
                <w:lang w:val="en-US" w:eastAsia="zh-CN"/>
              </w:rPr>
              <w:t>控股</w:t>
            </w:r>
            <w:r>
              <w:rPr>
                <w:rFonts w:hint="eastAsia" w:ascii="宋体" w:hAnsi="宋体" w:eastAsia="宋体" w:cs="宋体"/>
                <w:color w:val="auto"/>
                <w:highlight w:val="none"/>
              </w:rPr>
              <w:t>企业等）</w:t>
            </w:r>
            <w:r>
              <w:rPr>
                <w:rFonts w:hint="eastAsia" w:ascii="宋体" w:hAnsi="宋体" w:eastAsia="宋体" w:cs="宋体"/>
                <w:color w:val="auto"/>
                <w:highlight w:val="none"/>
                <w:lang w:val="en-US" w:eastAsia="zh-CN"/>
              </w:rPr>
              <w:t>同类型（公共充电桩）</w:t>
            </w:r>
            <w:r>
              <w:rPr>
                <w:rFonts w:hint="eastAsia" w:ascii="宋体" w:hAnsi="宋体" w:eastAsia="宋体" w:cs="宋体"/>
                <w:color w:val="auto"/>
                <w:highlight w:val="none"/>
              </w:rPr>
              <w:t>业绩</w:t>
            </w:r>
            <w:r>
              <w:rPr>
                <w:rFonts w:hint="eastAsia" w:ascii="宋体" w:hAnsi="宋体" w:eastAsia="宋体" w:cs="宋体"/>
                <w:color w:val="auto"/>
                <w:highlight w:val="none"/>
                <w:lang w:val="en-US" w:eastAsia="zh-CN"/>
              </w:rPr>
              <w:t>中担任项目负责人</w:t>
            </w:r>
            <w:r>
              <w:rPr>
                <w:rFonts w:hint="eastAsia" w:ascii="宋体" w:hAnsi="宋体" w:cs="宋体"/>
                <w:color w:val="auto"/>
                <w:highlight w:val="none"/>
                <w:lang w:eastAsia="zh-CN"/>
              </w:rPr>
              <w:t>，</w:t>
            </w:r>
            <w:r>
              <w:rPr>
                <w:rFonts w:hint="eastAsia" w:ascii="宋体" w:hAnsi="宋体" w:eastAsia="宋体" w:cs="宋体"/>
                <w:color w:val="auto"/>
                <w:highlight w:val="none"/>
              </w:rPr>
              <w:t>每具备一个业绩得0.5分，最高得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须</w:t>
            </w:r>
            <w:r>
              <w:rPr>
                <w:rFonts w:hint="eastAsia" w:ascii="宋体" w:hAnsi="宋体" w:eastAsia="宋体" w:cs="宋体"/>
                <w:b/>
                <w:bCs/>
                <w:color w:val="auto"/>
                <w:highlight w:val="none"/>
              </w:rPr>
              <w:t>提供合同</w:t>
            </w:r>
            <w:r>
              <w:rPr>
                <w:rFonts w:hint="eastAsia" w:ascii="宋体" w:hAnsi="宋体" w:cs="宋体"/>
                <w:b/>
                <w:bCs/>
                <w:color w:val="auto"/>
                <w:highlight w:val="none"/>
                <w:lang w:val="en-US" w:eastAsia="zh-CN"/>
              </w:rPr>
              <w:t>扫描</w:t>
            </w:r>
            <w:r>
              <w:rPr>
                <w:rFonts w:hint="eastAsia" w:ascii="宋体" w:hAnsi="宋体" w:eastAsia="宋体" w:cs="宋体"/>
                <w:b/>
                <w:bCs/>
                <w:color w:val="auto"/>
                <w:highlight w:val="none"/>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eastAsia="宋体" w:cs="宋体"/>
                <w:b/>
                <w:bCs/>
                <w:color w:val="auto"/>
                <w:highlight w:val="none"/>
                <w:lang w:val="en-US" w:eastAsia="zh-CN"/>
              </w:rPr>
              <w:t>如</w:t>
            </w:r>
            <w:r>
              <w:rPr>
                <w:rFonts w:hint="eastAsia" w:ascii="宋体" w:hAnsi="宋体" w:cs="宋体"/>
                <w:b/>
                <w:bCs/>
                <w:color w:val="auto"/>
                <w:highlight w:val="none"/>
                <w:lang w:val="en-US" w:eastAsia="zh-CN"/>
              </w:rPr>
              <w:t>合同</w:t>
            </w:r>
            <w:r>
              <w:rPr>
                <w:rFonts w:hint="eastAsia" w:ascii="宋体" w:hAnsi="宋体" w:eastAsia="宋体" w:cs="宋体"/>
                <w:b/>
                <w:bCs/>
                <w:color w:val="auto"/>
                <w:highlight w:val="none"/>
                <w:lang w:val="en-US" w:eastAsia="zh-CN"/>
              </w:rPr>
              <w:t>无法体现项目负责人姓名的，则另须提供业绩项目业主的加盖业主公章的证明材料</w:t>
            </w:r>
            <w:r>
              <w:rPr>
                <w:rFonts w:hint="eastAsia" w:ascii="宋体" w:hAnsi="宋体" w:cs="宋体"/>
                <w:b/>
                <w:bCs/>
                <w:color w:val="auto"/>
                <w:highlight w:val="none"/>
                <w:lang w:val="en-US" w:eastAsia="zh-CN"/>
              </w:rPr>
              <w:t>扫描件</w:t>
            </w:r>
            <w:r>
              <w:rPr>
                <w:rFonts w:hint="eastAsia" w:ascii="宋体" w:hAnsi="宋体" w:eastAsia="宋体" w:cs="宋体"/>
                <w:b/>
                <w:bCs/>
                <w:color w:val="auto"/>
                <w:highlight w:val="none"/>
                <w:lang w:val="en-US" w:eastAsia="zh-CN"/>
              </w:rPr>
              <w:t>，</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highlight w:val="none"/>
                <w:lang w:val="en-US" w:eastAsia="zh-CN"/>
              </w:rPr>
              <w:t>）</w:t>
            </w:r>
          </w:p>
        </w:tc>
        <w:tc>
          <w:tcPr>
            <w:tcW w:w="676" w:type="dxa"/>
            <w:noWrap w:val="0"/>
            <w:vAlign w:val="center"/>
          </w:tcPr>
          <w:p w14:paraId="766DB2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76" w:type="dxa"/>
            <w:noWrap w:val="0"/>
            <w:vAlign w:val="center"/>
          </w:tcPr>
          <w:p w14:paraId="3C64129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267082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3DCC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restart"/>
            <w:noWrap w:val="0"/>
            <w:vAlign w:val="center"/>
          </w:tcPr>
          <w:p w14:paraId="6E0D7D3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技术分</w:t>
            </w:r>
          </w:p>
          <w:p w14:paraId="285A703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lang w:val="en-US" w:eastAsia="zh-CN"/>
              </w:rPr>
              <w:t>分）</w:t>
            </w:r>
          </w:p>
        </w:tc>
        <w:tc>
          <w:tcPr>
            <w:tcW w:w="1040" w:type="dxa"/>
            <w:noWrap w:val="0"/>
            <w:vAlign w:val="center"/>
          </w:tcPr>
          <w:p w14:paraId="6C4AE42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rPr>
              <w:t>技术方案</w:t>
            </w:r>
          </w:p>
        </w:tc>
        <w:tc>
          <w:tcPr>
            <w:tcW w:w="6514" w:type="dxa"/>
            <w:noWrap w:val="0"/>
            <w:vAlign w:val="center"/>
          </w:tcPr>
          <w:p w14:paraId="41D8D7E6">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场站技术方案的合规性、先进性、安全性、实用性、灵活性，场站应急方案等维度进行综合评价，并附佐证材料，根据材料提供的完整性、准确性进行打分。包括但不仅限于：项目技术方案、对外宣传材料（如样册、单页等）、成功案例等。</w:t>
            </w:r>
          </w:p>
          <w:p w14:paraId="1445DADB">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技术方案内容详实完善，附证材料充分，成功案例丰富的得</w:t>
            </w:r>
            <w:r>
              <w:rPr>
                <w:rFonts w:hint="eastAsia" w:ascii="宋体" w:hAnsi="宋体" w:eastAsia="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分；</w:t>
            </w:r>
          </w:p>
          <w:p w14:paraId="6E217D50">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技术方案内容较详实完善，附证材料提供较齐全，成功案例较丰富的得</w:t>
            </w:r>
            <w:r>
              <w:rPr>
                <w:rFonts w:hint="eastAsia" w:ascii="宋体" w:hAnsi="宋体" w:eastAsia="宋体" w:cs="宋体"/>
                <w:b w:val="0"/>
                <w:bCs w:val="0"/>
                <w:color w:val="auto"/>
                <w:sz w:val="21"/>
                <w:szCs w:val="21"/>
                <w:highlight w:val="none"/>
                <w:lang w:val="en-US" w:eastAsia="zh-CN"/>
              </w:rPr>
              <w:t>4.0-6.9</w:t>
            </w:r>
            <w:r>
              <w:rPr>
                <w:rFonts w:hint="eastAsia" w:ascii="宋体" w:hAnsi="宋体" w:eastAsia="宋体" w:cs="宋体"/>
                <w:b w:val="0"/>
                <w:bCs w:val="0"/>
                <w:color w:val="auto"/>
                <w:sz w:val="21"/>
                <w:szCs w:val="21"/>
                <w:highlight w:val="none"/>
              </w:rPr>
              <w:t>分；</w:t>
            </w:r>
          </w:p>
          <w:p w14:paraId="1423885D">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技术方案内容一般，附证材料内容缺项较多，实施经验较少的得0</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B13BD91">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676" w:type="dxa"/>
            <w:noWrap w:val="0"/>
            <w:vAlign w:val="center"/>
          </w:tcPr>
          <w:p w14:paraId="1846B562">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676" w:type="dxa"/>
            <w:noWrap w:val="0"/>
            <w:vAlign w:val="center"/>
          </w:tcPr>
          <w:p w14:paraId="3F978209">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p>
        </w:tc>
        <w:tc>
          <w:tcPr>
            <w:tcW w:w="676" w:type="dxa"/>
            <w:noWrap w:val="0"/>
            <w:vAlign w:val="center"/>
          </w:tcPr>
          <w:p w14:paraId="5E1CA238">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p>
        </w:tc>
      </w:tr>
      <w:tr w14:paraId="230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7683F37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749507B2">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项目组织实施方案</w:t>
            </w:r>
          </w:p>
        </w:tc>
        <w:tc>
          <w:tcPr>
            <w:tcW w:w="6514" w:type="dxa"/>
            <w:noWrap w:val="0"/>
            <w:vAlign w:val="center"/>
          </w:tcPr>
          <w:p w14:paraId="2EFBB1EF">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依据以下方面进行综合评价（包含但不仅限于）：项目管理机构及协调、施工准备、施工进度控制、主要施工工艺、质量管理措施、安全文明施工管理措施等。</w:t>
            </w:r>
          </w:p>
          <w:p w14:paraId="3C9750A8">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项目组织实施方案内容详实完善，可操作性强的</w:t>
            </w: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分；</w:t>
            </w:r>
          </w:p>
          <w:p w14:paraId="0F030BB7">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项目组织实施方案内容较为详实完善，可操作性较强的得</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分；</w:t>
            </w:r>
          </w:p>
          <w:p w14:paraId="3D9DF946">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项目组织实施方案内容一般的得0</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6B91CC6C">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未提及此项不得分。</w:t>
            </w:r>
          </w:p>
        </w:tc>
        <w:tc>
          <w:tcPr>
            <w:tcW w:w="676" w:type="dxa"/>
            <w:noWrap w:val="0"/>
            <w:vAlign w:val="center"/>
          </w:tcPr>
          <w:p w14:paraId="312C7AB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0"/>
                <w:szCs w:val="20"/>
                <w:highlight w:val="none"/>
                <w:lang w:val="en-US" w:eastAsia="zh-CN"/>
              </w:rPr>
              <w:t>5</w:t>
            </w:r>
          </w:p>
        </w:tc>
        <w:tc>
          <w:tcPr>
            <w:tcW w:w="676" w:type="dxa"/>
            <w:noWrap w:val="0"/>
            <w:vAlign w:val="center"/>
          </w:tcPr>
          <w:p w14:paraId="5CAB4767">
            <w:pPr>
              <w:spacing w:line="240" w:lineRule="auto"/>
              <w:jc w:val="center"/>
              <w:rPr>
                <w:rFonts w:hint="eastAsia" w:ascii="宋体" w:hAnsi="宋体" w:eastAsia="宋体" w:cs="宋体"/>
                <w:color w:val="auto"/>
                <w:kern w:val="2"/>
                <w:sz w:val="20"/>
                <w:szCs w:val="20"/>
                <w:highlight w:val="none"/>
                <w:lang w:val="en-US" w:eastAsia="zh-CN"/>
              </w:rPr>
            </w:pPr>
          </w:p>
        </w:tc>
        <w:tc>
          <w:tcPr>
            <w:tcW w:w="676" w:type="dxa"/>
            <w:noWrap w:val="0"/>
            <w:vAlign w:val="center"/>
          </w:tcPr>
          <w:p w14:paraId="61B30BF4">
            <w:pPr>
              <w:spacing w:line="240" w:lineRule="auto"/>
              <w:jc w:val="center"/>
              <w:rPr>
                <w:rFonts w:hint="eastAsia" w:ascii="宋体" w:hAnsi="宋体" w:eastAsia="宋体" w:cs="宋体"/>
                <w:color w:val="auto"/>
                <w:kern w:val="2"/>
                <w:sz w:val="20"/>
                <w:szCs w:val="20"/>
                <w:highlight w:val="none"/>
                <w:lang w:val="en-US" w:eastAsia="zh-CN"/>
              </w:rPr>
            </w:pPr>
          </w:p>
        </w:tc>
      </w:tr>
      <w:tr w14:paraId="09F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6756B40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noWrap w:val="0"/>
            <w:vAlign w:val="center"/>
          </w:tcPr>
          <w:p w14:paraId="47F91E16">
            <w:pPr>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响应情况</w:t>
            </w:r>
          </w:p>
        </w:tc>
        <w:tc>
          <w:tcPr>
            <w:tcW w:w="6514" w:type="dxa"/>
            <w:noWrap w:val="0"/>
            <w:vAlign w:val="center"/>
          </w:tcPr>
          <w:p w14:paraId="78131FB9">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根据投标人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rPr>
              <w:t>”中的各项配置要求的响应及承诺情况进行</w:t>
            </w:r>
            <w:r>
              <w:rPr>
                <w:rFonts w:hint="eastAsia" w:ascii="宋体" w:hAnsi="宋体" w:cs="宋体"/>
                <w:b w:val="0"/>
                <w:bCs w:val="0"/>
                <w:color w:val="auto"/>
                <w:sz w:val="21"/>
                <w:szCs w:val="21"/>
                <w:highlight w:val="none"/>
                <w:lang w:val="en-US" w:eastAsia="zh-CN"/>
              </w:rPr>
              <w:t>打</w:t>
            </w:r>
            <w:r>
              <w:rPr>
                <w:rFonts w:hint="eastAsia" w:ascii="宋体" w:hAnsi="宋体" w:eastAsia="宋体" w:cs="宋体"/>
                <w:b w:val="0"/>
                <w:bCs w:val="0"/>
                <w:color w:val="auto"/>
                <w:sz w:val="21"/>
                <w:szCs w:val="21"/>
                <w:highlight w:val="none"/>
              </w:rPr>
              <w:t>分,完全满足招标文件技术参数要求的得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分，每偏离一项扣0.5分，扣完为止。</w:t>
            </w:r>
          </w:p>
        </w:tc>
        <w:tc>
          <w:tcPr>
            <w:tcW w:w="676" w:type="dxa"/>
            <w:noWrap w:val="0"/>
            <w:vAlign w:val="center"/>
          </w:tcPr>
          <w:p w14:paraId="3813FE3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76" w:type="dxa"/>
            <w:noWrap w:val="0"/>
            <w:vAlign w:val="center"/>
          </w:tcPr>
          <w:p w14:paraId="38EA8AA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72B8C8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2B4B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0" w:type="dxa"/>
            <w:vMerge w:val="continue"/>
            <w:noWrap w:val="0"/>
            <w:vAlign w:val="center"/>
          </w:tcPr>
          <w:p w14:paraId="27447BB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37F97DA0">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设备先进性</w:t>
            </w:r>
          </w:p>
          <w:p w14:paraId="0C4A570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312516A8">
            <w:pPr>
              <w:spacing w:line="24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提供</w:t>
            </w:r>
            <w:r>
              <w:rPr>
                <w:rFonts w:hint="eastAsia" w:ascii="宋体" w:hAnsi="宋体" w:eastAsia="宋体" w:cs="宋体"/>
                <w:color w:val="auto"/>
                <w:sz w:val="20"/>
                <w:szCs w:val="20"/>
                <w:highlight w:val="none"/>
              </w:rPr>
              <w:t>箱体防腐测试报告</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得1分</w:t>
            </w:r>
            <w:r>
              <w:rPr>
                <w:rFonts w:hint="eastAsia" w:ascii="宋体" w:hAnsi="宋体" w:eastAsia="宋体" w:cs="宋体"/>
                <w:color w:val="auto"/>
                <w:sz w:val="20"/>
                <w:szCs w:val="20"/>
                <w:highlight w:val="none"/>
                <w:lang w:eastAsia="zh-CN"/>
              </w:rPr>
              <w:t>。</w:t>
            </w:r>
          </w:p>
          <w:p w14:paraId="470C8D6D">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19F8574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76" w:type="dxa"/>
            <w:noWrap w:val="0"/>
            <w:vAlign w:val="center"/>
          </w:tcPr>
          <w:p w14:paraId="2E8512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36066D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4FDD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4242EF9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4941A1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6CB39609">
            <w:pPr>
              <w:numPr>
                <w:ilvl w:val="0"/>
                <w:numId w:val="0"/>
              </w:numPr>
              <w:spacing w:line="240" w:lineRule="auto"/>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highlight w:val="none"/>
              </w:rPr>
              <w:t>提供的箱体具有耐火检验报告，耐火极限能达180min的得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分，耐火极限能达120min的得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分，耐火极限能达60min的得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p w14:paraId="11245660">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w:t>
            </w:r>
            <w:r>
              <w:rPr>
                <w:rFonts w:hint="eastAsia" w:ascii="宋体" w:hAnsi="宋体" w:eastAsia="宋体" w:cs="宋体"/>
                <w:b/>
                <w:bCs/>
                <w:color w:val="auto"/>
                <w:sz w:val="20"/>
                <w:szCs w:val="20"/>
                <w:highlight w:val="none"/>
                <w:lang w:val="en-US" w:eastAsia="zh-CN"/>
              </w:rPr>
              <w:t>测</w:t>
            </w:r>
            <w:r>
              <w:rPr>
                <w:rFonts w:hint="eastAsia" w:ascii="宋体" w:hAnsi="宋体" w:eastAsia="宋体" w:cs="宋体"/>
                <w:b/>
                <w:bCs/>
                <w:color w:val="auto"/>
                <w:sz w:val="20"/>
                <w:szCs w:val="20"/>
                <w:highlight w:val="none"/>
              </w:rPr>
              <w:t>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34F69B5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76" w:type="dxa"/>
            <w:noWrap w:val="0"/>
            <w:vAlign w:val="center"/>
          </w:tcPr>
          <w:p w14:paraId="732CB81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5B35D1B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5BA6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37BBA6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09B4E30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443B2EC9">
            <w:pPr>
              <w:numPr>
                <w:ilvl w:val="0"/>
                <w:numId w:val="0"/>
              </w:numPr>
              <w:spacing w:line="240"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充电机喷涂件外壳具备防盐雾功能，要求</w:t>
            </w:r>
            <w:r>
              <w:rPr>
                <w:rFonts w:hint="eastAsia" w:ascii="宋体" w:hAnsi="宋体" w:eastAsia="宋体" w:cs="宋体"/>
                <w:color w:val="auto"/>
                <w:sz w:val="20"/>
                <w:szCs w:val="20"/>
                <w:highlight w:val="none"/>
                <w:lang w:val="en-US" w:eastAsia="zh-CN"/>
              </w:rPr>
              <w:t>N小时</w:t>
            </w:r>
            <w:r>
              <w:rPr>
                <w:rFonts w:hint="eastAsia" w:ascii="宋体" w:hAnsi="宋体" w:eastAsia="宋体" w:cs="宋体"/>
                <w:color w:val="auto"/>
                <w:sz w:val="20"/>
                <w:szCs w:val="20"/>
                <w:highlight w:val="none"/>
              </w:rPr>
              <w:t>盐雾环境侵蚀后充电机无任何涂层起泡、脱落、基材腐蚀现象，涂层表面不出现红锈点等杂色斑点现象。</w:t>
            </w:r>
            <w:r>
              <w:rPr>
                <w:rFonts w:hint="eastAsia" w:ascii="宋体" w:hAnsi="宋体" w:eastAsia="宋体" w:cs="宋体"/>
                <w:color w:val="auto"/>
                <w:sz w:val="20"/>
                <w:szCs w:val="20"/>
                <w:highlight w:val="none"/>
                <w:lang w:val="en-US" w:eastAsia="zh-CN"/>
              </w:rPr>
              <w:t>其中N≥500的，得2分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400≤N＜500的，得1.5分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N＜400的，得1分。</w:t>
            </w:r>
          </w:p>
          <w:p w14:paraId="7778E6D0">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（投标人或产品制造商提供第三方测评机构（具备CNAS、CMA资质）出具的检验报告</w:t>
            </w:r>
            <w:r>
              <w:rPr>
                <w:rFonts w:hint="eastAsia" w:ascii="宋体" w:hAnsi="宋体" w:cs="宋体"/>
                <w:b/>
                <w:bCs/>
                <w:color w:val="auto"/>
                <w:sz w:val="20"/>
                <w:szCs w:val="20"/>
                <w:highlight w:val="none"/>
                <w:lang w:val="en-US" w:eastAsia="zh-CN"/>
              </w:rPr>
              <w:t>扫描件并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7178615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76" w:type="dxa"/>
            <w:noWrap w:val="0"/>
            <w:vAlign w:val="center"/>
          </w:tcPr>
          <w:p w14:paraId="2326FB2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c>
          <w:tcPr>
            <w:tcW w:w="676" w:type="dxa"/>
            <w:noWrap w:val="0"/>
            <w:vAlign w:val="center"/>
          </w:tcPr>
          <w:p w14:paraId="2260FB4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p>
        </w:tc>
      </w:tr>
      <w:tr w14:paraId="1ADD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6954887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18448B0C">
            <w:pPr>
              <w:spacing w:line="240" w:lineRule="auto"/>
              <w:jc w:val="center"/>
              <w:rPr>
                <w:rFonts w:hint="eastAsia" w:ascii="宋体" w:hAnsi="宋体" w:eastAsia="宋体" w:cs="宋体"/>
                <w:color w:val="auto"/>
                <w:sz w:val="20"/>
                <w:szCs w:val="20"/>
                <w:highlight w:val="none"/>
              </w:rPr>
            </w:pPr>
          </w:p>
          <w:p w14:paraId="2C2E0609">
            <w:pPr>
              <w:spacing w:line="240" w:lineRule="auto"/>
              <w:jc w:val="center"/>
              <w:rPr>
                <w:rFonts w:hint="eastAsia" w:ascii="宋体" w:hAnsi="宋体" w:eastAsia="宋体" w:cs="宋体"/>
                <w:color w:val="auto"/>
                <w:sz w:val="20"/>
                <w:szCs w:val="20"/>
                <w:highlight w:val="none"/>
              </w:rPr>
            </w:pPr>
          </w:p>
          <w:p w14:paraId="10FD008A">
            <w:pPr>
              <w:spacing w:line="240" w:lineRule="auto"/>
              <w:jc w:val="center"/>
              <w:rPr>
                <w:rFonts w:hint="eastAsia" w:ascii="宋体" w:hAnsi="宋体" w:eastAsia="宋体" w:cs="宋体"/>
                <w:color w:val="auto"/>
                <w:sz w:val="20"/>
                <w:szCs w:val="20"/>
                <w:highlight w:val="none"/>
              </w:rPr>
            </w:pPr>
          </w:p>
          <w:p w14:paraId="113651CD">
            <w:pPr>
              <w:spacing w:line="240" w:lineRule="auto"/>
              <w:jc w:val="center"/>
              <w:rPr>
                <w:rFonts w:hint="eastAsia" w:ascii="宋体" w:hAnsi="宋体" w:eastAsia="宋体" w:cs="宋体"/>
                <w:color w:val="auto"/>
                <w:sz w:val="20"/>
                <w:szCs w:val="20"/>
                <w:highlight w:val="none"/>
              </w:rPr>
            </w:pPr>
          </w:p>
          <w:p w14:paraId="7F80F17F">
            <w:pPr>
              <w:spacing w:line="240" w:lineRule="auto"/>
              <w:jc w:val="center"/>
              <w:rPr>
                <w:rFonts w:hint="eastAsia" w:ascii="宋体" w:hAnsi="宋体" w:eastAsia="宋体" w:cs="宋体"/>
                <w:color w:val="auto"/>
                <w:sz w:val="20"/>
                <w:szCs w:val="20"/>
                <w:highlight w:val="none"/>
              </w:rPr>
            </w:pPr>
          </w:p>
          <w:p w14:paraId="0F6BB940">
            <w:pPr>
              <w:spacing w:line="240" w:lineRule="auto"/>
              <w:jc w:val="center"/>
              <w:rPr>
                <w:rFonts w:hint="eastAsia" w:ascii="宋体" w:hAnsi="宋体" w:eastAsia="宋体" w:cs="宋体"/>
                <w:color w:val="auto"/>
                <w:sz w:val="20"/>
                <w:szCs w:val="20"/>
                <w:highlight w:val="none"/>
              </w:rPr>
            </w:pPr>
          </w:p>
          <w:p w14:paraId="36106B82">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设备安全性</w:t>
            </w:r>
          </w:p>
          <w:p w14:paraId="6754164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6A0F391F">
            <w:pPr>
              <w:spacing w:line="240" w:lineRule="auto"/>
              <w:rPr>
                <w:rFonts w:hint="eastAsia" w:ascii="宋体" w:hAnsi="宋体" w:eastAsia="宋体" w:cs="宋体"/>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eastAsia="zh-CN"/>
              </w:rPr>
              <w:t>）</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充电机具备40项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的，得4分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的，得2分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的，得1分</w:t>
            </w:r>
            <w:r>
              <w:rPr>
                <w:rFonts w:hint="eastAsia" w:ascii="宋体" w:hAnsi="宋体" w:eastAsia="宋体" w:cs="宋体"/>
                <w:color w:val="auto"/>
                <w:sz w:val="20"/>
                <w:szCs w:val="20"/>
                <w:highlight w:val="none"/>
              </w:rPr>
              <w:t>；</w:t>
            </w:r>
          </w:p>
          <w:p w14:paraId="74864548">
            <w:pPr>
              <w:spacing w:line="240" w:lineRule="auto"/>
              <w:rPr>
                <w:rFonts w:hint="eastAsia" w:ascii="宋体" w:hAnsi="宋体" w:eastAsia="宋体" w:cs="宋体"/>
                <w:color w:val="auto"/>
                <w:sz w:val="20"/>
                <w:szCs w:val="20"/>
                <w:highlight w:val="none"/>
              </w:rPr>
            </w:pPr>
            <w:r>
              <w:rPr>
                <w:rFonts w:hint="eastAsia" w:ascii="宋体" w:hAnsi="宋体" w:cs="宋体"/>
                <w:b w:val="0"/>
                <w:bCs w:val="0"/>
                <w:color w:val="auto"/>
                <w:sz w:val="20"/>
                <w:szCs w:val="20"/>
                <w:highlight w:val="none"/>
                <w:lang w:eastAsia="zh-CN"/>
              </w:rPr>
              <w:t>（</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lang w:eastAsia="zh-CN"/>
              </w:rPr>
              <w:t>）</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充电机具备40项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的，得2分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的，得1分</w:t>
            </w:r>
            <w:r>
              <w:rPr>
                <w:rFonts w:hint="eastAsia" w:ascii="宋体" w:hAnsi="宋体" w:eastAsia="宋体" w:cs="宋体"/>
                <w:color w:val="auto"/>
                <w:sz w:val="20"/>
                <w:szCs w:val="20"/>
                <w:highlight w:val="none"/>
              </w:rPr>
              <w:t>；充电机具备</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val="en-US" w:eastAsia="zh-CN"/>
              </w:rPr>
              <w:t>及以上</w:t>
            </w:r>
            <w:r>
              <w:rPr>
                <w:rFonts w:hint="eastAsia" w:ascii="宋体" w:hAnsi="宋体" w:eastAsia="宋体" w:cs="宋体"/>
                <w:color w:val="auto"/>
                <w:sz w:val="20"/>
                <w:szCs w:val="20"/>
                <w:highlight w:val="none"/>
              </w:rPr>
              <w:t>主动防护功能</w:t>
            </w:r>
            <w:r>
              <w:rPr>
                <w:rFonts w:hint="eastAsia" w:ascii="宋体" w:hAnsi="宋体" w:eastAsia="宋体" w:cs="宋体"/>
                <w:color w:val="auto"/>
                <w:sz w:val="20"/>
                <w:szCs w:val="20"/>
                <w:highlight w:val="none"/>
                <w:lang w:val="en-US" w:eastAsia="zh-CN"/>
              </w:rPr>
              <w:t>的，得0.5分；</w:t>
            </w:r>
          </w:p>
          <w:p w14:paraId="095074DF">
            <w:pPr>
              <w:spacing w:line="240" w:lineRule="auto"/>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本项最高得4分。</w:t>
            </w:r>
          </w:p>
          <w:p w14:paraId="2971A6F3">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（投标人或产品制造商提供第三方测评机构（具备CNAS、CMA资质）出具的直流充电机检验报告进行证明，</w:t>
            </w:r>
            <w:r>
              <w:rPr>
                <w:rFonts w:hint="eastAsia" w:ascii="宋体" w:hAnsi="宋体" w:eastAsia="宋体" w:cs="宋体"/>
                <w:b/>
                <w:bCs/>
                <w:color w:val="auto"/>
                <w:sz w:val="20"/>
                <w:szCs w:val="20"/>
                <w:highlight w:val="none"/>
                <w:lang w:val="en-US" w:eastAsia="zh-CN"/>
              </w:rPr>
              <w:t>不提供不得分</w:t>
            </w: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本项最高得4</w:t>
            </w:r>
            <w:r>
              <w:rPr>
                <w:rFonts w:hint="eastAsia" w:ascii="宋体" w:hAnsi="宋体" w:eastAsia="宋体" w:cs="宋体"/>
                <w:b/>
                <w:bCs/>
                <w:color w:val="auto"/>
                <w:sz w:val="20"/>
                <w:szCs w:val="20"/>
                <w:highlight w:val="none"/>
              </w:rPr>
              <w:t>分。）</w:t>
            </w:r>
          </w:p>
        </w:tc>
        <w:tc>
          <w:tcPr>
            <w:tcW w:w="676" w:type="dxa"/>
            <w:noWrap w:val="0"/>
            <w:vAlign w:val="center"/>
          </w:tcPr>
          <w:p w14:paraId="0F3BC9C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p>
        </w:tc>
        <w:tc>
          <w:tcPr>
            <w:tcW w:w="676" w:type="dxa"/>
            <w:noWrap w:val="0"/>
            <w:vAlign w:val="center"/>
          </w:tcPr>
          <w:p w14:paraId="60DFCFA5">
            <w:pPr>
              <w:spacing w:line="240" w:lineRule="auto"/>
              <w:jc w:val="center"/>
              <w:rPr>
                <w:rFonts w:hint="eastAsia" w:ascii="宋体" w:hAnsi="宋体" w:eastAsia="宋体" w:cs="宋体"/>
                <w:color w:val="auto"/>
                <w:sz w:val="20"/>
                <w:szCs w:val="20"/>
                <w:highlight w:val="none"/>
                <w:lang w:val="en-US" w:eastAsia="zh-CN"/>
              </w:rPr>
            </w:pPr>
          </w:p>
        </w:tc>
        <w:tc>
          <w:tcPr>
            <w:tcW w:w="676" w:type="dxa"/>
            <w:noWrap w:val="0"/>
            <w:vAlign w:val="center"/>
          </w:tcPr>
          <w:p w14:paraId="3EC0ABFB">
            <w:pPr>
              <w:spacing w:line="240" w:lineRule="auto"/>
              <w:jc w:val="center"/>
              <w:rPr>
                <w:rFonts w:hint="eastAsia" w:ascii="宋体" w:hAnsi="宋体" w:eastAsia="宋体" w:cs="宋体"/>
                <w:color w:val="auto"/>
                <w:sz w:val="20"/>
                <w:szCs w:val="20"/>
                <w:highlight w:val="none"/>
                <w:lang w:val="en-US" w:eastAsia="zh-CN"/>
              </w:rPr>
            </w:pPr>
          </w:p>
        </w:tc>
      </w:tr>
      <w:tr w14:paraId="2168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7325F3B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205D0D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522FDBF8">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当环境温度为+60℃时，充电机应能正常工作</w:t>
            </w:r>
            <w:r>
              <w:rPr>
                <w:rFonts w:hint="eastAsia" w:ascii="宋体" w:hAnsi="宋体" w:eastAsia="宋体" w:cs="宋体"/>
                <w:color w:val="auto"/>
                <w:sz w:val="20"/>
                <w:szCs w:val="20"/>
                <w:highlight w:val="none"/>
                <w:lang w:val="en-US" w:eastAsia="zh-CN"/>
              </w:rPr>
              <w:t>的，得3分</w:t>
            </w:r>
            <w:r>
              <w:rPr>
                <w:rFonts w:hint="eastAsia" w:ascii="宋体" w:hAnsi="宋体" w:cs="宋体"/>
                <w:color w:val="auto"/>
                <w:sz w:val="20"/>
                <w:szCs w:val="20"/>
                <w:highlight w:val="none"/>
                <w:lang w:eastAsia="zh-CN"/>
              </w:rPr>
              <w:t>。</w:t>
            </w:r>
          </w:p>
          <w:p w14:paraId="452F178D">
            <w:pPr>
              <w:numPr>
                <w:ilvl w:val="0"/>
                <w:numId w:val="0"/>
              </w:numPr>
              <w:spacing w:line="240" w:lineRule="auto"/>
              <w:rPr>
                <w:rFonts w:hint="eastAsia" w:ascii="宋体" w:hAnsi="宋体" w:cs="宋体"/>
                <w:color w:val="auto"/>
                <w:sz w:val="20"/>
                <w:szCs w:val="20"/>
                <w:highlight w:val="none"/>
                <w:lang w:val="en-US" w:eastAsia="zh-CN"/>
              </w:rPr>
            </w:pPr>
            <w:r>
              <w:rPr>
                <w:rFonts w:hint="eastAsia" w:ascii="宋体" w:hAnsi="宋体" w:eastAsia="宋体" w:cs="宋体"/>
                <w:color w:val="auto"/>
                <w:kern w:val="2"/>
                <w:sz w:val="20"/>
                <w:szCs w:val="20"/>
                <w:highlight w:val="none"/>
                <w:lang w:val="en-US" w:eastAsia="zh-CN" w:bidi="ar-SA"/>
              </w:rPr>
              <w:t>（2）</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cs="宋体"/>
                <w:color w:val="auto"/>
                <w:sz w:val="20"/>
                <w:szCs w:val="20"/>
                <w:highlight w:val="none"/>
                <w:lang w:val="en-US" w:eastAsia="zh-CN"/>
              </w:rPr>
              <w:t>当环境温度为+60℃时，充电机应能正常工作的，得1.5分。</w:t>
            </w:r>
          </w:p>
          <w:p w14:paraId="3C910B68">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1C28FB4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c>
          <w:tcPr>
            <w:tcW w:w="676" w:type="dxa"/>
            <w:noWrap w:val="0"/>
            <w:vAlign w:val="center"/>
          </w:tcPr>
          <w:p w14:paraId="2F2A9781">
            <w:pPr>
              <w:spacing w:line="240" w:lineRule="auto"/>
              <w:jc w:val="center"/>
              <w:rPr>
                <w:rFonts w:hint="eastAsia" w:ascii="宋体" w:hAnsi="宋体" w:eastAsia="宋体" w:cs="宋体"/>
                <w:color w:val="auto"/>
                <w:sz w:val="20"/>
                <w:szCs w:val="20"/>
                <w:highlight w:val="none"/>
                <w:lang w:val="en-US" w:eastAsia="zh-CN"/>
              </w:rPr>
            </w:pPr>
          </w:p>
        </w:tc>
        <w:tc>
          <w:tcPr>
            <w:tcW w:w="676" w:type="dxa"/>
            <w:noWrap w:val="0"/>
            <w:vAlign w:val="center"/>
          </w:tcPr>
          <w:p w14:paraId="043C4AFD">
            <w:pPr>
              <w:spacing w:line="240" w:lineRule="auto"/>
              <w:jc w:val="center"/>
              <w:rPr>
                <w:rFonts w:hint="eastAsia" w:ascii="宋体" w:hAnsi="宋体" w:eastAsia="宋体" w:cs="宋体"/>
                <w:color w:val="auto"/>
                <w:sz w:val="20"/>
                <w:szCs w:val="20"/>
                <w:highlight w:val="none"/>
                <w:lang w:val="en-US" w:eastAsia="zh-CN"/>
              </w:rPr>
            </w:pPr>
          </w:p>
        </w:tc>
      </w:tr>
      <w:tr w14:paraId="3739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3BA1F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43F7F4E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795A76E7">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充电机具备柔性充电功能，可根据充电温度系数、充电时长系数和BMS需求电流系数等实时调整充电输出，实现对电池安全的柔性充电保护车辆电池</w:t>
            </w:r>
            <w:r>
              <w:rPr>
                <w:rFonts w:hint="eastAsia" w:ascii="宋体" w:hAnsi="宋体" w:eastAsia="宋体" w:cs="宋体"/>
                <w:color w:val="auto"/>
                <w:sz w:val="20"/>
                <w:szCs w:val="20"/>
                <w:highlight w:val="none"/>
                <w:lang w:val="en-US" w:eastAsia="zh-CN"/>
              </w:rPr>
              <w:t>的，得3分</w:t>
            </w:r>
            <w:r>
              <w:rPr>
                <w:rFonts w:hint="eastAsia" w:ascii="宋体" w:hAnsi="宋体" w:cs="宋体"/>
                <w:color w:val="auto"/>
                <w:sz w:val="20"/>
                <w:szCs w:val="20"/>
                <w:highlight w:val="none"/>
                <w:lang w:eastAsia="zh-CN"/>
              </w:rPr>
              <w:t>。</w:t>
            </w:r>
          </w:p>
          <w:p w14:paraId="1CADE155">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eastAsia="宋体" w:cs="宋体"/>
                <w:color w:val="auto"/>
                <w:kern w:val="2"/>
                <w:sz w:val="20"/>
                <w:szCs w:val="20"/>
                <w:highlight w:val="none"/>
                <w:lang w:val="en-US" w:eastAsia="zh-CN" w:bidi="ar-SA"/>
              </w:rPr>
              <w:t>（2）</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充电机具备柔性充电功能，可根据充电温度系数、充电时长系数和BMS需求电流系数等实时调整充电输出，实现对电池安全的柔性充电保护车辆电池</w:t>
            </w:r>
            <w:r>
              <w:rPr>
                <w:rFonts w:hint="eastAsia" w:ascii="宋体" w:hAnsi="宋体" w:eastAsia="宋体" w:cs="宋体"/>
                <w:color w:val="auto"/>
                <w:sz w:val="20"/>
                <w:szCs w:val="20"/>
                <w:highlight w:val="none"/>
                <w:lang w:val="en-US" w:eastAsia="zh-CN"/>
              </w:rPr>
              <w:t>的，得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eastAsia="zh-CN"/>
              </w:rPr>
              <w:t>。</w:t>
            </w:r>
          </w:p>
          <w:p w14:paraId="1FACC476">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7144B46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c>
          <w:tcPr>
            <w:tcW w:w="676" w:type="dxa"/>
            <w:noWrap w:val="0"/>
            <w:vAlign w:val="center"/>
          </w:tcPr>
          <w:p w14:paraId="73C1C945">
            <w:pPr>
              <w:spacing w:line="240" w:lineRule="auto"/>
              <w:jc w:val="center"/>
              <w:rPr>
                <w:rFonts w:hint="eastAsia" w:ascii="宋体" w:hAnsi="宋体" w:eastAsia="宋体" w:cs="宋体"/>
                <w:color w:val="auto"/>
                <w:sz w:val="20"/>
                <w:szCs w:val="20"/>
                <w:highlight w:val="none"/>
                <w:lang w:val="en-US" w:eastAsia="zh-CN"/>
              </w:rPr>
            </w:pPr>
          </w:p>
        </w:tc>
        <w:tc>
          <w:tcPr>
            <w:tcW w:w="676" w:type="dxa"/>
            <w:noWrap w:val="0"/>
            <w:vAlign w:val="center"/>
          </w:tcPr>
          <w:p w14:paraId="2E153433">
            <w:pPr>
              <w:spacing w:line="240" w:lineRule="auto"/>
              <w:jc w:val="center"/>
              <w:rPr>
                <w:rFonts w:hint="eastAsia" w:ascii="宋体" w:hAnsi="宋体" w:eastAsia="宋体" w:cs="宋体"/>
                <w:color w:val="auto"/>
                <w:sz w:val="20"/>
                <w:szCs w:val="20"/>
                <w:highlight w:val="none"/>
                <w:lang w:val="en-US" w:eastAsia="zh-CN"/>
              </w:rPr>
            </w:pPr>
          </w:p>
        </w:tc>
      </w:tr>
      <w:tr w14:paraId="5B55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6C8FF45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630560F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65277E9F">
            <w:pPr>
              <w:numPr>
                <w:ilvl w:val="0"/>
                <w:numId w:val="0"/>
              </w:num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val="en-US" w:eastAsia="zh-CN" w:bidi="ar-SA"/>
              </w:rPr>
              <w:t>（1）</w:t>
            </w:r>
            <w:r>
              <w:rPr>
                <w:rFonts w:hint="eastAsia" w:ascii="宋体" w:hAnsi="宋体" w:eastAsia="宋体" w:cs="宋体"/>
                <w:b/>
                <w:bCs/>
                <w:color w:val="auto"/>
                <w:sz w:val="20"/>
                <w:szCs w:val="20"/>
                <w:highlight w:val="none"/>
              </w:rPr>
              <w:t>400kW及以上直流充电机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充电机具备故障录波功能，当出现了疑似故障特征或实际故障发生后，能够记录故障前后电池、充电机等关键信息</w:t>
            </w:r>
            <w:r>
              <w:rPr>
                <w:rFonts w:hint="eastAsia" w:ascii="宋体" w:hAnsi="宋体" w:eastAsia="宋体" w:cs="宋体"/>
                <w:color w:val="auto"/>
                <w:sz w:val="20"/>
                <w:szCs w:val="20"/>
                <w:highlight w:val="none"/>
                <w:lang w:val="en-US" w:eastAsia="zh-CN"/>
              </w:rPr>
              <w:t>的，得3分</w:t>
            </w:r>
            <w:r>
              <w:rPr>
                <w:rFonts w:hint="eastAsia" w:ascii="宋体" w:hAnsi="宋体" w:eastAsia="宋体" w:cs="宋体"/>
                <w:color w:val="auto"/>
                <w:sz w:val="20"/>
                <w:szCs w:val="20"/>
                <w:highlight w:val="none"/>
              </w:rPr>
              <w:t>；</w:t>
            </w:r>
          </w:p>
          <w:p w14:paraId="4A09F048">
            <w:pPr>
              <w:numPr>
                <w:ilvl w:val="0"/>
                <w:numId w:val="0"/>
              </w:numPr>
              <w:spacing w:line="240" w:lineRule="auto"/>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w:t>
            </w:r>
            <w:r>
              <w:rPr>
                <w:rFonts w:hint="eastAsia" w:ascii="宋体" w:hAnsi="宋体" w:eastAsia="宋体" w:cs="宋体"/>
                <w:b/>
                <w:bCs/>
                <w:color w:val="auto"/>
                <w:sz w:val="20"/>
                <w:szCs w:val="20"/>
                <w:highlight w:val="none"/>
              </w:rPr>
              <w:t>400kW</w:t>
            </w:r>
            <w:r>
              <w:rPr>
                <w:rFonts w:hint="eastAsia" w:ascii="宋体" w:hAnsi="宋体" w:eastAsia="宋体" w:cs="宋体"/>
                <w:b/>
                <w:bCs/>
                <w:color w:val="auto"/>
                <w:sz w:val="20"/>
                <w:szCs w:val="20"/>
                <w:highlight w:val="none"/>
                <w:lang w:val="en-US" w:eastAsia="zh-CN"/>
              </w:rPr>
              <w:t>以下</w:t>
            </w:r>
            <w:r>
              <w:rPr>
                <w:rFonts w:hint="eastAsia" w:ascii="宋体" w:hAnsi="宋体" w:eastAsia="宋体" w:cs="宋体"/>
                <w:b/>
                <w:bCs/>
                <w:color w:val="auto"/>
                <w:sz w:val="20"/>
                <w:szCs w:val="20"/>
                <w:highlight w:val="none"/>
              </w:rPr>
              <w:t>直流充电机</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sz w:val="20"/>
                <w:szCs w:val="20"/>
                <w:highlight w:val="none"/>
              </w:rPr>
              <w:t>充电机具备故障录波功能，当出现了疑似故障特征或实际故障发生后，能够记录故障前后电池、充电机等关键信息</w:t>
            </w:r>
            <w:r>
              <w:rPr>
                <w:rFonts w:hint="eastAsia" w:ascii="宋体" w:hAnsi="宋体" w:eastAsia="宋体" w:cs="宋体"/>
                <w:color w:val="auto"/>
                <w:sz w:val="20"/>
                <w:szCs w:val="20"/>
                <w:highlight w:val="none"/>
                <w:lang w:val="en-US" w:eastAsia="zh-CN"/>
              </w:rPr>
              <w:t>的，得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eastAsia="宋体" w:cs="宋体"/>
                <w:color w:val="auto"/>
                <w:sz w:val="20"/>
                <w:szCs w:val="20"/>
                <w:highlight w:val="none"/>
              </w:rPr>
              <w:t>；</w:t>
            </w:r>
          </w:p>
          <w:p w14:paraId="7BB42C8B">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rPr>
              <w:t>（投标人或产品制造商提供第三方测评机构（具备CNAS、CMA资质）出具的直流充电机检验报告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rPr>
              <w:t>）</w:t>
            </w:r>
          </w:p>
        </w:tc>
        <w:tc>
          <w:tcPr>
            <w:tcW w:w="676" w:type="dxa"/>
            <w:noWrap w:val="0"/>
            <w:vAlign w:val="center"/>
          </w:tcPr>
          <w:p w14:paraId="2B19DE6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3</w:t>
            </w:r>
          </w:p>
        </w:tc>
        <w:tc>
          <w:tcPr>
            <w:tcW w:w="676" w:type="dxa"/>
            <w:noWrap w:val="0"/>
            <w:vAlign w:val="center"/>
          </w:tcPr>
          <w:p w14:paraId="739E2FA8">
            <w:pPr>
              <w:spacing w:line="240" w:lineRule="auto"/>
              <w:jc w:val="center"/>
              <w:rPr>
                <w:rFonts w:hint="eastAsia" w:ascii="宋体" w:hAnsi="宋体" w:eastAsia="宋体" w:cs="宋体"/>
                <w:color w:val="auto"/>
                <w:sz w:val="20"/>
                <w:szCs w:val="20"/>
                <w:highlight w:val="none"/>
                <w:lang w:val="en-US" w:eastAsia="zh-CN"/>
              </w:rPr>
            </w:pPr>
          </w:p>
        </w:tc>
        <w:tc>
          <w:tcPr>
            <w:tcW w:w="676" w:type="dxa"/>
            <w:noWrap w:val="0"/>
            <w:vAlign w:val="center"/>
          </w:tcPr>
          <w:p w14:paraId="7DFBD87C">
            <w:pPr>
              <w:spacing w:line="240" w:lineRule="auto"/>
              <w:jc w:val="center"/>
              <w:rPr>
                <w:rFonts w:hint="eastAsia" w:ascii="宋体" w:hAnsi="宋体" w:eastAsia="宋体" w:cs="宋体"/>
                <w:color w:val="auto"/>
                <w:sz w:val="20"/>
                <w:szCs w:val="20"/>
                <w:highlight w:val="none"/>
                <w:lang w:val="en-US" w:eastAsia="zh-CN"/>
              </w:rPr>
            </w:pPr>
          </w:p>
        </w:tc>
      </w:tr>
      <w:tr w14:paraId="0DCA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251216B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70623E4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079D982A">
            <w:pPr>
              <w:numPr>
                <w:ilvl w:val="0"/>
                <w:numId w:val="0"/>
              </w:num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充电机具备能够对充电过程中动力电池的安全事故进行100%预警，至少包括电池组内温度偏高故障、单体电池超过截止电压故障、绝缘故障、热失控故障预警功能</w:t>
            </w:r>
            <w:r>
              <w:rPr>
                <w:rFonts w:hint="eastAsia" w:ascii="宋体" w:hAnsi="宋体" w:cs="宋体"/>
                <w:color w:val="auto"/>
                <w:sz w:val="20"/>
                <w:szCs w:val="20"/>
                <w:highlight w:val="none"/>
                <w:lang w:val="en-US" w:eastAsia="zh-CN"/>
              </w:rPr>
              <w:t>的。得2分</w:t>
            </w:r>
            <w:r>
              <w:rPr>
                <w:rFonts w:hint="eastAsia" w:ascii="宋体" w:hAnsi="宋体" w:eastAsia="宋体" w:cs="宋体"/>
                <w:color w:val="auto"/>
                <w:sz w:val="20"/>
                <w:szCs w:val="20"/>
                <w:highlight w:val="none"/>
              </w:rPr>
              <w:t>。</w:t>
            </w:r>
          </w:p>
          <w:p w14:paraId="6DD01593">
            <w:pPr>
              <w:spacing w:line="240" w:lineRule="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rPr>
              <w:t>投标人或产品制造商提供第三方测评机构（具备CNAS、CMA资质）出具的检验报告进行证明</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eastAsia="宋体" w:cs="宋体"/>
                <w:b/>
                <w:bCs/>
                <w:color w:val="auto"/>
                <w:sz w:val="20"/>
                <w:szCs w:val="20"/>
                <w:highlight w:val="none"/>
                <w:lang w:eastAsia="zh-CN"/>
              </w:rPr>
              <w:t>）</w:t>
            </w:r>
          </w:p>
        </w:tc>
        <w:tc>
          <w:tcPr>
            <w:tcW w:w="676" w:type="dxa"/>
            <w:noWrap w:val="0"/>
            <w:vAlign w:val="center"/>
          </w:tcPr>
          <w:p w14:paraId="54869EB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rPr>
              <w:t>2</w:t>
            </w:r>
          </w:p>
        </w:tc>
        <w:tc>
          <w:tcPr>
            <w:tcW w:w="676" w:type="dxa"/>
            <w:noWrap w:val="0"/>
            <w:vAlign w:val="center"/>
          </w:tcPr>
          <w:p w14:paraId="55D220AD">
            <w:pPr>
              <w:spacing w:line="240" w:lineRule="auto"/>
              <w:jc w:val="center"/>
              <w:rPr>
                <w:rFonts w:hint="eastAsia" w:ascii="宋体" w:hAnsi="宋体" w:eastAsia="宋体" w:cs="宋体"/>
                <w:color w:val="auto"/>
                <w:sz w:val="20"/>
                <w:szCs w:val="20"/>
                <w:highlight w:val="none"/>
              </w:rPr>
            </w:pPr>
          </w:p>
        </w:tc>
        <w:tc>
          <w:tcPr>
            <w:tcW w:w="676" w:type="dxa"/>
            <w:noWrap w:val="0"/>
            <w:vAlign w:val="center"/>
          </w:tcPr>
          <w:p w14:paraId="567DAE5E">
            <w:pPr>
              <w:spacing w:line="240" w:lineRule="auto"/>
              <w:jc w:val="center"/>
              <w:rPr>
                <w:rFonts w:hint="eastAsia" w:ascii="宋体" w:hAnsi="宋体" w:eastAsia="宋体" w:cs="宋体"/>
                <w:color w:val="auto"/>
                <w:sz w:val="20"/>
                <w:szCs w:val="20"/>
                <w:highlight w:val="none"/>
              </w:rPr>
            </w:pPr>
          </w:p>
        </w:tc>
      </w:tr>
      <w:tr w14:paraId="6076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7DDFD8E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77800125">
            <w:pPr>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充电站监控平台先进性</w:t>
            </w:r>
          </w:p>
          <w:p w14:paraId="5A87B11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3F494CE2">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投标人提供的平台能够监控车辆充电安全，并对异常充电车辆发送预警信息</w:t>
            </w:r>
            <w:r>
              <w:rPr>
                <w:rFonts w:hint="eastAsia" w:ascii="宋体" w:hAnsi="宋体" w:cs="宋体"/>
                <w:color w:val="auto"/>
                <w:kern w:val="2"/>
                <w:sz w:val="20"/>
                <w:szCs w:val="20"/>
                <w:highlight w:val="none"/>
                <w:lang w:val="en-US" w:eastAsia="zh-CN" w:bidi="ar-SA"/>
              </w:rPr>
              <w:t>的</w:t>
            </w:r>
            <w:r>
              <w:rPr>
                <w:rFonts w:hint="eastAsia" w:ascii="宋体" w:hAnsi="宋体" w:eastAsia="宋体" w:cs="宋体"/>
                <w:color w:val="auto"/>
                <w:kern w:val="2"/>
                <w:sz w:val="20"/>
                <w:szCs w:val="20"/>
                <w:highlight w:val="none"/>
                <w:lang w:val="en-US" w:eastAsia="zh-CN" w:bidi="ar-SA"/>
              </w:rPr>
              <w:t>，得2分</w:t>
            </w:r>
            <w:r>
              <w:rPr>
                <w:rFonts w:hint="eastAsia" w:ascii="宋体" w:hAnsi="宋体" w:cs="宋体"/>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提供软件著作权登记证书</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676" w:type="dxa"/>
            <w:shd w:val="clear" w:color="auto" w:fill="auto"/>
            <w:noWrap w:val="0"/>
            <w:vAlign w:val="center"/>
          </w:tcPr>
          <w:p w14:paraId="40BC5066">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c>
          <w:tcPr>
            <w:tcW w:w="676" w:type="dxa"/>
            <w:shd w:val="clear" w:color="auto" w:fill="auto"/>
            <w:noWrap w:val="0"/>
            <w:vAlign w:val="center"/>
          </w:tcPr>
          <w:p w14:paraId="727B8642">
            <w:pPr>
              <w:spacing w:line="240" w:lineRule="auto"/>
              <w:jc w:val="center"/>
              <w:rPr>
                <w:rFonts w:hint="eastAsia" w:ascii="宋体" w:hAnsi="宋体" w:eastAsia="宋体" w:cs="宋体"/>
                <w:color w:val="auto"/>
                <w:sz w:val="20"/>
                <w:szCs w:val="20"/>
                <w:highlight w:val="none"/>
              </w:rPr>
            </w:pPr>
          </w:p>
        </w:tc>
        <w:tc>
          <w:tcPr>
            <w:tcW w:w="676" w:type="dxa"/>
            <w:shd w:val="clear" w:color="auto" w:fill="auto"/>
            <w:noWrap w:val="0"/>
            <w:vAlign w:val="center"/>
          </w:tcPr>
          <w:p w14:paraId="2B316BB2">
            <w:pPr>
              <w:spacing w:line="240" w:lineRule="auto"/>
              <w:jc w:val="center"/>
              <w:rPr>
                <w:rFonts w:hint="eastAsia" w:ascii="宋体" w:hAnsi="宋体" w:eastAsia="宋体" w:cs="宋体"/>
                <w:color w:val="auto"/>
                <w:sz w:val="20"/>
                <w:szCs w:val="20"/>
                <w:highlight w:val="none"/>
              </w:rPr>
            </w:pPr>
          </w:p>
        </w:tc>
      </w:tr>
      <w:tr w14:paraId="0FE3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5138CE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3636967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2873C022">
            <w:pPr>
              <w:pStyle w:val="61"/>
              <w:widowControl w:val="0"/>
              <w:snapToGrid w:val="0"/>
              <w:spacing w:line="240" w:lineRule="auto"/>
              <w:ind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投标人所提供的运营管理及充电智能监控平台具有大数据充电安全防护功能，得2分。</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提供第三方测评机构（具备CNAS、CMA资质）提供的测试报告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676" w:type="dxa"/>
            <w:shd w:val="clear" w:color="auto" w:fill="auto"/>
            <w:noWrap w:val="0"/>
            <w:vAlign w:val="center"/>
          </w:tcPr>
          <w:p w14:paraId="7A808EEB">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c>
          <w:tcPr>
            <w:tcW w:w="676" w:type="dxa"/>
            <w:shd w:val="clear" w:color="auto" w:fill="auto"/>
            <w:noWrap w:val="0"/>
            <w:vAlign w:val="center"/>
          </w:tcPr>
          <w:p w14:paraId="7040BA52">
            <w:pPr>
              <w:spacing w:line="240" w:lineRule="auto"/>
              <w:jc w:val="center"/>
              <w:rPr>
                <w:rFonts w:hint="eastAsia" w:ascii="宋体" w:hAnsi="宋体" w:eastAsia="宋体" w:cs="宋体"/>
                <w:color w:val="auto"/>
                <w:sz w:val="20"/>
                <w:szCs w:val="20"/>
                <w:highlight w:val="none"/>
                <w:lang w:val="en-US" w:eastAsia="zh-CN"/>
              </w:rPr>
            </w:pPr>
          </w:p>
        </w:tc>
        <w:tc>
          <w:tcPr>
            <w:tcW w:w="676" w:type="dxa"/>
            <w:shd w:val="clear" w:color="auto" w:fill="auto"/>
            <w:noWrap w:val="0"/>
            <w:vAlign w:val="center"/>
          </w:tcPr>
          <w:p w14:paraId="030568FE">
            <w:pPr>
              <w:spacing w:line="240" w:lineRule="auto"/>
              <w:jc w:val="center"/>
              <w:rPr>
                <w:rFonts w:hint="eastAsia" w:ascii="宋体" w:hAnsi="宋体" w:eastAsia="宋体" w:cs="宋体"/>
                <w:color w:val="auto"/>
                <w:sz w:val="20"/>
                <w:szCs w:val="20"/>
                <w:highlight w:val="none"/>
                <w:lang w:val="en-US" w:eastAsia="zh-CN"/>
              </w:rPr>
            </w:pPr>
          </w:p>
        </w:tc>
      </w:tr>
      <w:tr w14:paraId="5310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61989B8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22EC768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7A66C2FD">
            <w:pPr>
              <w:pStyle w:val="61"/>
              <w:widowControl w:val="0"/>
              <w:snapToGrid w:val="0"/>
              <w:spacing w:line="240" w:lineRule="auto"/>
              <w:ind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大数据充电安全防护平台具备安全防护多维分析功能，可查看车型大类安全防护分析信息，得2分。</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提供第三方测评机构（具备CNAS、CMA资质）提供的测试报告</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未提供不得分</w:t>
            </w:r>
            <w:r>
              <w:rPr>
                <w:rFonts w:hint="eastAsia" w:ascii="宋体" w:hAnsi="宋体" w:cs="宋体"/>
                <w:b/>
                <w:bCs/>
                <w:color w:val="auto"/>
                <w:kern w:val="2"/>
                <w:sz w:val="20"/>
                <w:szCs w:val="20"/>
                <w:highlight w:val="none"/>
                <w:lang w:val="en-US" w:eastAsia="zh-CN" w:bidi="ar-SA"/>
              </w:rPr>
              <w:t>）</w:t>
            </w:r>
          </w:p>
        </w:tc>
        <w:tc>
          <w:tcPr>
            <w:tcW w:w="676" w:type="dxa"/>
            <w:shd w:val="clear" w:color="auto" w:fill="auto"/>
            <w:noWrap w:val="0"/>
            <w:vAlign w:val="center"/>
          </w:tcPr>
          <w:p w14:paraId="054D6B20">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c>
          <w:tcPr>
            <w:tcW w:w="676" w:type="dxa"/>
            <w:shd w:val="clear" w:color="auto" w:fill="auto"/>
            <w:noWrap w:val="0"/>
            <w:vAlign w:val="center"/>
          </w:tcPr>
          <w:p w14:paraId="1AE8CADB">
            <w:pPr>
              <w:spacing w:line="240" w:lineRule="auto"/>
              <w:jc w:val="center"/>
              <w:rPr>
                <w:rFonts w:hint="eastAsia" w:ascii="宋体" w:hAnsi="宋体" w:eastAsia="宋体" w:cs="宋体"/>
                <w:color w:val="auto"/>
                <w:sz w:val="20"/>
                <w:szCs w:val="20"/>
                <w:highlight w:val="none"/>
                <w:lang w:val="en-US" w:eastAsia="zh-CN"/>
              </w:rPr>
            </w:pPr>
          </w:p>
        </w:tc>
        <w:tc>
          <w:tcPr>
            <w:tcW w:w="676" w:type="dxa"/>
            <w:shd w:val="clear" w:color="auto" w:fill="auto"/>
            <w:noWrap w:val="0"/>
            <w:vAlign w:val="center"/>
          </w:tcPr>
          <w:p w14:paraId="120A8E9F">
            <w:pPr>
              <w:spacing w:line="240" w:lineRule="auto"/>
              <w:jc w:val="center"/>
              <w:rPr>
                <w:rFonts w:hint="eastAsia" w:ascii="宋体" w:hAnsi="宋体" w:eastAsia="宋体" w:cs="宋体"/>
                <w:color w:val="auto"/>
                <w:sz w:val="20"/>
                <w:szCs w:val="20"/>
                <w:highlight w:val="none"/>
                <w:lang w:val="en-US" w:eastAsia="zh-CN"/>
              </w:rPr>
            </w:pPr>
          </w:p>
        </w:tc>
      </w:tr>
      <w:tr w14:paraId="2C7C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7964747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restart"/>
            <w:shd w:val="clear" w:color="auto" w:fill="auto"/>
            <w:noWrap w:val="0"/>
            <w:vAlign w:val="center"/>
          </w:tcPr>
          <w:p w14:paraId="72E93C4D">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售后服务</w:t>
            </w:r>
          </w:p>
          <w:p w14:paraId="68FB630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3E5E7D0F">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投标人在台州市内设有本地化售后服务机构且</w:t>
            </w:r>
            <w:r>
              <w:rPr>
                <w:rFonts w:hint="eastAsia" w:ascii="宋体" w:hAnsi="宋体" w:cs="宋体"/>
                <w:color w:val="auto"/>
                <w:kern w:val="2"/>
                <w:sz w:val="20"/>
                <w:szCs w:val="20"/>
                <w:highlight w:val="none"/>
                <w:lang w:val="en-US" w:eastAsia="zh-CN" w:bidi="ar-SA"/>
              </w:rPr>
              <w:t>承诺</w:t>
            </w:r>
            <w:r>
              <w:rPr>
                <w:rFonts w:hint="eastAsia" w:ascii="宋体" w:hAnsi="宋体" w:eastAsia="宋体" w:cs="宋体"/>
                <w:color w:val="auto"/>
                <w:kern w:val="2"/>
                <w:sz w:val="20"/>
                <w:szCs w:val="20"/>
                <w:highlight w:val="none"/>
                <w:lang w:val="en-US" w:eastAsia="zh-CN" w:bidi="ar-SA"/>
              </w:rPr>
              <w:t>服务期限不低于5年的，</w:t>
            </w:r>
            <w:r>
              <w:rPr>
                <w:rFonts w:hint="eastAsia" w:ascii="宋体" w:hAnsi="宋体" w:cs="宋体"/>
                <w:color w:val="auto"/>
                <w:kern w:val="2"/>
                <w:sz w:val="20"/>
                <w:szCs w:val="20"/>
                <w:highlight w:val="none"/>
                <w:lang w:val="en-US" w:eastAsia="zh-CN" w:bidi="ar-SA"/>
              </w:rPr>
              <w:t>或</w:t>
            </w:r>
            <w:r>
              <w:rPr>
                <w:rFonts w:hint="eastAsia" w:ascii="宋体" w:hAnsi="宋体" w:eastAsia="宋体" w:cs="宋体"/>
                <w:color w:val="auto"/>
                <w:kern w:val="2"/>
                <w:sz w:val="20"/>
                <w:szCs w:val="20"/>
                <w:highlight w:val="none"/>
                <w:lang w:val="en-US" w:eastAsia="zh-CN" w:bidi="ar-SA"/>
              </w:rPr>
              <w:t>投标人承诺中标后一个月内在台州市设有本地化售后服务机构的，且</w:t>
            </w:r>
            <w:r>
              <w:rPr>
                <w:rFonts w:hint="eastAsia" w:ascii="宋体" w:hAnsi="宋体" w:cs="宋体"/>
                <w:color w:val="auto"/>
                <w:kern w:val="2"/>
                <w:sz w:val="20"/>
                <w:szCs w:val="20"/>
                <w:highlight w:val="none"/>
                <w:lang w:val="en-US" w:eastAsia="zh-CN" w:bidi="ar-SA"/>
              </w:rPr>
              <w:t>承诺</w:t>
            </w:r>
            <w:r>
              <w:rPr>
                <w:rFonts w:hint="eastAsia" w:ascii="宋体" w:hAnsi="宋体" w:eastAsia="宋体" w:cs="宋体"/>
                <w:color w:val="auto"/>
                <w:kern w:val="2"/>
                <w:sz w:val="20"/>
                <w:szCs w:val="20"/>
                <w:highlight w:val="none"/>
                <w:lang w:val="en-US" w:eastAsia="zh-CN" w:bidi="ar-SA"/>
              </w:rPr>
              <w:t>服务期限不低于5年的</w:t>
            </w:r>
            <w:r>
              <w:rPr>
                <w:rFonts w:hint="eastAsia" w:ascii="宋体" w:hAnsi="宋体" w:cs="宋体"/>
                <w:color w:val="auto"/>
                <w:kern w:val="2"/>
                <w:sz w:val="20"/>
                <w:szCs w:val="20"/>
                <w:highlight w:val="none"/>
                <w:lang w:val="en-US" w:eastAsia="zh-CN" w:bidi="ar-SA"/>
              </w:rPr>
              <w:t>，</w:t>
            </w:r>
            <w:r>
              <w:rPr>
                <w:rFonts w:hint="eastAsia" w:ascii="宋体" w:hAnsi="宋体" w:eastAsia="宋体" w:cs="宋体"/>
                <w:color w:val="auto"/>
                <w:kern w:val="2"/>
                <w:sz w:val="20"/>
                <w:szCs w:val="20"/>
                <w:highlight w:val="none"/>
                <w:lang w:val="en-US" w:eastAsia="zh-CN" w:bidi="ar-SA"/>
              </w:rPr>
              <w:t>得2分。</w:t>
            </w:r>
          </w:p>
          <w:p w14:paraId="2E762BAA">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已有的：</w:t>
            </w:r>
            <w:r>
              <w:rPr>
                <w:rFonts w:hint="eastAsia" w:ascii="宋体" w:hAnsi="宋体" w:eastAsia="宋体" w:cs="宋体"/>
                <w:b/>
                <w:bCs/>
                <w:color w:val="auto"/>
                <w:kern w:val="2"/>
                <w:sz w:val="20"/>
                <w:szCs w:val="20"/>
                <w:highlight w:val="none"/>
                <w:lang w:val="en-US" w:eastAsia="zh-CN" w:bidi="ar-SA"/>
              </w:rPr>
              <w:t>须同时提供投标人与售后服务机构关联声明（股权关系声明）、售后服务机构营业执照、服务机构有效期内的房屋产权证明或房屋租赁合同或场地使用证明、设立的本地化售后服务机构服务期限不低于5年的承诺函原件</w:t>
            </w:r>
            <w:r>
              <w:rPr>
                <w:rFonts w:hint="eastAsia" w:ascii="宋体" w:hAnsi="宋体" w:cs="宋体"/>
                <w:b/>
                <w:bCs/>
                <w:color w:val="auto"/>
                <w:kern w:val="2"/>
                <w:sz w:val="20"/>
                <w:szCs w:val="20"/>
                <w:highlight w:val="none"/>
                <w:lang w:val="en-US" w:eastAsia="zh-CN" w:bidi="ar-SA"/>
              </w:rPr>
              <w:t>并加盖投标人公章编入投标文件中；未有的：提供</w:t>
            </w:r>
            <w:r>
              <w:rPr>
                <w:rFonts w:hint="eastAsia" w:ascii="宋体" w:hAnsi="宋体" w:eastAsia="宋体" w:cs="宋体"/>
                <w:b/>
                <w:bCs/>
                <w:color w:val="auto"/>
                <w:kern w:val="2"/>
                <w:sz w:val="20"/>
                <w:szCs w:val="20"/>
                <w:highlight w:val="none"/>
                <w:lang w:val="en-US" w:eastAsia="zh-CN" w:bidi="ar-SA"/>
              </w:rPr>
              <w:t>中标后一个月内在台州市设有本地化售后服务机构的承诺函</w:t>
            </w:r>
            <w:r>
              <w:rPr>
                <w:rFonts w:hint="eastAsia" w:ascii="宋体" w:hAnsi="宋体" w:cs="宋体"/>
                <w:b/>
                <w:bCs/>
                <w:color w:val="auto"/>
                <w:kern w:val="2"/>
                <w:sz w:val="20"/>
                <w:szCs w:val="20"/>
                <w:highlight w:val="none"/>
                <w:lang w:val="en-US" w:eastAsia="zh-CN" w:bidi="ar-SA"/>
              </w:rPr>
              <w:t>原件以及</w:t>
            </w:r>
            <w:r>
              <w:rPr>
                <w:rFonts w:hint="eastAsia" w:ascii="宋体" w:hAnsi="宋体" w:eastAsia="宋体" w:cs="宋体"/>
                <w:b/>
                <w:bCs/>
                <w:color w:val="auto"/>
                <w:kern w:val="2"/>
                <w:sz w:val="20"/>
                <w:szCs w:val="20"/>
                <w:highlight w:val="none"/>
                <w:lang w:val="en-US" w:eastAsia="zh-CN" w:bidi="ar-SA"/>
              </w:rPr>
              <w:t>设立的本地化售后服务机构服务期限不低于5年的承诺函原件</w:t>
            </w:r>
            <w:r>
              <w:rPr>
                <w:rFonts w:hint="eastAsia" w:ascii="宋体" w:hAnsi="宋体" w:cs="宋体"/>
                <w:b/>
                <w:bCs/>
                <w:color w:val="auto"/>
                <w:kern w:val="2"/>
                <w:sz w:val="20"/>
                <w:szCs w:val="20"/>
                <w:highlight w:val="none"/>
                <w:lang w:val="en-US" w:eastAsia="zh-CN" w:bidi="ar-SA"/>
              </w:rPr>
              <w:t>并加盖投标人公章编入投标文件中</w:t>
            </w:r>
            <w:r>
              <w:rPr>
                <w:rFonts w:hint="eastAsia" w:ascii="宋体" w:hAnsi="宋体" w:eastAsia="宋体" w:cs="宋体"/>
                <w:b/>
                <w:bCs/>
                <w:color w:val="auto"/>
                <w:kern w:val="2"/>
                <w:sz w:val="20"/>
                <w:szCs w:val="20"/>
                <w:highlight w:val="none"/>
                <w:lang w:val="en-US" w:eastAsia="zh-CN" w:bidi="ar-SA"/>
              </w:rPr>
              <w:t>）</w:t>
            </w:r>
          </w:p>
        </w:tc>
        <w:tc>
          <w:tcPr>
            <w:tcW w:w="676" w:type="dxa"/>
            <w:shd w:val="clear" w:color="auto" w:fill="auto"/>
            <w:noWrap w:val="0"/>
            <w:vAlign w:val="center"/>
          </w:tcPr>
          <w:p w14:paraId="0FE41DA5">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p>
        </w:tc>
        <w:tc>
          <w:tcPr>
            <w:tcW w:w="676" w:type="dxa"/>
            <w:shd w:val="clear" w:color="auto" w:fill="auto"/>
            <w:noWrap w:val="0"/>
            <w:vAlign w:val="center"/>
          </w:tcPr>
          <w:p w14:paraId="694637CC">
            <w:pPr>
              <w:spacing w:line="240" w:lineRule="auto"/>
              <w:jc w:val="center"/>
              <w:rPr>
                <w:rFonts w:hint="eastAsia" w:ascii="宋体" w:hAnsi="宋体" w:eastAsia="宋体" w:cs="宋体"/>
                <w:color w:val="auto"/>
                <w:sz w:val="20"/>
                <w:szCs w:val="20"/>
                <w:highlight w:val="none"/>
                <w:lang w:val="en-US" w:eastAsia="zh-CN"/>
              </w:rPr>
            </w:pPr>
          </w:p>
        </w:tc>
        <w:tc>
          <w:tcPr>
            <w:tcW w:w="676" w:type="dxa"/>
            <w:shd w:val="clear" w:color="auto" w:fill="auto"/>
            <w:noWrap w:val="0"/>
            <w:vAlign w:val="center"/>
          </w:tcPr>
          <w:p w14:paraId="7191532D">
            <w:pPr>
              <w:spacing w:line="240" w:lineRule="auto"/>
              <w:jc w:val="center"/>
              <w:rPr>
                <w:rFonts w:hint="eastAsia" w:ascii="宋体" w:hAnsi="宋体" w:eastAsia="宋体" w:cs="宋体"/>
                <w:color w:val="auto"/>
                <w:sz w:val="20"/>
                <w:szCs w:val="20"/>
                <w:highlight w:val="none"/>
                <w:lang w:val="en-US" w:eastAsia="zh-CN"/>
              </w:rPr>
            </w:pPr>
          </w:p>
        </w:tc>
      </w:tr>
      <w:tr w14:paraId="289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08CD841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78CD4E3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753E147">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投标人</w:t>
            </w:r>
            <w:r>
              <w:rPr>
                <w:rFonts w:hint="eastAsia" w:ascii="宋体" w:hAnsi="宋体" w:eastAsia="宋体" w:cs="宋体"/>
                <w:color w:val="auto"/>
                <w:kern w:val="2"/>
                <w:sz w:val="20"/>
                <w:szCs w:val="20"/>
                <w:highlight w:val="none"/>
                <w:lang w:val="en-US" w:eastAsia="zh-CN" w:bidi="ar-SA"/>
              </w:rPr>
              <w:t>本地售后服务机构</w:t>
            </w:r>
            <w:r>
              <w:rPr>
                <w:rFonts w:hint="eastAsia" w:ascii="宋体" w:hAnsi="宋体" w:cs="宋体"/>
                <w:color w:val="auto"/>
                <w:kern w:val="2"/>
                <w:sz w:val="20"/>
                <w:szCs w:val="20"/>
                <w:highlight w:val="none"/>
                <w:lang w:val="en-US" w:eastAsia="zh-CN" w:bidi="ar-SA"/>
              </w:rPr>
              <w:t>现有</w:t>
            </w:r>
            <w:r>
              <w:rPr>
                <w:rFonts w:hint="eastAsia" w:ascii="宋体" w:hAnsi="宋体" w:eastAsia="宋体" w:cs="宋体"/>
                <w:color w:val="auto"/>
                <w:kern w:val="2"/>
                <w:sz w:val="20"/>
                <w:szCs w:val="20"/>
                <w:highlight w:val="none"/>
                <w:lang w:val="en-US" w:eastAsia="zh-CN" w:bidi="ar-SA"/>
              </w:rPr>
              <w:t>常驻专业售后服务人员</w:t>
            </w:r>
            <w:r>
              <w:rPr>
                <w:rFonts w:hint="eastAsia" w:ascii="宋体" w:hAnsi="宋体" w:cs="宋体"/>
                <w:color w:val="auto"/>
                <w:kern w:val="2"/>
                <w:sz w:val="20"/>
                <w:szCs w:val="20"/>
                <w:highlight w:val="none"/>
                <w:lang w:val="en-US" w:eastAsia="zh-CN" w:bidi="ar-SA"/>
              </w:rPr>
              <w:t>或承诺中标后提供的</w:t>
            </w:r>
            <w:r>
              <w:rPr>
                <w:rFonts w:hint="eastAsia" w:ascii="宋体" w:hAnsi="宋体" w:eastAsia="宋体" w:cs="宋体"/>
                <w:color w:val="auto"/>
                <w:kern w:val="2"/>
                <w:sz w:val="20"/>
                <w:szCs w:val="20"/>
                <w:highlight w:val="none"/>
                <w:lang w:val="en-US" w:eastAsia="zh-CN" w:bidi="ar-SA"/>
              </w:rPr>
              <w:t>常驻专业售后服务人员</w:t>
            </w:r>
            <w:r>
              <w:rPr>
                <w:rFonts w:hint="eastAsia" w:ascii="宋体" w:hAnsi="宋体" w:eastAsia="宋体" w:cs="宋体"/>
                <w:color w:val="auto"/>
                <w:kern w:val="2"/>
                <w:sz w:val="20"/>
                <w:szCs w:val="20"/>
                <w:highlight w:val="none"/>
                <w:lang w:val="en-US" w:eastAsia="zh-CN" w:bidi="ar-SA"/>
              </w:rPr>
              <w:t>，人数≥5人得3分，5＞人数≥3人得2分，3＞人数≥1人得1分。</w:t>
            </w:r>
          </w:p>
          <w:p w14:paraId="37637784">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w:t>
            </w:r>
            <w:r>
              <w:rPr>
                <w:rFonts w:hint="eastAsia" w:ascii="宋体" w:hAnsi="宋体" w:cs="宋体"/>
                <w:b/>
                <w:bCs/>
                <w:color w:val="auto"/>
                <w:kern w:val="2"/>
                <w:sz w:val="20"/>
                <w:szCs w:val="20"/>
                <w:highlight w:val="none"/>
                <w:lang w:val="en-US" w:eastAsia="zh-CN" w:bidi="ar-SA"/>
              </w:rPr>
              <w:t>须</w:t>
            </w:r>
            <w:r>
              <w:rPr>
                <w:rFonts w:hint="eastAsia" w:ascii="宋体" w:hAnsi="宋体" w:eastAsia="宋体" w:cs="宋体"/>
                <w:b/>
                <w:bCs/>
                <w:color w:val="auto"/>
                <w:kern w:val="2"/>
                <w:sz w:val="20"/>
                <w:szCs w:val="20"/>
                <w:highlight w:val="none"/>
                <w:lang w:val="en-US" w:eastAsia="zh-CN" w:bidi="ar-SA"/>
              </w:rPr>
              <w:t>提供</w:t>
            </w:r>
            <w:r>
              <w:rPr>
                <w:rFonts w:hint="eastAsia" w:ascii="宋体" w:hAnsi="宋体" w:cs="宋体"/>
                <w:b/>
                <w:bCs/>
                <w:color w:val="auto"/>
                <w:kern w:val="2"/>
                <w:sz w:val="20"/>
                <w:szCs w:val="20"/>
                <w:highlight w:val="none"/>
                <w:lang w:val="en-US" w:eastAsia="zh-CN" w:bidi="ar-SA"/>
              </w:rPr>
              <w:t>相关</w:t>
            </w:r>
            <w:r>
              <w:rPr>
                <w:rFonts w:hint="eastAsia" w:ascii="宋体" w:hAnsi="宋体" w:eastAsia="宋体" w:cs="宋体"/>
                <w:b/>
                <w:bCs/>
                <w:color w:val="auto"/>
                <w:kern w:val="2"/>
                <w:sz w:val="20"/>
                <w:szCs w:val="20"/>
                <w:highlight w:val="none"/>
                <w:lang w:val="en-US" w:eastAsia="zh-CN" w:bidi="ar-SA"/>
              </w:rPr>
              <w:t>人员所在机构近三个月缴纳社保证明及相应人员高压电工证或低压电工证证书</w:t>
            </w:r>
            <w:r>
              <w:rPr>
                <w:rFonts w:hint="eastAsia" w:ascii="宋体" w:hAnsi="宋体" w:cs="宋体"/>
                <w:b/>
                <w:bCs/>
                <w:color w:val="auto"/>
                <w:kern w:val="2"/>
                <w:sz w:val="20"/>
                <w:szCs w:val="20"/>
                <w:highlight w:val="none"/>
                <w:lang w:val="en-US" w:eastAsia="zh-CN" w:bidi="ar-SA"/>
              </w:rPr>
              <w:t>扫描</w:t>
            </w:r>
            <w:r>
              <w:rPr>
                <w:rFonts w:hint="eastAsia" w:ascii="宋体" w:hAnsi="宋体" w:eastAsia="宋体" w:cs="宋体"/>
                <w:b/>
                <w:bCs/>
                <w:color w:val="auto"/>
                <w:kern w:val="2"/>
                <w:sz w:val="20"/>
                <w:szCs w:val="20"/>
                <w:highlight w:val="none"/>
                <w:lang w:val="en-US" w:eastAsia="zh-CN" w:bidi="ar-SA"/>
              </w:rPr>
              <w:t>件</w:t>
            </w:r>
            <w:r>
              <w:rPr>
                <w:rFonts w:hint="eastAsia" w:ascii="宋体" w:hAnsi="宋体" w:cs="宋体"/>
                <w:b/>
                <w:bCs/>
                <w:color w:val="auto"/>
                <w:sz w:val="20"/>
                <w:szCs w:val="20"/>
                <w:highlight w:val="none"/>
                <w:lang w:val="en-US" w:eastAsia="zh-CN"/>
              </w:rPr>
              <w:t>并</w:t>
            </w:r>
            <w:r>
              <w:rPr>
                <w:rFonts w:hint="eastAsia" w:ascii="宋体" w:hAnsi="宋体" w:eastAsia="宋体" w:cs="宋体"/>
                <w:b/>
                <w:bCs/>
                <w:color w:val="auto"/>
                <w:sz w:val="20"/>
                <w:szCs w:val="20"/>
                <w:highlight w:val="none"/>
              </w:rPr>
              <w:t>加盖</w:t>
            </w:r>
            <w:r>
              <w:rPr>
                <w:rFonts w:hint="eastAsia" w:ascii="宋体" w:hAnsi="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rPr>
              <w:t>公章编入投标文件中，</w:t>
            </w:r>
            <w:r>
              <w:rPr>
                <w:rFonts w:hint="eastAsia" w:ascii="宋体" w:hAnsi="宋体" w:cs="宋体"/>
                <w:b/>
                <w:bCs/>
                <w:color w:val="auto"/>
                <w:sz w:val="20"/>
                <w:szCs w:val="20"/>
                <w:highlight w:val="none"/>
                <w:lang w:val="en-US" w:eastAsia="zh-CN"/>
              </w:rPr>
              <w:t>未提供或提供不全不得分</w:t>
            </w:r>
            <w:r>
              <w:rPr>
                <w:rFonts w:hint="eastAsia" w:ascii="宋体" w:hAnsi="宋体" w:eastAsia="宋体" w:cs="宋体"/>
                <w:b/>
                <w:bCs/>
                <w:color w:val="auto"/>
                <w:kern w:val="2"/>
                <w:sz w:val="20"/>
                <w:szCs w:val="20"/>
                <w:highlight w:val="none"/>
                <w:lang w:val="en-US" w:eastAsia="zh-CN" w:bidi="ar-SA"/>
              </w:rPr>
              <w:t>）</w:t>
            </w:r>
          </w:p>
        </w:tc>
        <w:tc>
          <w:tcPr>
            <w:tcW w:w="676" w:type="dxa"/>
            <w:shd w:val="clear" w:color="auto" w:fill="auto"/>
            <w:noWrap w:val="0"/>
            <w:vAlign w:val="center"/>
          </w:tcPr>
          <w:p w14:paraId="4789CD12">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w:t>
            </w:r>
          </w:p>
        </w:tc>
        <w:tc>
          <w:tcPr>
            <w:tcW w:w="676" w:type="dxa"/>
            <w:shd w:val="clear" w:color="auto" w:fill="auto"/>
            <w:noWrap w:val="0"/>
            <w:vAlign w:val="center"/>
          </w:tcPr>
          <w:p w14:paraId="77A5DE27">
            <w:pPr>
              <w:spacing w:line="240" w:lineRule="auto"/>
              <w:jc w:val="center"/>
              <w:rPr>
                <w:rFonts w:hint="eastAsia" w:ascii="宋体" w:hAnsi="宋体" w:eastAsia="宋体" w:cs="宋体"/>
                <w:color w:val="auto"/>
                <w:sz w:val="20"/>
                <w:szCs w:val="20"/>
                <w:highlight w:val="none"/>
              </w:rPr>
            </w:pPr>
          </w:p>
        </w:tc>
        <w:tc>
          <w:tcPr>
            <w:tcW w:w="676" w:type="dxa"/>
            <w:shd w:val="clear" w:color="auto" w:fill="auto"/>
            <w:noWrap w:val="0"/>
            <w:vAlign w:val="center"/>
          </w:tcPr>
          <w:p w14:paraId="64978FD4">
            <w:pPr>
              <w:spacing w:line="240" w:lineRule="auto"/>
              <w:jc w:val="center"/>
              <w:rPr>
                <w:rFonts w:hint="eastAsia" w:ascii="宋体" w:hAnsi="宋体" w:eastAsia="宋体" w:cs="宋体"/>
                <w:color w:val="auto"/>
                <w:sz w:val="20"/>
                <w:szCs w:val="20"/>
                <w:highlight w:val="none"/>
              </w:rPr>
            </w:pPr>
          </w:p>
        </w:tc>
      </w:tr>
      <w:tr w14:paraId="13F2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50" w:type="dxa"/>
            <w:vMerge w:val="continue"/>
            <w:noWrap w:val="0"/>
            <w:vAlign w:val="center"/>
          </w:tcPr>
          <w:p w14:paraId="31294E9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40" w:type="dxa"/>
            <w:vMerge w:val="continue"/>
            <w:noWrap w:val="0"/>
            <w:vAlign w:val="center"/>
          </w:tcPr>
          <w:p w14:paraId="7C07F5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14" w:type="dxa"/>
            <w:shd w:val="clear" w:color="auto" w:fill="auto"/>
            <w:noWrap w:val="0"/>
            <w:vAlign w:val="center"/>
          </w:tcPr>
          <w:p w14:paraId="1C57EC93">
            <w:pPr>
              <w:numPr>
                <w:ilvl w:val="0"/>
                <w:numId w:val="0"/>
              </w:num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根据各投标人售后服务方案及承诺、保障措施、培训计划、其他附加服务等情况综合评审。</w:t>
            </w:r>
          </w:p>
          <w:p w14:paraId="37C08E53">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售后服务方案合理性、可操作性强的得3.0-4.0分；</w:t>
            </w:r>
          </w:p>
          <w:p w14:paraId="057D23C6">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售后服务方案合理性、可操作性较强的得2.0-2.9分；</w:t>
            </w:r>
          </w:p>
          <w:p w14:paraId="10FEA163">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售后服务方案合理性、可操作性均一般的得0.1-1.9分；</w:t>
            </w:r>
          </w:p>
          <w:p w14:paraId="2B100DE2">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76" w:type="dxa"/>
            <w:shd w:val="clear" w:color="auto" w:fill="auto"/>
            <w:noWrap w:val="0"/>
            <w:vAlign w:val="center"/>
          </w:tcPr>
          <w:p w14:paraId="21E07526">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p>
        </w:tc>
        <w:tc>
          <w:tcPr>
            <w:tcW w:w="676" w:type="dxa"/>
            <w:shd w:val="clear" w:color="auto" w:fill="auto"/>
            <w:noWrap w:val="0"/>
            <w:vAlign w:val="center"/>
          </w:tcPr>
          <w:p w14:paraId="7231E761">
            <w:pPr>
              <w:spacing w:line="240" w:lineRule="auto"/>
              <w:jc w:val="center"/>
              <w:rPr>
                <w:rFonts w:hint="eastAsia" w:ascii="宋体" w:hAnsi="宋体" w:eastAsia="宋体" w:cs="宋体"/>
                <w:color w:val="auto"/>
                <w:sz w:val="20"/>
                <w:szCs w:val="20"/>
                <w:highlight w:val="none"/>
                <w:lang w:val="en-US" w:eastAsia="zh-CN"/>
              </w:rPr>
            </w:pPr>
          </w:p>
        </w:tc>
        <w:tc>
          <w:tcPr>
            <w:tcW w:w="676" w:type="dxa"/>
            <w:shd w:val="clear" w:color="auto" w:fill="auto"/>
            <w:noWrap w:val="0"/>
            <w:vAlign w:val="center"/>
          </w:tcPr>
          <w:p w14:paraId="51149B75">
            <w:pPr>
              <w:spacing w:line="240" w:lineRule="auto"/>
              <w:jc w:val="center"/>
              <w:rPr>
                <w:rFonts w:hint="eastAsia" w:ascii="宋体" w:hAnsi="宋体" w:eastAsia="宋体" w:cs="宋体"/>
                <w:color w:val="auto"/>
                <w:sz w:val="20"/>
                <w:szCs w:val="20"/>
                <w:highlight w:val="none"/>
                <w:lang w:val="en-US" w:eastAsia="zh-CN"/>
              </w:rPr>
            </w:pPr>
          </w:p>
        </w:tc>
      </w:tr>
      <w:tr w14:paraId="01F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4" w:type="dxa"/>
            <w:gridSpan w:val="3"/>
            <w:noWrap w:val="0"/>
            <w:vAlign w:val="center"/>
          </w:tcPr>
          <w:p w14:paraId="67676743">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技术资信合计</w:t>
            </w:r>
          </w:p>
        </w:tc>
        <w:tc>
          <w:tcPr>
            <w:tcW w:w="676" w:type="dxa"/>
            <w:noWrap w:val="0"/>
            <w:vAlign w:val="center"/>
          </w:tcPr>
          <w:p w14:paraId="37A46F6A">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60</w:t>
            </w:r>
          </w:p>
        </w:tc>
        <w:tc>
          <w:tcPr>
            <w:tcW w:w="676" w:type="dxa"/>
            <w:noWrap w:val="0"/>
            <w:vAlign w:val="center"/>
          </w:tcPr>
          <w:p w14:paraId="548FBF5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676" w:type="dxa"/>
            <w:noWrap w:val="0"/>
            <w:vAlign w:val="center"/>
          </w:tcPr>
          <w:p w14:paraId="6D92B382">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bl>
    <w:p w14:paraId="569CF8C6">
      <w:pPr>
        <w:rPr>
          <w:rFonts w:hint="eastAsia"/>
          <w:b/>
          <w:color w:val="auto"/>
          <w:sz w:val="32"/>
          <w:szCs w:val="32"/>
          <w:highlight w:val="none"/>
          <w:lang w:val="en-US" w:eastAsia="zh-CN"/>
        </w:rPr>
      </w:pPr>
      <w:r>
        <w:rPr>
          <w:rFonts w:hint="eastAsia"/>
          <w:b/>
          <w:color w:val="auto"/>
          <w:sz w:val="32"/>
          <w:szCs w:val="32"/>
          <w:highlight w:val="none"/>
          <w:lang w:val="en-US" w:eastAsia="zh-CN"/>
        </w:rPr>
        <w:br w:type="page"/>
      </w:r>
    </w:p>
    <w:p w14:paraId="423764E9">
      <w:pPr>
        <w:pStyle w:val="33"/>
        <w:keepNext w:val="0"/>
        <w:keepLines w:val="0"/>
        <w:pageBreakBefore w:val="0"/>
        <w:shd w:val="clear" w:color="auto" w:fill="FFFFFF"/>
        <w:kinsoku/>
        <w:wordWrap/>
        <w:overflowPunct/>
        <w:topLinePunct w:val="0"/>
        <w:bidi w:val="0"/>
        <w:spacing w:before="0" w:beforeAutospacing="0" w:after="0" w:afterAutospacing="0" w:line="240" w:lineRule="auto"/>
        <w:jc w:val="both"/>
        <w:outlineLvl w:val="9"/>
        <w:rPr>
          <w:rFonts w:hint="default" w:eastAsia="宋体"/>
          <w:b/>
          <w:color w:val="auto"/>
          <w:sz w:val="32"/>
          <w:szCs w:val="32"/>
          <w:highlight w:val="none"/>
          <w:lang w:val="en-US" w:eastAsia="zh-CN"/>
        </w:rPr>
      </w:pPr>
      <w:r>
        <w:rPr>
          <w:rFonts w:hint="eastAsia"/>
          <w:b/>
          <w:color w:val="auto"/>
          <w:sz w:val="32"/>
          <w:szCs w:val="32"/>
          <w:highlight w:val="none"/>
          <w:lang w:val="en-US" w:eastAsia="zh-CN"/>
        </w:rPr>
        <w:t>附件6：</w:t>
      </w:r>
    </w:p>
    <w:p w14:paraId="7AA9489B">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4F3A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3496674">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0A3802B4">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001" w:type="dxa"/>
            <w:gridSpan w:val="3"/>
          </w:tcPr>
          <w:p w14:paraId="4284F308">
            <w:pPr>
              <w:pStyle w:val="33"/>
              <w:keepNext w:val="0"/>
              <w:keepLines w:val="0"/>
              <w:pageBreakBefore w:val="0"/>
              <w:shd w:val="clear" w:color="auto" w:fill="FFFFFF"/>
              <w:kinsoku/>
              <w:wordWrap/>
              <w:overflowPunct/>
              <w:topLinePunct w:val="0"/>
              <w:bidi w:val="0"/>
              <w:spacing w:line="240" w:lineRule="auto"/>
              <w:outlineLvl w:val="9"/>
              <w:rPr>
                <w:rFonts w:hint="eastAsia" w:eastAsia="宋体"/>
                <w:bCs/>
                <w:color w:val="auto"/>
                <w:sz w:val="21"/>
                <w:szCs w:val="21"/>
                <w:highlight w:val="none"/>
                <w:lang w:eastAsia="zh-CN"/>
              </w:rPr>
            </w:pPr>
            <w:r>
              <w:rPr>
                <w:rFonts w:hint="eastAsia"/>
                <w:bCs/>
                <w:color w:val="auto"/>
                <w:spacing w:val="16"/>
                <w:sz w:val="21"/>
                <w:szCs w:val="21"/>
                <w:highlight w:val="none"/>
                <w:lang w:eastAsia="zh-CN"/>
              </w:rPr>
              <w:t>法定代表人</w:t>
            </w:r>
          </w:p>
        </w:tc>
        <w:tc>
          <w:tcPr>
            <w:tcW w:w="2151" w:type="dxa"/>
            <w:gridSpan w:val="2"/>
          </w:tcPr>
          <w:p w14:paraId="6CA6BF6A">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0063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1FA60B5">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66A548C3">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157225ED">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006BF500">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760B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00DB8216">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27114151">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c>
          <w:tcPr>
            <w:tcW w:w="910" w:type="dxa"/>
          </w:tcPr>
          <w:p w14:paraId="197AA432">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14:paraId="76C80647">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61E1D85B">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5267BB86">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481A1FC8">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r>
      <w:tr w14:paraId="259E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0EC8B69D">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049755E5">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Borders>
              <w:top w:val="nil"/>
            </w:tcBorders>
          </w:tcPr>
          <w:p w14:paraId="090791D5">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63766939">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55964D74">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restart"/>
          </w:tcPr>
          <w:p w14:paraId="63355354">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05701C0F">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03F2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3E79BF9E">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vMerge w:val="continue"/>
          </w:tcPr>
          <w:p w14:paraId="5B450041">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Pr>
          <w:p w14:paraId="654585D2">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258CDCA4">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continue"/>
          </w:tcPr>
          <w:p w14:paraId="77368494">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151" w:type="dxa"/>
            <w:gridSpan w:val="2"/>
            <w:vMerge w:val="continue"/>
          </w:tcPr>
          <w:p w14:paraId="1B8C7F90">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23BA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5C0B61B6">
            <w:pPr>
              <w:pStyle w:val="33"/>
              <w:keepNext w:val="0"/>
              <w:keepLines w:val="0"/>
              <w:pageBreakBefore w:val="0"/>
              <w:shd w:val="clear" w:color="auto" w:fill="FFFFFF"/>
              <w:kinsoku/>
              <w:wordWrap/>
              <w:overflowPunct/>
              <w:topLinePunct w:val="0"/>
              <w:bidi w:val="0"/>
              <w:spacing w:line="240" w:lineRule="auto"/>
              <w:ind w:left="107"/>
              <w:outlineLvl w:val="9"/>
              <w:rPr>
                <w:rFonts w:hint="eastAsia"/>
                <w:bCs/>
                <w:color w:val="auto"/>
                <w:sz w:val="21"/>
                <w:szCs w:val="21"/>
                <w:highlight w:val="none"/>
                <w:lang w:val="en-US" w:eastAsia="zh-CN"/>
              </w:rPr>
            </w:pPr>
            <w:r>
              <w:rPr>
                <w:rFonts w:hint="eastAsia"/>
                <w:bCs/>
                <w:color w:val="auto"/>
                <w:sz w:val="21"/>
                <w:szCs w:val="21"/>
                <w:highlight w:val="none"/>
                <w:lang w:val="en-US" w:eastAsia="zh-CN"/>
              </w:rPr>
              <w:t>一、</w:t>
            </w:r>
          </w:p>
          <w:p w14:paraId="673A8397">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企</w:t>
            </w:r>
          </w:p>
          <w:p w14:paraId="2886CAF7">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业</w:t>
            </w:r>
          </w:p>
          <w:p w14:paraId="23A2F4BE">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r>
              <w:rPr>
                <w:rFonts w:hint="eastAsia"/>
                <w:bCs/>
                <w:color w:val="auto"/>
                <w:spacing w:val="27"/>
                <w:sz w:val="21"/>
                <w:szCs w:val="21"/>
                <w:highlight w:val="none"/>
              </w:rPr>
              <w:t>概</w:t>
            </w:r>
          </w:p>
          <w:p w14:paraId="3A263963">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78968DED">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7E7FA9CA">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1163" w:type="dxa"/>
            <w:gridSpan w:val="2"/>
            <w:tcBorders>
              <w:top w:val="nil"/>
            </w:tcBorders>
          </w:tcPr>
          <w:p w14:paraId="4087CDDB">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5194EE3D">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4F079224">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548DC228">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33780C62">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5B692ED5">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4974C104">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3090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10482BA8">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1C91DC53">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占地面积</w:t>
            </w:r>
          </w:p>
        </w:tc>
        <w:tc>
          <w:tcPr>
            <w:tcW w:w="910" w:type="dxa"/>
          </w:tcPr>
          <w:p w14:paraId="6F344E89">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163" w:type="dxa"/>
            <w:gridSpan w:val="2"/>
          </w:tcPr>
          <w:p w14:paraId="5B258390">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78101578">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z w:val="21"/>
                <w:szCs w:val="21"/>
                <w:highlight w:val="none"/>
              </w:rPr>
              <w:t>平方米</w:t>
            </w:r>
          </w:p>
          <w:p w14:paraId="1B0E464F">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790EDCB1">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22389C4C">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r>
      <w:tr w14:paraId="63D6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45AB16CA">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05ABA958">
            <w:pPr>
              <w:pStyle w:val="33"/>
              <w:keepNext w:val="0"/>
              <w:keepLines w:val="0"/>
              <w:pageBreakBefore w:val="0"/>
              <w:shd w:val="clear" w:color="auto" w:fill="FFFFFF"/>
              <w:kinsoku/>
              <w:wordWrap/>
              <w:overflowPunct/>
              <w:topLinePunct w:val="0"/>
              <w:bidi w:val="0"/>
              <w:spacing w:line="240" w:lineRule="auto"/>
              <w:ind w:left="2"/>
              <w:outlineLvl w:val="9"/>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058A2599">
            <w:pPr>
              <w:pStyle w:val="33"/>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p>
        </w:tc>
        <w:tc>
          <w:tcPr>
            <w:tcW w:w="1163" w:type="dxa"/>
            <w:gridSpan w:val="2"/>
          </w:tcPr>
          <w:p w14:paraId="75B35118">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4EEB69D4">
            <w:pPr>
              <w:keepNext w:val="0"/>
              <w:keepLines w:val="0"/>
              <w:pageBreakBefore w:val="0"/>
              <w:widowControl/>
              <w:kinsoku/>
              <w:wordWrap/>
              <w:overflowPunct/>
              <w:topLinePunct w:val="0"/>
              <w:bidi w:val="0"/>
              <w:spacing w:line="240" w:lineRule="auto"/>
              <w:jc w:val="left"/>
              <w:outlineLvl w:val="9"/>
              <w:rPr>
                <w:rFonts w:ascii="宋体" w:cs="宋体"/>
                <w:bCs/>
                <w:color w:val="auto"/>
                <w:kern w:val="0"/>
                <w:sz w:val="21"/>
                <w:szCs w:val="21"/>
                <w:highlight w:val="none"/>
              </w:rPr>
            </w:pPr>
          </w:p>
          <w:p w14:paraId="33530D83">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218" w:type="dxa"/>
          </w:tcPr>
          <w:p w14:paraId="4AF6F970">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1082EAF9">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3D26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345BFD26">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54654BAB">
            <w:pPr>
              <w:pStyle w:val="33"/>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7840BD06">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6CF5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0DB5837E">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8063" w:type="dxa"/>
            <w:gridSpan w:val="11"/>
          </w:tcPr>
          <w:p w14:paraId="7C6B7FD6">
            <w:pPr>
              <w:pStyle w:val="33"/>
              <w:keepNext w:val="0"/>
              <w:keepLines w:val="0"/>
              <w:pageBreakBefore w:val="0"/>
              <w:shd w:val="clear" w:color="auto" w:fill="FFFFFF"/>
              <w:kinsoku/>
              <w:wordWrap/>
              <w:overflowPunct/>
              <w:topLinePunct w:val="0"/>
              <w:bidi w:val="0"/>
              <w:spacing w:line="240" w:lineRule="auto"/>
              <w:outlineLvl w:val="9"/>
              <w:rPr>
                <w:bCs/>
                <w:color w:val="auto"/>
                <w:spacing w:val="13"/>
                <w:sz w:val="21"/>
                <w:szCs w:val="21"/>
                <w:highlight w:val="none"/>
              </w:rPr>
            </w:pPr>
            <w:r>
              <w:rPr>
                <w:rFonts w:hint="eastAsia"/>
                <w:bCs/>
                <w:color w:val="auto"/>
                <w:spacing w:val="13"/>
                <w:sz w:val="21"/>
                <w:szCs w:val="21"/>
                <w:highlight w:val="none"/>
              </w:rPr>
              <w:t>发展历程及主要荣誉：</w:t>
            </w:r>
          </w:p>
        </w:tc>
      </w:tr>
      <w:tr w14:paraId="476C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552C75D2">
            <w:pPr>
              <w:pStyle w:val="33"/>
              <w:keepNext w:val="0"/>
              <w:keepLines w:val="0"/>
              <w:pageBreakBefore w:val="0"/>
              <w:shd w:val="clear" w:color="auto" w:fill="FFFFFF"/>
              <w:kinsoku/>
              <w:wordWrap/>
              <w:overflowPunct/>
              <w:topLinePunct w:val="0"/>
              <w:bidi w:val="0"/>
              <w:spacing w:line="240" w:lineRule="auto"/>
              <w:ind w:left="107"/>
              <w:outlineLvl w:val="9"/>
              <w:rPr>
                <w:rFonts w:hint="eastAsia" w:eastAsia="宋体"/>
                <w:bCs/>
                <w:color w:val="auto"/>
                <w:sz w:val="21"/>
                <w:szCs w:val="21"/>
                <w:highlight w:val="none"/>
                <w:lang w:val="en-US" w:eastAsia="zh-CN"/>
              </w:rPr>
            </w:pPr>
            <w:r>
              <w:rPr>
                <w:rFonts w:hint="eastAsia"/>
                <w:bCs/>
                <w:color w:val="auto"/>
                <w:sz w:val="21"/>
                <w:szCs w:val="21"/>
                <w:highlight w:val="none"/>
                <w:lang w:val="en-US" w:eastAsia="zh-CN"/>
              </w:rPr>
              <w:t>二、</w:t>
            </w:r>
          </w:p>
          <w:p w14:paraId="5CFA9DDE">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79ECED6E">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3EE34962">
            <w:pPr>
              <w:pStyle w:val="33"/>
              <w:keepNext w:val="0"/>
              <w:keepLines w:val="0"/>
              <w:pageBreakBefore w:val="0"/>
              <w:shd w:val="clear" w:color="auto" w:fill="FFFFFF"/>
              <w:kinsoku/>
              <w:wordWrap/>
              <w:overflowPunct/>
              <w:topLinePunct w:val="0"/>
              <w:bidi w:val="0"/>
              <w:spacing w:line="240" w:lineRule="auto"/>
              <w:ind w:right="-78" w:rightChars="-37"/>
              <w:outlineLvl w:val="9"/>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1128196A">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6"/>
                <w:sz w:val="21"/>
                <w:szCs w:val="21"/>
                <w:highlight w:val="none"/>
              </w:rPr>
              <w:t>发证机关</w:t>
            </w:r>
          </w:p>
        </w:tc>
        <w:tc>
          <w:tcPr>
            <w:tcW w:w="1276" w:type="dxa"/>
          </w:tcPr>
          <w:p w14:paraId="03705D26">
            <w:pPr>
              <w:pStyle w:val="33"/>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5E151719">
            <w:pPr>
              <w:pStyle w:val="33"/>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16"/>
                <w:sz w:val="21"/>
                <w:szCs w:val="21"/>
                <w:highlight w:val="none"/>
              </w:rPr>
              <w:t>发证时间</w:t>
            </w:r>
          </w:p>
        </w:tc>
        <w:tc>
          <w:tcPr>
            <w:tcW w:w="933" w:type="dxa"/>
          </w:tcPr>
          <w:p w14:paraId="70A811B3">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bCs/>
                <w:color w:val="auto"/>
                <w:sz w:val="21"/>
                <w:szCs w:val="21"/>
                <w:highlight w:val="none"/>
              </w:rPr>
            </w:pPr>
            <w:r>
              <w:rPr>
                <w:rFonts w:hint="eastAsia"/>
                <w:bCs/>
                <w:color w:val="auto"/>
                <w:spacing w:val="27"/>
                <w:sz w:val="21"/>
                <w:szCs w:val="21"/>
                <w:highlight w:val="none"/>
              </w:rPr>
              <w:t>期限</w:t>
            </w:r>
          </w:p>
        </w:tc>
      </w:tr>
      <w:tr w14:paraId="0D29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DE695F4">
            <w:pPr>
              <w:pStyle w:val="33"/>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854" w:type="dxa"/>
            <w:gridSpan w:val="3"/>
            <w:vMerge w:val="continue"/>
          </w:tcPr>
          <w:p w14:paraId="492BBD45">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964" w:type="dxa"/>
            <w:gridSpan w:val="2"/>
          </w:tcPr>
          <w:p w14:paraId="443B8EFB">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418" w:type="dxa"/>
            <w:gridSpan w:val="2"/>
          </w:tcPr>
          <w:p w14:paraId="764E9F87">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276" w:type="dxa"/>
          </w:tcPr>
          <w:p w14:paraId="4FE315AB">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551" w:type="dxa"/>
            <w:gridSpan w:val="3"/>
          </w:tcPr>
          <w:p w14:paraId="0546F1AE">
            <w:pPr>
              <w:pStyle w:val="33"/>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6642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11AF45B2">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c>
          <w:tcPr>
            <w:tcW w:w="1854" w:type="dxa"/>
            <w:gridSpan w:val="3"/>
          </w:tcPr>
          <w:p w14:paraId="21A6EB10">
            <w:pPr>
              <w:pStyle w:val="33"/>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2EF25291">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3D56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C011D9A">
            <w:pPr>
              <w:pStyle w:val="33"/>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p>
        </w:tc>
        <w:tc>
          <w:tcPr>
            <w:tcW w:w="1854" w:type="dxa"/>
            <w:gridSpan w:val="3"/>
          </w:tcPr>
          <w:p w14:paraId="6F917242">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0EFC7618">
            <w:pPr>
              <w:pStyle w:val="33"/>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bl>
    <w:p w14:paraId="0F0D3E23">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ascii="仿宋_GB2312" w:eastAsia="仿宋_GB2312"/>
          <w:color w:val="auto"/>
          <w:highlight w:val="none"/>
        </w:rPr>
      </w:pPr>
    </w:p>
    <w:p w14:paraId="1137CD7F">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3DC333B1">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color w:val="auto"/>
          <w:sz w:val="21"/>
          <w:szCs w:val="21"/>
          <w:highlight w:val="none"/>
        </w:rPr>
      </w:pPr>
      <w:r>
        <w:rPr>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63B957A3">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07B4C9E8">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00C865DB">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5FD0518">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4494D001">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0206E875">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7F97090">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color w:val="auto"/>
          <w:sz w:val="21"/>
          <w:szCs w:val="21"/>
          <w:highlight w:val="none"/>
        </w:rPr>
      </w:pPr>
      <w:r>
        <w:rPr>
          <w:rFonts w:hint="eastAsia"/>
          <w:color w:val="auto"/>
          <w:sz w:val="21"/>
          <w:szCs w:val="21"/>
          <w:highlight w:val="none"/>
        </w:rPr>
        <w:t>日期：</w:t>
      </w:r>
    </w:p>
    <w:p w14:paraId="4F667D81">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1B784D6A">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01DA19C7">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496E478">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04B76E7A">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7C4064E7">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46DAE1B">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B75709D">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2D3C489B">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721E4D3A">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089B2499">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721A092">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7906AE6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3F88F90C">
      <w:pPr>
        <w:keepNext w:val="0"/>
        <w:keepLines w:val="0"/>
        <w:pageBreakBefore w:val="0"/>
        <w:kinsoku/>
        <w:wordWrap/>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19"/>
        <w:tblW w:w="9098" w:type="dxa"/>
        <w:tblInd w:w="-3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839"/>
        <w:gridCol w:w="1000"/>
        <w:gridCol w:w="812"/>
        <w:gridCol w:w="1538"/>
        <w:gridCol w:w="1312"/>
        <w:gridCol w:w="1363"/>
        <w:gridCol w:w="1573"/>
      </w:tblGrid>
      <w:tr w14:paraId="26874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vAlign w:val="center"/>
          </w:tcPr>
          <w:p w14:paraId="6184BD85">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839" w:type="dxa"/>
            <w:tcBorders>
              <w:top w:val="single" w:color="auto" w:sz="4" w:space="0"/>
              <w:left w:val="single" w:color="auto" w:sz="4" w:space="0"/>
              <w:bottom w:val="single" w:color="auto" w:sz="4" w:space="0"/>
              <w:right w:val="single" w:color="auto" w:sz="4" w:space="0"/>
            </w:tcBorders>
            <w:vAlign w:val="center"/>
          </w:tcPr>
          <w:p w14:paraId="74FA08FE">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0" w:type="dxa"/>
            <w:tcBorders>
              <w:top w:val="single" w:color="auto" w:sz="4" w:space="0"/>
              <w:left w:val="single" w:color="auto" w:sz="4" w:space="0"/>
              <w:bottom w:val="single" w:color="auto" w:sz="4" w:space="0"/>
              <w:right w:val="single" w:color="auto" w:sz="4" w:space="0"/>
            </w:tcBorders>
            <w:vAlign w:val="center"/>
          </w:tcPr>
          <w:p w14:paraId="57754D0A">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812" w:type="dxa"/>
            <w:tcBorders>
              <w:top w:val="single" w:color="auto" w:sz="4" w:space="0"/>
              <w:left w:val="single" w:color="auto" w:sz="4" w:space="0"/>
              <w:bottom w:val="single" w:color="auto" w:sz="4" w:space="0"/>
              <w:right w:val="single" w:color="auto" w:sz="4" w:space="0"/>
            </w:tcBorders>
            <w:vAlign w:val="center"/>
          </w:tcPr>
          <w:p w14:paraId="06B613E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538" w:type="dxa"/>
            <w:tcBorders>
              <w:top w:val="single" w:color="auto" w:sz="4" w:space="0"/>
              <w:left w:val="single" w:color="auto" w:sz="4" w:space="0"/>
              <w:bottom w:val="single" w:color="auto" w:sz="4" w:space="0"/>
              <w:right w:val="single" w:color="auto" w:sz="4" w:space="0"/>
            </w:tcBorders>
            <w:vAlign w:val="center"/>
          </w:tcPr>
          <w:p w14:paraId="1931A700">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312" w:type="dxa"/>
            <w:tcBorders>
              <w:top w:val="single" w:color="auto" w:sz="4" w:space="0"/>
              <w:left w:val="single" w:color="auto" w:sz="4" w:space="0"/>
              <w:bottom w:val="single" w:color="auto" w:sz="4" w:space="0"/>
              <w:right w:val="single" w:color="auto" w:sz="4" w:space="0"/>
            </w:tcBorders>
            <w:vAlign w:val="center"/>
          </w:tcPr>
          <w:p w14:paraId="7F05413F">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363" w:type="dxa"/>
            <w:tcBorders>
              <w:top w:val="single" w:color="auto" w:sz="4" w:space="0"/>
              <w:left w:val="single" w:color="auto" w:sz="4" w:space="0"/>
              <w:bottom w:val="single" w:color="auto" w:sz="4" w:space="0"/>
              <w:right w:val="single" w:color="auto" w:sz="4" w:space="0"/>
            </w:tcBorders>
            <w:vAlign w:val="center"/>
          </w:tcPr>
          <w:p w14:paraId="6055BADA">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1573" w:type="dxa"/>
            <w:tcBorders>
              <w:top w:val="single" w:color="auto" w:sz="4" w:space="0"/>
              <w:left w:val="single" w:color="auto" w:sz="4" w:space="0"/>
              <w:bottom w:val="single" w:color="auto" w:sz="4" w:space="0"/>
            </w:tcBorders>
            <w:vAlign w:val="center"/>
          </w:tcPr>
          <w:p w14:paraId="3ACD57A8">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4A05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054254F0">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4581A67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36EC6E3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2D06855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3E3C2F7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7F3A964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15D1242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7CE3F11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777E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24A3F335">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504A5554">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68313D7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33A8034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4228468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7A606D2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14AE9A8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0CAC564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0089F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4C7D625C">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13FAF5D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245C502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7F194832">
            <w:pPr>
              <w:pStyle w:val="13"/>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25A6B88C">
            <w:pPr>
              <w:pStyle w:val="13"/>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46C1B35E">
            <w:pPr>
              <w:pStyle w:val="13"/>
              <w:keepNext w:val="0"/>
              <w:keepLines w:val="0"/>
              <w:pageBreakBefore w:val="0"/>
              <w:kinsoku/>
              <w:wordWrap/>
              <w:overflowPunct/>
              <w:topLinePunct w:val="0"/>
              <w:bidi w:val="0"/>
              <w:spacing w:line="360" w:lineRule="auto"/>
              <w:ind w:left="5250"/>
              <w:outlineLvl w:val="9"/>
              <w:rPr>
                <w:rFonts w:ascii="宋体" w:eastAsia="宋体"/>
                <w:color w:val="auto"/>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25AE6464">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1573" w:type="dxa"/>
            <w:tcBorders>
              <w:top w:val="single" w:color="auto" w:sz="4" w:space="0"/>
              <w:left w:val="single" w:color="auto" w:sz="4" w:space="0"/>
              <w:bottom w:val="single" w:color="auto" w:sz="4" w:space="0"/>
            </w:tcBorders>
          </w:tcPr>
          <w:p w14:paraId="1A0359F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7042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274042F8">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3BC18C8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5ED2033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453B7FF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4C99D94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09BDFFC4">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7B65BC2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3A535BF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68752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65A7FDA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6683AA7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6BCF48E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1C375C7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5989EF3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6868E20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1A3210A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4D7E6D5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0F6D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41C6F267">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0B2C449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4783CC5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6B8B93C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53B9D30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0EDCCED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360CE0D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67268B4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E4BF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55334B1C">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5116406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095F139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47F2169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190A6D9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2D349AA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5C89620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0BFC409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5DD5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auto" w:sz="4" w:space="0"/>
              <w:bottom w:val="single" w:color="auto" w:sz="4" w:space="0"/>
              <w:right w:val="single" w:color="auto" w:sz="4" w:space="0"/>
            </w:tcBorders>
          </w:tcPr>
          <w:p w14:paraId="0D8041F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839" w:type="dxa"/>
            <w:tcBorders>
              <w:top w:val="single" w:color="auto" w:sz="4" w:space="0"/>
              <w:left w:val="single" w:color="auto" w:sz="4" w:space="0"/>
              <w:bottom w:val="single" w:color="auto" w:sz="4" w:space="0"/>
              <w:right w:val="single" w:color="auto" w:sz="4" w:space="0"/>
            </w:tcBorders>
          </w:tcPr>
          <w:p w14:paraId="7D517E7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14:paraId="437D724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tcPr>
          <w:p w14:paraId="5115038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38" w:type="dxa"/>
            <w:tcBorders>
              <w:top w:val="single" w:color="auto" w:sz="4" w:space="0"/>
              <w:left w:val="single" w:color="auto" w:sz="4" w:space="0"/>
              <w:bottom w:val="single" w:color="auto" w:sz="4" w:space="0"/>
              <w:right w:val="single" w:color="auto" w:sz="4" w:space="0"/>
            </w:tcBorders>
          </w:tcPr>
          <w:p w14:paraId="0BB50A0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12" w:type="dxa"/>
            <w:tcBorders>
              <w:top w:val="single" w:color="auto" w:sz="4" w:space="0"/>
              <w:left w:val="single" w:color="auto" w:sz="4" w:space="0"/>
              <w:bottom w:val="single" w:color="auto" w:sz="4" w:space="0"/>
              <w:right w:val="single" w:color="auto" w:sz="4" w:space="0"/>
            </w:tcBorders>
          </w:tcPr>
          <w:p w14:paraId="726F6FE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14:paraId="29D4D8C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573" w:type="dxa"/>
            <w:tcBorders>
              <w:top w:val="single" w:color="auto" w:sz="4" w:space="0"/>
              <w:left w:val="single" w:color="auto" w:sz="4" w:space="0"/>
              <w:bottom w:val="single" w:color="auto" w:sz="4" w:space="0"/>
            </w:tcBorders>
          </w:tcPr>
          <w:p w14:paraId="769376A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5A25A5AB">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0C4462B2">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6B3121AB">
      <w:pPr>
        <w:pStyle w:val="34"/>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32A42A3D">
      <w:pPr>
        <w:pStyle w:val="34"/>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w:t>
      </w:r>
    </w:p>
    <w:p w14:paraId="10882D99">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1AA8D065">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r>
        <w:rPr>
          <w:rFonts w:hint="eastAsia" w:ascii="宋体" w:hAnsi="宋体"/>
          <w:color w:val="auto"/>
          <w:sz w:val="21"/>
          <w:szCs w:val="21"/>
          <w:highlight w:val="none"/>
        </w:rPr>
        <w:t>投标人名称（盖章）：</w:t>
      </w:r>
    </w:p>
    <w:p w14:paraId="2FD289AB">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7F8F2A06">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3D6023C7">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692D8155">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58FD3781">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7AB39312">
      <w:pPr>
        <w:keepNext w:val="0"/>
        <w:keepLines w:val="0"/>
        <w:pageBreakBefore w:val="0"/>
        <w:kinsoku/>
        <w:wordWrap/>
        <w:overflowPunct/>
        <w:topLinePunct w:val="0"/>
        <w:bidi w:val="0"/>
        <w:spacing w:line="360" w:lineRule="auto"/>
        <w:outlineLvl w:val="9"/>
        <w:rPr>
          <w:rFonts w:hint="eastAsia" w:asci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A8AF92C">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4B60BCB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5DF4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73A412D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46E0133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31C4AF4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0A6518E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2242985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3141E10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2AC9539D">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387D2B9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6591B49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3C6A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74FEF77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618178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61E3848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2A3E8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2790158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3A0E0C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28F4B8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862D0E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AE5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1512AFE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30B715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AC6D09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8350C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5B748E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F7116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385F0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FF6A20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E2B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1000E0B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602A16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56BC680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18D46A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F7ED9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BF4A3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A9AB4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0A797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80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206B94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E3D32D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D9EF9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57E9ED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6A8F61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E7F530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A4F42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4477F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1A2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48586A2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0E4BF11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1781CC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86F9F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B5F150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7EF6C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505C5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DF77C3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61F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A093D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30AB6A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69815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AC094A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05A45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13A44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5AD745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D62FE5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318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01B842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03CD0F1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52E8DC0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3EEA76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78E97E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D2E4F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98F73D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2DFF87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A5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27B47F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500BD75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04CF211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FB9725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08E4D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EBF5A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100AD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04923F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7F4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906BE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169D0C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33174C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76429D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0E3F2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7FD1F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03908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F25AEB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5B2B7E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721F440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009AEE83">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792A0159">
      <w:pPr>
        <w:spacing w:line="360" w:lineRule="auto"/>
        <w:ind w:left="420"/>
        <w:rPr>
          <w:rFonts w:hint="eastAsia" w:ascii="宋体" w:hAnsi="宋体" w:eastAsia="宋体" w:cs="宋体"/>
          <w:color w:val="auto"/>
          <w:sz w:val="21"/>
          <w:szCs w:val="21"/>
          <w:highlight w:val="none"/>
        </w:rPr>
      </w:pPr>
    </w:p>
    <w:p w14:paraId="48BFF35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2F8E580">
      <w:pPr>
        <w:spacing w:line="360" w:lineRule="auto"/>
        <w:ind w:left="420"/>
        <w:rPr>
          <w:rFonts w:hint="eastAsia" w:ascii="宋体" w:hAnsi="宋体" w:eastAsia="宋体" w:cs="宋体"/>
          <w:color w:val="auto"/>
          <w:sz w:val="21"/>
          <w:szCs w:val="21"/>
          <w:highlight w:val="none"/>
        </w:rPr>
      </w:pPr>
    </w:p>
    <w:p w14:paraId="1007756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1BC50BC">
      <w:pPr>
        <w:spacing w:line="360" w:lineRule="auto"/>
        <w:rPr>
          <w:rFonts w:hint="eastAsia" w:ascii="宋体" w:hAnsi="宋体" w:eastAsia="宋体" w:cs="宋体"/>
          <w:color w:val="auto"/>
          <w:sz w:val="21"/>
          <w:szCs w:val="21"/>
          <w:highlight w:val="none"/>
        </w:rPr>
      </w:pPr>
    </w:p>
    <w:p w14:paraId="2BAEC89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40D1CBC">
      <w:pPr>
        <w:snapToGrid w:val="0"/>
        <w:spacing w:before="50" w:after="50" w:line="360" w:lineRule="auto"/>
        <w:rPr>
          <w:rFonts w:hint="eastAsia" w:ascii="宋体" w:hAnsi="宋体" w:eastAsia="宋体" w:cs="宋体"/>
          <w:b/>
          <w:color w:val="auto"/>
          <w:sz w:val="21"/>
          <w:szCs w:val="21"/>
          <w:highlight w:val="none"/>
        </w:rPr>
      </w:pPr>
    </w:p>
    <w:p w14:paraId="3CA82C9E">
      <w:pPr>
        <w:keepNext w:val="0"/>
        <w:keepLines w:val="0"/>
        <w:pageBreakBefore w:val="0"/>
        <w:kinsoku/>
        <w:wordWrap/>
        <w:overflowPunct/>
        <w:topLinePunct w:val="0"/>
        <w:bidi w:val="0"/>
        <w:snapToGrid w:val="0"/>
        <w:spacing w:before="50" w:after="50" w:line="360" w:lineRule="auto"/>
        <w:outlineLvl w:val="9"/>
        <w:rPr>
          <w:rFonts w:ascii="宋体"/>
          <w:b/>
          <w:color w:val="auto"/>
          <w:sz w:val="21"/>
          <w:szCs w:val="21"/>
          <w:highlight w:val="none"/>
        </w:rPr>
      </w:pPr>
    </w:p>
    <w:p w14:paraId="046C4AC5">
      <w:pPr>
        <w:pStyle w:val="9"/>
        <w:keepNext w:val="0"/>
        <w:keepLines w:val="0"/>
        <w:pageBreakBefore w:val="0"/>
        <w:kinsoku/>
        <w:wordWrap/>
        <w:overflowPunct/>
        <w:topLinePunct w:val="0"/>
        <w:bidi w:val="0"/>
        <w:outlineLvl w:val="9"/>
        <w:rPr>
          <w:color w:val="auto"/>
          <w:highlight w:val="none"/>
        </w:rPr>
      </w:pPr>
    </w:p>
    <w:p w14:paraId="760F8948">
      <w:pPr>
        <w:keepNext w:val="0"/>
        <w:keepLines w:val="0"/>
        <w:pageBreakBefore w:val="0"/>
        <w:kinsoku/>
        <w:wordWrap/>
        <w:overflowPunct/>
        <w:topLinePunct w:val="0"/>
        <w:bidi w:val="0"/>
        <w:snapToGrid w:val="0"/>
        <w:spacing w:before="50" w:after="50"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39394CB9">
      <w:pPr>
        <w:keepNext w:val="0"/>
        <w:keepLines w:val="0"/>
        <w:pageBreakBefore w:val="0"/>
        <w:kinsoku/>
        <w:wordWrap/>
        <w:overflowPunct/>
        <w:topLinePunct w:val="0"/>
        <w:bidi w:val="0"/>
        <w:spacing w:line="360" w:lineRule="auto"/>
        <w:ind w:left="480"/>
        <w:jc w:val="center"/>
        <w:outlineLvl w:val="9"/>
        <w:rPr>
          <w:rFonts w:hint="eastAsia" w:ascii="宋体" w:eastAsia="宋体"/>
          <w:b/>
          <w:bCs/>
          <w:color w:val="auto"/>
          <w:sz w:val="32"/>
          <w:szCs w:val="32"/>
          <w:highlight w:val="none"/>
          <w:lang w:eastAsia="zh-CN"/>
        </w:rPr>
      </w:pPr>
      <w:r>
        <w:rPr>
          <w:rFonts w:hint="eastAsia" w:ascii="宋体" w:hAnsi="宋体"/>
          <w:b/>
          <w:bCs/>
          <w:color w:val="auto"/>
          <w:kern w:val="0"/>
          <w:sz w:val="32"/>
          <w:szCs w:val="32"/>
          <w:highlight w:val="none"/>
        </w:rPr>
        <w:t>技术需求响应表</w:t>
      </w:r>
    </w:p>
    <w:p w14:paraId="2FD6C8C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4F22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3CA0171">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1785" w:type="dxa"/>
            <w:vAlign w:val="center"/>
          </w:tcPr>
          <w:p w14:paraId="5B420E0A">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名称</w:t>
            </w:r>
          </w:p>
        </w:tc>
        <w:tc>
          <w:tcPr>
            <w:tcW w:w="1449" w:type="dxa"/>
            <w:vAlign w:val="center"/>
          </w:tcPr>
          <w:p w14:paraId="1E1D5A18">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规格型号</w:t>
            </w:r>
          </w:p>
        </w:tc>
        <w:tc>
          <w:tcPr>
            <w:tcW w:w="1560" w:type="dxa"/>
            <w:vAlign w:val="center"/>
          </w:tcPr>
          <w:p w14:paraId="45876041">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招标参数</w:t>
            </w:r>
          </w:p>
        </w:tc>
        <w:tc>
          <w:tcPr>
            <w:tcW w:w="1401" w:type="dxa"/>
            <w:vAlign w:val="center"/>
          </w:tcPr>
          <w:p w14:paraId="7849A1B0">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投标参数</w:t>
            </w:r>
          </w:p>
        </w:tc>
        <w:tc>
          <w:tcPr>
            <w:tcW w:w="1365" w:type="dxa"/>
            <w:vAlign w:val="center"/>
          </w:tcPr>
          <w:p w14:paraId="17742728">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偏离说明</w:t>
            </w:r>
          </w:p>
        </w:tc>
      </w:tr>
      <w:tr w14:paraId="6E96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81D834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5B7243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099D050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EEEDBD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7C153A9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785D9EF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23E7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812FA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344524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01F18E8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9C0B21F">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0F266B9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048504A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37D0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1D5072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4E3E3FA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50DE8FF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A17B17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5A2D00E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E84FCE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0DAE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D7E97F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71B4DB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1336E09B">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42E8C21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49CC94D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24B1C6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0C7A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78B10A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45FC3B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0C7DC67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0C0E4ED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0A4E97B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19321CE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4FE0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7A944D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4B23A4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2C1CBB1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CAC722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2D08D3A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73A1BD5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36F4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DA800F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65A030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5918636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1BB2FB1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02CD86F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3043CC9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bl>
    <w:p w14:paraId="007027CE">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5D798B0">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6AFCE4E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553D43BF">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23D84745">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EF4A7B7">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1F904E13">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67C0D90C">
      <w:pPr>
        <w:pStyle w:val="36"/>
        <w:keepNext w:val="0"/>
        <w:keepLines w:val="0"/>
        <w:pageBreakBefore w:val="0"/>
        <w:kinsoku/>
        <w:wordWrap/>
        <w:overflowPunct/>
        <w:topLinePunct w:val="0"/>
        <w:bidi w:val="0"/>
        <w:spacing w:line="360" w:lineRule="auto"/>
        <w:jc w:val="left"/>
        <w:outlineLvl w:val="9"/>
        <w:rPr>
          <w:rFonts w:ascii="宋体"/>
          <w:b/>
          <w:color w:val="auto"/>
          <w:sz w:val="28"/>
          <w:highlight w:val="none"/>
        </w:rPr>
      </w:pPr>
    </w:p>
    <w:p w14:paraId="7728396E">
      <w:pPr>
        <w:pStyle w:val="36"/>
        <w:keepNext w:val="0"/>
        <w:keepLines w:val="0"/>
        <w:pageBreakBefore w:val="0"/>
        <w:kinsoku/>
        <w:wordWrap/>
        <w:overflowPunct/>
        <w:topLinePunct w:val="0"/>
        <w:bidi w:val="0"/>
        <w:spacing w:line="360" w:lineRule="auto"/>
        <w:jc w:val="left"/>
        <w:outlineLvl w:val="9"/>
        <w:rPr>
          <w:rFonts w:hint="eastAsia" w:ascii="宋体" w:hAnsi="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7667AACB">
      <w:pPr>
        <w:pStyle w:val="36"/>
        <w:keepNext w:val="0"/>
        <w:keepLines w:val="0"/>
        <w:pageBreakBefore w:val="0"/>
        <w:kinsoku/>
        <w:wordWrap/>
        <w:overflowPunct/>
        <w:topLinePunct w:val="0"/>
        <w:bidi w:val="0"/>
        <w:spacing w:line="360" w:lineRule="auto"/>
        <w:jc w:val="left"/>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B8C375B">
      <w:pPr>
        <w:pStyle w:val="37"/>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414EC83B">
      <w:pPr>
        <w:pStyle w:val="37"/>
        <w:keepNext w:val="0"/>
        <w:keepLines w:val="0"/>
        <w:pageBreakBefore w:val="0"/>
        <w:kinsoku/>
        <w:wordWrap/>
        <w:overflowPunct/>
        <w:topLinePunct w:val="0"/>
        <w:bidi w:val="0"/>
        <w:spacing w:line="360" w:lineRule="auto"/>
        <w:jc w:val="center"/>
        <w:outlineLvl w:val="9"/>
        <w:rPr>
          <w:rFonts w:ascii="宋体" w:cs="Arial"/>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9A4D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3565C48">
            <w:pPr>
              <w:pStyle w:val="37"/>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double" w:color="auto" w:sz="4" w:space="0"/>
            </w:tcBorders>
          </w:tcPr>
          <w:p w14:paraId="3D621C08">
            <w:pPr>
              <w:pStyle w:val="37"/>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double" w:color="auto" w:sz="4" w:space="0"/>
            </w:tcBorders>
          </w:tcPr>
          <w:p w14:paraId="43CF14E1">
            <w:pPr>
              <w:pStyle w:val="37"/>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double" w:color="auto" w:sz="4" w:space="0"/>
              <w:right w:val="single" w:color="auto" w:sz="4" w:space="0"/>
            </w:tcBorders>
          </w:tcPr>
          <w:p w14:paraId="072D724B">
            <w:pPr>
              <w:pStyle w:val="37"/>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599B0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3576C29">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357FF66B">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68716D8">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6F9C3EED">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3618E0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86256B">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6FA45DB2">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238387F7">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2941B899">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38C6CA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D08884">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2B2600CD">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61E7FEC9">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5936588E">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38C2A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38CF6BD">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78E1ED0A">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3AE070D3">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32ED0E36">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75EBE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DED66F">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4F07C339">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686F4F49">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36A0A877">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5A63E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AE85D5">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6ADCD4ED">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28EA235E">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2B39C8F4">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0A170D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2FD5B80">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Borders>
              <w:bottom w:val="double" w:color="auto" w:sz="4" w:space="0"/>
            </w:tcBorders>
          </w:tcPr>
          <w:p w14:paraId="0181B475">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Borders>
              <w:bottom w:val="double" w:color="auto" w:sz="4" w:space="0"/>
            </w:tcBorders>
          </w:tcPr>
          <w:p w14:paraId="2FD6BECD">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bottom w:val="double" w:color="auto" w:sz="4" w:space="0"/>
              <w:right w:val="single" w:color="auto" w:sz="4" w:space="0"/>
            </w:tcBorders>
          </w:tcPr>
          <w:p w14:paraId="5C22B81B">
            <w:pPr>
              <w:pStyle w:val="37"/>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bl>
    <w:p w14:paraId="5B60A382">
      <w:pPr>
        <w:pStyle w:val="37"/>
        <w:keepNext w:val="0"/>
        <w:keepLines w:val="0"/>
        <w:pageBreakBefore w:val="0"/>
        <w:tabs>
          <w:tab w:val="left" w:pos="1050"/>
        </w:tabs>
        <w:kinsoku/>
        <w:wordWrap/>
        <w:overflowPunct/>
        <w:topLinePunct w:val="0"/>
        <w:bidi w:val="0"/>
        <w:spacing w:line="360" w:lineRule="auto"/>
        <w:outlineLvl w:val="9"/>
        <w:rPr>
          <w:rFonts w:ascii="仿宋_GB2312" w:hAnsi="宋体" w:eastAsia="仿宋_GB2312"/>
          <w:color w:val="auto"/>
          <w:sz w:val="24"/>
          <w:highlight w:val="none"/>
        </w:rPr>
      </w:pPr>
    </w:p>
    <w:p w14:paraId="5DAE65E8">
      <w:pPr>
        <w:pStyle w:val="37"/>
        <w:keepNext w:val="0"/>
        <w:keepLines w:val="0"/>
        <w:pageBreakBefore w:val="0"/>
        <w:tabs>
          <w:tab w:val="left" w:pos="1050"/>
        </w:tabs>
        <w:kinsoku/>
        <w:wordWrap/>
        <w:overflowPunct/>
        <w:topLinePunct w:val="0"/>
        <w:bidi w:val="0"/>
        <w:spacing w:line="360" w:lineRule="auto"/>
        <w:outlineLvl w:val="9"/>
        <w:rPr>
          <w:rFonts w:ascii="宋体"/>
          <w:color w:val="auto"/>
          <w:sz w:val="21"/>
          <w:szCs w:val="21"/>
          <w:highlight w:val="none"/>
        </w:rPr>
      </w:pPr>
      <w:r>
        <w:rPr>
          <w:rFonts w:hint="eastAsia" w:ascii="宋体" w:hAnsi="宋体"/>
          <w:b/>
          <w:color w:val="auto"/>
          <w:sz w:val="21"/>
          <w:szCs w:val="21"/>
          <w:highlight w:val="none"/>
        </w:rPr>
        <w:t>要求：</w:t>
      </w:r>
    </w:p>
    <w:p w14:paraId="12A52D59">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填写投标人获得资质、认证或企业信誉证书；</w:t>
      </w:r>
    </w:p>
    <w:p w14:paraId="3BC01F03">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14:paraId="54A75061">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27A0EEBF">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5368E4BB">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7753CCEC">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241CFE9F">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6667C966">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4841D650">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5CC393D3">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b/>
          <w:bCs/>
          <w:color w:val="auto"/>
          <w:spacing w:val="11"/>
          <w:sz w:val="21"/>
          <w:szCs w:val="21"/>
          <w:highlight w:val="none"/>
        </w:rPr>
      </w:pPr>
      <w:r>
        <w:rPr>
          <w:rFonts w:hint="eastAsia"/>
          <w:color w:val="auto"/>
          <w:sz w:val="21"/>
          <w:szCs w:val="21"/>
          <w:highlight w:val="none"/>
        </w:rPr>
        <w:t>日期</w:t>
      </w:r>
      <w:r>
        <w:rPr>
          <w:rFonts w:hint="eastAsia"/>
          <w:color w:val="auto"/>
          <w:sz w:val="21"/>
          <w:szCs w:val="21"/>
          <w:highlight w:val="none"/>
          <w:lang w:eastAsia="zh-CN"/>
        </w:rPr>
        <w:t>：</w:t>
      </w:r>
    </w:p>
    <w:p w14:paraId="6E291474">
      <w:pPr>
        <w:keepNext w:val="0"/>
        <w:keepLines w:val="0"/>
        <w:pageBreakBefore w:val="0"/>
        <w:kinsoku/>
        <w:wordWrap/>
        <w:overflowPunct/>
        <w:topLinePunct w:val="0"/>
        <w:bidi w:val="0"/>
        <w:spacing w:line="360" w:lineRule="auto"/>
        <w:outlineLvl w:val="9"/>
        <w:rPr>
          <w:rFonts w:ascii="宋体"/>
          <w:b/>
          <w:color w:val="auto"/>
          <w:sz w:val="24"/>
          <w:highlight w:val="none"/>
        </w:rPr>
      </w:pPr>
    </w:p>
    <w:p w14:paraId="0CE8942C">
      <w:pPr>
        <w:keepNext w:val="0"/>
        <w:keepLines w:val="0"/>
        <w:pageBreakBefore w:val="0"/>
        <w:kinsoku/>
        <w:wordWrap/>
        <w:overflowPunct/>
        <w:topLinePunct w:val="0"/>
        <w:bidi w:val="0"/>
        <w:spacing w:line="360" w:lineRule="auto"/>
        <w:outlineLvl w:val="9"/>
        <w:rPr>
          <w:rFonts w:ascii="宋体"/>
          <w:b/>
          <w:color w:val="auto"/>
          <w:sz w:val="28"/>
          <w:highlight w:val="none"/>
        </w:rPr>
      </w:pPr>
    </w:p>
    <w:p w14:paraId="7672D410">
      <w:pPr>
        <w:pStyle w:val="9"/>
        <w:keepNext w:val="0"/>
        <w:keepLines w:val="0"/>
        <w:pageBreakBefore w:val="0"/>
        <w:kinsoku/>
        <w:wordWrap/>
        <w:overflowPunct/>
        <w:topLinePunct w:val="0"/>
        <w:bidi w:val="0"/>
        <w:outlineLvl w:val="9"/>
        <w:rPr>
          <w:rFonts w:ascii="宋体"/>
          <w:b/>
          <w:color w:val="auto"/>
          <w:sz w:val="28"/>
          <w:highlight w:val="none"/>
        </w:rPr>
      </w:pPr>
    </w:p>
    <w:p w14:paraId="6B12E1EE">
      <w:pPr>
        <w:pStyle w:val="9"/>
        <w:keepNext w:val="0"/>
        <w:keepLines w:val="0"/>
        <w:pageBreakBefore w:val="0"/>
        <w:kinsoku/>
        <w:wordWrap/>
        <w:overflowPunct/>
        <w:topLinePunct w:val="0"/>
        <w:bidi w:val="0"/>
        <w:outlineLvl w:val="9"/>
        <w:rPr>
          <w:rFonts w:ascii="宋体"/>
          <w:b/>
          <w:color w:val="auto"/>
          <w:sz w:val="28"/>
          <w:highlight w:val="none"/>
        </w:rPr>
      </w:pPr>
    </w:p>
    <w:p w14:paraId="38A08615">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14:paraId="2FA37AF4">
      <w:pPr>
        <w:pStyle w:val="36"/>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14:paraId="5E63CEFC">
      <w:pPr>
        <w:pStyle w:val="36"/>
        <w:keepNext w:val="0"/>
        <w:keepLines w:val="0"/>
        <w:pageBreakBefore w:val="0"/>
        <w:kinsoku/>
        <w:wordWrap/>
        <w:overflowPunct/>
        <w:topLinePunct w:val="0"/>
        <w:bidi w:val="0"/>
        <w:spacing w:line="360" w:lineRule="auto"/>
        <w:jc w:val="center"/>
        <w:outlineLvl w:val="9"/>
        <w:rPr>
          <w:rFonts w:ascii="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2178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F21B319">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06F2287">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52E17E">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7830E10">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D34EC25">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DDBA8E9">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A5100AC">
            <w:pPr>
              <w:pStyle w:val="36"/>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项目单位名称</w:t>
            </w:r>
            <w:r>
              <w:rPr>
                <w:rFonts w:hint="eastAsia" w:ascii="宋体" w:hAnsi="宋体" w:cs="宋体"/>
                <w:b/>
                <w:bCs/>
                <w:color w:val="auto"/>
                <w:sz w:val="21"/>
                <w:szCs w:val="21"/>
                <w:highlight w:val="none"/>
                <w:lang w:eastAsia="zh-CN"/>
              </w:rPr>
              <w:t>及</w:t>
            </w:r>
            <w:r>
              <w:rPr>
                <w:rFonts w:hint="eastAsia" w:ascii="宋体" w:hAnsi="宋体" w:cs="宋体"/>
                <w:b/>
                <w:bCs/>
                <w:color w:val="auto"/>
                <w:sz w:val="21"/>
                <w:szCs w:val="21"/>
                <w:highlight w:val="none"/>
              </w:rPr>
              <w:t>联系人电话</w:t>
            </w:r>
          </w:p>
        </w:tc>
      </w:tr>
      <w:tr w14:paraId="3D32E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6AF14B8">
            <w:pPr>
              <w:pStyle w:val="36"/>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D8314E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305A3E5">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0B3F81C">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CA01B86">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E1108C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61FC36C">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276BC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3B907AC">
            <w:pPr>
              <w:pStyle w:val="36"/>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51504F1">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00CF15B">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D3FEB1E">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309C373">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AD4FD92">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CA8551A">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12A08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5BA9EAD">
            <w:pPr>
              <w:pStyle w:val="36"/>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229D5B6">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7F32168">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2883B58">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747609D">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BEAA1B8">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5627899">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5465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A050CFE">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8EE8D0B">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2FA24B0">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774A2C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8BAB775">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7AEB111">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D2D9B26">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43DA5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08C4953">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1B22A1AF">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B872987">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48357F8">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916F4C7">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F9354E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BCE2AF1">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4A94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17EF4B">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448954C">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36FC8C3">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40BC39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A695597">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34174B">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0E4A0E4">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2719D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CDBA4B8">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60A6E5D">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56828E2">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705F28F">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03183B2">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51DE9A7">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F3ADC7F">
            <w:pPr>
              <w:pStyle w:val="36"/>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bl>
    <w:p w14:paraId="083DF742">
      <w:pPr>
        <w:keepNext w:val="0"/>
        <w:keepLines w:val="0"/>
        <w:pageBreakBefore w:val="0"/>
        <w:kinsoku/>
        <w:wordWrap/>
        <w:overflowPunct/>
        <w:topLinePunct w:val="0"/>
        <w:autoSpaceDE w:val="0"/>
        <w:autoSpaceDN w:val="0"/>
        <w:bidi w:val="0"/>
        <w:adjustRightInd w:val="0"/>
        <w:spacing w:beforeLines="50" w:line="360" w:lineRule="auto"/>
        <w:outlineLvl w:val="9"/>
        <w:rPr>
          <w:rFonts w:ascii="宋体" w:cs="宋体"/>
          <w:b/>
          <w:color w:val="auto"/>
          <w:sz w:val="21"/>
          <w:szCs w:val="21"/>
          <w:highlight w:val="none"/>
        </w:rPr>
      </w:pPr>
      <w:r>
        <w:rPr>
          <w:rFonts w:hint="eastAsia" w:ascii="宋体" w:hAnsi="宋体" w:cs="宋体"/>
          <w:b/>
          <w:color w:val="auto"/>
          <w:sz w:val="21"/>
          <w:szCs w:val="21"/>
          <w:highlight w:val="none"/>
        </w:rPr>
        <w:t>要求：</w:t>
      </w:r>
    </w:p>
    <w:p w14:paraId="1CBFCD32">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ascii="宋体" w:cs="宋体"/>
          <w:b/>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业绩证明应提供证明材料（合同复印件可只提供首页、含金额页、盖章页并加盖投标人公章）；</w:t>
      </w:r>
    </w:p>
    <w:p w14:paraId="025DA530">
      <w:pPr>
        <w:keepNext w:val="0"/>
        <w:keepLines w:val="0"/>
        <w:pageBreakBefore w:val="0"/>
        <w:kinsoku/>
        <w:wordWrap/>
        <w:overflowPunct/>
        <w:topLinePunct w:val="0"/>
        <w:bidi w:val="0"/>
        <w:spacing w:line="360" w:lineRule="auto"/>
        <w:ind w:firstLine="424" w:firstLineChars="202"/>
        <w:jc w:val="left"/>
        <w:outlineLvl w:val="9"/>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报价供应商可按此表格式复制。</w:t>
      </w:r>
    </w:p>
    <w:p w14:paraId="408C7AFA">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110E428E">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36D2123E">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u w:val="single"/>
        </w:rPr>
      </w:pPr>
      <w:r>
        <w:rPr>
          <w:rFonts w:hint="eastAsia" w:ascii="宋体" w:hAnsi="宋体" w:cs="宋体"/>
          <w:color w:val="auto"/>
          <w:sz w:val="21"/>
          <w:szCs w:val="21"/>
          <w:highlight w:val="none"/>
        </w:rPr>
        <w:t>投标人名称（盖章）：</w:t>
      </w:r>
    </w:p>
    <w:p w14:paraId="09C5CFFC">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rPr>
      </w:pPr>
    </w:p>
    <w:p w14:paraId="704F3BC8">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32EB355C">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19A180AA">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rPr>
        <w:t>日期：</w:t>
      </w:r>
    </w:p>
    <w:p w14:paraId="336F4AA1">
      <w:pPr>
        <w:keepNext w:val="0"/>
        <w:keepLines w:val="0"/>
        <w:pageBreakBefore w:val="0"/>
        <w:kinsoku/>
        <w:wordWrap/>
        <w:overflowPunct/>
        <w:topLinePunct w:val="0"/>
        <w:bidi w:val="0"/>
        <w:spacing w:line="360" w:lineRule="auto"/>
        <w:jc w:val="center"/>
        <w:outlineLvl w:val="9"/>
        <w:rPr>
          <w:rFonts w:ascii="仿宋" w:hAnsi="仿宋" w:eastAsia="仿宋"/>
          <w:snapToGrid w:val="0"/>
          <w:color w:val="auto"/>
          <w:kern w:val="0"/>
          <w:sz w:val="21"/>
          <w:szCs w:val="21"/>
          <w:highlight w:val="none"/>
        </w:rPr>
      </w:pPr>
    </w:p>
    <w:p w14:paraId="7C5383BE">
      <w:pPr>
        <w:pStyle w:val="37"/>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4298F9E4">
      <w:pPr>
        <w:pStyle w:val="37"/>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7896CB20">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14:paraId="28926435">
      <w:pPr>
        <w:pStyle w:val="37"/>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资信及商务需求响应表</w:t>
      </w:r>
    </w:p>
    <w:p w14:paraId="73F4D974">
      <w:pPr>
        <w:keepNext w:val="0"/>
        <w:keepLines w:val="0"/>
        <w:pageBreakBefore w:val="0"/>
        <w:kinsoku/>
        <w:wordWrap/>
        <w:overflowPunct/>
        <w:topLinePunct w:val="0"/>
        <w:bidi w:val="0"/>
        <w:spacing w:line="360" w:lineRule="auto"/>
        <w:ind w:left="481" w:leftChars="229" w:firstLine="949" w:firstLineChars="450"/>
        <w:outlineLvl w:val="9"/>
        <w:rPr>
          <w:rFonts w:ascii="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42D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EDE32D7">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2029" w:type="dxa"/>
            <w:vAlign w:val="center"/>
          </w:tcPr>
          <w:p w14:paraId="488309E6">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2E82F367">
            <w:pPr>
              <w:keepNext w:val="0"/>
              <w:keepLines w:val="0"/>
              <w:pageBreakBefore w:val="0"/>
              <w:kinsoku/>
              <w:wordWrap/>
              <w:overflowPunct/>
              <w:topLinePunct w:val="0"/>
              <w:bidi w:val="0"/>
              <w:spacing w:line="360" w:lineRule="auto"/>
              <w:ind w:left="53" w:leftChars="25" w:firstLine="211" w:firstLineChars="100"/>
              <w:outlineLvl w:val="9"/>
              <w:rPr>
                <w:rFonts w:ascii="宋体"/>
                <w:b/>
                <w:color w:val="auto"/>
                <w:sz w:val="21"/>
                <w:szCs w:val="21"/>
                <w:highlight w:val="none"/>
              </w:rPr>
            </w:pPr>
            <w:r>
              <w:rPr>
                <w:rFonts w:hint="eastAsia" w:ascii="宋体" w:hAnsi="宋体"/>
                <w:b/>
                <w:color w:val="auto"/>
                <w:sz w:val="21"/>
                <w:szCs w:val="21"/>
                <w:highlight w:val="none"/>
              </w:rPr>
              <w:t>招标需求</w:t>
            </w:r>
          </w:p>
        </w:tc>
        <w:tc>
          <w:tcPr>
            <w:tcW w:w="1365" w:type="dxa"/>
            <w:vAlign w:val="center"/>
          </w:tcPr>
          <w:p w14:paraId="4A3B529A">
            <w:pPr>
              <w:keepNext w:val="0"/>
              <w:keepLines w:val="0"/>
              <w:pageBreakBefore w:val="0"/>
              <w:kinsoku/>
              <w:wordWrap/>
              <w:overflowPunct/>
              <w:topLinePunct w:val="0"/>
              <w:bidi w:val="0"/>
              <w:spacing w:line="360" w:lineRule="auto"/>
              <w:ind w:left="152"/>
              <w:outlineLvl w:val="9"/>
              <w:rPr>
                <w:rFonts w:ascii="宋体"/>
                <w:b/>
                <w:color w:val="auto"/>
                <w:sz w:val="21"/>
                <w:szCs w:val="21"/>
                <w:highlight w:val="none"/>
              </w:rPr>
            </w:pPr>
            <w:r>
              <w:rPr>
                <w:rFonts w:hint="eastAsia" w:ascii="宋体" w:hAnsi="宋体"/>
                <w:b/>
                <w:color w:val="auto"/>
                <w:sz w:val="21"/>
                <w:szCs w:val="21"/>
                <w:highlight w:val="none"/>
              </w:rPr>
              <w:t>是否响应</w:t>
            </w:r>
          </w:p>
        </w:tc>
        <w:tc>
          <w:tcPr>
            <w:tcW w:w="2625" w:type="dxa"/>
            <w:vAlign w:val="center"/>
          </w:tcPr>
          <w:p w14:paraId="67478AE6">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投标人的承诺或说明</w:t>
            </w:r>
          </w:p>
        </w:tc>
      </w:tr>
      <w:tr w14:paraId="1EC5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5B2F07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1882147D">
            <w:pPr>
              <w:keepNext w:val="0"/>
              <w:keepLines w:val="0"/>
              <w:pageBreakBefore w:val="0"/>
              <w:kinsoku/>
              <w:wordWrap/>
              <w:overflowPunct/>
              <w:topLinePunct w:val="0"/>
              <w:bidi w:val="0"/>
              <w:snapToGrid w:val="0"/>
              <w:jc w:val="center"/>
              <w:outlineLvl w:val="9"/>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工期</w:t>
            </w:r>
          </w:p>
        </w:tc>
        <w:tc>
          <w:tcPr>
            <w:tcW w:w="1541" w:type="dxa"/>
            <w:vAlign w:val="center"/>
          </w:tcPr>
          <w:p w14:paraId="75DC726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F02E8E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4F9AA97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162B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6B89E6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404AE07A">
            <w:pPr>
              <w:keepNext w:val="0"/>
              <w:keepLines w:val="0"/>
              <w:pageBreakBefore w:val="0"/>
              <w:kinsoku/>
              <w:wordWrap/>
              <w:overflowPunct/>
              <w:topLinePunct w:val="0"/>
              <w:bidi w:val="0"/>
              <w:snapToGrid w:val="0"/>
              <w:jc w:val="center"/>
              <w:outlineLvl w:val="9"/>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付款方式</w:t>
            </w:r>
          </w:p>
        </w:tc>
        <w:tc>
          <w:tcPr>
            <w:tcW w:w="1541" w:type="dxa"/>
            <w:vAlign w:val="center"/>
          </w:tcPr>
          <w:p w14:paraId="3918F86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0CD8C8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5E67C61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0DA8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C66907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133DCF79">
            <w:pPr>
              <w:keepNext w:val="0"/>
              <w:keepLines w:val="0"/>
              <w:pageBreakBefore w:val="0"/>
              <w:kinsoku/>
              <w:wordWrap/>
              <w:overflowPunct/>
              <w:topLinePunct w:val="0"/>
              <w:bidi w:val="0"/>
              <w:snapToGrid w:val="0"/>
              <w:jc w:val="center"/>
              <w:outlineLvl w:val="9"/>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质保期</w:t>
            </w:r>
          </w:p>
        </w:tc>
        <w:tc>
          <w:tcPr>
            <w:tcW w:w="1541" w:type="dxa"/>
            <w:vAlign w:val="center"/>
          </w:tcPr>
          <w:p w14:paraId="64E4815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609892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7D0B5E0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2BE4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0931C2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007F7AEB">
            <w:pPr>
              <w:keepNext w:val="0"/>
              <w:keepLines w:val="0"/>
              <w:pageBreakBefore w:val="0"/>
              <w:kinsoku/>
              <w:wordWrap/>
              <w:overflowPunct/>
              <w:topLinePunct w:val="0"/>
              <w:bidi w:val="0"/>
              <w:snapToGrid w:val="0"/>
              <w:jc w:val="center"/>
              <w:outlineLvl w:val="9"/>
              <w:rPr>
                <w:rFonts w:ascii="宋体"/>
                <w:color w:val="auto"/>
                <w:sz w:val="21"/>
                <w:szCs w:val="21"/>
                <w:highlight w:val="none"/>
              </w:rPr>
            </w:pPr>
            <w:r>
              <w:rPr>
                <w:rFonts w:hint="eastAsia" w:ascii="宋体" w:hAnsi="宋体"/>
                <w:color w:val="auto"/>
                <w:sz w:val="21"/>
                <w:szCs w:val="21"/>
                <w:highlight w:val="none"/>
              </w:rPr>
              <w:t>……</w:t>
            </w:r>
          </w:p>
        </w:tc>
        <w:tc>
          <w:tcPr>
            <w:tcW w:w="1541" w:type="dxa"/>
            <w:vAlign w:val="center"/>
          </w:tcPr>
          <w:p w14:paraId="4BC98E3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4D62535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39FD5A9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25A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DEB78F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22E2667E">
            <w:pPr>
              <w:keepNext w:val="0"/>
              <w:keepLines w:val="0"/>
              <w:pageBreakBefore w:val="0"/>
              <w:kinsoku/>
              <w:wordWrap/>
              <w:overflowPunct/>
              <w:topLinePunct w:val="0"/>
              <w:bidi w:val="0"/>
              <w:snapToGrid w:val="0"/>
              <w:jc w:val="center"/>
              <w:outlineLvl w:val="9"/>
              <w:rPr>
                <w:rFonts w:ascii="宋体"/>
                <w:color w:val="auto"/>
                <w:sz w:val="21"/>
                <w:szCs w:val="21"/>
                <w:highlight w:val="none"/>
              </w:rPr>
            </w:pPr>
          </w:p>
        </w:tc>
        <w:tc>
          <w:tcPr>
            <w:tcW w:w="1541" w:type="dxa"/>
            <w:vAlign w:val="center"/>
          </w:tcPr>
          <w:p w14:paraId="1F81418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7F77D1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2E2864F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13D1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716D3BB">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22FD26C5">
            <w:pPr>
              <w:keepNext w:val="0"/>
              <w:keepLines w:val="0"/>
              <w:pageBreakBefore w:val="0"/>
              <w:kinsoku/>
              <w:wordWrap/>
              <w:overflowPunct/>
              <w:topLinePunct w:val="0"/>
              <w:bidi w:val="0"/>
              <w:snapToGrid w:val="0"/>
              <w:spacing w:line="360" w:lineRule="auto"/>
              <w:jc w:val="center"/>
              <w:outlineLvl w:val="9"/>
              <w:rPr>
                <w:rFonts w:ascii="宋体"/>
                <w:color w:val="auto"/>
                <w:sz w:val="21"/>
                <w:szCs w:val="21"/>
                <w:highlight w:val="none"/>
              </w:rPr>
            </w:pPr>
          </w:p>
        </w:tc>
        <w:tc>
          <w:tcPr>
            <w:tcW w:w="1541" w:type="dxa"/>
            <w:vAlign w:val="center"/>
          </w:tcPr>
          <w:p w14:paraId="0693242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82A3556">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09442D0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bl>
    <w:p w14:paraId="7AB5ADC1">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2AEEA1EF">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0228995">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DAC88E2">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B4B9A5D">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p>
    <w:p w14:paraId="2F66F0A4">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u w:val="single"/>
        </w:rPr>
      </w:pPr>
      <w:r>
        <w:rPr>
          <w:rFonts w:hint="eastAsia" w:ascii="宋体" w:hAnsi="宋体"/>
          <w:color w:val="auto"/>
          <w:sz w:val="21"/>
          <w:szCs w:val="21"/>
          <w:highlight w:val="none"/>
        </w:rPr>
        <w:t>日期：</w:t>
      </w:r>
    </w:p>
    <w:p w14:paraId="3CF86A2A">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0B36EF71">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0968ABAE">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21C88D3C">
      <w:pPr>
        <w:pStyle w:val="9"/>
        <w:keepNext w:val="0"/>
        <w:keepLines w:val="0"/>
        <w:pageBreakBefore w:val="0"/>
        <w:kinsoku/>
        <w:wordWrap/>
        <w:overflowPunct/>
        <w:topLinePunct w:val="0"/>
        <w:bidi w:val="0"/>
        <w:outlineLvl w:val="9"/>
        <w:rPr>
          <w:rFonts w:ascii="宋体"/>
          <w:b/>
          <w:color w:val="auto"/>
          <w:sz w:val="28"/>
          <w:highlight w:val="none"/>
        </w:rPr>
      </w:pPr>
    </w:p>
    <w:p w14:paraId="2194D096">
      <w:pPr>
        <w:pStyle w:val="9"/>
        <w:keepNext w:val="0"/>
        <w:keepLines w:val="0"/>
        <w:pageBreakBefore w:val="0"/>
        <w:kinsoku/>
        <w:wordWrap/>
        <w:overflowPunct/>
        <w:topLinePunct w:val="0"/>
        <w:bidi w:val="0"/>
        <w:outlineLvl w:val="9"/>
        <w:rPr>
          <w:rFonts w:ascii="宋体"/>
          <w:b/>
          <w:color w:val="auto"/>
          <w:sz w:val="28"/>
          <w:highlight w:val="none"/>
        </w:rPr>
      </w:pPr>
    </w:p>
    <w:p w14:paraId="13F30A42">
      <w:pPr>
        <w:keepNext w:val="0"/>
        <w:keepLines w:val="0"/>
        <w:pageBreakBefore w:val="0"/>
        <w:tabs>
          <w:tab w:val="left" w:pos="2460"/>
        </w:tabs>
        <w:kinsoku/>
        <w:wordWrap/>
        <w:overflowPunct/>
        <w:topLinePunct w:val="0"/>
        <w:bidi w:val="0"/>
        <w:spacing w:line="360" w:lineRule="auto"/>
        <w:outlineLvl w:val="9"/>
        <w:rPr>
          <w:rFonts w:hint="eastAsia" w:ascii="宋体" w:hAnsi="宋体"/>
          <w:b/>
          <w:color w:val="auto"/>
          <w:sz w:val="28"/>
          <w:highlight w:val="none"/>
        </w:rPr>
      </w:pPr>
    </w:p>
    <w:p w14:paraId="6A3D25AA">
      <w:pPr>
        <w:pStyle w:val="45"/>
        <w:keepNext w:val="0"/>
        <w:keepLines w:val="0"/>
        <w:pageBreakBefore w:val="0"/>
        <w:kinsoku/>
        <w:wordWrap/>
        <w:overflowPunct/>
        <w:topLinePunct w:val="0"/>
        <w:bidi w:val="0"/>
        <w:outlineLvl w:val="9"/>
        <w:rPr>
          <w:rFonts w:hint="eastAsia"/>
          <w:color w:val="auto"/>
          <w:highlight w:val="none"/>
        </w:rPr>
      </w:pPr>
    </w:p>
    <w:p w14:paraId="35F036DD">
      <w:pPr>
        <w:keepNext w:val="0"/>
        <w:keepLines w:val="0"/>
        <w:pageBreakBefore w:val="0"/>
        <w:kinsoku/>
        <w:wordWrap/>
        <w:overflowPunct/>
        <w:topLinePunct w:val="0"/>
        <w:bidi w:val="0"/>
        <w:outlineLvl w:val="9"/>
        <w:rPr>
          <w:rFonts w:hint="eastAsia"/>
          <w:color w:val="auto"/>
          <w:highlight w:val="none"/>
        </w:rPr>
      </w:pPr>
    </w:p>
    <w:p w14:paraId="036668F4">
      <w:pPr>
        <w:keepNext w:val="0"/>
        <w:keepLines w:val="0"/>
        <w:pageBreakBefore w:val="0"/>
        <w:tabs>
          <w:tab w:val="left" w:pos="2460"/>
        </w:tabs>
        <w:kinsoku/>
        <w:wordWrap/>
        <w:overflowPunct/>
        <w:topLinePunct w:val="0"/>
        <w:bidi w:val="0"/>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14:paraId="280DAB07">
      <w:pPr>
        <w:keepNext w:val="0"/>
        <w:keepLines w:val="0"/>
        <w:pageBreakBefore w:val="0"/>
        <w:kinsoku/>
        <w:wordWrap/>
        <w:overflowPunct/>
        <w:topLinePunct w:val="0"/>
        <w:bidi w:val="0"/>
        <w:spacing w:line="360" w:lineRule="auto"/>
        <w:ind w:firstLine="435"/>
        <w:jc w:val="center"/>
        <w:outlineLvl w:val="9"/>
        <w:rPr>
          <w:rFonts w:ascii="宋体"/>
          <w:b/>
          <w:color w:val="auto"/>
          <w:sz w:val="32"/>
          <w:szCs w:val="32"/>
          <w:highlight w:val="none"/>
        </w:rPr>
      </w:pPr>
      <w:r>
        <w:rPr>
          <w:rFonts w:hint="eastAsia" w:ascii="宋体" w:hAnsi="宋体"/>
          <w:b/>
          <w:color w:val="auto"/>
          <w:sz w:val="32"/>
          <w:szCs w:val="32"/>
          <w:highlight w:val="none"/>
        </w:rPr>
        <w:t>售后服务情况表</w:t>
      </w:r>
    </w:p>
    <w:p w14:paraId="3D795EFD">
      <w:pPr>
        <w:keepNext w:val="0"/>
        <w:keepLines w:val="0"/>
        <w:pageBreakBefore w:val="0"/>
        <w:kinsoku/>
        <w:wordWrap/>
        <w:overflowPunct/>
        <w:topLinePunct w:val="0"/>
        <w:bidi w:val="0"/>
        <w:spacing w:line="360" w:lineRule="auto"/>
        <w:ind w:firstLine="435"/>
        <w:jc w:val="center"/>
        <w:outlineLvl w:val="9"/>
        <w:rPr>
          <w:rFonts w:ascii="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43FA3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06A8355">
            <w:pPr>
              <w:pStyle w:val="38"/>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序号</w:t>
            </w:r>
          </w:p>
        </w:tc>
        <w:tc>
          <w:tcPr>
            <w:tcW w:w="2355" w:type="dxa"/>
            <w:tcBorders>
              <w:top w:val="single" w:color="auto" w:sz="4" w:space="0"/>
            </w:tcBorders>
            <w:vAlign w:val="center"/>
          </w:tcPr>
          <w:p w14:paraId="2A95EF98">
            <w:pPr>
              <w:pStyle w:val="38"/>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项目</w:t>
            </w:r>
          </w:p>
        </w:tc>
        <w:tc>
          <w:tcPr>
            <w:tcW w:w="4061" w:type="dxa"/>
            <w:tcBorders>
              <w:top w:val="single" w:color="auto" w:sz="4" w:space="0"/>
            </w:tcBorders>
            <w:vAlign w:val="center"/>
          </w:tcPr>
          <w:p w14:paraId="51C7F827">
            <w:pPr>
              <w:pStyle w:val="38"/>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投标人情况</w:t>
            </w:r>
          </w:p>
        </w:tc>
        <w:tc>
          <w:tcPr>
            <w:tcW w:w="1373" w:type="dxa"/>
            <w:tcBorders>
              <w:top w:val="single" w:color="auto" w:sz="4" w:space="0"/>
            </w:tcBorders>
            <w:vAlign w:val="center"/>
          </w:tcPr>
          <w:p w14:paraId="17853297">
            <w:pPr>
              <w:pStyle w:val="38"/>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备注</w:t>
            </w:r>
          </w:p>
        </w:tc>
      </w:tr>
      <w:tr w14:paraId="48920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0E5DD46">
            <w:pPr>
              <w:pStyle w:val="38"/>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1</w:t>
            </w:r>
          </w:p>
        </w:tc>
        <w:tc>
          <w:tcPr>
            <w:tcW w:w="2355" w:type="dxa"/>
            <w:vAlign w:val="center"/>
          </w:tcPr>
          <w:p w14:paraId="413F6B1C">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lang w:val="en-US" w:eastAsia="zh-CN"/>
              </w:rPr>
              <w:t>质保期</w:t>
            </w:r>
            <w:r>
              <w:rPr>
                <w:rFonts w:hint="eastAsia" w:ascii="宋体" w:hAnsi="宋体" w:cs="Arial"/>
                <w:bCs/>
                <w:color w:val="auto"/>
                <w:sz w:val="21"/>
                <w:szCs w:val="21"/>
                <w:highlight w:val="none"/>
              </w:rPr>
              <w:t>内售后服务情况</w:t>
            </w:r>
            <w:r>
              <w:rPr>
                <w:rFonts w:hint="eastAsia" w:ascii="宋体" w:hAnsi="宋体" w:cs="Arial"/>
                <w:bCs/>
                <w:color w:val="auto"/>
                <w:sz w:val="21"/>
                <w:szCs w:val="21"/>
                <w:highlight w:val="none"/>
                <w:lang w:eastAsia="zh-CN"/>
              </w:rPr>
              <w:t>（</w:t>
            </w:r>
            <w:r>
              <w:rPr>
                <w:rFonts w:hint="eastAsia" w:ascii="宋体" w:hAnsi="宋体" w:cs="Arial"/>
                <w:bCs/>
                <w:color w:val="auto"/>
                <w:sz w:val="21"/>
                <w:szCs w:val="21"/>
                <w:highlight w:val="none"/>
              </w:rPr>
              <w:t>服务方式、服务网点、售后服务的内容和措施等等，可用附页和宣传材料</w:t>
            </w:r>
            <w:r>
              <w:rPr>
                <w:rFonts w:hint="eastAsia" w:ascii="宋体" w:hAnsi="宋体" w:cs="Arial"/>
                <w:bCs/>
                <w:color w:val="auto"/>
                <w:sz w:val="21"/>
                <w:szCs w:val="21"/>
                <w:highlight w:val="none"/>
                <w:lang w:eastAsia="zh-CN"/>
              </w:rPr>
              <w:t>）</w:t>
            </w:r>
          </w:p>
        </w:tc>
        <w:tc>
          <w:tcPr>
            <w:tcW w:w="4061" w:type="dxa"/>
          </w:tcPr>
          <w:p w14:paraId="3B34FFAF">
            <w:pPr>
              <w:pStyle w:val="38"/>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0B20389E">
            <w:pPr>
              <w:pStyle w:val="38"/>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7994D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F695D0D">
            <w:pPr>
              <w:pStyle w:val="38"/>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2</w:t>
            </w:r>
          </w:p>
        </w:tc>
        <w:tc>
          <w:tcPr>
            <w:tcW w:w="2355" w:type="dxa"/>
            <w:vAlign w:val="center"/>
          </w:tcPr>
          <w:p w14:paraId="0955C436">
            <w:pPr>
              <w:pStyle w:val="38"/>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r>
              <w:rPr>
                <w:rFonts w:hint="eastAsia" w:ascii="宋体" w:hAnsi="宋体" w:cs="Arial"/>
                <w:bCs/>
                <w:color w:val="auto"/>
                <w:sz w:val="21"/>
                <w:szCs w:val="21"/>
                <w:highlight w:val="none"/>
                <w:lang w:val="en-US" w:eastAsia="zh-CN"/>
              </w:rPr>
              <w:t>质保期满</w:t>
            </w:r>
            <w:r>
              <w:rPr>
                <w:rFonts w:hint="eastAsia" w:ascii="宋体" w:hAnsi="宋体" w:cs="Arial"/>
                <w:bCs/>
                <w:color w:val="auto"/>
                <w:sz w:val="21"/>
                <w:szCs w:val="21"/>
                <w:highlight w:val="none"/>
              </w:rPr>
              <w:t>后售后服务</w:t>
            </w:r>
          </w:p>
        </w:tc>
        <w:tc>
          <w:tcPr>
            <w:tcW w:w="4061" w:type="dxa"/>
          </w:tcPr>
          <w:p w14:paraId="16F242C9">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11A8F1C2">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0883E336">
            <w:pPr>
              <w:pStyle w:val="38"/>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6DEB46FE">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30ECF70E">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34D13081">
            <w:pPr>
              <w:pStyle w:val="38"/>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29E4C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3EAEC59">
            <w:pPr>
              <w:pStyle w:val="38"/>
              <w:keepNext w:val="0"/>
              <w:keepLines w:val="0"/>
              <w:pageBreakBefore w:val="0"/>
              <w:widowControl/>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3</w:t>
            </w:r>
          </w:p>
        </w:tc>
        <w:tc>
          <w:tcPr>
            <w:tcW w:w="2355" w:type="dxa"/>
            <w:vAlign w:val="center"/>
          </w:tcPr>
          <w:p w14:paraId="3C6FCD4B">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tcPr>
          <w:p w14:paraId="13141131">
            <w:pPr>
              <w:pStyle w:val="38"/>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4D897D60">
            <w:pPr>
              <w:pStyle w:val="38"/>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c>
          <w:tcPr>
            <w:tcW w:w="1373" w:type="dxa"/>
          </w:tcPr>
          <w:p w14:paraId="22BF250A">
            <w:pPr>
              <w:pStyle w:val="38"/>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0B81C014">
            <w:pPr>
              <w:pStyle w:val="38"/>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045A94F9">
            <w:pPr>
              <w:pStyle w:val="38"/>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r>
      <w:tr w14:paraId="6F326A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B1641F6">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2355" w:type="dxa"/>
            <w:tcBorders>
              <w:bottom w:val="single" w:color="auto" w:sz="4" w:space="0"/>
            </w:tcBorders>
            <w:vAlign w:val="center"/>
          </w:tcPr>
          <w:p w14:paraId="7D62CB65">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4061" w:type="dxa"/>
            <w:tcBorders>
              <w:bottom w:val="single" w:color="auto" w:sz="4" w:space="0"/>
            </w:tcBorders>
          </w:tcPr>
          <w:p w14:paraId="38BC695C">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c>
          <w:tcPr>
            <w:tcW w:w="1373" w:type="dxa"/>
            <w:tcBorders>
              <w:bottom w:val="single" w:color="auto" w:sz="4" w:space="0"/>
            </w:tcBorders>
          </w:tcPr>
          <w:p w14:paraId="1DC15355">
            <w:pPr>
              <w:pStyle w:val="38"/>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r>
    </w:tbl>
    <w:p w14:paraId="457431B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4CF6995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254708F3">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34C36A8">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77EA34C1">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71E736E1">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30035C38">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4D2B95C9">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07187DD5">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r>
        <w:rPr>
          <w:rFonts w:hint="eastAsia" w:ascii="宋体" w:hAnsi="宋体"/>
          <w:color w:val="auto"/>
          <w:sz w:val="21"/>
          <w:szCs w:val="21"/>
          <w:highlight w:val="none"/>
        </w:rPr>
        <w:t>日期：</w:t>
      </w:r>
    </w:p>
    <w:p w14:paraId="4AFFB7E8">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p>
    <w:p w14:paraId="4E0A29A5">
      <w:pPr>
        <w:pStyle w:val="39"/>
        <w:keepNext w:val="0"/>
        <w:keepLines w:val="0"/>
        <w:pageBreakBefore w:val="0"/>
        <w:kinsoku/>
        <w:wordWrap/>
        <w:overflowPunct/>
        <w:topLinePunct w:val="0"/>
        <w:bidi w:val="0"/>
        <w:spacing w:line="360" w:lineRule="auto"/>
        <w:outlineLvl w:val="9"/>
        <w:rPr>
          <w:rFonts w:hAnsi="宋体"/>
          <w:b/>
          <w:color w:val="auto"/>
          <w:sz w:val="28"/>
          <w:szCs w:val="28"/>
          <w:highlight w:val="none"/>
        </w:rPr>
      </w:pPr>
    </w:p>
    <w:p w14:paraId="0E9B3D0D">
      <w:pPr>
        <w:keepNext w:val="0"/>
        <w:keepLines w:val="0"/>
        <w:pageBreakBefore w:val="0"/>
        <w:kinsoku/>
        <w:wordWrap/>
        <w:overflowPunct/>
        <w:topLinePunct w:val="0"/>
        <w:bidi w:val="0"/>
        <w:spacing w:line="360" w:lineRule="auto"/>
        <w:ind w:right="-110"/>
        <w:jc w:val="left"/>
        <w:outlineLvl w:val="9"/>
        <w:rPr>
          <w:rFonts w:ascii="宋体"/>
          <w:b/>
          <w:color w:val="auto"/>
          <w:sz w:val="28"/>
          <w:highlight w:val="none"/>
        </w:rPr>
      </w:pPr>
    </w:p>
    <w:p w14:paraId="78C3DED5">
      <w:pPr>
        <w:keepNext w:val="0"/>
        <w:keepLines w:val="0"/>
        <w:pageBreakBefore w:val="0"/>
        <w:kinsoku/>
        <w:wordWrap/>
        <w:overflowPunct/>
        <w:topLinePunct w:val="0"/>
        <w:bidi w:val="0"/>
        <w:spacing w:line="360" w:lineRule="auto"/>
        <w:ind w:right="-110"/>
        <w:jc w:val="left"/>
        <w:outlineLvl w:val="9"/>
        <w:rPr>
          <w:rFonts w:hint="eastAsia" w:ascii="宋体" w:eastAsia="宋体"/>
          <w:color w:val="auto"/>
          <w:spacing w:val="40"/>
          <w:sz w:val="52"/>
          <w:szCs w:val="52"/>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4</w:t>
      </w:r>
    </w:p>
    <w:p w14:paraId="6641A915">
      <w:pPr>
        <w:keepNext w:val="0"/>
        <w:keepLines w:val="0"/>
        <w:pageBreakBefore w:val="0"/>
        <w:shd w:val="clear"/>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F87602E">
      <w:pPr>
        <w:keepNext w:val="0"/>
        <w:keepLines w:val="0"/>
        <w:pageBreakBefore w:val="0"/>
        <w:shd w:val="clear"/>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7C14B075">
      <w:pPr>
        <w:keepNext w:val="0"/>
        <w:keepLines w:val="0"/>
        <w:pageBreakBefore w:val="0"/>
        <w:shd w:val="clear"/>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7B7B4D72">
      <w:pPr>
        <w:keepNext w:val="0"/>
        <w:keepLines w:val="0"/>
        <w:pageBreakBefore w:val="0"/>
        <w:shd w:val="clear"/>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A7764BB">
      <w:pPr>
        <w:keepNext w:val="0"/>
        <w:keepLines w:val="0"/>
        <w:pageBreakBefore w:val="0"/>
        <w:shd w:val="clear"/>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2488FD3">
      <w:pPr>
        <w:keepNext w:val="0"/>
        <w:keepLines w:val="0"/>
        <w:pageBreakBefore w:val="0"/>
        <w:shd w:val="clear"/>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D4FC8D3">
      <w:pPr>
        <w:keepNext w:val="0"/>
        <w:keepLines w:val="0"/>
        <w:pageBreakBefore w:val="0"/>
        <w:shd w:val="clear"/>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07175CB">
      <w:pPr>
        <w:keepNext w:val="0"/>
        <w:keepLines w:val="0"/>
        <w:pageBreakBefore w:val="0"/>
        <w:shd w:val="clear"/>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cs="宋体"/>
          <w:b/>
          <w:color w:val="auto"/>
          <w:spacing w:val="40"/>
          <w:sz w:val="28"/>
          <w:szCs w:val="28"/>
          <w:highlight w:val="none"/>
          <w:lang w:val="en-US" w:eastAsia="zh-CN"/>
        </w:rPr>
        <w:t>报价文件</w:t>
      </w:r>
      <w:r>
        <w:rPr>
          <w:rFonts w:hint="eastAsia" w:ascii="宋体" w:hAnsi="宋体" w:eastAsia="宋体" w:cs="宋体"/>
          <w:b/>
          <w:color w:val="auto"/>
          <w:spacing w:val="40"/>
          <w:sz w:val="28"/>
          <w:szCs w:val="28"/>
          <w:highlight w:val="none"/>
        </w:rPr>
        <w:t>）</w:t>
      </w:r>
    </w:p>
    <w:p w14:paraId="3CF15F25">
      <w:pPr>
        <w:keepNext w:val="0"/>
        <w:keepLines w:val="0"/>
        <w:pageBreakBefore w:val="0"/>
        <w:shd w:val="clear"/>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23B450FD">
      <w:pPr>
        <w:keepNext w:val="0"/>
        <w:keepLines w:val="0"/>
        <w:pageBreakBefore w:val="0"/>
        <w:shd w:val="clear"/>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258A7CCB">
      <w:pPr>
        <w:keepNext w:val="0"/>
        <w:keepLines w:val="0"/>
        <w:pageBreakBefore w:val="0"/>
        <w:shd w:val="clear"/>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459A8868">
      <w:pPr>
        <w:keepNext w:val="0"/>
        <w:keepLines w:val="0"/>
        <w:pageBreakBefore w:val="0"/>
        <w:shd w:val="clear"/>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12DC168">
      <w:pPr>
        <w:keepNext w:val="0"/>
        <w:keepLines w:val="0"/>
        <w:pageBreakBefore w:val="0"/>
        <w:shd w:val="clear"/>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EDFE790">
      <w:pPr>
        <w:keepNext w:val="0"/>
        <w:keepLines w:val="0"/>
        <w:pageBreakBefore w:val="0"/>
        <w:kinsoku/>
        <w:wordWrap/>
        <w:overflowPunct/>
        <w:topLinePunct w:val="0"/>
        <w:bidi w:val="0"/>
        <w:spacing w:line="360" w:lineRule="auto"/>
        <w:ind w:right="-108"/>
        <w:jc w:val="both"/>
        <w:outlineLvl w:val="9"/>
        <w:rPr>
          <w:rFonts w:hint="eastAsia" w:ascii="宋体" w:hAnsi="宋体"/>
          <w:b/>
          <w:color w:val="auto"/>
          <w:sz w:val="36"/>
          <w:szCs w:val="32"/>
          <w:highlight w:val="none"/>
        </w:rPr>
      </w:pPr>
    </w:p>
    <w:p w14:paraId="4A4BDED3">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lang w:val="en-US" w:eastAsia="zh-CN"/>
        </w:rPr>
        <w:t>报价文件</w:t>
      </w:r>
      <w:r>
        <w:rPr>
          <w:rFonts w:hint="eastAsia" w:ascii="宋体" w:hAnsi="宋体"/>
          <w:b/>
          <w:color w:val="auto"/>
          <w:sz w:val="36"/>
          <w:szCs w:val="32"/>
          <w:highlight w:val="none"/>
        </w:rPr>
        <w:t>目录</w:t>
      </w:r>
    </w:p>
    <w:p w14:paraId="4192F726">
      <w:pPr>
        <w:keepNext w:val="0"/>
        <w:keepLines w:val="0"/>
        <w:pageBreakBefore w:val="0"/>
        <w:kinsoku/>
        <w:wordWrap/>
        <w:overflowPunct/>
        <w:topLinePunct w:val="0"/>
        <w:bidi w:val="0"/>
        <w:snapToGrid w:val="0"/>
        <w:spacing w:line="360" w:lineRule="auto"/>
        <w:outlineLvl w:val="9"/>
        <w:rPr>
          <w:rFonts w:ascii="宋体" w:cs="宋体"/>
          <w:color w:val="auto"/>
          <w:sz w:val="24"/>
          <w:highlight w:val="none"/>
        </w:rPr>
      </w:pPr>
    </w:p>
    <w:p w14:paraId="46FA1F4C">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、开标一览表（附件</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14:paraId="752DFAE5">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报价明细表（附件16）</w:t>
      </w:r>
    </w:p>
    <w:p w14:paraId="19063409">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针对报价投标人认为其他需要说明的；</w:t>
      </w:r>
    </w:p>
    <w:p w14:paraId="50F750B9">
      <w:pPr>
        <w:keepNext w:val="0"/>
        <w:keepLines w:val="0"/>
        <w:pageBreakBefore w:val="0"/>
        <w:kinsoku/>
        <w:wordWrap/>
        <w:overflowPunct/>
        <w:topLinePunct w:val="0"/>
        <w:bidi w:val="0"/>
        <w:spacing w:line="360" w:lineRule="auto"/>
        <w:ind w:left="480"/>
        <w:outlineLvl w:val="9"/>
        <w:rPr>
          <w:rFonts w:ascii="宋体"/>
          <w:b/>
          <w:color w:val="auto"/>
          <w:sz w:val="21"/>
          <w:szCs w:val="21"/>
          <w:highlight w:val="none"/>
        </w:rPr>
      </w:pPr>
    </w:p>
    <w:p w14:paraId="57D2EE07">
      <w:pPr>
        <w:pStyle w:val="24"/>
        <w:keepNext w:val="0"/>
        <w:keepLines w:val="0"/>
        <w:pageBreakBefore w:val="0"/>
        <w:kinsoku/>
        <w:wordWrap/>
        <w:overflowPunct/>
        <w:topLinePunct w:val="0"/>
        <w:bidi w:val="0"/>
        <w:outlineLvl w:val="9"/>
        <w:rPr>
          <w:color w:val="auto"/>
          <w:highlight w:val="none"/>
        </w:rPr>
      </w:pPr>
    </w:p>
    <w:p w14:paraId="247B5B06">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9CACB3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0CBD9A31">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325F08F7">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C0D3D81">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5B25D951">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1622535">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7C36F1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3C7234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41E8D1E">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0D7E1A03">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FA7CFAB">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1C3F997">
      <w:pPr>
        <w:pStyle w:val="9"/>
        <w:keepNext w:val="0"/>
        <w:keepLines w:val="0"/>
        <w:pageBreakBefore w:val="0"/>
        <w:kinsoku/>
        <w:wordWrap/>
        <w:overflowPunct/>
        <w:topLinePunct w:val="0"/>
        <w:bidi w:val="0"/>
        <w:outlineLvl w:val="9"/>
        <w:rPr>
          <w:color w:val="auto"/>
          <w:highlight w:val="none"/>
        </w:rPr>
      </w:pPr>
    </w:p>
    <w:p w14:paraId="2031E0F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65E6CF81">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5B25F423">
      <w:pPr>
        <w:pStyle w:val="9"/>
        <w:keepNext w:val="0"/>
        <w:keepLines w:val="0"/>
        <w:pageBreakBefore w:val="0"/>
        <w:kinsoku/>
        <w:wordWrap/>
        <w:overflowPunct/>
        <w:topLinePunct w:val="0"/>
        <w:bidi w:val="0"/>
        <w:outlineLvl w:val="9"/>
        <w:rPr>
          <w:color w:val="auto"/>
          <w:highlight w:val="none"/>
        </w:rPr>
      </w:pPr>
    </w:p>
    <w:p w14:paraId="6C2F421E">
      <w:pPr>
        <w:pStyle w:val="9"/>
        <w:keepNext w:val="0"/>
        <w:keepLines w:val="0"/>
        <w:pageBreakBefore w:val="0"/>
        <w:kinsoku/>
        <w:wordWrap/>
        <w:overflowPunct/>
        <w:topLinePunct w:val="0"/>
        <w:bidi w:val="0"/>
        <w:outlineLvl w:val="9"/>
        <w:rPr>
          <w:color w:val="auto"/>
          <w:highlight w:val="none"/>
        </w:rPr>
      </w:pPr>
    </w:p>
    <w:p w14:paraId="234C25DA">
      <w:pPr>
        <w:pStyle w:val="9"/>
        <w:keepNext w:val="0"/>
        <w:keepLines w:val="0"/>
        <w:pageBreakBefore w:val="0"/>
        <w:kinsoku/>
        <w:wordWrap/>
        <w:overflowPunct/>
        <w:topLinePunct w:val="0"/>
        <w:bidi w:val="0"/>
        <w:outlineLvl w:val="9"/>
        <w:rPr>
          <w:color w:val="auto"/>
          <w:highlight w:val="none"/>
        </w:rPr>
      </w:pPr>
    </w:p>
    <w:p w14:paraId="4409C3C9">
      <w:pPr>
        <w:pStyle w:val="9"/>
        <w:keepNext w:val="0"/>
        <w:keepLines w:val="0"/>
        <w:pageBreakBefore w:val="0"/>
        <w:kinsoku/>
        <w:wordWrap/>
        <w:overflowPunct/>
        <w:topLinePunct w:val="0"/>
        <w:bidi w:val="0"/>
        <w:outlineLvl w:val="9"/>
        <w:rPr>
          <w:color w:val="auto"/>
          <w:highlight w:val="none"/>
        </w:rPr>
      </w:pPr>
    </w:p>
    <w:p w14:paraId="22C5F354">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079F61B4">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r>
        <w:rPr>
          <w:rFonts w:hint="eastAsia" w:ascii="宋体" w:hAnsi="宋体"/>
          <w:b/>
          <w:color w:val="auto"/>
          <w:sz w:val="32"/>
          <w:szCs w:val="32"/>
          <w:highlight w:val="none"/>
        </w:rPr>
        <w:t>开标一览表</w:t>
      </w:r>
    </w:p>
    <w:p w14:paraId="01303B5D">
      <w:pPr>
        <w:pStyle w:val="12"/>
        <w:keepNext w:val="0"/>
        <w:keepLines w:val="0"/>
        <w:pageBreakBefore w:val="0"/>
        <w:kinsoku/>
        <w:wordWrap/>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62417633">
      <w:pPr>
        <w:pStyle w:val="42"/>
        <w:keepNext w:val="0"/>
        <w:keepLines w:val="0"/>
        <w:pageBreakBefore w:val="0"/>
        <w:kinsoku/>
        <w:wordWrap/>
        <w:overflowPunct/>
        <w:topLinePunct w:val="0"/>
        <w:bidi w:val="0"/>
        <w:spacing w:line="360" w:lineRule="auto"/>
        <w:ind w:right="480"/>
        <w:jc w:val="left"/>
        <w:outlineLvl w:val="9"/>
        <w:rPr>
          <w:rFonts w:hAnsi="宋体"/>
          <w:color w:val="auto"/>
          <w:sz w:val="21"/>
          <w:szCs w:val="21"/>
          <w:highlight w:val="none"/>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p>
    <w:tbl>
      <w:tblPr>
        <w:tblStyle w:val="1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702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7BD1547F">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投标总报价</w:t>
            </w:r>
            <w:r>
              <w:rPr>
                <w:rFonts w:ascii="宋体" w:hAnsi="宋体"/>
                <w:color w:val="auto"/>
                <w:sz w:val="21"/>
                <w:szCs w:val="21"/>
                <w:highlight w:val="none"/>
              </w:rPr>
              <w:t>(</w:t>
            </w:r>
            <w:r>
              <w:rPr>
                <w:rFonts w:hint="eastAsia" w:ascii="宋体" w:hAnsi="宋体"/>
                <w:color w:val="auto"/>
                <w:sz w:val="21"/>
                <w:szCs w:val="21"/>
                <w:highlight w:val="none"/>
              </w:rPr>
              <w:t>元</w:t>
            </w:r>
            <w:r>
              <w:rPr>
                <w:rFonts w:ascii="宋体" w:hAnsi="宋体"/>
                <w:color w:val="auto"/>
                <w:sz w:val="21"/>
                <w:szCs w:val="21"/>
                <w:highlight w:val="none"/>
              </w:rPr>
              <w:t>)</w:t>
            </w:r>
          </w:p>
        </w:tc>
        <w:tc>
          <w:tcPr>
            <w:tcW w:w="1349" w:type="dxa"/>
            <w:vAlign w:val="center"/>
          </w:tcPr>
          <w:p w14:paraId="09E66B6B">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大写</w:t>
            </w:r>
          </w:p>
        </w:tc>
        <w:tc>
          <w:tcPr>
            <w:tcW w:w="4629" w:type="dxa"/>
            <w:vAlign w:val="center"/>
          </w:tcPr>
          <w:p w14:paraId="191EF773">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r w14:paraId="08E4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163B168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49" w:type="dxa"/>
            <w:vAlign w:val="center"/>
          </w:tcPr>
          <w:p w14:paraId="4A6A5CC0">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小写</w:t>
            </w:r>
          </w:p>
        </w:tc>
        <w:tc>
          <w:tcPr>
            <w:tcW w:w="4629" w:type="dxa"/>
            <w:vAlign w:val="center"/>
          </w:tcPr>
          <w:p w14:paraId="7F697537">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bl>
    <w:p w14:paraId="5C33FD52">
      <w:pPr>
        <w:keepNext w:val="0"/>
        <w:keepLines w:val="0"/>
        <w:pageBreakBefore w:val="0"/>
        <w:kinsoku/>
        <w:wordWrap/>
        <w:overflowPunct/>
        <w:topLinePunct w:val="0"/>
        <w:bidi w:val="0"/>
        <w:spacing w:line="360" w:lineRule="auto"/>
        <w:outlineLvl w:val="9"/>
        <w:rPr>
          <w:rFonts w:ascii="宋体" w:hAnsi="宋体"/>
          <w:color w:val="auto"/>
          <w:sz w:val="24"/>
          <w:highlight w:val="none"/>
        </w:rPr>
      </w:pPr>
      <w:r>
        <w:rPr>
          <w:rFonts w:hint="eastAsia" w:ascii="宋体" w:hAnsi="宋体"/>
          <w:b/>
          <w:color w:val="auto"/>
          <w:szCs w:val="21"/>
          <w:highlight w:val="none"/>
        </w:rPr>
        <w:t>填报要求：</w:t>
      </w:r>
    </w:p>
    <w:p w14:paraId="580B53BC">
      <w:pPr>
        <w:pStyle w:val="6"/>
        <w:keepNext w:val="0"/>
        <w:keepLines w:val="0"/>
        <w:pageBreakBefore w:val="0"/>
        <w:numPr>
          <w:ilvl w:val="0"/>
          <w:numId w:val="0"/>
        </w:numPr>
        <w:kinsoku/>
        <w:wordWrap/>
        <w:overflowPunct/>
        <w:topLinePunct w:val="0"/>
        <w:bidi w:val="0"/>
        <w:spacing w:line="360" w:lineRule="auto"/>
        <w:ind w:firstLine="420" w:firstLineChars="200"/>
        <w:outlineLvl w:val="9"/>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宋体" w:hAnsi="宋体"/>
          <w:color w:val="auto"/>
          <w:sz w:val="21"/>
          <w:szCs w:val="21"/>
          <w:highlight w:val="none"/>
        </w:rPr>
        <w:t>总</w:t>
      </w:r>
      <w:r>
        <w:rPr>
          <w:rFonts w:hint="eastAsia" w:asciiTheme="minorEastAsia" w:hAnsiTheme="minorEastAsia" w:eastAsiaTheme="minorEastAsia" w:cstheme="minorEastAsia"/>
          <w:b w:val="0"/>
          <w:bCs w:val="0"/>
          <w:color w:val="auto"/>
          <w:sz w:val="21"/>
          <w:szCs w:val="21"/>
          <w:highlight w:val="none"/>
          <w:lang w:val="en-US" w:eastAsia="zh-CN"/>
        </w:rPr>
        <w:t>报价为完成本项目的所有费用，充电桩及配套设备的采购及安装包括施工设计及配电充电深化设计、全套设备（含辅材、零部件）提供、运杂费、电源点接入、基础部分土建施工及材料（管线牵引施工等）、人工，配置照明和灭火设施、限位器、停车位划线、VI标示、场站导引、安装、调试、5年保质期内免费保修维护（含管理软件更新升级）、提供实时监测及统计充电项目（后台对接）、后台数据监控（网络连接）及信息化管理平台对接、培训采购人使用人员费用、税金、利润、管理费等本项目所有可能涉及的费用，全部费用已包含在投标</w:t>
      </w:r>
      <w:r>
        <w:rPr>
          <w:rFonts w:hint="eastAsia" w:ascii="宋体" w:hAnsi="宋体"/>
          <w:color w:val="auto"/>
          <w:sz w:val="21"/>
          <w:szCs w:val="21"/>
          <w:highlight w:val="none"/>
        </w:rPr>
        <w:t>总</w:t>
      </w:r>
      <w:r>
        <w:rPr>
          <w:rFonts w:hint="eastAsia" w:asciiTheme="minorEastAsia" w:hAnsiTheme="minorEastAsia" w:eastAsiaTheme="minorEastAsia" w:cstheme="minorEastAsia"/>
          <w:b w:val="0"/>
          <w:bCs w:val="0"/>
          <w:color w:val="auto"/>
          <w:sz w:val="21"/>
          <w:szCs w:val="21"/>
          <w:highlight w:val="none"/>
          <w:lang w:val="en-US" w:eastAsia="zh-CN"/>
        </w:rPr>
        <w:t>报价中</w:t>
      </w:r>
      <w:r>
        <w:rPr>
          <w:rFonts w:hint="eastAsia" w:ascii="宋体" w:hAnsi="宋体"/>
          <w:color w:val="auto"/>
          <w:kern w:val="0"/>
          <w:szCs w:val="21"/>
          <w:highlight w:val="none"/>
        </w:rPr>
        <w:t>。</w:t>
      </w:r>
    </w:p>
    <w:p w14:paraId="41168572">
      <w:pPr>
        <w:keepNext w:val="0"/>
        <w:keepLines w:val="0"/>
        <w:pageBreakBefore w:val="0"/>
        <w:kinsoku/>
        <w:wordWrap/>
        <w:overflowPunct/>
        <w:topLinePunct w:val="0"/>
        <w:bidi w:val="0"/>
        <w:spacing w:line="360" w:lineRule="auto"/>
        <w:ind w:firstLine="420" w:firstLineChars="200"/>
        <w:outlineLvl w:val="9"/>
        <w:rPr>
          <w:rFonts w:ascii="宋体" w:hAnsi="宋体"/>
          <w:b/>
          <w:i/>
          <w:color w:val="auto"/>
          <w:szCs w:val="21"/>
          <w:highlight w:val="none"/>
          <w:u w:val="singl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报价一经涂改，应在涂改处加盖单位公章，或者由法定代表人或全权代表</w:t>
      </w:r>
      <w:r>
        <w:rPr>
          <w:rFonts w:hint="eastAsia" w:ascii="宋体" w:hAnsi="宋体"/>
          <w:color w:val="auto"/>
          <w:kern w:val="0"/>
          <w:szCs w:val="21"/>
          <w:highlight w:val="none"/>
          <w:lang w:eastAsia="zh-CN"/>
        </w:rPr>
        <w:t>签字</w:t>
      </w:r>
      <w:r>
        <w:rPr>
          <w:rFonts w:hint="eastAsia" w:ascii="宋体" w:hAnsi="宋体"/>
          <w:color w:val="auto"/>
          <w:kern w:val="0"/>
          <w:szCs w:val="21"/>
          <w:highlight w:val="none"/>
        </w:rPr>
        <w:t>或盖章，否则其投标作无效标处理。</w:t>
      </w:r>
    </w:p>
    <w:p w14:paraId="7B3A449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08BCC4D">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r>
        <w:rPr>
          <w:rFonts w:hint="eastAsia" w:ascii="宋体" w:hAnsi="宋体"/>
          <w:color w:val="auto"/>
          <w:sz w:val="21"/>
          <w:szCs w:val="21"/>
          <w:highlight w:val="none"/>
        </w:rPr>
        <w:t>投标人名称（盖章）：</w:t>
      </w:r>
    </w:p>
    <w:p w14:paraId="2BA0DBC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color w:val="auto"/>
          <w:sz w:val="21"/>
          <w:szCs w:val="21"/>
          <w:highlight w:val="none"/>
        </w:rPr>
        <w:t>（签字或盖章）：</w:t>
      </w:r>
    </w:p>
    <w:p w14:paraId="168F346E">
      <w:pPr>
        <w:keepNext w:val="0"/>
        <w:keepLines w:val="0"/>
        <w:pageBreakBefore w:val="0"/>
        <w:kinsoku/>
        <w:wordWrap/>
        <w:overflowPunct/>
        <w:topLinePunct w:val="0"/>
        <w:bidi w:val="0"/>
        <w:spacing w:line="360" w:lineRule="auto"/>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日期：</w:t>
      </w:r>
    </w:p>
    <w:p w14:paraId="49E0579F">
      <w:pPr>
        <w:pStyle w:val="9"/>
        <w:rPr>
          <w:rFonts w:hint="eastAsia" w:ascii="宋体" w:hAnsi="宋体"/>
          <w:color w:val="auto"/>
          <w:sz w:val="21"/>
          <w:szCs w:val="21"/>
          <w:highlight w:val="none"/>
        </w:rPr>
      </w:pPr>
    </w:p>
    <w:p w14:paraId="18F2640C">
      <w:pPr>
        <w:pStyle w:val="10"/>
        <w:rPr>
          <w:rFonts w:hint="eastAsia" w:ascii="宋体" w:hAnsi="宋体"/>
          <w:color w:val="auto"/>
          <w:sz w:val="21"/>
          <w:szCs w:val="21"/>
          <w:highlight w:val="none"/>
        </w:rPr>
      </w:pPr>
    </w:p>
    <w:p w14:paraId="5B11484E">
      <w:pPr>
        <w:rPr>
          <w:rFonts w:hint="eastAsia" w:ascii="宋体" w:hAnsi="宋体"/>
          <w:color w:val="auto"/>
          <w:sz w:val="21"/>
          <w:szCs w:val="21"/>
          <w:highlight w:val="none"/>
        </w:rPr>
      </w:pPr>
    </w:p>
    <w:p w14:paraId="0AA0287F">
      <w:pPr>
        <w:pStyle w:val="9"/>
        <w:rPr>
          <w:rFonts w:hint="eastAsia" w:ascii="宋体" w:hAnsi="宋体"/>
          <w:color w:val="auto"/>
          <w:sz w:val="21"/>
          <w:szCs w:val="21"/>
          <w:highlight w:val="none"/>
        </w:rPr>
      </w:pPr>
    </w:p>
    <w:p w14:paraId="1DA41AA6">
      <w:pPr>
        <w:pStyle w:val="10"/>
        <w:rPr>
          <w:rFonts w:hint="eastAsia" w:ascii="宋体" w:hAnsi="宋体"/>
          <w:color w:val="auto"/>
          <w:sz w:val="21"/>
          <w:szCs w:val="21"/>
          <w:highlight w:val="none"/>
        </w:r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3F1D750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4FAE793D">
      <w:pPr>
        <w:spacing w:line="360" w:lineRule="auto"/>
        <w:rPr>
          <w:rFonts w:hint="eastAsia" w:ascii="宋体" w:hAnsi="宋体" w:eastAsia="宋体" w:cs="宋体"/>
          <w:color w:val="auto"/>
          <w:sz w:val="24"/>
          <w:highlight w:val="none"/>
        </w:rPr>
      </w:pPr>
    </w:p>
    <w:p w14:paraId="727DCC68">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2"/>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A3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633227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0" w:type="dxa"/>
            <w:vAlign w:val="center"/>
          </w:tcPr>
          <w:p w14:paraId="72F73217">
            <w:pPr>
              <w:tabs>
                <w:tab w:val="left" w:pos="8280"/>
              </w:tabs>
              <w:autoSpaceDE w:val="0"/>
              <w:autoSpaceDN w:val="0"/>
              <w:adjustRightInd w:val="0"/>
              <w:spacing w:line="360" w:lineRule="auto"/>
              <w:ind w:right="25"/>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559" w:type="dxa"/>
            <w:vAlign w:val="center"/>
          </w:tcPr>
          <w:p w14:paraId="00248B29">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5DEBDAFF">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4845E274">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3F1769E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4D715BE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5311701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25F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469BD92E">
            <w:pPr>
              <w:spacing w:line="360" w:lineRule="auto"/>
              <w:rPr>
                <w:rFonts w:hint="eastAsia" w:ascii="宋体" w:hAnsi="宋体" w:eastAsia="宋体" w:cs="宋体"/>
                <w:color w:val="auto"/>
                <w:sz w:val="24"/>
                <w:highlight w:val="none"/>
              </w:rPr>
            </w:pPr>
          </w:p>
        </w:tc>
        <w:tc>
          <w:tcPr>
            <w:tcW w:w="1460" w:type="dxa"/>
            <w:vAlign w:val="center"/>
          </w:tcPr>
          <w:p w14:paraId="27C70F53">
            <w:pPr>
              <w:spacing w:line="360" w:lineRule="auto"/>
              <w:rPr>
                <w:rFonts w:hint="eastAsia" w:ascii="宋体" w:hAnsi="宋体" w:eastAsia="宋体" w:cs="宋体"/>
                <w:color w:val="auto"/>
                <w:sz w:val="24"/>
                <w:highlight w:val="none"/>
              </w:rPr>
            </w:pPr>
          </w:p>
        </w:tc>
        <w:tc>
          <w:tcPr>
            <w:tcW w:w="1559" w:type="dxa"/>
            <w:vAlign w:val="center"/>
          </w:tcPr>
          <w:p w14:paraId="7E242BE7">
            <w:pPr>
              <w:spacing w:line="360" w:lineRule="auto"/>
              <w:rPr>
                <w:rFonts w:hint="eastAsia" w:ascii="宋体" w:hAnsi="宋体" w:eastAsia="宋体" w:cs="宋体"/>
                <w:color w:val="auto"/>
                <w:sz w:val="24"/>
                <w:highlight w:val="none"/>
              </w:rPr>
            </w:pPr>
          </w:p>
        </w:tc>
        <w:tc>
          <w:tcPr>
            <w:tcW w:w="1559" w:type="dxa"/>
            <w:vAlign w:val="center"/>
          </w:tcPr>
          <w:p w14:paraId="35F4EF89">
            <w:pPr>
              <w:spacing w:line="360" w:lineRule="auto"/>
              <w:rPr>
                <w:rFonts w:hint="eastAsia" w:ascii="宋体" w:hAnsi="宋体" w:eastAsia="宋体" w:cs="宋体"/>
                <w:color w:val="auto"/>
                <w:sz w:val="24"/>
                <w:highlight w:val="none"/>
              </w:rPr>
            </w:pPr>
          </w:p>
        </w:tc>
        <w:tc>
          <w:tcPr>
            <w:tcW w:w="851" w:type="dxa"/>
            <w:vAlign w:val="center"/>
          </w:tcPr>
          <w:p w14:paraId="7A2A60AF">
            <w:pPr>
              <w:spacing w:line="360" w:lineRule="auto"/>
              <w:rPr>
                <w:rFonts w:hint="eastAsia" w:ascii="宋体" w:hAnsi="宋体" w:eastAsia="宋体" w:cs="宋体"/>
                <w:color w:val="auto"/>
                <w:sz w:val="24"/>
                <w:highlight w:val="none"/>
              </w:rPr>
            </w:pPr>
          </w:p>
        </w:tc>
        <w:tc>
          <w:tcPr>
            <w:tcW w:w="992" w:type="dxa"/>
            <w:vAlign w:val="center"/>
          </w:tcPr>
          <w:p w14:paraId="51F8F330">
            <w:pPr>
              <w:spacing w:line="360" w:lineRule="auto"/>
              <w:rPr>
                <w:rFonts w:hint="eastAsia" w:ascii="宋体" w:hAnsi="宋体" w:eastAsia="宋体" w:cs="宋体"/>
                <w:color w:val="auto"/>
                <w:sz w:val="24"/>
                <w:highlight w:val="none"/>
              </w:rPr>
            </w:pPr>
          </w:p>
        </w:tc>
        <w:tc>
          <w:tcPr>
            <w:tcW w:w="992" w:type="dxa"/>
            <w:vAlign w:val="center"/>
          </w:tcPr>
          <w:p w14:paraId="72DE5BCD">
            <w:pPr>
              <w:spacing w:line="360" w:lineRule="auto"/>
              <w:rPr>
                <w:rFonts w:hint="eastAsia" w:ascii="宋体" w:hAnsi="宋体" w:eastAsia="宋体" w:cs="宋体"/>
                <w:color w:val="auto"/>
                <w:sz w:val="24"/>
                <w:highlight w:val="none"/>
              </w:rPr>
            </w:pPr>
          </w:p>
        </w:tc>
        <w:tc>
          <w:tcPr>
            <w:tcW w:w="709" w:type="dxa"/>
            <w:vAlign w:val="center"/>
          </w:tcPr>
          <w:p w14:paraId="36D58E32">
            <w:pPr>
              <w:spacing w:line="360" w:lineRule="auto"/>
              <w:rPr>
                <w:rFonts w:hint="eastAsia" w:ascii="宋体" w:hAnsi="宋体" w:eastAsia="宋体" w:cs="宋体"/>
                <w:color w:val="auto"/>
                <w:sz w:val="24"/>
                <w:highlight w:val="none"/>
              </w:rPr>
            </w:pPr>
          </w:p>
        </w:tc>
      </w:tr>
      <w:tr w14:paraId="62C6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64273140">
            <w:pPr>
              <w:spacing w:line="360" w:lineRule="auto"/>
              <w:rPr>
                <w:rFonts w:hint="eastAsia" w:ascii="宋体" w:hAnsi="宋体" w:eastAsia="宋体" w:cs="宋体"/>
                <w:color w:val="auto"/>
                <w:sz w:val="24"/>
                <w:highlight w:val="none"/>
              </w:rPr>
            </w:pPr>
          </w:p>
        </w:tc>
        <w:tc>
          <w:tcPr>
            <w:tcW w:w="1460" w:type="dxa"/>
            <w:vAlign w:val="center"/>
          </w:tcPr>
          <w:p w14:paraId="25D6DA41">
            <w:pPr>
              <w:spacing w:line="360" w:lineRule="auto"/>
              <w:rPr>
                <w:rFonts w:hint="eastAsia" w:ascii="宋体" w:hAnsi="宋体" w:eastAsia="宋体" w:cs="宋体"/>
                <w:color w:val="auto"/>
                <w:sz w:val="24"/>
                <w:highlight w:val="none"/>
              </w:rPr>
            </w:pPr>
          </w:p>
        </w:tc>
        <w:tc>
          <w:tcPr>
            <w:tcW w:w="1559" w:type="dxa"/>
            <w:vAlign w:val="center"/>
          </w:tcPr>
          <w:p w14:paraId="20027BE4">
            <w:pPr>
              <w:spacing w:line="360" w:lineRule="auto"/>
              <w:rPr>
                <w:rFonts w:hint="eastAsia" w:ascii="宋体" w:hAnsi="宋体" w:eastAsia="宋体" w:cs="宋体"/>
                <w:color w:val="auto"/>
                <w:sz w:val="24"/>
                <w:highlight w:val="none"/>
              </w:rPr>
            </w:pPr>
          </w:p>
        </w:tc>
        <w:tc>
          <w:tcPr>
            <w:tcW w:w="1559" w:type="dxa"/>
            <w:vAlign w:val="center"/>
          </w:tcPr>
          <w:p w14:paraId="420C3D15">
            <w:pPr>
              <w:spacing w:line="360" w:lineRule="auto"/>
              <w:rPr>
                <w:rFonts w:hint="eastAsia" w:ascii="宋体" w:hAnsi="宋体" w:eastAsia="宋体" w:cs="宋体"/>
                <w:color w:val="auto"/>
                <w:sz w:val="24"/>
                <w:highlight w:val="none"/>
              </w:rPr>
            </w:pPr>
          </w:p>
        </w:tc>
        <w:tc>
          <w:tcPr>
            <w:tcW w:w="851" w:type="dxa"/>
            <w:vAlign w:val="center"/>
          </w:tcPr>
          <w:p w14:paraId="5828A2B3">
            <w:pPr>
              <w:spacing w:line="360" w:lineRule="auto"/>
              <w:rPr>
                <w:rFonts w:hint="eastAsia" w:ascii="宋体" w:hAnsi="宋体" w:eastAsia="宋体" w:cs="宋体"/>
                <w:color w:val="auto"/>
                <w:sz w:val="24"/>
                <w:highlight w:val="none"/>
              </w:rPr>
            </w:pPr>
          </w:p>
        </w:tc>
        <w:tc>
          <w:tcPr>
            <w:tcW w:w="992" w:type="dxa"/>
            <w:vAlign w:val="center"/>
          </w:tcPr>
          <w:p w14:paraId="7829E779">
            <w:pPr>
              <w:spacing w:line="360" w:lineRule="auto"/>
              <w:rPr>
                <w:rFonts w:hint="eastAsia" w:ascii="宋体" w:hAnsi="宋体" w:eastAsia="宋体" w:cs="宋体"/>
                <w:color w:val="auto"/>
                <w:sz w:val="24"/>
                <w:highlight w:val="none"/>
              </w:rPr>
            </w:pPr>
          </w:p>
        </w:tc>
        <w:tc>
          <w:tcPr>
            <w:tcW w:w="992" w:type="dxa"/>
            <w:vAlign w:val="center"/>
          </w:tcPr>
          <w:p w14:paraId="61F66D31">
            <w:pPr>
              <w:spacing w:line="360" w:lineRule="auto"/>
              <w:rPr>
                <w:rFonts w:hint="eastAsia" w:ascii="宋体" w:hAnsi="宋体" w:eastAsia="宋体" w:cs="宋体"/>
                <w:color w:val="auto"/>
                <w:sz w:val="24"/>
                <w:highlight w:val="none"/>
              </w:rPr>
            </w:pPr>
          </w:p>
        </w:tc>
        <w:tc>
          <w:tcPr>
            <w:tcW w:w="709" w:type="dxa"/>
            <w:vAlign w:val="center"/>
          </w:tcPr>
          <w:p w14:paraId="0F931C09">
            <w:pPr>
              <w:spacing w:line="360" w:lineRule="auto"/>
              <w:rPr>
                <w:rFonts w:hint="eastAsia" w:ascii="宋体" w:hAnsi="宋体" w:eastAsia="宋体" w:cs="宋体"/>
                <w:color w:val="auto"/>
                <w:sz w:val="24"/>
                <w:highlight w:val="none"/>
              </w:rPr>
            </w:pPr>
          </w:p>
        </w:tc>
      </w:tr>
      <w:tr w14:paraId="7C6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vAlign w:val="center"/>
          </w:tcPr>
          <w:p w14:paraId="7BAE19A7">
            <w:pPr>
              <w:spacing w:line="360" w:lineRule="auto"/>
              <w:rPr>
                <w:rFonts w:hint="eastAsia" w:ascii="宋体" w:hAnsi="宋体" w:eastAsia="宋体" w:cs="宋体"/>
                <w:color w:val="auto"/>
                <w:sz w:val="24"/>
                <w:highlight w:val="none"/>
              </w:rPr>
            </w:pPr>
          </w:p>
        </w:tc>
        <w:tc>
          <w:tcPr>
            <w:tcW w:w="1460" w:type="dxa"/>
            <w:vAlign w:val="center"/>
          </w:tcPr>
          <w:p w14:paraId="227FC121">
            <w:pPr>
              <w:spacing w:line="360" w:lineRule="auto"/>
              <w:rPr>
                <w:rFonts w:hint="eastAsia" w:ascii="宋体" w:hAnsi="宋体" w:eastAsia="宋体" w:cs="宋体"/>
                <w:color w:val="auto"/>
                <w:sz w:val="24"/>
                <w:highlight w:val="none"/>
              </w:rPr>
            </w:pPr>
          </w:p>
        </w:tc>
        <w:tc>
          <w:tcPr>
            <w:tcW w:w="1559" w:type="dxa"/>
            <w:vAlign w:val="center"/>
          </w:tcPr>
          <w:p w14:paraId="1E7BD281">
            <w:pPr>
              <w:spacing w:line="360" w:lineRule="auto"/>
              <w:rPr>
                <w:rFonts w:hint="eastAsia" w:ascii="宋体" w:hAnsi="宋体" w:eastAsia="宋体" w:cs="宋体"/>
                <w:color w:val="auto"/>
                <w:sz w:val="24"/>
                <w:highlight w:val="none"/>
              </w:rPr>
            </w:pPr>
          </w:p>
        </w:tc>
        <w:tc>
          <w:tcPr>
            <w:tcW w:w="1559" w:type="dxa"/>
            <w:vAlign w:val="center"/>
          </w:tcPr>
          <w:p w14:paraId="17BFEC8D">
            <w:pPr>
              <w:spacing w:line="360" w:lineRule="auto"/>
              <w:rPr>
                <w:rFonts w:hint="eastAsia" w:ascii="宋体" w:hAnsi="宋体" w:eastAsia="宋体" w:cs="宋体"/>
                <w:color w:val="auto"/>
                <w:sz w:val="24"/>
                <w:highlight w:val="none"/>
              </w:rPr>
            </w:pPr>
          </w:p>
        </w:tc>
        <w:tc>
          <w:tcPr>
            <w:tcW w:w="851" w:type="dxa"/>
            <w:vAlign w:val="center"/>
          </w:tcPr>
          <w:p w14:paraId="0154D140">
            <w:pPr>
              <w:spacing w:line="360" w:lineRule="auto"/>
              <w:rPr>
                <w:rFonts w:hint="eastAsia" w:ascii="宋体" w:hAnsi="宋体" w:eastAsia="宋体" w:cs="宋体"/>
                <w:color w:val="auto"/>
                <w:sz w:val="24"/>
                <w:highlight w:val="none"/>
              </w:rPr>
            </w:pPr>
          </w:p>
        </w:tc>
        <w:tc>
          <w:tcPr>
            <w:tcW w:w="992" w:type="dxa"/>
            <w:vAlign w:val="center"/>
          </w:tcPr>
          <w:p w14:paraId="65CF4CAB">
            <w:pPr>
              <w:spacing w:line="360" w:lineRule="auto"/>
              <w:rPr>
                <w:rFonts w:hint="eastAsia" w:ascii="宋体" w:hAnsi="宋体" w:eastAsia="宋体" w:cs="宋体"/>
                <w:color w:val="auto"/>
                <w:sz w:val="24"/>
                <w:highlight w:val="none"/>
              </w:rPr>
            </w:pPr>
          </w:p>
        </w:tc>
        <w:tc>
          <w:tcPr>
            <w:tcW w:w="992" w:type="dxa"/>
            <w:vAlign w:val="center"/>
          </w:tcPr>
          <w:p w14:paraId="2A401A56">
            <w:pPr>
              <w:spacing w:line="360" w:lineRule="auto"/>
              <w:rPr>
                <w:rFonts w:hint="eastAsia" w:ascii="宋体" w:hAnsi="宋体" w:eastAsia="宋体" w:cs="宋体"/>
                <w:color w:val="auto"/>
                <w:sz w:val="24"/>
                <w:highlight w:val="none"/>
              </w:rPr>
            </w:pPr>
          </w:p>
        </w:tc>
        <w:tc>
          <w:tcPr>
            <w:tcW w:w="709" w:type="dxa"/>
            <w:vAlign w:val="center"/>
          </w:tcPr>
          <w:p w14:paraId="2DDE1EF4">
            <w:pPr>
              <w:spacing w:line="360" w:lineRule="auto"/>
              <w:rPr>
                <w:rFonts w:hint="eastAsia" w:ascii="宋体" w:hAnsi="宋体" w:eastAsia="宋体" w:cs="宋体"/>
                <w:color w:val="auto"/>
                <w:sz w:val="24"/>
                <w:highlight w:val="none"/>
              </w:rPr>
            </w:pPr>
          </w:p>
        </w:tc>
      </w:tr>
      <w:tr w14:paraId="07E2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49454985">
            <w:pPr>
              <w:spacing w:line="360" w:lineRule="auto"/>
              <w:rPr>
                <w:rFonts w:hint="eastAsia" w:ascii="宋体" w:hAnsi="宋体" w:eastAsia="宋体" w:cs="宋体"/>
                <w:color w:val="auto"/>
                <w:sz w:val="24"/>
                <w:highlight w:val="none"/>
              </w:rPr>
            </w:pPr>
          </w:p>
        </w:tc>
        <w:tc>
          <w:tcPr>
            <w:tcW w:w="1460" w:type="dxa"/>
            <w:vAlign w:val="center"/>
          </w:tcPr>
          <w:p w14:paraId="450C1C89">
            <w:pPr>
              <w:spacing w:line="360" w:lineRule="auto"/>
              <w:rPr>
                <w:rFonts w:hint="eastAsia" w:ascii="宋体" w:hAnsi="宋体" w:eastAsia="宋体" w:cs="宋体"/>
                <w:color w:val="auto"/>
                <w:sz w:val="24"/>
                <w:highlight w:val="none"/>
              </w:rPr>
            </w:pPr>
          </w:p>
        </w:tc>
        <w:tc>
          <w:tcPr>
            <w:tcW w:w="1559" w:type="dxa"/>
            <w:vAlign w:val="center"/>
          </w:tcPr>
          <w:p w14:paraId="7CF1A10E">
            <w:pPr>
              <w:spacing w:line="360" w:lineRule="auto"/>
              <w:rPr>
                <w:rFonts w:hint="eastAsia" w:ascii="宋体" w:hAnsi="宋体" w:eastAsia="宋体" w:cs="宋体"/>
                <w:color w:val="auto"/>
                <w:sz w:val="24"/>
                <w:highlight w:val="none"/>
              </w:rPr>
            </w:pPr>
          </w:p>
        </w:tc>
        <w:tc>
          <w:tcPr>
            <w:tcW w:w="1559" w:type="dxa"/>
            <w:vAlign w:val="center"/>
          </w:tcPr>
          <w:p w14:paraId="296DB229">
            <w:pPr>
              <w:spacing w:line="360" w:lineRule="auto"/>
              <w:rPr>
                <w:rFonts w:hint="eastAsia" w:ascii="宋体" w:hAnsi="宋体" w:eastAsia="宋体" w:cs="宋体"/>
                <w:color w:val="auto"/>
                <w:sz w:val="24"/>
                <w:highlight w:val="none"/>
              </w:rPr>
            </w:pPr>
          </w:p>
        </w:tc>
        <w:tc>
          <w:tcPr>
            <w:tcW w:w="851" w:type="dxa"/>
            <w:vAlign w:val="center"/>
          </w:tcPr>
          <w:p w14:paraId="42BD4FAF">
            <w:pPr>
              <w:spacing w:line="360" w:lineRule="auto"/>
              <w:rPr>
                <w:rFonts w:hint="eastAsia" w:ascii="宋体" w:hAnsi="宋体" w:eastAsia="宋体" w:cs="宋体"/>
                <w:color w:val="auto"/>
                <w:sz w:val="24"/>
                <w:highlight w:val="none"/>
              </w:rPr>
            </w:pPr>
          </w:p>
        </w:tc>
        <w:tc>
          <w:tcPr>
            <w:tcW w:w="992" w:type="dxa"/>
            <w:vAlign w:val="center"/>
          </w:tcPr>
          <w:p w14:paraId="3FF5C294">
            <w:pPr>
              <w:spacing w:line="360" w:lineRule="auto"/>
              <w:rPr>
                <w:rFonts w:hint="eastAsia" w:ascii="宋体" w:hAnsi="宋体" w:eastAsia="宋体" w:cs="宋体"/>
                <w:color w:val="auto"/>
                <w:sz w:val="24"/>
                <w:highlight w:val="none"/>
              </w:rPr>
            </w:pPr>
          </w:p>
        </w:tc>
        <w:tc>
          <w:tcPr>
            <w:tcW w:w="992" w:type="dxa"/>
            <w:vAlign w:val="center"/>
          </w:tcPr>
          <w:p w14:paraId="1A6F75B4">
            <w:pPr>
              <w:spacing w:line="360" w:lineRule="auto"/>
              <w:rPr>
                <w:rFonts w:hint="eastAsia" w:ascii="宋体" w:hAnsi="宋体" w:eastAsia="宋体" w:cs="宋体"/>
                <w:color w:val="auto"/>
                <w:sz w:val="24"/>
                <w:highlight w:val="none"/>
              </w:rPr>
            </w:pPr>
          </w:p>
        </w:tc>
        <w:tc>
          <w:tcPr>
            <w:tcW w:w="709" w:type="dxa"/>
            <w:vAlign w:val="center"/>
          </w:tcPr>
          <w:p w14:paraId="56A1C242">
            <w:pPr>
              <w:spacing w:line="360" w:lineRule="auto"/>
              <w:rPr>
                <w:rFonts w:hint="eastAsia" w:ascii="宋体" w:hAnsi="宋体" w:eastAsia="宋体" w:cs="宋体"/>
                <w:color w:val="auto"/>
                <w:sz w:val="24"/>
                <w:highlight w:val="none"/>
              </w:rPr>
            </w:pPr>
          </w:p>
        </w:tc>
      </w:tr>
      <w:tr w14:paraId="4119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1687ED58">
            <w:pPr>
              <w:spacing w:line="360" w:lineRule="auto"/>
              <w:rPr>
                <w:rFonts w:hint="eastAsia" w:ascii="宋体" w:hAnsi="宋体" w:eastAsia="宋体" w:cs="宋体"/>
                <w:color w:val="auto"/>
                <w:sz w:val="24"/>
                <w:highlight w:val="none"/>
              </w:rPr>
            </w:pPr>
          </w:p>
        </w:tc>
        <w:tc>
          <w:tcPr>
            <w:tcW w:w="1460" w:type="dxa"/>
            <w:vAlign w:val="center"/>
          </w:tcPr>
          <w:p w14:paraId="79A1C230">
            <w:pPr>
              <w:spacing w:line="360" w:lineRule="auto"/>
              <w:rPr>
                <w:rFonts w:hint="eastAsia" w:ascii="宋体" w:hAnsi="宋体" w:eastAsia="宋体" w:cs="宋体"/>
                <w:color w:val="auto"/>
                <w:sz w:val="24"/>
                <w:highlight w:val="none"/>
              </w:rPr>
            </w:pPr>
          </w:p>
        </w:tc>
        <w:tc>
          <w:tcPr>
            <w:tcW w:w="1559" w:type="dxa"/>
            <w:vAlign w:val="center"/>
          </w:tcPr>
          <w:p w14:paraId="7AC25FA9">
            <w:pPr>
              <w:spacing w:line="360" w:lineRule="auto"/>
              <w:rPr>
                <w:rFonts w:hint="eastAsia" w:ascii="宋体" w:hAnsi="宋体" w:eastAsia="宋体" w:cs="宋体"/>
                <w:color w:val="auto"/>
                <w:sz w:val="24"/>
                <w:highlight w:val="none"/>
              </w:rPr>
            </w:pPr>
          </w:p>
        </w:tc>
        <w:tc>
          <w:tcPr>
            <w:tcW w:w="1559" w:type="dxa"/>
            <w:vAlign w:val="center"/>
          </w:tcPr>
          <w:p w14:paraId="5FCF271A">
            <w:pPr>
              <w:spacing w:line="360" w:lineRule="auto"/>
              <w:rPr>
                <w:rFonts w:hint="eastAsia" w:ascii="宋体" w:hAnsi="宋体" w:eastAsia="宋体" w:cs="宋体"/>
                <w:color w:val="auto"/>
                <w:sz w:val="24"/>
                <w:highlight w:val="none"/>
              </w:rPr>
            </w:pPr>
          </w:p>
        </w:tc>
        <w:tc>
          <w:tcPr>
            <w:tcW w:w="851" w:type="dxa"/>
            <w:vAlign w:val="center"/>
          </w:tcPr>
          <w:p w14:paraId="36F13587">
            <w:pPr>
              <w:spacing w:line="360" w:lineRule="auto"/>
              <w:rPr>
                <w:rFonts w:hint="eastAsia" w:ascii="宋体" w:hAnsi="宋体" w:eastAsia="宋体" w:cs="宋体"/>
                <w:color w:val="auto"/>
                <w:sz w:val="24"/>
                <w:highlight w:val="none"/>
              </w:rPr>
            </w:pPr>
          </w:p>
        </w:tc>
        <w:tc>
          <w:tcPr>
            <w:tcW w:w="992" w:type="dxa"/>
            <w:vAlign w:val="center"/>
          </w:tcPr>
          <w:p w14:paraId="022EB1F3">
            <w:pPr>
              <w:spacing w:line="360" w:lineRule="auto"/>
              <w:rPr>
                <w:rFonts w:hint="eastAsia" w:ascii="宋体" w:hAnsi="宋体" w:eastAsia="宋体" w:cs="宋体"/>
                <w:color w:val="auto"/>
                <w:sz w:val="24"/>
                <w:highlight w:val="none"/>
              </w:rPr>
            </w:pPr>
          </w:p>
        </w:tc>
        <w:tc>
          <w:tcPr>
            <w:tcW w:w="992" w:type="dxa"/>
            <w:vAlign w:val="center"/>
          </w:tcPr>
          <w:p w14:paraId="0B11C0A5">
            <w:pPr>
              <w:spacing w:line="360" w:lineRule="auto"/>
              <w:rPr>
                <w:rFonts w:hint="eastAsia" w:ascii="宋体" w:hAnsi="宋体" w:eastAsia="宋体" w:cs="宋体"/>
                <w:color w:val="auto"/>
                <w:sz w:val="24"/>
                <w:highlight w:val="none"/>
              </w:rPr>
            </w:pPr>
          </w:p>
        </w:tc>
        <w:tc>
          <w:tcPr>
            <w:tcW w:w="709" w:type="dxa"/>
            <w:vAlign w:val="center"/>
          </w:tcPr>
          <w:p w14:paraId="578384D4">
            <w:pPr>
              <w:spacing w:line="360" w:lineRule="auto"/>
              <w:rPr>
                <w:rFonts w:hint="eastAsia" w:ascii="宋体" w:hAnsi="宋体" w:eastAsia="宋体" w:cs="宋体"/>
                <w:color w:val="auto"/>
                <w:sz w:val="24"/>
                <w:highlight w:val="none"/>
              </w:rPr>
            </w:pPr>
          </w:p>
        </w:tc>
      </w:tr>
      <w:tr w14:paraId="727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8647" w:type="dxa"/>
            <w:gridSpan w:val="8"/>
            <w:tcBorders>
              <w:bottom w:val="single" w:color="auto" w:sz="4" w:space="0"/>
            </w:tcBorders>
            <w:vAlign w:val="center"/>
          </w:tcPr>
          <w:p w14:paraId="21629A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7C96C1F">
      <w:pPr>
        <w:pStyle w:val="13"/>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9DAF60D">
      <w:pPr>
        <w:pStyle w:val="9"/>
        <w:keepNext w:val="0"/>
        <w:keepLines w:val="0"/>
        <w:pageBreakBefore w:val="0"/>
        <w:kinsoku/>
        <w:wordWrap/>
        <w:overflowPunct/>
        <w:topLinePunct w:val="0"/>
        <w:bidi w:val="0"/>
        <w:jc w:val="both"/>
        <w:outlineLvl w:val="9"/>
        <w:rPr>
          <w:rFonts w:hint="eastAsia"/>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_GBK">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7B2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FA48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FFA48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366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BF6E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0BF6E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313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C7A310">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WsEJcDcCAABx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XxmdIAAAAEAQAADwAAAAAAAAABACAAAAAiAAAAZHJzL2Rvd25yZXYueG1s&#10;UEsBAhQAFAAAAAgAh07iQFrBCXA3AgAAcQQAAA4AAAAAAAAAAQAgAAAAIQEAAGRycy9lMm9Eb2Mu&#10;eG1sUEsFBgAAAAAGAAYAWQEAAMoFAAAAAA==&#10;">
              <v:fill on="f" focussize="0,0"/>
              <v:stroke on="f" weight="0.5pt"/>
              <v:imagedata o:title=""/>
              <o:lock v:ext="edit" aspectratio="f"/>
              <v:textbox inset="0mm,0mm,0mm,0mm" style="mso-fit-shape-to-text:t;">
                <w:txbxContent>
                  <w:p w14:paraId="64C7A310">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9CA7">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61B7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9A61B7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5334">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路桥区公共充电桩建设项目（二期）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20E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BC6EE1E5"/>
    <w:multiLevelType w:val="singleLevel"/>
    <w:tmpl w:val="BC6EE1E5"/>
    <w:lvl w:ilvl="0" w:tentative="0">
      <w:start w:val="4"/>
      <w:numFmt w:val="decimal"/>
      <w:suff w:val="nothing"/>
      <w:lvlText w:val="%1、"/>
      <w:lvlJc w:val="left"/>
    </w:lvl>
  </w:abstractNum>
  <w:abstractNum w:abstractNumId="2">
    <w:nsid w:val="C796B66B"/>
    <w:multiLevelType w:val="singleLevel"/>
    <w:tmpl w:val="C796B66B"/>
    <w:lvl w:ilvl="0" w:tentative="0">
      <w:start w:val="1"/>
      <w:numFmt w:val="decimal"/>
      <w:suff w:val="nothing"/>
      <w:lvlText w:val="%1）"/>
      <w:lvlJc w:val="left"/>
    </w:lvl>
  </w:abstractNum>
  <w:abstractNum w:abstractNumId="3">
    <w:nsid w:val="3DC6263D"/>
    <w:multiLevelType w:val="multilevel"/>
    <w:tmpl w:val="3DC6263D"/>
    <w:lvl w:ilvl="0" w:tentative="0">
      <w:start w:val="1"/>
      <w:numFmt w:val="decimal"/>
      <w:suff w:val="noth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5">
    <w:nsid w:val="71834354"/>
    <w:multiLevelType w:val="singleLevel"/>
    <w:tmpl w:val="71834354"/>
    <w:lvl w:ilvl="0" w:tentative="0">
      <w:start w:val="18"/>
      <w:numFmt w:val="decimal"/>
      <w:suff w:val="nothing"/>
      <w:lvlText w:val="%1、"/>
      <w:lvlJc w:val="left"/>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zYyZWE5ZWEyN2M0NmU1ZTBjZWYxNjIxYjFiMWIifQ=="/>
  </w:docVars>
  <w:rsids>
    <w:rsidRoot w:val="00BE3149"/>
    <w:rsid w:val="0008396C"/>
    <w:rsid w:val="003C6577"/>
    <w:rsid w:val="00532108"/>
    <w:rsid w:val="007278D3"/>
    <w:rsid w:val="009C24C1"/>
    <w:rsid w:val="009C6908"/>
    <w:rsid w:val="009E7B9B"/>
    <w:rsid w:val="00BE3149"/>
    <w:rsid w:val="00C50B26"/>
    <w:rsid w:val="00D27694"/>
    <w:rsid w:val="00E04ED8"/>
    <w:rsid w:val="00E418C1"/>
    <w:rsid w:val="00FF74E6"/>
    <w:rsid w:val="011912C7"/>
    <w:rsid w:val="01711CC9"/>
    <w:rsid w:val="018351BC"/>
    <w:rsid w:val="01A05F9C"/>
    <w:rsid w:val="01C40DDD"/>
    <w:rsid w:val="01CF6F44"/>
    <w:rsid w:val="02C726A7"/>
    <w:rsid w:val="02E24306"/>
    <w:rsid w:val="03774435"/>
    <w:rsid w:val="03783DF9"/>
    <w:rsid w:val="04127F24"/>
    <w:rsid w:val="04185410"/>
    <w:rsid w:val="043F7FC4"/>
    <w:rsid w:val="04683DFB"/>
    <w:rsid w:val="04FB75F2"/>
    <w:rsid w:val="05723C7C"/>
    <w:rsid w:val="05D45ACB"/>
    <w:rsid w:val="063F254B"/>
    <w:rsid w:val="06C83850"/>
    <w:rsid w:val="074958E1"/>
    <w:rsid w:val="078F7797"/>
    <w:rsid w:val="07E46324"/>
    <w:rsid w:val="080D1B33"/>
    <w:rsid w:val="08390248"/>
    <w:rsid w:val="08470072"/>
    <w:rsid w:val="08A45B87"/>
    <w:rsid w:val="08AA0601"/>
    <w:rsid w:val="08CE00D2"/>
    <w:rsid w:val="0918738E"/>
    <w:rsid w:val="093920B1"/>
    <w:rsid w:val="093D586A"/>
    <w:rsid w:val="09865EB3"/>
    <w:rsid w:val="09D759BE"/>
    <w:rsid w:val="09E03F7D"/>
    <w:rsid w:val="0A432ABB"/>
    <w:rsid w:val="0A470307"/>
    <w:rsid w:val="0A657F05"/>
    <w:rsid w:val="0AE56754"/>
    <w:rsid w:val="0AF64F0D"/>
    <w:rsid w:val="0B117EAB"/>
    <w:rsid w:val="0B386398"/>
    <w:rsid w:val="0B793A50"/>
    <w:rsid w:val="0BA94BA0"/>
    <w:rsid w:val="0BAE43CC"/>
    <w:rsid w:val="0BF70001"/>
    <w:rsid w:val="0BF958B7"/>
    <w:rsid w:val="0C60081E"/>
    <w:rsid w:val="0D1F4CD0"/>
    <w:rsid w:val="0DDE4FD5"/>
    <w:rsid w:val="0E252C04"/>
    <w:rsid w:val="0E2D3866"/>
    <w:rsid w:val="0E910299"/>
    <w:rsid w:val="0ED0482B"/>
    <w:rsid w:val="0F55637C"/>
    <w:rsid w:val="0F6D69BB"/>
    <w:rsid w:val="0FDD3EE0"/>
    <w:rsid w:val="10301643"/>
    <w:rsid w:val="10C76AC0"/>
    <w:rsid w:val="11B040F7"/>
    <w:rsid w:val="11D4636C"/>
    <w:rsid w:val="11DC3407"/>
    <w:rsid w:val="11E41C20"/>
    <w:rsid w:val="121665CB"/>
    <w:rsid w:val="12210DA2"/>
    <w:rsid w:val="125860AD"/>
    <w:rsid w:val="129F00C1"/>
    <w:rsid w:val="12EC03CE"/>
    <w:rsid w:val="14F30402"/>
    <w:rsid w:val="163A1216"/>
    <w:rsid w:val="163E01CD"/>
    <w:rsid w:val="16476EFA"/>
    <w:rsid w:val="16A5353A"/>
    <w:rsid w:val="16B71EF5"/>
    <w:rsid w:val="176D5A98"/>
    <w:rsid w:val="17DBE74C"/>
    <w:rsid w:val="18200CA5"/>
    <w:rsid w:val="18CD417F"/>
    <w:rsid w:val="19020490"/>
    <w:rsid w:val="19036736"/>
    <w:rsid w:val="19DB6DE3"/>
    <w:rsid w:val="19DE008F"/>
    <w:rsid w:val="19F66085"/>
    <w:rsid w:val="1A6C1BE4"/>
    <w:rsid w:val="1A7935F0"/>
    <w:rsid w:val="1B0B45A2"/>
    <w:rsid w:val="1B243159"/>
    <w:rsid w:val="1B291859"/>
    <w:rsid w:val="1B340B74"/>
    <w:rsid w:val="1B3609F4"/>
    <w:rsid w:val="1B480C8D"/>
    <w:rsid w:val="1B657549"/>
    <w:rsid w:val="1B911640"/>
    <w:rsid w:val="1B9C1699"/>
    <w:rsid w:val="1C300489"/>
    <w:rsid w:val="1D414B9C"/>
    <w:rsid w:val="1D9331D7"/>
    <w:rsid w:val="1DC97243"/>
    <w:rsid w:val="1E0F3628"/>
    <w:rsid w:val="1EC85453"/>
    <w:rsid w:val="1FF322BA"/>
    <w:rsid w:val="22A703F1"/>
    <w:rsid w:val="22F4099F"/>
    <w:rsid w:val="22F5243F"/>
    <w:rsid w:val="230A4D7A"/>
    <w:rsid w:val="239C52BE"/>
    <w:rsid w:val="24BE3012"/>
    <w:rsid w:val="24E24157"/>
    <w:rsid w:val="25A81D13"/>
    <w:rsid w:val="26215F4F"/>
    <w:rsid w:val="269E7683"/>
    <w:rsid w:val="26B309BA"/>
    <w:rsid w:val="26DC1BC7"/>
    <w:rsid w:val="285C3FBB"/>
    <w:rsid w:val="29916F47"/>
    <w:rsid w:val="29953E28"/>
    <w:rsid w:val="29FA485E"/>
    <w:rsid w:val="2A7D74CC"/>
    <w:rsid w:val="2B497705"/>
    <w:rsid w:val="2B577D1D"/>
    <w:rsid w:val="2BB93931"/>
    <w:rsid w:val="2BC03B14"/>
    <w:rsid w:val="2BD27BD7"/>
    <w:rsid w:val="2C1D2D6A"/>
    <w:rsid w:val="2C4A2DD4"/>
    <w:rsid w:val="2C9C3591"/>
    <w:rsid w:val="2CD45AC9"/>
    <w:rsid w:val="2D5F4A20"/>
    <w:rsid w:val="2EEF9EA2"/>
    <w:rsid w:val="2EF46E3D"/>
    <w:rsid w:val="2F21306E"/>
    <w:rsid w:val="2FC54D4F"/>
    <w:rsid w:val="30937A49"/>
    <w:rsid w:val="31531CF3"/>
    <w:rsid w:val="315973DA"/>
    <w:rsid w:val="316D3DF6"/>
    <w:rsid w:val="318404D7"/>
    <w:rsid w:val="31B84D11"/>
    <w:rsid w:val="320D56E5"/>
    <w:rsid w:val="334728E3"/>
    <w:rsid w:val="33BC5C43"/>
    <w:rsid w:val="346239BA"/>
    <w:rsid w:val="34CE10E4"/>
    <w:rsid w:val="35050484"/>
    <w:rsid w:val="3521215B"/>
    <w:rsid w:val="353E03D7"/>
    <w:rsid w:val="35596B81"/>
    <w:rsid w:val="357A6343"/>
    <w:rsid w:val="35BC506C"/>
    <w:rsid w:val="36566500"/>
    <w:rsid w:val="3660230D"/>
    <w:rsid w:val="36B81FB7"/>
    <w:rsid w:val="379B7E94"/>
    <w:rsid w:val="38601D19"/>
    <w:rsid w:val="38BA3E8B"/>
    <w:rsid w:val="3985243E"/>
    <w:rsid w:val="39E11825"/>
    <w:rsid w:val="3A2435CC"/>
    <w:rsid w:val="3A594621"/>
    <w:rsid w:val="3A7A6F1E"/>
    <w:rsid w:val="3AAD7959"/>
    <w:rsid w:val="3AC0520D"/>
    <w:rsid w:val="3AE10DD4"/>
    <w:rsid w:val="3B1E5142"/>
    <w:rsid w:val="3B404B41"/>
    <w:rsid w:val="3BDEEF80"/>
    <w:rsid w:val="3C0214CF"/>
    <w:rsid w:val="3C9E13D2"/>
    <w:rsid w:val="3CA8487C"/>
    <w:rsid w:val="3D883924"/>
    <w:rsid w:val="3E5544E8"/>
    <w:rsid w:val="3F37556C"/>
    <w:rsid w:val="3FAD415A"/>
    <w:rsid w:val="3FF00AD9"/>
    <w:rsid w:val="401969AC"/>
    <w:rsid w:val="40A11645"/>
    <w:rsid w:val="40A46D56"/>
    <w:rsid w:val="4157061F"/>
    <w:rsid w:val="41880F2F"/>
    <w:rsid w:val="424211B6"/>
    <w:rsid w:val="42E31B7D"/>
    <w:rsid w:val="42F779C3"/>
    <w:rsid w:val="43A811AA"/>
    <w:rsid w:val="43AA0C58"/>
    <w:rsid w:val="43F557C9"/>
    <w:rsid w:val="44313A14"/>
    <w:rsid w:val="447C182F"/>
    <w:rsid w:val="44CE3F11"/>
    <w:rsid w:val="44EB50AE"/>
    <w:rsid w:val="45EF59D2"/>
    <w:rsid w:val="461B5842"/>
    <w:rsid w:val="463C11FB"/>
    <w:rsid w:val="465308D4"/>
    <w:rsid w:val="46915B03"/>
    <w:rsid w:val="46C32CE7"/>
    <w:rsid w:val="46C76A30"/>
    <w:rsid w:val="46D83D9B"/>
    <w:rsid w:val="47146CF3"/>
    <w:rsid w:val="471F2A33"/>
    <w:rsid w:val="47C11F07"/>
    <w:rsid w:val="48DD5981"/>
    <w:rsid w:val="4950607F"/>
    <w:rsid w:val="4961524F"/>
    <w:rsid w:val="49E36DCB"/>
    <w:rsid w:val="4A9D3546"/>
    <w:rsid w:val="4AA1048C"/>
    <w:rsid w:val="4AFC64BF"/>
    <w:rsid w:val="4AFF1C62"/>
    <w:rsid w:val="4B19114F"/>
    <w:rsid w:val="4C1B71DF"/>
    <w:rsid w:val="4C997D3D"/>
    <w:rsid w:val="4CC55D8E"/>
    <w:rsid w:val="4D0B1489"/>
    <w:rsid w:val="4D665E71"/>
    <w:rsid w:val="4D907A9D"/>
    <w:rsid w:val="4D97427D"/>
    <w:rsid w:val="4E4853A4"/>
    <w:rsid w:val="4E677132"/>
    <w:rsid w:val="4E6D76D3"/>
    <w:rsid w:val="4F2D7EF4"/>
    <w:rsid w:val="516A32EF"/>
    <w:rsid w:val="516C3C72"/>
    <w:rsid w:val="516E79EA"/>
    <w:rsid w:val="52060D2B"/>
    <w:rsid w:val="52091939"/>
    <w:rsid w:val="521F4076"/>
    <w:rsid w:val="531571CA"/>
    <w:rsid w:val="53CA4C80"/>
    <w:rsid w:val="53F157FF"/>
    <w:rsid w:val="548D3CCE"/>
    <w:rsid w:val="54AA11BC"/>
    <w:rsid w:val="55002762"/>
    <w:rsid w:val="552A7E3D"/>
    <w:rsid w:val="555A498F"/>
    <w:rsid w:val="555C23B7"/>
    <w:rsid w:val="56334A1C"/>
    <w:rsid w:val="57340D8E"/>
    <w:rsid w:val="576A47B0"/>
    <w:rsid w:val="5808288F"/>
    <w:rsid w:val="58C16652"/>
    <w:rsid w:val="58E7215A"/>
    <w:rsid w:val="58F01019"/>
    <w:rsid w:val="59E47FDE"/>
    <w:rsid w:val="5A827487"/>
    <w:rsid w:val="5AAC50E0"/>
    <w:rsid w:val="5AFF4560"/>
    <w:rsid w:val="5BBF3EE8"/>
    <w:rsid w:val="5BD90D5B"/>
    <w:rsid w:val="5C76381C"/>
    <w:rsid w:val="5C814695"/>
    <w:rsid w:val="5CFC0C63"/>
    <w:rsid w:val="5CFC40FC"/>
    <w:rsid w:val="5D1C4ACD"/>
    <w:rsid w:val="5D2268C3"/>
    <w:rsid w:val="5E1F1821"/>
    <w:rsid w:val="5E5835B4"/>
    <w:rsid w:val="5F046719"/>
    <w:rsid w:val="5F553F98"/>
    <w:rsid w:val="5FC86CCC"/>
    <w:rsid w:val="603A6A3C"/>
    <w:rsid w:val="60F35D85"/>
    <w:rsid w:val="6107533A"/>
    <w:rsid w:val="6199472F"/>
    <w:rsid w:val="61FB57CA"/>
    <w:rsid w:val="624D5AE4"/>
    <w:rsid w:val="62F154D7"/>
    <w:rsid w:val="63292943"/>
    <w:rsid w:val="634F4D8F"/>
    <w:rsid w:val="63655000"/>
    <w:rsid w:val="636817E0"/>
    <w:rsid w:val="64AC7B40"/>
    <w:rsid w:val="65DD5EC1"/>
    <w:rsid w:val="65DE4CE7"/>
    <w:rsid w:val="663C1A0D"/>
    <w:rsid w:val="6691224A"/>
    <w:rsid w:val="66A44E08"/>
    <w:rsid w:val="66A50792"/>
    <w:rsid w:val="66EA76BB"/>
    <w:rsid w:val="670C1258"/>
    <w:rsid w:val="67150701"/>
    <w:rsid w:val="67777002"/>
    <w:rsid w:val="677D22DE"/>
    <w:rsid w:val="67AC4C6B"/>
    <w:rsid w:val="67B26DF5"/>
    <w:rsid w:val="68007583"/>
    <w:rsid w:val="681A5F3B"/>
    <w:rsid w:val="684271EB"/>
    <w:rsid w:val="688C1EC1"/>
    <w:rsid w:val="688D7251"/>
    <w:rsid w:val="68F0466E"/>
    <w:rsid w:val="695F6A02"/>
    <w:rsid w:val="698C7289"/>
    <w:rsid w:val="6A226F09"/>
    <w:rsid w:val="6AB70450"/>
    <w:rsid w:val="6C07661A"/>
    <w:rsid w:val="6D700658"/>
    <w:rsid w:val="6D955625"/>
    <w:rsid w:val="6DC31857"/>
    <w:rsid w:val="6E262897"/>
    <w:rsid w:val="6E6953FF"/>
    <w:rsid w:val="6E7F2AC4"/>
    <w:rsid w:val="6EC241C4"/>
    <w:rsid w:val="6ECF78C3"/>
    <w:rsid w:val="6FF6E4D1"/>
    <w:rsid w:val="70756248"/>
    <w:rsid w:val="70AC4B33"/>
    <w:rsid w:val="710A4BF0"/>
    <w:rsid w:val="713826BC"/>
    <w:rsid w:val="717E68EB"/>
    <w:rsid w:val="7241279E"/>
    <w:rsid w:val="725B146D"/>
    <w:rsid w:val="729E1CEF"/>
    <w:rsid w:val="72D67D2E"/>
    <w:rsid w:val="73256E05"/>
    <w:rsid w:val="73641828"/>
    <w:rsid w:val="737E0B7F"/>
    <w:rsid w:val="73A067D6"/>
    <w:rsid w:val="743979EA"/>
    <w:rsid w:val="752F3969"/>
    <w:rsid w:val="75391A55"/>
    <w:rsid w:val="75467A02"/>
    <w:rsid w:val="76124539"/>
    <w:rsid w:val="761E3652"/>
    <w:rsid w:val="76714835"/>
    <w:rsid w:val="76A52736"/>
    <w:rsid w:val="76F013D9"/>
    <w:rsid w:val="770A7D21"/>
    <w:rsid w:val="770B44C5"/>
    <w:rsid w:val="77754D7F"/>
    <w:rsid w:val="77ABBA68"/>
    <w:rsid w:val="782A5B6A"/>
    <w:rsid w:val="78947F66"/>
    <w:rsid w:val="79662895"/>
    <w:rsid w:val="79FDB3E3"/>
    <w:rsid w:val="7A3D23EC"/>
    <w:rsid w:val="7B063F5D"/>
    <w:rsid w:val="7B376CA9"/>
    <w:rsid w:val="7BB9856C"/>
    <w:rsid w:val="7BFEECFC"/>
    <w:rsid w:val="7C8D3DAD"/>
    <w:rsid w:val="7C9223A8"/>
    <w:rsid w:val="7CA51D12"/>
    <w:rsid w:val="7CEBAE7E"/>
    <w:rsid w:val="7D3D633F"/>
    <w:rsid w:val="7DDFAE00"/>
    <w:rsid w:val="7DFC0964"/>
    <w:rsid w:val="7E003285"/>
    <w:rsid w:val="7E637CF6"/>
    <w:rsid w:val="7E8F66FC"/>
    <w:rsid w:val="7EF26CB5"/>
    <w:rsid w:val="7F3D43D5"/>
    <w:rsid w:val="7FAC3308"/>
    <w:rsid w:val="7FBB67A7"/>
    <w:rsid w:val="7FBC4F3A"/>
    <w:rsid w:val="7FDEA359"/>
    <w:rsid w:val="7FE9BC4F"/>
    <w:rsid w:val="7FFB1729"/>
    <w:rsid w:val="7FFFDD53"/>
    <w:rsid w:val="AC1D085A"/>
    <w:rsid w:val="B7DFF465"/>
    <w:rsid w:val="BBD7D8BA"/>
    <w:rsid w:val="BCBEDFDD"/>
    <w:rsid w:val="C6FF3F95"/>
    <w:rsid w:val="CFF7F366"/>
    <w:rsid w:val="DEF1BCCE"/>
    <w:rsid w:val="EDEB0E41"/>
    <w:rsid w:val="EE0E49FE"/>
    <w:rsid w:val="EFADB752"/>
    <w:rsid w:val="F6BEFDF0"/>
    <w:rsid w:val="FC7FF8B8"/>
    <w:rsid w:val="FD9D22E3"/>
    <w:rsid w:val="FE3DDB45"/>
    <w:rsid w:val="FE7E3BB4"/>
    <w:rsid w:val="FFBB441C"/>
    <w:rsid w:val="FFDB5F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28"/>
    <w:autoRedefine/>
    <w:qFormat/>
    <w:uiPriority w:val="99"/>
    <w:pPr>
      <w:spacing w:after="120"/>
      <w:ind w:left="420" w:leftChars="200"/>
    </w:p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spacing w:line="480" w:lineRule="auto"/>
      <w:ind w:left="200" w:leftChars="200"/>
    </w:pPr>
  </w:style>
  <w:style w:type="paragraph" w:styleId="8">
    <w:name w:val="annotation text"/>
    <w:basedOn w:val="1"/>
    <w:autoRedefine/>
    <w:qFormat/>
    <w:uiPriority w:val="0"/>
    <w:pPr>
      <w:jc w:val="left"/>
    </w:pPr>
  </w:style>
  <w:style w:type="paragraph" w:styleId="9">
    <w:name w:val="Body Text"/>
    <w:basedOn w:val="1"/>
    <w:next w:val="10"/>
    <w:link w:val="27"/>
    <w:autoRedefine/>
    <w:semiHidden/>
    <w:unhideWhenUsed/>
    <w:qFormat/>
    <w:uiPriority w:val="99"/>
    <w:pPr>
      <w:spacing w:after="120"/>
    </w:pPr>
  </w:style>
  <w:style w:type="paragraph" w:styleId="10">
    <w:name w:val="Body Text First Indent"/>
    <w:basedOn w:val="9"/>
    <w:next w:val="1"/>
    <w:autoRedefine/>
    <w:qFormat/>
    <w:uiPriority w:val="0"/>
    <w:pPr>
      <w:ind w:firstLine="420" w:firstLineChars="1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2">
    <w:name w:val="Plain Text"/>
    <w:basedOn w:val="1"/>
    <w:next w:val="1"/>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29"/>
    <w:autoRedefine/>
    <w:semiHidden/>
    <w:unhideWhenUsed/>
    <w:qFormat/>
    <w:uiPriority w:val="99"/>
    <w:rPr>
      <w:sz w:val="18"/>
      <w:szCs w:val="18"/>
    </w:rPr>
  </w:style>
  <w:style w:type="paragraph" w:styleId="15">
    <w:name w:val="footer"/>
    <w:basedOn w:val="1"/>
    <w:link w:val="26"/>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autoRedefine/>
    <w:unhideWhenUsed/>
    <w:qFormat/>
    <w:uiPriority w:val="0"/>
    <w:rPr>
      <w:color w:val="0000FF"/>
      <w:u w:val="single"/>
    </w:rPr>
  </w:style>
  <w:style w:type="paragraph" w:customStyle="1" w:styleId="23">
    <w:name w:val="[Normal]"/>
    <w:autoRedefine/>
    <w:qFormat/>
    <w:uiPriority w:val="0"/>
    <w:rPr>
      <w:rFonts w:ascii="宋体" w:hAnsi="宋体" w:eastAsia="宋体" w:cs="Times New Roman"/>
      <w:sz w:val="24"/>
      <w:szCs w:val="22"/>
      <w:lang w:val="zh-CN" w:eastAsia="zh-CN" w:bidi="ar-SA"/>
    </w:rPr>
  </w:style>
  <w:style w:type="paragraph" w:customStyle="1" w:styleId="24">
    <w:name w:val="表格文字"/>
    <w:basedOn w:val="1"/>
    <w:next w:val="9"/>
    <w:autoRedefine/>
    <w:qFormat/>
    <w:uiPriority w:val="99"/>
    <w:pPr>
      <w:adjustRightInd w:val="0"/>
      <w:spacing w:line="420" w:lineRule="atLeast"/>
      <w:jc w:val="left"/>
      <w:textAlignment w:val="baseline"/>
    </w:pPr>
    <w:rPr>
      <w:kern w:val="0"/>
    </w:rPr>
  </w:style>
  <w:style w:type="character" w:customStyle="1" w:styleId="25">
    <w:name w:val="页眉 Char"/>
    <w:basedOn w:val="21"/>
    <w:link w:val="16"/>
    <w:autoRedefine/>
    <w:semiHidden/>
    <w:qFormat/>
    <w:uiPriority w:val="99"/>
    <w:rPr>
      <w:sz w:val="18"/>
      <w:szCs w:val="18"/>
    </w:rPr>
  </w:style>
  <w:style w:type="character" w:customStyle="1" w:styleId="26">
    <w:name w:val="页脚 Char"/>
    <w:basedOn w:val="21"/>
    <w:link w:val="15"/>
    <w:autoRedefine/>
    <w:semiHidden/>
    <w:qFormat/>
    <w:uiPriority w:val="99"/>
    <w:rPr>
      <w:sz w:val="18"/>
      <w:szCs w:val="18"/>
    </w:rPr>
  </w:style>
  <w:style w:type="character" w:customStyle="1" w:styleId="27">
    <w:name w:val="正文文本 Char"/>
    <w:basedOn w:val="21"/>
    <w:link w:val="9"/>
    <w:autoRedefine/>
    <w:semiHidden/>
    <w:qFormat/>
    <w:uiPriority w:val="99"/>
    <w:rPr>
      <w:rFonts w:ascii="Times New Roman" w:hAnsi="Times New Roman" w:eastAsia="宋体" w:cs="Times New Roman"/>
      <w:szCs w:val="24"/>
    </w:rPr>
  </w:style>
  <w:style w:type="character" w:customStyle="1" w:styleId="28">
    <w:name w:val="正文文本缩进 Char"/>
    <w:basedOn w:val="21"/>
    <w:link w:val="3"/>
    <w:autoRedefine/>
    <w:qFormat/>
    <w:uiPriority w:val="99"/>
    <w:rPr>
      <w:rFonts w:ascii="Times New Roman" w:hAnsi="Times New Roman" w:eastAsia="宋体" w:cs="Times New Roman"/>
      <w:szCs w:val="24"/>
    </w:rPr>
  </w:style>
  <w:style w:type="character" w:customStyle="1" w:styleId="29">
    <w:name w:val="批注框文本 Char"/>
    <w:basedOn w:val="21"/>
    <w:link w:val="14"/>
    <w:autoRedefine/>
    <w:semiHidden/>
    <w:qFormat/>
    <w:uiPriority w:val="99"/>
    <w:rPr>
      <w:rFonts w:ascii="Times New Roman" w:hAnsi="Times New Roman" w:eastAsia="宋体" w:cs="Times New Roman"/>
      <w:sz w:val="18"/>
      <w:szCs w:val="18"/>
    </w:rPr>
  </w:style>
  <w:style w:type="character" w:customStyle="1" w:styleId="30">
    <w:name w:val="无"/>
    <w:autoRedefine/>
    <w:qFormat/>
    <w:uiPriority w:val="99"/>
  </w:style>
  <w:style w:type="paragraph" w:customStyle="1" w:styleId="3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autoRedefine/>
    <w:qFormat/>
    <w:uiPriority w:val="99"/>
    <w:rPr>
      <w:rFonts w:ascii="Times New Roman" w:hAnsi="Times New Roman" w:eastAsia="宋体" w:cs="Times New Roman"/>
      <w:sz w:val="21"/>
      <w:szCs w:val="22"/>
      <w:lang w:val="en-US" w:eastAsia="zh-CN" w:bidi="ar-SA"/>
    </w:rPr>
  </w:style>
  <w:style w:type="paragraph" w:customStyle="1" w:styleId="3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autoRedefine/>
    <w:qFormat/>
    <w:uiPriority w:val="99"/>
    <w:pPr>
      <w:widowControl/>
      <w:jc w:val="left"/>
    </w:pPr>
    <w:rPr>
      <w:rFonts w:ascii="宋体" w:hAnsi="Courier New"/>
      <w:szCs w:val="21"/>
    </w:rPr>
  </w:style>
  <w:style w:type="paragraph" w:customStyle="1" w:styleId="40">
    <w:name w:val="纯文本_0_1"/>
    <w:basedOn w:val="1"/>
    <w:qFormat/>
    <w:uiPriority w:val="99"/>
    <w:pPr>
      <w:widowControl/>
      <w:jc w:val="left"/>
    </w:pPr>
    <w:rPr>
      <w:rFonts w:ascii="宋体" w:hAnsi="Courier New"/>
      <w:szCs w:val="21"/>
    </w:rPr>
  </w:style>
  <w:style w:type="paragraph" w:customStyle="1" w:styleId="4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6">
    <w:name w:val="List Paragraph"/>
    <w:basedOn w:val="1"/>
    <w:qFormat/>
    <w:uiPriority w:val="0"/>
    <w:pPr>
      <w:ind w:firstLine="420" w:firstLineChars="200"/>
    </w:pPr>
    <w:rPr>
      <w:rFonts w:ascii="Calibri" w:hAnsi="Calibri"/>
      <w:szCs w:val="22"/>
    </w:rPr>
  </w:style>
  <w:style w:type="character" w:customStyle="1" w:styleId="47">
    <w:name w:val="标题 2 Char1"/>
    <w:qFormat/>
    <w:uiPriority w:val="0"/>
    <w:rPr>
      <w:rFonts w:ascii="Arial" w:hAnsi="Arial" w:eastAsia="黑体"/>
      <w:b/>
      <w:bCs/>
      <w:kern w:val="2"/>
      <w:sz w:val="30"/>
      <w:szCs w:val="32"/>
      <w:lang w:val="en-US" w:eastAsia="zh-CN" w:bidi="ar-SA"/>
    </w:rPr>
  </w:style>
  <w:style w:type="character" w:customStyle="1" w:styleId="48">
    <w:name w:val="标题 2 Char"/>
    <w:qFormat/>
    <w:uiPriority w:val="0"/>
    <w:rPr>
      <w:rFonts w:ascii="Arial" w:hAnsi="Arial" w:eastAsia="黑体"/>
      <w:b/>
      <w:bCs/>
      <w:kern w:val="2"/>
      <w:sz w:val="30"/>
      <w:szCs w:val="32"/>
      <w:lang w:val="en-US" w:eastAsia="zh-CN" w:bidi="ar-SA"/>
    </w:rPr>
  </w:style>
  <w:style w:type="paragraph" w:customStyle="1" w:styleId="49">
    <w:name w:val="表格文本"/>
    <w:basedOn w:val="1"/>
    <w:qFormat/>
    <w:uiPriority w:val="0"/>
    <w:pPr>
      <w:spacing w:before="120" w:after="120"/>
    </w:pPr>
    <w:rPr>
      <w:rFonts w:cs="黑体"/>
      <w:sz w:val="21"/>
      <w:szCs w:val="21"/>
    </w:rPr>
  </w:style>
  <w:style w:type="paragraph" w:customStyle="1" w:styleId="50">
    <w:name w:val="纯文本1"/>
    <w:basedOn w:val="45"/>
    <w:qFormat/>
    <w:uiPriority w:val="0"/>
    <w:pPr>
      <w:widowControl/>
      <w:jc w:val="left"/>
    </w:pPr>
    <w:rPr>
      <w:rFonts w:ascii="宋体" w:hAnsi="Courier New"/>
      <w:szCs w:val="20"/>
    </w:rPr>
  </w:style>
  <w:style w:type="paragraph" w:customStyle="1" w:styleId="51">
    <w:name w:val="正文（首行缩进2字符）"/>
    <w:basedOn w:val="1"/>
    <w:qFormat/>
    <w:uiPriority w:val="0"/>
    <w:pPr>
      <w:ind w:firstLine="480" w:firstLineChars="200"/>
    </w:pPr>
    <w:rPr>
      <w:sz w:val="24"/>
      <w:szCs w:val="20"/>
    </w:rPr>
  </w:style>
  <w:style w:type="character" w:customStyle="1" w:styleId="52">
    <w:name w:val="NormalCharacter"/>
    <w:semiHidden/>
    <w:qFormat/>
    <w:uiPriority w:val="0"/>
  </w:style>
  <w:style w:type="table" w:customStyle="1" w:styleId="53">
    <w:name w:val="Table Normal"/>
    <w:autoRedefine/>
    <w:unhideWhenUsed/>
    <w:qFormat/>
    <w:uiPriority w:val="0"/>
    <w:tblPr>
      <w:tblCellMar>
        <w:top w:w="0" w:type="dxa"/>
        <w:left w:w="0" w:type="dxa"/>
        <w:bottom w:w="0" w:type="dxa"/>
        <w:right w:w="0" w:type="dxa"/>
      </w:tblCellMar>
    </w:tblPr>
  </w:style>
  <w:style w:type="paragraph" w:customStyle="1" w:styleId="54">
    <w:name w:val="Heading #2|1"/>
    <w:basedOn w:val="1"/>
    <w:qFormat/>
    <w:uiPriority w:val="0"/>
    <w:pPr>
      <w:spacing w:after="320"/>
      <w:ind w:right="280"/>
      <w:jc w:val="center"/>
      <w:outlineLvl w:val="1"/>
    </w:pPr>
    <w:rPr>
      <w:rFonts w:ascii="宋体" w:hAnsi="宋体" w:cs="宋体"/>
      <w:sz w:val="34"/>
      <w:szCs w:val="34"/>
      <w:lang w:val="zh-TW" w:eastAsia="zh-TW" w:bidi="zh-TW"/>
    </w:rPr>
  </w:style>
  <w:style w:type="paragraph" w:customStyle="1" w:styleId="55">
    <w:name w:val="Body text|1"/>
    <w:basedOn w:val="1"/>
    <w:qFormat/>
    <w:uiPriority w:val="0"/>
    <w:pPr>
      <w:widowControl w:val="0"/>
      <w:shd w:val="clear" w:color="auto" w:fill="auto"/>
      <w:spacing w:line="430" w:lineRule="auto"/>
      <w:ind w:firstLine="320"/>
    </w:pPr>
    <w:rPr>
      <w:rFonts w:ascii="宋体" w:hAnsi="宋体" w:eastAsia="宋体" w:cs="宋体"/>
      <w:sz w:val="22"/>
      <w:szCs w:val="22"/>
      <w:u w:val="none"/>
      <w:shd w:val="clear" w:color="auto" w:fill="auto"/>
      <w:lang w:val="zh-TW" w:eastAsia="zh-TW" w:bidi="zh-TW"/>
    </w:rPr>
  </w:style>
  <w:style w:type="paragraph" w:customStyle="1" w:styleId="56">
    <w:name w:val="列出段落2"/>
    <w:basedOn w:val="1"/>
    <w:qFormat/>
    <w:uiPriority w:val="99"/>
    <w:pPr>
      <w:ind w:firstLine="200" w:firstLineChars="200"/>
    </w:pPr>
  </w:style>
  <w:style w:type="character" w:customStyle="1" w:styleId="57">
    <w:name w:val="font11"/>
    <w:basedOn w:val="21"/>
    <w:qFormat/>
    <w:uiPriority w:val="0"/>
    <w:rPr>
      <w:rFonts w:hint="default" w:ascii="方正书宋_GBK" w:hAnsi="方正书宋_GBK" w:eastAsia="方正书宋_GBK" w:cs="方正书宋_GBK"/>
      <w:color w:val="000000"/>
      <w:sz w:val="20"/>
      <w:szCs w:val="20"/>
      <w:u w:val="none"/>
    </w:rPr>
  </w:style>
  <w:style w:type="character" w:customStyle="1" w:styleId="58">
    <w:name w:val="font01"/>
    <w:basedOn w:val="21"/>
    <w:qFormat/>
    <w:uiPriority w:val="0"/>
    <w:rPr>
      <w:rFonts w:hint="default" w:ascii="Arial" w:hAnsi="Arial" w:cs="Arial"/>
      <w:color w:val="000000"/>
      <w:sz w:val="20"/>
      <w:szCs w:val="20"/>
      <w:u w:val="none"/>
    </w:rPr>
  </w:style>
  <w:style w:type="character" w:customStyle="1" w:styleId="59">
    <w:name w:val="font21"/>
    <w:basedOn w:val="21"/>
    <w:qFormat/>
    <w:uiPriority w:val="0"/>
    <w:rPr>
      <w:rFonts w:hint="default" w:ascii="方正书宋_GBK" w:hAnsi="方正书宋_GBK" w:eastAsia="方正书宋_GBK" w:cs="方正书宋_GBK"/>
      <w:b/>
      <w:bCs/>
      <w:color w:val="000000"/>
      <w:sz w:val="20"/>
      <w:szCs w:val="20"/>
      <w:u w:val="none"/>
    </w:rPr>
  </w:style>
  <w:style w:type="character" w:customStyle="1" w:styleId="60">
    <w:name w:val="font31"/>
    <w:basedOn w:val="21"/>
    <w:qFormat/>
    <w:uiPriority w:val="0"/>
    <w:rPr>
      <w:rFonts w:hint="eastAsia" w:ascii="宋体" w:hAnsi="宋体" w:eastAsia="宋体" w:cs="宋体"/>
      <w:color w:val="000000"/>
      <w:sz w:val="20"/>
      <w:szCs w:val="20"/>
      <w:u w:val="none"/>
    </w:rPr>
  </w:style>
  <w:style w:type="paragraph" w:customStyle="1" w:styleId="61">
    <w:name w:val="段"/>
    <w:qFormat/>
    <w:uiPriority w:val="0"/>
    <w:pPr>
      <w:ind w:firstLine="200" w:firstLineChars="200"/>
      <w:jc w:val="both"/>
    </w:pPr>
    <w:rPr>
      <w:rFonts w:ascii="Times New Roman" w:hAnsi="Times New Roman" w:eastAsia="宋体" w:cs="Times New Roman"/>
      <w:lang w:val="en-US" w:eastAsia="zh-CN" w:bidi="ar-SA"/>
    </w:rPr>
  </w:style>
  <w:style w:type="paragraph" w:customStyle="1" w:styleId="62">
    <w:name w:val="文件正文"/>
    <w:basedOn w:val="1"/>
    <w:qFormat/>
    <w:uiPriority w:val="0"/>
    <w:pPr>
      <w:spacing w:line="288" w:lineRule="auto"/>
      <w:ind w:firstLine="200" w:firstLineChars="200"/>
    </w:pPr>
    <w:rPr>
      <w:rFonts w:ascii="宋体" w:hAnsi="宋体"/>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22316</Words>
  <Characters>24281</Characters>
  <Lines>1</Lines>
  <Paragraphs>1</Paragraphs>
  <TotalTime>9</TotalTime>
  <ScaleCrop>false</ScaleCrop>
  <LinksUpToDate>false</LinksUpToDate>
  <CharactersWithSpaces>24444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2020-03-20T19:00:00Z</dcterms:created>
  <dc:creator>苏彬</dc:creator>
  <cp:lastModifiedBy>招标代理-小管</cp:lastModifiedBy>
  <dcterms:modified xsi:type="dcterms:W3CDTF">2025-06-20T02:29:22Z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F0B4F34CE02D45F0B9EE244AF062B65D_13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