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0593F02">
      <w:pPr>
        <w:rPr>
          <w:rFonts w:hint="eastAsia" w:ascii="宋体" w:hAnsi="宋体" w:eastAsia="宋体" w:cs="宋体"/>
          <w:color w:val="auto"/>
          <w:highlight w:val="none"/>
        </w:rPr>
      </w:pPr>
    </w:p>
    <w:p w14:paraId="5914441F">
      <w:pPr>
        <w:pStyle w:val="7"/>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229870</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69DDE911">
      <w:pPr>
        <w:pStyle w:val="7"/>
        <w:jc w:val="center"/>
        <w:rPr>
          <w:rFonts w:hint="eastAsia" w:ascii="宋体" w:hAnsi="宋体" w:eastAsia="宋体" w:cs="宋体"/>
          <w:color w:val="auto"/>
          <w:highlight w:val="none"/>
        </w:rPr>
      </w:pPr>
    </w:p>
    <w:p w14:paraId="68BBD509">
      <w:pPr>
        <w:pStyle w:val="7"/>
        <w:jc w:val="center"/>
        <w:rPr>
          <w:rFonts w:hint="eastAsia" w:ascii="宋体" w:hAnsi="宋体" w:eastAsia="宋体" w:cs="宋体"/>
          <w:color w:val="auto"/>
          <w:highlight w:val="none"/>
        </w:rPr>
      </w:pPr>
    </w:p>
    <w:p w14:paraId="2282F6D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298D9F3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p>
    <w:p w14:paraId="67F74D3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6BD2137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政府采购招标文件</w:t>
      </w:r>
    </w:p>
    <w:p w14:paraId="6DA8CC05">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7BD4DAFB">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tzya2025-lq34</w:t>
      </w:r>
      <w:r>
        <w:rPr>
          <w:rFonts w:hint="eastAsia" w:ascii="宋体" w:hAnsi="宋体" w:eastAsia="宋体" w:cs="宋体"/>
          <w:color w:val="auto"/>
          <w:kern w:val="0"/>
          <w:sz w:val="28"/>
          <w:szCs w:val="28"/>
          <w:highlight w:val="none"/>
          <w:u w:val="single"/>
          <w:lang w:val="en-US" w:eastAsia="zh-CN"/>
        </w:rPr>
        <w:t xml:space="preserve"> </w:t>
      </w:r>
    </w:p>
    <w:p w14:paraId="5E66ADEA">
      <w:pPr>
        <w:pStyle w:val="7"/>
        <w:jc w:val="center"/>
        <w:rPr>
          <w:rFonts w:hint="eastAsia" w:ascii="宋体" w:hAnsi="宋体" w:eastAsia="宋体" w:cs="宋体"/>
          <w:color w:val="auto"/>
          <w:highlight w:val="none"/>
        </w:rPr>
      </w:pPr>
    </w:p>
    <w:p w14:paraId="7BDBAFF3">
      <w:pPr>
        <w:pStyle w:val="7"/>
        <w:jc w:val="both"/>
        <w:rPr>
          <w:rFonts w:hint="eastAsia" w:ascii="宋体" w:hAnsi="宋体" w:eastAsia="宋体" w:cs="宋体"/>
          <w:color w:val="auto"/>
          <w:highlight w:val="none"/>
        </w:rPr>
      </w:pPr>
    </w:p>
    <w:p w14:paraId="2A19EF38">
      <w:pPr>
        <w:pStyle w:val="7"/>
        <w:jc w:val="center"/>
        <w:rPr>
          <w:rFonts w:hint="eastAsia" w:ascii="宋体" w:hAnsi="宋体" w:eastAsia="宋体" w:cs="宋体"/>
          <w:color w:val="auto"/>
          <w:highlight w:val="none"/>
        </w:rPr>
      </w:pPr>
    </w:p>
    <w:p w14:paraId="5E8CCF7B">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台州市路桥区桐屿街道政策处理评估（地上附着物、土地丈量）项目</w:t>
      </w:r>
    </w:p>
    <w:p w14:paraId="49F7993C">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台州市路桥区人民政府桐屿街道办事处</w:t>
      </w:r>
    </w:p>
    <w:p w14:paraId="50A0712E">
      <w:pPr>
        <w:pStyle w:val="7"/>
        <w:rPr>
          <w:rFonts w:hint="eastAsia" w:ascii="宋体" w:hAnsi="宋体" w:eastAsia="宋体" w:cs="宋体"/>
          <w:color w:val="auto"/>
          <w:highlight w:val="none"/>
        </w:rPr>
      </w:pPr>
    </w:p>
    <w:p w14:paraId="3DB07839">
      <w:pPr>
        <w:pStyle w:val="7"/>
        <w:rPr>
          <w:rFonts w:hint="eastAsia" w:ascii="宋体" w:hAnsi="宋体" w:eastAsia="宋体" w:cs="宋体"/>
          <w:color w:val="auto"/>
          <w:highlight w:val="none"/>
        </w:rPr>
      </w:pPr>
    </w:p>
    <w:p w14:paraId="1CFE532B">
      <w:pPr>
        <w:pStyle w:val="7"/>
        <w:rPr>
          <w:rFonts w:hint="eastAsia" w:ascii="宋体" w:hAnsi="宋体" w:eastAsia="宋体" w:cs="宋体"/>
          <w:color w:val="auto"/>
          <w:highlight w:val="none"/>
        </w:rPr>
      </w:pPr>
    </w:p>
    <w:p w14:paraId="323725AA">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57432171">
      <w:pPr>
        <w:pStyle w:val="7"/>
        <w:rPr>
          <w:rFonts w:hint="eastAsia" w:ascii="宋体" w:hAnsi="宋体" w:eastAsia="宋体" w:cs="宋体"/>
          <w:color w:val="auto"/>
          <w:highlight w:val="none"/>
        </w:rPr>
      </w:pPr>
    </w:p>
    <w:p w14:paraId="2D24640F">
      <w:pPr>
        <w:pStyle w:val="7"/>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二○二五年六月</w:t>
      </w:r>
    </w:p>
    <w:p w14:paraId="3FD9830A">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9BA601E">
      <w:pPr>
        <w:spacing w:line="360" w:lineRule="auto"/>
        <w:rPr>
          <w:rFonts w:hint="eastAsia" w:ascii="宋体" w:hAnsi="宋体" w:eastAsia="宋体" w:cs="宋体"/>
          <w:color w:val="auto"/>
          <w:sz w:val="28"/>
          <w:szCs w:val="28"/>
          <w:highlight w:val="none"/>
        </w:rPr>
      </w:pPr>
    </w:p>
    <w:p w14:paraId="44252053">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2D85F5AF">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0541CA8A">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65D26672">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7DC4B778">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7E290165">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7062AE96">
      <w:pPr>
        <w:pStyle w:val="7"/>
        <w:jc w:val="center"/>
        <w:rPr>
          <w:rFonts w:hint="eastAsia" w:ascii="宋体" w:hAnsi="宋体" w:eastAsia="宋体" w:cs="宋体"/>
          <w:color w:val="auto"/>
          <w:highlight w:val="none"/>
        </w:rPr>
      </w:pPr>
    </w:p>
    <w:p w14:paraId="042E56A3">
      <w:pPr>
        <w:pStyle w:val="7"/>
        <w:jc w:val="center"/>
        <w:rPr>
          <w:rFonts w:hint="eastAsia" w:ascii="宋体" w:hAnsi="宋体" w:eastAsia="宋体" w:cs="宋体"/>
          <w:color w:val="auto"/>
          <w:highlight w:val="none"/>
        </w:rPr>
      </w:pPr>
    </w:p>
    <w:p w14:paraId="2C8288CA">
      <w:pPr>
        <w:pStyle w:val="7"/>
        <w:jc w:val="center"/>
        <w:rPr>
          <w:rFonts w:hint="eastAsia" w:ascii="宋体" w:hAnsi="宋体" w:eastAsia="宋体" w:cs="宋体"/>
          <w:color w:val="auto"/>
          <w:highlight w:val="none"/>
        </w:rPr>
      </w:pPr>
    </w:p>
    <w:p w14:paraId="65800D02">
      <w:pPr>
        <w:pStyle w:val="7"/>
        <w:jc w:val="center"/>
        <w:rPr>
          <w:rFonts w:hint="eastAsia" w:ascii="宋体" w:hAnsi="宋体" w:eastAsia="宋体" w:cs="宋体"/>
          <w:color w:val="auto"/>
          <w:highlight w:val="none"/>
        </w:rPr>
      </w:pPr>
    </w:p>
    <w:p w14:paraId="692109DE">
      <w:pPr>
        <w:pStyle w:val="7"/>
        <w:jc w:val="center"/>
        <w:rPr>
          <w:rFonts w:hint="eastAsia" w:ascii="宋体" w:hAnsi="宋体" w:eastAsia="宋体" w:cs="宋体"/>
          <w:color w:val="auto"/>
          <w:highlight w:val="none"/>
        </w:rPr>
      </w:pPr>
    </w:p>
    <w:p w14:paraId="3ACEE434">
      <w:pPr>
        <w:pStyle w:val="7"/>
        <w:jc w:val="center"/>
        <w:rPr>
          <w:rFonts w:hint="eastAsia" w:ascii="宋体" w:hAnsi="宋体" w:eastAsia="宋体" w:cs="宋体"/>
          <w:color w:val="auto"/>
          <w:highlight w:val="none"/>
        </w:rPr>
      </w:pPr>
    </w:p>
    <w:p w14:paraId="61A06842">
      <w:pPr>
        <w:pStyle w:val="7"/>
        <w:jc w:val="center"/>
        <w:rPr>
          <w:rFonts w:hint="eastAsia" w:ascii="宋体" w:hAnsi="宋体" w:eastAsia="宋体" w:cs="宋体"/>
          <w:color w:val="auto"/>
          <w:highlight w:val="none"/>
        </w:rPr>
      </w:pPr>
    </w:p>
    <w:p w14:paraId="4D3B55B3">
      <w:pPr>
        <w:pStyle w:val="7"/>
        <w:jc w:val="center"/>
        <w:rPr>
          <w:rFonts w:hint="eastAsia" w:ascii="宋体" w:hAnsi="宋体" w:eastAsia="宋体" w:cs="宋体"/>
          <w:color w:val="auto"/>
          <w:highlight w:val="none"/>
        </w:rPr>
      </w:pPr>
    </w:p>
    <w:p w14:paraId="1B7890E4">
      <w:pPr>
        <w:pStyle w:val="7"/>
        <w:jc w:val="center"/>
        <w:rPr>
          <w:rFonts w:hint="eastAsia" w:ascii="宋体" w:hAnsi="宋体" w:eastAsia="宋体" w:cs="宋体"/>
          <w:color w:val="auto"/>
          <w:highlight w:val="none"/>
        </w:rPr>
      </w:pPr>
    </w:p>
    <w:p w14:paraId="1127D630">
      <w:pPr>
        <w:pStyle w:val="7"/>
        <w:jc w:val="center"/>
        <w:rPr>
          <w:rFonts w:hint="eastAsia" w:ascii="宋体" w:hAnsi="宋体" w:eastAsia="宋体" w:cs="宋体"/>
          <w:color w:val="auto"/>
          <w:highlight w:val="none"/>
        </w:rPr>
      </w:pPr>
    </w:p>
    <w:p w14:paraId="5F880009">
      <w:pPr>
        <w:pStyle w:val="7"/>
        <w:jc w:val="center"/>
        <w:rPr>
          <w:rFonts w:hint="eastAsia" w:ascii="宋体" w:hAnsi="宋体" w:eastAsia="宋体" w:cs="宋体"/>
          <w:color w:val="auto"/>
          <w:highlight w:val="none"/>
        </w:rPr>
      </w:pPr>
    </w:p>
    <w:p w14:paraId="1A643C10">
      <w:pPr>
        <w:pStyle w:val="7"/>
        <w:jc w:val="center"/>
        <w:rPr>
          <w:rFonts w:hint="eastAsia" w:ascii="宋体" w:hAnsi="宋体" w:eastAsia="宋体" w:cs="宋体"/>
          <w:color w:val="auto"/>
          <w:highlight w:val="none"/>
        </w:rPr>
      </w:pPr>
    </w:p>
    <w:p w14:paraId="72E7C426">
      <w:pPr>
        <w:pStyle w:val="7"/>
        <w:jc w:val="center"/>
        <w:rPr>
          <w:rFonts w:hint="eastAsia" w:ascii="宋体" w:hAnsi="宋体" w:eastAsia="宋体" w:cs="宋体"/>
          <w:color w:val="auto"/>
          <w:highlight w:val="none"/>
        </w:rPr>
      </w:pPr>
    </w:p>
    <w:p w14:paraId="350B0863">
      <w:pPr>
        <w:pStyle w:val="19"/>
        <w:rPr>
          <w:rFonts w:hint="eastAsia"/>
          <w:color w:val="auto"/>
          <w:highlight w:val="none"/>
        </w:rPr>
      </w:pPr>
    </w:p>
    <w:p w14:paraId="304BE940">
      <w:pPr>
        <w:pStyle w:val="7"/>
        <w:jc w:val="center"/>
        <w:rPr>
          <w:rFonts w:hint="eastAsia" w:ascii="宋体" w:hAnsi="宋体" w:eastAsia="宋体" w:cs="宋体"/>
          <w:color w:val="auto"/>
          <w:highlight w:val="none"/>
        </w:rPr>
      </w:pPr>
    </w:p>
    <w:p w14:paraId="1D8907FB">
      <w:pPr>
        <w:pStyle w:val="7"/>
        <w:jc w:val="center"/>
        <w:rPr>
          <w:rFonts w:hint="eastAsia" w:ascii="宋体" w:hAnsi="宋体" w:eastAsia="宋体" w:cs="宋体"/>
          <w:color w:val="auto"/>
          <w:highlight w:val="none"/>
        </w:rPr>
      </w:pPr>
    </w:p>
    <w:p w14:paraId="44AFD141">
      <w:pPr>
        <w:pStyle w:val="7"/>
        <w:jc w:val="center"/>
        <w:rPr>
          <w:rFonts w:hint="eastAsia" w:ascii="宋体" w:hAnsi="宋体" w:eastAsia="宋体" w:cs="宋体"/>
          <w:color w:val="auto"/>
          <w:highlight w:val="none"/>
        </w:rPr>
      </w:pPr>
    </w:p>
    <w:p w14:paraId="573C318E">
      <w:pPr>
        <w:pStyle w:val="7"/>
        <w:jc w:val="center"/>
        <w:rPr>
          <w:rFonts w:hint="eastAsia" w:ascii="宋体" w:hAnsi="宋体" w:eastAsia="宋体" w:cs="宋体"/>
          <w:color w:val="auto"/>
          <w:highlight w:val="none"/>
        </w:rPr>
      </w:pPr>
    </w:p>
    <w:p w14:paraId="79E54CA4">
      <w:pPr>
        <w:pStyle w:val="7"/>
        <w:jc w:val="both"/>
        <w:rPr>
          <w:rFonts w:hint="eastAsia" w:ascii="宋体" w:hAnsi="宋体" w:eastAsia="宋体" w:cs="宋体"/>
          <w:color w:val="auto"/>
          <w:highlight w:val="none"/>
        </w:rPr>
      </w:pPr>
    </w:p>
    <w:p w14:paraId="3034D508">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71E954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auto"/>
          <w:sz w:val="21"/>
          <w:szCs w:val="21"/>
          <w:highlight w:val="none"/>
          <w:lang w:eastAsia="zh-CN"/>
        </w:rPr>
        <w:t>台州市路桥区人民政府桐屿街道办事处</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台州市路桥区桐屿街道政策处理评估（地上附着物、土地丈量）项目</w:t>
      </w:r>
      <w:r>
        <w:rPr>
          <w:rFonts w:hint="eastAsia" w:ascii="宋体" w:hAnsi="宋体" w:eastAsia="宋体" w:cs="宋体"/>
          <w:color w:val="auto"/>
          <w:sz w:val="21"/>
          <w:szCs w:val="21"/>
          <w:highlight w:val="none"/>
        </w:rPr>
        <w:t>进行公开招标采购，欢迎合格供应商前来投标。</w:t>
      </w:r>
    </w:p>
    <w:p w14:paraId="2C1B58D6">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tzya2025-lq34</w:t>
      </w:r>
    </w:p>
    <w:p w14:paraId="1DB32B9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1"/>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915"/>
        <w:gridCol w:w="1262"/>
        <w:gridCol w:w="813"/>
        <w:gridCol w:w="837"/>
        <w:gridCol w:w="1238"/>
        <w:gridCol w:w="2116"/>
      </w:tblGrid>
      <w:tr w14:paraId="541A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90" w:type="dxa"/>
            <w:vAlign w:val="center"/>
          </w:tcPr>
          <w:p w14:paraId="37ECE77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序号</w:t>
            </w:r>
          </w:p>
        </w:tc>
        <w:tc>
          <w:tcPr>
            <w:tcW w:w="1915" w:type="dxa"/>
            <w:vAlign w:val="center"/>
          </w:tcPr>
          <w:p w14:paraId="04C856BA">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262" w:type="dxa"/>
            <w:vAlign w:val="center"/>
          </w:tcPr>
          <w:p w14:paraId="2F44540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813" w:type="dxa"/>
            <w:vAlign w:val="center"/>
          </w:tcPr>
          <w:p w14:paraId="3BE0BF03">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37" w:type="dxa"/>
            <w:vAlign w:val="center"/>
          </w:tcPr>
          <w:p w14:paraId="1089703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238" w:type="dxa"/>
            <w:vAlign w:val="center"/>
          </w:tcPr>
          <w:p w14:paraId="642E9E6F">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p>
          <w:p w14:paraId="29466E6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2116" w:type="dxa"/>
            <w:vAlign w:val="center"/>
          </w:tcPr>
          <w:p w14:paraId="2196067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备注</w:t>
            </w:r>
          </w:p>
        </w:tc>
      </w:tr>
      <w:tr w14:paraId="5DF2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0" w:type="dxa"/>
            <w:vAlign w:val="center"/>
          </w:tcPr>
          <w:p w14:paraId="49FCB3C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1915" w:type="dxa"/>
            <w:vAlign w:val="center"/>
          </w:tcPr>
          <w:p w14:paraId="3909E1C9">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台州市路桥区桐屿街道政策处理评估（地上附着物、土地丈量）项目</w:t>
            </w:r>
          </w:p>
        </w:tc>
        <w:tc>
          <w:tcPr>
            <w:tcW w:w="1262" w:type="dxa"/>
            <w:vAlign w:val="center"/>
          </w:tcPr>
          <w:p w14:paraId="005B5E0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813" w:type="dxa"/>
            <w:vAlign w:val="center"/>
          </w:tcPr>
          <w:p w14:paraId="78CEE38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37" w:type="dxa"/>
            <w:vAlign w:val="center"/>
          </w:tcPr>
          <w:p w14:paraId="69EA810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238" w:type="dxa"/>
            <w:vAlign w:val="center"/>
          </w:tcPr>
          <w:p w14:paraId="032FCA6C">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270（三年）</w:t>
            </w:r>
          </w:p>
        </w:tc>
        <w:tc>
          <w:tcPr>
            <w:tcW w:w="2116" w:type="dxa"/>
            <w:vAlign w:val="center"/>
          </w:tcPr>
          <w:p w14:paraId="2F8DA0F8">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服务期三年，合同一年一签。第二年或第三年财政预算金额未达到原合同金额或者第二年第三年财政预算未通过的或者集体评价投票未通过的，第二年或第三年合同的约定自动失效。</w:t>
            </w:r>
          </w:p>
        </w:tc>
      </w:tr>
    </w:tbl>
    <w:p w14:paraId="1F77FB85">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1C911F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74BA780C">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E647A7F">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2B99FD07">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cs="宋体"/>
          <w:b/>
          <w:bCs w:val="0"/>
          <w:color w:val="auto"/>
          <w:sz w:val="21"/>
          <w:szCs w:val="21"/>
          <w:highlight w:val="none"/>
          <w:shd w:val="clear" w:color="auto" w:fill="auto"/>
          <w:lang w:val="en-US" w:eastAsia="zh-CN"/>
        </w:rPr>
        <w:t>投标人为</w:t>
      </w:r>
      <w:r>
        <w:rPr>
          <w:rFonts w:hint="eastAsia" w:ascii="宋体" w:hAnsi="宋体" w:eastAsia="宋体" w:cs="宋体"/>
          <w:b/>
          <w:bCs w:val="0"/>
          <w:color w:val="auto"/>
          <w:sz w:val="21"/>
          <w:szCs w:val="21"/>
          <w:highlight w:val="none"/>
          <w:shd w:val="clear" w:color="auto" w:fill="auto"/>
          <w:lang w:eastAsia="zh-CN"/>
        </w:rPr>
        <w:t>经省级及以上自然资源部门备案的土地估价机构</w:t>
      </w:r>
      <w:r>
        <w:rPr>
          <w:rFonts w:hint="eastAsia" w:ascii="宋体" w:hAnsi="宋体" w:cs="宋体"/>
          <w:b/>
          <w:bCs w:val="0"/>
          <w:color w:val="auto"/>
          <w:sz w:val="21"/>
          <w:szCs w:val="21"/>
          <w:highlight w:val="none"/>
          <w:shd w:val="clear" w:color="auto" w:fill="auto"/>
          <w:lang w:eastAsia="zh-CN"/>
        </w:rPr>
        <w:t>；</w:t>
      </w:r>
    </w:p>
    <w:p w14:paraId="4AE3EFE6">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cs="宋体"/>
          <w:b/>
          <w:bCs w:val="0"/>
          <w:color w:val="auto"/>
          <w:sz w:val="21"/>
          <w:szCs w:val="21"/>
          <w:highlight w:val="none"/>
          <w:shd w:val="clear" w:color="auto" w:fill="auto"/>
          <w:lang w:eastAsia="zh-CN"/>
        </w:rPr>
        <w:t>（</w:t>
      </w:r>
      <w:r>
        <w:rPr>
          <w:rFonts w:hint="eastAsia" w:ascii="宋体" w:hAnsi="宋体" w:cs="宋体"/>
          <w:b/>
          <w:bCs w:val="0"/>
          <w:color w:val="auto"/>
          <w:sz w:val="21"/>
          <w:szCs w:val="21"/>
          <w:highlight w:val="none"/>
          <w:shd w:val="clear" w:color="auto" w:fill="auto"/>
          <w:lang w:val="en-US" w:eastAsia="zh-CN"/>
        </w:rPr>
        <w:t>2</w:t>
      </w:r>
      <w:r>
        <w:rPr>
          <w:rFonts w:hint="eastAsia" w:ascii="宋体" w:hAnsi="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r>
        <w:rPr>
          <w:rFonts w:hint="eastAsia" w:ascii="宋体" w:hAnsi="宋体" w:cs="宋体"/>
          <w:b/>
          <w:bCs w:val="0"/>
          <w:color w:val="auto"/>
          <w:sz w:val="21"/>
          <w:szCs w:val="21"/>
          <w:highlight w:val="none"/>
          <w:lang w:eastAsia="zh-CN"/>
        </w:rPr>
        <w:t>；</w:t>
      </w:r>
    </w:p>
    <w:p w14:paraId="16F8B24A">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cs="宋体"/>
          <w:b/>
          <w:bCs w:val="0"/>
          <w:color w:val="auto"/>
          <w:sz w:val="21"/>
          <w:szCs w:val="21"/>
          <w:highlight w:val="none"/>
          <w:shd w:val="clear" w:color="auto" w:fill="auto"/>
          <w:lang w:val="en-US" w:eastAsia="zh-CN"/>
        </w:rPr>
        <w:t>3</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w:t>
      </w:r>
      <w:r>
        <w:rPr>
          <w:rFonts w:hint="eastAsia" w:ascii="宋体" w:hAnsi="宋体" w:eastAsia="宋体" w:cs="宋体"/>
          <w:b/>
          <w:bCs w:val="0"/>
          <w:color w:val="auto"/>
          <w:sz w:val="21"/>
          <w:szCs w:val="21"/>
          <w:highlight w:val="none"/>
          <w:shd w:val="clear" w:color="auto" w:fill="auto"/>
        </w:rPr>
        <w:t>本项目按照《政府采购促进中小企业发展管理办法》【财库（2020）46号】第七条规定：专门面向中小企业采购。</w:t>
      </w:r>
    </w:p>
    <w:p w14:paraId="01C7DDB9">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6946053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4CD4D4F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4"/>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24F4D1F8">
      <w:pPr>
        <w:keepNext w:val="0"/>
        <w:keepLines w:val="0"/>
        <w:pageBreakBefore w:val="0"/>
        <w:kinsoku/>
        <w:topLinePunct w:val="0"/>
        <w:bidi w:val="0"/>
        <w:spacing w:beforeAutospacing="0" w:afterAutospacing="0" w:line="360" w:lineRule="auto"/>
        <w:ind w:firstLine="422" w:firstLineChars="200"/>
        <w:rPr>
          <w:rStyle w:val="24"/>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4"/>
          <w:rFonts w:hint="eastAsia" w:ascii="宋体" w:hAnsi="宋体" w:eastAsia="宋体" w:cs="宋体"/>
          <w:i w:val="0"/>
          <w:caps w:val="0"/>
          <w:color w:val="auto"/>
          <w:spacing w:val="0"/>
          <w:sz w:val="21"/>
          <w:szCs w:val="21"/>
          <w:highlight w:val="none"/>
        </w:rPr>
        <w:t>方式：潜在供应商登陆</w:t>
      </w:r>
      <w:r>
        <w:rPr>
          <w:rStyle w:val="24"/>
          <w:rFonts w:hint="eastAsia" w:ascii="宋体" w:hAnsi="宋体" w:eastAsia="宋体" w:cs="宋体"/>
          <w:i w:val="0"/>
          <w:caps w:val="0"/>
          <w:color w:val="auto"/>
          <w:spacing w:val="0"/>
          <w:sz w:val="21"/>
          <w:szCs w:val="21"/>
          <w:highlight w:val="none"/>
          <w:lang w:val="en-US" w:eastAsia="zh-CN"/>
        </w:rPr>
        <w:t>政府采购</w:t>
      </w:r>
      <w:r>
        <w:rPr>
          <w:rStyle w:val="24"/>
          <w:rFonts w:hint="eastAsia" w:ascii="宋体" w:hAnsi="宋体" w:eastAsia="宋体" w:cs="宋体"/>
          <w:i w:val="0"/>
          <w:caps w:val="0"/>
          <w:color w:val="auto"/>
          <w:spacing w:val="0"/>
          <w:sz w:val="21"/>
          <w:szCs w:val="21"/>
          <w:highlight w:val="none"/>
        </w:rPr>
        <w:t>云平台，在线申请获取招标文件</w:t>
      </w:r>
      <w:r>
        <w:rPr>
          <w:rStyle w:val="24"/>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4"/>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4"/>
          <w:rFonts w:hint="eastAsia" w:ascii="宋体" w:hAnsi="宋体" w:eastAsia="宋体" w:cs="宋体"/>
          <w:b w:val="0"/>
          <w:bCs/>
          <w:i w:val="0"/>
          <w:caps w:val="0"/>
          <w:color w:val="auto"/>
          <w:spacing w:val="0"/>
          <w:sz w:val="21"/>
          <w:szCs w:val="21"/>
          <w:highlight w:val="none"/>
        </w:rPr>
        <w:t>）；</w:t>
      </w:r>
    </w:p>
    <w:p w14:paraId="49BCB773">
      <w:pPr>
        <w:spacing w:line="360" w:lineRule="auto"/>
        <w:ind w:firstLine="422" w:firstLineChars="200"/>
        <w:rPr>
          <w:rFonts w:hint="eastAsia" w:ascii="宋体" w:hAnsi="宋体" w:eastAsia="宋体" w:cs="宋体"/>
          <w:color w:val="auto"/>
          <w:sz w:val="21"/>
          <w:szCs w:val="21"/>
          <w:highlight w:val="none"/>
          <w:lang w:eastAsia="zh-CN"/>
        </w:rPr>
      </w:pPr>
      <w:r>
        <w:rPr>
          <w:rStyle w:val="24"/>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43F7EEB">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4"/>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66A55F3A">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4"/>
          <w:rFonts w:hint="eastAsia" w:ascii="宋体" w:hAnsi="宋体" w:eastAsia="宋体" w:cs="宋体"/>
          <w:b w:val="0"/>
          <w:bCs w:val="0"/>
          <w:i w:val="0"/>
          <w:caps w:val="0"/>
          <w:color w:val="auto"/>
          <w:spacing w:val="0"/>
          <w:sz w:val="21"/>
          <w:szCs w:val="21"/>
          <w:highlight w:val="none"/>
          <w:lang w:val="en-US" w:eastAsia="zh-CN"/>
        </w:rPr>
        <w:t>5</w:t>
      </w:r>
      <w:r>
        <w:rPr>
          <w:rStyle w:val="24"/>
          <w:rFonts w:hint="eastAsia" w:ascii="宋体" w:hAnsi="宋体" w:eastAsia="宋体" w:cs="宋体"/>
          <w:b w:val="0"/>
          <w:bCs w:val="0"/>
          <w:i w:val="0"/>
          <w:caps w:val="0"/>
          <w:color w:val="auto"/>
          <w:spacing w:val="0"/>
          <w:sz w:val="21"/>
          <w:szCs w:val="21"/>
          <w:highlight w:val="none"/>
        </w:rPr>
        <w:t>、供应商获取招标文件时须提交的文件资料：无；</w:t>
      </w:r>
    </w:p>
    <w:p w14:paraId="5D759297">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lang w:val="en-US" w:eastAsia="zh-CN"/>
        </w:rPr>
        <w:t>6</w:t>
      </w:r>
      <w:r>
        <w:rPr>
          <w:rStyle w:val="24"/>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E7ED7A4">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4"/>
          <w:rFonts w:hint="eastAsia" w:ascii="宋体" w:hAnsi="宋体" w:eastAsia="宋体" w:cs="宋体"/>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rPr>
        <w:t>注：请供应商按上述要求获取招标文件，如未在“</w:t>
      </w:r>
      <w:r>
        <w:rPr>
          <w:rStyle w:val="24"/>
          <w:rFonts w:hint="eastAsia" w:ascii="宋体" w:hAnsi="宋体" w:eastAsia="宋体" w:cs="宋体"/>
          <w:i w:val="0"/>
          <w:caps w:val="0"/>
          <w:color w:val="auto"/>
          <w:spacing w:val="0"/>
          <w:sz w:val="21"/>
          <w:szCs w:val="21"/>
          <w:highlight w:val="none"/>
          <w:lang w:val="en-US" w:eastAsia="zh-CN"/>
        </w:rPr>
        <w:t>政府采购云平台</w:t>
      </w:r>
      <w:r>
        <w:rPr>
          <w:rStyle w:val="24"/>
          <w:rFonts w:hint="eastAsia" w:ascii="宋体" w:hAnsi="宋体" w:eastAsia="宋体" w:cs="宋体"/>
          <w:i w:val="0"/>
          <w:caps w:val="0"/>
          <w:color w:val="auto"/>
          <w:spacing w:val="0"/>
          <w:sz w:val="21"/>
          <w:szCs w:val="21"/>
          <w:highlight w:val="none"/>
        </w:rPr>
        <w:t>”系统内完成相关流程，引起的投标无效责任自负。</w:t>
      </w:r>
    </w:p>
    <w:p w14:paraId="3B10982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650502B4">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4451DA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20AB15C7">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2EAA459">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整，地点：通过“政府采购云平台（www.zcygov.cn）”实行在线投标响应</w:t>
      </w:r>
    </w:p>
    <w:p w14:paraId="1D0C1772">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日15:00</w:t>
      </w:r>
      <w:r>
        <w:rPr>
          <w:rFonts w:hint="eastAsia" w:ascii="宋体" w:hAnsi="宋体" w:eastAsia="宋体" w:cs="宋体"/>
          <w:color w:val="auto"/>
          <w:sz w:val="21"/>
          <w:szCs w:val="21"/>
          <w:highlight w:val="none"/>
          <w:lang w:eastAsia="zh-CN"/>
        </w:rPr>
        <w:t>整</w:t>
      </w:r>
    </w:p>
    <w:p w14:paraId="7E73A92F">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30EC1A76">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6733C1DE">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3021C4A">
      <w:pPr>
        <w:pStyle w:val="51"/>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2E9DDC6">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570513DE">
      <w:pPr>
        <w:pStyle w:val="10"/>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4BD16020">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55CDB36B">
      <w:pPr>
        <w:pStyle w:val="10"/>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5079F3C1">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D38858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46EA089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362878C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086FA61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A4F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E7938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46317FF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226EE648">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0E07E84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166D9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C797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A9822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6893BDA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00D4DCA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55069109">
      <w:pPr>
        <w:pStyle w:val="7"/>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71CDBE00">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4358CD9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F0D3F30">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9D33A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管女士 </w:t>
      </w:r>
    </w:p>
    <w:p w14:paraId="31F6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 xml:space="preserve">，18857611403 </w:t>
      </w:r>
    </w:p>
    <w:p w14:paraId="1E2BBE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8C4D4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6ADE80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7C95D79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7DC00F0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14A4BB2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台州市路桥区人民政府桐屿街道办事处</w:t>
      </w:r>
    </w:p>
    <w:p w14:paraId="0BA15A5C">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XXXX</w:t>
      </w:r>
      <w:r>
        <w:rPr>
          <w:rFonts w:hint="eastAsia" w:ascii="宋体" w:hAnsi="宋体" w:eastAsia="宋体" w:cs="宋体"/>
          <w:color w:val="auto"/>
          <w:szCs w:val="21"/>
          <w:highlight w:val="none"/>
        </w:rPr>
        <w:t xml:space="preserve">      询问联系电话：</w:t>
      </w:r>
      <w:r>
        <w:rPr>
          <w:rFonts w:hint="eastAsia" w:asciiTheme="minorEastAsia" w:hAnsiTheme="minorEastAsia" w:eastAsiaTheme="minorEastAsia" w:cstheme="minorEastAsia"/>
          <w:color w:val="auto"/>
          <w:sz w:val="21"/>
          <w:szCs w:val="21"/>
          <w:highlight w:val="none"/>
          <w:shd w:val="clear" w:color="auto" w:fill="auto"/>
        </w:rPr>
        <w:t>0576-</w:t>
      </w:r>
      <w:r>
        <w:rPr>
          <w:rFonts w:hint="eastAsia" w:asciiTheme="minorEastAsia" w:hAnsiTheme="minorEastAsia" w:eastAsiaTheme="minorEastAsia" w:cstheme="minorEastAsia"/>
          <w:color w:val="auto"/>
          <w:sz w:val="21"/>
          <w:szCs w:val="21"/>
          <w:highlight w:val="none"/>
          <w:shd w:val="clear" w:color="auto" w:fill="auto"/>
          <w:lang w:val="en-US" w:eastAsia="zh-CN"/>
        </w:rPr>
        <w:t>XXXXXXXX</w:t>
      </w:r>
    </w:p>
    <w:p w14:paraId="6A19BC92">
      <w:pPr>
        <w:spacing w:line="360" w:lineRule="auto"/>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XXXX</w:t>
      </w:r>
      <w:r>
        <w:rPr>
          <w:rFonts w:hint="eastAsia" w:ascii="宋体" w:hAnsi="宋体" w:eastAsia="宋体" w:cs="宋体"/>
          <w:color w:val="auto"/>
          <w:szCs w:val="21"/>
          <w:highlight w:val="none"/>
        </w:rPr>
        <w:t xml:space="preserve">      质疑联系电话：</w:t>
      </w:r>
      <w:r>
        <w:rPr>
          <w:rFonts w:hint="eastAsia" w:asciiTheme="minorEastAsia" w:hAnsiTheme="minorEastAsia" w:eastAsiaTheme="minorEastAsia" w:cstheme="minorEastAsia"/>
          <w:color w:val="auto"/>
          <w:sz w:val="21"/>
          <w:szCs w:val="21"/>
          <w:highlight w:val="none"/>
          <w:shd w:val="clear" w:color="auto" w:fill="auto"/>
        </w:rPr>
        <w:t>0576-</w:t>
      </w:r>
      <w:r>
        <w:rPr>
          <w:rFonts w:hint="eastAsia" w:asciiTheme="minorEastAsia" w:hAnsiTheme="minorEastAsia" w:eastAsiaTheme="minorEastAsia" w:cstheme="minorEastAsia"/>
          <w:color w:val="auto"/>
          <w:sz w:val="21"/>
          <w:szCs w:val="21"/>
          <w:highlight w:val="none"/>
          <w:shd w:val="clear" w:color="auto" w:fill="auto"/>
          <w:lang w:val="en-US" w:eastAsia="zh-CN"/>
        </w:rPr>
        <w:t>XXXXXXXX</w:t>
      </w:r>
    </w:p>
    <w:p w14:paraId="4266DB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Theme="minorEastAsia" w:hAnsiTheme="minorEastAsia" w:eastAsiaTheme="minorEastAsia" w:cstheme="minorEastAsia"/>
          <w:color w:val="auto"/>
          <w:sz w:val="21"/>
          <w:szCs w:val="21"/>
          <w:highlight w:val="none"/>
          <w:lang w:val="en-US" w:eastAsia="zh-CN"/>
        </w:rPr>
        <w:t>台州市路桥区屿城路482号</w:t>
      </w:r>
    </w:p>
    <w:p w14:paraId="6D0578E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05251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7DB3ABB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eastAsia="zh-CN"/>
        </w:rPr>
        <w:t>王先生</w:t>
      </w:r>
    </w:p>
    <w:p w14:paraId="16AA3D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4DA2E9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64522158">
      <w:pPr>
        <w:pStyle w:val="19"/>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407ED176">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（1）合同履</w:t>
      </w:r>
      <w:r>
        <w:rPr>
          <w:rFonts w:hint="eastAsia" w:ascii="宋体" w:hAnsi="宋体" w:eastAsia="宋体" w:cs="宋体"/>
          <w:b w:val="0"/>
          <w:bCs w:val="0"/>
          <w:color w:val="auto"/>
          <w:sz w:val="21"/>
          <w:szCs w:val="21"/>
          <w:highlight w:val="none"/>
        </w:rPr>
        <w:t>约保函联系方式</w:t>
      </w:r>
    </w:p>
    <w:tbl>
      <w:tblPr>
        <w:tblStyle w:val="22"/>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B2F75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AD5100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898C6A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BAAF9E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03F582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F0922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610CE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1817EB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5A024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00E599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74DA82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43D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9E669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31FA56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8FC4A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08A7C2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8D6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46590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34E537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AFF2E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4DBB75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51D85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2FB3A3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FB5BB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B42CC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688EDB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C547E3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78285E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9BBC1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5674D9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12A60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7F8E3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AE946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708B9B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44A316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0EFAC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2300F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3805B3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0AD98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75EE4F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7AD6F1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D1AC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54E855D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6C099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79259B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4517CEA1">
      <w:pPr>
        <w:jc w:val="both"/>
        <w:rPr>
          <w:rFonts w:hint="eastAsia" w:ascii="宋体" w:hAnsi="宋体" w:eastAsia="宋体" w:cs="宋体"/>
          <w:b/>
          <w:bCs/>
          <w:color w:val="auto"/>
          <w:sz w:val="21"/>
          <w:szCs w:val="21"/>
          <w:highlight w:val="none"/>
        </w:rPr>
      </w:pPr>
    </w:p>
    <w:p w14:paraId="117A2B48">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2"/>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C6AB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6BEA188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D1FF3D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98D636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5CE184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371FC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F6FEF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409B0E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BED92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013F95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A0A1B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3B822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0DC111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74294A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A4A0C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8199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91070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DEC24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4ADBD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6D6D1C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3A9CDB10">
      <w:pPr>
        <w:pStyle w:val="28"/>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6C1A62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1"/>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1672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25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8C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73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DF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59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70DF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F9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DC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66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7F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2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56BF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2A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E7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E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F2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B0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480A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B2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0A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11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A9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57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3976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AA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EA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8B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A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80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6DF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1F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99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3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A4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8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40AF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C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98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6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11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B2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167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5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66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F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F7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90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2F8D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06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67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CF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8C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4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64FD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85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BA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3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A5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E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2790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6D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04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4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0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A6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5357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DC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64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1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4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A1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4E4D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7E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AE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E6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73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08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2373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D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0F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D7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44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15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64CB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A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C3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D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E3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D0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4FD2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C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C2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A7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78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72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741301AD">
      <w:pPr>
        <w:spacing w:line="360" w:lineRule="auto"/>
        <w:rPr>
          <w:rFonts w:hint="eastAsia" w:ascii="宋体" w:hAnsi="宋体" w:eastAsia="宋体" w:cs="宋体"/>
          <w:color w:val="auto"/>
          <w:szCs w:val="21"/>
          <w:highlight w:val="none"/>
        </w:rPr>
      </w:pPr>
    </w:p>
    <w:p w14:paraId="2BB86916">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6"/>
          <w:rFonts w:hint="eastAsia" w:ascii="宋体" w:hAnsi="宋体" w:eastAsia="宋体" w:cs="宋体"/>
          <w:color w:val="auto"/>
          <w:szCs w:val="21"/>
          <w:highlight w:val="none"/>
        </w:rPr>
        <w:t>http://zfcg.czt.zj.gov.cn</w:t>
      </w:r>
      <w:r>
        <w:rPr>
          <w:rStyle w:val="26"/>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1E0785BD">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03B04344">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51F67A3D">
      <w:pPr>
        <w:pStyle w:val="7"/>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二○二五年六月</w:t>
      </w:r>
    </w:p>
    <w:p w14:paraId="3AE2B220">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4B5FD73A">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1"/>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20"/>
        <w:gridCol w:w="7163"/>
      </w:tblGrid>
      <w:tr w14:paraId="08AA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57" w:type="dxa"/>
            <w:vAlign w:val="center"/>
          </w:tcPr>
          <w:p w14:paraId="11A70BA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20" w:type="dxa"/>
            <w:vAlign w:val="center"/>
          </w:tcPr>
          <w:p w14:paraId="0FBA3409">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163" w:type="dxa"/>
            <w:vAlign w:val="center"/>
          </w:tcPr>
          <w:p w14:paraId="1EF9E431">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209A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57" w:type="dxa"/>
            <w:vAlign w:val="center"/>
          </w:tcPr>
          <w:p w14:paraId="73ED8BC4">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420" w:type="dxa"/>
            <w:vAlign w:val="center"/>
          </w:tcPr>
          <w:p w14:paraId="5C13FE7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163" w:type="dxa"/>
            <w:vAlign w:val="center"/>
          </w:tcPr>
          <w:p w14:paraId="64B042C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088C8C4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（十六）其他未列明行业</w:t>
            </w:r>
            <w:r>
              <w:rPr>
                <w:rFonts w:hint="eastAsia" w:ascii="宋体" w:hAnsi="宋体" w:cs="宋体"/>
                <w:color w:val="auto"/>
                <w:sz w:val="21"/>
                <w:szCs w:val="21"/>
                <w:highlight w:val="none"/>
                <w:lang w:eastAsia="zh-CN"/>
              </w:rPr>
              <w:t>。</w:t>
            </w:r>
          </w:p>
        </w:tc>
      </w:tr>
      <w:tr w14:paraId="11B7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35026C3C">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420" w:type="dxa"/>
            <w:vAlign w:val="center"/>
          </w:tcPr>
          <w:p w14:paraId="695872B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163" w:type="dxa"/>
            <w:vAlign w:val="center"/>
          </w:tcPr>
          <w:p w14:paraId="6C3621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6CDA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44F12EBF">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420" w:type="dxa"/>
            <w:vAlign w:val="center"/>
          </w:tcPr>
          <w:p w14:paraId="48681A4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163" w:type="dxa"/>
            <w:vAlign w:val="center"/>
          </w:tcPr>
          <w:p w14:paraId="630340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B00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757" w:type="dxa"/>
            <w:vAlign w:val="center"/>
          </w:tcPr>
          <w:p w14:paraId="5B11C751">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420" w:type="dxa"/>
            <w:vAlign w:val="center"/>
          </w:tcPr>
          <w:p w14:paraId="057BD33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163" w:type="dxa"/>
            <w:vAlign w:val="center"/>
          </w:tcPr>
          <w:p w14:paraId="36CA76F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096CE4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38D5B1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50324F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B8C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4C1A34A5">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420" w:type="dxa"/>
            <w:vAlign w:val="center"/>
          </w:tcPr>
          <w:p w14:paraId="1757934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163" w:type="dxa"/>
            <w:vAlign w:val="center"/>
          </w:tcPr>
          <w:p w14:paraId="79B9DF5D">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56A9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757" w:type="dxa"/>
            <w:vAlign w:val="center"/>
          </w:tcPr>
          <w:p w14:paraId="0C55074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420" w:type="dxa"/>
            <w:vAlign w:val="center"/>
          </w:tcPr>
          <w:p w14:paraId="63057E79">
            <w:pPr>
              <w:pStyle w:val="7"/>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163" w:type="dxa"/>
            <w:vAlign w:val="center"/>
          </w:tcPr>
          <w:p w14:paraId="71D47B6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日14:30</w:t>
            </w:r>
            <w:r>
              <w:rPr>
                <w:rFonts w:hint="eastAsia" w:ascii="宋体" w:hAnsi="宋体" w:eastAsia="宋体" w:cs="宋体"/>
                <w:b/>
                <w:bCs/>
                <w:color w:val="auto"/>
                <w:kern w:val="2"/>
                <w:sz w:val="21"/>
                <w:szCs w:val="21"/>
                <w:highlight w:val="none"/>
                <w:u w:val="single"/>
                <w:lang w:val="en-US" w:eastAsia="zh-CN" w:bidi="ar-SA"/>
              </w:rPr>
              <w:t>整</w:t>
            </w:r>
          </w:p>
          <w:p w14:paraId="06D57CD6">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2926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757" w:type="dxa"/>
            <w:vAlign w:val="center"/>
          </w:tcPr>
          <w:p w14:paraId="13BF8A5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20" w:type="dxa"/>
            <w:vAlign w:val="center"/>
          </w:tcPr>
          <w:p w14:paraId="5CC056C3">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163" w:type="dxa"/>
            <w:vAlign w:val="center"/>
          </w:tcPr>
          <w:p w14:paraId="5F3973CF">
            <w:pPr>
              <w:pStyle w:val="51"/>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38AADCAB">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日14:30</w:t>
            </w:r>
            <w:r>
              <w:rPr>
                <w:rFonts w:hint="eastAsia" w:ascii="宋体" w:hAnsi="宋体" w:eastAsia="宋体" w:cs="宋体"/>
                <w:b/>
                <w:bCs/>
                <w:color w:val="auto"/>
                <w:kern w:val="2"/>
                <w:sz w:val="21"/>
                <w:szCs w:val="21"/>
                <w:highlight w:val="none"/>
                <w:u w:val="single"/>
                <w:lang w:val="en-US" w:eastAsia="zh-CN" w:bidi="ar-SA"/>
              </w:rPr>
              <w:t>整</w:t>
            </w:r>
          </w:p>
        </w:tc>
      </w:tr>
      <w:tr w14:paraId="14E5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57" w:type="dxa"/>
            <w:vAlign w:val="center"/>
          </w:tcPr>
          <w:p w14:paraId="0BFD4F2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20" w:type="dxa"/>
            <w:vAlign w:val="center"/>
          </w:tcPr>
          <w:p w14:paraId="4212E6A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163" w:type="dxa"/>
            <w:vAlign w:val="center"/>
          </w:tcPr>
          <w:p w14:paraId="094FC67E">
            <w:pPr>
              <w:pStyle w:val="17"/>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38262EC7">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049F63C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7EA6D4C2">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46F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57" w:type="dxa"/>
            <w:vAlign w:val="center"/>
          </w:tcPr>
          <w:p w14:paraId="1A7ED5F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20" w:type="dxa"/>
            <w:vAlign w:val="center"/>
          </w:tcPr>
          <w:p w14:paraId="1937D24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163" w:type="dxa"/>
            <w:vAlign w:val="center"/>
          </w:tcPr>
          <w:p w14:paraId="0D3C1B77">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（北京时间）</w:t>
            </w:r>
          </w:p>
          <w:p w14:paraId="15AA9BFC">
            <w:pPr>
              <w:pStyle w:val="5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5754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57" w:type="dxa"/>
            <w:vAlign w:val="center"/>
          </w:tcPr>
          <w:p w14:paraId="0877F35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420" w:type="dxa"/>
            <w:vAlign w:val="center"/>
          </w:tcPr>
          <w:p w14:paraId="2A93D0C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163" w:type="dxa"/>
            <w:vAlign w:val="center"/>
          </w:tcPr>
          <w:p w14:paraId="43DDB0F6">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23110A4B">
            <w:pPr>
              <w:pStyle w:val="5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2、节能环保：符合国家相关法律法规；</w:t>
            </w:r>
          </w:p>
          <w:p w14:paraId="02F14356">
            <w:pPr>
              <w:pStyle w:val="5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3、样品：无要求；</w:t>
            </w:r>
          </w:p>
          <w:p w14:paraId="4F22D407">
            <w:pPr>
              <w:pStyle w:val="5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4、现场演示：无要求。</w:t>
            </w:r>
          </w:p>
          <w:p w14:paraId="6F1E04C7">
            <w:pPr>
              <w:pStyle w:val="5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hAnsi="宋体" w:cs="宋体"/>
                <w:color w:val="auto"/>
                <w:sz w:val="21"/>
                <w:szCs w:val="21"/>
                <w:highlight w:val="none"/>
                <w:lang w:val="en-US" w:eastAsia="zh-CN"/>
              </w:rPr>
              <w:t>履约保证金：</w:t>
            </w:r>
            <w:r>
              <w:rPr>
                <w:rFonts w:hint="eastAsia" w:ascii="宋体" w:hAnsi="宋体" w:eastAsia="宋体" w:cs="宋体"/>
                <w:b w:val="0"/>
                <w:bCs/>
                <w:color w:val="auto"/>
                <w:sz w:val="21"/>
                <w:szCs w:val="21"/>
                <w:highlight w:val="none"/>
              </w:rPr>
              <w:t>中标方应在收到中标通知书后一周内向采购方交纳</w:t>
            </w:r>
            <w:r>
              <w:rPr>
                <w:rFonts w:hint="eastAsia" w:ascii="宋体" w:hAnsi="宋体" w:eastAsia="宋体" w:cs="宋体"/>
                <w:b w:val="0"/>
                <w:bCs/>
                <w:color w:val="auto"/>
                <w:sz w:val="21"/>
                <w:szCs w:val="21"/>
                <w:highlight w:val="none"/>
                <w:lang w:eastAsia="zh-CN"/>
              </w:rPr>
              <w:t>合同金额的</w:t>
            </w:r>
            <w:r>
              <w:rPr>
                <w:rFonts w:hint="eastAsia" w:ascii="宋体" w:hAnsi="宋体" w:eastAsia="宋体" w:cs="宋体"/>
                <w:b w:val="0"/>
                <w:bCs/>
                <w:color w:val="auto"/>
                <w:sz w:val="21"/>
                <w:szCs w:val="21"/>
                <w:highlight w:val="none"/>
                <w:u w:val="single"/>
                <w:lang w:val="en-US" w:eastAsia="zh-CN"/>
              </w:rPr>
              <w:t>1%</w:t>
            </w:r>
            <w:r>
              <w:rPr>
                <w:rFonts w:hint="eastAsia" w:ascii="宋体" w:hAnsi="宋体" w:eastAsia="宋体" w:cs="宋体"/>
                <w:b w:val="0"/>
                <w:bCs/>
                <w:color w:val="auto"/>
                <w:sz w:val="21"/>
                <w:szCs w:val="21"/>
                <w:highlight w:val="none"/>
              </w:rPr>
              <w:t>作为履约保证金，以保证中标方遵守本合同，包括担保、保函、保险等形式。</w:t>
            </w:r>
          </w:p>
        </w:tc>
      </w:tr>
      <w:tr w14:paraId="14D8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757" w:type="dxa"/>
            <w:vAlign w:val="center"/>
          </w:tcPr>
          <w:p w14:paraId="6610868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20" w:type="dxa"/>
            <w:vAlign w:val="center"/>
          </w:tcPr>
          <w:p w14:paraId="5563350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163" w:type="dxa"/>
            <w:vAlign w:val="center"/>
          </w:tcPr>
          <w:p w14:paraId="5E8F3B53">
            <w:pPr>
              <w:pStyle w:val="50"/>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FC414EC">
            <w:pPr>
              <w:pStyle w:val="50"/>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4F4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0C81270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420" w:type="dxa"/>
            <w:vAlign w:val="center"/>
          </w:tcPr>
          <w:p w14:paraId="4FF86BE6">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163" w:type="dxa"/>
            <w:vAlign w:val="center"/>
          </w:tcPr>
          <w:p w14:paraId="2913A6F2">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3EFF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7" w:type="dxa"/>
            <w:vAlign w:val="center"/>
          </w:tcPr>
          <w:p w14:paraId="64D16EB5">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1420" w:type="dxa"/>
            <w:shd w:val="clear" w:color="auto" w:fill="auto"/>
            <w:vAlign w:val="center"/>
          </w:tcPr>
          <w:p w14:paraId="330EFE2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7163" w:type="dxa"/>
            <w:shd w:val="clear" w:color="auto" w:fill="auto"/>
            <w:vAlign w:val="center"/>
          </w:tcPr>
          <w:p w14:paraId="01CB8A75">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1004E9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0C4D5F9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4F03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7" w:type="dxa"/>
            <w:vAlign w:val="center"/>
          </w:tcPr>
          <w:p w14:paraId="78A33A25">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p>
        </w:tc>
        <w:tc>
          <w:tcPr>
            <w:tcW w:w="1420" w:type="dxa"/>
            <w:vAlign w:val="center"/>
          </w:tcPr>
          <w:p w14:paraId="18E8C1D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163" w:type="dxa"/>
            <w:vAlign w:val="center"/>
          </w:tcPr>
          <w:p w14:paraId="5A2775D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台州永安工程咨询有限公司和采购人</w:t>
            </w:r>
          </w:p>
        </w:tc>
      </w:tr>
    </w:tbl>
    <w:p w14:paraId="103FF34F">
      <w:pPr>
        <w:spacing w:line="360" w:lineRule="auto"/>
        <w:rPr>
          <w:rFonts w:hint="eastAsia" w:ascii="宋体" w:hAnsi="宋体" w:eastAsia="宋体" w:cs="宋体"/>
          <w:b/>
          <w:bCs/>
          <w:color w:val="auto"/>
          <w:sz w:val="21"/>
          <w:szCs w:val="21"/>
          <w:highlight w:val="none"/>
        </w:rPr>
      </w:pPr>
    </w:p>
    <w:p w14:paraId="6B0370FA">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AF421B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754182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5FD715FE">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121EB4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75D6E8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3C58AD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4FBE6E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7B182B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7F61AA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4F5D527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7AE5BA25">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62E0BA3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2E34BD6F">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14896C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3D0738C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33100A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ABC0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519D88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307EEA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6303ADE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007055A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05618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10653E14">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544F5D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6A155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36D955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51C8A5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249597B">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10CA36B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503C8B77">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76813C8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65D789C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B9791C8">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48A08AAA">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5334A8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3EBB155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75F15D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00BD67C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3A2DFAB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23DEB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33F09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734A04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（5）须提供投标人为经省级及以上自然资源部门备案的土地估价机构</w:t>
      </w:r>
      <w:r>
        <w:rPr>
          <w:rFonts w:hint="eastAsia" w:ascii="宋体" w:hAnsi="宋体" w:cs="宋体"/>
          <w:color w:val="auto"/>
          <w:kern w:val="0"/>
          <w:sz w:val="21"/>
          <w:szCs w:val="21"/>
          <w:highlight w:val="none"/>
          <w:lang w:val="en-US" w:eastAsia="zh-CN"/>
        </w:rPr>
        <w:t>的证明资料（扫描件加盖投标人公章）</w:t>
      </w:r>
      <w:r>
        <w:rPr>
          <w:rFonts w:hint="eastAsia" w:ascii="宋体" w:hAnsi="宋体" w:eastAsia="宋体" w:cs="宋体"/>
          <w:color w:val="auto"/>
          <w:kern w:val="0"/>
          <w:sz w:val="21"/>
          <w:szCs w:val="21"/>
          <w:highlight w:val="none"/>
          <w:lang w:val="en-US" w:eastAsia="zh-CN"/>
        </w:rPr>
        <w:t>；</w:t>
      </w:r>
    </w:p>
    <w:p w14:paraId="56C7070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078A3C8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1D3D41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543AFE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79DC5B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8FAD2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42B484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B2837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4F1AF0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843C0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057554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15707B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6DDCC248">
      <w:pPr>
        <w:spacing w:line="41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7CFA0657">
      <w:pPr>
        <w:spacing w:line="41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3B9464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70B7A6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（1）报价文件由开标一览表以及投标人认为其他需要说明的内容组成。</w:t>
      </w:r>
    </w:p>
    <w:p w14:paraId="3DAC9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47CA51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230DB1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（4）相关报价单需打印或用不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2F4906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07EF2C8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71CFED7C">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3094F4C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979AC1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2CAFEABF">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1CD1544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签字或盖章。投标文件因字迹潦草或表达不清所引起的后果由投标人负责。</w:t>
      </w:r>
    </w:p>
    <w:p w14:paraId="0D943B48">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4E8665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4003A9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73F995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74209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551BF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3F8BE34F">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0D2DBBC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4FEB7AD6">
      <w:pPr>
        <w:pStyle w:val="5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5930BC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4FD936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5444E5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2E59324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1805267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2CF78A0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w:t>
      </w:r>
      <w:r>
        <w:rPr>
          <w:rFonts w:hint="eastAsia" w:ascii="宋体" w:hAnsi="宋体" w:eastAsia="宋体" w:cs="宋体"/>
          <w:color w:val="auto"/>
          <w:szCs w:val="21"/>
          <w:highlight w:val="none"/>
        </w:rPr>
        <w:t>递交备份投标文件的，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szCs w:val="21"/>
          <w:highlight w:val="none"/>
          <w:lang w:val="en-US" w:eastAsia="zh-CN"/>
        </w:rPr>
        <w:t>建议</w:t>
      </w:r>
      <w:r>
        <w:rPr>
          <w:rFonts w:hint="eastAsia" w:ascii="宋体" w:hAnsi="宋体" w:eastAsia="宋体" w:cs="宋体"/>
          <w:color w:val="auto"/>
          <w:szCs w:val="21"/>
          <w:highlight w:val="none"/>
        </w:rPr>
        <w:t>顺丰邮寄</w:t>
      </w:r>
      <w:r>
        <w:rPr>
          <w:rFonts w:hint="eastAsia" w:ascii="宋体" w:hAnsi="宋体" w:eastAsia="宋体" w:cs="宋体"/>
          <w:color w:val="auto"/>
          <w:szCs w:val="21"/>
          <w:highlight w:val="none"/>
          <w:lang w:val="en-US" w:eastAsia="zh-CN"/>
        </w:rPr>
        <w:t>或直接送达</w:t>
      </w:r>
      <w:r>
        <w:rPr>
          <w:rFonts w:hint="eastAsia" w:ascii="宋体" w:hAnsi="宋体" w:eastAsia="宋体" w:cs="宋体"/>
          <w:color w:val="auto"/>
          <w:szCs w:val="21"/>
          <w:highlight w:val="none"/>
        </w:rPr>
        <w:t>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15388B1C">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7DDF961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602A582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4A27DA5F">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30E0265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5DD43D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3F1F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1A9E8880">
      <w:pPr>
        <w:pStyle w:val="55"/>
        <w:ind w:left="0" w:leftChars="0" w:firstLine="48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2CEB651">
      <w:pPr>
        <w:pStyle w:val="55"/>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5D94AD8B">
      <w:pPr>
        <w:pStyle w:val="55"/>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040F0C26">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787ECF4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7591C28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6506FF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3、中标人的投标文件自开标之日起至合同履行完毕均应保持有效。</w:t>
      </w:r>
    </w:p>
    <w:p w14:paraId="0168A8E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14:paraId="6F70B25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14:paraId="4932FF1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采购组织机构在“招标公告”规定的时间和地点公开开标，本次招标采用先评审商务资格和技术服务方案，后公开并评审报价的办法实施。</w:t>
      </w:r>
    </w:p>
    <w:p w14:paraId="17AE9B79">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特别说明：如遇政府采购云平台电子化开标或评审程序调整的，按调整后程序执行。</w:t>
      </w:r>
    </w:p>
    <w:p w14:paraId="75B0B04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采购过程中出现以下情形，导致电子交易平台无法正常运行，或者无法保证电子交易的公平、公正和安全时，采购组织机构可中止电子交易活动：</w:t>
      </w:r>
    </w:p>
    <w:p w14:paraId="7D0133E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61EDDAC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75E5590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5F95D04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（4）病毒导致不能进行正常操作的；</w:t>
      </w:r>
    </w:p>
    <w:p w14:paraId="433CF93C">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079BD7F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B580BB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14:paraId="752FCC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14:paraId="1FF8A0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2、主持人介绍参加开标会的人员名单；</w:t>
      </w:r>
    </w:p>
    <w:p w14:paraId="72C90D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3、主持人宣布评标期间的有关事项，告知应当回避的情形，提请有关人员回避；对投标人进行签到验证。</w:t>
      </w:r>
    </w:p>
    <w:p w14:paraId="2B1CA1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1D806D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5、采购组织机构点击【开启标书信息】，开启标书成功后进入开标流程。</w:t>
      </w:r>
    </w:p>
    <w:p w14:paraId="1CDD88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6、资格及商务技术文件评审；</w:t>
      </w:r>
    </w:p>
    <w:p w14:paraId="131272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7、由主持人公布无效投标的投标人名单、投标无效的原因及其他有效投标的评分汇总分；</w:t>
      </w:r>
    </w:p>
    <w:p w14:paraId="605448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8、开启报价响应文件：采购代理机构成功开启报价响应文件后，方可查看各投标人报价情况。</w:t>
      </w:r>
    </w:p>
    <w:p w14:paraId="29D390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9、报价文件评审；</w:t>
      </w:r>
    </w:p>
    <w:p w14:paraId="05B718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10、由主持人公布无效投标的投标人名单、投标无效的原因及其他有效投标的报价文件得分；</w:t>
      </w:r>
    </w:p>
    <w:p w14:paraId="384E0B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11、宣布综合得分结果及中标候选人名单；</w:t>
      </w:r>
    </w:p>
    <w:p w14:paraId="56EE4F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12、开标会议结束</w:t>
      </w:r>
      <w:r>
        <w:rPr>
          <w:rFonts w:hint="eastAsia" w:ascii="宋体" w:hAnsi="宋体" w:eastAsia="宋体" w:cs="宋体"/>
          <w:color w:val="auto"/>
          <w:sz w:val="21"/>
          <w:szCs w:val="21"/>
          <w:highlight w:val="none"/>
        </w:rPr>
        <w:t>。</w:t>
      </w:r>
    </w:p>
    <w:p w14:paraId="1F9B6119">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14:paraId="5A49073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本项目采用电子评审方法，评标的依据为招标文件和投标文件。</w:t>
      </w:r>
    </w:p>
    <w:p w14:paraId="6D4FD0A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2A68EE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2E76875F">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726C663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05AC0D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75E3CAF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579D26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72C127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9A340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4B5D5D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189752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065F478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7C533B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1B68C5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31BFE8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2631205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07721F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0F8C951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7EF061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签字，并不得超出投标文件的范围或者改变投标文件的实质性内容。</w:t>
      </w:r>
    </w:p>
    <w:p w14:paraId="4B1D83CF">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7EEBAD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6E6B54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30433C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45F42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7E0F67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586009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3C14DC6E">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772068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5F0E9B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2CC64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646B38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9E2CE0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2DEBE48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734C818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5BF772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BFD1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报价超过招标文件中规定的预算价/最高限(单)价。</w:t>
      </w:r>
      <w:r>
        <w:rPr>
          <w:rFonts w:hint="eastAsia" w:ascii="宋体" w:hAnsi="宋体" w:eastAsia="宋体" w:cs="宋体"/>
          <w:color w:val="auto"/>
          <w:sz w:val="21"/>
          <w:szCs w:val="21"/>
          <w:highlight w:val="none"/>
        </w:rPr>
        <w:t xml:space="preserve"> </w:t>
      </w:r>
    </w:p>
    <w:p w14:paraId="23F1AE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14BFCF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3671BD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603D5F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44AAB6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0C59E2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7FB688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7F0165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不同供应商联系人为同一人或不同联系人的联系电话一致的。</w:t>
      </w:r>
    </w:p>
    <w:p w14:paraId="6A5E79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58D874FC">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77B30D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8EB64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65470A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47BB5A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5265F74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0F5EBE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2FF16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E434955">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1984EF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D612E38">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2D0669B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EABC1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182FA7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00A8D893">
      <w:pPr>
        <w:pStyle w:val="17"/>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E634E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4DF4FAD1">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201B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3D19D0F4">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80ADBEA">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386B1A9D">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756BBF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1EC8648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0A83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9CA8C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140431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E09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F07C7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F426F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05CF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4A4DE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134CF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69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0DCDC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134C7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421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FB03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016F82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870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EEDD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EC92E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AD6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E09C9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7F2A0D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267B646">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1419E5D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064C5B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13374A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201E32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43B9C8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E60A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5BE2851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0E18A8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1976DF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2F421FF4">
      <w:pPr>
        <w:rPr>
          <w:rFonts w:hint="eastAsia" w:ascii="宋体" w:hAnsi="宋体" w:eastAsia="宋体" w:cs="宋体"/>
          <w:color w:val="auto"/>
          <w:highlight w:val="none"/>
        </w:rPr>
      </w:pPr>
    </w:p>
    <w:p w14:paraId="00FC92C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BDECFA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0A7DEC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0AA2F7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评标标准按评分细化条款及分值进行评审。</w:t>
      </w:r>
    </w:p>
    <w:p w14:paraId="7508A35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55E971BC">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2CF5569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78D3FCF0">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6D226DD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zh-CN"/>
        </w:rPr>
        <w:t>投标报价得分</w:t>
      </w:r>
      <w:r>
        <w:rPr>
          <w:rFonts w:hint="eastAsia" w:ascii="宋体" w:hAnsi="宋体" w:eastAsia="宋体" w:cs="宋体"/>
          <w:color w:val="auto"/>
          <w:sz w:val="21"/>
          <w:szCs w:val="21"/>
          <w:highlight w:val="none"/>
          <w:u w:val="single"/>
          <w:lang w:val="en-US" w:eastAsia="zh-CN"/>
        </w:rPr>
        <w:t>=青苗评估</w:t>
      </w:r>
      <w:r>
        <w:rPr>
          <w:rFonts w:hint="eastAsia" w:ascii="宋体" w:hAnsi="宋体" w:eastAsia="宋体" w:cs="宋体"/>
          <w:color w:val="auto"/>
          <w:sz w:val="21"/>
          <w:szCs w:val="21"/>
          <w:highlight w:val="none"/>
          <w:u w:val="single"/>
          <w:lang w:val="zh-CN"/>
        </w:rPr>
        <w:t>投标报价得分</w:t>
      </w:r>
      <w:r>
        <w:rPr>
          <w:rFonts w:hint="eastAsia" w:ascii="宋体" w:hAnsi="宋体" w:eastAsia="宋体" w:cs="宋体"/>
          <w:color w:val="auto"/>
          <w:sz w:val="21"/>
          <w:szCs w:val="21"/>
          <w:highlight w:val="none"/>
          <w:u w:val="single"/>
          <w:lang w:val="en-US" w:eastAsia="zh-CN"/>
        </w:rPr>
        <w:t>+面积分户测量投标</w:t>
      </w:r>
      <w:r>
        <w:rPr>
          <w:rFonts w:hint="eastAsia" w:ascii="宋体" w:hAnsi="宋体" w:eastAsia="宋体" w:cs="宋体"/>
          <w:color w:val="auto"/>
          <w:sz w:val="21"/>
          <w:szCs w:val="21"/>
          <w:highlight w:val="none"/>
          <w:u w:val="single"/>
          <w:lang w:val="zh-CN"/>
        </w:rPr>
        <w:t>报价得分。</w:t>
      </w:r>
    </w:p>
    <w:p w14:paraId="508C209A">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en-US" w:eastAsia="zh-CN"/>
        </w:rPr>
        <w:t>（1）青苗评估</w:t>
      </w: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zh-CN"/>
        </w:rPr>
        <w:t>%×100 ；</w:t>
      </w:r>
    </w:p>
    <w:p w14:paraId="4B464330">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en-US" w:eastAsia="zh-CN"/>
        </w:rPr>
        <w:t>（2）土地丈量投标</w:t>
      </w:r>
      <w:r>
        <w:rPr>
          <w:rFonts w:hint="eastAsia" w:ascii="宋体" w:hAnsi="宋体" w:eastAsia="宋体" w:cs="宋体"/>
          <w:color w:val="auto"/>
          <w:sz w:val="21"/>
          <w:szCs w:val="21"/>
          <w:highlight w:val="none"/>
          <w:u w:val="single"/>
          <w:lang w:val="zh-CN"/>
        </w:rPr>
        <w:t>报价得分=(评标基准价／投标报价)×</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zh-CN"/>
        </w:rPr>
        <w:t>%×100 。</w:t>
      </w:r>
    </w:p>
    <w:p w14:paraId="5EE2637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581E8C4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5C1242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文件中规定的各项因素进行综合评审后，以评审总得分最高的投标人为第一中标候选人，评审总得分次高的投标人为第二中标候选人。</w:t>
      </w:r>
    </w:p>
    <w:p w14:paraId="26F3B9CB">
      <w:pPr>
        <w:spacing w:line="360" w:lineRule="auto"/>
        <w:ind w:firstLine="420"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宋体" w:hAnsi="宋体" w:eastAsia="宋体" w:cs="宋体"/>
          <w:color w:val="auto"/>
          <w:sz w:val="21"/>
          <w:szCs w:val="21"/>
          <w:highlight w:val="none"/>
          <w:lang w:val="zh-CN"/>
        </w:rPr>
        <w:t>四、如综合得分相同，投标报价低者为先；如综合得分且投标报价相同的，以技术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r>
        <w:rPr>
          <w:rFonts w:hint="eastAsia" w:asciiTheme="minorEastAsia" w:hAnsiTheme="minorEastAsia" w:eastAsiaTheme="minorEastAsia" w:cstheme="minorEastAsia"/>
          <w:b/>
          <w:bCs/>
          <w:color w:val="auto"/>
          <w:sz w:val="21"/>
          <w:szCs w:val="21"/>
          <w:highlight w:val="none"/>
          <w:lang w:val="en-US" w:eastAsia="zh-CN"/>
        </w:rPr>
        <w:t xml:space="preserve">                 </w:t>
      </w:r>
    </w:p>
    <w:p w14:paraId="1DEF03CA">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2F84810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14:paraId="6B3F819D">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1"/>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122"/>
        <w:gridCol w:w="6148"/>
        <w:gridCol w:w="702"/>
      </w:tblGrid>
      <w:tr w14:paraId="6B19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82" w:type="dxa"/>
            <w:gridSpan w:val="2"/>
            <w:noWrap w:val="0"/>
            <w:vAlign w:val="center"/>
          </w:tcPr>
          <w:p w14:paraId="3743C425">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148" w:type="dxa"/>
            <w:noWrap w:val="0"/>
            <w:vAlign w:val="center"/>
          </w:tcPr>
          <w:p w14:paraId="5E66E809">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702" w:type="dxa"/>
            <w:noWrap w:val="0"/>
            <w:vAlign w:val="center"/>
          </w:tcPr>
          <w:p w14:paraId="45E57923">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7963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060" w:type="dxa"/>
            <w:vMerge w:val="restart"/>
            <w:noWrap w:val="0"/>
            <w:vAlign w:val="center"/>
          </w:tcPr>
          <w:p w14:paraId="1AF2AFB7">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商务分</w:t>
            </w:r>
          </w:p>
          <w:p w14:paraId="4E84993F">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（12分）</w:t>
            </w:r>
          </w:p>
        </w:tc>
        <w:tc>
          <w:tcPr>
            <w:tcW w:w="1122" w:type="dxa"/>
            <w:noWrap w:val="0"/>
            <w:vAlign w:val="center"/>
          </w:tcPr>
          <w:p w14:paraId="59E60819">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企业实力</w:t>
            </w:r>
          </w:p>
        </w:tc>
        <w:tc>
          <w:tcPr>
            <w:tcW w:w="6148" w:type="dxa"/>
            <w:noWrap w:val="0"/>
            <w:vAlign w:val="center"/>
          </w:tcPr>
          <w:p w14:paraId="0C50517D">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投标人具有有效期内的质量管理体系认证证书、职业健康安全管理体系认证证书、环境管理体系认证证书的，每个得1分，本项最高得3分。</w:t>
            </w:r>
          </w:p>
          <w:p w14:paraId="4BBA54C9">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(须提供证书扫描件和全国认证认可信息公共服务平台证书查询截图并加盖投标人公章编入投标文件中，未提供或提供不全的不得分)</w:t>
            </w:r>
          </w:p>
        </w:tc>
        <w:tc>
          <w:tcPr>
            <w:tcW w:w="702" w:type="dxa"/>
            <w:noWrap w:val="0"/>
            <w:vAlign w:val="center"/>
          </w:tcPr>
          <w:p w14:paraId="1089292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r>
      <w:tr w14:paraId="7DFD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60" w:type="dxa"/>
            <w:vMerge w:val="continue"/>
            <w:noWrap w:val="0"/>
            <w:vAlign w:val="center"/>
          </w:tcPr>
          <w:p w14:paraId="0B787DD6">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shd w:val="clear" w:color="auto" w:fill="auto"/>
            <w:noWrap w:val="0"/>
            <w:vAlign w:val="center"/>
          </w:tcPr>
          <w:p w14:paraId="62CEDBF7">
            <w:pPr>
              <w:keepNext w:val="0"/>
              <w:keepLines w:val="0"/>
              <w:pageBreakBefore w:val="0"/>
              <w:numPr>
                <w:ilvl w:val="0"/>
                <w:numId w:val="0"/>
              </w:numPr>
              <w:shd w:val="clear"/>
              <w:kinsoku/>
              <w:overflowPunct/>
              <w:topLinePunct w:val="0"/>
              <w:bidi w:val="0"/>
              <w:spacing w:line="240" w:lineRule="auto"/>
              <w:ind w:left="0" w:lef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人员配置</w:t>
            </w:r>
          </w:p>
        </w:tc>
        <w:tc>
          <w:tcPr>
            <w:tcW w:w="6148" w:type="dxa"/>
            <w:shd w:val="clear" w:color="auto" w:fill="auto"/>
            <w:noWrap w:val="0"/>
            <w:vAlign w:val="center"/>
          </w:tcPr>
          <w:p w14:paraId="64273850">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1、拟投入本项目的项目负责人具有土地估价师资格的（以省级自然资源主管部门或省级国土资源主管部门备案文件为准）得3分</w:t>
            </w:r>
          </w:p>
          <w:p w14:paraId="489EF023">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2、拟投入本项目的项目实施人员（项目负责人除外）具有土地估价师资格的（以省级自然资源主管部门或省级国土资源主管部门备案文件为准）3人的得2分，每增加1人得1分，最高得5分。本项最高得8分。</w:t>
            </w:r>
          </w:p>
          <w:p w14:paraId="20D58775">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(须提供相关证书扫描件并加盖投标人公章编入投标文件中，未提供的不得分)</w:t>
            </w:r>
          </w:p>
        </w:tc>
        <w:tc>
          <w:tcPr>
            <w:tcW w:w="702" w:type="dxa"/>
            <w:noWrap w:val="0"/>
            <w:vAlign w:val="center"/>
          </w:tcPr>
          <w:p w14:paraId="331781A1">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r>
      <w:tr w14:paraId="616D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60" w:type="dxa"/>
            <w:vMerge w:val="continue"/>
            <w:noWrap w:val="0"/>
            <w:vAlign w:val="center"/>
          </w:tcPr>
          <w:p w14:paraId="048A93F0">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1E6A894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承接经验</w:t>
            </w:r>
          </w:p>
        </w:tc>
        <w:tc>
          <w:tcPr>
            <w:tcW w:w="6148" w:type="dxa"/>
            <w:noWrap w:val="0"/>
            <w:vAlign w:val="center"/>
          </w:tcPr>
          <w:p w14:paraId="6A5A5A94">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val="en-US" w:eastAsia="zh-CN"/>
              </w:rPr>
              <w:t>自</w:t>
            </w:r>
            <w:r>
              <w:rPr>
                <w:rFonts w:hint="eastAsia" w:asciiTheme="minorEastAsia" w:hAnsiTheme="minorEastAsia" w:eastAsiaTheme="minorEastAsia" w:cstheme="minorEastAsia"/>
                <w:color w:val="auto"/>
                <w:sz w:val="21"/>
                <w:szCs w:val="21"/>
                <w:highlight w:val="none"/>
              </w:rPr>
              <w:t>2021年1月1日</w:t>
            </w:r>
            <w:r>
              <w:rPr>
                <w:rFonts w:hint="eastAsia" w:asciiTheme="minorEastAsia" w:hAnsiTheme="minorEastAsia" w:eastAsiaTheme="minorEastAsia" w:cstheme="minorEastAsia"/>
                <w:color w:val="auto"/>
                <w:sz w:val="21"/>
                <w:szCs w:val="21"/>
                <w:highlight w:val="none"/>
                <w:lang w:val="en-US" w:eastAsia="zh-CN"/>
              </w:rPr>
              <w:t>以来</w:t>
            </w:r>
            <w:r>
              <w:rPr>
                <w:rFonts w:hint="eastAsia" w:asciiTheme="minorEastAsia" w:hAnsiTheme="minorEastAsia" w:eastAsiaTheme="minorEastAsia" w:cstheme="minorEastAsia"/>
                <w:color w:val="auto"/>
                <w:sz w:val="21"/>
                <w:szCs w:val="21"/>
                <w:highlight w:val="none"/>
              </w:rPr>
              <w:t>(以合同签订为准)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承接过类似项目业绩的，</w:t>
            </w:r>
            <w:r>
              <w:rPr>
                <w:rFonts w:hint="eastAsia" w:asciiTheme="minorEastAsia" w:hAnsiTheme="minorEastAsia" w:eastAsiaTheme="minorEastAsia" w:cstheme="minorEastAsia"/>
                <w:color w:val="auto"/>
                <w:sz w:val="21"/>
                <w:szCs w:val="21"/>
                <w:highlight w:val="none"/>
              </w:rPr>
              <w:t>每提供一个业绩的得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本项</w:t>
            </w:r>
            <w:r>
              <w:rPr>
                <w:rFonts w:hint="eastAsia" w:asciiTheme="minorEastAsia" w:hAnsiTheme="minorEastAsia" w:eastAsiaTheme="minorEastAsia" w:cstheme="minorEastAsia"/>
                <w:color w:val="auto"/>
                <w:sz w:val="21"/>
                <w:szCs w:val="21"/>
                <w:highlight w:val="none"/>
              </w:rPr>
              <w:t>最高得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32319063">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若投标人提供2份及以上合同，合同业主、项目名称均相同又分多个年份签订的，按1个业绩计算。</w:t>
            </w:r>
          </w:p>
          <w:p w14:paraId="12CC94F2">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（须提供合同</w:t>
            </w:r>
            <w:r>
              <w:rPr>
                <w:rFonts w:hint="eastAsia" w:asciiTheme="minorEastAsia" w:hAnsiTheme="minorEastAsia" w:eastAsiaTheme="minorEastAsia" w:cstheme="minorEastAsia"/>
                <w:b/>
                <w:bCs/>
                <w:color w:val="auto"/>
                <w:kern w:val="2"/>
                <w:sz w:val="21"/>
                <w:szCs w:val="21"/>
                <w:highlight w:val="none"/>
                <w:lang w:val="en-US" w:eastAsia="zh-CN"/>
              </w:rPr>
              <w:t>扫描</w:t>
            </w:r>
            <w:r>
              <w:rPr>
                <w:rFonts w:hint="eastAsia" w:asciiTheme="minorEastAsia" w:hAnsiTheme="minorEastAsia" w:eastAsiaTheme="minorEastAsia" w:cstheme="minorEastAsia"/>
                <w:b/>
                <w:bCs/>
                <w:color w:val="auto"/>
                <w:kern w:val="2"/>
                <w:sz w:val="21"/>
                <w:szCs w:val="21"/>
                <w:highlight w:val="none"/>
                <w:lang w:eastAsia="zh-CN"/>
              </w:rPr>
              <w:t>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未提供的</w:t>
            </w:r>
            <w:r>
              <w:rPr>
                <w:rFonts w:hint="eastAsia" w:asciiTheme="minorEastAsia" w:hAnsiTheme="minorEastAsia" w:eastAsiaTheme="minorEastAsia" w:cstheme="minorEastAsia"/>
                <w:b/>
                <w:bCs/>
                <w:color w:val="auto"/>
                <w:sz w:val="21"/>
                <w:szCs w:val="21"/>
                <w:highlight w:val="none"/>
              </w:rPr>
              <w:t>不得分</w:t>
            </w:r>
            <w:r>
              <w:rPr>
                <w:rFonts w:hint="eastAsia" w:asciiTheme="minorEastAsia" w:hAnsiTheme="minorEastAsia" w:eastAsiaTheme="minorEastAsia" w:cstheme="minorEastAsia"/>
                <w:b/>
                <w:bCs/>
                <w:color w:val="auto"/>
                <w:kern w:val="2"/>
                <w:sz w:val="21"/>
                <w:szCs w:val="21"/>
                <w:highlight w:val="none"/>
                <w:lang w:val="en-US" w:eastAsia="zh-CN" w:bidi="ar-SA"/>
              </w:rPr>
              <w:t>）</w:t>
            </w:r>
          </w:p>
        </w:tc>
        <w:tc>
          <w:tcPr>
            <w:tcW w:w="702" w:type="dxa"/>
            <w:noWrap w:val="0"/>
            <w:vAlign w:val="center"/>
          </w:tcPr>
          <w:p w14:paraId="651E2A7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r>
      <w:tr w14:paraId="1326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060" w:type="dxa"/>
            <w:vMerge w:val="restart"/>
            <w:noWrap w:val="0"/>
            <w:vAlign w:val="center"/>
          </w:tcPr>
          <w:p w14:paraId="0FB95003">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技术分</w:t>
            </w:r>
          </w:p>
          <w:p w14:paraId="52180912">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（78分）</w:t>
            </w:r>
          </w:p>
        </w:tc>
        <w:tc>
          <w:tcPr>
            <w:tcW w:w="1122" w:type="dxa"/>
            <w:noWrap w:val="0"/>
            <w:vAlign w:val="center"/>
          </w:tcPr>
          <w:p w14:paraId="37C853E1">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zh-CN" w:eastAsia="zh-CN" w:bidi="ar-SA"/>
              </w:rPr>
              <w:t>项目背景的了解和分析情况</w:t>
            </w:r>
          </w:p>
        </w:tc>
        <w:tc>
          <w:tcPr>
            <w:tcW w:w="6148" w:type="dxa"/>
            <w:noWrap w:val="0"/>
            <w:vAlign w:val="top"/>
          </w:tcPr>
          <w:p w14:paraId="347A74E8">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根据投标人对项目目标地区土地征收青苗、树木、果树、地上附着物、基础设施、土地丈量等征偿政策环境、价格水平行情等方面的了解程度，对补偿价格评估能力及政策把握能力情况等进行打分。</w:t>
            </w:r>
          </w:p>
          <w:p w14:paraId="37754D1A">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对项目目标地区土地征收青苗、树木、果树、地上附着物、基础设施、土地丈量等征偿政策环境、价格水平行情等方面调查全面，价格行情等方面熟悉、理解 透彻，具有分析评估能力及政策把握能力的得</w:t>
            </w:r>
            <w:r>
              <w:rPr>
                <w:rFonts w:hint="eastAsia" w:asciiTheme="minorEastAsia" w:hAnsiTheme="minorEastAsia" w:eastAsiaTheme="minorEastAsia" w:cstheme="minorEastAsia"/>
                <w:color w:val="auto"/>
                <w:sz w:val="21"/>
                <w:szCs w:val="21"/>
                <w:highlight w:val="none"/>
                <w:lang w:val="en-US" w:eastAsia="zh-CN"/>
              </w:rPr>
              <w:t>6.0-8.0</w:t>
            </w:r>
            <w:r>
              <w:rPr>
                <w:rFonts w:hint="eastAsia" w:asciiTheme="minorEastAsia" w:hAnsiTheme="minorEastAsia" w:eastAsiaTheme="minorEastAsia" w:cstheme="minorEastAsia"/>
                <w:color w:val="auto"/>
                <w:sz w:val="21"/>
                <w:szCs w:val="21"/>
                <w:highlight w:val="none"/>
                <w:lang w:val="zh-CN"/>
              </w:rPr>
              <w:t>分；</w:t>
            </w:r>
          </w:p>
          <w:p w14:paraId="348AD33B">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对项目目标地区土地征收青苗、树木、果树、地上附着物、基础设施、土地丈量等征偿政策环境、价格水平行情等方面调查不够全面，价格行情等方面不够熟悉，理解不够，具有一定分析评估能力及政策把握能力的得</w:t>
            </w:r>
            <w:r>
              <w:rPr>
                <w:rFonts w:hint="eastAsia" w:asciiTheme="minorEastAsia" w:hAnsiTheme="minorEastAsia" w:eastAsiaTheme="minorEastAsia" w:cstheme="minorEastAsia"/>
                <w:color w:val="auto"/>
                <w:sz w:val="21"/>
                <w:szCs w:val="21"/>
                <w:highlight w:val="none"/>
                <w:lang w:val="en-US" w:eastAsia="zh-CN"/>
              </w:rPr>
              <w:t>3.0-5.9</w:t>
            </w:r>
            <w:r>
              <w:rPr>
                <w:rFonts w:hint="eastAsia" w:asciiTheme="minorEastAsia" w:hAnsiTheme="minorEastAsia" w:eastAsiaTheme="minorEastAsia" w:cstheme="minorEastAsia"/>
                <w:color w:val="auto"/>
                <w:sz w:val="21"/>
                <w:szCs w:val="21"/>
                <w:highlight w:val="none"/>
                <w:lang w:val="zh-CN"/>
              </w:rPr>
              <w:t>分；</w:t>
            </w:r>
          </w:p>
          <w:p w14:paraId="4CFAFE18">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对项目项目需求、背景等情况不了解，相关内容分析片面简单的得</w:t>
            </w:r>
            <w:r>
              <w:rPr>
                <w:rFonts w:hint="eastAsia" w:asciiTheme="minorEastAsia" w:hAnsiTheme="minorEastAsia" w:eastAsiaTheme="minorEastAsia" w:cstheme="minorEastAsia"/>
                <w:color w:val="auto"/>
                <w:sz w:val="21"/>
                <w:szCs w:val="21"/>
                <w:highlight w:val="none"/>
                <w:lang w:val="en-US" w:eastAsia="zh-CN"/>
              </w:rPr>
              <w:t>0.1-2.9</w:t>
            </w:r>
            <w:r>
              <w:rPr>
                <w:rFonts w:hint="eastAsia" w:asciiTheme="minorEastAsia" w:hAnsiTheme="minorEastAsia" w:eastAsiaTheme="minorEastAsia" w:cstheme="minorEastAsia"/>
                <w:color w:val="auto"/>
                <w:sz w:val="21"/>
                <w:szCs w:val="21"/>
                <w:highlight w:val="none"/>
                <w:lang w:val="zh-CN"/>
              </w:rPr>
              <w:t>分；</w:t>
            </w:r>
          </w:p>
          <w:p w14:paraId="283E0781">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7340D4B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8</w:t>
            </w:r>
          </w:p>
        </w:tc>
      </w:tr>
      <w:tr w14:paraId="5630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1E8AFA3C">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7EE9C16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重难点分析</w:t>
            </w:r>
          </w:p>
        </w:tc>
        <w:tc>
          <w:tcPr>
            <w:tcW w:w="6148" w:type="dxa"/>
            <w:noWrap w:val="0"/>
            <w:vAlign w:val="top"/>
          </w:tcPr>
          <w:p w14:paraId="528D3B86">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根据投标人对本项目背景的了解和分析情况、关于土地征收青苗、树木、果树、地上附着物、基础设施、土地丈量评估事项技术服务项目情况调查、存在问题和具体工作过程可能遇到的重点难点分析的难点、要点等问题进行调查剖析等进行</w:t>
            </w:r>
            <w:r>
              <w:rPr>
                <w:rFonts w:hint="eastAsia" w:asciiTheme="minorEastAsia" w:hAnsiTheme="minorEastAsia" w:eastAsiaTheme="minorEastAsia" w:cstheme="minorEastAsia"/>
                <w:color w:val="auto"/>
                <w:sz w:val="21"/>
                <w:szCs w:val="21"/>
                <w:highlight w:val="none"/>
                <w:lang w:val="en-US" w:eastAsia="zh-CN"/>
              </w:rPr>
              <w:t>打分。</w:t>
            </w:r>
          </w:p>
          <w:p w14:paraId="571107BB">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调查剖析、资料收集完整全面、重难点分析到位、 科学、合理、完整的得</w:t>
            </w:r>
            <w:r>
              <w:rPr>
                <w:rFonts w:hint="eastAsia" w:asciiTheme="minorEastAsia" w:hAnsiTheme="minorEastAsia" w:eastAsiaTheme="minorEastAsia" w:cstheme="minorEastAsia"/>
                <w:color w:val="auto"/>
                <w:sz w:val="21"/>
                <w:szCs w:val="21"/>
                <w:highlight w:val="none"/>
                <w:lang w:val="en-US" w:eastAsia="zh-CN"/>
              </w:rPr>
              <w:t>3.0-5.0</w:t>
            </w:r>
            <w:r>
              <w:rPr>
                <w:rFonts w:hint="eastAsia" w:asciiTheme="minorEastAsia" w:hAnsiTheme="minorEastAsia" w:eastAsiaTheme="minorEastAsia" w:cstheme="minorEastAsia"/>
                <w:color w:val="auto"/>
                <w:sz w:val="21"/>
                <w:szCs w:val="21"/>
                <w:highlight w:val="none"/>
                <w:lang w:val="zh-CN" w:eastAsia="zh-CN"/>
              </w:rPr>
              <w:t>分；</w:t>
            </w:r>
          </w:p>
          <w:p w14:paraId="19CA71AA">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调查剖析、资料收集不够全面、重难点分析基本到位、科学、合理、完整，有一定不足需进一步完善的得</w:t>
            </w:r>
            <w:r>
              <w:rPr>
                <w:rFonts w:hint="eastAsia" w:asciiTheme="minorEastAsia" w:hAnsiTheme="minorEastAsia" w:eastAsiaTheme="minorEastAsia" w:cstheme="minorEastAsia"/>
                <w:color w:val="auto"/>
                <w:sz w:val="21"/>
                <w:szCs w:val="21"/>
                <w:highlight w:val="none"/>
                <w:lang w:val="en-US" w:eastAsia="zh-CN"/>
              </w:rPr>
              <w:t>0.1-2.9</w:t>
            </w:r>
            <w:r>
              <w:rPr>
                <w:rFonts w:hint="eastAsia" w:asciiTheme="minorEastAsia" w:hAnsiTheme="minorEastAsia" w:eastAsiaTheme="minorEastAsia" w:cstheme="minorEastAsia"/>
                <w:color w:val="auto"/>
                <w:sz w:val="21"/>
                <w:szCs w:val="21"/>
                <w:highlight w:val="none"/>
                <w:lang w:val="zh-CN" w:eastAsia="zh-CN"/>
              </w:rPr>
              <w:t>分；</w:t>
            </w:r>
          </w:p>
          <w:p w14:paraId="2F652944">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210CA54B">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14:paraId="1C95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1E1867B5">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6CB16E50">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重难点解决方案</w:t>
            </w:r>
          </w:p>
        </w:tc>
        <w:tc>
          <w:tcPr>
            <w:tcW w:w="6148" w:type="dxa"/>
            <w:noWrap w:val="0"/>
            <w:vAlign w:val="top"/>
          </w:tcPr>
          <w:p w14:paraId="7E32233E">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根据投标人对本项目工作存在的重点难点问题提出克服难点和要点的解决方法等进行</w:t>
            </w:r>
            <w:r>
              <w:rPr>
                <w:rFonts w:hint="eastAsia" w:asciiTheme="minorEastAsia" w:hAnsiTheme="minorEastAsia" w:eastAsiaTheme="minorEastAsia" w:cstheme="minorEastAsia"/>
                <w:color w:val="auto"/>
                <w:sz w:val="21"/>
                <w:szCs w:val="21"/>
                <w:highlight w:val="none"/>
                <w:lang w:val="en-US" w:eastAsia="zh-CN"/>
              </w:rPr>
              <w:t>打分。</w:t>
            </w:r>
          </w:p>
          <w:p w14:paraId="301B30F3">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对本项目工作存在的重点难点问题提出的解决方法具有针对性、合理性、可行性的得</w:t>
            </w:r>
            <w:r>
              <w:rPr>
                <w:rFonts w:hint="eastAsia" w:asciiTheme="minorEastAsia" w:hAnsiTheme="minorEastAsia" w:eastAsiaTheme="minorEastAsia" w:cstheme="minorEastAsia"/>
                <w:color w:val="auto"/>
                <w:sz w:val="21"/>
                <w:szCs w:val="21"/>
                <w:highlight w:val="none"/>
                <w:lang w:val="en-US" w:eastAsia="zh-CN"/>
              </w:rPr>
              <w:t>3.0-5.0</w:t>
            </w:r>
            <w:r>
              <w:rPr>
                <w:rFonts w:hint="eastAsia" w:asciiTheme="minorEastAsia" w:hAnsiTheme="minorEastAsia" w:eastAsiaTheme="minorEastAsia" w:cstheme="minorEastAsia"/>
                <w:color w:val="auto"/>
                <w:sz w:val="21"/>
                <w:szCs w:val="21"/>
                <w:highlight w:val="none"/>
                <w:lang w:val="zh-CN" w:eastAsia="zh-CN"/>
              </w:rPr>
              <w:t>分；</w:t>
            </w:r>
          </w:p>
          <w:p w14:paraId="04586869">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对本项目工作存在的重点难点问题提出解决方法阐述不够具体详尽的得</w:t>
            </w:r>
            <w:r>
              <w:rPr>
                <w:rFonts w:hint="eastAsia" w:asciiTheme="minorEastAsia" w:hAnsiTheme="minorEastAsia" w:eastAsiaTheme="minorEastAsia" w:cstheme="minorEastAsia"/>
                <w:color w:val="auto"/>
                <w:sz w:val="21"/>
                <w:szCs w:val="21"/>
                <w:highlight w:val="none"/>
                <w:lang w:val="en-US" w:eastAsia="zh-CN"/>
              </w:rPr>
              <w:t>0.1-2.9</w:t>
            </w:r>
            <w:r>
              <w:rPr>
                <w:rFonts w:hint="eastAsia" w:asciiTheme="minorEastAsia" w:hAnsiTheme="minorEastAsia" w:eastAsiaTheme="minorEastAsia" w:cstheme="minorEastAsia"/>
                <w:color w:val="auto"/>
                <w:sz w:val="21"/>
                <w:szCs w:val="21"/>
                <w:highlight w:val="none"/>
                <w:lang w:val="zh-CN" w:eastAsia="zh-CN"/>
              </w:rPr>
              <w:t>分；</w:t>
            </w:r>
          </w:p>
          <w:p w14:paraId="77A3B9D1">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35B420BA">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14:paraId="6E15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noWrap w:val="0"/>
            <w:vAlign w:val="center"/>
          </w:tcPr>
          <w:p w14:paraId="4D359782">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restart"/>
            <w:shd w:val="clear" w:color="auto" w:fill="auto"/>
            <w:noWrap w:val="0"/>
            <w:vAlign w:val="center"/>
          </w:tcPr>
          <w:p w14:paraId="22A93F5C">
            <w:pPr>
              <w:pStyle w:val="57"/>
              <w:spacing w:before="34" w:line="221" w:lineRule="auto"/>
              <w:jc w:val="center"/>
              <w:rPr>
                <w:rFonts w:hint="default"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SA"/>
              </w:rPr>
              <w:t>实施方案</w:t>
            </w:r>
          </w:p>
        </w:tc>
        <w:tc>
          <w:tcPr>
            <w:tcW w:w="6148" w:type="dxa"/>
            <w:shd w:val="clear" w:color="auto" w:fill="auto"/>
            <w:noWrap w:val="0"/>
            <w:vAlign w:val="top"/>
          </w:tcPr>
          <w:p w14:paraId="683B89A1">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根据投标人针对本项目提供的总体工作安排、工作标准(包括政策处理评估(地上附着物、基础设施、土地丈量等)的制定标准)等情况进行</w:t>
            </w:r>
            <w:r>
              <w:rPr>
                <w:rFonts w:hint="eastAsia" w:asciiTheme="minorEastAsia" w:hAnsiTheme="minorEastAsia" w:eastAsiaTheme="minorEastAsia" w:cstheme="minorEastAsia"/>
                <w:color w:val="auto"/>
                <w:sz w:val="21"/>
                <w:szCs w:val="21"/>
                <w:highlight w:val="none"/>
                <w:lang w:val="en-US" w:eastAsia="zh-CN"/>
              </w:rPr>
              <w:t>打分</w:t>
            </w:r>
            <w:r>
              <w:rPr>
                <w:rFonts w:hint="eastAsia" w:asciiTheme="minorEastAsia" w:hAnsiTheme="minorEastAsia" w:eastAsiaTheme="minorEastAsia" w:cstheme="minorEastAsia"/>
                <w:color w:val="auto"/>
                <w:sz w:val="21"/>
                <w:szCs w:val="21"/>
                <w:highlight w:val="none"/>
                <w:lang w:val="zh-CN" w:eastAsia="zh-CN"/>
              </w:rPr>
              <w:t>。</w:t>
            </w:r>
          </w:p>
          <w:p w14:paraId="137D0232">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总体工作安排合理，工作标准(包括政策处理评 估(地上附着物、基础设施、土地丈量等)内容完整详细，条款明确，能有效保障项目完成质量的得</w:t>
            </w:r>
            <w:r>
              <w:rPr>
                <w:rFonts w:hint="eastAsia" w:asciiTheme="minorEastAsia" w:hAnsiTheme="minorEastAsia" w:eastAsiaTheme="minorEastAsia" w:cstheme="minorEastAsia"/>
                <w:color w:val="auto"/>
                <w:sz w:val="21"/>
                <w:szCs w:val="21"/>
                <w:highlight w:val="none"/>
                <w:lang w:val="en-US" w:eastAsia="zh-CN"/>
              </w:rPr>
              <w:t>6.0-8.0</w:t>
            </w:r>
            <w:r>
              <w:rPr>
                <w:rFonts w:hint="eastAsia" w:asciiTheme="minorEastAsia" w:hAnsiTheme="minorEastAsia" w:eastAsiaTheme="minorEastAsia" w:cstheme="minorEastAsia"/>
                <w:color w:val="auto"/>
                <w:sz w:val="21"/>
                <w:szCs w:val="21"/>
                <w:highlight w:val="none"/>
                <w:lang w:val="zh-CN" w:eastAsia="zh-CN"/>
              </w:rPr>
              <w:t>分 ；</w:t>
            </w:r>
          </w:p>
          <w:p w14:paraId="6B1E3720">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总体工作安排阐述简单，工作标准(包括政策处理评估(地上附着物、基础设施、土地丈量等)内容阐述完整但部分条款不明确，能基本保障项目服务的得</w:t>
            </w:r>
            <w:r>
              <w:rPr>
                <w:rFonts w:hint="eastAsia" w:asciiTheme="minorEastAsia" w:hAnsiTheme="minorEastAsia" w:eastAsiaTheme="minorEastAsia" w:cstheme="minorEastAsia"/>
                <w:color w:val="auto"/>
                <w:sz w:val="21"/>
                <w:szCs w:val="21"/>
                <w:highlight w:val="none"/>
                <w:lang w:val="en-US" w:eastAsia="zh-CN"/>
              </w:rPr>
              <w:t>3.0-5.9</w:t>
            </w:r>
            <w:r>
              <w:rPr>
                <w:rFonts w:hint="eastAsia" w:asciiTheme="minorEastAsia" w:hAnsiTheme="minorEastAsia" w:eastAsiaTheme="minorEastAsia" w:cstheme="minorEastAsia"/>
                <w:color w:val="auto"/>
                <w:sz w:val="21"/>
                <w:szCs w:val="21"/>
                <w:highlight w:val="none"/>
                <w:lang w:val="zh-CN" w:eastAsia="zh-CN"/>
              </w:rPr>
              <w:t>分；</w:t>
            </w:r>
          </w:p>
          <w:p w14:paraId="7916D654">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项目总体工作安排不明确，相关工作标准(包括 政策处理评估(地上附着物、基础设施、土地丈量等)阐述不清晰且内容简单，无法有效保障项目服务质量的得</w:t>
            </w:r>
            <w:r>
              <w:rPr>
                <w:rFonts w:hint="eastAsia" w:asciiTheme="minorEastAsia" w:hAnsiTheme="minorEastAsia" w:eastAsiaTheme="minorEastAsia" w:cstheme="minorEastAsia"/>
                <w:color w:val="auto"/>
                <w:sz w:val="21"/>
                <w:szCs w:val="21"/>
                <w:highlight w:val="none"/>
                <w:lang w:val="en-US" w:eastAsia="zh-CN"/>
              </w:rPr>
              <w:t>0.1-2.9</w:t>
            </w:r>
            <w:r>
              <w:rPr>
                <w:rFonts w:hint="eastAsia" w:asciiTheme="minorEastAsia" w:hAnsiTheme="minorEastAsia" w:eastAsiaTheme="minorEastAsia" w:cstheme="minorEastAsia"/>
                <w:color w:val="auto"/>
                <w:sz w:val="21"/>
                <w:szCs w:val="21"/>
                <w:highlight w:val="none"/>
                <w:lang w:val="zh-CN" w:eastAsia="zh-CN"/>
              </w:rPr>
              <w:t>分；</w:t>
            </w:r>
          </w:p>
          <w:p w14:paraId="36356604">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shd w:val="clear" w:color="auto" w:fill="auto"/>
            <w:noWrap w:val="0"/>
            <w:vAlign w:val="center"/>
          </w:tcPr>
          <w:p w14:paraId="385D9EBC">
            <w:pPr>
              <w:keepNext w:val="0"/>
              <w:keepLines w:val="0"/>
              <w:pageBreakBefore w:val="0"/>
              <w:kinsoku/>
              <w:wordWrap/>
              <w:overflowPunct/>
              <w:topLinePunct w:val="0"/>
              <w:bidi w:val="0"/>
              <w:adjustRightInd w:val="0"/>
              <w:snapToGrid w:val="0"/>
              <w:spacing w:line="240" w:lineRule="auto"/>
              <w:ind w:firstLine="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r>
      <w:tr w14:paraId="0EEC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541E8E15">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continue"/>
            <w:noWrap w:val="0"/>
            <w:vAlign w:val="top"/>
          </w:tcPr>
          <w:p w14:paraId="53B69F0E">
            <w:pPr>
              <w:rPr>
                <w:rFonts w:hint="default" w:asciiTheme="minorEastAsia" w:hAnsiTheme="minorEastAsia" w:eastAsiaTheme="minorEastAsia" w:cstheme="minorEastAsia"/>
                <w:b/>
                <w:bCs/>
                <w:i w:val="0"/>
                <w:iCs w:val="0"/>
                <w:color w:val="auto"/>
                <w:kern w:val="0"/>
                <w:sz w:val="21"/>
                <w:szCs w:val="21"/>
                <w:highlight w:val="none"/>
                <w:u w:val="none"/>
                <w:lang w:val="en-US" w:eastAsia="zh-CN" w:bidi="ar"/>
              </w:rPr>
            </w:pPr>
          </w:p>
        </w:tc>
        <w:tc>
          <w:tcPr>
            <w:tcW w:w="6148" w:type="dxa"/>
            <w:noWrap w:val="0"/>
            <w:vAlign w:val="top"/>
          </w:tcPr>
          <w:p w14:paraId="7D71D67C">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根据投标人提供的项目实施方案的全面性、科学性和可行性等进行评分。</w:t>
            </w:r>
          </w:p>
          <w:p w14:paraId="1BA4100F">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方案阐述详细全面，工作方法明确，内容完整，符合项目需求的得</w:t>
            </w:r>
            <w:r>
              <w:rPr>
                <w:rFonts w:hint="eastAsia" w:asciiTheme="minorEastAsia" w:hAnsiTheme="minorEastAsia" w:eastAsiaTheme="minorEastAsia" w:cstheme="minorEastAsia"/>
                <w:color w:val="auto"/>
                <w:sz w:val="21"/>
                <w:szCs w:val="21"/>
                <w:highlight w:val="none"/>
                <w:lang w:val="en-US" w:eastAsia="zh-CN"/>
              </w:rPr>
              <w:t>6.0-8.0</w:t>
            </w:r>
            <w:r>
              <w:rPr>
                <w:rFonts w:hint="eastAsia" w:asciiTheme="minorEastAsia" w:hAnsiTheme="minorEastAsia" w:eastAsiaTheme="minorEastAsia" w:cstheme="minorEastAsia"/>
                <w:color w:val="auto"/>
                <w:sz w:val="21"/>
                <w:szCs w:val="21"/>
                <w:highlight w:val="none"/>
                <w:lang w:val="zh-CN" w:eastAsia="zh-CN"/>
              </w:rPr>
              <w:t>分；</w:t>
            </w:r>
          </w:p>
          <w:p w14:paraId="4236FA4B">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方案合理，内容有提及但有欠缺，部分缺乏针对性，合理性的得</w:t>
            </w:r>
            <w:r>
              <w:rPr>
                <w:rFonts w:hint="eastAsia" w:asciiTheme="minorEastAsia" w:hAnsiTheme="minorEastAsia" w:eastAsiaTheme="minorEastAsia" w:cstheme="minorEastAsia"/>
                <w:color w:val="auto"/>
                <w:sz w:val="21"/>
                <w:szCs w:val="21"/>
                <w:highlight w:val="none"/>
                <w:lang w:val="en-US" w:eastAsia="zh-CN"/>
              </w:rPr>
              <w:t>3.0-5.9</w:t>
            </w:r>
            <w:r>
              <w:rPr>
                <w:rFonts w:hint="eastAsia" w:asciiTheme="minorEastAsia" w:hAnsiTheme="minorEastAsia" w:eastAsiaTheme="minorEastAsia" w:cstheme="minorEastAsia"/>
                <w:color w:val="auto"/>
                <w:sz w:val="21"/>
                <w:szCs w:val="21"/>
                <w:highlight w:val="none"/>
                <w:lang w:val="zh-CN" w:eastAsia="zh-CN"/>
              </w:rPr>
              <w:t>分；</w:t>
            </w:r>
          </w:p>
          <w:p w14:paraId="0D3DAA78">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方案阐述片面，内容有大部分缺失，无法保障项目完成质量的得</w:t>
            </w:r>
            <w:r>
              <w:rPr>
                <w:rFonts w:hint="eastAsia" w:asciiTheme="minorEastAsia" w:hAnsiTheme="minorEastAsia" w:eastAsiaTheme="minorEastAsia" w:cstheme="minorEastAsia"/>
                <w:color w:val="auto"/>
                <w:sz w:val="21"/>
                <w:szCs w:val="21"/>
                <w:highlight w:val="none"/>
                <w:lang w:val="en-US" w:eastAsia="zh-CN"/>
              </w:rPr>
              <w:t>0.1-2.9</w:t>
            </w:r>
            <w:r>
              <w:rPr>
                <w:rFonts w:hint="eastAsia" w:asciiTheme="minorEastAsia" w:hAnsiTheme="minorEastAsia" w:eastAsiaTheme="minorEastAsia" w:cstheme="minorEastAsia"/>
                <w:color w:val="auto"/>
                <w:sz w:val="21"/>
                <w:szCs w:val="21"/>
                <w:highlight w:val="none"/>
                <w:lang w:val="zh-CN" w:eastAsia="zh-CN"/>
              </w:rPr>
              <w:t>分；</w:t>
            </w:r>
          </w:p>
          <w:p w14:paraId="61202689">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36B7733E">
            <w:pPr>
              <w:keepNext w:val="0"/>
              <w:keepLines w:val="0"/>
              <w:pageBreakBefore w:val="0"/>
              <w:kinsoku/>
              <w:wordWrap/>
              <w:overflowPunct/>
              <w:topLinePunct w:val="0"/>
              <w:bidi w:val="0"/>
              <w:adjustRightInd w:val="0"/>
              <w:snapToGrid w:val="0"/>
              <w:spacing w:line="240" w:lineRule="auto"/>
              <w:ind w:firstLine="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r>
      <w:tr w14:paraId="07C2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noWrap w:val="0"/>
            <w:vAlign w:val="center"/>
          </w:tcPr>
          <w:p w14:paraId="76F01635">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7A23908C">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技术服 务承诺</w:t>
            </w:r>
          </w:p>
          <w:p w14:paraId="6A5B5A96">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及技术 保障</w:t>
            </w:r>
          </w:p>
        </w:tc>
        <w:tc>
          <w:tcPr>
            <w:tcW w:w="6148" w:type="dxa"/>
            <w:noWrap w:val="0"/>
            <w:vAlign w:val="center"/>
          </w:tcPr>
          <w:p w14:paraId="278BF0E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根据投标人对本项目服务过程中所提供的服务承诺及技术保障措施，包括但不限于工作中的管理规范、 管理组织构架、监督体系、内控制度、质量管控措施等内容进行打分。</w:t>
            </w:r>
          </w:p>
          <w:p w14:paraId="2A5302B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技术服务承诺及技术保障方案全面，服务质量管控方案阐述全面，管理规范、管理组织构架、监督体系、 内控制度、质量管控措施等阐述合理可行且有针对性， 能有效保障项目服务质量的得6.0-9.0分；</w:t>
            </w:r>
          </w:p>
          <w:p w14:paraId="1864EE4E">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服务质量管控方案阐述合理，管理规范、监督体系等内容有提及但阐述不完整，基本能保障项目服务的得3.0-5.9分；</w:t>
            </w:r>
          </w:p>
          <w:p w14:paraId="462F2158">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服技术服务承诺及技术保障阐述简单片面，管理  规范、监督体系等相关内容阐述不完整，缺乏针对性、可行性的得0.1-2.9分</w:t>
            </w:r>
            <w:r>
              <w:rPr>
                <w:rFonts w:hint="eastAsia" w:asciiTheme="minorEastAsia" w:hAnsiTheme="minorEastAsia" w:eastAsiaTheme="minorEastAsia" w:cstheme="minorEastAsia"/>
                <w:color w:val="auto"/>
                <w:sz w:val="21"/>
                <w:szCs w:val="21"/>
                <w:highlight w:val="none"/>
                <w:lang w:val="zh-CN" w:eastAsia="zh-CN"/>
              </w:rPr>
              <w:t>；</w:t>
            </w:r>
          </w:p>
          <w:p w14:paraId="020EC59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702FF6A2">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9</w:t>
            </w:r>
          </w:p>
        </w:tc>
      </w:tr>
      <w:tr w14:paraId="43C9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60" w:type="dxa"/>
            <w:vMerge w:val="continue"/>
            <w:noWrap w:val="0"/>
            <w:vAlign w:val="center"/>
          </w:tcPr>
          <w:p w14:paraId="69D25996">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3DD53817">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应急预案</w:t>
            </w:r>
          </w:p>
        </w:tc>
        <w:tc>
          <w:tcPr>
            <w:tcW w:w="6148" w:type="dxa"/>
            <w:noWrap w:val="0"/>
            <w:vAlign w:val="center"/>
          </w:tcPr>
          <w:p w14:paraId="381D8E7E">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根据投标人针对本项目工作中可能产生的问题所提供的应急预案和对应的解决措施情况进行打分。</w:t>
            </w:r>
          </w:p>
          <w:p w14:paraId="30FE749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对可能产生的问题分析全面、提出的应急措施科学可行的得6.0-8.0分；</w:t>
            </w:r>
          </w:p>
          <w:p w14:paraId="18739C5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对可能出现的突发事件分析详细、提出的应急措施不够具有针对性和有效性的3.0-5.9分；</w:t>
            </w:r>
          </w:p>
          <w:p w14:paraId="4C3C8A4D">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对可能出现的突发事件分析简单、提出的应急措施缺乏针对性和有效性的0.1-2.9</w:t>
            </w:r>
            <w:r>
              <w:rPr>
                <w:color w:val="auto"/>
                <w:spacing w:val="1"/>
                <w:highlight w:val="none"/>
              </w:rPr>
              <w:t>分</w:t>
            </w:r>
            <w:r>
              <w:rPr>
                <w:rFonts w:hint="eastAsia" w:asciiTheme="minorEastAsia" w:hAnsiTheme="minorEastAsia" w:eastAsiaTheme="minorEastAsia" w:cstheme="minorEastAsia"/>
                <w:color w:val="auto"/>
                <w:sz w:val="21"/>
                <w:szCs w:val="21"/>
                <w:highlight w:val="none"/>
                <w:lang w:val="zh-CN" w:eastAsia="zh-CN"/>
              </w:rPr>
              <w:t>；</w:t>
            </w:r>
          </w:p>
          <w:p w14:paraId="444C791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55D2DBE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r>
      <w:tr w14:paraId="0A1D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22431123">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restart"/>
            <w:noWrap w:val="0"/>
            <w:vAlign w:val="center"/>
          </w:tcPr>
          <w:p w14:paraId="5C05CA1F">
            <w:pPr>
              <w:keepLines w:val="0"/>
              <w:pageBreakBefore w:val="0"/>
              <w:kinsoku/>
              <w:wordWrap/>
              <w:overflowPunct/>
              <w:topLinePunct w:val="0"/>
              <w:bidi w:val="0"/>
              <w:spacing w:beforeAutospacing="0" w:afterAutospacing="0" w:line="240" w:lineRule="auto"/>
              <w:ind w:left="0" w:lef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pacing w:val="-4"/>
                <w:szCs w:val="21"/>
                <w:highlight w:val="none"/>
                <w:lang w:val="en-US" w:eastAsia="zh-CN"/>
              </w:rPr>
              <w:t>服务响应</w:t>
            </w:r>
          </w:p>
        </w:tc>
        <w:tc>
          <w:tcPr>
            <w:tcW w:w="6148" w:type="dxa"/>
            <w:noWrap w:val="0"/>
            <w:vAlign w:val="top"/>
          </w:tcPr>
          <w:p w14:paraId="72ED26F0">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针对本项目投标人工作过程中资料接收、交接、评估结果提交、委派专人提供服务等方案进行打分。</w:t>
            </w:r>
          </w:p>
          <w:p w14:paraId="46DBA857">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工作过程中资料接收、交接、评估结果提交、委派专人提供服务等方案逻辑清晰、内容完整、具有可行性、针对性、方案科学合理的得3.0-6.0分；</w:t>
            </w:r>
          </w:p>
          <w:p w14:paraId="0E93699C">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工作过程中资料接收、交接、评估结果提交、委派专人提供服务等方案逻辑较清晰、内容较完整、 具有一定可行性、针对性不够、方案较科学合理的得0.1-2.9分；</w:t>
            </w:r>
          </w:p>
          <w:p w14:paraId="0970BC40">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364C61BE">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r>
      <w:tr w14:paraId="482C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060" w:type="dxa"/>
            <w:vMerge w:val="continue"/>
            <w:noWrap w:val="0"/>
            <w:vAlign w:val="center"/>
          </w:tcPr>
          <w:p w14:paraId="22484284">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p>
        </w:tc>
        <w:tc>
          <w:tcPr>
            <w:tcW w:w="1122" w:type="dxa"/>
            <w:vMerge w:val="continue"/>
            <w:noWrap w:val="0"/>
            <w:vAlign w:val="center"/>
          </w:tcPr>
          <w:p w14:paraId="19D1049D">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c>
          <w:tcPr>
            <w:tcW w:w="6148" w:type="dxa"/>
            <w:noWrap w:val="0"/>
            <w:vAlign w:val="top"/>
          </w:tcPr>
          <w:p w14:paraId="78218016">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根椐投标人承诺的服务响应时间等情况进行打分。</w:t>
            </w:r>
          </w:p>
          <w:p w14:paraId="6FD565CE">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承诺接到采购方通知后，在3小时内(含)到达服务现场的得5分；</w:t>
            </w:r>
          </w:p>
          <w:p w14:paraId="01220CCD">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承诺接到采购方通知后，在5小时内(含)到 达服务现场的得3分；</w:t>
            </w:r>
          </w:p>
          <w:p w14:paraId="181FA2F2">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承诺接到采购方通知后，在8小时内(含)到 达服务现场的得1分；</w:t>
            </w:r>
          </w:p>
          <w:p w14:paraId="35319429">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承诺时间超过8小时或未提及此项不得分。</w:t>
            </w:r>
          </w:p>
          <w:p w14:paraId="05086D78">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（须提供承诺函（格式自拟）原件并加盖投标人公章编入投标文件中，未提供不得分）</w:t>
            </w:r>
          </w:p>
        </w:tc>
        <w:tc>
          <w:tcPr>
            <w:tcW w:w="702" w:type="dxa"/>
            <w:noWrap w:val="0"/>
            <w:vAlign w:val="center"/>
          </w:tcPr>
          <w:p w14:paraId="0A190F99">
            <w:pPr>
              <w:keepNext w:val="0"/>
              <w:keepLines w:val="0"/>
              <w:pageBreakBefore w:val="0"/>
              <w:kinsoku/>
              <w:wordWrap/>
              <w:overflowPunct/>
              <w:topLinePunct w:val="0"/>
              <w:bidi w:val="0"/>
              <w:spacing w:line="240" w:lineRule="auto"/>
              <w:ind w:firstLine="0"/>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w:t>
            </w:r>
          </w:p>
        </w:tc>
      </w:tr>
      <w:tr w14:paraId="700D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060" w:type="dxa"/>
            <w:vMerge w:val="continue"/>
            <w:noWrap w:val="0"/>
            <w:vAlign w:val="center"/>
          </w:tcPr>
          <w:p w14:paraId="63783C97">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p>
        </w:tc>
        <w:tc>
          <w:tcPr>
            <w:tcW w:w="1122" w:type="dxa"/>
            <w:noWrap w:val="0"/>
            <w:vAlign w:val="center"/>
          </w:tcPr>
          <w:p w14:paraId="58B483FE">
            <w:pPr>
              <w:keepNext w:val="0"/>
              <w:keepLines w:val="0"/>
              <w:pageBreakBefore w:val="0"/>
              <w:widowControl/>
              <w:kinsoku/>
              <w:wordWrap/>
              <w:overflowPunct/>
              <w:topLinePunct w:val="0"/>
              <w:bidi w:val="0"/>
              <w:spacing w:line="240" w:lineRule="auto"/>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保密方案</w:t>
            </w:r>
          </w:p>
        </w:tc>
        <w:tc>
          <w:tcPr>
            <w:tcW w:w="6148" w:type="dxa"/>
            <w:noWrap w:val="0"/>
            <w:vAlign w:val="center"/>
          </w:tcPr>
          <w:p w14:paraId="6BE98752">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根据供应商针对本项目工作制定的档案管理制度，包括具体保密措施，使工作中的所有数据、档案 资料等不被泄露等情况进行打分。</w:t>
            </w:r>
          </w:p>
          <w:p w14:paraId="77BCF83E">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制度完善，详细阐述具体的保密措施，措施全面可行，能够确保档案资料不被泄露的得3.0-6.0分；</w:t>
            </w:r>
          </w:p>
          <w:p w14:paraId="2D8395BE">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档案管理制度、保密措施简单，缺乏可行性，不能保障服务质量的得0.1-2.9分</w:t>
            </w:r>
            <w:r>
              <w:rPr>
                <w:rFonts w:hint="eastAsia" w:asciiTheme="minorEastAsia" w:hAnsiTheme="minorEastAsia" w:eastAsiaTheme="minorEastAsia" w:cstheme="minorEastAsia"/>
                <w:color w:val="auto"/>
                <w:sz w:val="21"/>
                <w:szCs w:val="21"/>
                <w:highlight w:val="none"/>
                <w:lang w:val="zh-CN" w:eastAsia="zh-CN"/>
              </w:rPr>
              <w:t>；</w:t>
            </w:r>
          </w:p>
          <w:p w14:paraId="6EF452F3">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73903DA3">
            <w:pPr>
              <w:keepNext w:val="0"/>
              <w:keepLines w:val="0"/>
              <w:pageBreakBefore w:val="0"/>
              <w:kinsoku/>
              <w:wordWrap/>
              <w:overflowPunct/>
              <w:topLinePunct w:val="0"/>
              <w:bidi w:val="0"/>
              <w:spacing w:line="240" w:lineRule="auto"/>
              <w:ind w:firstLine="0"/>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6</w:t>
            </w:r>
          </w:p>
        </w:tc>
      </w:tr>
      <w:tr w14:paraId="43B2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060" w:type="dxa"/>
            <w:vMerge w:val="continue"/>
            <w:noWrap w:val="0"/>
            <w:vAlign w:val="center"/>
          </w:tcPr>
          <w:p w14:paraId="3A7B7816">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p>
        </w:tc>
        <w:tc>
          <w:tcPr>
            <w:tcW w:w="1122" w:type="dxa"/>
            <w:noWrap w:val="0"/>
            <w:vAlign w:val="center"/>
          </w:tcPr>
          <w:p w14:paraId="04B53575">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售后服务</w:t>
            </w:r>
          </w:p>
        </w:tc>
        <w:tc>
          <w:tcPr>
            <w:tcW w:w="6148" w:type="dxa"/>
            <w:noWrap w:val="0"/>
            <w:vAlign w:val="top"/>
          </w:tcPr>
          <w:p w14:paraId="329C4847">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根据投标人承诺提供的后续服务方案(服务能力、服务措施、根据项目丈量及后续的技术实施保障措施等）进行打分。</w:t>
            </w:r>
          </w:p>
          <w:p w14:paraId="329A1DBC">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服务方案全面，服务能力好，后续服务保障措施合理有效的得3.0-5.0分；</w:t>
            </w:r>
          </w:p>
          <w:p w14:paraId="47BD52B1">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服务方案不够全面，基本能根据项目丈量的实际需求提供便捷服务，服务承诺具有可操作性的得0.1-2.9分；</w:t>
            </w:r>
          </w:p>
          <w:p w14:paraId="47A88703">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4FC0EA7F">
            <w:pPr>
              <w:keepNext w:val="0"/>
              <w:keepLines w:val="0"/>
              <w:pageBreakBefore w:val="0"/>
              <w:kinsoku/>
              <w:wordWrap/>
              <w:overflowPunct/>
              <w:topLinePunct w:val="0"/>
              <w:bidi w:val="0"/>
              <w:spacing w:line="240" w:lineRule="auto"/>
              <w:ind w:firstLine="0"/>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w:t>
            </w:r>
          </w:p>
        </w:tc>
      </w:tr>
      <w:tr w14:paraId="29C5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060" w:type="dxa"/>
            <w:vMerge w:val="continue"/>
            <w:noWrap w:val="0"/>
            <w:vAlign w:val="center"/>
          </w:tcPr>
          <w:p w14:paraId="753028A1">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p>
        </w:tc>
        <w:tc>
          <w:tcPr>
            <w:tcW w:w="1122" w:type="dxa"/>
            <w:noWrap w:val="0"/>
            <w:vAlign w:val="center"/>
          </w:tcPr>
          <w:p w14:paraId="785663E7">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合理化建议</w:t>
            </w:r>
          </w:p>
        </w:tc>
        <w:tc>
          <w:tcPr>
            <w:tcW w:w="6148" w:type="dxa"/>
            <w:noWrap w:val="0"/>
            <w:vAlign w:val="top"/>
          </w:tcPr>
          <w:p w14:paraId="4BC2195E">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根据投标人依据本项目服务要求、实际工作需求提出的合理化建议进行打分。</w:t>
            </w:r>
          </w:p>
          <w:p w14:paraId="7DB5A5F3">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建议合理，可实现性强，具有改进意义的得3.0-5.0分；</w:t>
            </w:r>
          </w:p>
          <w:p w14:paraId="07486C21">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建议可实现性较差，几乎没有改进意义的得0.1-2.9分；</w:t>
            </w:r>
          </w:p>
          <w:p w14:paraId="5E8CECAD">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119F5FD3">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w:t>
            </w:r>
          </w:p>
        </w:tc>
      </w:tr>
      <w:tr w14:paraId="5CCF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2182" w:type="dxa"/>
            <w:gridSpan w:val="2"/>
            <w:noWrap w:val="0"/>
            <w:vAlign w:val="center"/>
          </w:tcPr>
          <w:p w14:paraId="421A5F7D">
            <w:pPr>
              <w:keepNext w:val="0"/>
              <w:keepLines w:val="0"/>
              <w:pageBreakBefore w:val="0"/>
              <w:kinsoku/>
              <w:wordWrap/>
              <w:overflowPunct/>
              <w:topLinePunct w:val="0"/>
              <w:bidi w:val="0"/>
              <w:spacing w:line="240" w:lineRule="auto"/>
              <w:ind w:left="0"/>
              <w:jc w:val="center"/>
              <w:textAlignment w:val="auto"/>
              <w:rPr>
                <w:rStyle w:val="54"/>
                <w:rFonts w:hint="eastAsia" w:ascii="宋体" w:hAnsi="宋体" w:eastAsia="宋体" w:cs="宋体"/>
                <w:color w:val="auto"/>
                <w:kern w:val="0"/>
                <w:sz w:val="21"/>
                <w:szCs w:val="21"/>
                <w:highlight w:val="none"/>
              </w:rPr>
            </w:pPr>
            <w:r>
              <w:rPr>
                <w:rStyle w:val="54"/>
                <w:rFonts w:hint="eastAsia" w:ascii="宋体" w:hAnsi="宋体" w:eastAsia="宋体" w:cs="宋体"/>
                <w:color w:val="auto"/>
                <w:kern w:val="0"/>
                <w:sz w:val="21"/>
                <w:szCs w:val="21"/>
                <w:highlight w:val="none"/>
              </w:rPr>
              <w:t>价格</w:t>
            </w:r>
          </w:p>
          <w:p w14:paraId="093B8EDC">
            <w:pPr>
              <w:keepNext w:val="0"/>
              <w:keepLines w:val="0"/>
              <w:pageBreakBefore w:val="0"/>
              <w:kinsoku/>
              <w:wordWrap/>
              <w:overflowPunct/>
              <w:topLinePunct w:val="0"/>
              <w:bidi w:val="0"/>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Style w:val="54"/>
                <w:rFonts w:hint="eastAsia" w:ascii="宋体" w:hAnsi="宋体" w:eastAsia="宋体" w:cs="宋体"/>
                <w:color w:val="auto"/>
                <w:kern w:val="0"/>
                <w:sz w:val="21"/>
                <w:szCs w:val="21"/>
                <w:highlight w:val="none"/>
              </w:rPr>
              <w:t>（</w:t>
            </w:r>
            <w:r>
              <w:rPr>
                <w:rStyle w:val="54"/>
                <w:rFonts w:hint="eastAsia" w:ascii="宋体" w:hAnsi="宋体" w:cs="宋体"/>
                <w:color w:val="auto"/>
                <w:kern w:val="0"/>
                <w:sz w:val="21"/>
                <w:szCs w:val="21"/>
                <w:highlight w:val="none"/>
                <w:lang w:val="en-US" w:eastAsia="zh-CN"/>
              </w:rPr>
              <w:t>10</w:t>
            </w:r>
            <w:r>
              <w:rPr>
                <w:rStyle w:val="54"/>
                <w:rFonts w:hint="eastAsia" w:ascii="宋体" w:hAnsi="宋体" w:eastAsia="宋体" w:cs="宋体"/>
                <w:color w:val="auto"/>
                <w:kern w:val="0"/>
                <w:sz w:val="21"/>
                <w:szCs w:val="21"/>
                <w:highlight w:val="none"/>
              </w:rPr>
              <w:t>分）</w:t>
            </w:r>
          </w:p>
        </w:tc>
        <w:tc>
          <w:tcPr>
            <w:tcW w:w="6148" w:type="dxa"/>
            <w:noWrap w:val="0"/>
            <w:vAlign w:val="center"/>
          </w:tcPr>
          <w:p w14:paraId="677D387A">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取投标合格供应商的投标最终报价最低价</w:t>
            </w:r>
            <w:r>
              <w:rPr>
                <w:rFonts w:hint="eastAsia" w:asciiTheme="minorEastAsia" w:hAnsiTheme="minorEastAsia" w:eastAsiaTheme="minorEastAsia" w:cstheme="minorEastAsia"/>
                <w:color w:val="auto"/>
                <w:sz w:val="21"/>
                <w:szCs w:val="21"/>
                <w:highlight w:val="none"/>
                <w:lang w:val="zh-CN" w:eastAsia="zh-CN"/>
              </w:rPr>
              <w:t>为评标基准价。</w:t>
            </w:r>
          </w:p>
          <w:p w14:paraId="262E1977">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投标报价得分</w:t>
            </w:r>
            <w:r>
              <w:rPr>
                <w:rFonts w:hint="eastAsia" w:asciiTheme="minorEastAsia" w:hAnsiTheme="minorEastAsia" w:eastAsiaTheme="minorEastAsia" w:cstheme="minorEastAsia"/>
                <w:color w:val="auto"/>
                <w:sz w:val="21"/>
                <w:szCs w:val="21"/>
                <w:highlight w:val="none"/>
                <w:lang w:val="en-US" w:eastAsia="zh-CN"/>
              </w:rPr>
              <w:t>=青苗评估</w:t>
            </w:r>
            <w:r>
              <w:rPr>
                <w:rFonts w:hint="eastAsia" w:asciiTheme="minorEastAsia" w:hAnsiTheme="minorEastAsia" w:eastAsiaTheme="minorEastAsia" w:cstheme="minorEastAsia"/>
                <w:color w:val="auto"/>
                <w:sz w:val="21"/>
                <w:szCs w:val="21"/>
                <w:highlight w:val="none"/>
                <w:lang w:val="zh-CN" w:eastAsia="zh-CN"/>
              </w:rPr>
              <w:t>投标报价得分</w:t>
            </w:r>
            <w:r>
              <w:rPr>
                <w:rFonts w:hint="eastAsia" w:asciiTheme="minorEastAsia" w:hAnsiTheme="minorEastAsia" w:eastAsiaTheme="minorEastAsia" w:cstheme="minorEastAsia"/>
                <w:color w:val="auto"/>
                <w:sz w:val="21"/>
                <w:szCs w:val="21"/>
                <w:highlight w:val="none"/>
                <w:lang w:val="en-US" w:eastAsia="zh-CN"/>
              </w:rPr>
              <w:t>+面积分户测量投标</w:t>
            </w:r>
            <w:r>
              <w:rPr>
                <w:rFonts w:hint="eastAsia" w:asciiTheme="minorEastAsia" w:hAnsiTheme="minorEastAsia" w:eastAsiaTheme="minorEastAsia" w:cstheme="minorEastAsia"/>
                <w:color w:val="auto"/>
                <w:sz w:val="21"/>
                <w:szCs w:val="21"/>
                <w:highlight w:val="none"/>
                <w:lang w:val="zh-CN" w:eastAsia="zh-CN"/>
              </w:rPr>
              <w:t>报价得分。</w:t>
            </w:r>
          </w:p>
          <w:p w14:paraId="497BC89E">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（1）青苗评估</w:t>
            </w:r>
            <w:r>
              <w:rPr>
                <w:rFonts w:hint="eastAsia" w:asciiTheme="minorEastAsia" w:hAnsiTheme="minorEastAsia" w:eastAsiaTheme="minorEastAsia" w:cstheme="minorEastAsia"/>
                <w:color w:val="auto"/>
                <w:sz w:val="21"/>
                <w:szCs w:val="21"/>
                <w:highlight w:val="none"/>
                <w:lang w:val="zh-CN" w:eastAsia="zh-CN"/>
              </w:rPr>
              <w:t>投标报价得分=(评标基准价／投标报价)×</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%×100 ；</w:t>
            </w:r>
          </w:p>
          <w:p w14:paraId="78BF3E39">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（2）土地丈量投标</w:t>
            </w:r>
            <w:r>
              <w:rPr>
                <w:rFonts w:hint="eastAsia" w:asciiTheme="minorEastAsia" w:hAnsiTheme="minorEastAsia" w:eastAsiaTheme="minorEastAsia" w:cstheme="minorEastAsia"/>
                <w:color w:val="auto"/>
                <w:sz w:val="21"/>
                <w:szCs w:val="21"/>
                <w:highlight w:val="none"/>
                <w:lang w:val="zh-CN" w:eastAsia="zh-CN"/>
              </w:rPr>
              <w:t>报价得分=(评标基准价／投标报价)×</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%×100 。</w:t>
            </w:r>
          </w:p>
        </w:tc>
        <w:tc>
          <w:tcPr>
            <w:tcW w:w="702" w:type="dxa"/>
            <w:noWrap w:val="0"/>
            <w:vAlign w:val="center"/>
          </w:tcPr>
          <w:p w14:paraId="7D8A1D8C">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宋体" w:hAnsi="宋体" w:cs="宋体"/>
                <w:color w:val="auto"/>
                <w:sz w:val="21"/>
                <w:szCs w:val="21"/>
                <w:highlight w:val="none"/>
                <w:lang w:val="en-US" w:eastAsia="zh-CN"/>
              </w:rPr>
              <w:t>10</w:t>
            </w:r>
          </w:p>
        </w:tc>
      </w:tr>
    </w:tbl>
    <w:p w14:paraId="28A0841E">
      <w:pPr>
        <w:spacing w:line="360" w:lineRule="auto"/>
        <w:ind w:firstLine="420" w:firstLineChars="200"/>
        <w:rPr>
          <w:rFonts w:hint="eastAsia" w:ascii="宋体" w:hAnsi="宋体" w:eastAsia="宋体" w:cs="宋体"/>
          <w:color w:val="auto"/>
          <w:sz w:val="21"/>
          <w:szCs w:val="21"/>
          <w:highlight w:val="none"/>
          <w:lang w:val="zh-CN"/>
        </w:rPr>
      </w:pPr>
    </w:p>
    <w:p w14:paraId="7D68AE6C">
      <w:pPr>
        <w:spacing w:line="360" w:lineRule="auto"/>
        <w:ind w:firstLine="420" w:firstLineChars="200"/>
        <w:rPr>
          <w:rFonts w:hint="eastAsia" w:ascii="宋体" w:hAnsi="宋体" w:eastAsia="宋体" w:cs="宋体"/>
          <w:color w:val="auto"/>
          <w:sz w:val="21"/>
          <w:szCs w:val="21"/>
          <w:highlight w:val="none"/>
          <w:lang w:val="zh-CN"/>
        </w:rPr>
      </w:pPr>
    </w:p>
    <w:p w14:paraId="7AFBCCAA">
      <w:pPr>
        <w:pStyle w:val="7"/>
        <w:rPr>
          <w:rFonts w:hint="eastAsia" w:ascii="宋体" w:hAnsi="宋体" w:eastAsia="宋体" w:cs="宋体"/>
          <w:b/>
          <w:color w:val="auto"/>
          <w:sz w:val="36"/>
          <w:szCs w:val="36"/>
          <w:highlight w:val="none"/>
        </w:rPr>
      </w:pPr>
    </w:p>
    <w:p w14:paraId="0D434B63">
      <w:pPr>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第四章 公开招标需求</w:t>
      </w:r>
    </w:p>
    <w:p w14:paraId="54B157E6">
      <w:pPr>
        <w:pStyle w:val="50"/>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一、招标项目一览表</w:t>
      </w:r>
    </w:p>
    <w:tbl>
      <w:tblPr>
        <w:tblStyle w:val="2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643"/>
        <w:gridCol w:w="1147"/>
        <w:gridCol w:w="725"/>
        <w:gridCol w:w="724"/>
        <w:gridCol w:w="1089"/>
        <w:gridCol w:w="1675"/>
        <w:gridCol w:w="1757"/>
      </w:tblGrid>
      <w:tr w14:paraId="6300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96" w:type="dxa"/>
            <w:vAlign w:val="center"/>
          </w:tcPr>
          <w:p w14:paraId="3E312100">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bookmarkStart w:id="0" w:name="_Toc98821986"/>
            <w:r>
              <w:rPr>
                <w:rFonts w:hint="eastAsia" w:ascii="宋体" w:hAnsi="宋体" w:cs="宋体"/>
                <w:b/>
                <w:color w:val="auto"/>
                <w:sz w:val="21"/>
                <w:szCs w:val="21"/>
                <w:highlight w:val="none"/>
                <w:lang w:val="en-US" w:eastAsia="zh-CN"/>
              </w:rPr>
              <w:t>序号</w:t>
            </w:r>
          </w:p>
        </w:tc>
        <w:tc>
          <w:tcPr>
            <w:tcW w:w="1643" w:type="dxa"/>
            <w:vAlign w:val="center"/>
          </w:tcPr>
          <w:p w14:paraId="7A06FD8D">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147" w:type="dxa"/>
            <w:vAlign w:val="center"/>
          </w:tcPr>
          <w:p w14:paraId="1E32A19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25" w:type="dxa"/>
            <w:vAlign w:val="center"/>
          </w:tcPr>
          <w:p w14:paraId="5B9A943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24" w:type="dxa"/>
            <w:vAlign w:val="center"/>
          </w:tcPr>
          <w:p w14:paraId="3353A3AF">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089" w:type="dxa"/>
            <w:vAlign w:val="center"/>
          </w:tcPr>
          <w:p w14:paraId="66246D53">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p>
          <w:p w14:paraId="597924C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675" w:type="dxa"/>
            <w:vAlign w:val="center"/>
          </w:tcPr>
          <w:p w14:paraId="0051453C">
            <w:pPr>
              <w:tabs>
                <w:tab w:val="left" w:pos="8280"/>
              </w:tabs>
              <w:autoSpaceDE w:val="0"/>
              <w:autoSpaceDN w:val="0"/>
              <w:adjustRightInd w:val="0"/>
              <w:spacing w:line="240" w:lineRule="auto"/>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Cs w:val="21"/>
                <w:highlight w:val="none"/>
                <w:lang w:val="en-US" w:eastAsia="zh-CN"/>
              </w:rPr>
              <w:t>最高限单价</w:t>
            </w:r>
          </w:p>
        </w:tc>
        <w:tc>
          <w:tcPr>
            <w:tcW w:w="1757" w:type="dxa"/>
            <w:shd w:val="clear" w:color="auto" w:fill="auto"/>
            <w:vAlign w:val="center"/>
          </w:tcPr>
          <w:p w14:paraId="6B466CFA">
            <w:pPr>
              <w:tabs>
                <w:tab w:val="left" w:pos="8280"/>
              </w:tabs>
              <w:autoSpaceDE w:val="0"/>
              <w:autoSpaceDN w:val="0"/>
              <w:adjustRightInd w:val="0"/>
              <w:ind w:right="25" w:rightChars="0"/>
              <w:jc w:val="cente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服务期</w:t>
            </w:r>
          </w:p>
        </w:tc>
      </w:tr>
      <w:tr w14:paraId="6DA4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596" w:type="dxa"/>
            <w:vAlign w:val="center"/>
          </w:tcPr>
          <w:p w14:paraId="11E47481">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1643" w:type="dxa"/>
            <w:vAlign w:val="center"/>
          </w:tcPr>
          <w:p w14:paraId="2879B635">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台州市路桥区桐屿街道政策处理评估（地上附着物、土地丈量）项目</w:t>
            </w:r>
          </w:p>
        </w:tc>
        <w:tc>
          <w:tcPr>
            <w:tcW w:w="1147" w:type="dxa"/>
            <w:vAlign w:val="center"/>
          </w:tcPr>
          <w:p w14:paraId="1144766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725" w:type="dxa"/>
            <w:vAlign w:val="center"/>
          </w:tcPr>
          <w:p w14:paraId="2320CA68">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24" w:type="dxa"/>
            <w:vAlign w:val="center"/>
          </w:tcPr>
          <w:p w14:paraId="0DCA8CB9">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089" w:type="dxa"/>
            <w:vAlign w:val="center"/>
          </w:tcPr>
          <w:p w14:paraId="26C735DC">
            <w:pPr>
              <w:tabs>
                <w:tab w:val="left" w:pos="8280"/>
              </w:tabs>
              <w:autoSpaceDE w:val="0"/>
              <w:autoSpaceDN w:val="0"/>
              <w:adjustRightInd w:val="0"/>
              <w:ind w:right="25"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270</w:t>
            </w:r>
          </w:p>
          <w:p w14:paraId="6AE9013D">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（三年）</w:t>
            </w:r>
          </w:p>
        </w:tc>
        <w:tc>
          <w:tcPr>
            <w:tcW w:w="1675" w:type="dxa"/>
            <w:vAlign w:val="center"/>
          </w:tcPr>
          <w:p w14:paraId="5B14DE90">
            <w:pPr>
              <w:adjustRightInd w:val="0"/>
              <w:snapToGrid w:val="0"/>
              <w:spacing w:line="240" w:lineRule="auto"/>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青苗评估</w:t>
            </w:r>
            <w:r>
              <w:rPr>
                <w:rFonts w:hint="eastAsia" w:ascii="宋体" w:hAnsi="宋体" w:eastAsia="宋体" w:cs="宋体"/>
                <w:color w:val="auto"/>
                <w:highlight w:val="none"/>
              </w:rPr>
              <w:t>最高限单价：</w:t>
            </w:r>
            <w:r>
              <w:rPr>
                <w:rFonts w:hint="eastAsia" w:ascii="宋体" w:hAnsi="宋体" w:eastAsia="宋体" w:cs="宋体"/>
                <w:color w:val="auto"/>
                <w:sz w:val="21"/>
                <w:szCs w:val="21"/>
                <w:highlight w:val="none"/>
                <w:u w:val="single"/>
                <w:lang w:val="en-US" w:eastAsia="zh-CN"/>
              </w:rPr>
              <w:t>1元/平方米。</w:t>
            </w:r>
          </w:p>
          <w:p w14:paraId="64CC144F">
            <w:pPr>
              <w:adjustRightInd w:val="0"/>
              <w:snapToGrid w:val="0"/>
              <w:spacing w:line="24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土地丈量</w:t>
            </w:r>
            <w:r>
              <w:rPr>
                <w:rFonts w:hint="eastAsia" w:ascii="宋体" w:hAnsi="宋体" w:eastAsia="宋体" w:cs="宋体"/>
                <w:color w:val="auto"/>
                <w:highlight w:val="none"/>
                <w:lang w:val="en-US" w:eastAsia="zh-CN"/>
              </w:rPr>
              <w:t>最高限</w:t>
            </w:r>
            <w:r>
              <w:rPr>
                <w:rFonts w:hint="eastAsia" w:ascii="宋体" w:hAnsi="宋体" w:eastAsia="宋体" w:cs="宋体"/>
                <w:color w:val="auto"/>
                <w:highlight w:val="none"/>
              </w:rPr>
              <w:t>单价：</w:t>
            </w:r>
            <w:r>
              <w:rPr>
                <w:rFonts w:hint="eastAsia" w:ascii="宋体" w:hAnsi="宋体" w:eastAsia="宋体" w:cs="宋体"/>
                <w:color w:val="auto"/>
                <w:sz w:val="21"/>
                <w:szCs w:val="21"/>
                <w:highlight w:val="none"/>
                <w:u w:val="single"/>
                <w:lang w:val="en-US" w:eastAsia="zh-CN"/>
              </w:rPr>
              <w:t>0.</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lang w:val="en-US" w:eastAsia="zh-CN"/>
              </w:rPr>
              <w:t>元/平方米</w:t>
            </w:r>
            <w:r>
              <w:rPr>
                <w:rFonts w:hint="eastAsia" w:ascii="宋体" w:hAnsi="宋体" w:eastAsia="宋体" w:cs="宋体"/>
                <w:color w:val="auto"/>
                <w:highlight w:val="none"/>
              </w:rPr>
              <w:t>。</w:t>
            </w:r>
          </w:p>
        </w:tc>
        <w:tc>
          <w:tcPr>
            <w:tcW w:w="1757" w:type="dxa"/>
            <w:shd w:val="clear" w:color="auto" w:fill="auto"/>
            <w:vAlign w:val="center"/>
          </w:tcPr>
          <w:p w14:paraId="3A64343B">
            <w:pPr>
              <w:tabs>
                <w:tab w:val="left" w:pos="8280"/>
              </w:tabs>
              <w:autoSpaceDE w:val="0"/>
              <w:autoSpaceDN w:val="0"/>
              <w:adjustRightInd w:val="0"/>
              <w:ind w:right="25" w:rightChars="0"/>
              <w:jc w:val="center"/>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sz w:val="21"/>
                <w:szCs w:val="21"/>
                <w:highlight w:val="none"/>
                <w:lang w:val="en-US" w:eastAsia="zh-CN"/>
              </w:rPr>
              <w:t>三年，合同一年一签。第二年或第三年财政预算金额未达到原合同金额或者第二年第三年财政预算未通过的或者集体评价投票未通过的，第二年或第三年合同的约定自动失效。</w:t>
            </w:r>
          </w:p>
        </w:tc>
      </w:tr>
      <w:bookmarkEnd w:id="0"/>
    </w:tbl>
    <w:p w14:paraId="7B965D6C">
      <w:pPr>
        <w:keepNext w:val="0"/>
        <w:keepLines w:val="0"/>
        <w:pageBreakBefore w:val="0"/>
        <w:widowControl w:val="0"/>
        <w:kinsoku/>
        <w:wordWrap/>
        <w:overflowPunct/>
        <w:topLinePunct w:val="0"/>
        <w:autoSpaceDN/>
        <w:bidi w:val="0"/>
        <w:spacing w:line="360" w:lineRule="auto"/>
        <w:ind w:left="0" w:leftChars="0"/>
        <w:jc w:val="left"/>
        <w:textAlignment w:val="baseline"/>
        <w:outlineLvl w:val="9"/>
        <w:rPr>
          <w:rFonts w:hint="eastAsia" w:ascii="宋体" w:hAnsi="宋体" w:eastAsia="宋体" w:cs="宋体"/>
          <w:b/>
          <w:bCs/>
          <w:color w:val="auto"/>
          <w:kern w:val="2"/>
          <w:sz w:val="21"/>
          <w:szCs w:val="21"/>
          <w:highlight w:val="none"/>
          <w:lang w:val="en-US" w:eastAsia="zh-CN" w:bidi="ar-SA"/>
        </w:rPr>
      </w:pPr>
    </w:p>
    <w:p w14:paraId="345F398A">
      <w:pPr>
        <w:keepNext w:val="0"/>
        <w:keepLines w:val="0"/>
        <w:pageBreakBefore w:val="0"/>
        <w:widowControl w:val="0"/>
        <w:kinsoku/>
        <w:wordWrap/>
        <w:overflowPunct/>
        <w:topLinePunct w:val="0"/>
        <w:autoSpaceDN/>
        <w:bidi w:val="0"/>
        <w:spacing w:line="360" w:lineRule="auto"/>
        <w:ind w:left="0" w:leftChars="0"/>
        <w:jc w:val="left"/>
        <w:textAlignment w:val="baseline"/>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二、项目概况</w:t>
      </w:r>
    </w:p>
    <w:p w14:paraId="14AC709C">
      <w:pPr>
        <w:pStyle w:val="7"/>
        <w:keepNext w:val="0"/>
        <w:keepLines w:val="0"/>
        <w:pageBreakBefore w:val="0"/>
        <w:widowControl/>
        <w:kinsoku w:val="0"/>
        <w:wordWrap/>
        <w:overflowPunct/>
        <w:topLinePunct w:val="0"/>
        <w:autoSpaceDE w:val="0"/>
        <w:autoSpaceDN w:val="0"/>
        <w:bidi w:val="0"/>
        <w:adjustRightInd w:val="0"/>
        <w:snapToGrid w:val="0"/>
        <w:spacing w:before="212" w:line="360" w:lineRule="auto"/>
        <w:ind w:right="2"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对桐屿街道办事处行政区域范围内涉及的青苗、树木、果树、地上定着物、附</w:t>
      </w:r>
      <w:r>
        <w:rPr>
          <w:rFonts w:hint="eastAsia" w:asciiTheme="minorEastAsia" w:hAnsiTheme="minorEastAsia" w:eastAsiaTheme="minorEastAsia" w:cstheme="minorEastAsia"/>
          <w:color w:val="auto"/>
          <w:spacing w:val="-4"/>
          <w:sz w:val="21"/>
          <w:szCs w:val="21"/>
          <w:highlight w:val="none"/>
        </w:rPr>
        <w:t>着物</w:t>
      </w:r>
      <w:r>
        <w:rPr>
          <w:rFonts w:hint="eastAsia" w:ascii="宋体" w:hAnsi="宋体" w:eastAsia="宋体" w:cs="宋体"/>
          <w:color w:val="auto"/>
          <w:sz w:val="21"/>
          <w:szCs w:val="21"/>
          <w:highlight w:val="none"/>
          <w:lang w:val="en-US" w:eastAsia="zh-CN"/>
        </w:rPr>
        <w:t>进行评估</w:t>
      </w:r>
      <w:r>
        <w:rPr>
          <w:rFonts w:hint="eastAsia" w:asciiTheme="minorEastAsia" w:hAnsiTheme="minorEastAsia" w:eastAsiaTheme="minorEastAsia" w:cstheme="minorEastAsia"/>
          <w:color w:val="auto"/>
          <w:spacing w:val="-4"/>
          <w:sz w:val="21"/>
          <w:szCs w:val="21"/>
          <w:highlight w:val="none"/>
        </w:rPr>
        <w:t>。</w:t>
      </w:r>
    </w:p>
    <w:p w14:paraId="7BABE15D">
      <w:pPr>
        <w:keepNext w:val="0"/>
        <w:keepLines w:val="0"/>
        <w:pageBreakBefore w:val="0"/>
        <w:widowControl w:val="0"/>
        <w:kinsoku/>
        <w:wordWrap/>
        <w:overflowPunct/>
        <w:topLinePunct w:val="0"/>
        <w:autoSpaceDN/>
        <w:bidi w:val="0"/>
        <w:adjustRightInd w:val="0"/>
        <w:snapToGrid w:val="0"/>
        <w:spacing w:line="360" w:lineRule="auto"/>
        <w:ind w:firstLine="428" w:firstLineChars="200"/>
        <w:jc w:val="left"/>
        <w:outlineLvl w:val="9"/>
        <w:rPr>
          <w:rFonts w:hint="eastAsia" w:ascii="宋体" w:hAnsi="宋体" w:eastAsia="宋体" w:cs="宋体"/>
          <w:b/>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根据采购人要求，根据国家有关苗木、树木、果树、地上定着物、附着物补偿</w:t>
      </w:r>
      <w:r>
        <w:rPr>
          <w:rFonts w:hint="eastAsia" w:asciiTheme="minorEastAsia" w:hAnsiTheme="minorEastAsia" w:eastAsiaTheme="minorEastAsia" w:cstheme="minorEastAsia"/>
          <w:color w:val="auto"/>
          <w:sz w:val="21"/>
          <w:szCs w:val="21"/>
          <w:highlight w:val="none"/>
        </w:rPr>
        <w:t>估价技术规程、规范，公正、</w:t>
      </w:r>
      <w:r>
        <w:rPr>
          <w:rFonts w:hint="eastAsia" w:asciiTheme="minorEastAsia" w:hAnsiTheme="minorEastAsia" w:eastAsiaTheme="minorEastAsia" w:cstheme="minorEastAsia"/>
          <w:color w:val="auto"/>
          <w:spacing w:val="-54"/>
          <w:sz w:val="21"/>
          <w:szCs w:val="21"/>
          <w:highlight w:val="none"/>
        </w:rPr>
        <w:t xml:space="preserve"> </w:t>
      </w:r>
      <w:r>
        <w:rPr>
          <w:rFonts w:hint="eastAsia" w:asciiTheme="minorEastAsia" w:hAnsiTheme="minorEastAsia" w:eastAsiaTheme="minorEastAsia" w:cstheme="minorEastAsia"/>
          <w:color w:val="auto"/>
          <w:sz w:val="21"/>
          <w:szCs w:val="21"/>
          <w:highlight w:val="none"/>
        </w:rPr>
        <w:t>自主进行评估，出具估价报告；提供估价方面的咨询和</w:t>
      </w:r>
      <w:r>
        <w:rPr>
          <w:rFonts w:hint="eastAsia" w:asciiTheme="minorEastAsia" w:hAnsiTheme="minorEastAsia" w:eastAsiaTheme="minorEastAsia" w:cstheme="minorEastAsia"/>
          <w:color w:val="auto"/>
          <w:spacing w:val="2"/>
          <w:sz w:val="21"/>
          <w:szCs w:val="21"/>
          <w:highlight w:val="none"/>
        </w:rPr>
        <w:t>价格信息；评估范围内分户地块丈量；协助采购人做好估价方面的</w:t>
      </w:r>
      <w:r>
        <w:rPr>
          <w:rFonts w:hint="eastAsia" w:asciiTheme="minorEastAsia" w:hAnsiTheme="minorEastAsia" w:eastAsiaTheme="minorEastAsia" w:cstheme="minorEastAsia"/>
          <w:color w:val="auto"/>
          <w:spacing w:val="1"/>
          <w:sz w:val="21"/>
          <w:szCs w:val="21"/>
          <w:highlight w:val="none"/>
        </w:rPr>
        <w:t>事务性、政策性工</w:t>
      </w:r>
      <w:r>
        <w:rPr>
          <w:rFonts w:hint="eastAsia" w:asciiTheme="minorEastAsia" w:hAnsiTheme="minorEastAsia" w:eastAsiaTheme="minorEastAsia" w:cstheme="minorEastAsia"/>
          <w:color w:val="auto"/>
          <w:spacing w:val="-5"/>
          <w:sz w:val="21"/>
          <w:szCs w:val="21"/>
          <w:highlight w:val="none"/>
        </w:rPr>
        <w:t>作</w:t>
      </w:r>
      <w:r>
        <w:rPr>
          <w:rFonts w:hint="eastAsia" w:asciiTheme="minorEastAsia" w:hAnsiTheme="minorEastAsia" w:eastAsiaTheme="minorEastAsia" w:cstheme="minorEastAsia"/>
          <w:color w:val="auto"/>
          <w:spacing w:val="-5"/>
          <w:sz w:val="21"/>
          <w:szCs w:val="21"/>
          <w:highlight w:val="none"/>
          <w:lang w:eastAsia="zh-CN"/>
        </w:rPr>
        <w:t>。</w:t>
      </w:r>
    </w:p>
    <w:p w14:paraId="6D8F69AC">
      <w:pPr>
        <w:pStyle w:val="7"/>
        <w:keepNext w:val="0"/>
        <w:keepLines w:val="0"/>
        <w:pageBreakBefore w:val="0"/>
        <w:widowControl/>
        <w:kinsoku w:val="0"/>
        <w:wordWrap/>
        <w:overflowPunct/>
        <w:topLinePunct w:val="0"/>
        <w:autoSpaceDE w:val="0"/>
        <w:autoSpaceDN w:val="0"/>
        <w:bidi w:val="0"/>
        <w:adjustRightInd w:val="0"/>
        <w:snapToGrid w:val="0"/>
        <w:spacing w:before="33" w:line="360" w:lineRule="auto"/>
        <w:ind w:left="484"/>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项目成果包括但不仅限于：</w:t>
      </w:r>
    </w:p>
    <w:p w14:paraId="051504B3">
      <w:pPr>
        <w:pStyle w:val="7"/>
        <w:keepNext w:val="0"/>
        <w:keepLines w:val="0"/>
        <w:pageBreakBefore w:val="0"/>
        <w:widowControl/>
        <w:kinsoku w:val="0"/>
        <w:wordWrap/>
        <w:overflowPunct/>
        <w:topLinePunct w:val="0"/>
        <w:autoSpaceDE w:val="0"/>
        <w:autoSpaceDN w:val="0"/>
        <w:bidi w:val="0"/>
        <w:adjustRightInd w:val="0"/>
        <w:snapToGrid w:val="0"/>
        <w:spacing w:before="215" w:line="240" w:lineRule="auto"/>
        <w:ind w:left="498"/>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6"/>
          <w:sz w:val="21"/>
          <w:szCs w:val="21"/>
          <w:highlight w:val="none"/>
        </w:rPr>
        <w:t>1、青苗估价报告；</w:t>
      </w:r>
    </w:p>
    <w:p w14:paraId="2A4D52D6">
      <w:pPr>
        <w:pStyle w:val="7"/>
        <w:keepNext w:val="0"/>
        <w:keepLines w:val="0"/>
        <w:pageBreakBefore w:val="0"/>
        <w:widowControl/>
        <w:kinsoku w:val="0"/>
        <w:wordWrap/>
        <w:overflowPunct/>
        <w:topLinePunct w:val="0"/>
        <w:autoSpaceDE w:val="0"/>
        <w:autoSpaceDN w:val="0"/>
        <w:bidi w:val="0"/>
        <w:adjustRightInd w:val="0"/>
        <w:snapToGrid w:val="0"/>
        <w:spacing w:before="216" w:line="240" w:lineRule="auto"/>
        <w:ind w:left="483"/>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3"/>
          <w:sz w:val="21"/>
          <w:szCs w:val="21"/>
          <w:highlight w:val="none"/>
        </w:rPr>
        <w:t>2、农户土地面积表和数据图；</w:t>
      </w:r>
    </w:p>
    <w:p w14:paraId="54E30651">
      <w:pPr>
        <w:pStyle w:val="7"/>
        <w:keepNext w:val="0"/>
        <w:keepLines w:val="0"/>
        <w:pageBreakBefore w:val="0"/>
        <w:widowControl/>
        <w:kinsoku w:val="0"/>
        <w:wordWrap/>
        <w:overflowPunct/>
        <w:topLinePunct w:val="0"/>
        <w:autoSpaceDE w:val="0"/>
        <w:autoSpaceDN w:val="0"/>
        <w:bidi w:val="0"/>
        <w:adjustRightInd w:val="0"/>
        <w:snapToGrid w:val="0"/>
        <w:spacing w:before="214" w:line="240" w:lineRule="auto"/>
        <w:ind w:left="485"/>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3"/>
          <w:sz w:val="21"/>
          <w:szCs w:val="21"/>
          <w:highlight w:val="none"/>
        </w:rPr>
        <w:t>3、农户青苗估价和土地面积公示表；</w:t>
      </w:r>
    </w:p>
    <w:p w14:paraId="4A250A7F">
      <w:pPr>
        <w:pStyle w:val="7"/>
        <w:keepNext w:val="0"/>
        <w:keepLines w:val="0"/>
        <w:pageBreakBefore w:val="0"/>
        <w:widowControl/>
        <w:kinsoku w:val="0"/>
        <w:wordWrap/>
        <w:overflowPunct/>
        <w:topLinePunct w:val="0"/>
        <w:autoSpaceDE w:val="0"/>
        <w:autoSpaceDN w:val="0"/>
        <w:bidi w:val="0"/>
        <w:adjustRightInd w:val="0"/>
        <w:snapToGrid w:val="0"/>
        <w:spacing w:before="218" w:line="240" w:lineRule="auto"/>
        <w:ind w:left="480"/>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3"/>
          <w:sz w:val="21"/>
          <w:szCs w:val="21"/>
          <w:highlight w:val="none"/>
        </w:rPr>
        <w:t>4、农户青苗评估记载表；</w:t>
      </w:r>
    </w:p>
    <w:p w14:paraId="79BD47AE">
      <w:pPr>
        <w:pStyle w:val="7"/>
        <w:keepNext w:val="0"/>
        <w:keepLines w:val="0"/>
        <w:pageBreakBefore w:val="0"/>
        <w:widowControl/>
        <w:kinsoku w:val="0"/>
        <w:wordWrap/>
        <w:overflowPunct/>
        <w:topLinePunct w:val="0"/>
        <w:autoSpaceDE w:val="0"/>
        <w:autoSpaceDN w:val="0"/>
        <w:bidi w:val="0"/>
        <w:adjustRightInd w:val="0"/>
        <w:snapToGrid w:val="0"/>
        <w:spacing w:before="216" w:line="240" w:lineRule="auto"/>
        <w:ind w:left="485"/>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3"/>
          <w:sz w:val="21"/>
          <w:szCs w:val="21"/>
          <w:highlight w:val="none"/>
        </w:rPr>
        <w:t>5、采购人要求提供的有关估价和土地面积资料。</w:t>
      </w:r>
    </w:p>
    <w:p w14:paraId="561A3E5E">
      <w:pPr>
        <w:pStyle w:val="7"/>
        <w:keepNext w:val="0"/>
        <w:keepLines w:val="0"/>
        <w:pageBreakBefore w:val="0"/>
        <w:widowControl/>
        <w:kinsoku w:val="0"/>
        <w:wordWrap/>
        <w:overflowPunct/>
        <w:topLinePunct w:val="0"/>
        <w:autoSpaceDE w:val="0"/>
        <w:autoSpaceDN w:val="0"/>
        <w:bidi w:val="0"/>
        <w:adjustRightInd w:val="0"/>
        <w:snapToGrid w:val="0"/>
        <w:spacing w:before="215" w:line="360" w:lineRule="auto"/>
        <w:ind w:firstLine="428" w:firstLineChars="200"/>
        <w:jc w:val="both"/>
        <w:textAlignment w:val="baseline"/>
        <w:rPr>
          <w:rFonts w:hint="eastAsia" w:ascii="宋体" w:hAnsi="宋体" w:eastAsia="宋体" w:cs="宋体"/>
          <w:b/>
          <w:color w:val="auto"/>
          <w:kern w:val="28"/>
          <w:sz w:val="21"/>
          <w:szCs w:val="21"/>
          <w:highlight w:val="none"/>
          <w:lang w:val="en-US" w:eastAsia="zh-CN"/>
        </w:rPr>
      </w:pPr>
      <w:r>
        <w:rPr>
          <w:rFonts w:hint="eastAsia" w:asciiTheme="minorEastAsia" w:hAnsiTheme="minorEastAsia" w:eastAsiaTheme="minorEastAsia" w:cstheme="minorEastAsia"/>
          <w:color w:val="auto"/>
          <w:spacing w:val="2"/>
          <w:sz w:val="21"/>
          <w:szCs w:val="21"/>
          <w:highlight w:val="none"/>
        </w:rPr>
        <w:t>严格按照《中华人民共和国土地管理法》</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《浙江省土地管理条例》、《</w:t>
      </w:r>
      <w:r>
        <w:rPr>
          <w:rFonts w:hint="eastAsia" w:asciiTheme="minorEastAsia" w:hAnsiTheme="minorEastAsia" w:eastAsiaTheme="minorEastAsia" w:cstheme="minorEastAsia"/>
          <w:color w:val="auto"/>
          <w:spacing w:val="1"/>
          <w:sz w:val="21"/>
          <w:szCs w:val="21"/>
          <w:highlight w:val="none"/>
        </w:rPr>
        <w:t>台州市</w:t>
      </w:r>
      <w:r>
        <w:rPr>
          <w:rFonts w:hint="eastAsia" w:asciiTheme="minorEastAsia" w:hAnsiTheme="minorEastAsia" w:eastAsiaTheme="minorEastAsia" w:cstheme="minorEastAsia"/>
          <w:color w:val="auto"/>
          <w:spacing w:val="-3"/>
          <w:sz w:val="21"/>
          <w:szCs w:val="21"/>
          <w:highlight w:val="none"/>
        </w:rPr>
        <w:t>区集体土地青苗和地上附着物征收补偿标准》（台政办函【2021】4</w:t>
      </w:r>
      <w:r>
        <w:rPr>
          <w:rFonts w:hint="eastAsia" w:asciiTheme="minorEastAsia" w:hAnsiTheme="minorEastAsia" w:eastAsiaTheme="minorEastAsia" w:cstheme="minorEastAsia"/>
          <w:color w:val="auto"/>
          <w:spacing w:val="-45"/>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号）文件的要求实</w:t>
      </w:r>
      <w:r>
        <w:rPr>
          <w:rFonts w:hint="eastAsia" w:asciiTheme="minorEastAsia" w:hAnsiTheme="minorEastAsia" w:eastAsiaTheme="minorEastAsia" w:cstheme="minorEastAsia"/>
          <w:color w:val="auto"/>
          <w:spacing w:val="-1"/>
          <w:sz w:val="21"/>
          <w:szCs w:val="21"/>
          <w:highlight w:val="none"/>
        </w:rPr>
        <w:t>施青苗评估，所形成的全部资料和成果所有权归</w:t>
      </w:r>
      <w:r>
        <w:rPr>
          <w:rFonts w:hint="eastAsia" w:asciiTheme="minorEastAsia" w:hAnsiTheme="minorEastAsia" w:eastAsiaTheme="minorEastAsia" w:cstheme="minorEastAsia"/>
          <w:color w:val="auto"/>
          <w:spacing w:val="-1"/>
          <w:sz w:val="21"/>
          <w:szCs w:val="21"/>
          <w:highlight w:val="none"/>
          <w:lang w:val="en-US" w:eastAsia="zh-CN"/>
        </w:rPr>
        <w:t>采购</w:t>
      </w:r>
      <w:r>
        <w:rPr>
          <w:rFonts w:hint="eastAsia" w:asciiTheme="minorEastAsia" w:hAnsiTheme="minorEastAsia" w:eastAsiaTheme="minorEastAsia" w:cstheme="minorEastAsia"/>
          <w:color w:val="auto"/>
          <w:spacing w:val="-1"/>
          <w:sz w:val="21"/>
          <w:szCs w:val="21"/>
          <w:highlight w:val="none"/>
        </w:rPr>
        <w:t>方。</w:t>
      </w:r>
    </w:p>
    <w:p w14:paraId="73459C2E">
      <w:pPr>
        <w:keepNext w:val="0"/>
        <w:keepLines w:val="0"/>
        <w:pageBreakBefore w:val="0"/>
        <w:widowControl w:val="0"/>
        <w:kinsoku/>
        <w:wordWrap/>
        <w:overflowPunct/>
        <w:topLinePunct w:val="0"/>
        <w:autoSpaceDN/>
        <w:bidi w:val="0"/>
        <w:adjustRightInd w:val="0"/>
        <w:snapToGrid w:val="0"/>
        <w:spacing w:line="360" w:lineRule="auto"/>
        <w:ind w:left="0" w:leftChars="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28"/>
          <w:sz w:val="21"/>
          <w:szCs w:val="21"/>
          <w:highlight w:val="none"/>
          <w:lang w:val="en-US" w:eastAsia="zh-CN"/>
        </w:rPr>
        <w:t>三</w:t>
      </w:r>
      <w:r>
        <w:rPr>
          <w:rFonts w:hint="eastAsia" w:ascii="宋体" w:hAnsi="宋体" w:eastAsia="宋体" w:cs="宋体"/>
          <w:b/>
          <w:color w:val="auto"/>
          <w:kern w:val="28"/>
          <w:sz w:val="21"/>
          <w:szCs w:val="21"/>
          <w:highlight w:val="none"/>
        </w:rPr>
        <w:t>、服务要求</w:t>
      </w:r>
    </w:p>
    <w:p w14:paraId="03539A23">
      <w:pPr>
        <w:pStyle w:val="7"/>
        <w:keepNext w:val="0"/>
        <w:keepLines w:val="0"/>
        <w:pageBreakBefore w:val="0"/>
        <w:widowControl/>
        <w:kinsoku w:val="0"/>
        <w:wordWrap/>
        <w:overflowPunct/>
        <w:topLinePunct w:val="0"/>
        <w:autoSpaceDE w:val="0"/>
        <w:autoSpaceDN w:val="0"/>
        <w:bidi w:val="0"/>
        <w:adjustRightInd w:val="0"/>
        <w:snapToGrid w:val="0"/>
        <w:spacing w:before="217" w:line="360" w:lineRule="auto"/>
        <w:ind w:right="17" w:firstLine="498"/>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1、投标人应按照合同约定和招标人的有关要求</w:t>
      </w:r>
      <w:r>
        <w:rPr>
          <w:rFonts w:hint="eastAsia" w:asciiTheme="minorEastAsia" w:hAnsiTheme="minorEastAsia" w:eastAsiaTheme="minorEastAsia" w:cstheme="minorEastAsia"/>
          <w:color w:val="auto"/>
          <w:spacing w:val="-3"/>
          <w:sz w:val="21"/>
          <w:szCs w:val="21"/>
          <w:highlight w:val="none"/>
        </w:rPr>
        <w:t>，高质量、高效率完成评估任务，</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rPr>
        <w:t>及时出具估价报告；</w:t>
      </w:r>
    </w:p>
    <w:p w14:paraId="2738DC1B">
      <w:pPr>
        <w:pStyle w:val="7"/>
        <w:keepNext w:val="0"/>
        <w:keepLines w:val="0"/>
        <w:pageBreakBefore w:val="0"/>
        <w:widowControl/>
        <w:kinsoku w:val="0"/>
        <w:wordWrap/>
        <w:overflowPunct/>
        <w:topLinePunct w:val="0"/>
        <w:autoSpaceDE w:val="0"/>
        <w:autoSpaceDN w:val="0"/>
        <w:bidi w:val="0"/>
        <w:adjustRightInd w:val="0"/>
        <w:snapToGrid w:val="0"/>
        <w:spacing w:before="214" w:line="240" w:lineRule="auto"/>
        <w:ind w:firstLine="408" w:firstLineChars="200"/>
        <w:textAlignment w:val="baseline"/>
        <w:rPr>
          <w:rFonts w:hint="eastAsia" w:asciiTheme="minorEastAsia" w:hAnsiTheme="minorEastAsia" w:eastAsiaTheme="minorEastAsia" w:cstheme="minorEastAsia"/>
          <w:b w:val="0"/>
          <w:bCs w:val="0"/>
          <w:color w:val="auto"/>
          <w:spacing w:val="-3"/>
          <w:sz w:val="21"/>
          <w:szCs w:val="21"/>
          <w:highlight w:val="none"/>
        </w:rPr>
      </w:pPr>
      <w:r>
        <w:rPr>
          <w:rFonts w:hint="eastAsia" w:asciiTheme="minorEastAsia" w:hAnsiTheme="minorEastAsia" w:eastAsiaTheme="minorEastAsia" w:cstheme="minorEastAsia"/>
          <w:b w:val="0"/>
          <w:bCs w:val="0"/>
          <w:color w:val="auto"/>
          <w:spacing w:val="-3"/>
          <w:sz w:val="21"/>
          <w:szCs w:val="21"/>
          <w:highlight w:val="none"/>
        </w:rPr>
        <w:t>2、投标人对招标人提供的有关资料应妥善保管，并尽保密之责，未经招标人同意 不能擅自公开或泄漏给他人；</w:t>
      </w:r>
    </w:p>
    <w:p w14:paraId="5B0AE07E">
      <w:pPr>
        <w:pStyle w:val="7"/>
        <w:keepNext w:val="0"/>
        <w:keepLines w:val="0"/>
        <w:pageBreakBefore w:val="0"/>
        <w:widowControl/>
        <w:kinsoku w:val="0"/>
        <w:wordWrap/>
        <w:overflowPunct/>
        <w:topLinePunct w:val="0"/>
        <w:autoSpaceDE w:val="0"/>
        <w:autoSpaceDN w:val="0"/>
        <w:bidi w:val="0"/>
        <w:adjustRightInd w:val="0"/>
        <w:snapToGrid w:val="0"/>
        <w:spacing w:before="214" w:line="240" w:lineRule="auto"/>
        <w:ind w:firstLine="408" w:firstLineChars="200"/>
        <w:textAlignment w:val="baseline"/>
        <w:rPr>
          <w:rFonts w:hint="eastAsia" w:asciiTheme="minorEastAsia" w:hAnsiTheme="minorEastAsia" w:eastAsiaTheme="minorEastAsia" w:cstheme="minorEastAsia"/>
          <w:b w:val="0"/>
          <w:bCs w:val="0"/>
          <w:color w:val="auto"/>
          <w:spacing w:val="-3"/>
          <w:sz w:val="21"/>
          <w:szCs w:val="21"/>
          <w:highlight w:val="none"/>
        </w:rPr>
      </w:pPr>
      <w:r>
        <w:rPr>
          <w:rFonts w:hint="eastAsia" w:asciiTheme="minorEastAsia" w:hAnsiTheme="minorEastAsia" w:eastAsiaTheme="minorEastAsia" w:cstheme="minorEastAsia"/>
          <w:b w:val="0"/>
          <w:bCs w:val="0"/>
          <w:color w:val="auto"/>
          <w:spacing w:val="-3"/>
          <w:sz w:val="21"/>
          <w:szCs w:val="21"/>
          <w:highlight w:val="none"/>
        </w:rPr>
        <w:t>3、投标人应力求估价结果客观、公正、合理、资料齐全，并对出具</w:t>
      </w:r>
      <w:r>
        <w:rPr>
          <w:rFonts w:hint="eastAsia" w:asciiTheme="minorEastAsia" w:hAnsiTheme="minorEastAsia" w:eastAsiaTheme="minorEastAsia" w:cstheme="minorEastAsia"/>
          <w:b w:val="0"/>
          <w:bCs w:val="0"/>
          <w:color w:val="auto"/>
          <w:spacing w:val="-3"/>
          <w:sz w:val="21"/>
          <w:szCs w:val="21"/>
          <w:highlight w:val="none"/>
          <w:lang w:val="en-US" w:eastAsia="zh-CN"/>
        </w:rPr>
        <w:t>的</w:t>
      </w:r>
      <w:r>
        <w:rPr>
          <w:rFonts w:hint="eastAsia" w:asciiTheme="minorEastAsia" w:hAnsiTheme="minorEastAsia" w:eastAsiaTheme="minorEastAsia" w:cstheme="minorEastAsia"/>
          <w:b w:val="0"/>
          <w:bCs w:val="0"/>
          <w:color w:val="auto"/>
          <w:spacing w:val="-3"/>
          <w:sz w:val="21"/>
          <w:szCs w:val="21"/>
          <w:highlight w:val="none"/>
        </w:rPr>
        <w:t>青苗评估报告质量负责。属于评估机构问题的，退回评估机构重新评估，评估费用不重复计算；</w:t>
      </w:r>
    </w:p>
    <w:p w14:paraId="75A77BBA">
      <w:pPr>
        <w:pStyle w:val="7"/>
        <w:keepNext w:val="0"/>
        <w:keepLines w:val="0"/>
        <w:pageBreakBefore w:val="0"/>
        <w:widowControl/>
        <w:kinsoku w:val="0"/>
        <w:wordWrap/>
        <w:overflowPunct/>
        <w:topLinePunct w:val="0"/>
        <w:autoSpaceDE w:val="0"/>
        <w:autoSpaceDN w:val="0"/>
        <w:bidi w:val="0"/>
        <w:adjustRightInd w:val="0"/>
        <w:snapToGrid w:val="0"/>
        <w:spacing w:before="214" w:line="240" w:lineRule="auto"/>
        <w:ind w:firstLine="408" w:firstLineChars="200"/>
        <w:textAlignment w:val="baseline"/>
        <w:rPr>
          <w:rFonts w:hint="eastAsia" w:asciiTheme="minorEastAsia" w:hAnsiTheme="minorEastAsia" w:eastAsiaTheme="minorEastAsia" w:cstheme="minorEastAsia"/>
          <w:b w:val="0"/>
          <w:bCs w:val="0"/>
          <w:color w:val="auto"/>
          <w:spacing w:val="-3"/>
          <w:sz w:val="21"/>
          <w:szCs w:val="21"/>
          <w:highlight w:val="none"/>
        </w:rPr>
      </w:pPr>
      <w:r>
        <w:rPr>
          <w:rFonts w:hint="eastAsia" w:asciiTheme="minorEastAsia" w:hAnsiTheme="minorEastAsia" w:eastAsiaTheme="minorEastAsia" w:cstheme="minorEastAsia"/>
          <w:b w:val="0"/>
          <w:bCs w:val="0"/>
          <w:color w:val="auto"/>
          <w:spacing w:val="-3"/>
          <w:sz w:val="21"/>
          <w:szCs w:val="21"/>
          <w:highlight w:val="none"/>
        </w:rPr>
        <w:t>4、禁止将中标项目转包或分包给他人。</w:t>
      </w:r>
    </w:p>
    <w:p w14:paraId="143880E4">
      <w:pPr>
        <w:pStyle w:val="7"/>
        <w:keepNext w:val="0"/>
        <w:keepLines w:val="0"/>
        <w:pageBreakBefore w:val="0"/>
        <w:widowControl/>
        <w:kinsoku w:val="0"/>
        <w:wordWrap/>
        <w:overflowPunct/>
        <w:topLinePunct w:val="0"/>
        <w:autoSpaceDE w:val="0"/>
        <w:autoSpaceDN w:val="0"/>
        <w:bidi w:val="0"/>
        <w:adjustRightInd w:val="0"/>
        <w:snapToGrid w:val="0"/>
        <w:spacing w:before="214" w:line="240" w:lineRule="auto"/>
        <w:ind w:firstLine="408" w:firstLineChars="200"/>
        <w:textAlignment w:val="baseline"/>
        <w:rPr>
          <w:rFonts w:hint="eastAsia" w:asciiTheme="minorEastAsia" w:hAnsiTheme="minorEastAsia" w:eastAsiaTheme="minorEastAsia" w:cstheme="minorEastAsia"/>
          <w:b w:val="0"/>
          <w:bCs w:val="0"/>
          <w:color w:val="auto"/>
          <w:spacing w:val="-3"/>
          <w:sz w:val="21"/>
          <w:szCs w:val="21"/>
          <w:highlight w:val="none"/>
        </w:rPr>
      </w:pPr>
      <w:r>
        <w:rPr>
          <w:rFonts w:hint="eastAsia" w:asciiTheme="minorEastAsia" w:hAnsiTheme="minorEastAsia" w:eastAsiaTheme="minorEastAsia" w:cstheme="minorEastAsia"/>
          <w:b w:val="0"/>
          <w:bCs w:val="0"/>
          <w:color w:val="auto"/>
          <w:spacing w:val="-3"/>
          <w:sz w:val="21"/>
          <w:szCs w:val="21"/>
          <w:highlight w:val="none"/>
        </w:rPr>
        <w:t>5、中标单位为路桥区外评估机构的，在中标通知书发出后七天内且在合同签订前必须在路桥区设立办公场所。未按时在路桥区设立办公</w:t>
      </w:r>
      <w:r>
        <w:rPr>
          <w:rFonts w:hint="eastAsia" w:asciiTheme="minorEastAsia" w:hAnsiTheme="minorEastAsia" w:eastAsiaTheme="minorEastAsia" w:cstheme="minorEastAsia"/>
          <w:b w:val="0"/>
          <w:bCs w:val="0"/>
          <w:color w:val="auto"/>
          <w:spacing w:val="-3"/>
          <w:sz w:val="21"/>
          <w:szCs w:val="21"/>
          <w:highlight w:val="none"/>
          <w:lang w:val="en-US" w:eastAsia="zh-CN"/>
        </w:rPr>
        <w:t>场</w:t>
      </w:r>
      <w:r>
        <w:rPr>
          <w:rFonts w:hint="eastAsia" w:asciiTheme="minorEastAsia" w:hAnsiTheme="minorEastAsia" w:eastAsiaTheme="minorEastAsia" w:cstheme="minorEastAsia"/>
          <w:b w:val="0"/>
          <w:bCs w:val="0"/>
          <w:color w:val="auto"/>
          <w:spacing w:val="-3"/>
          <w:sz w:val="21"/>
          <w:szCs w:val="21"/>
          <w:highlight w:val="none"/>
        </w:rPr>
        <w:t>所的， 招标人有权取消其中标资格。</w:t>
      </w:r>
    </w:p>
    <w:p w14:paraId="2B3A235E">
      <w:pPr>
        <w:pStyle w:val="7"/>
        <w:keepNext w:val="0"/>
        <w:keepLines w:val="0"/>
        <w:pageBreakBefore w:val="0"/>
        <w:widowControl/>
        <w:kinsoku w:val="0"/>
        <w:wordWrap/>
        <w:overflowPunct/>
        <w:topLinePunct w:val="0"/>
        <w:autoSpaceDE w:val="0"/>
        <w:autoSpaceDN w:val="0"/>
        <w:bidi w:val="0"/>
        <w:adjustRightInd w:val="0"/>
        <w:snapToGrid w:val="0"/>
        <w:spacing w:before="214" w:line="240" w:lineRule="auto"/>
        <w:ind w:firstLine="408" w:firstLineChars="200"/>
        <w:textAlignment w:val="baseline"/>
        <w:rPr>
          <w:rFonts w:hint="eastAsia" w:asciiTheme="minorEastAsia" w:hAnsiTheme="minorEastAsia" w:eastAsiaTheme="minorEastAsia" w:cstheme="minorEastAsia"/>
          <w:b w:val="0"/>
          <w:bCs w:val="0"/>
          <w:color w:val="auto"/>
          <w:spacing w:val="-3"/>
          <w:sz w:val="21"/>
          <w:szCs w:val="21"/>
          <w:highlight w:val="none"/>
        </w:rPr>
      </w:pPr>
      <w:r>
        <w:rPr>
          <w:rFonts w:hint="eastAsia" w:asciiTheme="minorEastAsia" w:hAnsiTheme="minorEastAsia" w:eastAsiaTheme="minorEastAsia" w:cstheme="minorEastAsia"/>
          <w:b w:val="0"/>
          <w:bCs w:val="0"/>
          <w:color w:val="auto"/>
          <w:spacing w:val="-3"/>
          <w:sz w:val="21"/>
          <w:szCs w:val="21"/>
          <w:highlight w:val="none"/>
        </w:rPr>
        <w:t>6、</w:t>
      </w:r>
      <w:r>
        <w:rPr>
          <w:rFonts w:hint="eastAsia" w:asciiTheme="minorEastAsia" w:hAnsiTheme="minorEastAsia" w:eastAsiaTheme="minorEastAsia" w:cstheme="minorEastAsia"/>
          <w:b w:val="0"/>
          <w:bCs w:val="0"/>
          <w:color w:val="auto"/>
          <w:spacing w:val="-3"/>
          <w:sz w:val="21"/>
          <w:szCs w:val="21"/>
          <w:highlight w:val="none"/>
        </w:rPr>
        <w:t>中标人在接到单宗项目委托后</w:t>
      </w:r>
      <w:r>
        <w:rPr>
          <w:rFonts w:hint="eastAsia" w:asciiTheme="minorEastAsia" w:hAnsiTheme="minorEastAsia" w:eastAsiaTheme="minorEastAsia" w:cstheme="minorEastAsia"/>
          <w:b w:val="0"/>
          <w:bCs w:val="0"/>
          <w:color w:val="auto"/>
          <w:spacing w:val="-3"/>
          <w:sz w:val="21"/>
          <w:szCs w:val="21"/>
          <w:highlight w:val="none"/>
          <w:lang w:val="en-US" w:eastAsia="zh-CN"/>
        </w:rPr>
        <w:t>1</w:t>
      </w:r>
      <w:r>
        <w:rPr>
          <w:rFonts w:hint="eastAsia" w:asciiTheme="minorEastAsia" w:hAnsiTheme="minorEastAsia" w:eastAsiaTheme="minorEastAsia" w:cstheme="minorEastAsia"/>
          <w:b w:val="0"/>
          <w:bCs w:val="0"/>
          <w:color w:val="auto"/>
          <w:spacing w:val="-3"/>
          <w:sz w:val="21"/>
          <w:szCs w:val="21"/>
          <w:highlight w:val="none"/>
        </w:rPr>
        <w:t>个月内须提交成果报告。</w:t>
      </w:r>
    </w:p>
    <w:p w14:paraId="4C15646B">
      <w:pPr>
        <w:pStyle w:val="7"/>
        <w:keepNext w:val="0"/>
        <w:keepLines w:val="0"/>
        <w:pageBreakBefore w:val="0"/>
        <w:widowControl/>
        <w:kinsoku w:val="0"/>
        <w:wordWrap/>
        <w:overflowPunct/>
        <w:topLinePunct w:val="0"/>
        <w:autoSpaceDE w:val="0"/>
        <w:autoSpaceDN w:val="0"/>
        <w:bidi w:val="0"/>
        <w:adjustRightInd w:val="0"/>
        <w:snapToGrid w:val="0"/>
        <w:spacing w:before="214" w:line="240" w:lineRule="auto"/>
        <w:ind w:firstLine="408" w:firstLineChars="200"/>
        <w:textAlignment w:val="baseline"/>
        <w:rPr>
          <w:rFonts w:hint="eastAsia" w:asciiTheme="minorEastAsia" w:hAnsiTheme="minorEastAsia" w:eastAsiaTheme="minorEastAsia" w:cstheme="minorEastAsia"/>
          <w:b w:val="0"/>
          <w:bCs w:val="0"/>
          <w:color w:val="auto"/>
          <w:spacing w:val="-3"/>
          <w:sz w:val="21"/>
          <w:szCs w:val="21"/>
          <w:highlight w:val="none"/>
          <w:lang w:val="en-US" w:eastAsia="zh-CN"/>
        </w:rPr>
      </w:pPr>
      <w:r>
        <w:rPr>
          <w:rFonts w:hint="eastAsia" w:asciiTheme="minorEastAsia" w:hAnsiTheme="minorEastAsia" w:eastAsiaTheme="minorEastAsia" w:cstheme="minorEastAsia"/>
          <w:b w:val="0"/>
          <w:bCs w:val="0"/>
          <w:color w:val="auto"/>
          <w:spacing w:val="-3"/>
          <w:sz w:val="21"/>
          <w:szCs w:val="21"/>
          <w:highlight w:val="none"/>
          <w:lang w:val="en-US" w:eastAsia="zh-CN"/>
        </w:rPr>
        <w:t>7、</w:t>
      </w:r>
      <w:r>
        <w:rPr>
          <w:rFonts w:hint="eastAsia" w:asciiTheme="minorEastAsia" w:hAnsiTheme="minorEastAsia" w:eastAsiaTheme="minorEastAsia" w:cstheme="minorEastAsia"/>
          <w:b w:val="0"/>
          <w:bCs w:val="0"/>
          <w:color w:val="auto"/>
          <w:spacing w:val="-3"/>
          <w:sz w:val="21"/>
          <w:szCs w:val="21"/>
          <w:highlight w:val="none"/>
          <w:lang w:val="en-US" w:eastAsia="zh-CN"/>
        </w:rPr>
        <w:t>本合同服务期三年，合同一年一签。第二年或第三年财政预算金额未达到原合同金额或者第二年第三年财政预算未通过的或者集体评价投票未通过的，第二年或第三年合同的约定自动失效。</w:t>
      </w:r>
    </w:p>
    <w:p w14:paraId="16D6CF3B">
      <w:pPr>
        <w:keepNext w:val="0"/>
        <w:keepLines w:val="0"/>
        <w:pageBreakBefore w:val="0"/>
        <w:widowControl w:val="0"/>
        <w:kinsoku/>
        <w:wordWrap/>
        <w:overflowPunct/>
        <w:topLinePunct w:val="0"/>
        <w:autoSpaceDN/>
        <w:bidi w:val="0"/>
        <w:adjustRightInd w:val="0"/>
        <w:snapToGrid w:val="0"/>
        <w:spacing w:line="360" w:lineRule="auto"/>
        <w:ind w:left="0" w:leftChars="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服务费用</w:t>
      </w:r>
    </w:p>
    <w:p w14:paraId="1A1D2F66">
      <w:pPr>
        <w:keepNext w:val="0"/>
        <w:keepLines w:val="0"/>
        <w:pageBreakBefore w:val="0"/>
        <w:widowControl w:val="0"/>
        <w:kinsoku/>
        <w:wordWrap/>
        <w:overflowPunct/>
        <w:topLinePunct w:val="0"/>
        <w:autoSpaceDE w:val="0"/>
        <w:autoSpaceDN/>
        <w:bidi w:val="0"/>
        <w:adjustRightInd w:val="0"/>
        <w:spacing w:line="360" w:lineRule="auto"/>
        <w:ind w:firstLine="420" w:firstLineChars="200"/>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单价按</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单价</w:t>
      </w:r>
      <w:r>
        <w:rPr>
          <w:rFonts w:hint="eastAsia" w:ascii="宋体" w:hAnsi="宋体" w:eastAsia="宋体" w:cs="宋体"/>
          <w:color w:val="auto"/>
          <w:sz w:val="21"/>
          <w:szCs w:val="21"/>
          <w:highlight w:val="none"/>
          <w:lang w:val="en-US" w:eastAsia="zh-CN"/>
        </w:rPr>
        <w:t>计算，</w:t>
      </w:r>
      <w:r>
        <w:rPr>
          <w:rFonts w:hint="eastAsia" w:ascii="宋体" w:hAnsi="宋体" w:eastAsia="宋体" w:cs="宋体"/>
          <w:color w:val="auto"/>
          <w:sz w:val="21"/>
          <w:szCs w:val="21"/>
          <w:highlight w:val="none"/>
        </w:rPr>
        <w:t>结算时面积按实计算，具体面积以业主核实之后实际面积为准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以上</w:t>
      </w:r>
      <w:r>
        <w:rPr>
          <w:rFonts w:hint="eastAsia" w:ascii="宋体" w:hAnsi="宋体" w:cs="宋体"/>
          <w:color w:val="auto"/>
          <w:sz w:val="21"/>
          <w:szCs w:val="21"/>
          <w:highlight w:val="none"/>
          <w:lang w:val="en-US" w:eastAsia="zh-CN"/>
        </w:rPr>
        <w:t>中标单价</w:t>
      </w:r>
      <w:r>
        <w:rPr>
          <w:rFonts w:hint="eastAsia" w:ascii="宋体" w:hAnsi="宋体" w:eastAsia="宋体" w:cs="宋体"/>
          <w:color w:val="auto"/>
          <w:sz w:val="21"/>
          <w:szCs w:val="21"/>
          <w:highlight w:val="none"/>
        </w:rPr>
        <w:t>是指综合费用，包括人员工资、交通、住宿、税金、保险、验收、管理费、采购服务费、辅助工作、售后服务等完成本项目的所有费用。</w:t>
      </w:r>
    </w:p>
    <w:p w14:paraId="6EB815DC">
      <w:pPr>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五、付款方式：</w:t>
      </w:r>
    </w:p>
    <w:p w14:paraId="7752FFD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本项目以人工投入为主。费用按次按实结算，每半年支付一次</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方必须开具正式税务发票）</w:t>
      </w:r>
      <w:r>
        <w:rPr>
          <w:rFonts w:hint="eastAsia" w:ascii="宋体" w:hAnsi="宋体" w:eastAsia="宋体" w:cs="宋体"/>
          <w:color w:val="auto"/>
          <w:sz w:val="21"/>
          <w:szCs w:val="21"/>
          <w:highlight w:val="none"/>
          <w:lang w:val="en-US" w:eastAsia="zh-CN" w:bidi="ar"/>
        </w:rPr>
        <w:t>。</w:t>
      </w:r>
    </w:p>
    <w:p w14:paraId="0CC97DB0">
      <w:pPr>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履约保证金</w:t>
      </w:r>
    </w:p>
    <w:p w14:paraId="3A8B1EC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中标方应在收到中标通知书后一周内向采购方交纳</w:t>
      </w:r>
      <w:r>
        <w:rPr>
          <w:rFonts w:hint="eastAsia" w:ascii="宋体" w:hAnsi="宋体" w:eastAsia="宋体" w:cs="宋体"/>
          <w:b w:val="0"/>
          <w:bCs/>
          <w:color w:val="auto"/>
          <w:sz w:val="21"/>
          <w:szCs w:val="21"/>
          <w:highlight w:val="none"/>
          <w:lang w:eastAsia="zh-CN"/>
        </w:rPr>
        <w:t>合同金额的</w:t>
      </w:r>
      <w:r>
        <w:rPr>
          <w:rFonts w:hint="eastAsia" w:ascii="宋体" w:hAnsi="宋体" w:eastAsia="宋体" w:cs="宋体"/>
          <w:b w:val="0"/>
          <w:bCs/>
          <w:color w:val="auto"/>
          <w:sz w:val="21"/>
          <w:szCs w:val="21"/>
          <w:highlight w:val="none"/>
          <w:u w:val="single"/>
          <w:lang w:val="en-US" w:eastAsia="zh-CN"/>
        </w:rPr>
        <w:t>1%</w:t>
      </w:r>
      <w:r>
        <w:rPr>
          <w:rFonts w:hint="eastAsia" w:ascii="宋体" w:hAnsi="宋体" w:eastAsia="宋体" w:cs="宋体"/>
          <w:b w:val="0"/>
          <w:bCs/>
          <w:color w:val="auto"/>
          <w:sz w:val="21"/>
          <w:szCs w:val="21"/>
          <w:highlight w:val="none"/>
        </w:rPr>
        <w:t>作为履约保证金，以保证中标方遵守本合同，包括担保、保函、保险等形式。</w:t>
      </w:r>
    </w:p>
    <w:p w14:paraId="4FA892A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cs="宋体"/>
          <w:b/>
          <w:color w:val="auto"/>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采购方认为中标方在</w:t>
      </w:r>
      <w:r>
        <w:rPr>
          <w:rFonts w:hint="eastAsia" w:ascii="宋体" w:hAnsi="宋体" w:cs="宋体"/>
          <w:b w:val="0"/>
          <w:bCs/>
          <w:color w:val="auto"/>
          <w:sz w:val="21"/>
          <w:szCs w:val="21"/>
          <w:highlight w:val="none"/>
          <w:lang w:val="en-US" w:eastAsia="zh-CN"/>
        </w:rPr>
        <w:t>服务期</w:t>
      </w:r>
      <w:r>
        <w:rPr>
          <w:rFonts w:hint="eastAsia" w:ascii="宋体" w:hAnsi="宋体" w:eastAsia="宋体" w:cs="宋体"/>
          <w:b w:val="0"/>
          <w:bCs/>
          <w:color w:val="auto"/>
          <w:sz w:val="21"/>
          <w:szCs w:val="21"/>
          <w:highlight w:val="none"/>
        </w:rPr>
        <w:t>内没有涉及违约行为，采购方在服务期满后一个月内全额退还履约保证金，否则，采购方将在扣除中标方应付金额或违约金后退还保证金余额。</w:t>
      </w:r>
    </w:p>
    <w:p w14:paraId="70BD5EF7">
      <w:pPr>
        <w:adjustRightInd w:val="0"/>
        <w:snapToGrid w:val="0"/>
        <w:spacing w:line="360" w:lineRule="auto"/>
        <w:rPr>
          <w:rFonts w:hint="eastAsia" w:ascii="宋体" w:hAnsi="宋体" w:eastAsia="宋体" w:cs="宋体"/>
          <w:b/>
          <w:color w:val="auto"/>
          <w:szCs w:val="21"/>
          <w:highlight w:val="none"/>
          <w:lang w:eastAsia="zh-CN"/>
        </w:rPr>
        <w:sectPr>
          <w:pgSz w:w="11906" w:h="16838"/>
          <w:pgMar w:top="1440" w:right="1440" w:bottom="1440" w:left="1701" w:header="851" w:footer="992" w:gutter="0"/>
          <w:pgNumType w:fmt="decimal"/>
          <w:cols w:space="720" w:num="1"/>
          <w:docGrid w:linePitch="312" w:charSpace="0"/>
        </w:sectPr>
      </w:pPr>
      <w:r>
        <w:rPr>
          <w:rFonts w:hint="eastAsia" w:ascii="宋体" w:hAnsi="宋体" w:cs="宋体"/>
          <w:b/>
          <w:color w:val="auto"/>
          <w:szCs w:val="21"/>
          <w:highlight w:val="none"/>
          <w:lang w:val="en-US" w:eastAsia="zh-CN"/>
        </w:rPr>
        <w:t>七、</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r>
        <w:rPr>
          <w:rFonts w:hint="eastAsia" w:ascii="宋体" w:hAnsi="宋体" w:eastAsia="宋体" w:cs="宋体"/>
          <w:b/>
          <w:color w:val="auto"/>
          <w:szCs w:val="21"/>
          <w:highlight w:val="none"/>
          <w:lang w:eastAsia="zh-CN"/>
        </w:rPr>
        <w:t>。</w:t>
      </w:r>
    </w:p>
    <w:p w14:paraId="7D5424F2">
      <w:pPr>
        <w:spacing w:line="360" w:lineRule="auto"/>
        <w:jc w:val="center"/>
        <w:outlineLvl w:val="0"/>
        <w:rPr>
          <w:rFonts w:hint="eastAsia" w:ascii="宋体" w:hAnsi="宋体" w:eastAsia="宋体" w:cs="宋体"/>
          <w:b/>
          <w:color w:val="auto"/>
          <w:sz w:val="36"/>
          <w:szCs w:val="36"/>
          <w:highlight w:val="none"/>
          <w:lang w:eastAsia="zh-CN"/>
        </w:rPr>
      </w:pPr>
      <w:bookmarkStart w:id="5" w:name="_GoBack"/>
      <w:bookmarkEnd w:id="5"/>
      <w:r>
        <w:rPr>
          <w:rFonts w:hint="eastAsia" w:ascii="宋体" w:hAnsi="宋体" w:eastAsia="宋体" w:cs="宋体"/>
          <w:b/>
          <w:color w:val="auto"/>
          <w:sz w:val="36"/>
          <w:szCs w:val="36"/>
          <w:highlight w:val="none"/>
        </w:rPr>
        <w:t>第五章 合同主要条款</w:t>
      </w:r>
    </w:p>
    <w:p w14:paraId="74D3E617">
      <w:pPr>
        <w:pStyle w:val="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14:paraId="151E5E46">
      <w:pPr>
        <w:rPr>
          <w:rFonts w:hint="eastAsia" w:ascii="宋体" w:hAnsi="宋体" w:eastAsia="宋体" w:cs="宋体"/>
          <w:color w:val="auto"/>
          <w:highlight w:val="none"/>
        </w:rPr>
      </w:pPr>
    </w:p>
    <w:p w14:paraId="514C3DA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台州市路桥区人民政府桐屿街道办事处</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64A3D312">
      <w:pPr>
        <w:pStyle w:val="1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0E0104F3">
      <w:pPr>
        <w:pStyle w:val="1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2383832A">
      <w:pPr>
        <w:pStyle w:val="10"/>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2D6A88C9">
      <w:pPr>
        <w:pStyle w:val="10"/>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台州市路桥区桐屿街道政策处理评估（地上附着物、土地丈量）项目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4493DD81">
      <w:pPr>
        <w:pStyle w:val="10"/>
        <w:adjustRightInd w:val="0"/>
        <w:snapToGrid w:val="0"/>
        <w:spacing w:line="360" w:lineRule="auto"/>
        <w:rPr>
          <w:rFonts w:hint="eastAsia" w:ascii="宋体" w:hAnsi="宋体" w:eastAsia="宋体" w:cs="宋体"/>
          <w:b/>
          <w:color w:val="auto"/>
          <w:sz w:val="21"/>
          <w:szCs w:val="21"/>
          <w:highlight w:val="none"/>
        </w:rPr>
      </w:pPr>
      <w:bookmarkStart w:id="1" w:name="_Toc103956894"/>
      <w:bookmarkStart w:id="2" w:name="_Toc136335612"/>
      <w:bookmarkStart w:id="3" w:name="_Toc100474481"/>
      <w:bookmarkStart w:id="4" w:name="_Toc107735837"/>
      <w:r>
        <w:rPr>
          <w:rFonts w:hint="eastAsia" w:ascii="宋体" w:hAnsi="宋体" w:eastAsia="宋体" w:cs="宋体"/>
          <w:b/>
          <w:color w:val="auto"/>
          <w:sz w:val="21"/>
          <w:szCs w:val="21"/>
          <w:highlight w:val="none"/>
        </w:rPr>
        <w:t>一、服务内容</w:t>
      </w:r>
    </w:p>
    <w:p w14:paraId="5C1A4252">
      <w:pPr>
        <w:pStyle w:val="7"/>
        <w:keepNext w:val="0"/>
        <w:keepLines w:val="0"/>
        <w:pageBreakBefore w:val="0"/>
        <w:widowControl/>
        <w:kinsoku w:val="0"/>
        <w:wordWrap/>
        <w:overflowPunct/>
        <w:topLinePunct w:val="0"/>
        <w:autoSpaceDE w:val="0"/>
        <w:autoSpaceDN w:val="0"/>
        <w:bidi w:val="0"/>
        <w:adjustRightInd w:val="0"/>
        <w:snapToGrid w:val="0"/>
        <w:spacing w:before="212" w:after="110" w:line="360" w:lineRule="auto"/>
        <w:ind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对桐屿街道办事处行政区域范围内涉及的青苗、树木、果树、地上定着物、附</w:t>
      </w:r>
      <w:r>
        <w:rPr>
          <w:rFonts w:hint="eastAsia" w:asciiTheme="minorEastAsia" w:hAnsiTheme="minorEastAsia" w:eastAsiaTheme="minorEastAsia" w:cstheme="minorEastAsia"/>
          <w:color w:val="auto"/>
          <w:spacing w:val="-4"/>
          <w:sz w:val="21"/>
          <w:szCs w:val="21"/>
          <w:highlight w:val="none"/>
        </w:rPr>
        <w:t>着物</w:t>
      </w:r>
      <w:r>
        <w:rPr>
          <w:rFonts w:hint="eastAsia" w:ascii="宋体" w:hAnsi="宋体" w:eastAsia="宋体" w:cs="宋体"/>
          <w:color w:val="auto"/>
          <w:sz w:val="21"/>
          <w:szCs w:val="21"/>
          <w:highlight w:val="none"/>
          <w:lang w:val="en-US" w:eastAsia="zh-CN"/>
        </w:rPr>
        <w:t>进行评估</w:t>
      </w:r>
      <w:r>
        <w:rPr>
          <w:rFonts w:hint="eastAsia" w:asciiTheme="minorEastAsia" w:hAnsiTheme="minorEastAsia" w:eastAsiaTheme="minorEastAsia" w:cstheme="minorEastAsia"/>
          <w:color w:val="auto"/>
          <w:spacing w:val="-4"/>
          <w:sz w:val="21"/>
          <w:szCs w:val="21"/>
          <w:highlight w:val="none"/>
        </w:rPr>
        <w:t>。</w:t>
      </w:r>
    </w:p>
    <w:p w14:paraId="2561CF7A">
      <w:pPr>
        <w:keepNext w:val="0"/>
        <w:keepLines w:val="0"/>
        <w:pageBreakBefore w:val="0"/>
        <w:widowControl w:val="0"/>
        <w:kinsoku/>
        <w:wordWrap/>
        <w:overflowPunct/>
        <w:topLinePunct w:val="0"/>
        <w:autoSpaceDN/>
        <w:bidi w:val="0"/>
        <w:adjustRightInd w:val="0"/>
        <w:snapToGrid w:val="0"/>
        <w:spacing w:line="360" w:lineRule="auto"/>
        <w:ind w:firstLine="428" w:firstLineChars="200"/>
        <w:jc w:val="left"/>
        <w:outlineLvl w:val="9"/>
        <w:rPr>
          <w:rFonts w:hint="eastAsia" w:ascii="宋体" w:hAnsi="宋体" w:eastAsia="宋体" w:cs="宋体"/>
          <w:b/>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根据</w:t>
      </w:r>
      <w:r>
        <w:rPr>
          <w:rFonts w:hint="eastAsia" w:asciiTheme="minorEastAsia" w:hAnsiTheme="minorEastAsia" w:eastAsiaTheme="minorEastAsia" w:cstheme="minorEastAsia"/>
          <w:color w:val="auto"/>
          <w:spacing w:val="2"/>
          <w:sz w:val="21"/>
          <w:szCs w:val="21"/>
          <w:highlight w:val="none"/>
          <w:lang w:val="en-US" w:eastAsia="zh-CN"/>
        </w:rPr>
        <w:t>甲方</w:t>
      </w:r>
      <w:r>
        <w:rPr>
          <w:rFonts w:hint="eastAsia" w:asciiTheme="minorEastAsia" w:hAnsiTheme="minorEastAsia" w:eastAsiaTheme="minorEastAsia" w:cstheme="minorEastAsia"/>
          <w:color w:val="auto"/>
          <w:spacing w:val="2"/>
          <w:sz w:val="21"/>
          <w:szCs w:val="21"/>
          <w:highlight w:val="none"/>
        </w:rPr>
        <w:t>要求，根据国家有关苗木、树木、果树、地上定着物、附着物补偿</w:t>
      </w:r>
      <w:r>
        <w:rPr>
          <w:rFonts w:hint="eastAsia" w:asciiTheme="minorEastAsia" w:hAnsiTheme="minorEastAsia" w:eastAsiaTheme="minorEastAsia" w:cstheme="minorEastAsia"/>
          <w:color w:val="auto"/>
          <w:sz w:val="21"/>
          <w:szCs w:val="21"/>
          <w:highlight w:val="none"/>
        </w:rPr>
        <w:t>估价技术规程、规范，公正、</w:t>
      </w:r>
      <w:r>
        <w:rPr>
          <w:rFonts w:hint="eastAsia" w:asciiTheme="minorEastAsia" w:hAnsiTheme="minorEastAsia" w:eastAsiaTheme="minorEastAsia" w:cstheme="minorEastAsia"/>
          <w:color w:val="auto"/>
          <w:spacing w:val="-54"/>
          <w:sz w:val="21"/>
          <w:szCs w:val="21"/>
          <w:highlight w:val="none"/>
        </w:rPr>
        <w:t xml:space="preserve"> </w:t>
      </w:r>
      <w:r>
        <w:rPr>
          <w:rFonts w:hint="eastAsia" w:asciiTheme="minorEastAsia" w:hAnsiTheme="minorEastAsia" w:eastAsiaTheme="minorEastAsia" w:cstheme="minorEastAsia"/>
          <w:color w:val="auto"/>
          <w:sz w:val="21"/>
          <w:szCs w:val="21"/>
          <w:highlight w:val="none"/>
        </w:rPr>
        <w:t>自主进行评估，出具估价报告；提供估价方面的咨询和</w:t>
      </w:r>
      <w:r>
        <w:rPr>
          <w:rFonts w:hint="eastAsia" w:asciiTheme="minorEastAsia" w:hAnsiTheme="minorEastAsia" w:eastAsiaTheme="minorEastAsia" w:cstheme="minorEastAsia"/>
          <w:color w:val="auto"/>
          <w:spacing w:val="2"/>
          <w:sz w:val="21"/>
          <w:szCs w:val="21"/>
          <w:highlight w:val="none"/>
        </w:rPr>
        <w:t>价格信息；评估范围内分户地块丈量；协助</w:t>
      </w:r>
      <w:r>
        <w:rPr>
          <w:rFonts w:hint="eastAsia" w:asciiTheme="minorEastAsia" w:hAnsiTheme="minorEastAsia" w:eastAsiaTheme="minorEastAsia" w:cstheme="minorEastAsia"/>
          <w:color w:val="auto"/>
          <w:spacing w:val="2"/>
          <w:sz w:val="21"/>
          <w:szCs w:val="21"/>
          <w:highlight w:val="none"/>
          <w:lang w:val="en-US" w:eastAsia="zh-CN"/>
        </w:rPr>
        <w:t>甲方</w:t>
      </w:r>
      <w:r>
        <w:rPr>
          <w:rFonts w:hint="eastAsia" w:asciiTheme="minorEastAsia" w:hAnsiTheme="minorEastAsia" w:eastAsiaTheme="minorEastAsia" w:cstheme="minorEastAsia"/>
          <w:color w:val="auto"/>
          <w:spacing w:val="2"/>
          <w:sz w:val="21"/>
          <w:szCs w:val="21"/>
          <w:highlight w:val="none"/>
        </w:rPr>
        <w:t>做好估价方面的</w:t>
      </w:r>
      <w:r>
        <w:rPr>
          <w:rFonts w:hint="eastAsia" w:asciiTheme="minorEastAsia" w:hAnsiTheme="minorEastAsia" w:eastAsiaTheme="minorEastAsia" w:cstheme="minorEastAsia"/>
          <w:color w:val="auto"/>
          <w:spacing w:val="1"/>
          <w:sz w:val="21"/>
          <w:szCs w:val="21"/>
          <w:highlight w:val="none"/>
        </w:rPr>
        <w:t>事务性、政策性工</w:t>
      </w:r>
      <w:r>
        <w:rPr>
          <w:rFonts w:hint="eastAsia" w:asciiTheme="minorEastAsia" w:hAnsiTheme="minorEastAsia" w:eastAsiaTheme="minorEastAsia" w:cstheme="minorEastAsia"/>
          <w:color w:val="auto"/>
          <w:spacing w:val="-5"/>
          <w:sz w:val="21"/>
          <w:szCs w:val="21"/>
          <w:highlight w:val="none"/>
        </w:rPr>
        <w:t>作</w:t>
      </w:r>
      <w:r>
        <w:rPr>
          <w:rFonts w:hint="eastAsia" w:asciiTheme="minorEastAsia" w:hAnsiTheme="minorEastAsia" w:eastAsiaTheme="minorEastAsia" w:cstheme="minorEastAsia"/>
          <w:color w:val="auto"/>
          <w:spacing w:val="-5"/>
          <w:sz w:val="21"/>
          <w:szCs w:val="21"/>
          <w:highlight w:val="none"/>
          <w:lang w:eastAsia="zh-CN"/>
        </w:rPr>
        <w:t>。</w:t>
      </w:r>
    </w:p>
    <w:p w14:paraId="2EBD5E47">
      <w:pPr>
        <w:pStyle w:val="7"/>
        <w:keepNext w:val="0"/>
        <w:keepLines w:val="0"/>
        <w:pageBreakBefore w:val="0"/>
        <w:widowControl/>
        <w:kinsoku w:val="0"/>
        <w:wordWrap/>
        <w:overflowPunct/>
        <w:topLinePunct w:val="0"/>
        <w:autoSpaceDE w:val="0"/>
        <w:autoSpaceDN w:val="0"/>
        <w:bidi w:val="0"/>
        <w:adjustRightInd w:val="0"/>
        <w:snapToGrid w:val="0"/>
        <w:spacing w:before="33" w:line="360" w:lineRule="auto"/>
        <w:ind w:left="484"/>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项目成果包括但不仅限于：</w:t>
      </w:r>
    </w:p>
    <w:p w14:paraId="57FC759C">
      <w:pPr>
        <w:pStyle w:val="7"/>
        <w:keepNext w:val="0"/>
        <w:keepLines w:val="0"/>
        <w:pageBreakBefore w:val="0"/>
        <w:widowControl/>
        <w:kinsoku w:val="0"/>
        <w:wordWrap/>
        <w:overflowPunct/>
        <w:topLinePunct w:val="0"/>
        <w:autoSpaceDE w:val="0"/>
        <w:autoSpaceDN w:val="0"/>
        <w:bidi w:val="0"/>
        <w:adjustRightInd w:val="0"/>
        <w:snapToGrid w:val="0"/>
        <w:spacing w:before="215" w:line="240" w:lineRule="auto"/>
        <w:ind w:left="498"/>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6"/>
          <w:sz w:val="21"/>
          <w:szCs w:val="21"/>
          <w:highlight w:val="none"/>
        </w:rPr>
        <w:t>1、青苗估价报告；</w:t>
      </w:r>
    </w:p>
    <w:p w14:paraId="0B7D2734">
      <w:pPr>
        <w:pStyle w:val="7"/>
        <w:keepNext w:val="0"/>
        <w:keepLines w:val="0"/>
        <w:pageBreakBefore w:val="0"/>
        <w:widowControl/>
        <w:kinsoku w:val="0"/>
        <w:wordWrap/>
        <w:overflowPunct/>
        <w:topLinePunct w:val="0"/>
        <w:autoSpaceDE w:val="0"/>
        <w:autoSpaceDN w:val="0"/>
        <w:bidi w:val="0"/>
        <w:adjustRightInd w:val="0"/>
        <w:snapToGrid w:val="0"/>
        <w:spacing w:before="216" w:line="240" w:lineRule="auto"/>
        <w:ind w:left="483"/>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3"/>
          <w:sz w:val="21"/>
          <w:szCs w:val="21"/>
          <w:highlight w:val="none"/>
        </w:rPr>
        <w:t>2、农户土地面积表和数据图；</w:t>
      </w:r>
    </w:p>
    <w:p w14:paraId="2B8936EE">
      <w:pPr>
        <w:pStyle w:val="7"/>
        <w:keepNext w:val="0"/>
        <w:keepLines w:val="0"/>
        <w:pageBreakBefore w:val="0"/>
        <w:widowControl/>
        <w:kinsoku w:val="0"/>
        <w:wordWrap/>
        <w:overflowPunct/>
        <w:topLinePunct w:val="0"/>
        <w:autoSpaceDE w:val="0"/>
        <w:autoSpaceDN w:val="0"/>
        <w:bidi w:val="0"/>
        <w:adjustRightInd w:val="0"/>
        <w:snapToGrid w:val="0"/>
        <w:spacing w:before="214" w:line="240" w:lineRule="auto"/>
        <w:ind w:left="485"/>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3"/>
          <w:sz w:val="21"/>
          <w:szCs w:val="21"/>
          <w:highlight w:val="none"/>
        </w:rPr>
        <w:t>3、农户青苗估价和土地面积公示表；</w:t>
      </w:r>
    </w:p>
    <w:p w14:paraId="74D80B42">
      <w:pPr>
        <w:pStyle w:val="7"/>
        <w:keepNext w:val="0"/>
        <w:keepLines w:val="0"/>
        <w:pageBreakBefore w:val="0"/>
        <w:widowControl/>
        <w:kinsoku w:val="0"/>
        <w:wordWrap/>
        <w:overflowPunct/>
        <w:topLinePunct w:val="0"/>
        <w:autoSpaceDE w:val="0"/>
        <w:autoSpaceDN w:val="0"/>
        <w:bidi w:val="0"/>
        <w:adjustRightInd w:val="0"/>
        <w:snapToGrid w:val="0"/>
        <w:spacing w:before="218" w:line="240" w:lineRule="auto"/>
        <w:ind w:left="480"/>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3"/>
          <w:sz w:val="21"/>
          <w:szCs w:val="21"/>
          <w:highlight w:val="none"/>
        </w:rPr>
        <w:t>4、农户青苗评估记载表；</w:t>
      </w:r>
    </w:p>
    <w:p w14:paraId="106D5900">
      <w:pPr>
        <w:pStyle w:val="7"/>
        <w:keepNext w:val="0"/>
        <w:keepLines w:val="0"/>
        <w:pageBreakBefore w:val="0"/>
        <w:widowControl/>
        <w:kinsoku w:val="0"/>
        <w:wordWrap/>
        <w:overflowPunct/>
        <w:topLinePunct w:val="0"/>
        <w:autoSpaceDE w:val="0"/>
        <w:autoSpaceDN w:val="0"/>
        <w:bidi w:val="0"/>
        <w:adjustRightInd w:val="0"/>
        <w:snapToGrid w:val="0"/>
        <w:spacing w:before="216" w:line="240" w:lineRule="auto"/>
        <w:ind w:left="485"/>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3"/>
          <w:sz w:val="21"/>
          <w:szCs w:val="21"/>
          <w:highlight w:val="none"/>
        </w:rPr>
        <w:t>5、</w:t>
      </w:r>
      <w:r>
        <w:rPr>
          <w:rFonts w:hint="eastAsia" w:asciiTheme="minorEastAsia" w:hAnsiTheme="minorEastAsia" w:eastAsiaTheme="minorEastAsia" w:cstheme="minorEastAsia"/>
          <w:b w:val="0"/>
          <w:bCs w:val="0"/>
          <w:color w:val="auto"/>
          <w:spacing w:val="-3"/>
          <w:sz w:val="21"/>
          <w:szCs w:val="21"/>
          <w:highlight w:val="none"/>
          <w:lang w:val="en-US" w:eastAsia="zh-CN"/>
        </w:rPr>
        <w:t>甲方</w:t>
      </w:r>
      <w:r>
        <w:rPr>
          <w:rFonts w:hint="eastAsia" w:asciiTheme="minorEastAsia" w:hAnsiTheme="minorEastAsia" w:eastAsiaTheme="minorEastAsia" w:cstheme="minorEastAsia"/>
          <w:b w:val="0"/>
          <w:bCs w:val="0"/>
          <w:color w:val="auto"/>
          <w:spacing w:val="-3"/>
          <w:sz w:val="21"/>
          <w:szCs w:val="21"/>
          <w:highlight w:val="none"/>
        </w:rPr>
        <w:t>要求提供的有关估价和土地面积资料。</w:t>
      </w:r>
    </w:p>
    <w:p w14:paraId="49951C4C">
      <w:pPr>
        <w:pStyle w:val="7"/>
        <w:keepNext w:val="0"/>
        <w:keepLines w:val="0"/>
        <w:pageBreakBefore w:val="0"/>
        <w:widowControl/>
        <w:kinsoku w:val="0"/>
        <w:wordWrap/>
        <w:overflowPunct/>
        <w:topLinePunct w:val="0"/>
        <w:autoSpaceDE w:val="0"/>
        <w:autoSpaceDN w:val="0"/>
        <w:bidi w:val="0"/>
        <w:adjustRightInd w:val="0"/>
        <w:snapToGrid w:val="0"/>
        <w:spacing w:before="215" w:line="360" w:lineRule="auto"/>
        <w:ind w:firstLine="428" w:firstLineChars="200"/>
        <w:jc w:val="both"/>
        <w:textAlignment w:val="baseline"/>
        <w:rPr>
          <w:rFonts w:hint="eastAsia" w:ascii="宋体" w:hAnsi="宋体" w:eastAsia="宋体" w:cs="宋体"/>
          <w:b/>
          <w:color w:val="auto"/>
          <w:kern w:val="28"/>
          <w:sz w:val="21"/>
          <w:szCs w:val="21"/>
          <w:highlight w:val="none"/>
          <w:lang w:val="en-US" w:eastAsia="zh-CN"/>
        </w:rPr>
      </w:pPr>
      <w:r>
        <w:rPr>
          <w:rFonts w:hint="eastAsia" w:asciiTheme="minorEastAsia" w:hAnsiTheme="minorEastAsia" w:eastAsiaTheme="minorEastAsia" w:cstheme="minorEastAsia"/>
          <w:color w:val="auto"/>
          <w:spacing w:val="2"/>
          <w:sz w:val="21"/>
          <w:szCs w:val="21"/>
          <w:highlight w:val="none"/>
        </w:rPr>
        <w:t>严格按照《中华人民共和国土地管理法》</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《浙江省土地管理条例》、《</w:t>
      </w:r>
      <w:r>
        <w:rPr>
          <w:rFonts w:hint="eastAsia" w:asciiTheme="minorEastAsia" w:hAnsiTheme="minorEastAsia" w:eastAsiaTheme="minorEastAsia" w:cstheme="minorEastAsia"/>
          <w:color w:val="auto"/>
          <w:spacing w:val="1"/>
          <w:sz w:val="21"/>
          <w:szCs w:val="21"/>
          <w:highlight w:val="none"/>
        </w:rPr>
        <w:t>台州市</w:t>
      </w:r>
      <w:r>
        <w:rPr>
          <w:rFonts w:hint="eastAsia" w:asciiTheme="minorEastAsia" w:hAnsiTheme="minorEastAsia" w:eastAsiaTheme="minorEastAsia" w:cstheme="minorEastAsia"/>
          <w:color w:val="auto"/>
          <w:spacing w:val="-3"/>
          <w:sz w:val="21"/>
          <w:szCs w:val="21"/>
          <w:highlight w:val="none"/>
        </w:rPr>
        <w:t>区集体土地青苗和地上附着物征收补偿标准》（台政办函【2021】4</w:t>
      </w:r>
      <w:r>
        <w:rPr>
          <w:rFonts w:hint="eastAsia" w:asciiTheme="minorEastAsia" w:hAnsiTheme="minorEastAsia" w:eastAsiaTheme="minorEastAsia" w:cstheme="minorEastAsia"/>
          <w:color w:val="auto"/>
          <w:spacing w:val="-45"/>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号）文件的要求实</w:t>
      </w:r>
      <w:r>
        <w:rPr>
          <w:rFonts w:hint="eastAsia" w:asciiTheme="minorEastAsia" w:hAnsiTheme="minorEastAsia" w:eastAsiaTheme="minorEastAsia" w:cstheme="minorEastAsia"/>
          <w:color w:val="auto"/>
          <w:spacing w:val="-1"/>
          <w:sz w:val="21"/>
          <w:szCs w:val="21"/>
          <w:highlight w:val="none"/>
        </w:rPr>
        <w:t>施青苗评估，所形成的全部资料和成果所有权归</w:t>
      </w:r>
      <w:r>
        <w:rPr>
          <w:rFonts w:hint="eastAsia" w:asciiTheme="minorEastAsia" w:hAnsiTheme="minorEastAsia" w:eastAsiaTheme="minorEastAsia" w:cstheme="minorEastAsia"/>
          <w:color w:val="auto"/>
          <w:spacing w:val="-1"/>
          <w:sz w:val="21"/>
          <w:szCs w:val="21"/>
          <w:highlight w:val="none"/>
          <w:lang w:val="en-US" w:eastAsia="zh-CN"/>
        </w:rPr>
        <w:t>甲方</w:t>
      </w:r>
      <w:r>
        <w:rPr>
          <w:rFonts w:hint="eastAsia" w:asciiTheme="minorEastAsia" w:hAnsiTheme="minorEastAsia" w:eastAsiaTheme="minorEastAsia" w:cstheme="minorEastAsia"/>
          <w:color w:val="auto"/>
          <w:spacing w:val="-1"/>
          <w:sz w:val="21"/>
          <w:szCs w:val="21"/>
          <w:highlight w:val="none"/>
        </w:rPr>
        <w:t>。</w:t>
      </w:r>
    </w:p>
    <w:p w14:paraId="4D928543">
      <w:pPr>
        <w:pStyle w:val="1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详见本项目招标文件第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公开招标需求</w:t>
      </w:r>
      <w:r>
        <w:rPr>
          <w:rFonts w:hint="eastAsia" w:ascii="宋体" w:hAnsi="宋体" w:eastAsia="宋体" w:cs="宋体"/>
          <w:color w:val="auto"/>
          <w:sz w:val="21"/>
          <w:szCs w:val="21"/>
          <w:highlight w:val="none"/>
        </w:rPr>
        <w:t>》。</w:t>
      </w:r>
    </w:p>
    <w:p w14:paraId="150EDF2F">
      <w:pPr>
        <w:pStyle w:val="10"/>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二、合同金额</w:t>
      </w:r>
    </w:p>
    <w:p w14:paraId="6FF2FB28">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both"/>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r>
        <w:rPr>
          <w:rFonts w:hint="eastAsia" w:ascii="宋体" w:hAnsi="宋体" w:cs="宋体"/>
          <w:color w:val="auto"/>
          <w:szCs w:val="21"/>
          <w:highlight w:val="none"/>
          <w:lang w:eastAsia="zh-CN"/>
        </w:rPr>
        <w:t>。</w:t>
      </w:r>
    </w:p>
    <w:tbl>
      <w:tblPr>
        <w:tblStyle w:val="21"/>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23"/>
        <w:gridCol w:w="5196"/>
      </w:tblGrid>
      <w:tr w14:paraId="6729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4" w:hRule="atLeast"/>
          <w:jc w:val="center"/>
        </w:trPr>
        <w:tc>
          <w:tcPr>
            <w:tcW w:w="3023" w:type="dxa"/>
            <w:vAlign w:val="center"/>
          </w:tcPr>
          <w:p w14:paraId="0310BCEF">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青苗评估单价</w:t>
            </w:r>
          </w:p>
          <w:p w14:paraId="7A2A97A9">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（元/平方米）</w:t>
            </w:r>
          </w:p>
        </w:tc>
        <w:tc>
          <w:tcPr>
            <w:tcW w:w="5196" w:type="dxa"/>
            <w:vAlign w:val="center"/>
          </w:tcPr>
          <w:p w14:paraId="620CD832">
            <w:pPr>
              <w:autoSpaceDE w:val="0"/>
              <w:autoSpaceDN w:val="0"/>
              <w:spacing w:line="240" w:lineRule="auto"/>
              <w:jc w:val="left"/>
              <w:textAlignment w:val="bottom"/>
              <w:rPr>
                <w:rFonts w:hint="eastAsia" w:ascii="宋体" w:hAnsi="宋体" w:eastAsia="宋体" w:cs="宋体"/>
                <w:b/>
                <w:bCs/>
                <w:color w:val="auto"/>
                <w:sz w:val="21"/>
                <w:szCs w:val="21"/>
                <w:highlight w:val="none"/>
                <w:lang w:val="en-US" w:eastAsia="zh-CN"/>
              </w:rPr>
            </w:pPr>
          </w:p>
        </w:tc>
      </w:tr>
      <w:tr w14:paraId="60DF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4" w:hRule="atLeast"/>
          <w:jc w:val="center"/>
        </w:trPr>
        <w:tc>
          <w:tcPr>
            <w:tcW w:w="3023" w:type="dxa"/>
            <w:vAlign w:val="center"/>
          </w:tcPr>
          <w:p w14:paraId="049B8CA1">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土地丈量单价</w:t>
            </w:r>
          </w:p>
          <w:p w14:paraId="063CBE69">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（元/平方米）</w:t>
            </w:r>
          </w:p>
        </w:tc>
        <w:tc>
          <w:tcPr>
            <w:tcW w:w="5196" w:type="dxa"/>
            <w:vAlign w:val="center"/>
          </w:tcPr>
          <w:p w14:paraId="1D6ECBA4">
            <w:pPr>
              <w:autoSpaceDE w:val="0"/>
              <w:autoSpaceDN w:val="0"/>
              <w:spacing w:line="240" w:lineRule="auto"/>
              <w:jc w:val="left"/>
              <w:textAlignment w:val="bottom"/>
              <w:rPr>
                <w:rFonts w:hint="eastAsia" w:ascii="宋体" w:hAnsi="宋体" w:eastAsia="宋体" w:cs="宋体"/>
                <w:b/>
                <w:bCs/>
                <w:color w:val="auto"/>
                <w:sz w:val="21"/>
                <w:szCs w:val="21"/>
                <w:highlight w:val="none"/>
                <w:lang w:val="en-US" w:eastAsia="zh-CN"/>
              </w:rPr>
            </w:pPr>
          </w:p>
        </w:tc>
      </w:tr>
    </w:tbl>
    <w:p w14:paraId="435AE2AE">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单价按</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单价</w:t>
      </w:r>
      <w:r>
        <w:rPr>
          <w:rFonts w:hint="eastAsia" w:ascii="宋体" w:hAnsi="宋体" w:eastAsia="宋体" w:cs="宋体"/>
          <w:color w:val="auto"/>
          <w:sz w:val="21"/>
          <w:szCs w:val="21"/>
          <w:highlight w:val="none"/>
          <w:lang w:val="en-US" w:eastAsia="zh-CN"/>
        </w:rPr>
        <w:t>计算，</w:t>
      </w:r>
      <w:r>
        <w:rPr>
          <w:rFonts w:hint="eastAsia" w:ascii="宋体" w:hAnsi="宋体" w:eastAsia="宋体" w:cs="宋体"/>
          <w:color w:val="auto"/>
          <w:sz w:val="21"/>
          <w:szCs w:val="21"/>
          <w:highlight w:val="none"/>
        </w:rPr>
        <w:t>结算时面积按实计算，具体面积以</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核实之后实际面积为准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以上</w:t>
      </w:r>
      <w:r>
        <w:rPr>
          <w:rFonts w:hint="eastAsia" w:ascii="宋体" w:hAnsi="宋体" w:cs="宋体"/>
          <w:color w:val="auto"/>
          <w:sz w:val="21"/>
          <w:szCs w:val="21"/>
          <w:highlight w:val="none"/>
          <w:lang w:val="en-US" w:eastAsia="zh-CN"/>
        </w:rPr>
        <w:t>单价</w:t>
      </w:r>
      <w:r>
        <w:rPr>
          <w:rFonts w:hint="eastAsia" w:ascii="宋体" w:hAnsi="宋体" w:eastAsia="宋体" w:cs="宋体"/>
          <w:color w:val="auto"/>
          <w:sz w:val="21"/>
          <w:szCs w:val="21"/>
          <w:highlight w:val="none"/>
        </w:rPr>
        <w:t>是指综合费用，包括人员工资、交通、住宿、税金、保险、验收、管理费、采购服务费、辅助工作、售后服务等完成本项目的所有费用</w:t>
      </w:r>
      <w:r>
        <w:rPr>
          <w:rFonts w:hint="eastAsia" w:ascii="宋体" w:hAnsi="宋体" w:eastAsia="宋体" w:cs="宋体"/>
          <w:color w:val="auto"/>
          <w:highlight w:val="none"/>
          <w:lang w:val="en-US" w:eastAsia="zh-CN"/>
        </w:rPr>
        <w:t>。</w:t>
      </w:r>
    </w:p>
    <w:p w14:paraId="10EF56A2">
      <w:pPr>
        <w:pStyle w:val="10"/>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三、技术资料</w:t>
      </w:r>
    </w:p>
    <w:p w14:paraId="147FAD63">
      <w:pPr>
        <w:pStyle w:val="1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乙方应按招标文件规定的时间向甲方提供有关技术资料。</w:t>
      </w:r>
    </w:p>
    <w:p w14:paraId="3859C5AE">
      <w:pPr>
        <w:pStyle w:val="1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A18E494">
      <w:pPr>
        <w:pStyle w:val="10"/>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四、知识产权</w:t>
      </w:r>
    </w:p>
    <w:p w14:paraId="295C93D6">
      <w:pPr>
        <w:pStyle w:val="1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41C26CC5">
      <w:pPr>
        <w:pStyle w:val="1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691F2D0F">
      <w:pPr>
        <w:pStyle w:val="1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5037A692">
      <w:pPr>
        <w:pStyle w:val="1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36CEDE3C">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color w:val="auto"/>
          <w:szCs w:val="21"/>
          <w:highlight w:val="none"/>
        </w:rPr>
        <w:t>转包或分包</w:t>
      </w:r>
    </w:p>
    <w:p w14:paraId="5FFD77C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3FB0DD0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1B95162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如有转让和分包行为，甲方有权解除合同，没收履约保证金并追究乙方的违约责任。</w:t>
      </w:r>
    </w:p>
    <w:p w14:paraId="6D9F009D">
      <w:pPr>
        <w:keepNext w:val="0"/>
        <w:keepLines w:val="0"/>
        <w:pageBreakBefore w:val="0"/>
        <w:widowControl w:val="0"/>
        <w:kinsoku/>
        <w:wordWrap/>
        <w:overflowPunct/>
        <w:topLinePunct w:val="0"/>
        <w:autoSpaceDE/>
        <w:autoSpaceDN/>
        <w:bidi w:val="0"/>
        <w:spacing w:line="360" w:lineRule="auto"/>
        <w:ind w:left="0"/>
        <w:textAlignment w:val="auto"/>
        <w:outlineLvl w:val="9"/>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六</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服务</w:t>
      </w:r>
      <w:r>
        <w:rPr>
          <w:rFonts w:hint="eastAsia" w:ascii="宋体" w:hAnsi="宋体" w:eastAsia="宋体" w:cs="宋体"/>
          <w:b/>
          <w:bCs/>
          <w:color w:val="auto"/>
          <w:szCs w:val="21"/>
          <w:highlight w:val="none"/>
          <w:lang w:val="en-US" w:eastAsia="zh-CN"/>
        </w:rPr>
        <w:t>期限</w:t>
      </w:r>
      <w:r>
        <w:rPr>
          <w:rFonts w:hint="eastAsia" w:ascii="宋体" w:hAnsi="宋体" w:eastAsia="宋体" w:cs="宋体"/>
          <w:b/>
          <w:color w:val="auto"/>
          <w:szCs w:val="21"/>
          <w:highlight w:val="none"/>
        </w:rPr>
        <w:t>、验收方式及地点</w:t>
      </w:r>
    </w:p>
    <w:p w14:paraId="49DDCD83">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textAlignment w:val="auto"/>
        <w:outlineLvl w:val="9"/>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color w:val="auto"/>
          <w:szCs w:val="21"/>
          <w:highlight w:val="none"/>
        </w:rPr>
        <w:t>1、</w:t>
      </w:r>
      <w:r>
        <w:rPr>
          <w:rFonts w:hint="eastAsia" w:ascii="宋体" w:hAnsi="宋体" w:eastAsia="宋体" w:cs="宋体"/>
          <w:b/>
          <w:bCs/>
          <w:color w:val="auto"/>
          <w:szCs w:val="21"/>
          <w:highlight w:val="none"/>
          <w:lang w:val="en-US" w:eastAsia="zh-CN"/>
        </w:rPr>
        <w:t>服务期限：</w:t>
      </w:r>
      <w:r>
        <w:rPr>
          <w:rFonts w:hint="eastAsia" w:ascii="宋体" w:hAnsi="宋体" w:eastAsia="宋体" w:cs="宋体"/>
          <w:b w:val="0"/>
          <w:bCs w:val="0"/>
          <w:color w:val="auto"/>
          <w:szCs w:val="21"/>
          <w:highlight w:val="none"/>
          <w:u w:val="single"/>
          <w:lang w:val="en-US" w:eastAsia="zh-CN"/>
        </w:rPr>
        <w:t>本合同服务期三年，合同一年一签。第二年或第三年财政预算金额未达到原合同金额或者第二年第三年财政预算未通过的或者集体评价投票未通过的，第二年或第三年合同的约定自动失效。</w:t>
      </w:r>
    </w:p>
    <w:p w14:paraId="26673456">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2、验收方式及地点：</w:t>
      </w:r>
      <w:r>
        <w:rPr>
          <w:rFonts w:hint="eastAsia" w:ascii="宋体" w:hAnsi="宋体" w:eastAsia="宋体" w:cs="宋体"/>
          <w:color w:val="auto"/>
          <w:szCs w:val="21"/>
          <w:highlight w:val="none"/>
          <w:u w:val="single"/>
        </w:rPr>
        <w:t>按采购方的方式、地点验收。</w:t>
      </w:r>
    </w:p>
    <w:p w14:paraId="29B3DEC3">
      <w:pPr>
        <w:pStyle w:val="10"/>
        <w:adjustRightInd w:val="0"/>
        <w:snapToGrid w:val="0"/>
        <w:spacing w:line="360" w:lineRule="auto"/>
        <w:rPr>
          <w:rFonts w:hint="eastAsia" w:ascii="宋体" w:hAnsi="宋体" w:eastAsia="宋体" w:cs="宋体"/>
          <w:b/>
          <w:color w:val="auto"/>
          <w:szCs w:val="21"/>
          <w:highlight w:val="none"/>
        </w:rPr>
      </w:pPr>
      <w:r>
        <w:rPr>
          <w:rFonts w:hint="eastAsia" w:hAnsi="宋体" w:cs="宋体"/>
          <w:b/>
          <w:color w:val="auto"/>
          <w:szCs w:val="21"/>
          <w:highlight w:val="none"/>
          <w:lang w:val="en-US" w:eastAsia="zh-CN"/>
        </w:rPr>
        <w:t>七</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商务要求</w:t>
      </w:r>
    </w:p>
    <w:p w14:paraId="587AFA5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1、付款方式：</w:t>
      </w:r>
    </w:p>
    <w:p w14:paraId="4B6A79C1">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本项目以人工投入为主。费用按次按实结算，每半年支付一次</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lang w:val="en-US" w:eastAsia="zh-CN"/>
        </w:rPr>
        <w:t>必须开具正式税务发票）</w:t>
      </w:r>
      <w:r>
        <w:rPr>
          <w:rFonts w:hint="eastAsia" w:ascii="宋体" w:hAnsi="宋体" w:eastAsia="宋体" w:cs="宋体"/>
          <w:color w:val="auto"/>
          <w:sz w:val="21"/>
          <w:szCs w:val="21"/>
          <w:highlight w:val="none"/>
          <w:lang w:val="en-US" w:eastAsia="zh-CN" w:bidi="ar"/>
        </w:rPr>
        <w:t>。</w:t>
      </w:r>
    </w:p>
    <w:p w14:paraId="277D529B">
      <w:pPr>
        <w:keepNext w:val="0"/>
        <w:keepLines w:val="0"/>
        <w:pageBreakBefore w:val="0"/>
        <w:widowControl w:val="0"/>
        <w:kinsoku/>
        <w:wordWrap/>
        <w:overflowPunct/>
        <w:topLinePunct w:val="0"/>
        <w:autoSpaceDN/>
        <w:bidi w:val="0"/>
        <w:spacing w:line="360" w:lineRule="auto"/>
        <w:ind w:left="0" w:leftChars="0" w:firstLine="435"/>
        <w:jc w:val="left"/>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2、履约保证金：</w:t>
      </w:r>
    </w:p>
    <w:p w14:paraId="4531CB7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应在收到中标通知书后一周内向</w:t>
      </w:r>
      <w:r>
        <w:rPr>
          <w:rFonts w:hint="eastAsia" w:ascii="宋体" w:hAnsi="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rPr>
        <w:t>交纳</w:t>
      </w:r>
      <w:r>
        <w:rPr>
          <w:rFonts w:hint="eastAsia" w:ascii="宋体" w:hAnsi="宋体" w:eastAsia="宋体" w:cs="宋体"/>
          <w:b w:val="0"/>
          <w:bCs/>
          <w:color w:val="auto"/>
          <w:sz w:val="21"/>
          <w:szCs w:val="21"/>
          <w:highlight w:val="none"/>
          <w:lang w:eastAsia="zh-CN"/>
        </w:rPr>
        <w:t>合同金额的</w:t>
      </w:r>
      <w:r>
        <w:rPr>
          <w:rFonts w:hint="eastAsia" w:ascii="宋体" w:hAnsi="宋体" w:eastAsia="宋体" w:cs="宋体"/>
          <w:b w:val="0"/>
          <w:bCs/>
          <w:color w:val="auto"/>
          <w:sz w:val="21"/>
          <w:szCs w:val="21"/>
          <w:highlight w:val="none"/>
          <w:u w:val="single"/>
          <w:lang w:val="en-US" w:eastAsia="zh-CN"/>
        </w:rPr>
        <w:t>1%</w:t>
      </w:r>
      <w:r>
        <w:rPr>
          <w:rFonts w:hint="eastAsia" w:ascii="宋体" w:hAnsi="宋体" w:eastAsia="宋体" w:cs="宋体"/>
          <w:b w:val="0"/>
          <w:bCs/>
          <w:color w:val="auto"/>
          <w:sz w:val="21"/>
          <w:szCs w:val="21"/>
          <w:highlight w:val="none"/>
        </w:rPr>
        <w:t>作为履约保证金，以保证</w:t>
      </w:r>
      <w:r>
        <w:rPr>
          <w:rFonts w:hint="eastAsia" w:ascii="宋体" w:hAnsi="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遵守本合同，包括担保、保函、保险等形式。</w:t>
      </w:r>
    </w:p>
    <w:p w14:paraId="1EAAE4A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（2）</w:t>
      </w:r>
      <w:r>
        <w:rPr>
          <w:rFonts w:hint="eastAsia" w:ascii="宋体" w:hAnsi="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rPr>
        <w:t>认为</w:t>
      </w:r>
      <w:r>
        <w:rPr>
          <w:rFonts w:hint="eastAsia" w:ascii="宋体" w:hAnsi="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在</w:t>
      </w:r>
      <w:r>
        <w:rPr>
          <w:rFonts w:hint="eastAsia" w:ascii="宋体" w:hAnsi="宋体" w:cs="宋体"/>
          <w:b w:val="0"/>
          <w:bCs/>
          <w:color w:val="auto"/>
          <w:sz w:val="21"/>
          <w:szCs w:val="21"/>
          <w:highlight w:val="none"/>
          <w:lang w:val="en-US" w:eastAsia="zh-CN"/>
        </w:rPr>
        <w:t>服务期</w:t>
      </w:r>
      <w:r>
        <w:rPr>
          <w:rFonts w:hint="eastAsia" w:ascii="宋体" w:hAnsi="宋体" w:eastAsia="宋体" w:cs="宋体"/>
          <w:b w:val="0"/>
          <w:bCs/>
          <w:color w:val="auto"/>
          <w:sz w:val="21"/>
          <w:szCs w:val="21"/>
          <w:highlight w:val="none"/>
        </w:rPr>
        <w:t>内没有涉及违约行为，</w:t>
      </w:r>
      <w:r>
        <w:rPr>
          <w:rFonts w:hint="eastAsia" w:ascii="宋体" w:hAnsi="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rPr>
        <w:t>在服务期满后一个月内全额退还履约保证金，否则，</w:t>
      </w:r>
      <w:r>
        <w:rPr>
          <w:rFonts w:hint="eastAsia" w:ascii="宋体" w:hAnsi="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rPr>
        <w:t>将在扣除</w:t>
      </w:r>
      <w:r>
        <w:rPr>
          <w:rFonts w:hint="eastAsia" w:ascii="宋体" w:hAnsi="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应付金额或违约金后退还保证金余额。</w:t>
      </w:r>
    </w:p>
    <w:p w14:paraId="0C0F106A">
      <w:pPr>
        <w:pStyle w:val="10"/>
        <w:snapToGrid w:val="0"/>
        <w:spacing w:line="432" w:lineRule="exact"/>
        <w:textAlignment w:val="baseline"/>
        <w:rPr>
          <w:rFonts w:hint="eastAsia" w:ascii="宋体" w:hAnsi="宋体" w:eastAsia="宋体" w:cs="宋体"/>
          <w:b/>
          <w:bCs/>
          <w:snapToGrid w:val="0"/>
          <w:color w:val="auto"/>
          <w:sz w:val="21"/>
          <w:szCs w:val="21"/>
          <w:highlight w:val="none"/>
        </w:rPr>
      </w:pPr>
      <w:r>
        <w:rPr>
          <w:rFonts w:hint="eastAsia" w:hAnsi="宋体" w:cs="宋体"/>
          <w:b/>
          <w:bCs/>
          <w:snapToGrid w:val="0"/>
          <w:color w:val="auto"/>
          <w:sz w:val="21"/>
          <w:szCs w:val="21"/>
          <w:highlight w:val="none"/>
          <w:lang w:val="en-US" w:eastAsia="zh-CN"/>
        </w:rPr>
        <w:t>八</w:t>
      </w:r>
      <w:r>
        <w:rPr>
          <w:rFonts w:hint="eastAsia" w:ascii="宋体" w:hAnsi="宋体" w:eastAsia="宋体" w:cs="宋体"/>
          <w:b/>
          <w:bCs/>
          <w:snapToGrid w:val="0"/>
          <w:color w:val="auto"/>
          <w:sz w:val="21"/>
          <w:szCs w:val="21"/>
          <w:highlight w:val="none"/>
        </w:rPr>
        <w:t>、税费</w:t>
      </w:r>
    </w:p>
    <w:p w14:paraId="33CAF8F8">
      <w:pPr>
        <w:pStyle w:val="10"/>
        <w:snapToGrid w:val="0"/>
        <w:spacing w:line="432"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rPr>
        <w:t>本合同执行中相关的一切税费均由乙方负担。</w:t>
      </w:r>
    </w:p>
    <w:p w14:paraId="451FA47E">
      <w:pPr>
        <w:pStyle w:val="10"/>
        <w:snapToGrid w:val="0"/>
        <w:spacing w:line="432" w:lineRule="exact"/>
        <w:textAlignment w:val="baseline"/>
        <w:rPr>
          <w:rFonts w:hint="eastAsia" w:ascii="宋体" w:hAnsi="宋体" w:eastAsia="宋体" w:cs="宋体"/>
          <w:b/>
          <w:bCs/>
          <w:snapToGrid w:val="0"/>
          <w:color w:val="auto"/>
          <w:sz w:val="21"/>
          <w:szCs w:val="21"/>
          <w:highlight w:val="none"/>
        </w:rPr>
      </w:pPr>
      <w:r>
        <w:rPr>
          <w:rFonts w:hint="eastAsia" w:hAnsi="宋体" w:cs="宋体"/>
          <w:b/>
          <w:bCs/>
          <w:snapToGrid w:val="0"/>
          <w:color w:val="auto"/>
          <w:sz w:val="21"/>
          <w:szCs w:val="21"/>
          <w:highlight w:val="none"/>
          <w:lang w:val="en-US" w:eastAsia="zh-CN"/>
        </w:rPr>
        <w:t>九</w:t>
      </w:r>
      <w:r>
        <w:rPr>
          <w:rFonts w:hint="eastAsia" w:ascii="宋体" w:hAnsi="宋体" w:eastAsia="宋体" w:cs="宋体"/>
          <w:b/>
          <w:bCs/>
          <w:snapToGrid w:val="0"/>
          <w:color w:val="auto"/>
          <w:sz w:val="21"/>
          <w:szCs w:val="21"/>
          <w:highlight w:val="none"/>
        </w:rPr>
        <w:t>、违约责任</w:t>
      </w:r>
    </w:p>
    <w:p w14:paraId="6DCF8742">
      <w:pPr>
        <w:pStyle w:val="10"/>
        <w:snapToGrid w:val="0"/>
        <w:spacing w:line="432"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rPr>
        <w:t>甲方无正当理由拒收接受服务的，甲方向乙方支付合同款项百分之五作为违约金。</w:t>
      </w:r>
    </w:p>
    <w:p w14:paraId="535118BE">
      <w:pPr>
        <w:pStyle w:val="10"/>
        <w:snapToGrid w:val="0"/>
        <w:spacing w:line="432"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rPr>
        <w:t>甲方无故逾期验收和办理款项支付手续的，甲方应按逾期付款总额向乙方支付每日万分之五违约金。</w:t>
      </w:r>
    </w:p>
    <w:p w14:paraId="5BD65A81">
      <w:pPr>
        <w:pStyle w:val="10"/>
        <w:snapToGrid w:val="0"/>
        <w:spacing w:line="432"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3</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rPr>
        <w:t xml:space="preserve">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382DD857">
      <w:pPr>
        <w:pStyle w:val="10"/>
        <w:snapToGrid w:val="0"/>
        <w:spacing w:line="432" w:lineRule="exact"/>
        <w:textAlignment w:val="baseline"/>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4、若发生纠纷，由违约方赔偿守约方因纠纷所支付的费用（包括但不限于律师费、差旅费、诉讼费、保全费、鉴定费、评估费等）。</w:t>
      </w:r>
    </w:p>
    <w:p w14:paraId="7BE9D037">
      <w:pPr>
        <w:pStyle w:val="11"/>
        <w:ind w:left="0" w:leftChars="0" w:firstLine="0" w:firstLineChars="0"/>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5、乙方派本项目组成员（包括项目负责人）负责服务期内的技术服务，项目组成员须在接甲方通知24小时内到达甲方指定地点，否则甲方有权在后续服务费中扣除2000元/次。</w:t>
      </w:r>
    </w:p>
    <w:p w14:paraId="3235D9C0">
      <w:pPr>
        <w:pStyle w:val="10"/>
        <w:snapToGrid w:val="0"/>
        <w:spacing w:line="432" w:lineRule="exact"/>
        <w:textAlignment w:val="baseline"/>
        <w:rPr>
          <w:rFonts w:hint="eastAsia" w:ascii="宋体" w:hAnsi="宋体" w:eastAsia="宋体" w:cs="宋体"/>
          <w:b/>
          <w:bCs/>
          <w:snapToGrid w:val="0"/>
          <w:color w:val="auto"/>
          <w:kern w:val="2"/>
          <w:sz w:val="21"/>
          <w:szCs w:val="21"/>
          <w:highlight w:val="none"/>
          <w:lang w:val="en-US" w:eastAsia="zh-CN" w:bidi="ar-SA"/>
        </w:rPr>
      </w:pPr>
      <w:r>
        <w:rPr>
          <w:rFonts w:hint="eastAsia" w:ascii="宋体" w:hAnsi="宋体" w:eastAsia="宋体" w:cs="宋体"/>
          <w:b/>
          <w:bCs/>
          <w:snapToGrid w:val="0"/>
          <w:color w:val="auto"/>
          <w:kern w:val="2"/>
          <w:sz w:val="21"/>
          <w:szCs w:val="21"/>
          <w:highlight w:val="none"/>
          <w:lang w:val="en-US" w:eastAsia="zh-CN" w:bidi="ar-SA"/>
        </w:rPr>
        <w:t>十、不可抗力事件处理</w:t>
      </w:r>
    </w:p>
    <w:p w14:paraId="0298A47B">
      <w:pPr>
        <w:pStyle w:val="10"/>
        <w:snapToGrid w:val="0"/>
        <w:spacing w:line="432"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1、在合同有效期内，任何一方因不可抗力事件导致不能履行合同，则合同履行期可延长，其延长期与不可抗力影响期相同。</w:t>
      </w:r>
    </w:p>
    <w:p w14:paraId="0E9457FC">
      <w:pPr>
        <w:pStyle w:val="10"/>
        <w:snapToGrid w:val="0"/>
        <w:spacing w:line="432"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2、不可抗力事件发生后，应立即通知对方，并寄送有关权威机构出具的证明。</w:t>
      </w:r>
    </w:p>
    <w:p w14:paraId="40350C8F">
      <w:pPr>
        <w:pStyle w:val="10"/>
        <w:snapToGrid w:val="0"/>
        <w:spacing w:line="432"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3、不可抗力事件延续120天以上，双方应通过友好协商，确定是否继续履行合同。</w:t>
      </w:r>
    </w:p>
    <w:p w14:paraId="63CF7696">
      <w:pPr>
        <w:pStyle w:val="10"/>
        <w:snapToGrid w:val="0"/>
        <w:spacing w:line="432"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4、如合同履行时间内，因疫情原因需要延迟相关活动或解除合同的，由双方进行协商；合同解除后，双方根据乙方的实际履行支付情况及凭证（发票）进行结算。</w:t>
      </w:r>
    </w:p>
    <w:p w14:paraId="2A3CC7F0">
      <w:pPr>
        <w:pStyle w:val="10"/>
        <w:snapToGrid w:val="0"/>
        <w:spacing w:line="432" w:lineRule="exact"/>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hAnsi="宋体" w:cs="宋体"/>
          <w:b/>
          <w:bCs/>
          <w:snapToGrid w:val="0"/>
          <w:color w:val="auto"/>
          <w:sz w:val="21"/>
          <w:szCs w:val="21"/>
          <w:highlight w:val="none"/>
          <w:lang w:val="en-US" w:eastAsia="zh-CN"/>
        </w:rPr>
        <w:t>一</w:t>
      </w:r>
      <w:r>
        <w:rPr>
          <w:rFonts w:hint="eastAsia" w:ascii="宋体" w:hAnsi="宋体" w:eastAsia="宋体" w:cs="宋体"/>
          <w:b/>
          <w:bCs/>
          <w:snapToGrid w:val="0"/>
          <w:color w:val="auto"/>
          <w:sz w:val="21"/>
          <w:szCs w:val="21"/>
          <w:highlight w:val="none"/>
        </w:rPr>
        <w:t>、诉讼</w:t>
      </w:r>
    </w:p>
    <w:p w14:paraId="0ADAC87C">
      <w:pPr>
        <w:pStyle w:val="10"/>
        <w:snapToGrid w:val="0"/>
        <w:spacing w:line="432"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rPr>
        <w:t>双方在执行合同中所发生的一切争议，应通过协商解决。如协商不成，可向甲方所在地法院起诉。</w:t>
      </w:r>
    </w:p>
    <w:p w14:paraId="63B6A0F9">
      <w:pPr>
        <w:pStyle w:val="10"/>
        <w:snapToGrid w:val="0"/>
        <w:spacing w:line="432" w:lineRule="exact"/>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hAnsi="宋体" w:cs="宋体"/>
          <w:b/>
          <w:bCs/>
          <w:snapToGrid w:val="0"/>
          <w:color w:val="auto"/>
          <w:sz w:val="21"/>
          <w:szCs w:val="21"/>
          <w:highlight w:val="none"/>
          <w:lang w:val="en-US" w:eastAsia="zh-CN"/>
        </w:rPr>
        <w:t>二</w:t>
      </w:r>
      <w:r>
        <w:rPr>
          <w:rFonts w:hint="eastAsia" w:ascii="宋体" w:hAnsi="宋体" w:eastAsia="宋体" w:cs="宋体"/>
          <w:b/>
          <w:bCs/>
          <w:snapToGrid w:val="0"/>
          <w:color w:val="auto"/>
          <w:sz w:val="21"/>
          <w:szCs w:val="21"/>
          <w:highlight w:val="none"/>
        </w:rPr>
        <w:t>、合同生效及其它</w:t>
      </w:r>
    </w:p>
    <w:p w14:paraId="69154E04">
      <w:pPr>
        <w:pStyle w:val="10"/>
        <w:snapToGrid w:val="0"/>
        <w:spacing w:line="432"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1、合同经双方法定代表人或授权代表签字并加盖单位公章后生效。</w:t>
      </w:r>
    </w:p>
    <w:p w14:paraId="0817636E">
      <w:pPr>
        <w:pStyle w:val="10"/>
        <w:snapToGrid w:val="0"/>
        <w:spacing w:line="432"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5DAC34BD">
      <w:pPr>
        <w:pStyle w:val="10"/>
        <w:snapToGrid w:val="0"/>
        <w:spacing w:line="432"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3、本合同未尽事宜，遵照《</w:t>
      </w:r>
      <w:r>
        <w:rPr>
          <w:rFonts w:hint="eastAsia" w:ascii="宋体" w:hAnsi="宋体" w:eastAsia="宋体" w:cs="宋体"/>
          <w:snapToGrid w:val="0"/>
          <w:color w:val="auto"/>
          <w:sz w:val="21"/>
          <w:szCs w:val="21"/>
          <w:highlight w:val="none"/>
          <w:lang w:val="en-US" w:eastAsia="zh-CN"/>
        </w:rPr>
        <w:t>民法典</w:t>
      </w:r>
      <w:r>
        <w:rPr>
          <w:rFonts w:hint="eastAsia" w:ascii="宋体" w:hAnsi="宋体" w:eastAsia="宋体" w:cs="宋体"/>
          <w:snapToGrid w:val="0"/>
          <w:color w:val="auto"/>
          <w:sz w:val="21"/>
          <w:szCs w:val="21"/>
          <w:highlight w:val="none"/>
        </w:rPr>
        <w:t>》有关条文执行。</w:t>
      </w:r>
    </w:p>
    <w:p w14:paraId="6811DDE2">
      <w:pPr>
        <w:pStyle w:val="10"/>
        <w:snapToGrid w:val="0"/>
        <w:spacing w:line="432"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4、本合同壹式陆份，甲、乙双方、招标代理公司各执贰份。本项目未尽事宜以招标文件、投标文件及澄清文件等为准。</w:t>
      </w:r>
    </w:p>
    <w:p w14:paraId="7BE7E0F1">
      <w:pPr>
        <w:pStyle w:val="10"/>
        <w:snapToGrid w:val="0"/>
        <w:spacing w:line="432"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5、与本合同有关标书及记录同本合同具有同等法律效果。</w:t>
      </w:r>
    </w:p>
    <w:p w14:paraId="2337F2BA">
      <w:pPr>
        <w:widowControl/>
        <w:spacing w:line="360" w:lineRule="auto"/>
        <w:ind w:firstLine="315"/>
        <w:rPr>
          <w:rFonts w:hint="eastAsia" w:ascii="宋体" w:hAnsi="宋体" w:eastAsia="宋体" w:cs="宋体"/>
          <w:color w:val="auto"/>
          <w:kern w:val="0"/>
          <w:sz w:val="21"/>
          <w:szCs w:val="21"/>
          <w:highlight w:val="none"/>
        </w:rPr>
      </w:pPr>
    </w:p>
    <w:p w14:paraId="734B3556">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1BFA4932">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p>
    <w:p w14:paraId="27B16DC8">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2E27F02C">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58349DB6">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14:paraId="786259E8">
      <w:pPr>
        <w:spacing w:line="500" w:lineRule="exact"/>
        <w:ind w:firstLine="420" w:firstLineChars="200"/>
        <w:textAlignment w:val="baseline"/>
        <w:rPr>
          <w:rFonts w:hint="eastAsia" w:ascii="宋体" w:hAnsi="宋体" w:eastAsia="宋体" w:cs="宋体"/>
          <w:snapToGrid w:val="0"/>
          <w:color w:val="auto"/>
          <w:sz w:val="21"/>
          <w:szCs w:val="21"/>
          <w:highlight w:val="none"/>
        </w:rPr>
      </w:pPr>
    </w:p>
    <w:p w14:paraId="73E17406">
      <w:pPr>
        <w:spacing w:line="500"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合同</w:t>
      </w:r>
      <w:r>
        <w:rPr>
          <w:rFonts w:hint="eastAsia" w:ascii="宋体" w:hAnsi="宋体" w:cs="宋体"/>
          <w:snapToGrid w:val="0"/>
          <w:color w:val="auto"/>
          <w:sz w:val="21"/>
          <w:szCs w:val="21"/>
          <w:highlight w:val="none"/>
          <w:lang w:val="en-US" w:eastAsia="zh-CN"/>
        </w:rPr>
        <w:t>见</w:t>
      </w:r>
      <w:r>
        <w:rPr>
          <w:rFonts w:hint="eastAsia" w:ascii="宋体" w:hAnsi="宋体" w:eastAsia="宋体" w:cs="宋体"/>
          <w:snapToGrid w:val="0"/>
          <w:color w:val="auto"/>
          <w:sz w:val="21"/>
          <w:szCs w:val="21"/>
          <w:highlight w:val="none"/>
        </w:rPr>
        <w:t>证方：</w:t>
      </w:r>
    </w:p>
    <w:p w14:paraId="5CBB3980">
      <w:pPr>
        <w:spacing w:line="50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sectPr>
          <w:headerReference r:id="rId5" w:type="default"/>
          <w:footerReference r:id="rId6" w:type="default"/>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r>
        <w:rPr>
          <w:rFonts w:hint="eastAsia" w:ascii="宋体" w:hAnsi="宋体" w:eastAsia="宋体" w:cs="宋体"/>
          <w:snapToGrid w:val="0"/>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签订日期：       年     月     日</w:t>
      </w:r>
    </w:p>
    <w:bookmarkEnd w:id="1"/>
    <w:bookmarkEnd w:id="2"/>
    <w:bookmarkEnd w:id="3"/>
    <w:bookmarkEnd w:id="4"/>
    <w:p w14:paraId="523F9CF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3947B7D3">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5196C4A">
      <w:pPr>
        <w:numPr>
          <w:ilvl w:val="0"/>
          <w:numId w:val="0"/>
        </w:numPr>
        <w:spacing w:line="360" w:lineRule="auto"/>
        <w:jc w:val="both"/>
        <w:rPr>
          <w:rFonts w:hint="eastAsia" w:ascii="宋体" w:hAnsi="宋体" w:eastAsia="宋体" w:cs="宋体"/>
          <w:b/>
          <w:color w:val="auto"/>
          <w:sz w:val="30"/>
          <w:szCs w:val="30"/>
          <w:highlight w:val="none"/>
        </w:rPr>
      </w:pPr>
    </w:p>
    <w:p w14:paraId="56957270">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9AAD96D">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5C1007B4">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0978CB1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EF0A298">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357FC09">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ABCC7EF">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822A62F">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21895BC">
      <w:pPr>
        <w:pStyle w:val="50"/>
        <w:rPr>
          <w:rFonts w:hint="eastAsia" w:ascii="宋体" w:hAnsi="宋体" w:eastAsia="宋体" w:cs="宋体"/>
          <w:color w:val="auto"/>
          <w:highlight w:val="none"/>
        </w:rPr>
      </w:pPr>
    </w:p>
    <w:p w14:paraId="52E3E602">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36A67DF7">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391E150A">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54D520C">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4892AF04">
      <w:pPr>
        <w:snapToGrid w:val="0"/>
        <w:spacing w:before="50" w:after="50" w:line="360" w:lineRule="auto"/>
        <w:jc w:val="center"/>
        <w:rPr>
          <w:rFonts w:hint="eastAsia" w:ascii="宋体" w:hAnsi="宋体" w:eastAsia="宋体" w:cs="宋体"/>
          <w:b/>
          <w:bCs/>
          <w:color w:val="auto"/>
          <w:sz w:val="32"/>
          <w:szCs w:val="32"/>
          <w:highlight w:val="none"/>
        </w:rPr>
      </w:pPr>
    </w:p>
    <w:p w14:paraId="729D051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57D85BD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44F8949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5B92E51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p>
    <w:p w14:paraId="3DD962D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en-US" w:eastAsia="zh-CN"/>
        </w:rPr>
        <w:t>须提供投标人为经省级及以上自然资源部门备案的土地估价机构的证明资料（扫描件加盖投标人公章）；</w:t>
      </w:r>
    </w:p>
    <w:p w14:paraId="2F93B351">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476FF100">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B6F0288">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5BAA4C4B">
      <w:pPr>
        <w:spacing w:line="36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台州市路桥区人民政府桐屿街道办事处</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666B6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14:paraId="7DA193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台州市路桥区桐屿街道政策处理评估（地上附着物、土地丈量）项目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tzya2025-lq34</w:t>
      </w:r>
      <w:r>
        <w:rPr>
          <w:rFonts w:hint="eastAsia" w:ascii="宋体" w:hAnsi="宋体" w:eastAsia="宋体" w:cs="宋体"/>
          <w:color w:val="auto"/>
          <w:sz w:val="21"/>
          <w:szCs w:val="21"/>
          <w:highlight w:val="none"/>
        </w:rPr>
        <w:t>）的投标，为此，我公司就本次投标有关事项郑重声明如下：</w:t>
      </w:r>
    </w:p>
    <w:p w14:paraId="1F10C33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741AF57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C10FCB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我公司不是采购人的附属机构；在获知本项目采购信息后，与采购人聘请的为此项目提供咨询服务的公司及其附属机构没有任何联系。</w:t>
      </w:r>
    </w:p>
    <w:p w14:paraId="5D91D25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B9CCAF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我公司严格履行采购合同，不降低合同约定的产品质量和服务，不擅自变更、中止、终止合同，或拒绝履行合同义务；</w:t>
      </w:r>
    </w:p>
    <w:p w14:paraId="014CAD8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我公司承诺（若代理服务费由中标单位支付）：如在本项目中标，我公司在中标公告发布之日起5个工作日内按采购文件约定支付代理服务费。</w:t>
      </w:r>
    </w:p>
    <w:p w14:paraId="1D5AEC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 w:val="21"/>
          <w:szCs w:val="21"/>
          <w:highlight w:val="none"/>
        </w:rPr>
        <w:t>。</w:t>
      </w:r>
    </w:p>
    <w:p w14:paraId="3E67E192">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506CC37C">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lang w:val="zh-CN"/>
        </w:rPr>
        <w:t>：</w:t>
      </w:r>
    </w:p>
    <w:p w14:paraId="2A5491ED">
      <w:pPr>
        <w:spacing w:line="360" w:lineRule="auto"/>
        <w:ind w:firstLine="3360" w:firstLineChars="1600"/>
        <w:jc w:val="both"/>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5BE1B55C">
      <w:pPr>
        <w:adjustRightInd w:val="0"/>
        <w:snapToGrid w:val="0"/>
        <w:spacing w:line="360" w:lineRule="auto"/>
        <w:ind w:right="480"/>
        <w:outlineLvl w:val="9"/>
        <w:rPr>
          <w:rFonts w:hint="eastAsia" w:ascii="宋体" w:hAnsi="宋体" w:eastAsia="宋体" w:cs="宋体"/>
          <w:b/>
          <w:color w:val="auto"/>
          <w:sz w:val="28"/>
          <w:highlight w:val="none"/>
        </w:rPr>
      </w:pPr>
    </w:p>
    <w:p w14:paraId="5A78EFCE">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4C2758C2">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765423F4">
      <w:pPr>
        <w:pStyle w:val="10"/>
        <w:spacing w:line="360" w:lineRule="auto"/>
        <w:ind w:left="240" w:hanging="210" w:hangingChars="100"/>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台州市路桥区人民政府桐屿街道办事处</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14:paraId="3FC1035D">
      <w:pPr>
        <w:pStyle w:val="10"/>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台州市路桥区桐屿街道政策处理评估（地上附着物、土地丈量）项目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1EC2D15B">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DDAF8B7">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6231BBFA">
      <w:pPr>
        <w:spacing w:line="360" w:lineRule="auto"/>
        <w:rPr>
          <w:rFonts w:hint="eastAsia" w:ascii="宋体" w:hAnsi="宋体" w:eastAsia="宋体" w:cs="宋体"/>
          <w:color w:val="auto"/>
          <w:sz w:val="21"/>
          <w:szCs w:val="21"/>
          <w:highlight w:val="none"/>
        </w:rPr>
      </w:pPr>
    </w:p>
    <w:p w14:paraId="48A2C5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18624B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2A8CB3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92BF626">
      <w:pPr>
        <w:spacing w:line="360" w:lineRule="auto"/>
        <w:rPr>
          <w:rFonts w:hint="eastAsia" w:ascii="宋体" w:hAnsi="宋体" w:eastAsia="宋体" w:cs="宋体"/>
          <w:color w:val="auto"/>
          <w:sz w:val="24"/>
          <w:highlight w:val="none"/>
        </w:rPr>
      </w:pPr>
    </w:p>
    <w:p w14:paraId="3BDCAF9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208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2625668">
            <w:pPr>
              <w:spacing w:line="360" w:lineRule="auto"/>
              <w:rPr>
                <w:rFonts w:hint="eastAsia" w:ascii="宋体" w:hAnsi="宋体" w:eastAsia="宋体" w:cs="宋体"/>
                <w:b/>
                <w:color w:val="auto"/>
                <w:sz w:val="24"/>
                <w:highlight w:val="none"/>
              </w:rPr>
            </w:pPr>
          </w:p>
          <w:p w14:paraId="5F5F9C05">
            <w:pPr>
              <w:spacing w:line="360" w:lineRule="auto"/>
              <w:ind w:firstLine="361" w:firstLineChars="1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w:t>
            </w:r>
            <w:r>
              <w:rPr>
                <w:rFonts w:hint="eastAsia" w:ascii="宋体" w:hAnsi="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101664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6DE98D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43A82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333A1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0AFC10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A0F19">
      <w:pPr>
        <w:spacing w:line="360" w:lineRule="auto"/>
        <w:rPr>
          <w:rFonts w:hint="eastAsia" w:ascii="宋体" w:hAnsi="宋体" w:eastAsia="宋体" w:cs="宋体"/>
          <w:b/>
          <w:color w:val="auto"/>
          <w:sz w:val="21"/>
          <w:szCs w:val="21"/>
          <w:highlight w:val="none"/>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997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F2EDBDA">
            <w:pPr>
              <w:spacing w:line="360" w:lineRule="auto"/>
              <w:rPr>
                <w:rFonts w:hint="eastAsia" w:ascii="宋体" w:hAnsi="宋体" w:eastAsia="宋体" w:cs="宋体"/>
                <w:b/>
                <w:color w:val="auto"/>
                <w:sz w:val="21"/>
                <w:szCs w:val="21"/>
                <w:highlight w:val="none"/>
              </w:rPr>
            </w:pPr>
          </w:p>
          <w:p w14:paraId="3990A53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eastAsia="zh-CN"/>
              </w:rPr>
              <w:t>授权委托代理人</w:t>
            </w:r>
            <w:r>
              <w:rPr>
                <w:rFonts w:hint="eastAsia" w:ascii="宋体" w:hAnsi="宋体" w:eastAsia="宋体" w:cs="宋体"/>
                <w:b/>
                <w:color w:val="auto"/>
                <w:sz w:val="24"/>
                <w:highlight w:val="none"/>
              </w:rPr>
              <w:t>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5BD181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2A4C3D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016ACB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D0C0B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76EDA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706E27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46184001">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3CAAD7DB">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407381EA">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7B0F9AD4">
      <w:pPr>
        <w:pStyle w:val="7"/>
        <w:spacing w:before="5"/>
        <w:rPr>
          <w:rFonts w:hint="eastAsia" w:ascii="宋体" w:hAnsi="宋体" w:eastAsia="宋体" w:cs="宋体"/>
          <w:b/>
          <w:color w:val="auto"/>
          <w:sz w:val="18"/>
          <w:szCs w:val="18"/>
          <w:highlight w:val="none"/>
        </w:rPr>
      </w:pPr>
    </w:p>
    <w:p w14:paraId="1C5F3477">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0D099591">
      <w:pPr>
        <w:pStyle w:val="7"/>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7538B84">
      <w:pPr>
        <w:pStyle w:val="7"/>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12F1765">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FF37C78">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A607785">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1EB582A">
      <w:pPr>
        <w:pStyle w:val="7"/>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6E8311D8">
      <w:pPr>
        <w:pStyle w:val="7"/>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721710E5">
      <w:pPr>
        <w:pStyle w:val="7"/>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558AA9CA">
      <w:pPr>
        <w:pStyle w:val="7"/>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17F867FD">
      <w:pPr>
        <w:pStyle w:val="10"/>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8CB36E8">
      <w:pPr>
        <w:pStyle w:val="48"/>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B05E114">
      <w:pPr>
        <w:pStyle w:val="10"/>
        <w:spacing w:line="360" w:lineRule="auto"/>
        <w:jc w:val="center"/>
        <w:outlineLvl w:val="9"/>
        <w:rPr>
          <w:rFonts w:hint="eastAsia" w:ascii="宋体" w:hAnsi="宋体" w:eastAsia="宋体" w:cs="宋体"/>
          <w:b/>
          <w:color w:val="auto"/>
          <w:sz w:val="32"/>
          <w:szCs w:val="32"/>
          <w:highlight w:val="none"/>
          <w:lang w:val="en-GB"/>
        </w:rPr>
      </w:pPr>
    </w:p>
    <w:p w14:paraId="4BB16F56">
      <w:pPr>
        <w:pStyle w:val="10"/>
        <w:spacing w:line="360" w:lineRule="auto"/>
        <w:jc w:val="center"/>
        <w:outlineLvl w:val="9"/>
        <w:rPr>
          <w:rFonts w:hint="eastAsia" w:ascii="宋体" w:hAnsi="宋体" w:eastAsia="宋体" w:cs="宋体"/>
          <w:b/>
          <w:color w:val="auto"/>
          <w:sz w:val="32"/>
          <w:szCs w:val="32"/>
          <w:highlight w:val="none"/>
          <w:lang w:val="en-GB"/>
        </w:rPr>
      </w:pPr>
    </w:p>
    <w:p w14:paraId="49ADBE6D">
      <w:pPr>
        <w:pStyle w:val="1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C7D5649">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A38A540">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7D4CAB80">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244149BE">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609404B1">
      <w:pPr>
        <w:tabs>
          <w:tab w:val="left" w:pos="4860"/>
        </w:tabs>
        <w:spacing w:line="360" w:lineRule="auto"/>
        <w:ind w:right="1560" w:firstLine="1890" w:firstLineChars="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2173F73C">
      <w:pPr>
        <w:tabs>
          <w:tab w:val="left" w:pos="4860"/>
        </w:tabs>
        <w:spacing w:line="360" w:lineRule="auto"/>
        <w:ind w:right="1560" w:firstLine="444"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47704EE8">
      <w:pPr>
        <w:pStyle w:val="48"/>
        <w:spacing w:line="360" w:lineRule="auto"/>
        <w:rPr>
          <w:rFonts w:hint="eastAsia" w:ascii="宋体" w:hAnsi="宋体" w:eastAsia="宋体" w:cs="宋体"/>
          <w:b/>
          <w:color w:val="auto"/>
          <w:sz w:val="28"/>
          <w:szCs w:val="28"/>
          <w:highlight w:val="none"/>
        </w:rPr>
      </w:pPr>
    </w:p>
    <w:p w14:paraId="23B11885">
      <w:pPr>
        <w:pStyle w:val="48"/>
        <w:spacing w:line="360" w:lineRule="auto"/>
        <w:rPr>
          <w:rFonts w:hint="eastAsia" w:ascii="宋体" w:hAnsi="宋体" w:eastAsia="宋体" w:cs="宋体"/>
          <w:b/>
          <w:color w:val="auto"/>
          <w:sz w:val="28"/>
          <w:szCs w:val="28"/>
          <w:highlight w:val="none"/>
        </w:rPr>
      </w:pPr>
    </w:p>
    <w:p w14:paraId="21177F72">
      <w:pPr>
        <w:pStyle w:val="48"/>
        <w:spacing w:line="360" w:lineRule="auto"/>
        <w:rPr>
          <w:rFonts w:hint="eastAsia" w:ascii="宋体" w:hAnsi="宋体" w:eastAsia="宋体" w:cs="宋体"/>
          <w:b/>
          <w:color w:val="auto"/>
          <w:sz w:val="28"/>
          <w:szCs w:val="28"/>
          <w:highlight w:val="none"/>
        </w:rPr>
      </w:pPr>
    </w:p>
    <w:p w14:paraId="2131F873">
      <w:pPr>
        <w:pStyle w:val="48"/>
        <w:spacing w:line="360" w:lineRule="auto"/>
        <w:rPr>
          <w:rFonts w:hint="eastAsia" w:ascii="宋体" w:hAnsi="宋体" w:eastAsia="宋体" w:cs="宋体"/>
          <w:b/>
          <w:color w:val="auto"/>
          <w:sz w:val="28"/>
          <w:szCs w:val="28"/>
          <w:highlight w:val="none"/>
        </w:rPr>
      </w:pPr>
    </w:p>
    <w:p w14:paraId="17D28319">
      <w:pPr>
        <w:pStyle w:val="48"/>
        <w:spacing w:line="360" w:lineRule="auto"/>
        <w:rPr>
          <w:rFonts w:hint="eastAsia" w:ascii="宋体" w:hAnsi="宋体" w:eastAsia="宋体" w:cs="宋体"/>
          <w:b/>
          <w:color w:val="auto"/>
          <w:sz w:val="28"/>
          <w:szCs w:val="28"/>
          <w:highlight w:val="none"/>
        </w:rPr>
      </w:pPr>
    </w:p>
    <w:p w14:paraId="6DA1DA2C">
      <w:pPr>
        <w:pStyle w:val="48"/>
        <w:spacing w:line="360" w:lineRule="auto"/>
        <w:rPr>
          <w:rFonts w:hint="eastAsia" w:ascii="宋体" w:hAnsi="宋体" w:eastAsia="宋体" w:cs="宋体"/>
          <w:b/>
          <w:color w:val="auto"/>
          <w:sz w:val="28"/>
          <w:szCs w:val="28"/>
          <w:highlight w:val="none"/>
        </w:rPr>
      </w:pPr>
    </w:p>
    <w:p w14:paraId="3E5A8E70">
      <w:pPr>
        <w:pStyle w:val="48"/>
        <w:spacing w:line="360" w:lineRule="auto"/>
        <w:rPr>
          <w:rFonts w:hint="eastAsia" w:ascii="宋体" w:hAnsi="宋体" w:eastAsia="宋体" w:cs="宋体"/>
          <w:b/>
          <w:color w:val="auto"/>
          <w:sz w:val="28"/>
          <w:szCs w:val="28"/>
          <w:highlight w:val="none"/>
        </w:rPr>
      </w:pPr>
    </w:p>
    <w:p w14:paraId="40A304A4">
      <w:pPr>
        <w:pStyle w:val="48"/>
        <w:spacing w:line="360" w:lineRule="auto"/>
        <w:rPr>
          <w:rFonts w:hint="eastAsia" w:ascii="宋体" w:hAnsi="宋体" w:eastAsia="宋体" w:cs="宋体"/>
          <w:b/>
          <w:color w:val="auto"/>
          <w:sz w:val="28"/>
          <w:szCs w:val="28"/>
          <w:highlight w:val="none"/>
        </w:rPr>
      </w:pPr>
    </w:p>
    <w:p w14:paraId="266432AE">
      <w:pPr>
        <w:pStyle w:val="48"/>
        <w:spacing w:line="360" w:lineRule="auto"/>
        <w:rPr>
          <w:rFonts w:hint="eastAsia" w:ascii="宋体" w:hAnsi="宋体" w:eastAsia="宋体" w:cs="宋体"/>
          <w:b/>
          <w:color w:val="auto"/>
          <w:sz w:val="28"/>
          <w:szCs w:val="28"/>
          <w:highlight w:val="none"/>
        </w:rPr>
      </w:pPr>
    </w:p>
    <w:p w14:paraId="311F0E83">
      <w:pPr>
        <w:pStyle w:val="48"/>
        <w:spacing w:line="360" w:lineRule="auto"/>
        <w:rPr>
          <w:rFonts w:hint="eastAsia" w:ascii="宋体" w:hAnsi="宋体" w:eastAsia="宋体" w:cs="宋体"/>
          <w:b/>
          <w:color w:val="auto"/>
          <w:sz w:val="28"/>
          <w:szCs w:val="28"/>
          <w:highlight w:val="none"/>
        </w:rPr>
      </w:pPr>
    </w:p>
    <w:p w14:paraId="4446D5ED">
      <w:pPr>
        <w:pStyle w:val="7"/>
        <w:jc w:val="both"/>
        <w:rPr>
          <w:rFonts w:hint="eastAsia" w:ascii="宋体" w:hAnsi="宋体" w:eastAsia="宋体" w:cs="宋体"/>
          <w:color w:val="auto"/>
          <w:highlight w:val="none"/>
        </w:rPr>
      </w:pPr>
    </w:p>
    <w:p w14:paraId="01FBF414">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762C99F1">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BC2E222">
      <w:pPr>
        <w:pStyle w:val="53"/>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22D5541">
      <w:pPr>
        <w:pStyle w:val="53"/>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台州市路桥区桐屿街道政策处理评估（地上附着物、土地丈量）项目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tzya2025-lq34</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36E9614E">
      <w:pPr>
        <w:pStyle w:val="50"/>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08E514">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ED11E35">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EE84461">
      <w:pPr>
        <w:pStyle w:val="50"/>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A48A1E">
      <w:pPr>
        <w:pStyle w:val="53"/>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0248CD0">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0822FE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7609569">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41613F0">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78F09AE">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788CDD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C18BF9D">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844216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E554D52">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7F6EF2FB">
      <w:pPr>
        <w:pStyle w:val="50"/>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5E23895">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4DE78985">
      <w:pPr>
        <w:pStyle w:val="5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F3D3290">
      <w:pPr>
        <w:pStyle w:val="53"/>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7EBF0F72">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15EECFDD">
      <w:pPr>
        <w:spacing w:line="360" w:lineRule="auto"/>
        <w:ind w:right="-110"/>
        <w:jc w:val="both"/>
        <w:outlineLvl w:val="9"/>
        <w:rPr>
          <w:rFonts w:hint="eastAsia" w:ascii="宋体" w:hAnsi="宋体" w:eastAsia="宋体" w:cs="宋体"/>
          <w:b/>
          <w:color w:val="auto"/>
          <w:sz w:val="28"/>
          <w:highlight w:val="none"/>
        </w:rPr>
      </w:pPr>
    </w:p>
    <w:p w14:paraId="31BB4180">
      <w:pPr>
        <w:spacing w:line="360" w:lineRule="auto"/>
        <w:ind w:right="-110"/>
        <w:jc w:val="both"/>
        <w:outlineLvl w:val="9"/>
        <w:rPr>
          <w:rFonts w:hint="eastAsia" w:ascii="宋体" w:hAnsi="宋体" w:eastAsia="宋体" w:cs="宋体"/>
          <w:b/>
          <w:color w:val="auto"/>
          <w:sz w:val="28"/>
          <w:highlight w:val="none"/>
        </w:rPr>
      </w:pPr>
    </w:p>
    <w:p w14:paraId="54CCEB0A">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3652408">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737D254">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09861AC">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60D44A3B">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ADD8D17">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EEA4F91">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0187DEF5">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35B75B5C">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71CE9F56">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803599B">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554AFA4E">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6FA10550">
      <w:pPr>
        <w:spacing w:line="360" w:lineRule="auto"/>
        <w:ind w:right="532" w:firstLine="720" w:firstLineChars="200"/>
        <w:rPr>
          <w:rFonts w:hint="eastAsia" w:ascii="宋体" w:hAnsi="宋体" w:eastAsia="宋体" w:cs="宋体"/>
          <w:color w:val="auto"/>
          <w:sz w:val="36"/>
          <w:szCs w:val="36"/>
          <w:highlight w:val="none"/>
        </w:rPr>
      </w:pPr>
    </w:p>
    <w:p w14:paraId="3265CE21">
      <w:pPr>
        <w:snapToGrid w:val="0"/>
        <w:spacing w:before="50" w:after="50" w:line="360" w:lineRule="auto"/>
        <w:jc w:val="center"/>
        <w:rPr>
          <w:rFonts w:hint="eastAsia" w:ascii="宋体" w:hAnsi="宋体" w:eastAsia="宋体" w:cs="宋体"/>
          <w:b/>
          <w:bCs/>
          <w:color w:val="auto"/>
          <w:sz w:val="32"/>
          <w:szCs w:val="32"/>
          <w:highlight w:val="none"/>
          <w:lang w:val="zh-CN"/>
        </w:rPr>
      </w:pPr>
    </w:p>
    <w:p w14:paraId="4D2D9645">
      <w:pPr>
        <w:snapToGrid w:val="0"/>
        <w:spacing w:before="50" w:after="50" w:line="360" w:lineRule="auto"/>
        <w:jc w:val="both"/>
        <w:rPr>
          <w:rFonts w:hint="eastAsia" w:ascii="宋体" w:hAnsi="宋体" w:eastAsia="宋体" w:cs="宋体"/>
          <w:b/>
          <w:bCs/>
          <w:color w:val="auto"/>
          <w:sz w:val="32"/>
          <w:szCs w:val="32"/>
          <w:highlight w:val="none"/>
          <w:lang w:val="zh-CN"/>
        </w:rPr>
      </w:pPr>
    </w:p>
    <w:p w14:paraId="7F6A6550">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238C8D4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7A1E4806">
      <w:pPr>
        <w:keepNext w:val="0"/>
        <w:keepLines w:val="0"/>
        <w:pageBreakBefore w:val="0"/>
        <w:numPr>
          <w:ilvl w:val="0"/>
          <w:numId w:val="2"/>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28D4585D">
      <w:pPr>
        <w:pStyle w:val="7"/>
        <w:keepNext w:val="0"/>
        <w:keepLines w:val="0"/>
        <w:pageBreakBefore w:val="0"/>
        <w:kinsoku/>
        <w:wordWrap/>
        <w:overflowPunct/>
        <w:topLinePunct w:val="0"/>
        <w:bidi w:val="0"/>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评标索引：自评表（附件</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p>
    <w:p w14:paraId="4737AFC6">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712209AB">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1、投标人情况介绍（附件</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p>
    <w:p w14:paraId="604756FC">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2、项目需求的理解与分析；</w:t>
      </w:r>
    </w:p>
    <w:p w14:paraId="307CDE92">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3、项目组织实施方案； </w:t>
      </w:r>
    </w:p>
    <w:p w14:paraId="39B7D2F1">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p>
    <w:p w14:paraId="1EDA64B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5、项目负责人资格情况表(附件</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p>
    <w:p w14:paraId="6D035364">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7298A61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7F346867">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p>
    <w:p w14:paraId="4EAA0C58">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23A21D6A">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2CFD436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p>
    <w:p w14:paraId="73B5848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p>
    <w:p w14:paraId="3404A30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p>
    <w:p w14:paraId="56AC5B4D">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w:t>
      </w:r>
      <w:r>
        <w:rPr>
          <w:rFonts w:hint="eastAsia" w:ascii="宋体" w:hAnsi="宋体" w:cs="宋体"/>
          <w:color w:val="auto"/>
          <w:szCs w:val="21"/>
          <w:highlight w:val="none"/>
          <w:lang w:val="en-US" w:eastAsia="zh-CN"/>
        </w:rPr>
        <w:t>可视情况选填</w:t>
      </w:r>
      <w:r>
        <w:rPr>
          <w:rFonts w:hint="eastAsia" w:ascii="宋体" w:hAnsi="宋体" w:eastAsia="宋体" w:cs="宋体"/>
          <w:color w:val="auto"/>
          <w:szCs w:val="21"/>
          <w:highlight w:val="none"/>
        </w:rPr>
        <w:t>附件1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p>
    <w:p w14:paraId="190D8F7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104426A4">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17438B3C">
      <w:pPr>
        <w:pStyle w:val="38"/>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49B6215A">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评标索引：自评表</w:t>
      </w:r>
    </w:p>
    <w:tbl>
      <w:tblPr>
        <w:tblStyle w:val="21"/>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122"/>
        <w:gridCol w:w="6148"/>
        <w:gridCol w:w="702"/>
        <w:gridCol w:w="702"/>
        <w:gridCol w:w="702"/>
      </w:tblGrid>
      <w:tr w14:paraId="7CAE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82" w:type="dxa"/>
            <w:gridSpan w:val="2"/>
            <w:noWrap w:val="0"/>
            <w:vAlign w:val="center"/>
          </w:tcPr>
          <w:p w14:paraId="34FFF19C">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148" w:type="dxa"/>
            <w:noWrap w:val="0"/>
            <w:vAlign w:val="center"/>
          </w:tcPr>
          <w:p w14:paraId="22F4C610">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702" w:type="dxa"/>
            <w:noWrap w:val="0"/>
            <w:vAlign w:val="center"/>
          </w:tcPr>
          <w:p w14:paraId="0673F94A">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702" w:type="dxa"/>
            <w:noWrap w:val="0"/>
            <w:vAlign w:val="center"/>
          </w:tcPr>
          <w:p w14:paraId="7688335C">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702" w:type="dxa"/>
            <w:noWrap w:val="0"/>
            <w:vAlign w:val="center"/>
          </w:tcPr>
          <w:p w14:paraId="7F281AA9">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p>
        </w:tc>
      </w:tr>
      <w:tr w14:paraId="4B07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060" w:type="dxa"/>
            <w:vMerge w:val="restart"/>
            <w:noWrap w:val="0"/>
            <w:vAlign w:val="center"/>
          </w:tcPr>
          <w:p w14:paraId="4EEEFDF7">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商务分</w:t>
            </w:r>
          </w:p>
          <w:p w14:paraId="5B405AEB">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（12分）</w:t>
            </w:r>
          </w:p>
        </w:tc>
        <w:tc>
          <w:tcPr>
            <w:tcW w:w="1122" w:type="dxa"/>
            <w:noWrap w:val="0"/>
            <w:vAlign w:val="center"/>
          </w:tcPr>
          <w:p w14:paraId="4D71878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企业实力</w:t>
            </w:r>
          </w:p>
        </w:tc>
        <w:tc>
          <w:tcPr>
            <w:tcW w:w="6148" w:type="dxa"/>
            <w:noWrap w:val="0"/>
            <w:vAlign w:val="center"/>
          </w:tcPr>
          <w:p w14:paraId="7A215DE1">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投标人具有有效期内的质量管理体系认证证书、职业健康安全管理体系认证证书、环境管理体系认证证书的，每个得1分，本项最高得3分。</w:t>
            </w:r>
          </w:p>
          <w:p w14:paraId="567037DF">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(须提供证书扫描件和全国认证认可信息公共服务平台证书查询截图并加盖投标人公章编入投标文件中，未提供或提供不全的不得分)</w:t>
            </w:r>
          </w:p>
        </w:tc>
        <w:tc>
          <w:tcPr>
            <w:tcW w:w="702" w:type="dxa"/>
            <w:noWrap w:val="0"/>
            <w:vAlign w:val="center"/>
          </w:tcPr>
          <w:p w14:paraId="29F21843">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702" w:type="dxa"/>
            <w:noWrap w:val="0"/>
            <w:vAlign w:val="center"/>
          </w:tcPr>
          <w:p w14:paraId="05E57F48">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02" w:type="dxa"/>
            <w:noWrap w:val="0"/>
            <w:vAlign w:val="center"/>
          </w:tcPr>
          <w:p w14:paraId="676EFAA6">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56E6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60" w:type="dxa"/>
            <w:vMerge w:val="continue"/>
            <w:noWrap w:val="0"/>
            <w:vAlign w:val="center"/>
          </w:tcPr>
          <w:p w14:paraId="7A55BE63">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shd w:val="clear" w:color="auto" w:fill="auto"/>
            <w:noWrap w:val="0"/>
            <w:vAlign w:val="center"/>
          </w:tcPr>
          <w:p w14:paraId="737E617A">
            <w:pPr>
              <w:keepNext w:val="0"/>
              <w:keepLines w:val="0"/>
              <w:pageBreakBefore w:val="0"/>
              <w:numPr>
                <w:ilvl w:val="0"/>
                <w:numId w:val="0"/>
              </w:numPr>
              <w:shd w:val="clear"/>
              <w:kinsoku/>
              <w:overflowPunct/>
              <w:topLinePunct w:val="0"/>
              <w:bidi w:val="0"/>
              <w:spacing w:line="240" w:lineRule="auto"/>
              <w:ind w:left="0" w:lef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人员配置</w:t>
            </w:r>
          </w:p>
        </w:tc>
        <w:tc>
          <w:tcPr>
            <w:tcW w:w="6148" w:type="dxa"/>
            <w:shd w:val="clear" w:color="auto" w:fill="auto"/>
            <w:noWrap w:val="0"/>
            <w:vAlign w:val="center"/>
          </w:tcPr>
          <w:p w14:paraId="0EAAF623">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1、拟投入本项目的项目负责人具有土地估价师资格的（以省级自然资源主管部门或省级国土资源主管部门备案文件为准）得3分</w:t>
            </w:r>
          </w:p>
          <w:p w14:paraId="76AEE7E5">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2、拟投入本项目的项目实施人员（项目负责人除外）具有土地估价师资格的（以省级自然资源主管部门或省级国土资源主管部门备案文件为准）3人的得2分，每增加1人得1分，最高得5分。本项最高得8分。</w:t>
            </w:r>
          </w:p>
          <w:p w14:paraId="5B4C2FB3">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(须提供相关证书扫描件并加盖投标人公章编入投标文件中，未提供的不得分)</w:t>
            </w:r>
          </w:p>
        </w:tc>
        <w:tc>
          <w:tcPr>
            <w:tcW w:w="702" w:type="dxa"/>
            <w:noWrap w:val="0"/>
            <w:vAlign w:val="center"/>
          </w:tcPr>
          <w:p w14:paraId="5FA2D037">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702" w:type="dxa"/>
            <w:noWrap w:val="0"/>
            <w:vAlign w:val="center"/>
          </w:tcPr>
          <w:p w14:paraId="4DE9EDC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02" w:type="dxa"/>
            <w:noWrap w:val="0"/>
            <w:vAlign w:val="center"/>
          </w:tcPr>
          <w:p w14:paraId="3059DBC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7711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60" w:type="dxa"/>
            <w:vMerge w:val="continue"/>
            <w:noWrap w:val="0"/>
            <w:vAlign w:val="center"/>
          </w:tcPr>
          <w:p w14:paraId="69BE7F0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0D1C4128">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承接经验</w:t>
            </w:r>
          </w:p>
        </w:tc>
        <w:tc>
          <w:tcPr>
            <w:tcW w:w="6148" w:type="dxa"/>
            <w:noWrap w:val="0"/>
            <w:vAlign w:val="center"/>
          </w:tcPr>
          <w:p w14:paraId="04D607D3">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val="en-US" w:eastAsia="zh-CN"/>
              </w:rPr>
              <w:t>自</w:t>
            </w:r>
            <w:r>
              <w:rPr>
                <w:rFonts w:hint="eastAsia" w:asciiTheme="minorEastAsia" w:hAnsiTheme="minorEastAsia" w:eastAsiaTheme="minorEastAsia" w:cstheme="minorEastAsia"/>
                <w:color w:val="auto"/>
                <w:sz w:val="21"/>
                <w:szCs w:val="21"/>
                <w:highlight w:val="none"/>
              </w:rPr>
              <w:t>2021年1月1日</w:t>
            </w:r>
            <w:r>
              <w:rPr>
                <w:rFonts w:hint="eastAsia" w:asciiTheme="minorEastAsia" w:hAnsiTheme="minorEastAsia" w:eastAsiaTheme="minorEastAsia" w:cstheme="minorEastAsia"/>
                <w:color w:val="auto"/>
                <w:sz w:val="21"/>
                <w:szCs w:val="21"/>
                <w:highlight w:val="none"/>
                <w:lang w:val="en-US" w:eastAsia="zh-CN"/>
              </w:rPr>
              <w:t>以来</w:t>
            </w:r>
            <w:r>
              <w:rPr>
                <w:rFonts w:hint="eastAsia" w:asciiTheme="minorEastAsia" w:hAnsiTheme="minorEastAsia" w:eastAsiaTheme="minorEastAsia" w:cstheme="minorEastAsia"/>
                <w:color w:val="auto"/>
                <w:sz w:val="21"/>
                <w:szCs w:val="21"/>
                <w:highlight w:val="none"/>
              </w:rPr>
              <w:t>(以合同签订为准)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承接过类似项目业绩的，</w:t>
            </w:r>
            <w:r>
              <w:rPr>
                <w:rFonts w:hint="eastAsia" w:asciiTheme="minorEastAsia" w:hAnsiTheme="minorEastAsia" w:eastAsiaTheme="minorEastAsia" w:cstheme="minorEastAsia"/>
                <w:color w:val="auto"/>
                <w:sz w:val="21"/>
                <w:szCs w:val="21"/>
                <w:highlight w:val="none"/>
              </w:rPr>
              <w:t>每提供一个业绩的得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本项</w:t>
            </w:r>
            <w:r>
              <w:rPr>
                <w:rFonts w:hint="eastAsia" w:asciiTheme="minorEastAsia" w:hAnsiTheme="minorEastAsia" w:eastAsiaTheme="minorEastAsia" w:cstheme="minorEastAsia"/>
                <w:color w:val="auto"/>
                <w:sz w:val="21"/>
                <w:szCs w:val="21"/>
                <w:highlight w:val="none"/>
              </w:rPr>
              <w:t>最高得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2674BD68">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若投标人提供2份及以上合同，合同业主、项目名称均相同又分多个年份签订的，按1个业绩计算。</w:t>
            </w:r>
          </w:p>
          <w:p w14:paraId="284FC04B">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（须提供合同</w:t>
            </w:r>
            <w:r>
              <w:rPr>
                <w:rFonts w:hint="eastAsia" w:asciiTheme="minorEastAsia" w:hAnsiTheme="minorEastAsia" w:eastAsiaTheme="minorEastAsia" w:cstheme="minorEastAsia"/>
                <w:b/>
                <w:bCs/>
                <w:color w:val="auto"/>
                <w:kern w:val="2"/>
                <w:sz w:val="21"/>
                <w:szCs w:val="21"/>
                <w:highlight w:val="none"/>
                <w:lang w:val="en-US" w:eastAsia="zh-CN"/>
              </w:rPr>
              <w:t>扫描</w:t>
            </w:r>
            <w:r>
              <w:rPr>
                <w:rFonts w:hint="eastAsia" w:asciiTheme="minorEastAsia" w:hAnsiTheme="minorEastAsia" w:eastAsiaTheme="minorEastAsia" w:cstheme="minorEastAsia"/>
                <w:b/>
                <w:bCs/>
                <w:color w:val="auto"/>
                <w:kern w:val="2"/>
                <w:sz w:val="21"/>
                <w:szCs w:val="21"/>
                <w:highlight w:val="none"/>
                <w:lang w:eastAsia="zh-CN"/>
              </w:rPr>
              <w:t>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未提供的</w:t>
            </w:r>
            <w:r>
              <w:rPr>
                <w:rFonts w:hint="eastAsia" w:asciiTheme="minorEastAsia" w:hAnsiTheme="minorEastAsia" w:eastAsiaTheme="minorEastAsia" w:cstheme="minorEastAsia"/>
                <w:b/>
                <w:bCs/>
                <w:color w:val="auto"/>
                <w:sz w:val="21"/>
                <w:szCs w:val="21"/>
                <w:highlight w:val="none"/>
              </w:rPr>
              <w:t>不得分</w:t>
            </w:r>
            <w:r>
              <w:rPr>
                <w:rFonts w:hint="eastAsia" w:asciiTheme="minorEastAsia" w:hAnsiTheme="minorEastAsia" w:eastAsiaTheme="minorEastAsia" w:cstheme="minorEastAsia"/>
                <w:b/>
                <w:bCs/>
                <w:color w:val="auto"/>
                <w:kern w:val="2"/>
                <w:sz w:val="21"/>
                <w:szCs w:val="21"/>
                <w:highlight w:val="none"/>
                <w:lang w:val="en-US" w:eastAsia="zh-CN" w:bidi="ar-SA"/>
              </w:rPr>
              <w:t>）</w:t>
            </w:r>
          </w:p>
        </w:tc>
        <w:tc>
          <w:tcPr>
            <w:tcW w:w="702" w:type="dxa"/>
            <w:noWrap w:val="0"/>
            <w:vAlign w:val="center"/>
          </w:tcPr>
          <w:p w14:paraId="466EC3BF">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702" w:type="dxa"/>
            <w:noWrap w:val="0"/>
            <w:vAlign w:val="center"/>
          </w:tcPr>
          <w:p w14:paraId="173BEF21">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02" w:type="dxa"/>
            <w:noWrap w:val="0"/>
            <w:vAlign w:val="center"/>
          </w:tcPr>
          <w:p w14:paraId="19511680">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7C80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060" w:type="dxa"/>
            <w:vMerge w:val="restart"/>
            <w:noWrap w:val="0"/>
            <w:vAlign w:val="center"/>
          </w:tcPr>
          <w:p w14:paraId="1DEC332A">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技术分</w:t>
            </w:r>
          </w:p>
          <w:p w14:paraId="77E8F75E">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（78分）</w:t>
            </w:r>
          </w:p>
        </w:tc>
        <w:tc>
          <w:tcPr>
            <w:tcW w:w="1122" w:type="dxa"/>
            <w:noWrap w:val="0"/>
            <w:vAlign w:val="center"/>
          </w:tcPr>
          <w:p w14:paraId="68A1AB69">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zh-CN" w:eastAsia="zh-CN" w:bidi="ar-SA"/>
              </w:rPr>
              <w:t>项目背景的了解和分析情况</w:t>
            </w:r>
          </w:p>
        </w:tc>
        <w:tc>
          <w:tcPr>
            <w:tcW w:w="6148" w:type="dxa"/>
            <w:noWrap w:val="0"/>
            <w:vAlign w:val="top"/>
          </w:tcPr>
          <w:p w14:paraId="704162B9">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根据投标人对项目目标地区土地征收青苗、树木、果树、地上附着物、基础设施、土地丈量等征偿政策环境、价格水平行情等方面的了解程度，对补偿价格评估能力及政策把握能力情况等进行打分。</w:t>
            </w:r>
          </w:p>
          <w:p w14:paraId="2663AFDC">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对项目目标地区土地征收青苗、树木、果树、地上附着物、基础设施、土地丈量等征偿政策环境、价格水平行情等方面调查全面，价格行情等方面熟悉、理解 透彻，具有分析评估能力及政策把握能力的得</w:t>
            </w:r>
            <w:r>
              <w:rPr>
                <w:rFonts w:hint="eastAsia" w:asciiTheme="minorEastAsia" w:hAnsiTheme="minorEastAsia" w:eastAsiaTheme="minorEastAsia" w:cstheme="minorEastAsia"/>
                <w:color w:val="auto"/>
                <w:sz w:val="21"/>
                <w:szCs w:val="21"/>
                <w:highlight w:val="none"/>
                <w:lang w:val="en-US" w:eastAsia="zh-CN"/>
              </w:rPr>
              <w:t>6.0-8.0</w:t>
            </w:r>
            <w:r>
              <w:rPr>
                <w:rFonts w:hint="eastAsia" w:asciiTheme="minorEastAsia" w:hAnsiTheme="minorEastAsia" w:eastAsiaTheme="minorEastAsia" w:cstheme="minorEastAsia"/>
                <w:color w:val="auto"/>
                <w:sz w:val="21"/>
                <w:szCs w:val="21"/>
                <w:highlight w:val="none"/>
                <w:lang w:val="zh-CN"/>
              </w:rPr>
              <w:t>分；</w:t>
            </w:r>
          </w:p>
          <w:p w14:paraId="3C3A5C22">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对项目目标地区土地征收青苗、树木、果树、地上附着物、基础设施、土地丈量等征偿政策环境、价格水平行情等方面调查不够全面，价格行情等方面不够熟悉，理解不够，具有一定分析评估能力及政策把握能力的得</w:t>
            </w:r>
            <w:r>
              <w:rPr>
                <w:rFonts w:hint="eastAsia" w:asciiTheme="minorEastAsia" w:hAnsiTheme="minorEastAsia" w:eastAsiaTheme="minorEastAsia" w:cstheme="minorEastAsia"/>
                <w:color w:val="auto"/>
                <w:sz w:val="21"/>
                <w:szCs w:val="21"/>
                <w:highlight w:val="none"/>
                <w:lang w:val="en-US" w:eastAsia="zh-CN"/>
              </w:rPr>
              <w:t>3.0-5.9</w:t>
            </w:r>
            <w:r>
              <w:rPr>
                <w:rFonts w:hint="eastAsia" w:asciiTheme="minorEastAsia" w:hAnsiTheme="minorEastAsia" w:eastAsiaTheme="minorEastAsia" w:cstheme="minorEastAsia"/>
                <w:color w:val="auto"/>
                <w:sz w:val="21"/>
                <w:szCs w:val="21"/>
                <w:highlight w:val="none"/>
                <w:lang w:val="zh-CN"/>
              </w:rPr>
              <w:t>分；</w:t>
            </w:r>
          </w:p>
          <w:p w14:paraId="36E7F617">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对项目项目需求、背景等情况不了解，相关内容分析片面简单的得</w:t>
            </w:r>
            <w:r>
              <w:rPr>
                <w:rFonts w:hint="eastAsia" w:asciiTheme="minorEastAsia" w:hAnsiTheme="minorEastAsia" w:eastAsiaTheme="minorEastAsia" w:cstheme="minorEastAsia"/>
                <w:color w:val="auto"/>
                <w:sz w:val="21"/>
                <w:szCs w:val="21"/>
                <w:highlight w:val="none"/>
                <w:lang w:val="en-US" w:eastAsia="zh-CN"/>
              </w:rPr>
              <w:t>0.1-2.9</w:t>
            </w:r>
            <w:r>
              <w:rPr>
                <w:rFonts w:hint="eastAsia" w:asciiTheme="minorEastAsia" w:hAnsiTheme="minorEastAsia" w:eastAsiaTheme="minorEastAsia" w:cstheme="minorEastAsia"/>
                <w:color w:val="auto"/>
                <w:sz w:val="21"/>
                <w:szCs w:val="21"/>
                <w:highlight w:val="none"/>
                <w:lang w:val="zh-CN"/>
              </w:rPr>
              <w:t>分；</w:t>
            </w:r>
          </w:p>
          <w:p w14:paraId="0A9353E7">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187E3429">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8</w:t>
            </w:r>
          </w:p>
        </w:tc>
        <w:tc>
          <w:tcPr>
            <w:tcW w:w="702" w:type="dxa"/>
            <w:noWrap w:val="0"/>
            <w:vAlign w:val="center"/>
          </w:tcPr>
          <w:p w14:paraId="6CB74C6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p>
        </w:tc>
        <w:tc>
          <w:tcPr>
            <w:tcW w:w="702" w:type="dxa"/>
            <w:noWrap w:val="0"/>
            <w:vAlign w:val="center"/>
          </w:tcPr>
          <w:p w14:paraId="5DB28402">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p>
        </w:tc>
      </w:tr>
      <w:tr w14:paraId="488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3391B005">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7C0F32CA">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重难点分析</w:t>
            </w:r>
          </w:p>
        </w:tc>
        <w:tc>
          <w:tcPr>
            <w:tcW w:w="6148" w:type="dxa"/>
            <w:noWrap w:val="0"/>
            <w:vAlign w:val="top"/>
          </w:tcPr>
          <w:p w14:paraId="0E60FBE3">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根据投标人对本项目背景的了解和分析情况、关于土地征收青苗、树木、果树、地上附着物、基础设施、土地丈量评估事项技术服务项目情况调查、存在问题和具体工作过程可能遇到的重点难点分析的难点、要点等问题进行调查剖析等进行</w:t>
            </w:r>
            <w:r>
              <w:rPr>
                <w:rFonts w:hint="eastAsia" w:asciiTheme="minorEastAsia" w:hAnsiTheme="minorEastAsia" w:eastAsiaTheme="minorEastAsia" w:cstheme="minorEastAsia"/>
                <w:color w:val="auto"/>
                <w:sz w:val="21"/>
                <w:szCs w:val="21"/>
                <w:highlight w:val="none"/>
                <w:lang w:val="en-US" w:eastAsia="zh-CN"/>
              </w:rPr>
              <w:t>打分。</w:t>
            </w:r>
          </w:p>
          <w:p w14:paraId="17EAEE3C">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调查剖析、资料收集完整全面、重难点分析到位、 科学、合理、完整的得</w:t>
            </w:r>
            <w:r>
              <w:rPr>
                <w:rFonts w:hint="eastAsia" w:asciiTheme="minorEastAsia" w:hAnsiTheme="minorEastAsia" w:eastAsiaTheme="minorEastAsia" w:cstheme="minorEastAsia"/>
                <w:color w:val="auto"/>
                <w:sz w:val="21"/>
                <w:szCs w:val="21"/>
                <w:highlight w:val="none"/>
                <w:lang w:val="en-US" w:eastAsia="zh-CN"/>
              </w:rPr>
              <w:t>3.0-5.0</w:t>
            </w:r>
            <w:r>
              <w:rPr>
                <w:rFonts w:hint="eastAsia" w:asciiTheme="minorEastAsia" w:hAnsiTheme="minorEastAsia" w:eastAsiaTheme="minorEastAsia" w:cstheme="minorEastAsia"/>
                <w:color w:val="auto"/>
                <w:sz w:val="21"/>
                <w:szCs w:val="21"/>
                <w:highlight w:val="none"/>
                <w:lang w:val="zh-CN" w:eastAsia="zh-CN"/>
              </w:rPr>
              <w:t>分；</w:t>
            </w:r>
          </w:p>
          <w:p w14:paraId="21C7203D">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调查剖析、资料收集不够全面、重难点分析基本到位、科学、合理、完整，有一定不足需进一步完善的得</w:t>
            </w:r>
            <w:r>
              <w:rPr>
                <w:rFonts w:hint="eastAsia" w:asciiTheme="minorEastAsia" w:hAnsiTheme="minorEastAsia" w:eastAsiaTheme="minorEastAsia" w:cstheme="minorEastAsia"/>
                <w:color w:val="auto"/>
                <w:sz w:val="21"/>
                <w:szCs w:val="21"/>
                <w:highlight w:val="none"/>
                <w:lang w:val="en-US" w:eastAsia="zh-CN"/>
              </w:rPr>
              <w:t>0.1-2.9</w:t>
            </w:r>
            <w:r>
              <w:rPr>
                <w:rFonts w:hint="eastAsia" w:asciiTheme="minorEastAsia" w:hAnsiTheme="minorEastAsia" w:eastAsiaTheme="minorEastAsia" w:cstheme="minorEastAsia"/>
                <w:color w:val="auto"/>
                <w:sz w:val="21"/>
                <w:szCs w:val="21"/>
                <w:highlight w:val="none"/>
                <w:lang w:val="zh-CN" w:eastAsia="zh-CN"/>
              </w:rPr>
              <w:t>分；</w:t>
            </w:r>
          </w:p>
          <w:p w14:paraId="4A6015CC">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15608237">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702" w:type="dxa"/>
            <w:noWrap w:val="0"/>
            <w:vAlign w:val="center"/>
          </w:tcPr>
          <w:p w14:paraId="064DAA13">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02" w:type="dxa"/>
            <w:noWrap w:val="0"/>
            <w:vAlign w:val="center"/>
          </w:tcPr>
          <w:p w14:paraId="52999AE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2810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4278A6ED">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75B47553">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重难点解决方案</w:t>
            </w:r>
          </w:p>
        </w:tc>
        <w:tc>
          <w:tcPr>
            <w:tcW w:w="6148" w:type="dxa"/>
            <w:noWrap w:val="0"/>
            <w:vAlign w:val="top"/>
          </w:tcPr>
          <w:p w14:paraId="07DD8CEB">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根据投标人对本项目工作存在的重点难点问题提出克服难点和要点的解决方法等进行</w:t>
            </w:r>
            <w:r>
              <w:rPr>
                <w:rFonts w:hint="eastAsia" w:asciiTheme="minorEastAsia" w:hAnsiTheme="minorEastAsia" w:eastAsiaTheme="minorEastAsia" w:cstheme="minorEastAsia"/>
                <w:color w:val="auto"/>
                <w:sz w:val="21"/>
                <w:szCs w:val="21"/>
                <w:highlight w:val="none"/>
                <w:lang w:val="en-US" w:eastAsia="zh-CN"/>
              </w:rPr>
              <w:t>打分。</w:t>
            </w:r>
          </w:p>
          <w:p w14:paraId="20EAA12C">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对本项目工作存在的重点难点问题提出的解决方法具有针对性、合理性、可行性的得</w:t>
            </w:r>
            <w:r>
              <w:rPr>
                <w:rFonts w:hint="eastAsia" w:asciiTheme="minorEastAsia" w:hAnsiTheme="minorEastAsia" w:eastAsiaTheme="minorEastAsia" w:cstheme="minorEastAsia"/>
                <w:color w:val="auto"/>
                <w:sz w:val="21"/>
                <w:szCs w:val="21"/>
                <w:highlight w:val="none"/>
                <w:lang w:val="en-US" w:eastAsia="zh-CN"/>
              </w:rPr>
              <w:t>3.0-5.0</w:t>
            </w:r>
            <w:r>
              <w:rPr>
                <w:rFonts w:hint="eastAsia" w:asciiTheme="minorEastAsia" w:hAnsiTheme="minorEastAsia" w:eastAsiaTheme="minorEastAsia" w:cstheme="minorEastAsia"/>
                <w:color w:val="auto"/>
                <w:sz w:val="21"/>
                <w:szCs w:val="21"/>
                <w:highlight w:val="none"/>
                <w:lang w:val="zh-CN" w:eastAsia="zh-CN"/>
              </w:rPr>
              <w:t>分；</w:t>
            </w:r>
          </w:p>
          <w:p w14:paraId="3D08A70C">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对本项目工作存在的重点难点问题提出解决方法阐述不够具体详尽的得</w:t>
            </w:r>
            <w:r>
              <w:rPr>
                <w:rFonts w:hint="eastAsia" w:asciiTheme="minorEastAsia" w:hAnsiTheme="minorEastAsia" w:eastAsiaTheme="minorEastAsia" w:cstheme="minorEastAsia"/>
                <w:color w:val="auto"/>
                <w:sz w:val="21"/>
                <w:szCs w:val="21"/>
                <w:highlight w:val="none"/>
                <w:lang w:val="en-US" w:eastAsia="zh-CN"/>
              </w:rPr>
              <w:t>0.1-2.9</w:t>
            </w:r>
            <w:r>
              <w:rPr>
                <w:rFonts w:hint="eastAsia" w:asciiTheme="minorEastAsia" w:hAnsiTheme="minorEastAsia" w:eastAsiaTheme="minorEastAsia" w:cstheme="minorEastAsia"/>
                <w:color w:val="auto"/>
                <w:sz w:val="21"/>
                <w:szCs w:val="21"/>
                <w:highlight w:val="none"/>
                <w:lang w:val="zh-CN" w:eastAsia="zh-CN"/>
              </w:rPr>
              <w:t>分；</w:t>
            </w:r>
          </w:p>
          <w:p w14:paraId="241EB800">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42020E2C">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702" w:type="dxa"/>
            <w:noWrap w:val="0"/>
            <w:vAlign w:val="center"/>
          </w:tcPr>
          <w:p w14:paraId="4681473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02" w:type="dxa"/>
            <w:noWrap w:val="0"/>
            <w:vAlign w:val="center"/>
          </w:tcPr>
          <w:p w14:paraId="4C0F15B8">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7C9F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noWrap w:val="0"/>
            <w:vAlign w:val="center"/>
          </w:tcPr>
          <w:p w14:paraId="221BDB5E">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restart"/>
            <w:shd w:val="clear" w:color="auto" w:fill="auto"/>
            <w:noWrap w:val="0"/>
            <w:vAlign w:val="center"/>
          </w:tcPr>
          <w:p w14:paraId="1FF0F150">
            <w:pPr>
              <w:pStyle w:val="57"/>
              <w:spacing w:before="34" w:line="221" w:lineRule="auto"/>
              <w:jc w:val="center"/>
              <w:rPr>
                <w:rFonts w:hint="default"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SA"/>
              </w:rPr>
              <w:t>实施方案</w:t>
            </w:r>
          </w:p>
        </w:tc>
        <w:tc>
          <w:tcPr>
            <w:tcW w:w="6148" w:type="dxa"/>
            <w:shd w:val="clear" w:color="auto" w:fill="auto"/>
            <w:noWrap w:val="0"/>
            <w:vAlign w:val="top"/>
          </w:tcPr>
          <w:p w14:paraId="4D7714CE">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根据投标人针对本项目提供的总体工作安排、工作标准(包括政策处理评估(地上附着物、基础设施、土地丈量等)的制定标准)等情况进行</w:t>
            </w:r>
            <w:r>
              <w:rPr>
                <w:rFonts w:hint="eastAsia" w:asciiTheme="minorEastAsia" w:hAnsiTheme="minorEastAsia" w:eastAsiaTheme="minorEastAsia" w:cstheme="minorEastAsia"/>
                <w:color w:val="auto"/>
                <w:sz w:val="21"/>
                <w:szCs w:val="21"/>
                <w:highlight w:val="none"/>
                <w:lang w:val="en-US" w:eastAsia="zh-CN"/>
              </w:rPr>
              <w:t>打分</w:t>
            </w:r>
            <w:r>
              <w:rPr>
                <w:rFonts w:hint="eastAsia" w:asciiTheme="minorEastAsia" w:hAnsiTheme="minorEastAsia" w:eastAsiaTheme="minorEastAsia" w:cstheme="minorEastAsia"/>
                <w:color w:val="auto"/>
                <w:sz w:val="21"/>
                <w:szCs w:val="21"/>
                <w:highlight w:val="none"/>
                <w:lang w:val="zh-CN" w:eastAsia="zh-CN"/>
              </w:rPr>
              <w:t>。</w:t>
            </w:r>
          </w:p>
          <w:p w14:paraId="35A70670">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总体工作安排合理，工作标准(包括政策处理评 估(地上附着物、基础设施、土地丈量等)内容完整详细，条款明确，能有效保障项目完成质量的得</w:t>
            </w:r>
            <w:r>
              <w:rPr>
                <w:rFonts w:hint="eastAsia" w:asciiTheme="minorEastAsia" w:hAnsiTheme="minorEastAsia" w:eastAsiaTheme="minorEastAsia" w:cstheme="minorEastAsia"/>
                <w:color w:val="auto"/>
                <w:sz w:val="21"/>
                <w:szCs w:val="21"/>
                <w:highlight w:val="none"/>
                <w:lang w:val="en-US" w:eastAsia="zh-CN"/>
              </w:rPr>
              <w:t>6.0-8.0</w:t>
            </w:r>
            <w:r>
              <w:rPr>
                <w:rFonts w:hint="eastAsia" w:asciiTheme="minorEastAsia" w:hAnsiTheme="minorEastAsia" w:eastAsiaTheme="minorEastAsia" w:cstheme="minorEastAsia"/>
                <w:color w:val="auto"/>
                <w:sz w:val="21"/>
                <w:szCs w:val="21"/>
                <w:highlight w:val="none"/>
                <w:lang w:val="zh-CN" w:eastAsia="zh-CN"/>
              </w:rPr>
              <w:t>分 ；</w:t>
            </w:r>
          </w:p>
          <w:p w14:paraId="5AB27BD8">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总体工作安排阐述简单，工作标准(包括政策处理评估(地上附着物、基础设施、土地丈量等)内容阐述完整但部分条款不明确，能基本保障项目服务的得</w:t>
            </w:r>
            <w:r>
              <w:rPr>
                <w:rFonts w:hint="eastAsia" w:asciiTheme="minorEastAsia" w:hAnsiTheme="minorEastAsia" w:eastAsiaTheme="minorEastAsia" w:cstheme="minorEastAsia"/>
                <w:color w:val="auto"/>
                <w:sz w:val="21"/>
                <w:szCs w:val="21"/>
                <w:highlight w:val="none"/>
                <w:lang w:val="en-US" w:eastAsia="zh-CN"/>
              </w:rPr>
              <w:t>3.0-5.9</w:t>
            </w:r>
            <w:r>
              <w:rPr>
                <w:rFonts w:hint="eastAsia" w:asciiTheme="minorEastAsia" w:hAnsiTheme="minorEastAsia" w:eastAsiaTheme="minorEastAsia" w:cstheme="minorEastAsia"/>
                <w:color w:val="auto"/>
                <w:sz w:val="21"/>
                <w:szCs w:val="21"/>
                <w:highlight w:val="none"/>
                <w:lang w:val="zh-CN" w:eastAsia="zh-CN"/>
              </w:rPr>
              <w:t>分；</w:t>
            </w:r>
          </w:p>
          <w:p w14:paraId="39A3B763">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项目总体工作安排不明确，相关工作标准(包括 政策处理评估(地上附着物、基础设施、土地丈量等)阐述不清晰且内容简单，无法有效保障项目服务质量的得</w:t>
            </w:r>
            <w:r>
              <w:rPr>
                <w:rFonts w:hint="eastAsia" w:asciiTheme="minorEastAsia" w:hAnsiTheme="minorEastAsia" w:eastAsiaTheme="minorEastAsia" w:cstheme="minorEastAsia"/>
                <w:color w:val="auto"/>
                <w:sz w:val="21"/>
                <w:szCs w:val="21"/>
                <w:highlight w:val="none"/>
                <w:lang w:val="en-US" w:eastAsia="zh-CN"/>
              </w:rPr>
              <w:t>0.1-2.9</w:t>
            </w:r>
            <w:r>
              <w:rPr>
                <w:rFonts w:hint="eastAsia" w:asciiTheme="minorEastAsia" w:hAnsiTheme="minorEastAsia" w:eastAsiaTheme="minorEastAsia" w:cstheme="minorEastAsia"/>
                <w:color w:val="auto"/>
                <w:sz w:val="21"/>
                <w:szCs w:val="21"/>
                <w:highlight w:val="none"/>
                <w:lang w:val="zh-CN" w:eastAsia="zh-CN"/>
              </w:rPr>
              <w:t>分；</w:t>
            </w:r>
          </w:p>
          <w:p w14:paraId="78779CAD">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shd w:val="clear" w:color="auto" w:fill="auto"/>
            <w:noWrap w:val="0"/>
            <w:vAlign w:val="center"/>
          </w:tcPr>
          <w:p w14:paraId="5C29ED95">
            <w:pPr>
              <w:keepNext w:val="0"/>
              <w:keepLines w:val="0"/>
              <w:pageBreakBefore w:val="0"/>
              <w:kinsoku/>
              <w:wordWrap/>
              <w:overflowPunct/>
              <w:topLinePunct w:val="0"/>
              <w:bidi w:val="0"/>
              <w:adjustRightInd w:val="0"/>
              <w:snapToGrid w:val="0"/>
              <w:spacing w:line="240" w:lineRule="auto"/>
              <w:ind w:firstLine="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c>
          <w:tcPr>
            <w:tcW w:w="702" w:type="dxa"/>
            <w:shd w:val="clear" w:color="auto" w:fill="auto"/>
            <w:noWrap w:val="0"/>
            <w:vAlign w:val="center"/>
          </w:tcPr>
          <w:p w14:paraId="6D4C5B52">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shd w:val="clear" w:color="auto" w:fill="auto"/>
            <w:noWrap w:val="0"/>
            <w:vAlign w:val="center"/>
          </w:tcPr>
          <w:p w14:paraId="31593F81">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6E44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3DF8D045">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continue"/>
            <w:noWrap w:val="0"/>
            <w:vAlign w:val="top"/>
          </w:tcPr>
          <w:p w14:paraId="651D4C58">
            <w:pPr>
              <w:rPr>
                <w:rFonts w:hint="default" w:asciiTheme="minorEastAsia" w:hAnsiTheme="minorEastAsia" w:eastAsiaTheme="minorEastAsia" w:cstheme="minorEastAsia"/>
                <w:b/>
                <w:bCs/>
                <w:i w:val="0"/>
                <w:iCs w:val="0"/>
                <w:color w:val="auto"/>
                <w:kern w:val="0"/>
                <w:sz w:val="21"/>
                <w:szCs w:val="21"/>
                <w:highlight w:val="none"/>
                <w:u w:val="none"/>
                <w:lang w:val="en-US" w:eastAsia="zh-CN" w:bidi="ar"/>
              </w:rPr>
            </w:pPr>
          </w:p>
        </w:tc>
        <w:tc>
          <w:tcPr>
            <w:tcW w:w="6148" w:type="dxa"/>
            <w:noWrap w:val="0"/>
            <w:vAlign w:val="top"/>
          </w:tcPr>
          <w:p w14:paraId="492EF4CF">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根据投标人提供的项目实施方案的全面性、科学性和可行性等进行评分。</w:t>
            </w:r>
          </w:p>
          <w:p w14:paraId="2185A50B">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方案阐述详细全面，工作方法明确，内容完整，符合项目需求的得</w:t>
            </w:r>
            <w:r>
              <w:rPr>
                <w:rFonts w:hint="eastAsia" w:asciiTheme="minorEastAsia" w:hAnsiTheme="minorEastAsia" w:eastAsiaTheme="minorEastAsia" w:cstheme="minorEastAsia"/>
                <w:color w:val="auto"/>
                <w:sz w:val="21"/>
                <w:szCs w:val="21"/>
                <w:highlight w:val="none"/>
                <w:lang w:val="en-US" w:eastAsia="zh-CN"/>
              </w:rPr>
              <w:t>6.0-8.0</w:t>
            </w:r>
            <w:r>
              <w:rPr>
                <w:rFonts w:hint="eastAsia" w:asciiTheme="minorEastAsia" w:hAnsiTheme="minorEastAsia" w:eastAsiaTheme="minorEastAsia" w:cstheme="minorEastAsia"/>
                <w:color w:val="auto"/>
                <w:sz w:val="21"/>
                <w:szCs w:val="21"/>
                <w:highlight w:val="none"/>
                <w:lang w:val="zh-CN" w:eastAsia="zh-CN"/>
              </w:rPr>
              <w:t>分；</w:t>
            </w:r>
          </w:p>
          <w:p w14:paraId="6B99D316">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方案合理，内容有提及但有欠缺，部分缺乏针对性，合理性的得</w:t>
            </w:r>
            <w:r>
              <w:rPr>
                <w:rFonts w:hint="eastAsia" w:asciiTheme="minorEastAsia" w:hAnsiTheme="minorEastAsia" w:eastAsiaTheme="minorEastAsia" w:cstheme="minorEastAsia"/>
                <w:color w:val="auto"/>
                <w:sz w:val="21"/>
                <w:szCs w:val="21"/>
                <w:highlight w:val="none"/>
                <w:lang w:val="en-US" w:eastAsia="zh-CN"/>
              </w:rPr>
              <w:t>3.0-5.9</w:t>
            </w:r>
            <w:r>
              <w:rPr>
                <w:rFonts w:hint="eastAsia" w:asciiTheme="minorEastAsia" w:hAnsiTheme="minorEastAsia" w:eastAsiaTheme="minorEastAsia" w:cstheme="minorEastAsia"/>
                <w:color w:val="auto"/>
                <w:sz w:val="21"/>
                <w:szCs w:val="21"/>
                <w:highlight w:val="none"/>
                <w:lang w:val="zh-CN" w:eastAsia="zh-CN"/>
              </w:rPr>
              <w:t>分；</w:t>
            </w:r>
          </w:p>
          <w:p w14:paraId="51D3C889">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方案阐述片面，内容有大部分缺失，无法保障项目完成质量的得</w:t>
            </w:r>
            <w:r>
              <w:rPr>
                <w:rFonts w:hint="eastAsia" w:asciiTheme="minorEastAsia" w:hAnsiTheme="minorEastAsia" w:eastAsiaTheme="minorEastAsia" w:cstheme="minorEastAsia"/>
                <w:color w:val="auto"/>
                <w:sz w:val="21"/>
                <w:szCs w:val="21"/>
                <w:highlight w:val="none"/>
                <w:lang w:val="en-US" w:eastAsia="zh-CN"/>
              </w:rPr>
              <w:t>0.1-2.9</w:t>
            </w:r>
            <w:r>
              <w:rPr>
                <w:rFonts w:hint="eastAsia" w:asciiTheme="minorEastAsia" w:hAnsiTheme="minorEastAsia" w:eastAsiaTheme="minorEastAsia" w:cstheme="minorEastAsia"/>
                <w:color w:val="auto"/>
                <w:sz w:val="21"/>
                <w:szCs w:val="21"/>
                <w:highlight w:val="none"/>
                <w:lang w:val="zh-CN" w:eastAsia="zh-CN"/>
              </w:rPr>
              <w:t>分；</w:t>
            </w:r>
          </w:p>
          <w:p w14:paraId="56ECD85E">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05DF11F9">
            <w:pPr>
              <w:keepNext w:val="0"/>
              <w:keepLines w:val="0"/>
              <w:pageBreakBefore w:val="0"/>
              <w:kinsoku/>
              <w:wordWrap/>
              <w:overflowPunct/>
              <w:topLinePunct w:val="0"/>
              <w:bidi w:val="0"/>
              <w:adjustRightInd w:val="0"/>
              <w:snapToGrid w:val="0"/>
              <w:spacing w:line="240" w:lineRule="auto"/>
              <w:ind w:firstLine="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c>
          <w:tcPr>
            <w:tcW w:w="702" w:type="dxa"/>
            <w:noWrap w:val="0"/>
            <w:vAlign w:val="center"/>
          </w:tcPr>
          <w:p w14:paraId="707021A7">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19C9E8BD">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3280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noWrap w:val="0"/>
            <w:vAlign w:val="center"/>
          </w:tcPr>
          <w:p w14:paraId="50382279">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6EC3120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技术服 务承诺</w:t>
            </w:r>
          </w:p>
          <w:p w14:paraId="31D545F7">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及技术 保障</w:t>
            </w:r>
          </w:p>
        </w:tc>
        <w:tc>
          <w:tcPr>
            <w:tcW w:w="6148" w:type="dxa"/>
            <w:noWrap w:val="0"/>
            <w:vAlign w:val="center"/>
          </w:tcPr>
          <w:p w14:paraId="7724C212">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根据投标人对本项目服务过程中所提供的服务承诺及技术保障措施，包括但不限于工作中的管理规范、 管理组织构架、监督体系、内控制度、质量管控措施等内容进行打分。</w:t>
            </w:r>
          </w:p>
          <w:p w14:paraId="490B85B1">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技术服务承诺及技术保障方案全面，服务质量管控方案阐述全面，管理规范、管理组织构架、监督体系、 内控制度、质量管控措施等阐述合理可行且有针对性， 能有效保障项目服务质量的得6.0-9.0分；</w:t>
            </w:r>
          </w:p>
          <w:p w14:paraId="4608FB2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服务质量管控方案阐述合理，管理规范、监督体系等内容有提及但阐述不完整，基本能保障项目服务的得3.0-5.9分；</w:t>
            </w:r>
          </w:p>
          <w:p w14:paraId="54B1CAE9">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服技术服务承诺及技术保障阐述简单片面，管理  规范、监督体系等相关内容阐述不完整，缺乏针对性、可行性的得0.1-2.9分</w:t>
            </w:r>
            <w:r>
              <w:rPr>
                <w:rFonts w:hint="eastAsia" w:asciiTheme="minorEastAsia" w:hAnsiTheme="minorEastAsia" w:eastAsiaTheme="minorEastAsia" w:cstheme="minorEastAsia"/>
                <w:color w:val="auto"/>
                <w:sz w:val="21"/>
                <w:szCs w:val="21"/>
                <w:highlight w:val="none"/>
                <w:lang w:val="zh-CN" w:eastAsia="zh-CN"/>
              </w:rPr>
              <w:t>；</w:t>
            </w:r>
          </w:p>
          <w:p w14:paraId="7CAD9B8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07753326">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9</w:t>
            </w:r>
          </w:p>
        </w:tc>
        <w:tc>
          <w:tcPr>
            <w:tcW w:w="702" w:type="dxa"/>
            <w:noWrap w:val="0"/>
            <w:vAlign w:val="center"/>
          </w:tcPr>
          <w:p w14:paraId="0E85C06D">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1CA1C6DB">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33B0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60" w:type="dxa"/>
            <w:vMerge w:val="continue"/>
            <w:noWrap w:val="0"/>
            <w:vAlign w:val="center"/>
          </w:tcPr>
          <w:p w14:paraId="5091417A">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3B62413E">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应急预案</w:t>
            </w:r>
          </w:p>
        </w:tc>
        <w:tc>
          <w:tcPr>
            <w:tcW w:w="6148" w:type="dxa"/>
            <w:noWrap w:val="0"/>
            <w:vAlign w:val="center"/>
          </w:tcPr>
          <w:p w14:paraId="0121BDB2">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根据投标人针对本项目工作中可能产生的问题所提供的应急预案和对应的解决措施情况进行打分。</w:t>
            </w:r>
          </w:p>
          <w:p w14:paraId="458154A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对可能产生的问题分析全面、提出的应急措施科学可行的得6.0-8.0分；</w:t>
            </w:r>
          </w:p>
          <w:p w14:paraId="271AD8D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对可能出现的突发事件分析详细、提出的应急措施不够具有针对性和有效性的3.0-5.9分；</w:t>
            </w:r>
          </w:p>
          <w:p w14:paraId="19C1333A">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对可能出现的突发事件分析简单、提出的应急措施缺乏针对性和有效性的0.1-2.9</w:t>
            </w:r>
            <w:r>
              <w:rPr>
                <w:color w:val="auto"/>
                <w:spacing w:val="1"/>
                <w:highlight w:val="none"/>
              </w:rPr>
              <w:t>分</w:t>
            </w:r>
            <w:r>
              <w:rPr>
                <w:rFonts w:hint="eastAsia" w:asciiTheme="minorEastAsia" w:hAnsiTheme="minorEastAsia" w:eastAsiaTheme="minorEastAsia" w:cstheme="minorEastAsia"/>
                <w:color w:val="auto"/>
                <w:sz w:val="21"/>
                <w:szCs w:val="21"/>
                <w:highlight w:val="none"/>
                <w:lang w:val="zh-CN" w:eastAsia="zh-CN"/>
              </w:rPr>
              <w:t>；</w:t>
            </w:r>
          </w:p>
          <w:p w14:paraId="7EB9A36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667E78D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c>
          <w:tcPr>
            <w:tcW w:w="702" w:type="dxa"/>
            <w:noWrap w:val="0"/>
            <w:vAlign w:val="center"/>
          </w:tcPr>
          <w:p w14:paraId="19B5027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1BFA1F4A">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5B02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0751AD0D">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restart"/>
            <w:noWrap w:val="0"/>
            <w:vAlign w:val="center"/>
          </w:tcPr>
          <w:p w14:paraId="563F23E3">
            <w:pPr>
              <w:keepLines w:val="0"/>
              <w:pageBreakBefore w:val="0"/>
              <w:kinsoku/>
              <w:wordWrap/>
              <w:overflowPunct/>
              <w:topLinePunct w:val="0"/>
              <w:bidi w:val="0"/>
              <w:spacing w:beforeAutospacing="0" w:afterAutospacing="0" w:line="240" w:lineRule="auto"/>
              <w:ind w:left="0" w:lef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pacing w:val="-4"/>
                <w:szCs w:val="21"/>
                <w:highlight w:val="none"/>
                <w:lang w:val="en-US" w:eastAsia="zh-CN"/>
              </w:rPr>
              <w:t>服务响应</w:t>
            </w:r>
          </w:p>
        </w:tc>
        <w:tc>
          <w:tcPr>
            <w:tcW w:w="6148" w:type="dxa"/>
            <w:noWrap w:val="0"/>
            <w:vAlign w:val="top"/>
          </w:tcPr>
          <w:p w14:paraId="38A95781">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针对本项目投标人工作过程中资料接收、交接、评估结果提交、委派专人提供服务等方案进行打分。</w:t>
            </w:r>
          </w:p>
          <w:p w14:paraId="0F5595FD">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工作过程中资料接收、交接、评估结果提交、委派专人提供服务等方案逻辑清晰、内容完整、具有可行性、针对性、方案科学合理的得3.0-6.0分；</w:t>
            </w:r>
          </w:p>
          <w:p w14:paraId="34A5BF7C">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工作过程中资料接收、交接、评估结果提交、委派专人提供服务等方案逻辑较清晰、内容较完整、 具有一定可行性、针对性不够、方案较科学合理的得0.1-2.9分；</w:t>
            </w:r>
          </w:p>
          <w:p w14:paraId="368547B8">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5829D5A4">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c>
          <w:tcPr>
            <w:tcW w:w="702" w:type="dxa"/>
            <w:noWrap w:val="0"/>
            <w:vAlign w:val="center"/>
          </w:tcPr>
          <w:p w14:paraId="07E08DCD">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5FC2961D">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23B7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060" w:type="dxa"/>
            <w:vMerge w:val="continue"/>
            <w:noWrap w:val="0"/>
            <w:vAlign w:val="center"/>
          </w:tcPr>
          <w:p w14:paraId="0BCACB72">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p>
        </w:tc>
        <w:tc>
          <w:tcPr>
            <w:tcW w:w="1122" w:type="dxa"/>
            <w:vMerge w:val="continue"/>
            <w:noWrap w:val="0"/>
            <w:vAlign w:val="center"/>
          </w:tcPr>
          <w:p w14:paraId="46ADA3E0">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c>
          <w:tcPr>
            <w:tcW w:w="6148" w:type="dxa"/>
            <w:noWrap w:val="0"/>
            <w:vAlign w:val="top"/>
          </w:tcPr>
          <w:p w14:paraId="57C84D36">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根椐投标人承诺的服务响应时间等情况进行打分。</w:t>
            </w:r>
          </w:p>
          <w:p w14:paraId="622A43C5">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承诺接到采购方通知后，在3小时内(含)到达服务现场的得5分；</w:t>
            </w:r>
          </w:p>
          <w:p w14:paraId="4D46B0BF">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承诺接到采购方通知后，在5小时内(含)到 达服务现场的得3分；</w:t>
            </w:r>
          </w:p>
          <w:p w14:paraId="1709523B">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承诺接到采购方通知后，在8小时内(含)到 达服务现场的得1分；</w:t>
            </w:r>
          </w:p>
          <w:p w14:paraId="45192518">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承诺时间超过8小时或未提及此项不得分。</w:t>
            </w:r>
          </w:p>
          <w:p w14:paraId="710539F7">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（须提供承诺函（格式自拟）原件并加盖投标人公章编入投标文件中，未提供不得分）</w:t>
            </w:r>
          </w:p>
        </w:tc>
        <w:tc>
          <w:tcPr>
            <w:tcW w:w="702" w:type="dxa"/>
            <w:noWrap w:val="0"/>
            <w:vAlign w:val="center"/>
          </w:tcPr>
          <w:p w14:paraId="2140790D">
            <w:pPr>
              <w:keepNext w:val="0"/>
              <w:keepLines w:val="0"/>
              <w:pageBreakBefore w:val="0"/>
              <w:kinsoku/>
              <w:wordWrap/>
              <w:overflowPunct/>
              <w:topLinePunct w:val="0"/>
              <w:bidi w:val="0"/>
              <w:spacing w:line="240" w:lineRule="auto"/>
              <w:ind w:firstLine="0"/>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w:t>
            </w:r>
          </w:p>
        </w:tc>
        <w:tc>
          <w:tcPr>
            <w:tcW w:w="702" w:type="dxa"/>
            <w:noWrap w:val="0"/>
            <w:vAlign w:val="center"/>
          </w:tcPr>
          <w:p w14:paraId="19CCEC4D">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c>
          <w:tcPr>
            <w:tcW w:w="702" w:type="dxa"/>
            <w:noWrap w:val="0"/>
            <w:vAlign w:val="center"/>
          </w:tcPr>
          <w:p w14:paraId="06014119">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r>
      <w:tr w14:paraId="7F2E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060" w:type="dxa"/>
            <w:vMerge w:val="continue"/>
            <w:noWrap w:val="0"/>
            <w:vAlign w:val="center"/>
          </w:tcPr>
          <w:p w14:paraId="034080E4">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p>
        </w:tc>
        <w:tc>
          <w:tcPr>
            <w:tcW w:w="1122" w:type="dxa"/>
            <w:noWrap w:val="0"/>
            <w:vAlign w:val="center"/>
          </w:tcPr>
          <w:p w14:paraId="37E9E8A6">
            <w:pPr>
              <w:keepNext w:val="0"/>
              <w:keepLines w:val="0"/>
              <w:pageBreakBefore w:val="0"/>
              <w:widowControl/>
              <w:kinsoku/>
              <w:wordWrap/>
              <w:overflowPunct/>
              <w:topLinePunct w:val="0"/>
              <w:bidi w:val="0"/>
              <w:spacing w:line="240" w:lineRule="auto"/>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保密方案</w:t>
            </w:r>
          </w:p>
        </w:tc>
        <w:tc>
          <w:tcPr>
            <w:tcW w:w="6148" w:type="dxa"/>
            <w:noWrap w:val="0"/>
            <w:vAlign w:val="center"/>
          </w:tcPr>
          <w:p w14:paraId="504D3ED8">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根据供应商针对本项目工作制定的档案管理制度，包括具体保密措施，使工作中的所有数据、档案 资料等不被泄露等情况进行打分。</w:t>
            </w:r>
          </w:p>
          <w:p w14:paraId="2C05F6D5">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制度完善，详细阐述具体的保密措施，措施全面可行，能够确保档案资料不被泄露的得3.0-6.0分；</w:t>
            </w:r>
          </w:p>
          <w:p w14:paraId="11809700">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档案管理制度、保密措施简单，缺乏可行性，不能保障服务质量的得0.1-2.9分</w:t>
            </w:r>
            <w:r>
              <w:rPr>
                <w:rFonts w:hint="eastAsia" w:asciiTheme="minorEastAsia" w:hAnsiTheme="minorEastAsia" w:eastAsiaTheme="minorEastAsia" w:cstheme="minorEastAsia"/>
                <w:color w:val="auto"/>
                <w:sz w:val="21"/>
                <w:szCs w:val="21"/>
                <w:highlight w:val="none"/>
                <w:lang w:val="zh-CN" w:eastAsia="zh-CN"/>
              </w:rPr>
              <w:t>；</w:t>
            </w:r>
          </w:p>
          <w:p w14:paraId="6275CFEA">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50027E2F">
            <w:pPr>
              <w:keepNext w:val="0"/>
              <w:keepLines w:val="0"/>
              <w:pageBreakBefore w:val="0"/>
              <w:kinsoku/>
              <w:wordWrap/>
              <w:overflowPunct/>
              <w:topLinePunct w:val="0"/>
              <w:bidi w:val="0"/>
              <w:spacing w:line="240" w:lineRule="auto"/>
              <w:ind w:firstLine="0"/>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6</w:t>
            </w:r>
          </w:p>
        </w:tc>
        <w:tc>
          <w:tcPr>
            <w:tcW w:w="702" w:type="dxa"/>
            <w:noWrap w:val="0"/>
            <w:vAlign w:val="center"/>
          </w:tcPr>
          <w:p w14:paraId="2BE4FA26">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c>
          <w:tcPr>
            <w:tcW w:w="702" w:type="dxa"/>
            <w:noWrap w:val="0"/>
            <w:vAlign w:val="center"/>
          </w:tcPr>
          <w:p w14:paraId="66858612">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r>
      <w:tr w14:paraId="7D71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060" w:type="dxa"/>
            <w:vMerge w:val="continue"/>
            <w:noWrap w:val="0"/>
            <w:vAlign w:val="center"/>
          </w:tcPr>
          <w:p w14:paraId="662F6C40">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p>
        </w:tc>
        <w:tc>
          <w:tcPr>
            <w:tcW w:w="1122" w:type="dxa"/>
            <w:noWrap w:val="0"/>
            <w:vAlign w:val="center"/>
          </w:tcPr>
          <w:p w14:paraId="061658F8">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售后服务</w:t>
            </w:r>
          </w:p>
        </w:tc>
        <w:tc>
          <w:tcPr>
            <w:tcW w:w="6148" w:type="dxa"/>
            <w:noWrap w:val="0"/>
            <w:vAlign w:val="top"/>
          </w:tcPr>
          <w:p w14:paraId="24F66AC9">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根据投标人承诺提供的后续服务方案(服务能力、服务措施、根据项目丈量及后续的技术实施保障措施等）进行打分。</w:t>
            </w:r>
          </w:p>
          <w:p w14:paraId="716603CA">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服务方案全面，服务能力好，后续服务保障措施合理有效的得3.0-5.0分；</w:t>
            </w:r>
          </w:p>
          <w:p w14:paraId="3032A073">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服务方案不够全面，基本能根据项目丈量的实际需求提供便捷服务，服务承诺具有可操作性的得0.1-2.9分；</w:t>
            </w:r>
          </w:p>
          <w:p w14:paraId="02365644">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11BE7CF3">
            <w:pPr>
              <w:keepNext w:val="0"/>
              <w:keepLines w:val="0"/>
              <w:pageBreakBefore w:val="0"/>
              <w:kinsoku/>
              <w:wordWrap/>
              <w:overflowPunct/>
              <w:topLinePunct w:val="0"/>
              <w:bidi w:val="0"/>
              <w:spacing w:line="240" w:lineRule="auto"/>
              <w:ind w:firstLine="0"/>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w:t>
            </w:r>
          </w:p>
        </w:tc>
        <w:tc>
          <w:tcPr>
            <w:tcW w:w="702" w:type="dxa"/>
            <w:noWrap w:val="0"/>
            <w:vAlign w:val="center"/>
          </w:tcPr>
          <w:p w14:paraId="756B101F">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c>
          <w:tcPr>
            <w:tcW w:w="702" w:type="dxa"/>
            <w:noWrap w:val="0"/>
            <w:vAlign w:val="center"/>
          </w:tcPr>
          <w:p w14:paraId="7C59C6A7">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r>
      <w:tr w14:paraId="2971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060" w:type="dxa"/>
            <w:vMerge w:val="continue"/>
            <w:noWrap w:val="0"/>
            <w:vAlign w:val="center"/>
          </w:tcPr>
          <w:p w14:paraId="633613DD">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p>
        </w:tc>
        <w:tc>
          <w:tcPr>
            <w:tcW w:w="1122" w:type="dxa"/>
            <w:noWrap w:val="0"/>
            <w:vAlign w:val="center"/>
          </w:tcPr>
          <w:p w14:paraId="03C428CF">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合理化建议</w:t>
            </w:r>
          </w:p>
        </w:tc>
        <w:tc>
          <w:tcPr>
            <w:tcW w:w="6148" w:type="dxa"/>
            <w:noWrap w:val="0"/>
            <w:vAlign w:val="top"/>
          </w:tcPr>
          <w:p w14:paraId="0D03365B">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根据投标人依据本项目服务要求、实际工作需求提出的合理化建议进行打分。</w:t>
            </w:r>
          </w:p>
          <w:p w14:paraId="38D82DEA">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建议合理，可实现性强，具有改进意义的得3.0-5.0分；</w:t>
            </w:r>
          </w:p>
          <w:p w14:paraId="3F2B49B4">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建议可实现性较差，几乎没有改进意义的得0.1-2.9分；</w:t>
            </w:r>
          </w:p>
          <w:p w14:paraId="5269E0A3">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308E9B6E">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w:t>
            </w:r>
          </w:p>
        </w:tc>
        <w:tc>
          <w:tcPr>
            <w:tcW w:w="702" w:type="dxa"/>
            <w:noWrap w:val="0"/>
            <w:vAlign w:val="center"/>
          </w:tcPr>
          <w:p w14:paraId="4ED5849D">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c>
          <w:tcPr>
            <w:tcW w:w="702" w:type="dxa"/>
            <w:noWrap w:val="0"/>
            <w:vAlign w:val="center"/>
          </w:tcPr>
          <w:p w14:paraId="6285F8CD">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r>
    </w:tbl>
    <w:p w14:paraId="027EC825">
      <w:pPr>
        <w:pStyle w:val="38"/>
        <w:shd w:val="clear" w:color="auto" w:fill="FFFFFF"/>
        <w:spacing w:before="0" w:beforeAutospacing="0" w:after="0" w:afterAutospacing="0" w:line="240" w:lineRule="auto"/>
        <w:jc w:val="both"/>
        <w:rPr>
          <w:rFonts w:hint="eastAsia" w:ascii="宋体" w:hAnsi="宋体" w:eastAsia="宋体" w:cs="宋体"/>
          <w:b/>
          <w:color w:val="auto"/>
          <w:sz w:val="32"/>
          <w:szCs w:val="32"/>
          <w:highlight w:val="none"/>
        </w:rPr>
      </w:pPr>
    </w:p>
    <w:p w14:paraId="4C37095B">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p>
    <w:p w14:paraId="6AF924D0">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br w:type="page"/>
      </w:r>
    </w:p>
    <w:p w14:paraId="0689568A">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w:t>
      </w:r>
      <w:r>
        <w:rPr>
          <w:rFonts w:hint="eastAsia" w:cs="宋体"/>
          <w:b/>
          <w:color w:val="auto"/>
          <w:sz w:val="32"/>
          <w:szCs w:val="32"/>
          <w:highlight w:val="none"/>
          <w:lang w:val="en-US" w:eastAsia="zh-CN"/>
        </w:rPr>
        <w:t>7</w:t>
      </w:r>
    </w:p>
    <w:p w14:paraId="789700AA">
      <w:pPr>
        <w:pStyle w:val="38"/>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1"/>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0821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5BF8960">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7DCF3379">
            <w:pPr>
              <w:pStyle w:val="38"/>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7D7909DE">
            <w:pPr>
              <w:pStyle w:val="38"/>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2520E2B0">
            <w:pPr>
              <w:pStyle w:val="38"/>
              <w:shd w:val="clear" w:color="auto" w:fill="FFFFFF"/>
              <w:spacing w:line="240" w:lineRule="auto"/>
              <w:rPr>
                <w:rFonts w:hint="eastAsia" w:ascii="宋体" w:hAnsi="宋体" w:eastAsia="宋体" w:cs="宋体"/>
                <w:bCs/>
                <w:color w:val="auto"/>
                <w:sz w:val="21"/>
                <w:szCs w:val="21"/>
                <w:highlight w:val="none"/>
              </w:rPr>
            </w:pPr>
          </w:p>
        </w:tc>
      </w:tr>
      <w:tr w14:paraId="209E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3AC26414">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00D1FC1D">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BC0B7E5">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1973A91B">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5926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60BC35D">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1B9F6ED8">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428775E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11B60D8C">
            <w:pPr>
              <w:widowControl/>
              <w:spacing w:line="240" w:lineRule="auto"/>
              <w:jc w:val="left"/>
              <w:rPr>
                <w:rFonts w:hint="eastAsia" w:ascii="宋体" w:hAnsi="宋体" w:eastAsia="宋体" w:cs="宋体"/>
                <w:bCs/>
                <w:color w:val="auto"/>
                <w:spacing w:val="16"/>
                <w:kern w:val="0"/>
                <w:sz w:val="21"/>
                <w:szCs w:val="21"/>
                <w:highlight w:val="none"/>
              </w:rPr>
            </w:pPr>
          </w:p>
          <w:p w14:paraId="71BC50AE">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6C2CD9C">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3AA38556">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r>
      <w:tr w14:paraId="2020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45C901C2">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4829EE63">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2175AAD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169E3B16">
            <w:pPr>
              <w:widowControl/>
              <w:spacing w:line="240" w:lineRule="auto"/>
              <w:jc w:val="left"/>
              <w:rPr>
                <w:rFonts w:hint="eastAsia" w:ascii="宋体" w:hAnsi="宋体" w:eastAsia="宋体" w:cs="宋体"/>
                <w:bCs/>
                <w:color w:val="auto"/>
                <w:spacing w:val="16"/>
                <w:kern w:val="0"/>
                <w:sz w:val="21"/>
                <w:szCs w:val="21"/>
                <w:highlight w:val="none"/>
              </w:rPr>
            </w:pPr>
          </w:p>
          <w:p w14:paraId="40D5C7D6">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22762F89">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11B0B689">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4A04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403A30C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22269D2A">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1A3E30AB">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54FAFB6">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7F4BA632">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01A259BB">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782E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82A06FF">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3F70DF3B">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4937553D">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17E01C38">
            <w:pPr>
              <w:pStyle w:val="38"/>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EA50AEF">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5E6B401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5A83A9A4">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7C20A122">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7AA65C0F">
            <w:pPr>
              <w:widowControl/>
              <w:spacing w:line="240" w:lineRule="auto"/>
              <w:jc w:val="left"/>
              <w:rPr>
                <w:rFonts w:hint="eastAsia" w:ascii="宋体" w:hAnsi="宋体" w:eastAsia="宋体" w:cs="宋体"/>
                <w:bCs/>
                <w:color w:val="auto"/>
                <w:spacing w:val="16"/>
                <w:kern w:val="0"/>
                <w:sz w:val="21"/>
                <w:szCs w:val="21"/>
                <w:highlight w:val="none"/>
              </w:rPr>
            </w:pPr>
          </w:p>
          <w:p w14:paraId="6B157556">
            <w:pPr>
              <w:widowControl/>
              <w:spacing w:line="240" w:lineRule="auto"/>
              <w:jc w:val="left"/>
              <w:rPr>
                <w:rFonts w:hint="eastAsia" w:ascii="宋体" w:hAnsi="宋体" w:eastAsia="宋体" w:cs="宋体"/>
                <w:bCs/>
                <w:color w:val="auto"/>
                <w:spacing w:val="16"/>
                <w:kern w:val="0"/>
                <w:sz w:val="21"/>
                <w:szCs w:val="21"/>
                <w:highlight w:val="none"/>
              </w:rPr>
            </w:pPr>
          </w:p>
          <w:p w14:paraId="38A04BB0">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47401479">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5798D709">
            <w:pPr>
              <w:widowControl/>
              <w:spacing w:line="240" w:lineRule="auto"/>
              <w:jc w:val="left"/>
              <w:rPr>
                <w:rFonts w:hint="eastAsia" w:ascii="宋体" w:hAnsi="宋体" w:eastAsia="宋体" w:cs="宋体"/>
                <w:bCs/>
                <w:color w:val="auto"/>
                <w:spacing w:val="16"/>
                <w:kern w:val="0"/>
                <w:sz w:val="21"/>
                <w:szCs w:val="21"/>
                <w:highlight w:val="none"/>
              </w:rPr>
            </w:pPr>
          </w:p>
          <w:p w14:paraId="45A68FDC">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1F36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220D67B">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28840AAA">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3ADD9585">
            <w:pPr>
              <w:pStyle w:val="38"/>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06D87D62">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34C8A319">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2E706BED">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5C3B9F4E">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A162833">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66B2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2CB2F64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1CE4B82A">
            <w:pPr>
              <w:pStyle w:val="38"/>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64424E65">
            <w:pPr>
              <w:pStyle w:val="38"/>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2F0E9F00">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2F774CA7">
            <w:pPr>
              <w:widowControl/>
              <w:spacing w:line="240" w:lineRule="auto"/>
              <w:jc w:val="left"/>
              <w:rPr>
                <w:rFonts w:hint="eastAsia" w:ascii="宋体" w:hAnsi="宋体" w:eastAsia="宋体" w:cs="宋体"/>
                <w:bCs/>
                <w:color w:val="auto"/>
                <w:kern w:val="0"/>
                <w:sz w:val="21"/>
                <w:szCs w:val="21"/>
                <w:highlight w:val="none"/>
              </w:rPr>
            </w:pPr>
          </w:p>
          <w:p w14:paraId="009D7CA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11670049">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6C7C58DF">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10EC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7A0F0BD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5310914B">
            <w:pPr>
              <w:pStyle w:val="38"/>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16FEA300">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4F3E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7EAC058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752CA810">
            <w:pPr>
              <w:pStyle w:val="38"/>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25EE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3B20F71E">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550F05D6">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0C08B74A">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03402B1C">
            <w:pPr>
              <w:pStyle w:val="38"/>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1E232070">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6C19937">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8837FD5">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22C2BBBE">
            <w:pPr>
              <w:pStyle w:val="38"/>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256F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76FDE1B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356AC7C9">
            <w:pPr>
              <w:pStyle w:val="38"/>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78926122">
            <w:pPr>
              <w:pStyle w:val="38"/>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042CB54F">
            <w:pPr>
              <w:pStyle w:val="38"/>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193D1FE1">
            <w:pPr>
              <w:pStyle w:val="38"/>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52AA31E6">
            <w:pPr>
              <w:pStyle w:val="38"/>
              <w:shd w:val="clear" w:color="auto" w:fill="FFFFFF"/>
              <w:spacing w:line="240" w:lineRule="auto"/>
              <w:rPr>
                <w:rFonts w:hint="eastAsia" w:ascii="宋体" w:hAnsi="宋体" w:eastAsia="宋体" w:cs="宋体"/>
                <w:bCs/>
                <w:color w:val="auto"/>
                <w:sz w:val="21"/>
                <w:szCs w:val="21"/>
                <w:highlight w:val="none"/>
              </w:rPr>
            </w:pPr>
          </w:p>
        </w:tc>
      </w:tr>
      <w:tr w14:paraId="7A36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604FAA8E">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069FC200">
            <w:pPr>
              <w:pStyle w:val="38"/>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4D9142D">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45C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3EF115B7">
            <w:pPr>
              <w:pStyle w:val="38"/>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73CE04C8">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6AFDA319">
            <w:pPr>
              <w:pStyle w:val="38"/>
              <w:shd w:val="clear" w:color="auto" w:fill="FFFFFF"/>
              <w:spacing w:line="240" w:lineRule="auto"/>
              <w:rPr>
                <w:rFonts w:hint="eastAsia" w:ascii="宋体" w:hAnsi="宋体" w:eastAsia="宋体" w:cs="宋体"/>
                <w:bCs/>
                <w:color w:val="auto"/>
                <w:spacing w:val="16"/>
                <w:sz w:val="21"/>
                <w:szCs w:val="21"/>
                <w:highlight w:val="none"/>
              </w:rPr>
            </w:pPr>
          </w:p>
        </w:tc>
      </w:tr>
    </w:tbl>
    <w:p w14:paraId="44F59EA4">
      <w:pPr>
        <w:pStyle w:val="38"/>
        <w:shd w:val="clear" w:color="auto" w:fill="FFFFFF"/>
        <w:spacing w:before="0" w:beforeAutospacing="0" w:after="0" w:afterAutospacing="0" w:line="360" w:lineRule="auto"/>
        <w:rPr>
          <w:rFonts w:hint="eastAsia" w:ascii="宋体" w:hAnsi="宋体" w:eastAsia="宋体" w:cs="宋体"/>
          <w:color w:val="auto"/>
          <w:highlight w:val="none"/>
        </w:rPr>
      </w:pPr>
    </w:p>
    <w:p w14:paraId="7A9B29E4">
      <w:pPr>
        <w:pStyle w:val="38"/>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7259086">
      <w:pPr>
        <w:pStyle w:val="38"/>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1F4C7C4E">
      <w:pPr>
        <w:spacing w:line="360" w:lineRule="auto"/>
        <w:rPr>
          <w:rFonts w:hint="eastAsia" w:ascii="宋体" w:hAnsi="宋体" w:eastAsia="宋体" w:cs="宋体"/>
          <w:color w:val="auto"/>
          <w:sz w:val="21"/>
          <w:szCs w:val="21"/>
          <w:highlight w:val="none"/>
        </w:rPr>
      </w:pPr>
    </w:p>
    <w:p w14:paraId="68C4311E">
      <w:pPr>
        <w:spacing w:line="360" w:lineRule="auto"/>
        <w:rPr>
          <w:rFonts w:hint="eastAsia" w:ascii="宋体" w:hAnsi="宋体" w:eastAsia="宋体" w:cs="宋体"/>
          <w:color w:val="auto"/>
          <w:sz w:val="21"/>
          <w:szCs w:val="21"/>
          <w:highlight w:val="none"/>
        </w:rPr>
      </w:pPr>
    </w:p>
    <w:p w14:paraId="0A2DB97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8D8C206">
      <w:pPr>
        <w:spacing w:line="360" w:lineRule="auto"/>
        <w:ind w:left="420"/>
        <w:rPr>
          <w:rFonts w:hint="eastAsia" w:ascii="宋体" w:hAnsi="宋体" w:eastAsia="宋体" w:cs="宋体"/>
          <w:color w:val="auto"/>
          <w:sz w:val="21"/>
          <w:szCs w:val="21"/>
          <w:highlight w:val="none"/>
        </w:rPr>
      </w:pPr>
    </w:p>
    <w:p w14:paraId="4213CE13">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2633271">
      <w:pPr>
        <w:spacing w:line="360" w:lineRule="auto"/>
        <w:rPr>
          <w:rFonts w:hint="eastAsia" w:ascii="宋体" w:hAnsi="宋体" w:eastAsia="宋体" w:cs="宋体"/>
          <w:color w:val="auto"/>
          <w:sz w:val="21"/>
          <w:szCs w:val="21"/>
          <w:highlight w:val="none"/>
        </w:rPr>
      </w:pPr>
    </w:p>
    <w:p w14:paraId="501DC473">
      <w:pPr>
        <w:pStyle w:val="38"/>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A68A243">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59312655">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3166D7A">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17D198">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3FAEC33">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000F400">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825A5EA">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5E6A56E">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914AF">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AE890D">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02164">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4287D96">
      <w:pPr>
        <w:pStyle w:val="38"/>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4692B9A">
      <w:pPr>
        <w:pStyle w:val="38"/>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702ACD62">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D2640AB">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1"/>
        <w:tblW w:w="9176"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79"/>
        <w:gridCol w:w="868"/>
        <w:gridCol w:w="921"/>
        <w:gridCol w:w="1500"/>
        <w:gridCol w:w="1296"/>
        <w:gridCol w:w="1415"/>
        <w:gridCol w:w="1558"/>
      </w:tblGrid>
      <w:tr w14:paraId="105C2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vAlign w:val="center"/>
          </w:tcPr>
          <w:p w14:paraId="0831A713">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79" w:type="dxa"/>
            <w:tcBorders>
              <w:top w:val="single" w:color="auto" w:sz="4" w:space="0"/>
              <w:left w:val="single" w:color="auto" w:sz="4" w:space="0"/>
              <w:bottom w:val="single" w:color="auto" w:sz="4" w:space="0"/>
              <w:right w:val="single" w:color="auto" w:sz="4" w:space="0"/>
            </w:tcBorders>
            <w:vAlign w:val="center"/>
          </w:tcPr>
          <w:p w14:paraId="79AFE88E">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8" w:type="dxa"/>
            <w:tcBorders>
              <w:top w:val="single" w:color="auto" w:sz="4" w:space="0"/>
              <w:left w:val="single" w:color="auto" w:sz="4" w:space="0"/>
              <w:bottom w:val="single" w:color="auto" w:sz="4" w:space="0"/>
              <w:right w:val="single" w:color="auto" w:sz="4" w:space="0"/>
            </w:tcBorders>
            <w:vAlign w:val="center"/>
          </w:tcPr>
          <w:p w14:paraId="45DEC962">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1" w:type="dxa"/>
            <w:tcBorders>
              <w:top w:val="single" w:color="auto" w:sz="4" w:space="0"/>
              <w:left w:val="single" w:color="auto" w:sz="4" w:space="0"/>
              <w:bottom w:val="single" w:color="auto" w:sz="4" w:space="0"/>
              <w:right w:val="single" w:color="auto" w:sz="4" w:space="0"/>
            </w:tcBorders>
            <w:vAlign w:val="center"/>
          </w:tcPr>
          <w:p w14:paraId="5A2B26C6">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00" w:type="dxa"/>
            <w:tcBorders>
              <w:top w:val="single" w:color="auto" w:sz="4" w:space="0"/>
              <w:left w:val="single" w:color="auto" w:sz="4" w:space="0"/>
              <w:bottom w:val="single" w:color="auto" w:sz="4" w:space="0"/>
              <w:right w:val="single" w:color="auto" w:sz="4" w:space="0"/>
            </w:tcBorders>
            <w:vAlign w:val="center"/>
          </w:tcPr>
          <w:p w14:paraId="245E4D00">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96" w:type="dxa"/>
            <w:tcBorders>
              <w:top w:val="single" w:color="auto" w:sz="4" w:space="0"/>
              <w:left w:val="single" w:color="auto" w:sz="4" w:space="0"/>
              <w:bottom w:val="single" w:color="auto" w:sz="4" w:space="0"/>
              <w:right w:val="single" w:color="auto" w:sz="4" w:space="0"/>
            </w:tcBorders>
            <w:vAlign w:val="center"/>
          </w:tcPr>
          <w:p w14:paraId="5FAC797D">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5" w:type="dxa"/>
            <w:tcBorders>
              <w:top w:val="single" w:color="auto" w:sz="4" w:space="0"/>
              <w:left w:val="single" w:color="auto" w:sz="4" w:space="0"/>
              <w:bottom w:val="single" w:color="auto" w:sz="4" w:space="0"/>
              <w:right w:val="single" w:color="auto" w:sz="4" w:space="0"/>
            </w:tcBorders>
            <w:vAlign w:val="center"/>
          </w:tcPr>
          <w:p w14:paraId="4369C77A">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8" w:type="dxa"/>
            <w:tcBorders>
              <w:top w:val="single" w:color="auto" w:sz="4" w:space="0"/>
              <w:left w:val="single" w:color="auto" w:sz="4" w:space="0"/>
              <w:bottom w:val="single" w:color="auto" w:sz="4" w:space="0"/>
            </w:tcBorders>
            <w:vAlign w:val="center"/>
          </w:tcPr>
          <w:p w14:paraId="550CBA51">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50E3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1EC9EDA2">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1AC4731">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6468EE83">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8EDE90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4B20CB5">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5EE93CA3">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57647B8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9D3C14B">
            <w:pPr>
              <w:snapToGrid w:val="0"/>
              <w:spacing w:beforeLines="50" w:after="50" w:line="360" w:lineRule="auto"/>
              <w:rPr>
                <w:rFonts w:hint="eastAsia" w:ascii="宋体" w:hAnsi="宋体" w:eastAsia="宋体" w:cs="宋体"/>
                <w:b/>
                <w:color w:val="auto"/>
                <w:kern w:val="44"/>
                <w:sz w:val="21"/>
                <w:szCs w:val="21"/>
                <w:highlight w:val="none"/>
              </w:rPr>
            </w:pPr>
          </w:p>
        </w:tc>
      </w:tr>
      <w:tr w14:paraId="00A2F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4160DE3A">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FF16D2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3D5F9E2C">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260985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22CAD951">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59F7C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7A209B1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52168B68">
            <w:pPr>
              <w:snapToGrid w:val="0"/>
              <w:spacing w:beforeLines="50" w:after="50" w:line="360" w:lineRule="auto"/>
              <w:rPr>
                <w:rFonts w:hint="eastAsia" w:ascii="宋体" w:hAnsi="宋体" w:eastAsia="宋体" w:cs="宋体"/>
                <w:b/>
                <w:color w:val="auto"/>
                <w:kern w:val="44"/>
                <w:sz w:val="21"/>
                <w:szCs w:val="21"/>
                <w:highlight w:val="none"/>
              </w:rPr>
            </w:pPr>
          </w:p>
        </w:tc>
      </w:tr>
      <w:tr w14:paraId="52CFF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9D720F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307DE5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CDEF35">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4B0530B">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3E53706">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8EE7A70">
            <w:pPr>
              <w:pStyle w:val="11"/>
              <w:spacing w:line="360" w:lineRule="auto"/>
              <w:ind w:left="5250"/>
              <w:rPr>
                <w:rFonts w:hint="eastAsia" w:ascii="宋体" w:hAnsi="宋体" w:eastAsia="宋体" w:cs="宋体"/>
                <w:color w:val="auto"/>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30833D87">
            <w:pPr>
              <w:snapToGrid w:val="0"/>
              <w:spacing w:beforeLines="50" w:after="50" w:line="360" w:lineRule="auto"/>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tcBorders>
          </w:tcPr>
          <w:p w14:paraId="51C2F9D0">
            <w:pPr>
              <w:snapToGrid w:val="0"/>
              <w:spacing w:beforeLines="50" w:after="50" w:line="360" w:lineRule="auto"/>
              <w:rPr>
                <w:rFonts w:hint="eastAsia" w:ascii="宋体" w:hAnsi="宋体" w:eastAsia="宋体" w:cs="宋体"/>
                <w:b/>
                <w:color w:val="auto"/>
                <w:kern w:val="44"/>
                <w:sz w:val="21"/>
                <w:szCs w:val="21"/>
                <w:highlight w:val="none"/>
              </w:rPr>
            </w:pPr>
          </w:p>
        </w:tc>
      </w:tr>
      <w:tr w14:paraId="6523A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2A42E35B">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860CAB9">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453A8B3B">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17DB99F">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C992203">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7A225CB">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1B300B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148D0485">
            <w:pPr>
              <w:snapToGrid w:val="0"/>
              <w:spacing w:beforeLines="50" w:after="50" w:line="360" w:lineRule="auto"/>
              <w:rPr>
                <w:rFonts w:hint="eastAsia" w:ascii="宋体" w:hAnsi="宋体" w:eastAsia="宋体" w:cs="宋体"/>
                <w:b/>
                <w:color w:val="auto"/>
                <w:kern w:val="44"/>
                <w:sz w:val="21"/>
                <w:szCs w:val="21"/>
                <w:highlight w:val="none"/>
              </w:rPr>
            </w:pPr>
          </w:p>
        </w:tc>
      </w:tr>
      <w:tr w14:paraId="6629D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D100E01">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2A9640AA">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CE71AE0">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E489D16">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B223BE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B73E531">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389487">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22BF90A7">
            <w:pPr>
              <w:snapToGrid w:val="0"/>
              <w:spacing w:beforeLines="50" w:after="50" w:line="360" w:lineRule="auto"/>
              <w:rPr>
                <w:rFonts w:hint="eastAsia" w:ascii="宋体" w:hAnsi="宋体" w:eastAsia="宋体" w:cs="宋体"/>
                <w:b/>
                <w:color w:val="auto"/>
                <w:kern w:val="44"/>
                <w:sz w:val="21"/>
                <w:szCs w:val="21"/>
                <w:highlight w:val="none"/>
              </w:rPr>
            </w:pPr>
          </w:p>
        </w:tc>
      </w:tr>
      <w:tr w14:paraId="774A3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0FEE62A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73016B6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8E612F9">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3B3F8A4">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E887DF2">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63657CA">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A41DE3">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23A8206">
            <w:pPr>
              <w:snapToGrid w:val="0"/>
              <w:spacing w:beforeLines="50" w:after="50" w:line="360" w:lineRule="auto"/>
              <w:rPr>
                <w:rFonts w:hint="eastAsia" w:ascii="宋体" w:hAnsi="宋体" w:eastAsia="宋体" w:cs="宋体"/>
                <w:b/>
                <w:color w:val="auto"/>
                <w:kern w:val="44"/>
                <w:sz w:val="21"/>
                <w:szCs w:val="21"/>
                <w:highlight w:val="none"/>
              </w:rPr>
            </w:pPr>
          </w:p>
        </w:tc>
      </w:tr>
      <w:tr w14:paraId="686B9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EB591E8">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F9932F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0BD55978">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9DD6CE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4842428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2B9FB2D6">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8B58F0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6A712AF">
            <w:pPr>
              <w:snapToGrid w:val="0"/>
              <w:spacing w:beforeLines="50" w:after="50" w:line="360" w:lineRule="auto"/>
              <w:rPr>
                <w:rFonts w:hint="eastAsia" w:ascii="宋体" w:hAnsi="宋体" w:eastAsia="宋体" w:cs="宋体"/>
                <w:b/>
                <w:color w:val="auto"/>
                <w:kern w:val="44"/>
                <w:sz w:val="21"/>
                <w:szCs w:val="21"/>
                <w:highlight w:val="none"/>
              </w:rPr>
            </w:pPr>
          </w:p>
        </w:tc>
      </w:tr>
      <w:tr w14:paraId="56D09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F5E696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5F2A2256">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DC778D">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B2C38BE">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5F6D26A">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67A884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A2A9F29">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6BAB26B">
            <w:pPr>
              <w:snapToGrid w:val="0"/>
              <w:spacing w:beforeLines="50" w:after="50" w:line="360" w:lineRule="auto"/>
              <w:rPr>
                <w:rFonts w:hint="eastAsia" w:ascii="宋体" w:hAnsi="宋体" w:eastAsia="宋体" w:cs="宋体"/>
                <w:b/>
                <w:color w:val="auto"/>
                <w:kern w:val="44"/>
                <w:sz w:val="21"/>
                <w:szCs w:val="21"/>
                <w:highlight w:val="none"/>
              </w:rPr>
            </w:pPr>
          </w:p>
        </w:tc>
      </w:tr>
    </w:tbl>
    <w:p w14:paraId="37FFF65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FEA6222">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71BBF63D">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4DB0C6D1">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332DF63B">
      <w:pPr>
        <w:spacing w:line="360" w:lineRule="auto"/>
        <w:ind w:left="420"/>
        <w:rPr>
          <w:rFonts w:hint="eastAsia" w:ascii="宋体" w:hAnsi="宋体" w:eastAsia="宋体" w:cs="宋体"/>
          <w:color w:val="auto"/>
          <w:sz w:val="21"/>
          <w:szCs w:val="21"/>
          <w:highlight w:val="none"/>
        </w:rPr>
      </w:pPr>
    </w:p>
    <w:p w14:paraId="7DBAF83B">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0E4DC40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A03B1C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AE58BFC">
      <w:pPr>
        <w:spacing w:line="360" w:lineRule="auto"/>
        <w:rPr>
          <w:rFonts w:hint="eastAsia" w:ascii="宋体" w:hAnsi="宋体" w:eastAsia="宋体" w:cs="宋体"/>
          <w:b/>
          <w:color w:val="auto"/>
          <w:sz w:val="28"/>
          <w:highlight w:val="none"/>
        </w:rPr>
      </w:pPr>
    </w:p>
    <w:p w14:paraId="52DB513B">
      <w:pPr>
        <w:spacing w:line="360" w:lineRule="auto"/>
        <w:rPr>
          <w:rFonts w:hint="eastAsia" w:ascii="宋体" w:hAnsi="宋体" w:eastAsia="宋体" w:cs="宋体"/>
          <w:b/>
          <w:color w:val="auto"/>
          <w:sz w:val="28"/>
          <w:highlight w:val="none"/>
        </w:rPr>
      </w:pPr>
    </w:p>
    <w:p w14:paraId="150D854E">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2E4552BC">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785BB37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21"/>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28A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46A4C3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14:paraId="6A9654D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14:paraId="7CEB36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14:paraId="0160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601A7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14:paraId="7EB90B5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14:paraId="7A61F7C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14:paraId="6A07D51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14:paraId="6251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0239A0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14:paraId="003987A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6719C8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D4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5021B3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14:paraId="761F9DD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02E765F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61A1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8FCD5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14:paraId="0F7995B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F8D88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40F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09D563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14:paraId="1369845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505287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6E3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F069D1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14:paraId="6DCD195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671E388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4A97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1E370A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14:paraId="789152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2A168B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1EF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5526334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F018BF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14:paraId="40401E9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A5A69A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29096C9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FE0F70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6E8D1E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33A209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4FC96DD">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1416FD54">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rPr>
      </w:pPr>
    </w:p>
    <w:p w14:paraId="74A8F230">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6EB4BE02">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19CA025D">
      <w:pPr>
        <w:spacing w:line="360" w:lineRule="auto"/>
        <w:rPr>
          <w:rFonts w:hint="eastAsia" w:ascii="宋体" w:hAnsi="宋体" w:eastAsia="宋体" w:cs="宋体"/>
          <w:color w:val="auto"/>
          <w:sz w:val="21"/>
          <w:szCs w:val="21"/>
          <w:highlight w:val="none"/>
        </w:rPr>
      </w:pPr>
    </w:p>
    <w:tbl>
      <w:tblPr>
        <w:tblStyle w:val="21"/>
        <w:tblW w:w="8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211"/>
        <w:gridCol w:w="1932"/>
        <w:gridCol w:w="1735"/>
        <w:gridCol w:w="1690"/>
      </w:tblGrid>
      <w:tr w14:paraId="092F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910" w:type="dxa"/>
            <w:vAlign w:val="center"/>
          </w:tcPr>
          <w:p w14:paraId="4FCEAFD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211" w:type="dxa"/>
            <w:vAlign w:val="center"/>
          </w:tcPr>
          <w:p w14:paraId="2D45B7A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932" w:type="dxa"/>
            <w:vAlign w:val="center"/>
          </w:tcPr>
          <w:p w14:paraId="28EF412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735" w:type="dxa"/>
            <w:vAlign w:val="center"/>
          </w:tcPr>
          <w:p w14:paraId="10D9C91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690" w:type="dxa"/>
            <w:vAlign w:val="center"/>
          </w:tcPr>
          <w:p w14:paraId="661CD9A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24AD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910" w:type="dxa"/>
            <w:vAlign w:val="center"/>
          </w:tcPr>
          <w:p w14:paraId="28A0B8E5">
            <w:pPr>
              <w:spacing w:line="360" w:lineRule="auto"/>
              <w:rPr>
                <w:rFonts w:hint="eastAsia" w:ascii="宋体" w:hAnsi="宋体" w:eastAsia="宋体" w:cs="宋体"/>
                <w:color w:val="auto"/>
                <w:sz w:val="21"/>
                <w:szCs w:val="21"/>
                <w:highlight w:val="none"/>
              </w:rPr>
            </w:pPr>
          </w:p>
        </w:tc>
        <w:tc>
          <w:tcPr>
            <w:tcW w:w="2211" w:type="dxa"/>
            <w:vAlign w:val="center"/>
          </w:tcPr>
          <w:p w14:paraId="4095D56F">
            <w:pPr>
              <w:spacing w:line="360" w:lineRule="auto"/>
              <w:rPr>
                <w:rFonts w:hint="eastAsia" w:ascii="宋体" w:hAnsi="宋体" w:eastAsia="宋体" w:cs="宋体"/>
                <w:color w:val="auto"/>
                <w:sz w:val="21"/>
                <w:szCs w:val="21"/>
                <w:highlight w:val="none"/>
              </w:rPr>
            </w:pPr>
          </w:p>
        </w:tc>
        <w:tc>
          <w:tcPr>
            <w:tcW w:w="1932" w:type="dxa"/>
            <w:vAlign w:val="center"/>
          </w:tcPr>
          <w:p w14:paraId="6F722CFC">
            <w:pPr>
              <w:spacing w:line="360" w:lineRule="auto"/>
              <w:rPr>
                <w:rFonts w:hint="eastAsia" w:ascii="宋体" w:hAnsi="宋体" w:eastAsia="宋体" w:cs="宋体"/>
                <w:color w:val="auto"/>
                <w:sz w:val="21"/>
                <w:szCs w:val="21"/>
                <w:highlight w:val="none"/>
              </w:rPr>
            </w:pPr>
          </w:p>
        </w:tc>
        <w:tc>
          <w:tcPr>
            <w:tcW w:w="1735" w:type="dxa"/>
            <w:vAlign w:val="center"/>
          </w:tcPr>
          <w:p w14:paraId="6EF70924">
            <w:pPr>
              <w:spacing w:line="360" w:lineRule="auto"/>
              <w:rPr>
                <w:rFonts w:hint="eastAsia" w:ascii="宋体" w:hAnsi="宋体" w:eastAsia="宋体" w:cs="宋体"/>
                <w:color w:val="auto"/>
                <w:sz w:val="21"/>
                <w:szCs w:val="21"/>
                <w:highlight w:val="none"/>
              </w:rPr>
            </w:pPr>
          </w:p>
        </w:tc>
        <w:tc>
          <w:tcPr>
            <w:tcW w:w="1690" w:type="dxa"/>
            <w:vAlign w:val="center"/>
          </w:tcPr>
          <w:p w14:paraId="43474865">
            <w:pPr>
              <w:spacing w:line="360" w:lineRule="auto"/>
              <w:rPr>
                <w:rFonts w:hint="eastAsia" w:ascii="宋体" w:hAnsi="宋体" w:eastAsia="宋体" w:cs="宋体"/>
                <w:color w:val="auto"/>
                <w:sz w:val="21"/>
                <w:szCs w:val="21"/>
                <w:highlight w:val="none"/>
              </w:rPr>
            </w:pPr>
          </w:p>
        </w:tc>
      </w:tr>
      <w:tr w14:paraId="7A58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910" w:type="dxa"/>
            <w:vAlign w:val="center"/>
          </w:tcPr>
          <w:p w14:paraId="23100292">
            <w:pPr>
              <w:spacing w:line="360" w:lineRule="auto"/>
              <w:rPr>
                <w:rFonts w:hint="eastAsia" w:ascii="宋体" w:hAnsi="宋体" w:eastAsia="宋体" w:cs="宋体"/>
                <w:color w:val="auto"/>
                <w:sz w:val="21"/>
                <w:szCs w:val="21"/>
                <w:highlight w:val="none"/>
              </w:rPr>
            </w:pPr>
          </w:p>
        </w:tc>
        <w:tc>
          <w:tcPr>
            <w:tcW w:w="2211" w:type="dxa"/>
            <w:vAlign w:val="center"/>
          </w:tcPr>
          <w:p w14:paraId="71FD5317">
            <w:pPr>
              <w:spacing w:line="360" w:lineRule="auto"/>
              <w:rPr>
                <w:rFonts w:hint="eastAsia" w:ascii="宋体" w:hAnsi="宋体" w:eastAsia="宋体" w:cs="宋体"/>
                <w:color w:val="auto"/>
                <w:sz w:val="21"/>
                <w:szCs w:val="21"/>
                <w:highlight w:val="none"/>
              </w:rPr>
            </w:pPr>
          </w:p>
        </w:tc>
        <w:tc>
          <w:tcPr>
            <w:tcW w:w="1932" w:type="dxa"/>
            <w:vAlign w:val="center"/>
          </w:tcPr>
          <w:p w14:paraId="5D2BDA7C">
            <w:pPr>
              <w:spacing w:line="360" w:lineRule="auto"/>
              <w:rPr>
                <w:rFonts w:hint="eastAsia" w:ascii="宋体" w:hAnsi="宋体" w:eastAsia="宋体" w:cs="宋体"/>
                <w:color w:val="auto"/>
                <w:sz w:val="21"/>
                <w:szCs w:val="21"/>
                <w:highlight w:val="none"/>
              </w:rPr>
            </w:pPr>
          </w:p>
        </w:tc>
        <w:tc>
          <w:tcPr>
            <w:tcW w:w="1735" w:type="dxa"/>
            <w:vAlign w:val="center"/>
          </w:tcPr>
          <w:p w14:paraId="667B24B4">
            <w:pPr>
              <w:spacing w:line="360" w:lineRule="auto"/>
              <w:rPr>
                <w:rFonts w:hint="eastAsia" w:ascii="宋体" w:hAnsi="宋体" w:eastAsia="宋体" w:cs="宋体"/>
                <w:color w:val="auto"/>
                <w:sz w:val="21"/>
                <w:szCs w:val="21"/>
                <w:highlight w:val="none"/>
              </w:rPr>
            </w:pPr>
          </w:p>
        </w:tc>
        <w:tc>
          <w:tcPr>
            <w:tcW w:w="1690" w:type="dxa"/>
            <w:vAlign w:val="center"/>
          </w:tcPr>
          <w:p w14:paraId="380FC468">
            <w:pPr>
              <w:spacing w:line="360" w:lineRule="auto"/>
              <w:rPr>
                <w:rFonts w:hint="eastAsia" w:ascii="宋体" w:hAnsi="宋体" w:eastAsia="宋体" w:cs="宋体"/>
                <w:color w:val="auto"/>
                <w:sz w:val="21"/>
                <w:szCs w:val="21"/>
                <w:highlight w:val="none"/>
              </w:rPr>
            </w:pPr>
          </w:p>
        </w:tc>
      </w:tr>
      <w:tr w14:paraId="04B6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10" w:type="dxa"/>
            <w:vAlign w:val="center"/>
          </w:tcPr>
          <w:p w14:paraId="0C5F6F47">
            <w:pPr>
              <w:spacing w:line="360" w:lineRule="auto"/>
              <w:rPr>
                <w:rFonts w:hint="eastAsia" w:ascii="宋体" w:hAnsi="宋体" w:eastAsia="宋体" w:cs="宋体"/>
                <w:color w:val="auto"/>
                <w:sz w:val="21"/>
                <w:szCs w:val="21"/>
                <w:highlight w:val="none"/>
              </w:rPr>
            </w:pPr>
          </w:p>
        </w:tc>
        <w:tc>
          <w:tcPr>
            <w:tcW w:w="2211" w:type="dxa"/>
            <w:vAlign w:val="center"/>
          </w:tcPr>
          <w:p w14:paraId="3A8BA12A">
            <w:pPr>
              <w:spacing w:line="360" w:lineRule="auto"/>
              <w:rPr>
                <w:rFonts w:hint="eastAsia" w:ascii="宋体" w:hAnsi="宋体" w:eastAsia="宋体" w:cs="宋体"/>
                <w:color w:val="auto"/>
                <w:sz w:val="21"/>
                <w:szCs w:val="21"/>
                <w:highlight w:val="none"/>
              </w:rPr>
            </w:pPr>
          </w:p>
        </w:tc>
        <w:tc>
          <w:tcPr>
            <w:tcW w:w="1932" w:type="dxa"/>
            <w:vAlign w:val="center"/>
          </w:tcPr>
          <w:p w14:paraId="0DEBE542">
            <w:pPr>
              <w:spacing w:line="360" w:lineRule="auto"/>
              <w:rPr>
                <w:rFonts w:hint="eastAsia" w:ascii="宋体" w:hAnsi="宋体" w:eastAsia="宋体" w:cs="宋体"/>
                <w:color w:val="auto"/>
                <w:sz w:val="21"/>
                <w:szCs w:val="21"/>
                <w:highlight w:val="none"/>
              </w:rPr>
            </w:pPr>
          </w:p>
        </w:tc>
        <w:tc>
          <w:tcPr>
            <w:tcW w:w="1735" w:type="dxa"/>
            <w:vAlign w:val="center"/>
          </w:tcPr>
          <w:p w14:paraId="07AB1970">
            <w:pPr>
              <w:spacing w:line="360" w:lineRule="auto"/>
              <w:rPr>
                <w:rFonts w:hint="eastAsia" w:ascii="宋体" w:hAnsi="宋体" w:eastAsia="宋体" w:cs="宋体"/>
                <w:color w:val="auto"/>
                <w:sz w:val="21"/>
                <w:szCs w:val="21"/>
                <w:highlight w:val="none"/>
              </w:rPr>
            </w:pPr>
          </w:p>
        </w:tc>
        <w:tc>
          <w:tcPr>
            <w:tcW w:w="1690" w:type="dxa"/>
            <w:vAlign w:val="center"/>
          </w:tcPr>
          <w:p w14:paraId="0D5AF4DA">
            <w:pPr>
              <w:spacing w:line="360" w:lineRule="auto"/>
              <w:rPr>
                <w:rFonts w:hint="eastAsia" w:ascii="宋体" w:hAnsi="宋体" w:eastAsia="宋体" w:cs="宋体"/>
                <w:color w:val="auto"/>
                <w:sz w:val="21"/>
                <w:szCs w:val="21"/>
                <w:highlight w:val="none"/>
              </w:rPr>
            </w:pPr>
          </w:p>
        </w:tc>
      </w:tr>
      <w:tr w14:paraId="1F5D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10" w:type="dxa"/>
            <w:vAlign w:val="center"/>
          </w:tcPr>
          <w:p w14:paraId="48A28A54">
            <w:pPr>
              <w:spacing w:line="360" w:lineRule="auto"/>
              <w:rPr>
                <w:rFonts w:hint="eastAsia" w:ascii="宋体" w:hAnsi="宋体" w:eastAsia="宋体" w:cs="宋体"/>
                <w:color w:val="auto"/>
                <w:sz w:val="21"/>
                <w:szCs w:val="21"/>
                <w:highlight w:val="none"/>
              </w:rPr>
            </w:pPr>
          </w:p>
        </w:tc>
        <w:tc>
          <w:tcPr>
            <w:tcW w:w="2211" w:type="dxa"/>
            <w:vAlign w:val="center"/>
          </w:tcPr>
          <w:p w14:paraId="7C9F54A6">
            <w:pPr>
              <w:spacing w:line="360" w:lineRule="auto"/>
              <w:rPr>
                <w:rFonts w:hint="eastAsia" w:ascii="宋体" w:hAnsi="宋体" w:eastAsia="宋体" w:cs="宋体"/>
                <w:color w:val="auto"/>
                <w:sz w:val="21"/>
                <w:szCs w:val="21"/>
                <w:highlight w:val="none"/>
              </w:rPr>
            </w:pPr>
          </w:p>
        </w:tc>
        <w:tc>
          <w:tcPr>
            <w:tcW w:w="1932" w:type="dxa"/>
            <w:vAlign w:val="center"/>
          </w:tcPr>
          <w:p w14:paraId="606180A3">
            <w:pPr>
              <w:spacing w:line="360" w:lineRule="auto"/>
              <w:rPr>
                <w:rFonts w:hint="eastAsia" w:ascii="宋体" w:hAnsi="宋体" w:eastAsia="宋体" w:cs="宋体"/>
                <w:color w:val="auto"/>
                <w:sz w:val="21"/>
                <w:szCs w:val="21"/>
                <w:highlight w:val="none"/>
              </w:rPr>
            </w:pPr>
          </w:p>
        </w:tc>
        <w:tc>
          <w:tcPr>
            <w:tcW w:w="1735" w:type="dxa"/>
            <w:vAlign w:val="center"/>
          </w:tcPr>
          <w:p w14:paraId="5D185133">
            <w:pPr>
              <w:spacing w:line="360" w:lineRule="auto"/>
              <w:rPr>
                <w:rFonts w:hint="eastAsia" w:ascii="宋体" w:hAnsi="宋体" w:eastAsia="宋体" w:cs="宋体"/>
                <w:color w:val="auto"/>
                <w:sz w:val="21"/>
                <w:szCs w:val="21"/>
                <w:highlight w:val="none"/>
              </w:rPr>
            </w:pPr>
          </w:p>
        </w:tc>
        <w:tc>
          <w:tcPr>
            <w:tcW w:w="1690" w:type="dxa"/>
            <w:vAlign w:val="center"/>
          </w:tcPr>
          <w:p w14:paraId="72567D21">
            <w:pPr>
              <w:spacing w:line="360" w:lineRule="auto"/>
              <w:rPr>
                <w:rFonts w:hint="eastAsia" w:ascii="宋体" w:hAnsi="宋体" w:eastAsia="宋体" w:cs="宋体"/>
                <w:color w:val="auto"/>
                <w:sz w:val="21"/>
                <w:szCs w:val="21"/>
                <w:highlight w:val="none"/>
              </w:rPr>
            </w:pPr>
          </w:p>
        </w:tc>
      </w:tr>
      <w:tr w14:paraId="0C2F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10" w:type="dxa"/>
            <w:vAlign w:val="center"/>
          </w:tcPr>
          <w:p w14:paraId="04EAFA87">
            <w:pPr>
              <w:spacing w:line="360" w:lineRule="auto"/>
              <w:rPr>
                <w:rFonts w:hint="eastAsia" w:ascii="宋体" w:hAnsi="宋体" w:eastAsia="宋体" w:cs="宋体"/>
                <w:color w:val="auto"/>
                <w:sz w:val="21"/>
                <w:szCs w:val="21"/>
                <w:highlight w:val="none"/>
              </w:rPr>
            </w:pPr>
          </w:p>
        </w:tc>
        <w:tc>
          <w:tcPr>
            <w:tcW w:w="2211" w:type="dxa"/>
            <w:vAlign w:val="center"/>
          </w:tcPr>
          <w:p w14:paraId="114DB2AB">
            <w:pPr>
              <w:spacing w:line="360" w:lineRule="auto"/>
              <w:rPr>
                <w:rFonts w:hint="eastAsia" w:ascii="宋体" w:hAnsi="宋体" w:eastAsia="宋体" w:cs="宋体"/>
                <w:color w:val="auto"/>
                <w:sz w:val="21"/>
                <w:szCs w:val="21"/>
                <w:highlight w:val="none"/>
              </w:rPr>
            </w:pPr>
          </w:p>
        </w:tc>
        <w:tc>
          <w:tcPr>
            <w:tcW w:w="1932" w:type="dxa"/>
            <w:vAlign w:val="center"/>
          </w:tcPr>
          <w:p w14:paraId="2C695153">
            <w:pPr>
              <w:spacing w:line="360" w:lineRule="auto"/>
              <w:rPr>
                <w:rFonts w:hint="eastAsia" w:ascii="宋体" w:hAnsi="宋体" w:eastAsia="宋体" w:cs="宋体"/>
                <w:color w:val="auto"/>
                <w:sz w:val="21"/>
                <w:szCs w:val="21"/>
                <w:highlight w:val="none"/>
              </w:rPr>
            </w:pPr>
          </w:p>
        </w:tc>
        <w:tc>
          <w:tcPr>
            <w:tcW w:w="1735" w:type="dxa"/>
            <w:vAlign w:val="center"/>
          </w:tcPr>
          <w:p w14:paraId="7EDF94E3">
            <w:pPr>
              <w:spacing w:line="360" w:lineRule="auto"/>
              <w:rPr>
                <w:rFonts w:hint="eastAsia" w:ascii="宋体" w:hAnsi="宋体" w:eastAsia="宋体" w:cs="宋体"/>
                <w:color w:val="auto"/>
                <w:sz w:val="21"/>
                <w:szCs w:val="21"/>
                <w:highlight w:val="none"/>
              </w:rPr>
            </w:pPr>
          </w:p>
        </w:tc>
        <w:tc>
          <w:tcPr>
            <w:tcW w:w="1690" w:type="dxa"/>
            <w:vAlign w:val="center"/>
          </w:tcPr>
          <w:p w14:paraId="32711E89">
            <w:pPr>
              <w:spacing w:line="360" w:lineRule="auto"/>
              <w:rPr>
                <w:rFonts w:hint="eastAsia" w:ascii="宋体" w:hAnsi="宋体" w:eastAsia="宋体" w:cs="宋体"/>
                <w:color w:val="auto"/>
                <w:sz w:val="21"/>
                <w:szCs w:val="21"/>
                <w:highlight w:val="none"/>
              </w:rPr>
            </w:pPr>
          </w:p>
        </w:tc>
      </w:tr>
      <w:tr w14:paraId="2DBD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10" w:type="dxa"/>
            <w:vAlign w:val="center"/>
          </w:tcPr>
          <w:p w14:paraId="1A31C6AD">
            <w:pPr>
              <w:spacing w:line="360" w:lineRule="auto"/>
              <w:rPr>
                <w:rFonts w:hint="eastAsia" w:ascii="宋体" w:hAnsi="宋体" w:eastAsia="宋体" w:cs="宋体"/>
                <w:color w:val="auto"/>
                <w:sz w:val="21"/>
                <w:szCs w:val="21"/>
                <w:highlight w:val="none"/>
              </w:rPr>
            </w:pPr>
          </w:p>
        </w:tc>
        <w:tc>
          <w:tcPr>
            <w:tcW w:w="2211" w:type="dxa"/>
            <w:vAlign w:val="center"/>
          </w:tcPr>
          <w:p w14:paraId="0F05600C">
            <w:pPr>
              <w:spacing w:line="360" w:lineRule="auto"/>
              <w:rPr>
                <w:rFonts w:hint="eastAsia" w:ascii="宋体" w:hAnsi="宋体" w:eastAsia="宋体" w:cs="宋体"/>
                <w:color w:val="auto"/>
                <w:sz w:val="21"/>
                <w:szCs w:val="21"/>
                <w:highlight w:val="none"/>
              </w:rPr>
            </w:pPr>
          </w:p>
        </w:tc>
        <w:tc>
          <w:tcPr>
            <w:tcW w:w="1932" w:type="dxa"/>
            <w:vAlign w:val="center"/>
          </w:tcPr>
          <w:p w14:paraId="7EB9B3D1">
            <w:pPr>
              <w:spacing w:line="360" w:lineRule="auto"/>
              <w:rPr>
                <w:rFonts w:hint="eastAsia" w:ascii="宋体" w:hAnsi="宋体" w:eastAsia="宋体" w:cs="宋体"/>
                <w:color w:val="auto"/>
                <w:sz w:val="21"/>
                <w:szCs w:val="21"/>
                <w:highlight w:val="none"/>
              </w:rPr>
            </w:pPr>
          </w:p>
        </w:tc>
        <w:tc>
          <w:tcPr>
            <w:tcW w:w="1735" w:type="dxa"/>
            <w:vAlign w:val="center"/>
          </w:tcPr>
          <w:p w14:paraId="19DB8D53">
            <w:pPr>
              <w:spacing w:line="360" w:lineRule="auto"/>
              <w:rPr>
                <w:rFonts w:hint="eastAsia" w:ascii="宋体" w:hAnsi="宋体" w:eastAsia="宋体" w:cs="宋体"/>
                <w:color w:val="auto"/>
                <w:sz w:val="21"/>
                <w:szCs w:val="21"/>
                <w:highlight w:val="none"/>
              </w:rPr>
            </w:pPr>
          </w:p>
        </w:tc>
        <w:tc>
          <w:tcPr>
            <w:tcW w:w="1690" w:type="dxa"/>
            <w:vAlign w:val="center"/>
          </w:tcPr>
          <w:p w14:paraId="1D3F94FD">
            <w:pPr>
              <w:spacing w:line="360" w:lineRule="auto"/>
              <w:rPr>
                <w:rFonts w:hint="eastAsia" w:ascii="宋体" w:hAnsi="宋体" w:eastAsia="宋体" w:cs="宋体"/>
                <w:color w:val="auto"/>
                <w:sz w:val="21"/>
                <w:szCs w:val="21"/>
                <w:highlight w:val="none"/>
              </w:rPr>
            </w:pPr>
          </w:p>
        </w:tc>
      </w:tr>
      <w:tr w14:paraId="4362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10" w:type="dxa"/>
            <w:vAlign w:val="center"/>
          </w:tcPr>
          <w:p w14:paraId="11D36B60">
            <w:pPr>
              <w:spacing w:line="360" w:lineRule="auto"/>
              <w:rPr>
                <w:rFonts w:hint="eastAsia" w:ascii="宋体" w:hAnsi="宋体" w:eastAsia="宋体" w:cs="宋体"/>
                <w:color w:val="auto"/>
                <w:sz w:val="21"/>
                <w:szCs w:val="21"/>
                <w:highlight w:val="none"/>
              </w:rPr>
            </w:pPr>
          </w:p>
        </w:tc>
        <w:tc>
          <w:tcPr>
            <w:tcW w:w="2211" w:type="dxa"/>
            <w:vAlign w:val="center"/>
          </w:tcPr>
          <w:p w14:paraId="4694EF4B">
            <w:pPr>
              <w:spacing w:line="360" w:lineRule="auto"/>
              <w:rPr>
                <w:rFonts w:hint="eastAsia" w:ascii="宋体" w:hAnsi="宋体" w:eastAsia="宋体" w:cs="宋体"/>
                <w:color w:val="auto"/>
                <w:sz w:val="21"/>
                <w:szCs w:val="21"/>
                <w:highlight w:val="none"/>
              </w:rPr>
            </w:pPr>
          </w:p>
        </w:tc>
        <w:tc>
          <w:tcPr>
            <w:tcW w:w="1932" w:type="dxa"/>
            <w:vAlign w:val="center"/>
          </w:tcPr>
          <w:p w14:paraId="1B4A1ED1">
            <w:pPr>
              <w:spacing w:line="360" w:lineRule="auto"/>
              <w:rPr>
                <w:rFonts w:hint="eastAsia" w:ascii="宋体" w:hAnsi="宋体" w:eastAsia="宋体" w:cs="宋体"/>
                <w:color w:val="auto"/>
                <w:sz w:val="21"/>
                <w:szCs w:val="21"/>
                <w:highlight w:val="none"/>
              </w:rPr>
            </w:pPr>
          </w:p>
        </w:tc>
        <w:tc>
          <w:tcPr>
            <w:tcW w:w="1735" w:type="dxa"/>
            <w:vAlign w:val="center"/>
          </w:tcPr>
          <w:p w14:paraId="1500BC0C">
            <w:pPr>
              <w:spacing w:line="360" w:lineRule="auto"/>
              <w:rPr>
                <w:rFonts w:hint="eastAsia" w:ascii="宋体" w:hAnsi="宋体" w:eastAsia="宋体" w:cs="宋体"/>
                <w:color w:val="auto"/>
                <w:sz w:val="21"/>
                <w:szCs w:val="21"/>
                <w:highlight w:val="none"/>
              </w:rPr>
            </w:pPr>
          </w:p>
        </w:tc>
        <w:tc>
          <w:tcPr>
            <w:tcW w:w="1690" w:type="dxa"/>
            <w:vAlign w:val="center"/>
          </w:tcPr>
          <w:p w14:paraId="6B47B0C5">
            <w:pPr>
              <w:spacing w:line="360" w:lineRule="auto"/>
              <w:rPr>
                <w:rFonts w:hint="eastAsia" w:ascii="宋体" w:hAnsi="宋体" w:eastAsia="宋体" w:cs="宋体"/>
                <w:color w:val="auto"/>
                <w:sz w:val="21"/>
                <w:szCs w:val="21"/>
                <w:highlight w:val="none"/>
              </w:rPr>
            </w:pPr>
          </w:p>
        </w:tc>
      </w:tr>
    </w:tbl>
    <w:p w14:paraId="5249CC77">
      <w:pPr>
        <w:pStyle w:val="40"/>
        <w:tabs>
          <w:tab w:val="left" w:pos="360"/>
        </w:tabs>
        <w:spacing w:line="360" w:lineRule="auto"/>
        <w:ind w:right="84" w:rightChars="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64A4C83">
      <w:pPr>
        <w:pStyle w:val="40"/>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本表参照本招标文件第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部分“招标需求”内第二条“具体技术需求”填制，投标人应根据投标设备的性能指标、服务指标，对照招标文件要求在“偏离情况”栏注明“正偏离”、“负偏离”或“无偏离”。</w:t>
      </w:r>
    </w:p>
    <w:p w14:paraId="641FCF38">
      <w:pPr>
        <w:pStyle w:val="40"/>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6AF4C3A9">
      <w:pPr>
        <w:spacing w:line="360" w:lineRule="auto"/>
        <w:rPr>
          <w:rFonts w:hint="eastAsia" w:ascii="宋体" w:hAnsi="宋体" w:eastAsia="宋体" w:cs="宋体"/>
          <w:color w:val="auto"/>
          <w:sz w:val="21"/>
          <w:szCs w:val="21"/>
          <w:highlight w:val="none"/>
        </w:rPr>
      </w:pPr>
    </w:p>
    <w:p w14:paraId="7DA34FB8">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D976F19">
      <w:pPr>
        <w:spacing w:line="360" w:lineRule="auto"/>
        <w:ind w:left="420"/>
        <w:rPr>
          <w:rFonts w:hint="eastAsia" w:ascii="宋体" w:hAnsi="宋体" w:eastAsia="宋体" w:cs="宋体"/>
          <w:color w:val="auto"/>
          <w:sz w:val="21"/>
          <w:szCs w:val="21"/>
          <w:highlight w:val="none"/>
        </w:rPr>
      </w:pPr>
    </w:p>
    <w:p w14:paraId="73C843F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0DE82B">
      <w:pPr>
        <w:spacing w:line="360" w:lineRule="auto"/>
        <w:rPr>
          <w:rFonts w:hint="eastAsia" w:ascii="宋体" w:hAnsi="宋体" w:eastAsia="宋体" w:cs="宋体"/>
          <w:color w:val="auto"/>
          <w:sz w:val="21"/>
          <w:szCs w:val="21"/>
          <w:highlight w:val="none"/>
        </w:rPr>
      </w:pPr>
    </w:p>
    <w:p w14:paraId="4189D89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14C6DEB">
      <w:pPr>
        <w:pStyle w:val="41"/>
        <w:spacing w:line="360" w:lineRule="auto"/>
        <w:jc w:val="left"/>
        <w:rPr>
          <w:rFonts w:hint="eastAsia" w:ascii="宋体" w:hAnsi="宋体" w:eastAsia="宋体" w:cs="宋体"/>
          <w:b/>
          <w:color w:val="auto"/>
          <w:sz w:val="28"/>
          <w:highlight w:val="none"/>
        </w:rPr>
      </w:pPr>
    </w:p>
    <w:p w14:paraId="17B2956C">
      <w:pPr>
        <w:pStyle w:val="41"/>
        <w:spacing w:line="360" w:lineRule="auto"/>
        <w:jc w:val="left"/>
        <w:outlineLvl w:val="9"/>
        <w:rPr>
          <w:rFonts w:hint="eastAsia" w:ascii="宋体" w:hAnsi="宋体" w:eastAsia="宋体" w:cs="宋体"/>
          <w:b/>
          <w:color w:val="auto"/>
          <w:sz w:val="28"/>
          <w:highlight w:val="none"/>
        </w:rPr>
      </w:pPr>
    </w:p>
    <w:p w14:paraId="530E02B1">
      <w:pPr>
        <w:pStyle w:val="41"/>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293E0193">
      <w:pPr>
        <w:pStyle w:val="42"/>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4EEBEAF1">
      <w:pPr>
        <w:pStyle w:val="42"/>
        <w:spacing w:line="360" w:lineRule="auto"/>
        <w:jc w:val="center"/>
        <w:rPr>
          <w:rFonts w:hint="eastAsia" w:ascii="宋体" w:hAnsi="宋体" w:eastAsia="宋体" w:cs="宋体"/>
          <w:color w:val="auto"/>
          <w:sz w:val="24"/>
          <w:highlight w:val="none"/>
        </w:rPr>
      </w:pPr>
    </w:p>
    <w:tbl>
      <w:tblPr>
        <w:tblStyle w:val="2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6B369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ED22ECB">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1502D2C8">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13036AFB">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57E3573E">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457DA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201E4EB">
            <w:pPr>
              <w:pStyle w:val="42"/>
              <w:spacing w:line="360" w:lineRule="auto"/>
              <w:jc w:val="center"/>
              <w:rPr>
                <w:rFonts w:hint="eastAsia" w:ascii="宋体" w:hAnsi="宋体" w:eastAsia="宋体" w:cs="宋体"/>
                <w:color w:val="auto"/>
                <w:sz w:val="21"/>
                <w:szCs w:val="21"/>
                <w:highlight w:val="none"/>
              </w:rPr>
            </w:pPr>
          </w:p>
        </w:tc>
        <w:tc>
          <w:tcPr>
            <w:tcW w:w="2258" w:type="dxa"/>
          </w:tcPr>
          <w:p w14:paraId="6BD816AB">
            <w:pPr>
              <w:pStyle w:val="42"/>
              <w:spacing w:line="360" w:lineRule="auto"/>
              <w:jc w:val="center"/>
              <w:rPr>
                <w:rFonts w:hint="eastAsia" w:ascii="宋体" w:hAnsi="宋体" w:eastAsia="宋体" w:cs="宋体"/>
                <w:color w:val="auto"/>
                <w:sz w:val="21"/>
                <w:szCs w:val="21"/>
                <w:highlight w:val="none"/>
              </w:rPr>
            </w:pPr>
          </w:p>
        </w:tc>
        <w:tc>
          <w:tcPr>
            <w:tcW w:w="2260" w:type="dxa"/>
          </w:tcPr>
          <w:p w14:paraId="19B98C79">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9B5A39E">
            <w:pPr>
              <w:pStyle w:val="42"/>
              <w:spacing w:line="360" w:lineRule="auto"/>
              <w:jc w:val="center"/>
              <w:rPr>
                <w:rFonts w:hint="eastAsia" w:ascii="宋体" w:hAnsi="宋体" w:eastAsia="宋体" w:cs="宋体"/>
                <w:color w:val="auto"/>
                <w:sz w:val="21"/>
                <w:szCs w:val="21"/>
                <w:highlight w:val="none"/>
              </w:rPr>
            </w:pPr>
          </w:p>
        </w:tc>
      </w:tr>
      <w:tr w14:paraId="11173D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869CD86">
            <w:pPr>
              <w:pStyle w:val="42"/>
              <w:spacing w:line="360" w:lineRule="auto"/>
              <w:jc w:val="center"/>
              <w:rPr>
                <w:rFonts w:hint="eastAsia" w:ascii="宋体" w:hAnsi="宋体" w:eastAsia="宋体" w:cs="宋体"/>
                <w:color w:val="auto"/>
                <w:sz w:val="21"/>
                <w:szCs w:val="21"/>
                <w:highlight w:val="none"/>
              </w:rPr>
            </w:pPr>
          </w:p>
        </w:tc>
        <w:tc>
          <w:tcPr>
            <w:tcW w:w="2258" w:type="dxa"/>
          </w:tcPr>
          <w:p w14:paraId="6FC7109B">
            <w:pPr>
              <w:pStyle w:val="42"/>
              <w:spacing w:line="360" w:lineRule="auto"/>
              <w:jc w:val="center"/>
              <w:rPr>
                <w:rFonts w:hint="eastAsia" w:ascii="宋体" w:hAnsi="宋体" w:eastAsia="宋体" w:cs="宋体"/>
                <w:color w:val="auto"/>
                <w:sz w:val="21"/>
                <w:szCs w:val="21"/>
                <w:highlight w:val="none"/>
              </w:rPr>
            </w:pPr>
          </w:p>
        </w:tc>
        <w:tc>
          <w:tcPr>
            <w:tcW w:w="2260" w:type="dxa"/>
          </w:tcPr>
          <w:p w14:paraId="6F817AAD">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178DACA">
            <w:pPr>
              <w:pStyle w:val="42"/>
              <w:spacing w:line="360" w:lineRule="auto"/>
              <w:jc w:val="center"/>
              <w:rPr>
                <w:rFonts w:hint="eastAsia" w:ascii="宋体" w:hAnsi="宋体" w:eastAsia="宋体" w:cs="宋体"/>
                <w:color w:val="auto"/>
                <w:sz w:val="21"/>
                <w:szCs w:val="21"/>
                <w:highlight w:val="none"/>
              </w:rPr>
            </w:pPr>
          </w:p>
        </w:tc>
      </w:tr>
      <w:tr w14:paraId="10006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8882B8">
            <w:pPr>
              <w:pStyle w:val="42"/>
              <w:spacing w:line="360" w:lineRule="auto"/>
              <w:jc w:val="center"/>
              <w:rPr>
                <w:rFonts w:hint="eastAsia" w:ascii="宋体" w:hAnsi="宋体" w:eastAsia="宋体" w:cs="宋体"/>
                <w:color w:val="auto"/>
                <w:sz w:val="21"/>
                <w:szCs w:val="21"/>
                <w:highlight w:val="none"/>
              </w:rPr>
            </w:pPr>
          </w:p>
        </w:tc>
        <w:tc>
          <w:tcPr>
            <w:tcW w:w="2258" w:type="dxa"/>
          </w:tcPr>
          <w:p w14:paraId="2736229A">
            <w:pPr>
              <w:pStyle w:val="42"/>
              <w:spacing w:line="360" w:lineRule="auto"/>
              <w:jc w:val="center"/>
              <w:rPr>
                <w:rFonts w:hint="eastAsia" w:ascii="宋体" w:hAnsi="宋体" w:eastAsia="宋体" w:cs="宋体"/>
                <w:color w:val="auto"/>
                <w:sz w:val="21"/>
                <w:szCs w:val="21"/>
                <w:highlight w:val="none"/>
              </w:rPr>
            </w:pPr>
          </w:p>
        </w:tc>
        <w:tc>
          <w:tcPr>
            <w:tcW w:w="2260" w:type="dxa"/>
          </w:tcPr>
          <w:p w14:paraId="201C18F9">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4B766B20">
            <w:pPr>
              <w:pStyle w:val="42"/>
              <w:spacing w:line="360" w:lineRule="auto"/>
              <w:jc w:val="center"/>
              <w:rPr>
                <w:rFonts w:hint="eastAsia" w:ascii="宋体" w:hAnsi="宋体" w:eastAsia="宋体" w:cs="宋体"/>
                <w:color w:val="auto"/>
                <w:sz w:val="21"/>
                <w:szCs w:val="21"/>
                <w:highlight w:val="none"/>
              </w:rPr>
            </w:pPr>
          </w:p>
        </w:tc>
      </w:tr>
      <w:tr w14:paraId="095A76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F002BB3">
            <w:pPr>
              <w:pStyle w:val="42"/>
              <w:spacing w:line="360" w:lineRule="auto"/>
              <w:jc w:val="center"/>
              <w:rPr>
                <w:rFonts w:hint="eastAsia" w:ascii="宋体" w:hAnsi="宋体" w:eastAsia="宋体" w:cs="宋体"/>
                <w:color w:val="auto"/>
                <w:sz w:val="21"/>
                <w:szCs w:val="21"/>
                <w:highlight w:val="none"/>
              </w:rPr>
            </w:pPr>
          </w:p>
        </w:tc>
        <w:tc>
          <w:tcPr>
            <w:tcW w:w="2258" w:type="dxa"/>
          </w:tcPr>
          <w:p w14:paraId="55E0AAD5">
            <w:pPr>
              <w:pStyle w:val="42"/>
              <w:spacing w:line="360" w:lineRule="auto"/>
              <w:jc w:val="center"/>
              <w:rPr>
                <w:rFonts w:hint="eastAsia" w:ascii="宋体" w:hAnsi="宋体" w:eastAsia="宋体" w:cs="宋体"/>
                <w:color w:val="auto"/>
                <w:sz w:val="21"/>
                <w:szCs w:val="21"/>
                <w:highlight w:val="none"/>
              </w:rPr>
            </w:pPr>
          </w:p>
        </w:tc>
        <w:tc>
          <w:tcPr>
            <w:tcW w:w="2260" w:type="dxa"/>
          </w:tcPr>
          <w:p w14:paraId="3BBB53C9">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9A0AB07">
            <w:pPr>
              <w:pStyle w:val="42"/>
              <w:spacing w:line="360" w:lineRule="auto"/>
              <w:jc w:val="center"/>
              <w:rPr>
                <w:rFonts w:hint="eastAsia" w:ascii="宋体" w:hAnsi="宋体" w:eastAsia="宋体" w:cs="宋体"/>
                <w:color w:val="auto"/>
                <w:sz w:val="21"/>
                <w:szCs w:val="21"/>
                <w:highlight w:val="none"/>
              </w:rPr>
            </w:pPr>
          </w:p>
        </w:tc>
      </w:tr>
      <w:tr w14:paraId="0C1E7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9F1BBB2">
            <w:pPr>
              <w:pStyle w:val="42"/>
              <w:spacing w:line="360" w:lineRule="auto"/>
              <w:jc w:val="center"/>
              <w:rPr>
                <w:rFonts w:hint="eastAsia" w:ascii="宋体" w:hAnsi="宋体" w:eastAsia="宋体" w:cs="宋体"/>
                <w:color w:val="auto"/>
                <w:sz w:val="21"/>
                <w:szCs w:val="21"/>
                <w:highlight w:val="none"/>
              </w:rPr>
            </w:pPr>
          </w:p>
        </w:tc>
        <w:tc>
          <w:tcPr>
            <w:tcW w:w="2258" w:type="dxa"/>
          </w:tcPr>
          <w:p w14:paraId="01737977">
            <w:pPr>
              <w:pStyle w:val="42"/>
              <w:spacing w:line="360" w:lineRule="auto"/>
              <w:jc w:val="center"/>
              <w:rPr>
                <w:rFonts w:hint="eastAsia" w:ascii="宋体" w:hAnsi="宋体" w:eastAsia="宋体" w:cs="宋体"/>
                <w:color w:val="auto"/>
                <w:sz w:val="21"/>
                <w:szCs w:val="21"/>
                <w:highlight w:val="none"/>
              </w:rPr>
            </w:pPr>
          </w:p>
        </w:tc>
        <w:tc>
          <w:tcPr>
            <w:tcW w:w="2260" w:type="dxa"/>
          </w:tcPr>
          <w:p w14:paraId="015C0827">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1F7C24E0">
            <w:pPr>
              <w:pStyle w:val="42"/>
              <w:spacing w:line="360" w:lineRule="auto"/>
              <w:jc w:val="center"/>
              <w:rPr>
                <w:rFonts w:hint="eastAsia" w:ascii="宋体" w:hAnsi="宋体" w:eastAsia="宋体" w:cs="宋体"/>
                <w:color w:val="auto"/>
                <w:sz w:val="21"/>
                <w:szCs w:val="21"/>
                <w:highlight w:val="none"/>
              </w:rPr>
            </w:pPr>
          </w:p>
        </w:tc>
      </w:tr>
      <w:tr w14:paraId="3F5315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BABE213">
            <w:pPr>
              <w:pStyle w:val="42"/>
              <w:spacing w:line="360" w:lineRule="auto"/>
              <w:jc w:val="center"/>
              <w:rPr>
                <w:rFonts w:hint="eastAsia" w:ascii="宋体" w:hAnsi="宋体" w:eastAsia="宋体" w:cs="宋体"/>
                <w:color w:val="auto"/>
                <w:sz w:val="21"/>
                <w:szCs w:val="21"/>
                <w:highlight w:val="none"/>
              </w:rPr>
            </w:pPr>
          </w:p>
        </w:tc>
        <w:tc>
          <w:tcPr>
            <w:tcW w:w="2258" w:type="dxa"/>
          </w:tcPr>
          <w:p w14:paraId="48A3CE71">
            <w:pPr>
              <w:pStyle w:val="42"/>
              <w:spacing w:line="360" w:lineRule="auto"/>
              <w:jc w:val="center"/>
              <w:rPr>
                <w:rFonts w:hint="eastAsia" w:ascii="宋体" w:hAnsi="宋体" w:eastAsia="宋体" w:cs="宋体"/>
                <w:color w:val="auto"/>
                <w:sz w:val="21"/>
                <w:szCs w:val="21"/>
                <w:highlight w:val="none"/>
              </w:rPr>
            </w:pPr>
          </w:p>
        </w:tc>
        <w:tc>
          <w:tcPr>
            <w:tcW w:w="2260" w:type="dxa"/>
          </w:tcPr>
          <w:p w14:paraId="2684A586">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00F35B3">
            <w:pPr>
              <w:pStyle w:val="42"/>
              <w:spacing w:line="360" w:lineRule="auto"/>
              <w:jc w:val="center"/>
              <w:rPr>
                <w:rFonts w:hint="eastAsia" w:ascii="宋体" w:hAnsi="宋体" w:eastAsia="宋体" w:cs="宋体"/>
                <w:color w:val="auto"/>
                <w:sz w:val="21"/>
                <w:szCs w:val="21"/>
                <w:highlight w:val="none"/>
              </w:rPr>
            </w:pPr>
          </w:p>
        </w:tc>
      </w:tr>
      <w:tr w14:paraId="70711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5D8501E4">
            <w:pPr>
              <w:pStyle w:val="42"/>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14:paraId="2BA1D955">
            <w:pPr>
              <w:pStyle w:val="42"/>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14:paraId="7947B9A6">
            <w:pPr>
              <w:pStyle w:val="42"/>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614A6A4B">
            <w:pPr>
              <w:pStyle w:val="42"/>
              <w:spacing w:line="360" w:lineRule="auto"/>
              <w:jc w:val="center"/>
              <w:rPr>
                <w:rFonts w:hint="eastAsia" w:ascii="宋体" w:hAnsi="宋体" w:eastAsia="宋体" w:cs="宋体"/>
                <w:color w:val="auto"/>
                <w:sz w:val="21"/>
                <w:szCs w:val="21"/>
                <w:highlight w:val="none"/>
              </w:rPr>
            </w:pPr>
          </w:p>
        </w:tc>
      </w:tr>
    </w:tbl>
    <w:p w14:paraId="1E3BF3EB">
      <w:pPr>
        <w:pStyle w:val="42"/>
        <w:tabs>
          <w:tab w:val="left" w:pos="1050"/>
        </w:tabs>
        <w:spacing w:line="360" w:lineRule="auto"/>
        <w:rPr>
          <w:rFonts w:hint="eastAsia" w:ascii="宋体" w:hAnsi="宋体" w:eastAsia="宋体" w:cs="宋体"/>
          <w:color w:val="auto"/>
          <w:sz w:val="24"/>
          <w:highlight w:val="none"/>
        </w:rPr>
      </w:pPr>
    </w:p>
    <w:p w14:paraId="16D5BD49">
      <w:pPr>
        <w:pStyle w:val="42"/>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149D54B5">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23094F5D">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630DFBC5">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378E7375">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6543E050">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41A598E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14D0D96">
      <w:pPr>
        <w:spacing w:line="360" w:lineRule="auto"/>
        <w:ind w:left="420"/>
        <w:rPr>
          <w:rFonts w:hint="eastAsia" w:ascii="宋体" w:hAnsi="宋体" w:eastAsia="宋体" w:cs="宋体"/>
          <w:color w:val="auto"/>
          <w:sz w:val="21"/>
          <w:szCs w:val="21"/>
          <w:highlight w:val="none"/>
        </w:rPr>
      </w:pPr>
    </w:p>
    <w:p w14:paraId="1EA12AF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43B7058">
      <w:pPr>
        <w:spacing w:line="360" w:lineRule="auto"/>
        <w:rPr>
          <w:rFonts w:hint="eastAsia" w:ascii="宋体" w:hAnsi="宋体" w:eastAsia="宋体" w:cs="宋体"/>
          <w:color w:val="auto"/>
          <w:sz w:val="21"/>
          <w:szCs w:val="21"/>
          <w:highlight w:val="none"/>
        </w:rPr>
      </w:pPr>
    </w:p>
    <w:p w14:paraId="6BD4558A">
      <w:pPr>
        <w:pStyle w:val="38"/>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7320CDC1">
      <w:pPr>
        <w:spacing w:line="360" w:lineRule="auto"/>
        <w:rPr>
          <w:rFonts w:hint="eastAsia" w:ascii="宋体" w:hAnsi="宋体" w:eastAsia="宋体" w:cs="宋体"/>
          <w:b/>
          <w:color w:val="auto"/>
          <w:sz w:val="24"/>
          <w:highlight w:val="none"/>
        </w:rPr>
      </w:pPr>
    </w:p>
    <w:p w14:paraId="0056EC3D">
      <w:pPr>
        <w:spacing w:line="360" w:lineRule="auto"/>
        <w:rPr>
          <w:rFonts w:hint="eastAsia" w:ascii="宋体" w:hAnsi="宋体" w:eastAsia="宋体" w:cs="宋体"/>
          <w:b/>
          <w:color w:val="auto"/>
          <w:sz w:val="28"/>
          <w:highlight w:val="none"/>
        </w:rPr>
      </w:pPr>
    </w:p>
    <w:p w14:paraId="3013D4AB">
      <w:pPr>
        <w:pStyle w:val="7"/>
        <w:rPr>
          <w:rFonts w:hint="eastAsia" w:ascii="宋体" w:hAnsi="宋体" w:eastAsia="宋体" w:cs="宋体"/>
          <w:b/>
          <w:color w:val="auto"/>
          <w:sz w:val="28"/>
          <w:highlight w:val="none"/>
        </w:rPr>
      </w:pPr>
    </w:p>
    <w:p w14:paraId="0231EAD6">
      <w:pPr>
        <w:pStyle w:val="7"/>
        <w:rPr>
          <w:rFonts w:hint="eastAsia" w:ascii="宋体" w:hAnsi="宋体" w:eastAsia="宋体" w:cs="宋体"/>
          <w:b/>
          <w:color w:val="auto"/>
          <w:sz w:val="28"/>
          <w:highlight w:val="none"/>
        </w:rPr>
      </w:pPr>
    </w:p>
    <w:p w14:paraId="20A3084A">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4E42F74A">
      <w:pPr>
        <w:pStyle w:val="4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5EC815B4">
      <w:pPr>
        <w:pStyle w:val="41"/>
        <w:spacing w:line="360" w:lineRule="auto"/>
        <w:jc w:val="center"/>
        <w:rPr>
          <w:rFonts w:hint="eastAsia" w:ascii="宋体" w:hAnsi="宋体" w:eastAsia="宋体" w:cs="宋体"/>
          <w:b/>
          <w:color w:val="auto"/>
          <w:sz w:val="24"/>
          <w:highlight w:val="none"/>
        </w:rPr>
      </w:pPr>
    </w:p>
    <w:tbl>
      <w:tblPr>
        <w:tblStyle w:val="2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028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665E3D3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DF34A9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22CC4E2">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0E9387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9B4C067">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FFF715A">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1127C3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4747D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F22137A">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DAC7F5C">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D676041">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01CC442">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E5A8A69">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B879D28">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2DABAB8">
            <w:pPr>
              <w:pStyle w:val="41"/>
              <w:spacing w:line="360" w:lineRule="auto"/>
              <w:rPr>
                <w:rFonts w:hint="eastAsia" w:ascii="宋体" w:hAnsi="宋体" w:eastAsia="宋体" w:cs="宋体"/>
                <w:color w:val="auto"/>
                <w:sz w:val="21"/>
                <w:szCs w:val="21"/>
                <w:highlight w:val="none"/>
              </w:rPr>
            </w:pPr>
          </w:p>
        </w:tc>
      </w:tr>
      <w:tr w14:paraId="73D00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64E5DC5">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1BCE1DA7">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DBA602D">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E1EDAD6">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4D25423">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5EC65C0">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693454F">
            <w:pPr>
              <w:pStyle w:val="41"/>
              <w:spacing w:line="360" w:lineRule="auto"/>
              <w:rPr>
                <w:rFonts w:hint="eastAsia" w:ascii="宋体" w:hAnsi="宋体" w:eastAsia="宋体" w:cs="宋体"/>
                <w:color w:val="auto"/>
                <w:sz w:val="21"/>
                <w:szCs w:val="21"/>
                <w:highlight w:val="none"/>
              </w:rPr>
            </w:pPr>
          </w:p>
        </w:tc>
      </w:tr>
      <w:tr w14:paraId="571A8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386FF09">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C0E4149">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33A7D4">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CA1D852">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A583D1A">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7284CF2">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85F34E7">
            <w:pPr>
              <w:pStyle w:val="41"/>
              <w:spacing w:line="360" w:lineRule="auto"/>
              <w:rPr>
                <w:rFonts w:hint="eastAsia" w:ascii="宋体" w:hAnsi="宋体" w:eastAsia="宋体" w:cs="宋体"/>
                <w:color w:val="auto"/>
                <w:sz w:val="21"/>
                <w:szCs w:val="21"/>
                <w:highlight w:val="none"/>
              </w:rPr>
            </w:pPr>
          </w:p>
        </w:tc>
      </w:tr>
      <w:tr w14:paraId="2C6D7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F7CBA88">
            <w:pPr>
              <w:pStyle w:val="4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5C128109">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7F3090F">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471D16B">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0721B9A">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5599F83">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33AA7AA">
            <w:pPr>
              <w:pStyle w:val="41"/>
              <w:spacing w:line="360" w:lineRule="auto"/>
              <w:rPr>
                <w:rFonts w:hint="eastAsia" w:ascii="宋体" w:hAnsi="宋体" w:eastAsia="宋体" w:cs="宋体"/>
                <w:color w:val="auto"/>
                <w:sz w:val="21"/>
                <w:szCs w:val="21"/>
                <w:highlight w:val="none"/>
              </w:rPr>
            </w:pPr>
          </w:p>
        </w:tc>
      </w:tr>
      <w:tr w14:paraId="12272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6882E74">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B80A87A">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779301C">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9CFC87E">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E88CF34">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0D977F0">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2AAC55B">
            <w:pPr>
              <w:pStyle w:val="41"/>
              <w:spacing w:line="360" w:lineRule="auto"/>
              <w:rPr>
                <w:rFonts w:hint="eastAsia" w:ascii="宋体" w:hAnsi="宋体" w:eastAsia="宋体" w:cs="宋体"/>
                <w:color w:val="auto"/>
                <w:sz w:val="21"/>
                <w:szCs w:val="21"/>
                <w:highlight w:val="none"/>
              </w:rPr>
            </w:pPr>
          </w:p>
        </w:tc>
      </w:tr>
      <w:tr w14:paraId="283BA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79ABE07">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B2CDB2B">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26F0C8">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1DF2BAE">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9D6AF87">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401F553">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5CAD83F">
            <w:pPr>
              <w:pStyle w:val="41"/>
              <w:spacing w:line="360" w:lineRule="auto"/>
              <w:rPr>
                <w:rFonts w:hint="eastAsia" w:ascii="宋体" w:hAnsi="宋体" w:eastAsia="宋体" w:cs="宋体"/>
                <w:color w:val="auto"/>
                <w:sz w:val="21"/>
                <w:szCs w:val="21"/>
                <w:highlight w:val="none"/>
              </w:rPr>
            </w:pPr>
          </w:p>
        </w:tc>
      </w:tr>
      <w:tr w14:paraId="72CF0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71A808B">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072722F6">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4B0AF1D">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99EC131">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26D1640">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A9F459E">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F81ADC8">
            <w:pPr>
              <w:pStyle w:val="41"/>
              <w:spacing w:line="360" w:lineRule="auto"/>
              <w:rPr>
                <w:rFonts w:hint="eastAsia" w:ascii="宋体" w:hAnsi="宋体" w:eastAsia="宋体" w:cs="宋体"/>
                <w:color w:val="auto"/>
                <w:sz w:val="21"/>
                <w:szCs w:val="21"/>
                <w:highlight w:val="none"/>
              </w:rPr>
            </w:pPr>
          </w:p>
        </w:tc>
      </w:tr>
    </w:tbl>
    <w:p w14:paraId="33F762C3">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308D9C0">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15F41893">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4B8D8118">
      <w:pPr>
        <w:spacing w:line="360" w:lineRule="auto"/>
        <w:rPr>
          <w:rFonts w:hint="eastAsia" w:ascii="宋体" w:hAnsi="宋体" w:eastAsia="宋体" w:cs="宋体"/>
          <w:color w:val="auto"/>
          <w:sz w:val="21"/>
          <w:szCs w:val="21"/>
          <w:highlight w:val="none"/>
        </w:rPr>
      </w:pPr>
    </w:p>
    <w:p w14:paraId="7A3CFF46">
      <w:pPr>
        <w:spacing w:line="360" w:lineRule="auto"/>
        <w:rPr>
          <w:rFonts w:hint="eastAsia" w:ascii="宋体" w:hAnsi="宋体" w:eastAsia="宋体" w:cs="宋体"/>
          <w:color w:val="auto"/>
          <w:sz w:val="21"/>
          <w:szCs w:val="21"/>
          <w:highlight w:val="none"/>
        </w:rPr>
      </w:pPr>
    </w:p>
    <w:p w14:paraId="62CF67A6">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8677911">
      <w:pPr>
        <w:spacing w:line="360" w:lineRule="auto"/>
        <w:ind w:left="420"/>
        <w:rPr>
          <w:rFonts w:hint="eastAsia" w:ascii="宋体" w:hAnsi="宋体" w:eastAsia="宋体" w:cs="宋体"/>
          <w:color w:val="auto"/>
          <w:sz w:val="21"/>
          <w:szCs w:val="21"/>
          <w:highlight w:val="none"/>
        </w:rPr>
      </w:pPr>
    </w:p>
    <w:p w14:paraId="54F91FB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A9BE03D">
      <w:pPr>
        <w:spacing w:line="360" w:lineRule="auto"/>
        <w:rPr>
          <w:rFonts w:hint="eastAsia" w:ascii="宋体" w:hAnsi="宋体" w:eastAsia="宋体" w:cs="宋体"/>
          <w:color w:val="auto"/>
          <w:sz w:val="21"/>
          <w:szCs w:val="21"/>
          <w:highlight w:val="none"/>
        </w:rPr>
      </w:pPr>
    </w:p>
    <w:p w14:paraId="1B1AA48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794EF28">
      <w:pPr>
        <w:spacing w:line="360" w:lineRule="auto"/>
        <w:jc w:val="center"/>
        <w:rPr>
          <w:rFonts w:hint="eastAsia" w:ascii="宋体" w:hAnsi="宋体" w:eastAsia="宋体" w:cs="宋体"/>
          <w:snapToGrid w:val="0"/>
          <w:color w:val="auto"/>
          <w:kern w:val="0"/>
          <w:sz w:val="21"/>
          <w:szCs w:val="21"/>
          <w:highlight w:val="none"/>
        </w:rPr>
      </w:pPr>
    </w:p>
    <w:p w14:paraId="0F26FD98">
      <w:pPr>
        <w:pStyle w:val="42"/>
        <w:tabs>
          <w:tab w:val="left" w:pos="1050"/>
        </w:tabs>
        <w:spacing w:line="360" w:lineRule="auto"/>
        <w:rPr>
          <w:rFonts w:hint="eastAsia" w:ascii="宋体" w:hAnsi="宋体" w:eastAsia="宋体" w:cs="宋体"/>
          <w:b/>
          <w:color w:val="auto"/>
          <w:sz w:val="28"/>
          <w:highlight w:val="none"/>
        </w:rPr>
      </w:pPr>
    </w:p>
    <w:p w14:paraId="2E907184">
      <w:pPr>
        <w:pStyle w:val="42"/>
        <w:tabs>
          <w:tab w:val="left" w:pos="1050"/>
        </w:tabs>
        <w:spacing w:line="360" w:lineRule="auto"/>
        <w:rPr>
          <w:rFonts w:hint="eastAsia" w:ascii="宋体" w:hAnsi="宋体" w:eastAsia="宋体" w:cs="宋体"/>
          <w:b/>
          <w:color w:val="auto"/>
          <w:sz w:val="28"/>
          <w:highlight w:val="none"/>
        </w:rPr>
      </w:pPr>
    </w:p>
    <w:p w14:paraId="205646D1">
      <w:pPr>
        <w:pStyle w:val="42"/>
        <w:tabs>
          <w:tab w:val="left" w:pos="1050"/>
        </w:tabs>
        <w:spacing w:line="360" w:lineRule="auto"/>
        <w:outlineLvl w:val="9"/>
        <w:rPr>
          <w:rFonts w:hint="default"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13</w:t>
      </w:r>
    </w:p>
    <w:p w14:paraId="6A02617D">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728F2F3E">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5D66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66E1C7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6248C1C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27633AC5">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5E889E98">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0861976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74F4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F2F065D">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6C699468">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服务时间及地点</w:t>
            </w:r>
          </w:p>
        </w:tc>
        <w:tc>
          <w:tcPr>
            <w:tcW w:w="1541" w:type="dxa"/>
            <w:vAlign w:val="center"/>
          </w:tcPr>
          <w:p w14:paraId="036B4850">
            <w:pPr>
              <w:spacing w:line="360" w:lineRule="auto"/>
              <w:rPr>
                <w:rFonts w:hint="eastAsia" w:ascii="宋体" w:hAnsi="宋体" w:eastAsia="宋体" w:cs="宋体"/>
                <w:color w:val="auto"/>
                <w:sz w:val="21"/>
                <w:szCs w:val="21"/>
                <w:highlight w:val="none"/>
              </w:rPr>
            </w:pPr>
          </w:p>
        </w:tc>
        <w:tc>
          <w:tcPr>
            <w:tcW w:w="1365" w:type="dxa"/>
            <w:vAlign w:val="center"/>
          </w:tcPr>
          <w:p w14:paraId="16F95DBE">
            <w:pPr>
              <w:spacing w:line="360" w:lineRule="auto"/>
              <w:rPr>
                <w:rFonts w:hint="eastAsia" w:ascii="宋体" w:hAnsi="宋体" w:eastAsia="宋体" w:cs="宋体"/>
                <w:color w:val="auto"/>
                <w:sz w:val="21"/>
                <w:szCs w:val="21"/>
                <w:highlight w:val="none"/>
              </w:rPr>
            </w:pPr>
          </w:p>
        </w:tc>
        <w:tc>
          <w:tcPr>
            <w:tcW w:w="2625" w:type="dxa"/>
            <w:vAlign w:val="center"/>
          </w:tcPr>
          <w:p w14:paraId="29968C53">
            <w:pPr>
              <w:spacing w:line="360" w:lineRule="auto"/>
              <w:rPr>
                <w:rFonts w:hint="eastAsia" w:ascii="宋体" w:hAnsi="宋体" w:eastAsia="宋体" w:cs="宋体"/>
                <w:color w:val="auto"/>
                <w:sz w:val="21"/>
                <w:szCs w:val="21"/>
                <w:highlight w:val="none"/>
              </w:rPr>
            </w:pPr>
          </w:p>
        </w:tc>
      </w:tr>
      <w:tr w14:paraId="4AEE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B333573">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4DF663AB">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付款条件</w:t>
            </w:r>
          </w:p>
        </w:tc>
        <w:tc>
          <w:tcPr>
            <w:tcW w:w="1541" w:type="dxa"/>
            <w:vAlign w:val="center"/>
          </w:tcPr>
          <w:p w14:paraId="17A29982">
            <w:pPr>
              <w:spacing w:line="360" w:lineRule="auto"/>
              <w:rPr>
                <w:rFonts w:hint="eastAsia" w:ascii="宋体" w:hAnsi="宋体" w:eastAsia="宋体" w:cs="宋体"/>
                <w:color w:val="auto"/>
                <w:sz w:val="21"/>
                <w:szCs w:val="21"/>
                <w:highlight w:val="none"/>
              </w:rPr>
            </w:pPr>
          </w:p>
        </w:tc>
        <w:tc>
          <w:tcPr>
            <w:tcW w:w="1365" w:type="dxa"/>
            <w:vAlign w:val="center"/>
          </w:tcPr>
          <w:p w14:paraId="670D30D1">
            <w:pPr>
              <w:spacing w:line="360" w:lineRule="auto"/>
              <w:rPr>
                <w:rFonts w:hint="eastAsia" w:ascii="宋体" w:hAnsi="宋体" w:eastAsia="宋体" w:cs="宋体"/>
                <w:color w:val="auto"/>
                <w:sz w:val="21"/>
                <w:szCs w:val="21"/>
                <w:highlight w:val="none"/>
              </w:rPr>
            </w:pPr>
          </w:p>
        </w:tc>
        <w:tc>
          <w:tcPr>
            <w:tcW w:w="2625" w:type="dxa"/>
            <w:vAlign w:val="center"/>
          </w:tcPr>
          <w:p w14:paraId="74CA9BE1">
            <w:pPr>
              <w:spacing w:line="360" w:lineRule="auto"/>
              <w:rPr>
                <w:rFonts w:hint="eastAsia" w:ascii="宋体" w:hAnsi="宋体" w:eastAsia="宋体" w:cs="宋体"/>
                <w:color w:val="auto"/>
                <w:sz w:val="21"/>
                <w:szCs w:val="21"/>
                <w:highlight w:val="none"/>
              </w:rPr>
            </w:pPr>
          </w:p>
        </w:tc>
      </w:tr>
      <w:tr w14:paraId="5BC8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ECDBC68">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45B7569E">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1541" w:type="dxa"/>
            <w:vAlign w:val="center"/>
          </w:tcPr>
          <w:p w14:paraId="1597C2C4">
            <w:pPr>
              <w:spacing w:line="360" w:lineRule="auto"/>
              <w:rPr>
                <w:rFonts w:hint="eastAsia" w:ascii="宋体" w:hAnsi="宋体" w:eastAsia="宋体" w:cs="宋体"/>
                <w:color w:val="auto"/>
                <w:sz w:val="21"/>
                <w:szCs w:val="21"/>
                <w:highlight w:val="none"/>
              </w:rPr>
            </w:pPr>
          </w:p>
        </w:tc>
        <w:tc>
          <w:tcPr>
            <w:tcW w:w="1365" w:type="dxa"/>
            <w:vAlign w:val="center"/>
          </w:tcPr>
          <w:p w14:paraId="0FE8BCBD">
            <w:pPr>
              <w:spacing w:line="360" w:lineRule="auto"/>
              <w:rPr>
                <w:rFonts w:hint="eastAsia" w:ascii="宋体" w:hAnsi="宋体" w:eastAsia="宋体" w:cs="宋体"/>
                <w:color w:val="auto"/>
                <w:sz w:val="21"/>
                <w:szCs w:val="21"/>
                <w:highlight w:val="none"/>
              </w:rPr>
            </w:pPr>
          </w:p>
        </w:tc>
        <w:tc>
          <w:tcPr>
            <w:tcW w:w="2625" w:type="dxa"/>
            <w:vAlign w:val="center"/>
          </w:tcPr>
          <w:p w14:paraId="242AD928">
            <w:pPr>
              <w:spacing w:line="360" w:lineRule="auto"/>
              <w:rPr>
                <w:rFonts w:hint="eastAsia" w:ascii="宋体" w:hAnsi="宋体" w:eastAsia="宋体" w:cs="宋体"/>
                <w:color w:val="auto"/>
                <w:sz w:val="21"/>
                <w:szCs w:val="21"/>
                <w:highlight w:val="none"/>
              </w:rPr>
            </w:pPr>
          </w:p>
        </w:tc>
      </w:tr>
      <w:tr w14:paraId="4F64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6E649E7">
            <w:pPr>
              <w:spacing w:line="360" w:lineRule="auto"/>
              <w:rPr>
                <w:rFonts w:hint="eastAsia" w:ascii="宋体" w:hAnsi="宋体" w:eastAsia="宋体" w:cs="宋体"/>
                <w:color w:val="auto"/>
                <w:sz w:val="21"/>
                <w:szCs w:val="21"/>
                <w:highlight w:val="none"/>
              </w:rPr>
            </w:pPr>
          </w:p>
        </w:tc>
        <w:tc>
          <w:tcPr>
            <w:tcW w:w="2029" w:type="dxa"/>
            <w:vAlign w:val="top"/>
          </w:tcPr>
          <w:p w14:paraId="77934D96">
            <w:pPr>
              <w:snapToGrid w:val="0"/>
              <w:rPr>
                <w:rFonts w:hint="eastAsia" w:ascii="宋体" w:hAnsi="宋体" w:eastAsia="宋体" w:cs="宋体"/>
                <w:color w:val="auto"/>
                <w:sz w:val="21"/>
                <w:szCs w:val="21"/>
                <w:highlight w:val="none"/>
              </w:rPr>
            </w:pPr>
          </w:p>
        </w:tc>
        <w:tc>
          <w:tcPr>
            <w:tcW w:w="1541" w:type="dxa"/>
            <w:vAlign w:val="center"/>
          </w:tcPr>
          <w:p w14:paraId="39B5400C">
            <w:pPr>
              <w:spacing w:line="360" w:lineRule="auto"/>
              <w:rPr>
                <w:rFonts w:hint="eastAsia" w:ascii="宋体" w:hAnsi="宋体" w:eastAsia="宋体" w:cs="宋体"/>
                <w:color w:val="auto"/>
                <w:sz w:val="21"/>
                <w:szCs w:val="21"/>
                <w:highlight w:val="none"/>
              </w:rPr>
            </w:pPr>
          </w:p>
        </w:tc>
        <w:tc>
          <w:tcPr>
            <w:tcW w:w="1365" w:type="dxa"/>
            <w:vAlign w:val="center"/>
          </w:tcPr>
          <w:p w14:paraId="43607476">
            <w:pPr>
              <w:spacing w:line="360" w:lineRule="auto"/>
              <w:rPr>
                <w:rFonts w:hint="eastAsia" w:ascii="宋体" w:hAnsi="宋体" w:eastAsia="宋体" w:cs="宋体"/>
                <w:color w:val="auto"/>
                <w:sz w:val="21"/>
                <w:szCs w:val="21"/>
                <w:highlight w:val="none"/>
              </w:rPr>
            </w:pPr>
          </w:p>
        </w:tc>
        <w:tc>
          <w:tcPr>
            <w:tcW w:w="2625" w:type="dxa"/>
            <w:vAlign w:val="center"/>
          </w:tcPr>
          <w:p w14:paraId="0B5ADC91">
            <w:pPr>
              <w:spacing w:line="360" w:lineRule="auto"/>
              <w:rPr>
                <w:rFonts w:hint="eastAsia" w:ascii="宋体" w:hAnsi="宋体" w:eastAsia="宋体" w:cs="宋体"/>
                <w:color w:val="auto"/>
                <w:sz w:val="21"/>
                <w:szCs w:val="21"/>
                <w:highlight w:val="none"/>
              </w:rPr>
            </w:pPr>
          </w:p>
        </w:tc>
      </w:tr>
      <w:tr w14:paraId="41D0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5CCA7B8">
            <w:pPr>
              <w:spacing w:line="360" w:lineRule="auto"/>
              <w:rPr>
                <w:rFonts w:hint="eastAsia" w:ascii="宋体" w:hAnsi="宋体" w:eastAsia="宋体" w:cs="宋体"/>
                <w:color w:val="auto"/>
                <w:sz w:val="21"/>
                <w:szCs w:val="21"/>
                <w:highlight w:val="none"/>
              </w:rPr>
            </w:pPr>
          </w:p>
        </w:tc>
        <w:tc>
          <w:tcPr>
            <w:tcW w:w="2029" w:type="dxa"/>
            <w:vAlign w:val="top"/>
          </w:tcPr>
          <w:p w14:paraId="31B44270">
            <w:pPr>
              <w:snapToGrid w:val="0"/>
              <w:rPr>
                <w:rFonts w:hint="eastAsia" w:ascii="宋体" w:hAnsi="宋体" w:eastAsia="宋体" w:cs="宋体"/>
                <w:color w:val="auto"/>
                <w:sz w:val="21"/>
                <w:szCs w:val="21"/>
                <w:highlight w:val="none"/>
              </w:rPr>
            </w:pPr>
          </w:p>
        </w:tc>
        <w:tc>
          <w:tcPr>
            <w:tcW w:w="1541" w:type="dxa"/>
            <w:vAlign w:val="center"/>
          </w:tcPr>
          <w:p w14:paraId="28392EC1">
            <w:pPr>
              <w:spacing w:line="360" w:lineRule="auto"/>
              <w:rPr>
                <w:rFonts w:hint="eastAsia" w:ascii="宋体" w:hAnsi="宋体" w:eastAsia="宋体" w:cs="宋体"/>
                <w:color w:val="auto"/>
                <w:sz w:val="21"/>
                <w:szCs w:val="21"/>
                <w:highlight w:val="none"/>
              </w:rPr>
            </w:pPr>
          </w:p>
        </w:tc>
        <w:tc>
          <w:tcPr>
            <w:tcW w:w="1365" w:type="dxa"/>
            <w:vAlign w:val="center"/>
          </w:tcPr>
          <w:p w14:paraId="32A6B65E">
            <w:pPr>
              <w:spacing w:line="360" w:lineRule="auto"/>
              <w:rPr>
                <w:rFonts w:hint="eastAsia" w:ascii="宋体" w:hAnsi="宋体" w:eastAsia="宋体" w:cs="宋体"/>
                <w:color w:val="auto"/>
                <w:sz w:val="21"/>
                <w:szCs w:val="21"/>
                <w:highlight w:val="none"/>
              </w:rPr>
            </w:pPr>
          </w:p>
        </w:tc>
        <w:tc>
          <w:tcPr>
            <w:tcW w:w="2625" w:type="dxa"/>
            <w:vAlign w:val="center"/>
          </w:tcPr>
          <w:p w14:paraId="09F573F2">
            <w:pPr>
              <w:spacing w:line="360" w:lineRule="auto"/>
              <w:rPr>
                <w:rFonts w:hint="eastAsia" w:ascii="宋体" w:hAnsi="宋体" w:eastAsia="宋体" w:cs="宋体"/>
                <w:color w:val="auto"/>
                <w:sz w:val="21"/>
                <w:szCs w:val="21"/>
                <w:highlight w:val="none"/>
              </w:rPr>
            </w:pPr>
          </w:p>
        </w:tc>
      </w:tr>
      <w:tr w14:paraId="6BA8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3198584">
            <w:pPr>
              <w:spacing w:line="360" w:lineRule="auto"/>
              <w:rPr>
                <w:rFonts w:hint="eastAsia" w:ascii="宋体" w:hAnsi="宋体" w:eastAsia="宋体" w:cs="宋体"/>
                <w:color w:val="auto"/>
                <w:sz w:val="21"/>
                <w:szCs w:val="21"/>
                <w:highlight w:val="none"/>
              </w:rPr>
            </w:pPr>
          </w:p>
        </w:tc>
        <w:tc>
          <w:tcPr>
            <w:tcW w:w="2029" w:type="dxa"/>
          </w:tcPr>
          <w:p w14:paraId="3EDC358E">
            <w:pPr>
              <w:snapToGrid w:val="0"/>
              <w:spacing w:line="360" w:lineRule="auto"/>
              <w:rPr>
                <w:rFonts w:hint="eastAsia" w:ascii="宋体" w:hAnsi="宋体" w:eastAsia="宋体" w:cs="宋体"/>
                <w:color w:val="auto"/>
                <w:sz w:val="21"/>
                <w:szCs w:val="21"/>
                <w:highlight w:val="none"/>
              </w:rPr>
            </w:pPr>
          </w:p>
        </w:tc>
        <w:tc>
          <w:tcPr>
            <w:tcW w:w="1541" w:type="dxa"/>
            <w:vAlign w:val="center"/>
          </w:tcPr>
          <w:p w14:paraId="57D5C0C5">
            <w:pPr>
              <w:spacing w:line="360" w:lineRule="auto"/>
              <w:rPr>
                <w:rFonts w:hint="eastAsia" w:ascii="宋体" w:hAnsi="宋体" w:eastAsia="宋体" w:cs="宋体"/>
                <w:color w:val="auto"/>
                <w:sz w:val="21"/>
                <w:szCs w:val="21"/>
                <w:highlight w:val="none"/>
              </w:rPr>
            </w:pPr>
          </w:p>
        </w:tc>
        <w:tc>
          <w:tcPr>
            <w:tcW w:w="1365" w:type="dxa"/>
            <w:vAlign w:val="center"/>
          </w:tcPr>
          <w:p w14:paraId="355E9287">
            <w:pPr>
              <w:spacing w:line="360" w:lineRule="auto"/>
              <w:rPr>
                <w:rFonts w:hint="eastAsia" w:ascii="宋体" w:hAnsi="宋体" w:eastAsia="宋体" w:cs="宋体"/>
                <w:color w:val="auto"/>
                <w:sz w:val="21"/>
                <w:szCs w:val="21"/>
                <w:highlight w:val="none"/>
              </w:rPr>
            </w:pPr>
          </w:p>
        </w:tc>
        <w:tc>
          <w:tcPr>
            <w:tcW w:w="2625" w:type="dxa"/>
            <w:vAlign w:val="center"/>
          </w:tcPr>
          <w:p w14:paraId="32BF058B">
            <w:pPr>
              <w:spacing w:line="360" w:lineRule="auto"/>
              <w:rPr>
                <w:rFonts w:hint="eastAsia" w:ascii="宋体" w:hAnsi="宋体" w:eastAsia="宋体" w:cs="宋体"/>
                <w:color w:val="auto"/>
                <w:sz w:val="21"/>
                <w:szCs w:val="21"/>
                <w:highlight w:val="none"/>
              </w:rPr>
            </w:pPr>
          </w:p>
        </w:tc>
      </w:tr>
    </w:tbl>
    <w:p w14:paraId="7727A3FF">
      <w:pPr>
        <w:spacing w:line="360" w:lineRule="auto"/>
        <w:ind w:left="420"/>
        <w:rPr>
          <w:rFonts w:hint="eastAsia" w:ascii="宋体" w:hAnsi="宋体" w:eastAsia="宋体" w:cs="宋体"/>
          <w:color w:val="auto"/>
          <w:sz w:val="21"/>
          <w:szCs w:val="21"/>
          <w:highlight w:val="none"/>
        </w:rPr>
      </w:pPr>
    </w:p>
    <w:p w14:paraId="43749691">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4C57B8C">
      <w:pPr>
        <w:spacing w:line="360" w:lineRule="auto"/>
        <w:ind w:left="420"/>
        <w:rPr>
          <w:rFonts w:hint="eastAsia" w:ascii="宋体" w:hAnsi="宋体" w:eastAsia="宋体" w:cs="宋体"/>
          <w:color w:val="auto"/>
          <w:sz w:val="21"/>
          <w:szCs w:val="21"/>
          <w:highlight w:val="none"/>
        </w:rPr>
      </w:pPr>
    </w:p>
    <w:p w14:paraId="52EA2F4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E6BBDB8">
      <w:pPr>
        <w:spacing w:line="360" w:lineRule="auto"/>
        <w:ind w:firstLine="435"/>
        <w:rPr>
          <w:rFonts w:hint="eastAsia" w:ascii="宋体" w:hAnsi="宋体" w:eastAsia="宋体" w:cs="宋体"/>
          <w:color w:val="auto"/>
          <w:sz w:val="21"/>
          <w:szCs w:val="21"/>
          <w:highlight w:val="none"/>
        </w:rPr>
      </w:pPr>
    </w:p>
    <w:p w14:paraId="1FE636CF">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544D24A0">
      <w:pPr>
        <w:tabs>
          <w:tab w:val="left" w:pos="2460"/>
        </w:tabs>
        <w:spacing w:line="360" w:lineRule="auto"/>
        <w:ind w:firstLine="435"/>
        <w:rPr>
          <w:rFonts w:hint="eastAsia" w:ascii="宋体" w:hAnsi="宋体" w:eastAsia="宋体" w:cs="宋体"/>
          <w:b/>
          <w:color w:val="auto"/>
          <w:sz w:val="28"/>
          <w:highlight w:val="none"/>
        </w:rPr>
      </w:pPr>
    </w:p>
    <w:p w14:paraId="23635985">
      <w:pPr>
        <w:tabs>
          <w:tab w:val="left" w:pos="2460"/>
        </w:tabs>
        <w:spacing w:line="360" w:lineRule="auto"/>
        <w:ind w:firstLine="435"/>
        <w:rPr>
          <w:rFonts w:hint="eastAsia" w:ascii="宋体" w:hAnsi="宋体" w:eastAsia="宋体" w:cs="宋体"/>
          <w:b/>
          <w:color w:val="auto"/>
          <w:sz w:val="28"/>
          <w:highlight w:val="none"/>
        </w:rPr>
      </w:pPr>
    </w:p>
    <w:p w14:paraId="709431DB">
      <w:pPr>
        <w:tabs>
          <w:tab w:val="left" w:pos="2460"/>
        </w:tabs>
        <w:spacing w:line="360" w:lineRule="auto"/>
        <w:ind w:firstLine="435"/>
        <w:rPr>
          <w:rFonts w:hint="eastAsia" w:ascii="宋体" w:hAnsi="宋体" w:eastAsia="宋体" w:cs="宋体"/>
          <w:b/>
          <w:color w:val="auto"/>
          <w:sz w:val="28"/>
          <w:highlight w:val="none"/>
        </w:rPr>
      </w:pPr>
    </w:p>
    <w:p w14:paraId="0F6480ED">
      <w:pPr>
        <w:pStyle w:val="7"/>
        <w:rPr>
          <w:rFonts w:hint="eastAsia" w:ascii="宋体" w:hAnsi="宋体" w:eastAsia="宋体" w:cs="宋体"/>
          <w:b/>
          <w:color w:val="auto"/>
          <w:sz w:val="28"/>
          <w:highlight w:val="none"/>
        </w:rPr>
      </w:pPr>
    </w:p>
    <w:p w14:paraId="0F1A6C8B">
      <w:pPr>
        <w:pStyle w:val="7"/>
        <w:rPr>
          <w:rFonts w:hint="eastAsia" w:ascii="宋体" w:hAnsi="宋体" w:eastAsia="宋体" w:cs="宋体"/>
          <w:b/>
          <w:color w:val="auto"/>
          <w:sz w:val="28"/>
          <w:highlight w:val="none"/>
        </w:rPr>
      </w:pPr>
    </w:p>
    <w:p w14:paraId="62F23ED6">
      <w:pPr>
        <w:tabs>
          <w:tab w:val="left" w:pos="2460"/>
        </w:tabs>
        <w:spacing w:line="360" w:lineRule="auto"/>
        <w:rPr>
          <w:rFonts w:hint="eastAsia" w:ascii="宋体" w:hAnsi="宋体" w:eastAsia="宋体" w:cs="宋体"/>
          <w:b/>
          <w:color w:val="auto"/>
          <w:sz w:val="28"/>
          <w:highlight w:val="none"/>
        </w:rPr>
      </w:pPr>
    </w:p>
    <w:p w14:paraId="3020D821">
      <w:pPr>
        <w:rPr>
          <w:rFonts w:hint="eastAsia" w:ascii="宋体" w:hAnsi="宋体" w:eastAsia="宋体" w:cs="宋体"/>
          <w:color w:val="auto"/>
          <w:highlight w:val="none"/>
        </w:rPr>
      </w:pPr>
    </w:p>
    <w:p w14:paraId="6A1C95DC">
      <w:pPr>
        <w:pStyle w:val="7"/>
        <w:rPr>
          <w:rFonts w:hint="eastAsia" w:ascii="宋体" w:hAnsi="宋体" w:eastAsia="宋体" w:cs="宋体"/>
          <w:color w:val="auto"/>
          <w:highlight w:val="none"/>
        </w:rPr>
      </w:pPr>
    </w:p>
    <w:p w14:paraId="114C72B7">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4</w:t>
      </w:r>
      <w:r>
        <w:rPr>
          <w:rFonts w:hint="eastAsia" w:ascii="宋体" w:hAnsi="宋体" w:eastAsia="宋体" w:cs="宋体"/>
          <w:b/>
          <w:color w:val="auto"/>
          <w:sz w:val="28"/>
          <w:highlight w:val="none"/>
        </w:rPr>
        <w:tab/>
      </w:r>
    </w:p>
    <w:p w14:paraId="5DCD12C7">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227963F">
      <w:pPr>
        <w:spacing w:line="360" w:lineRule="auto"/>
        <w:ind w:firstLine="435"/>
        <w:jc w:val="center"/>
        <w:rPr>
          <w:rFonts w:hint="eastAsia" w:ascii="宋体" w:hAnsi="宋体" w:eastAsia="宋体" w:cs="宋体"/>
          <w:b/>
          <w:color w:val="auto"/>
          <w:sz w:val="36"/>
          <w:szCs w:val="36"/>
          <w:highlight w:val="none"/>
        </w:rPr>
      </w:pPr>
    </w:p>
    <w:tbl>
      <w:tblPr>
        <w:tblStyle w:val="2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AC63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5DD515C">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2851DC43">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4832D292">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0ED77DC0">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363D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396EABCA">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4911571F">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14:paraId="723B008F">
            <w:pPr>
              <w:pStyle w:val="43"/>
              <w:spacing w:line="360" w:lineRule="auto"/>
              <w:rPr>
                <w:rFonts w:hint="eastAsia" w:ascii="宋体" w:hAnsi="宋体" w:eastAsia="宋体" w:cs="宋体"/>
                <w:bCs/>
                <w:color w:val="auto"/>
                <w:sz w:val="21"/>
                <w:szCs w:val="21"/>
                <w:highlight w:val="none"/>
              </w:rPr>
            </w:pPr>
          </w:p>
        </w:tc>
        <w:tc>
          <w:tcPr>
            <w:tcW w:w="1373" w:type="dxa"/>
          </w:tcPr>
          <w:p w14:paraId="67DE50F8">
            <w:pPr>
              <w:pStyle w:val="43"/>
              <w:spacing w:line="360" w:lineRule="auto"/>
              <w:rPr>
                <w:rFonts w:hint="eastAsia" w:ascii="宋体" w:hAnsi="宋体" w:eastAsia="宋体" w:cs="宋体"/>
                <w:bCs/>
                <w:color w:val="auto"/>
                <w:sz w:val="21"/>
                <w:szCs w:val="21"/>
                <w:highlight w:val="none"/>
              </w:rPr>
            </w:pPr>
          </w:p>
        </w:tc>
      </w:tr>
      <w:tr w14:paraId="75E7E5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vAlign w:val="center"/>
          </w:tcPr>
          <w:p w14:paraId="55570416">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54AEDEDB">
            <w:pPr>
              <w:pStyle w:val="43"/>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售后服务</w:t>
            </w:r>
          </w:p>
        </w:tc>
        <w:tc>
          <w:tcPr>
            <w:tcW w:w="4061" w:type="dxa"/>
          </w:tcPr>
          <w:p w14:paraId="3C1F3147">
            <w:pPr>
              <w:pStyle w:val="43"/>
              <w:widowControl/>
              <w:spacing w:line="360" w:lineRule="auto"/>
              <w:jc w:val="left"/>
              <w:rPr>
                <w:rFonts w:hint="eastAsia" w:ascii="宋体" w:hAnsi="宋体" w:eastAsia="宋体" w:cs="宋体"/>
                <w:bCs/>
                <w:color w:val="auto"/>
                <w:sz w:val="21"/>
                <w:szCs w:val="21"/>
                <w:highlight w:val="none"/>
              </w:rPr>
            </w:pPr>
          </w:p>
          <w:p w14:paraId="199C68CE">
            <w:pPr>
              <w:pStyle w:val="43"/>
              <w:widowControl/>
              <w:spacing w:line="360" w:lineRule="auto"/>
              <w:jc w:val="left"/>
              <w:rPr>
                <w:rFonts w:hint="eastAsia" w:ascii="宋体" w:hAnsi="宋体" w:eastAsia="宋体" w:cs="宋体"/>
                <w:bCs/>
                <w:color w:val="auto"/>
                <w:sz w:val="21"/>
                <w:szCs w:val="21"/>
                <w:highlight w:val="none"/>
              </w:rPr>
            </w:pPr>
          </w:p>
          <w:p w14:paraId="372766CB">
            <w:pPr>
              <w:pStyle w:val="43"/>
              <w:spacing w:line="360" w:lineRule="auto"/>
              <w:rPr>
                <w:rFonts w:hint="eastAsia" w:ascii="宋体" w:hAnsi="宋体" w:eastAsia="宋体" w:cs="宋体"/>
                <w:bCs/>
                <w:color w:val="auto"/>
                <w:sz w:val="21"/>
                <w:szCs w:val="21"/>
                <w:highlight w:val="none"/>
              </w:rPr>
            </w:pPr>
          </w:p>
        </w:tc>
        <w:tc>
          <w:tcPr>
            <w:tcW w:w="1373" w:type="dxa"/>
          </w:tcPr>
          <w:p w14:paraId="5E1FB07A">
            <w:pPr>
              <w:pStyle w:val="43"/>
              <w:widowControl/>
              <w:spacing w:line="360" w:lineRule="auto"/>
              <w:jc w:val="left"/>
              <w:rPr>
                <w:rFonts w:hint="eastAsia" w:ascii="宋体" w:hAnsi="宋体" w:eastAsia="宋体" w:cs="宋体"/>
                <w:bCs/>
                <w:color w:val="auto"/>
                <w:sz w:val="21"/>
                <w:szCs w:val="21"/>
                <w:highlight w:val="none"/>
              </w:rPr>
            </w:pPr>
          </w:p>
          <w:p w14:paraId="6715E5B8">
            <w:pPr>
              <w:pStyle w:val="43"/>
              <w:widowControl/>
              <w:spacing w:line="360" w:lineRule="auto"/>
              <w:jc w:val="left"/>
              <w:rPr>
                <w:rFonts w:hint="eastAsia" w:ascii="宋体" w:hAnsi="宋体" w:eastAsia="宋体" w:cs="宋体"/>
                <w:bCs/>
                <w:color w:val="auto"/>
                <w:sz w:val="21"/>
                <w:szCs w:val="21"/>
                <w:highlight w:val="none"/>
              </w:rPr>
            </w:pPr>
          </w:p>
          <w:p w14:paraId="6CCDDAF9">
            <w:pPr>
              <w:pStyle w:val="43"/>
              <w:spacing w:line="360" w:lineRule="auto"/>
              <w:rPr>
                <w:rFonts w:hint="eastAsia" w:ascii="宋体" w:hAnsi="宋体" w:eastAsia="宋体" w:cs="宋体"/>
                <w:bCs/>
                <w:color w:val="auto"/>
                <w:sz w:val="21"/>
                <w:szCs w:val="21"/>
                <w:highlight w:val="none"/>
              </w:rPr>
            </w:pPr>
          </w:p>
        </w:tc>
      </w:tr>
      <w:tr w14:paraId="5CA067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shd w:val="clear" w:color="auto" w:fill="auto"/>
            <w:vAlign w:val="center"/>
          </w:tcPr>
          <w:p w14:paraId="6C58D56F">
            <w:pPr>
              <w:pStyle w:val="43"/>
              <w:widowControl/>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w:t>
            </w:r>
          </w:p>
        </w:tc>
        <w:tc>
          <w:tcPr>
            <w:tcW w:w="2355" w:type="dxa"/>
            <w:shd w:val="clear" w:color="auto" w:fill="auto"/>
            <w:vAlign w:val="center"/>
          </w:tcPr>
          <w:p w14:paraId="5432553D">
            <w:pPr>
              <w:pStyle w:val="43"/>
              <w:widowControl/>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w:t>
            </w:r>
          </w:p>
        </w:tc>
        <w:tc>
          <w:tcPr>
            <w:tcW w:w="4061" w:type="dxa"/>
          </w:tcPr>
          <w:p w14:paraId="2D2DD925">
            <w:pPr>
              <w:pStyle w:val="43"/>
              <w:widowControl/>
              <w:spacing w:line="360" w:lineRule="auto"/>
              <w:jc w:val="left"/>
              <w:rPr>
                <w:rFonts w:hint="eastAsia" w:ascii="宋体" w:hAnsi="宋体" w:eastAsia="宋体" w:cs="宋体"/>
                <w:bCs/>
                <w:i/>
                <w:color w:val="auto"/>
                <w:sz w:val="21"/>
                <w:szCs w:val="21"/>
                <w:highlight w:val="none"/>
              </w:rPr>
            </w:pPr>
          </w:p>
          <w:p w14:paraId="5E383613">
            <w:pPr>
              <w:pStyle w:val="43"/>
              <w:widowControl/>
              <w:spacing w:line="360" w:lineRule="auto"/>
              <w:jc w:val="left"/>
              <w:rPr>
                <w:rFonts w:hint="eastAsia" w:ascii="宋体" w:hAnsi="宋体" w:eastAsia="宋体" w:cs="宋体"/>
                <w:bCs/>
                <w:i/>
                <w:color w:val="auto"/>
                <w:sz w:val="21"/>
                <w:szCs w:val="21"/>
                <w:highlight w:val="none"/>
              </w:rPr>
            </w:pPr>
          </w:p>
        </w:tc>
        <w:tc>
          <w:tcPr>
            <w:tcW w:w="1373" w:type="dxa"/>
          </w:tcPr>
          <w:p w14:paraId="41164E45">
            <w:pPr>
              <w:pStyle w:val="43"/>
              <w:widowControl/>
              <w:spacing w:line="360" w:lineRule="auto"/>
              <w:jc w:val="left"/>
              <w:rPr>
                <w:rFonts w:hint="eastAsia" w:ascii="宋体" w:hAnsi="宋体" w:eastAsia="宋体" w:cs="宋体"/>
                <w:bCs/>
                <w:i/>
                <w:color w:val="auto"/>
                <w:sz w:val="21"/>
                <w:szCs w:val="21"/>
                <w:highlight w:val="none"/>
              </w:rPr>
            </w:pPr>
          </w:p>
          <w:p w14:paraId="28B3E838">
            <w:pPr>
              <w:pStyle w:val="43"/>
              <w:widowControl/>
              <w:spacing w:line="360" w:lineRule="auto"/>
              <w:jc w:val="left"/>
              <w:rPr>
                <w:rFonts w:hint="eastAsia" w:ascii="宋体" w:hAnsi="宋体" w:eastAsia="宋体" w:cs="宋体"/>
                <w:bCs/>
                <w:i/>
                <w:color w:val="auto"/>
                <w:sz w:val="21"/>
                <w:szCs w:val="21"/>
                <w:highlight w:val="none"/>
              </w:rPr>
            </w:pPr>
          </w:p>
          <w:p w14:paraId="22E6ABFF">
            <w:pPr>
              <w:pStyle w:val="43"/>
              <w:widowControl/>
              <w:spacing w:line="360" w:lineRule="auto"/>
              <w:jc w:val="left"/>
              <w:rPr>
                <w:rFonts w:hint="eastAsia" w:ascii="宋体" w:hAnsi="宋体" w:eastAsia="宋体" w:cs="宋体"/>
                <w:bCs/>
                <w:i/>
                <w:color w:val="auto"/>
                <w:sz w:val="21"/>
                <w:szCs w:val="21"/>
                <w:highlight w:val="none"/>
              </w:rPr>
            </w:pPr>
          </w:p>
        </w:tc>
      </w:tr>
      <w:tr w14:paraId="33F43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B4BDBA1">
            <w:pPr>
              <w:pStyle w:val="43"/>
              <w:widowControl/>
              <w:spacing w:line="360" w:lineRule="auto"/>
              <w:jc w:val="left"/>
              <w:rPr>
                <w:rFonts w:hint="eastAsia" w:ascii="宋体" w:hAnsi="宋体" w:eastAsia="宋体" w:cs="宋体"/>
                <w:bCs/>
                <w:color w:val="auto"/>
                <w:sz w:val="21"/>
                <w:szCs w:val="21"/>
                <w:highlight w:val="none"/>
              </w:rPr>
            </w:pPr>
          </w:p>
        </w:tc>
        <w:tc>
          <w:tcPr>
            <w:tcW w:w="2355" w:type="dxa"/>
            <w:tcBorders>
              <w:bottom w:val="single" w:color="auto" w:sz="4" w:space="0"/>
            </w:tcBorders>
            <w:vAlign w:val="center"/>
          </w:tcPr>
          <w:p w14:paraId="22B408B3">
            <w:pPr>
              <w:pStyle w:val="43"/>
              <w:widowControl/>
              <w:spacing w:line="360" w:lineRule="auto"/>
              <w:jc w:val="left"/>
              <w:rPr>
                <w:rFonts w:hint="eastAsia" w:ascii="宋体" w:hAnsi="宋体" w:eastAsia="宋体" w:cs="宋体"/>
                <w:bCs/>
                <w:color w:val="auto"/>
                <w:sz w:val="21"/>
                <w:szCs w:val="21"/>
                <w:highlight w:val="none"/>
              </w:rPr>
            </w:pPr>
          </w:p>
        </w:tc>
        <w:tc>
          <w:tcPr>
            <w:tcW w:w="4061" w:type="dxa"/>
            <w:tcBorders>
              <w:bottom w:val="single" w:color="auto" w:sz="4" w:space="0"/>
            </w:tcBorders>
          </w:tcPr>
          <w:p w14:paraId="191E9832">
            <w:pPr>
              <w:pStyle w:val="43"/>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4C1B10CD">
            <w:pPr>
              <w:pStyle w:val="43"/>
              <w:widowControl/>
              <w:spacing w:line="360" w:lineRule="auto"/>
              <w:jc w:val="left"/>
              <w:rPr>
                <w:rFonts w:hint="eastAsia" w:ascii="宋体" w:hAnsi="宋体" w:eastAsia="宋体" w:cs="宋体"/>
                <w:bCs/>
                <w:color w:val="auto"/>
                <w:sz w:val="21"/>
                <w:szCs w:val="21"/>
                <w:highlight w:val="none"/>
              </w:rPr>
            </w:pPr>
          </w:p>
        </w:tc>
      </w:tr>
    </w:tbl>
    <w:p w14:paraId="7AFE6805">
      <w:pPr>
        <w:spacing w:line="360" w:lineRule="auto"/>
        <w:ind w:left="420"/>
        <w:rPr>
          <w:rFonts w:hint="eastAsia" w:ascii="宋体" w:hAnsi="宋体" w:eastAsia="宋体" w:cs="宋体"/>
          <w:color w:val="auto"/>
          <w:sz w:val="21"/>
          <w:szCs w:val="21"/>
          <w:highlight w:val="none"/>
        </w:rPr>
      </w:pPr>
    </w:p>
    <w:p w14:paraId="6EBB0812">
      <w:pPr>
        <w:spacing w:line="360" w:lineRule="auto"/>
        <w:ind w:left="420"/>
        <w:rPr>
          <w:rFonts w:hint="eastAsia" w:ascii="宋体" w:hAnsi="宋体" w:eastAsia="宋体" w:cs="宋体"/>
          <w:color w:val="auto"/>
          <w:sz w:val="21"/>
          <w:szCs w:val="21"/>
          <w:highlight w:val="none"/>
        </w:rPr>
      </w:pPr>
    </w:p>
    <w:p w14:paraId="533020F5">
      <w:pPr>
        <w:spacing w:line="360" w:lineRule="auto"/>
        <w:rPr>
          <w:rFonts w:hint="eastAsia" w:ascii="宋体" w:hAnsi="宋体" w:eastAsia="宋体" w:cs="宋体"/>
          <w:color w:val="auto"/>
          <w:sz w:val="21"/>
          <w:szCs w:val="21"/>
          <w:highlight w:val="none"/>
        </w:rPr>
      </w:pPr>
    </w:p>
    <w:p w14:paraId="52C9A7AA">
      <w:pPr>
        <w:spacing w:line="360" w:lineRule="auto"/>
        <w:ind w:left="420"/>
        <w:rPr>
          <w:rFonts w:hint="eastAsia" w:ascii="宋体" w:hAnsi="宋体" w:eastAsia="宋体" w:cs="宋体"/>
          <w:color w:val="auto"/>
          <w:sz w:val="21"/>
          <w:szCs w:val="21"/>
          <w:highlight w:val="none"/>
        </w:rPr>
      </w:pPr>
    </w:p>
    <w:p w14:paraId="0CAF6DE2">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9E968F3">
      <w:pPr>
        <w:spacing w:line="360" w:lineRule="auto"/>
        <w:ind w:left="420"/>
        <w:rPr>
          <w:rFonts w:hint="eastAsia" w:ascii="宋体" w:hAnsi="宋体" w:eastAsia="宋体" w:cs="宋体"/>
          <w:color w:val="auto"/>
          <w:sz w:val="21"/>
          <w:szCs w:val="21"/>
          <w:highlight w:val="none"/>
        </w:rPr>
      </w:pPr>
    </w:p>
    <w:p w14:paraId="77FAB1A5">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AB63938">
      <w:pPr>
        <w:spacing w:line="360" w:lineRule="auto"/>
        <w:rPr>
          <w:rFonts w:hint="eastAsia" w:ascii="宋体" w:hAnsi="宋体" w:eastAsia="宋体" w:cs="宋体"/>
          <w:color w:val="auto"/>
          <w:sz w:val="21"/>
          <w:szCs w:val="21"/>
          <w:highlight w:val="none"/>
        </w:rPr>
      </w:pPr>
    </w:p>
    <w:p w14:paraId="64DEAD94">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3EE5E582">
      <w:pPr>
        <w:spacing w:line="360" w:lineRule="auto"/>
        <w:ind w:firstLine="435"/>
        <w:rPr>
          <w:rFonts w:hint="eastAsia" w:ascii="宋体" w:hAnsi="宋体" w:eastAsia="宋体" w:cs="宋体"/>
          <w:color w:val="auto"/>
          <w:sz w:val="24"/>
          <w:highlight w:val="none"/>
          <w:u w:val="single"/>
        </w:rPr>
      </w:pPr>
    </w:p>
    <w:p w14:paraId="6CBC82AB">
      <w:pPr>
        <w:pStyle w:val="44"/>
        <w:spacing w:line="360" w:lineRule="auto"/>
        <w:rPr>
          <w:rFonts w:hint="eastAsia" w:ascii="宋体" w:hAnsi="宋体" w:eastAsia="宋体" w:cs="宋体"/>
          <w:b/>
          <w:color w:val="auto"/>
          <w:sz w:val="28"/>
          <w:szCs w:val="28"/>
          <w:highlight w:val="none"/>
        </w:rPr>
      </w:pPr>
    </w:p>
    <w:p w14:paraId="0A3234F3">
      <w:pPr>
        <w:spacing w:line="360" w:lineRule="auto"/>
        <w:ind w:right="-110"/>
        <w:jc w:val="left"/>
        <w:rPr>
          <w:rFonts w:hint="eastAsia" w:ascii="宋体" w:hAnsi="宋体" w:eastAsia="宋体" w:cs="宋体"/>
          <w:b/>
          <w:color w:val="auto"/>
          <w:sz w:val="28"/>
          <w:highlight w:val="none"/>
        </w:rPr>
      </w:pPr>
    </w:p>
    <w:p w14:paraId="7BE77E63">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19F20E1">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3738E25">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9C5B3D1">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20ED0EB">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127BECC3">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1BFA7851">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5FDB772">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11503267">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4E6AFF42">
      <w:pPr>
        <w:spacing w:line="360" w:lineRule="auto"/>
        <w:ind w:right="532"/>
        <w:jc w:val="center"/>
        <w:rPr>
          <w:rFonts w:hint="eastAsia" w:ascii="宋体" w:hAnsi="宋体" w:eastAsia="宋体" w:cs="宋体"/>
          <w:color w:val="auto"/>
          <w:sz w:val="36"/>
          <w:szCs w:val="36"/>
          <w:highlight w:val="none"/>
        </w:rPr>
      </w:pPr>
    </w:p>
    <w:p w14:paraId="6726C3C7">
      <w:pPr>
        <w:spacing w:line="360" w:lineRule="auto"/>
        <w:ind w:right="532"/>
        <w:rPr>
          <w:rFonts w:hint="eastAsia" w:ascii="宋体" w:hAnsi="宋体" w:eastAsia="宋体" w:cs="宋体"/>
          <w:color w:val="auto"/>
          <w:sz w:val="36"/>
          <w:szCs w:val="36"/>
          <w:highlight w:val="none"/>
        </w:rPr>
      </w:pPr>
    </w:p>
    <w:p w14:paraId="2FF0C529">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6205E277">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62FAF673">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3F464237">
      <w:pPr>
        <w:spacing w:line="360" w:lineRule="auto"/>
        <w:ind w:right="-108"/>
        <w:jc w:val="center"/>
        <w:rPr>
          <w:rFonts w:hint="eastAsia" w:ascii="宋体" w:hAnsi="宋体" w:eastAsia="宋体" w:cs="宋体"/>
          <w:b/>
          <w:color w:val="auto"/>
          <w:sz w:val="36"/>
          <w:szCs w:val="32"/>
          <w:highlight w:val="none"/>
        </w:rPr>
      </w:pPr>
    </w:p>
    <w:p w14:paraId="6513CFF9">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0A558E64">
      <w:pPr>
        <w:snapToGrid w:val="0"/>
        <w:spacing w:line="360" w:lineRule="auto"/>
        <w:rPr>
          <w:rFonts w:hint="eastAsia" w:ascii="宋体" w:hAnsi="宋体" w:eastAsia="宋体" w:cs="宋体"/>
          <w:color w:val="auto"/>
          <w:sz w:val="24"/>
          <w:highlight w:val="none"/>
        </w:rPr>
      </w:pPr>
    </w:p>
    <w:p w14:paraId="160ABB31">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1、开标一览表（附件1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5ABB97D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2、针对报价投标人认为其他需要说明的；</w:t>
      </w:r>
    </w:p>
    <w:p w14:paraId="7467A831">
      <w:pPr>
        <w:spacing w:line="360" w:lineRule="auto"/>
        <w:rPr>
          <w:rFonts w:hint="eastAsia" w:ascii="宋体" w:hAnsi="宋体" w:eastAsia="宋体" w:cs="宋体"/>
          <w:b/>
          <w:color w:val="auto"/>
          <w:sz w:val="21"/>
          <w:szCs w:val="21"/>
          <w:highlight w:val="none"/>
        </w:rPr>
      </w:pPr>
    </w:p>
    <w:p w14:paraId="01426F90">
      <w:pPr>
        <w:spacing w:line="360" w:lineRule="auto"/>
        <w:ind w:left="480"/>
        <w:rPr>
          <w:rFonts w:hint="eastAsia" w:ascii="宋体" w:hAnsi="宋体" w:eastAsia="宋体" w:cs="宋体"/>
          <w:b/>
          <w:color w:val="auto"/>
          <w:sz w:val="21"/>
          <w:szCs w:val="21"/>
          <w:highlight w:val="none"/>
        </w:rPr>
      </w:pPr>
    </w:p>
    <w:p w14:paraId="335DFA5C">
      <w:pPr>
        <w:spacing w:line="360" w:lineRule="auto"/>
        <w:ind w:left="480"/>
        <w:rPr>
          <w:rFonts w:hint="eastAsia" w:ascii="宋体" w:hAnsi="宋体" w:eastAsia="宋体" w:cs="宋体"/>
          <w:b/>
          <w:color w:val="auto"/>
          <w:sz w:val="28"/>
          <w:highlight w:val="none"/>
        </w:rPr>
      </w:pPr>
    </w:p>
    <w:p w14:paraId="407E26D5">
      <w:pPr>
        <w:spacing w:line="360" w:lineRule="auto"/>
        <w:ind w:left="480"/>
        <w:rPr>
          <w:rFonts w:hint="eastAsia" w:ascii="宋体" w:hAnsi="宋体" w:eastAsia="宋体" w:cs="宋体"/>
          <w:b/>
          <w:color w:val="auto"/>
          <w:sz w:val="28"/>
          <w:highlight w:val="none"/>
        </w:rPr>
      </w:pPr>
    </w:p>
    <w:p w14:paraId="6CA2D6C7">
      <w:pPr>
        <w:spacing w:line="360" w:lineRule="auto"/>
        <w:ind w:left="480"/>
        <w:rPr>
          <w:rFonts w:hint="eastAsia" w:ascii="宋体" w:hAnsi="宋体" w:eastAsia="宋体" w:cs="宋体"/>
          <w:b/>
          <w:color w:val="auto"/>
          <w:sz w:val="28"/>
          <w:highlight w:val="none"/>
        </w:rPr>
      </w:pPr>
    </w:p>
    <w:p w14:paraId="6D94A5DE">
      <w:pPr>
        <w:spacing w:line="360" w:lineRule="auto"/>
        <w:ind w:left="480"/>
        <w:rPr>
          <w:rFonts w:hint="eastAsia" w:ascii="宋体" w:hAnsi="宋体" w:eastAsia="宋体" w:cs="宋体"/>
          <w:b/>
          <w:color w:val="auto"/>
          <w:sz w:val="28"/>
          <w:highlight w:val="none"/>
        </w:rPr>
      </w:pPr>
    </w:p>
    <w:p w14:paraId="659677AF">
      <w:pPr>
        <w:spacing w:line="360" w:lineRule="auto"/>
        <w:ind w:left="480"/>
        <w:rPr>
          <w:rFonts w:hint="eastAsia" w:ascii="宋体" w:hAnsi="宋体" w:eastAsia="宋体" w:cs="宋体"/>
          <w:b/>
          <w:color w:val="auto"/>
          <w:sz w:val="28"/>
          <w:highlight w:val="none"/>
        </w:rPr>
      </w:pPr>
    </w:p>
    <w:p w14:paraId="50C8A7E3">
      <w:pPr>
        <w:spacing w:line="360" w:lineRule="auto"/>
        <w:ind w:left="480"/>
        <w:rPr>
          <w:rFonts w:hint="eastAsia" w:ascii="宋体" w:hAnsi="宋体" w:eastAsia="宋体" w:cs="宋体"/>
          <w:b/>
          <w:color w:val="auto"/>
          <w:sz w:val="28"/>
          <w:highlight w:val="none"/>
        </w:rPr>
      </w:pPr>
    </w:p>
    <w:p w14:paraId="69965876">
      <w:pPr>
        <w:spacing w:line="360" w:lineRule="auto"/>
        <w:ind w:left="480"/>
        <w:rPr>
          <w:rFonts w:hint="eastAsia" w:ascii="宋体" w:hAnsi="宋体" w:eastAsia="宋体" w:cs="宋体"/>
          <w:b/>
          <w:color w:val="auto"/>
          <w:sz w:val="28"/>
          <w:highlight w:val="none"/>
        </w:rPr>
      </w:pPr>
    </w:p>
    <w:p w14:paraId="203AEE78">
      <w:pPr>
        <w:spacing w:line="360" w:lineRule="auto"/>
        <w:ind w:left="480"/>
        <w:rPr>
          <w:rFonts w:hint="eastAsia" w:ascii="宋体" w:hAnsi="宋体" w:eastAsia="宋体" w:cs="宋体"/>
          <w:b/>
          <w:color w:val="auto"/>
          <w:sz w:val="28"/>
          <w:highlight w:val="none"/>
        </w:rPr>
      </w:pPr>
    </w:p>
    <w:p w14:paraId="3CE767FF">
      <w:pPr>
        <w:spacing w:line="360" w:lineRule="auto"/>
        <w:ind w:left="480"/>
        <w:rPr>
          <w:rFonts w:hint="eastAsia" w:ascii="宋体" w:hAnsi="宋体" w:eastAsia="宋体" w:cs="宋体"/>
          <w:b/>
          <w:color w:val="auto"/>
          <w:sz w:val="28"/>
          <w:highlight w:val="none"/>
        </w:rPr>
      </w:pPr>
    </w:p>
    <w:p w14:paraId="5450FE9E">
      <w:pPr>
        <w:spacing w:line="360" w:lineRule="auto"/>
        <w:ind w:left="480"/>
        <w:rPr>
          <w:rFonts w:hint="eastAsia" w:ascii="宋体" w:hAnsi="宋体" w:eastAsia="宋体" w:cs="宋体"/>
          <w:b/>
          <w:color w:val="auto"/>
          <w:sz w:val="28"/>
          <w:highlight w:val="none"/>
        </w:rPr>
      </w:pPr>
    </w:p>
    <w:p w14:paraId="4FF13FF5">
      <w:pPr>
        <w:spacing w:line="360" w:lineRule="auto"/>
        <w:ind w:left="480"/>
        <w:rPr>
          <w:rFonts w:hint="eastAsia" w:ascii="宋体" w:hAnsi="宋体" w:eastAsia="宋体" w:cs="宋体"/>
          <w:b/>
          <w:color w:val="auto"/>
          <w:sz w:val="28"/>
          <w:highlight w:val="none"/>
        </w:rPr>
      </w:pPr>
    </w:p>
    <w:p w14:paraId="6EE4DE39">
      <w:pPr>
        <w:spacing w:line="360" w:lineRule="auto"/>
        <w:ind w:left="480"/>
        <w:rPr>
          <w:rFonts w:hint="eastAsia" w:ascii="宋体" w:hAnsi="宋体" w:eastAsia="宋体" w:cs="宋体"/>
          <w:b/>
          <w:color w:val="auto"/>
          <w:sz w:val="28"/>
          <w:highlight w:val="none"/>
        </w:rPr>
      </w:pPr>
    </w:p>
    <w:p w14:paraId="761D99DD">
      <w:pPr>
        <w:pStyle w:val="7"/>
        <w:rPr>
          <w:rFonts w:hint="eastAsia" w:ascii="宋体" w:hAnsi="宋体" w:eastAsia="宋体" w:cs="宋体"/>
          <w:color w:val="auto"/>
          <w:highlight w:val="none"/>
        </w:rPr>
      </w:pPr>
    </w:p>
    <w:p w14:paraId="29208749">
      <w:pPr>
        <w:spacing w:line="360" w:lineRule="auto"/>
        <w:ind w:left="480"/>
        <w:rPr>
          <w:rFonts w:hint="eastAsia" w:ascii="宋体" w:hAnsi="宋体" w:eastAsia="宋体" w:cs="宋体"/>
          <w:b/>
          <w:color w:val="auto"/>
          <w:sz w:val="28"/>
          <w:highlight w:val="none"/>
        </w:rPr>
      </w:pPr>
    </w:p>
    <w:p w14:paraId="02315509">
      <w:pPr>
        <w:spacing w:line="360" w:lineRule="auto"/>
        <w:ind w:left="480"/>
        <w:rPr>
          <w:rFonts w:hint="eastAsia" w:ascii="宋体" w:hAnsi="宋体" w:eastAsia="宋体" w:cs="宋体"/>
          <w:b/>
          <w:color w:val="auto"/>
          <w:sz w:val="28"/>
          <w:highlight w:val="none"/>
        </w:rPr>
      </w:pPr>
    </w:p>
    <w:p w14:paraId="0C6698FC">
      <w:pPr>
        <w:pStyle w:val="7"/>
        <w:rPr>
          <w:rFonts w:hint="eastAsia" w:ascii="宋体" w:hAnsi="宋体" w:eastAsia="宋体" w:cs="宋体"/>
          <w:color w:val="auto"/>
          <w:highlight w:val="none"/>
        </w:rPr>
      </w:pPr>
    </w:p>
    <w:p w14:paraId="71306E40">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DA007FA">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6</w:t>
      </w:r>
    </w:p>
    <w:p w14:paraId="60B37274">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7C3A360D">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6D968DA5">
      <w:pPr>
        <w:pStyle w:val="47"/>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1"/>
        <w:tblW w:w="821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3023"/>
        <w:gridCol w:w="5196"/>
      </w:tblGrid>
      <w:tr w14:paraId="529731F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97" w:hRule="atLeast"/>
          <w:jc w:val="center"/>
        </w:trPr>
        <w:tc>
          <w:tcPr>
            <w:tcW w:w="3023" w:type="dxa"/>
            <w:tcBorders>
              <w:top w:val="single" w:color="auto" w:sz="12" w:space="0"/>
              <w:bottom w:val="single" w:color="auto" w:sz="4" w:space="0"/>
              <w:right w:val="single" w:color="auto" w:sz="4" w:space="0"/>
            </w:tcBorders>
            <w:vAlign w:val="center"/>
          </w:tcPr>
          <w:p w14:paraId="02605769">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青苗评估最高限单价</w:t>
            </w:r>
          </w:p>
          <w:p w14:paraId="7BB3E1E2">
            <w:pPr>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（元/平方米）</w:t>
            </w:r>
          </w:p>
        </w:tc>
        <w:tc>
          <w:tcPr>
            <w:tcW w:w="5196" w:type="dxa"/>
            <w:tcBorders>
              <w:top w:val="single" w:color="auto" w:sz="12" w:space="0"/>
              <w:left w:val="single" w:color="auto" w:sz="4" w:space="0"/>
              <w:bottom w:val="single" w:color="auto" w:sz="4" w:space="0"/>
            </w:tcBorders>
            <w:vAlign w:val="center"/>
          </w:tcPr>
          <w:p w14:paraId="4F9CB4FB">
            <w:pPr>
              <w:autoSpaceDE w:val="0"/>
              <w:autoSpaceDN w:val="0"/>
              <w:spacing w:line="240" w:lineRule="auto"/>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1元/平方米</w:t>
            </w:r>
          </w:p>
        </w:tc>
      </w:tr>
      <w:tr w14:paraId="426BA75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97" w:hRule="atLeast"/>
          <w:jc w:val="center"/>
        </w:trPr>
        <w:tc>
          <w:tcPr>
            <w:tcW w:w="3023" w:type="dxa"/>
            <w:tcBorders>
              <w:top w:val="single" w:color="auto" w:sz="12" w:space="0"/>
              <w:bottom w:val="single" w:color="auto" w:sz="4" w:space="0"/>
              <w:right w:val="single" w:color="auto" w:sz="4" w:space="0"/>
            </w:tcBorders>
            <w:vAlign w:val="center"/>
          </w:tcPr>
          <w:p w14:paraId="30280D43">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青苗评估投标单价</w:t>
            </w:r>
          </w:p>
          <w:p w14:paraId="5C7E1DC2">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（元/平方米）</w:t>
            </w:r>
          </w:p>
        </w:tc>
        <w:tc>
          <w:tcPr>
            <w:tcW w:w="5196" w:type="dxa"/>
            <w:tcBorders>
              <w:top w:val="single" w:color="auto" w:sz="12" w:space="0"/>
              <w:left w:val="single" w:color="auto" w:sz="4" w:space="0"/>
              <w:bottom w:val="single" w:color="auto" w:sz="4" w:space="0"/>
            </w:tcBorders>
            <w:vAlign w:val="center"/>
          </w:tcPr>
          <w:p w14:paraId="6986A986">
            <w:pPr>
              <w:autoSpaceDE w:val="0"/>
              <w:autoSpaceDN w:val="0"/>
              <w:spacing w:line="240" w:lineRule="auto"/>
              <w:jc w:val="center"/>
              <w:textAlignment w:val="bottom"/>
              <w:rPr>
                <w:rFonts w:hint="eastAsia" w:ascii="宋体" w:hAnsi="宋体" w:eastAsia="宋体" w:cs="宋体"/>
                <w:b w:val="0"/>
                <w:bCs w:val="0"/>
                <w:color w:val="auto"/>
                <w:sz w:val="21"/>
                <w:szCs w:val="21"/>
                <w:highlight w:val="none"/>
                <w:lang w:val="en-US" w:eastAsia="zh-CN"/>
              </w:rPr>
            </w:pPr>
          </w:p>
        </w:tc>
      </w:tr>
      <w:tr w14:paraId="7E3DEE4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97" w:hRule="atLeast"/>
          <w:jc w:val="center"/>
        </w:trPr>
        <w:tc>
          <w:tcPr>
            <w:tcW w:w="3023" w:type="dxa"/>
            <w:tcBorders>
              <w:top w:val="single" w:color="auto" w:sz="12" w:space="0"/>
              <w:bottom w:val="single" w:color="auto" w:sz="12" w:space="0"/>
              <w:right w:val="single" w:color="auto" w:sz="4" w:space="0"/>
            </w:tcBorders>
            <w:vAlign w:val="center"/>
          </w:tcPr>
          <w:p w14:paraId="2207B93B">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lang w:val="en-US" w:eastAsia="zh-CN"/>
              </w:rPr>
              <w:t>土地丈量</w:t>
            </w:r>
            <w:r>
              <w:rPr>
                <w:rFonts w:hint="eastAsia" w:ascii="宋体" w:hAnsi="宋体" w:eastAsia="宋体" w:cs="宋体"/>
                <w:b w:val="0"/>
                <w:bCs w:val="0"/>
                <w:color w:val="auto"/>
                <w:sz w:val="21"/>
                <w:szCs w:val="21"/>
                <w:highlight w:val="none"/>
                <w:lang w:val="en-US" w:eastAsia="zh-CN"/>
              </w:rPr>
              <w:t>最高限单价</w:t>
            </w:r>
          </w:p>
          <w:p w14:paraId="5B189561">
            <w:pPr>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（元/平方米）</w:t>
            </w:r>
          </w:p>
        </w:tc>
        <w:tc>
          <w:tcPr>
            <w:tcW w:w="5196" w:type="dxa"/>
            <w:tcBorders>
              <w:top w:val="single" w:color="auto" w:sz="4" w:space="0"/>
              <w:left w:val="single" w:color="auto" w:sz="4" w:space="0"/>
              <w:bottom w:val="single" w:color="auto" w:sz="4" w:space="0"/>
            </w:tcBorders>
            <w:vAlign w:val="center"/>
          </w:tcPr>
          <w:p w14:paraId="2BF3ED99">
            <w:pPr>
              <w:autoSpaceDE w:val="0"/>
              <w:autoSpaceDN w:val="0"/>
              <w:spacing w:line="240" w:lineRule="auto"/>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元/平方米</w:t>
            </w:r>
          </w:p>
        </w:tc>
      </w:tr>
      <w:tr w14:paraId="3F4AEA0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97" w:hRule="atLeast"/>
          <w:jc w:val="center"/>
        </w:trPr>
        <w:tc>
          <w:tcPr>
            <w:tcW w:w="3023" w:type="dxa"/>
            <w:tcBorders>
              <w:top w:val="single" w:color="auto" w:sz="12" w:space="0"/>
              <w:bottom w:val="single" w:color="auto" w:sz="12" w:space="0"/>
              <w:right w:val="single" w:color="auto" w:sz="4" w:space="0"/>
            </w:tcBorders>
            <w:vAlign w:val="center"/>
          </w:tcPr>
          <w:p w14:paraId="2690E39E">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土地丈量投标单价</w:t>
            </w:r>
          </w:p>
          <w:p w14:paraId="0D954D4E">
            <w:pPr>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val="en-US" w:eastAsia="zh-CN"/>
              </w:rPr>
              <w:t>（元/平方米）</w:t>
            </w:r>
          </w:p>
        </w:tc>
        <w:tc>
          <w:tcPr>
            <w:tcW w:w="5196" w:type="dxa"/>
            <w:tcBorders>
              <w:top w:val="single" w:color="auto" w:sz="4" w:space="0"/>
              <w:left w:val="single" w:color="auto" w:sz="4" w:space="0"/>
              <w:bottom w:val="single" w:color="auto" w:sz="4" w:space="0"/>
            </w:tcBorders>
            <w:vAlign w:val="center"/>
          </w:tcPr>
          <w:p w14:paraId="5A5D363F">
            <w:pPr>
              <w:autoSpaceDE w:val="0"/>
              <w:autoSpaceDN w:val="0"/>
              <w:spacing w:line="240" w:lineRule="auto"/>
              <w:jc w:val="center"/>
              <w:textAlignment w:val="bottom"/>
              <w:rPr>
                <w:rFonts w:hint="eastAsia" w:ascii="宋体" w:hAnsi="宋体" w:eastAsia="宋体" w:cs="宋体"/>
                <w:color w:val="auto"/>
                <w:sz w:val="21"/>
                <w:szCs w:val="21"/>
                <w:highlight w:val="none"/>
              </w:rPr>
            </w:pPr>
          </w:p>
        </w:tc>
      </w:tr>
      <w:tr w14:paraId="20B104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97" w:hRule="atLeast"/>
          <w:jc w:val="center"/>
        </w:trPr>
        <w:tc>
          <w:tcPr>
            <w:tcW w:w="3023" w:type="dxa"/>
            <w:vMerge w:val="restart"/>
            <w:tcBorders>
              <w:top w:val="single" w:color="auto" w:sz="12" w:space="0"/>
              <w:right w:val="single" w:color="auto" w:sz="4" w:space="0"/>
            </w:tcBorders>
            <w:vAlign w:val="center"/>
          </w:tcPr>
          <w:p w14:paraId="23F664EA">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一年</w:t>
            </w:r>
            <w:r>
              <w:rPr>
                <w:rFonts w:hint="eastAsia" w:ascii="宋体" w:hAnsi="宋体" w:eastAsia="宋体" w:cs="宋体"/>
                <w:b/>
                <w:bCs/>
                <w:color w:val="auto"/>
                <w:sz w:val="21"/>
                <w:szCs w:val="21"/>
                <w:highlight w:val="none"/>
              </w:rPr>
              <w:t>投标总报价(元)</w:t>
            </w:r>
          </w:p>
        </w:tc>
        <w:tc>
          <w:tcPr>
            <w:tcW w:w="5196" w:type="dxa"/>
            <w:tcBorders>
              <w:top w:val="single" w:color="auto" w:sz="4" w:space="0"/>
              <w:left w:val="single" w:color="auto" w:sz="4" w:space="0"/>
              <w:bottom w:val="single" w:color="auto" w:sz="4" w:space="0"/>
            </w:tcBorders>
            <w:shd w:val="clear" w:color="auto" w:fill="auto"/>
            <w:vAlign w:val="center"/>
          </w:tcPr>
          <w:p w14:paraId="79737432">
            <w:pPr>
              <w:keepNext w:val="0"/>
              <w:keepLines w:val="0"/>
              <w:pageBreakBefore w:val="0"/>
              <w:widowControl w:val="0"/>
              <w:kinsoku/>
              <w:wordWrap/>
              <w:overflowPunct/>
              <w:topLinePunct w:val="0"/>
              <w:autoSpaceDE w:val="0"/>
              <w:autoSpaceDN w:val="0"/>
              <w:bidi w:val="0"/>
              <w:adjustRightInd/>
              <w:snapToGrid/>
              <w:spacing w:line="240" w:lineRule="auto"/>
              <w:ind w:firstLine="630" w:firstLineChars="300"/>
              <w:jc w:val="left"/>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大写：</w:t>
            </w:r>
            <w:r>
              <w:rPr>
                <w:rFonts w:hint="eastAsia" w:ascii="宋体" w:hAnsi="宋体" w:cs="宋体"/>
                <w:color w:val="auto"/>
                <w:sz w:val="21"/>
                <w:szCs w:val="21"/>
                <w:highlight w:val="none"/>
                <w:u w:val="single"/>
                <w:lang w:val="en-US" w:eastAsia="zh-CN"/>
              </w:rPr>
              <w:t xml:space="preserve"> 玖拾万元整  </w:t>
            </w:r>
          </w:p>
        </w:tc>
      </w:tr>
      <w:tr w14:paraId="18F9EC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44" w:hRule="atLeast"/>
          <w:jc w:val="center"/>
        </w:trPr>
        <w:tc>
          <w:tcPr>
            <w:tcW w:w="3023" w:type="dxa"/>
            <w:vMerge w:val="continue"/>
            <w:tcBorders>
              <w:right w:val="single" w:color="auto" w:sz="4" w:space="0"/>
            </w:tcBorders>
            <w:vAlign w:val="center"/>
          </w:tcPr>
          <w:p w14:paraId="2C551B22">
            <w:pPr>
              <w:spacing w:line="240" w:lineRule="auto"/>
              <w:jc w:val="center"/>
              <w:rPr>
                <w:rFonts w:hint="eastAsia" w:ascii="宋体" w:hAnsi="宋体" w:eastAsia="宋体" w:cs="宋体"/>
                <w:b/>
                <w:bCs/>
                <w:color w:val="auto"/>
                <w:sz w:val="21"/>
                <w:szCs w:val="21"/>
                <w:highlight w:val="none"/>
              </w:rPr>
            </w:pPr>
          </w:p>
        </w:tc>
        <w:tc>
          <w:tcPr>
            <w:tcW w:w="5196" w:type="dxa"/>
            <w:tcBorders>
              <w:top w:val="single" w:color="auto" w:sz="4" w:space="0"/>
              <w:left w:val="single" w:color="auto" w:sz="4" w:space="0"/>
              <w:bottom w:val="single" w:color="auto" w:sz="4" w:space="0"/>
            </w:tcBorders>
            <w:shd w:val="clear" w:color="auto" w:fill="auto"/>
            <w:vAlign w:val="center"/>
          </w:tcPr>
          <w:p w14:paraId="20A21355">
            <w:pPr>
              <w:keepNext w:val="0"/>
              <w:keepLines w:val="0"/>
              <w:pageBreakBefore w:val="0"/>
              <w:widowControl w:val="0"/>
              <w:kinsoku/>
              <w:wordWrap/>
              <w:overflowPunct/>
              <w:topLinePunct w:val="0"/>
              <w:autoSpaceDE w:val="0"/>
              <w:autoSpaceDN w:val="0"/>
              <w:bidi w:val="0"/>
              <w:adjustRightInd/>
              <w:snapToGrid/>
              <w:spacing w:line="240" w:lineRule="auto"/>
              <w:ind w:firstLine="630" w:firstLineChars="300"/>
              <w:jc w:val="left"/>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小写：</w:t>
            </w:r>
            <w:r>
              <w:rPr>
                <w:rFonts w:hint="eastAsia" w:ascii="宋体" w:hAnsi="宋体" w:cs="宋体"/>
                <w:color w:val="auto"/>
                <w:sz w:val="21"/>
                <w:szCs w:val="21"/>
                <w:highlight w:val="none"/>
                <w:u w:val="single"/>
                <w:lang w:val="en-US" w:eastAsia="zh-CN"/>
              </w:rPr>
              <w:t xml:space="preserve"> 900000.00   </w:t>
            </w:r>
          </w:p>
        </w:tc>
      </w:tr>
      <w:tr w14:paraId="2CB136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724" w:hRule="atLeast"/>
          <w:jc w:val="center"/>
        </w:trPr>
        <w:tc>
          <w:tcPr>
            <w:tcW w:w="3023" w:type="dxa"/>
            <w:vMerge w:val="restart"/>
            <w:tcBorders>
              <w:top w:val="single" w:color="auto" w:sz="12" w:space="0"/>
              <w:right w:val="single" w:color="auto" w:sz="4" w:space="0"/>
            </w:tcBorders>
            <w:vAlign w:val="center"/>
          </w:tcPr>
          <w:p w14:paraId="3963449B">
            <w:pPr>
              <w:spacing w:line="240" w:lineRule="auto"/>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三年</w:t>
            </w:r>
            <w:r>
              <w:rPr>
                <w:rFonts w:hint="eastAsia" w:ascii="宋体" w:hAnsi="宋体" w:eastAsia="宋体" w:cs="宋体"/>
                <w:b/>
                <w:bCs/>
                <w:color w:val="auto"/>
                <w:sz w:val="21"/>
                <w:szCs w:val="21"/>
                <w:highlight w:val="none"/>
              </w:rPr>
              <w:t>投标总报价(元)</w:t>
            </w:r>
          </w:p>
        </w:tc>
        <w:tc>
          <w:tcPr>
            <w:tcW w:w="5196" w:type="dxa"/>
            <w:tcBorders>
              <w:top w:val="single" w:color="auto" w:sz="4" w:space="0"/>
              <w:left w:val="single" w:color="auto" w:sz="4" w:space="0"/>
              <w:bottom w:val="single" w:color="auto" w:sz="4" w:space="0"/>
            </w:tcBorders>
            <w:shd w:val="clear" w:color="auto" w:fill="auto"/>
            <w:vAlign w:val="center"/>
          </w:tcPr>
          <w:p w14:paraId="4D760AD5">
            <w:pPr>
              <w:keepNext w:val="0"/>
              <w:keepLines w:val="0"/>
              <w:pageBreakBefore w:val="0"/>
              <w:widowControl w:val="0"/>
              <w:kinsoku/>
              <w:wordWrap/>
              <w:overflowPunct/>
              <w:topLinePunct w:val="0"/>
              <w:autoSpaceDE w:val="0"/>
              <w:autoSpaceDN w:val="0"/>
              <w:bidi w:val="0"/>
              <w:adjustRightInd/>
              <w:snapToGrid/>
              <w:spacing w:line="240" w:lineRule="auto"/>
              <w:ind w:firstLine="630" w:firstLineChars="300"/>
              <w:jc w:val="left"/>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大写：</w:t>
            </w:r>
            <w:r>
              <w:rPr>
                <w:rFonts w:hint="eastAsia" w:ascii="宋体" w:hAnsi="宋体" w:cs="宋体"/>
                <w:color w:val="auto"/>
                <w:sz w:val="21"/>
                <w:szCs w:val="21"/>
                <w:highlight w:val="none"/>
                <w:u w:val="single"/>
                <w:lang w:val="en-US" w:eastAsia="zh-CN"/>
              </w:rPr>
              <w:t xml:space="preserve"> 贰佰柒拾万元整  </w:t>
            </w:r>
          </w:p>
        </w:tc>
      </w:tr>
      <w:tr w14:paraId="4AEB8C1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724" w:hRule="atLeast"/>
          <w:jc w:val="center"/>
        </w:trPr>
        <w:tc>
          <w:tcPr>
            <w:tcW w:w="3023" w:type="dxa"/>
            <w:vMerge w:val="continue"/>
            <w:tcBorders>
              <w:bottom w:val="single" w:color="auto" w:sz="4" w:space="0"/>
              <w:right w:val="single" w:color="auto" w:sz="4" w:space="0"/>
            </w:tcBorders>
            <w:vAlign w:val="center"/>
          </w:tcPr>
          <w:p w14:paraId="704FB209">
            <w:pPr>
              <w:spacing w:line="240" w:lineRule="auto"/>
              <w:jc w:val="center"/>
              <w:rPr>
                <w:rFonts w:hint="default" w:ascii="宋体" w:hAnsi="宋体" w:eastAsia="宋体" w:cs="宋体"/>
                <w:b/>
                <w:bCs/>
                <w:color w:val="auto"/>
                <w:sz w:val="21"/>
                <w:szCs w:val="21"/>
                <w:highlight w:val="none"/>
                <w:lang w:val="en-US" w:eastAsia="zh-CN"/>
              </w:rPr>
            </w:pPr>
          </w:p>
        </w:tc>
        <w:tc>
          <w:tcPr>
            <w:tcW w:w="5196" w:type="dxa"/>
            <w:tcBorders>
              <w:top w:val="single" w:color="auto" w:sz="4" w:space="0"/>
              <w:left w:val="single" w:color="auto" w:sz="4" w:space="0"/>
              <w:bottom w:val="single" w:color="auto" w:sz="4" w:space="0"/>
            </w:tcBorders>
            <w:shd w:val="clear" w:color="auto" w:fill="auto"/>
            <w:vAlign w:val="center"/>
          </w:tcPr>
          <w:p w14:paraId="7C71F4A3">
            <w:pPr>
              <w:keepNext w:val="0"/>
              <w:keepLines w:val="0"/>
              <w:pageBreakBefore w:val="0"/>
              <w:widowControl w:val="0"/>
              <w:kinsoku/>
              <w:wordWrap/>
              <w:overflowPunct/>
              <w:topLinePunct w:val="0"/>
              <w:autoSpaceDE w:val="0"/>
              <w:autoSpaceDN w:val="0"/>
              <w:bidi w:val="0"/>
              <w:adjustRightInd/>
              <w:snapToGrid/>
              <w:spacing w:line="240" w:lineRule="auto"/>
              <w:ind w:firstLine="630" w:firstLineChars="300"/>
              <w:jc w:val="left"/>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小写：</w:t>
            </w:r>
            <w:r>
              <w:rPr>
                <w:rFonts w:hint="eastAsia" w:ascii="宋体" w:hAnsi="宋体" w:cs="宋体"/>
                <w:color w:val="auto"/>
                <w:sz w:val="21"/>
                <w:szCs w:val="21"/>
                <w:highlight w:val="none"/>
                <w:u w:val="single"/>
                <w:lang w:val="en-US" w:eastAsia="zh-CN"/>
              </w:rPr>
              <w:t xml:space="preserve"> 2700000.00   </w:t>
            </w:r>
          </w:p>
        </w:tc>
      </w:tr>
      <w:tr w14:paraId="4307720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724" w:hRule="atLeast"/>
          <w:jc w:val="center"/>
        </w:trPr>
        <w:tc>
          <w:tcPr>
            <w:tcW w:w="3023" w:type="dxa"/>
            <w:tcBorders>
              <w:top w:val="single" w:color="auto" w:sz="12" w:space="0"/>
              <w:bottom w:val="single" w:color="auto" w:sz="4" w:space="0"/>
              <w:right w:val="single" w:color="auto" w:sz="4" w:space="0"/>
            </w:tcBorders>
            <w:vAlign w:val="center"/>
          </w:tcPr>
          <w:p w14:paraId="1E45A3D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备注</w:t>
            </w:r>
          </w:p>
        </w:tc>
        <w:tc>
          <w:tcPr>
            <w:tcW w:w="5196" w:type="dxa"/>
            <w:tcBorders>
              <w:top w:val="single" w:color="auto" w:sz="4" w:space="0"/>
              <w:left w:val="single" w:color="auto" w:sz="4" w:space="0"/>
              <w:bottom w:val="single" w:color="auto" w:sz="4" w:space="0"/>
            </w:tcBorders>
            <w:vAlign w:val="center"/>
          </w:tcPr>
          <w:p w14:paraId="783A2082">
            <w:pPr>
              <w:autoSpaceDE w:val="0"/>
              <w:autoSpaceDN w:val="0"/>
              <w:spacing w:line="24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结算时面积按实计算，具体面积以业主核实之后实际面积为准。</w:t>
            </w:r>
          </w:p>
        </w:tc>
      </w:tr>
    </w:tbl>
    <w:p w14:paraId="0CA19560">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72397757">
      <w:pPr>
        <w:pStyle w:val="5"/>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投标总报价</w:t>
      </w:r>
      <w:r>
        <w:rPr>
          <w:rFonts w:hint="eastAsia" w:ascii="宋体" w:hAnsi="宋体" w:eastAsia="宋体" w:cs="宋体"/>
          <w:color w:val="auto"/>
          <w:sz w:val="21"/>
          <w:szCs w:val="21"/>
          <w:highlight w:val="none"/>
          <w:lang w:val="en-US" w:eastAsia="zh-CN"/>
        </w:rPr>
        <w:t>包括所有人员的人工费、交通费、住宿费、伙食费、办公设施费、管理费、利润、税金、合同包含的所有风险责任等各项费用及不可预见费等所需的全部费用</w:t>
      </w:r>
      <w:r>
        <w:rPr>
          <w:rFonts w:hint="eastAsia" w:ascii="宋体" w:hAnsi="宋体" w:eastAsia="宋体" w:cs="宋体"/>
          <w:color w:val="auto"/>
          <w:kern w:val="0"/>
          <w:szCs w:val="21"/>
          <w:highlight w:val="none"/>
        </w:rPr>
        <w:t>。</w:t>
      </w:r>
    </w:p>
    <w:p w14:paraId="695C86FA">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052241AD">
      <w:pPr>
        <w:spacing w:line="360" w:lineRule="auto"/>
        <w:ind w:left="420"/>
        <w:rPr>
          <w:rFonts w:hint="eastAsia" w:ascii="宋体" w:hAnsi="宋体" w:eastAsia="宋体" w:cs="宋体"/>
          <w:color w:val="auto"/>
          <w:sz w:val="21"/>
          <w:szCs w:val="21"/>
          <w:highlight w:val="none"/>
        </w:rPr>
      </w:pPr>
    </w:p>
    <w:p w14:paraId="76A3B3F9">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734E5E7">
      <w:pPr>
        <w:spacing w:line="360" w:lineRule="auto"/>
        <w:ind w:left="420"/>
        <w:rPr>
          <w:rFonts w:hint="eastAsia" w:ascii="宋体" w:hAnsi="宋体" w:eastAsia="宋体" w:cs="宋体"/>
          <w:color w:val="auto"/>
          <w:sz w:val="21"/>
          <w:szCs w:val="21"/>
          <w:highlight w:val="none"/>
        </w:rPr>
      </w:pPr>
    </w:p>
    <w:p w14:paraId="485CCBF3">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0C48663B">
      <w:pPr>
        <w:spacing w:line="360" w:lineRule="auto"/>
        <w:rPr>
          <w:rFonts w:hint="eastAsia" w:ascii="宋体" w:hAnsi="宋体" w:eastAsia="宋体" w:cs="宋体"/>
          <w:color w:val="auto"/>
          <w:sz w:val="21"/>
          <w:szCs w:val="21"/>
          <w:highlight w:val="none"/>
        </w:rPr>
      </w:pPr>
    </w:p>
    <w:p w14:paraId="1D5DF83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8243">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3B0C21">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0A3B0C21">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82E6">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CEC0D">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FCCEC0D">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9E88">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0FA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990FA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3B3B">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台州市路桥区桐屿街道政策处理评估（地上附着物、土地丈量）项目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7F7AF">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5659">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C6908"/>
    <w:rsid w:val="009E7B9B"/>
    <w:rsid w:val="00BE3149"/>
    <w:rsid w:val="00D27694"/>
    <w:rsid w:val="00E04ED8"/>
    <w:rsid w:val="00FF74E6"/>
    <w:rsid w:val="014268E1"/>
    <w:rsid w:val="016D4C32"/>
    <w:rsid w:val="017C3457"/>
    <w:rsid w:val="01AB06FD"/>
    <w:rsid w:val="02033DFA"/>
    <w:rsid w:val="021F2997"/>
    <w:rsid w:val="02380D19"/>
    <w:rsid w:val="0263032B"/>
    <w:rsid w:val="02640231"/>
    <w:rsid w:val="043F7FC4"/>
    <w:rsid w:val="06056B42"/>
    <w:rsid w:val="061934E9"/>
    <w:rsid w:val="066E153A"/>
    <w:rsid w:val="068423A8"/>
    <w:rsid w:val="073A3E1D"/>
    <w:rsid w:val="08390248"/>
    <w:rsid w:val="084A3762"/>
    <w:rsid w:val="08822F00"/>
    <w:rsid w:val="09125675"/>
    <w:rsid w:val="093730CF"/>
    <w:rsid w:val="09381616"/>
    <w:rsid w:val="094B2DCA"/>
    <w:rsid w:val="09D451C6"/>
    <w:rsid w:val="09E03F7D"/>
    <w:rsid w:val="09F33DD0"/>
    <w:rsid w:val="09FA67D3"/>
    <w:rsid w:val="0A315C47"/>
    <w:rsid w:val="0AF64F0D"/>
    <w:rsid w:val="0B152604"/>
    <w:rsid w:val="0C3C5E3F"/>
    <w:rsid w:val="0CA644D6"/>
    <w:rsid w:val="0D1F4CD0"/>
    <w:rsid w:val="0D434630"/>
    <w:rsid w:val="0D4A420F"/>
    <w:rsid w:val="0D502FCF"/>
    <w:rsid w:val="0DF85C89"/>
    <w:rsid w:val="0F7E6199"/>
    <w:rsid w:val="0FC24482"/>
    <w:rsid w:val="0FE74D1C"/>
    <w:rsid w:val="10452B67"/>
    <w:rsid w:val="10667FE4"/>
    <w:rsid w:val="109F2C30"/>
    <w:rsid w:val="10B91787"/>
    <w:rsid w:val="121665CB"/>
    <w:rsid w:val="1262442D"/>
    <w:rsid w:val="129D3FA9"/>
    <w:rsid w:val="12EC03CE"/>
    <w:rsid w:val="12F17558"/>
    <w:rsid w:val="12F55A85"/>
    <w:rsid w:val="140034B3"/>
    <w:rsid w:val="148836A9"/>
    <w:rsid w:val="14B84A16"/>
    <w:rsid w:val="153A0A52"/>
    <w:rsid w:val="15782F5D"/>
    <w:rsid w:val="158E7346"/>
    <w:rsid w:val="15AE730C"/>
    <w:rsid w:val="15D11224"/>
    <w:rsid w:val="16403DB7"/>
    <w:rsid w:val="168339D9"/>
    <w:rsid w:val="171D6CDD"/>
    <w:rsid w:val="17461D47"/>
    <w:rsid w:val="17B9072C"/>
    <w:rsid w:val="17D2330C"/>
    <w:rsid w:val="18156985"/>
    <w:rsid w:val="19CE3838"/>
    <w:rsid w:val="19E91112"/>
    <w:rsid w:val="19FE7400"/>
    <w:rsid w:val="1A6B1E69"/>
    <w:rsid w:val="1AB40E02"/>
    <w:rsid w:val="1B561DD8"/>
    <w:rsid w:val="1BCC21E4"/>
    <w:rsid w:val="1C136AA7"/>
    <w:rsid w:val="1C6D212E"/>
    <w:rsid w:val="1C7E5C21"/>
    <w:rsid w:val="1CC61F19"/>
    <w:rsid w:val="1CCC7197"/>
    <w:rsid w:val="1CE74F29"/>
    <w:rsid w:val="1D465475"/>
    <w:rsid w:val="1DA83DED"/>
    <w:rsid w:val="1DBA6EF1"/>
    <w:rsid w:val="1EB63606"/>
    <w:rsid w:val="1EF07297"/>
    <w:rsid w:val="1F1245CA"/>
    <w:rsid w:val="1F162724"/>
    <w:rsid w:val="1F323A94"/>
    <w:rsid w:val="1F585823"/>
    <w:rsid w:val="201C7B31"/>
    <w:rsid w:val="20914375"/>
    <w:rsid w:val="20B74641"/>
    <w:rsid w:val="20ED3C16"/>
    <w:rsid w:val="218642E0"/>
    <w:rsid w:val="21D53DB5"/>
    <w:rsid w:val="221613D0"/>
    <w:rsid w:val="224700DF"/>
    <w:rsid w:val="22500B0D"/>
    <w:rsid w:val="22EB672F"/>
    <w:rsid w:val="23D6517B"/>
    <w:rsid w:val="23D8012C"/>
    <w:rsid w:val="23E36615"/>
    <w:rsid w:val="23FD5C1B"/>
    <w:rsid w:val="242A1FE5"/>
    <w:rsid w:val="242B14F4"/>
    <w:rsid w:val="242B382A"/>
    <w:rsid w:val="244D0DE2"/>
    <w:rsid w:val="24612FC2"/>
    <w:rsid w:val="2473727F"/>
    <w:rsid w:val="24961C00"/>
    <w:rsid w:val="24FA2C49"/>
    <w:rsid w:val="257E2CDC"/>
    <w:rsid w:val="25C5310A"/>
    <w:rsid w:val="25F57137"/>
    <w:rsid w:val="260A73EB"/>
    <w:rsid w:val="26151D6C"/>
    <w:rsid w:val="261734BA"/>
    <w:rsid w:val="26606CC7"/>
    <w:rsid w:val="266C3097"/>
    <w:rsid w:val="27453C23"/>
    <w:rsid w:val="28DF5DEA"/>
    <w:rsid w:val="29265027"/>
    <w:rsid w:val="29F110DF"/>
    <w:rsid w:val="2A1F42F7"/>
    <w:rsid w:val="2A5728D1"/>
    <w:rsid w:val="2A5A1B61"/>
    <w:rsid w:val="2C4943B8"/>
    <w:rsid w:val="2C9F1AB0"/>
    <w:rsid w:val="2CC86A72"/>
    <w:rsid w:val="2CDD2C0B"/>
    <w:rsid w:val="2CE803E0"/>
    <w:rsid w:val="2D580808"/>
    <w:rsid w:val="2D697997"/>
    <w:rsid w:val="2DC3581A"/>
    <w:rsid w:val="2ED77AD3"/>
    <w:rsid w:val="2EFA2366"/>
    <w:rsid w:val="2F7B1BB4"/>
    <w:rsid w:val="30275C8C"/>
    <w:rsid w:val="30EB3632"/>
    <w:rsid w:val="31200E86"/>
    <w:rsid w:val="314826CB"/>
    <w:rsid w:val="317E55D7"/>
    <w:rsid w:val="31B14689"/>
    <w:rsid w:val="323740AF"/>
    <w:rsid w:val="32BD7223"/>
    <w:rsid w:val="32E75CE4"/>
    <w:rsid w:val="32E94054"/>
    <w:rsid w:val="33045A0E"/>
    <w:rsid w:val="33413EC8"/>
    <w:rsid w:val="334C40D6"/>
    <w:rsid w:val="346924F4"/>
    <w:rsid w:val="34772ADD"/>
    <w:rsid w:val="35083428"/>
    <w:rsid w:val="35173E74"/>
    <w:rsid w:val="35723362"/>
    <w:rsid w:val="35AC5296"/>
    <w:rsid w:val="36365E7F"/>
    <w:rsid w:val="3683673D"/>
    <w:rsid w:val="36D706BD"/>
    <w:rsid w:val="36FC614A"/>
    <w:rsid w:val="374657D5"/>
    <w:rsid w:val="375E3075"/>
    <w:rsid w:val="37923D04"/>
    <w:rsid w:val="37D00FD7"/>
    <w:rsid w:val="37D96314"/>
    <w:rsid w:val="37EE586E"/>
    <w:rsid w:val="389654BC"/>
    <w:rsid w:val="389B23EA"/>
    <w:rsid w:val="38AA42DE"/>
    <w:rsid w:val="395522EA"/>
    <w:rsid w:val="3A316D41"/>
    <w:rsid w:val="3A666E97"/>
    <w:rsid w:val="3A7A6F1E"/>
    <w:rsid w:val="3ADE5E41"/>
    <w:rsid w:val="3C77021F"/>
    <w:rsid w:val="3E41042A"/>
    <w:rsid w:val="3E6972FC"/>
    <w:rsid w:val="3E7C7A91"/>
    <w:rsid w:val="3F012022"/>
    <w:rsid w:val="3F2301EA"/>
    <w:rsid w:val="3F6F0434"/>
    <w:rsid w:val="3F95513E"/>
    <w:rsid w:val="400E0E9A"/>
    <w:rsid w:val="402C7485"/>
    <w:rsid w:val="4033575D"/>
    <w:rsid w:val="409C6EC9"/>
    <w:rsid w:val="41656E5F"/>
    <w:rsid w:val="427256D6"/>
    <w:rsid w:val="42AD1E40"/>
    <w:rsid w:val="42C97E11"/>
    <w:rsid w:val="431E5B9D"/>
    <w:rsid w:val="434C2833"/>
    <w:rsid w:val="4364349F"/>
    <w:rsid w:val="438532E8"/>
    <w:rsid w:val="43AE7A61"/>
    <w:rsid w:val="44157670"/>
    <w:rsid w:val="44337C1C"/>
    <w:rsid w:val="44DF6F7F"/>
    <w:rsid w:val="453D0478"/>
    <w:rsid w:val="45DC44DD"/>
    <w:rsid w:val="46615B41"/>
    <w:rsid w:val="46D9194A"/>
    <w:rsid w:val="476C394E"/>
    <w:rsid w:val="47C11F07"/>
    <w:rsid w:val="47E6400B"/>
    <w:rsid w:val="48CC67D7"/>
    <w:rsid w:val="49246D1C"/>
    <w:rsid w:val="496F3A60"/>
    <w:rsid w:val="4A4275CD"/>
    <w:rsid w:val="4B261513"/>
    <w:rsid w:val="4BFD7FF6"/>
    <w:rsid w:val="4C5F1AE8"/>
    <w:rsid w:val="4C9243B0"/>
    <w:rsid w:val="4CF72E0A"/>
    <w:rsid w:val="4CFF42F7"/>
    <w:rsid w:val="4DFA74A7"/>
    <w:rsid w:val="4E164181"/>
    <w:rsid w:val="4E3623E0"/>
    <w:rsid w:val="4E7D040D"/>
    <w:rsid w:val="4EF20F2C"/>
    <w:rsid w:val="4F695714"/>
    <w:rsid w:val="4F751FDB"/>
    <w:rsid w:val="4FCF0F45"/>
    <w:rsid w:val="50AB3FDD"/>
    <w:rsid w:val="512F48CB"/>
    <w:rsid w:val="51376036"/>
    <w:rsid w:val="51B42C71"/>
    <w:rsid w:val="51F438E6"/>
    <w:rsid w:val="52103381"/>
    <w:rsid w:val="5223437A"/>
    <w:rsid w:val="5226265D"/>
    <w:rsid w:val="52981B2E"/>
    <w:rsid w:val="539063B7"/>
    <w:rsid w:val="54206A1C"/>
    <w:rsid w:val="544619BC"/>
    <w:rsid w:val="54576450"/>
    <w:rsid w:val="54CF56D2"/>
    <w:rsid w:val="5542113A"/>
    <w:rsid w:val="555236FD"/>
    <w:rsid w:val="5647442E"/>
    <w:rsid w:val="566A1031"/>
    <w:rsid w:val="567459BC"/>
    <w:rsid w:val="569B68E8"/>
    <w:rsid w:val="576854F7"/>
    <w:rsid w:val="5801790F"/>
    <w:rsid w:val="580B08CE"/>
    <w:rsid w:val="58E95545"/>
    <w:rsid w:val="59BD2FCE"/>
    <w:rsid w:val="59C00238"/>
    <w:rsid w:val="59E424A2"/>
    <w:rsid w:val="5A201958"/>
    <w:rsid w:val="5A2118E4"/>
    <w:rsid w:val="5BB23588"/>
    <w:rsid w:val="5C314E44"/>
    <w:rsid w:val="5CC35C70"/>
    <w:rsid w:val="5D634E68"/>
    <w:rsid w:val="5E482992"/>
    <w:rsid w:val="5E802598"/>
    <w:rsid w:val="5EC17F8C"/>
    <w:rsid w:val="5FE071C5"/>
    <w:rsid w:val="601B6DA8"/>
    <w:rsid w:val="60213E7A"/>
    <w:rsid w:val="60306A6C"/>
    <w:rsid w:val="60484F6C"/>
    <w:rsid w:val="618020D7"/>
    <w:rsid w:val="61CC6311"/>
    <w:rsid w:val="62902BCA"/>
    <w:rsid w:val="62FC766B"/>
    <w:rsid w:val="6394251A"/>
    <w:rsid w:val="63971026"/>
    <w:rsid w:val="63A63014"/>
    <w:rsid w:val="64A11290"/>
    <w:rsid w:val="652B6918"/>
    <w:rsid w:val="65A61D93"/>
    <w:rsid w:val="65EA56BD"/>
    <w:rsid w:val="664E3797"/>
    <w:rsid w:val="66950943"/>
    <w:rsid w:val="66966875"/>
    <w:rsid w:val="66B01A27"/>
    <w:rsid w:val="66E62AEE"/>
    <w:rsid w:val="6743111F"/>
    <w:rsid w:val="67BF6058"/>
    <w:rsid w:val="67CE326A"/>
    <w:rsid w:val="68A5736D"/>
    <w:rsid w:val="69161060"/>
    <w:rsid w:val="69703D8E"/>
    <w:rsid w:val="6A0000E9"/>
    <w:rsid w:val="6A341737"/>
    <w:rsid w:val="6A4200C0"/>
    <w:rsid w:val="6AD211AF"/>
    <w:rsid w:val="6B0242A5"/>
    <w:rsid w:val="6B8867A0"/>
    <w:rsid w:val="6BC624F1"/>
    <w:rsid w:val="6C73652A"/>
    <w:rsid w:val="6C837317"/>
    <w:rsid w:val="6CCC0796"/>
    <w:rsid w:val="6D3D2C47"/>
    <w:rsid w:val="6D643BB1"/>
    <w:rsid w:val="6DA724FC"/>
    <w:rsid w:val="6E3E606D"/>
    <w:rsid w:val="6E45575C"/>
    <w:rsid w:val="6F52577A"/>
    <w:rsid w:val="6FA462B1"/>
    <w:rsid w:val="6FB47993"/>
    <w:rsid w:val="70AC2C7E"/>
    <w:rsid w:val="70AD44F5"/>
    <w:rsid w:val="70C3769A"/>
    <w:rsid w:val="70D7550E"/>
    <w:rsid w:val="71D23A68"/>
    <w:rsid w:val="71DF5AF3"/>
    <w:rsid w:val="720C7DC2"/>
    <w:rsid w:val="72A92AD7"/>
    <w:rsid w:val="73CD34FD"/>
    <w:rsid w:val="73DC7D64"/>
    <w:rsid w:val="74114753"/>
    <w:rsid w:val="742D2858"/>
    <w:rsid w:val="748266FC"/>
    <w:rsid w:val="7537199C"/>
    <w:rsid w:val="75A13349"/>
    <w:rsid w:val="75D44605"/>
    <w:rsid w:val="760C3834"/>
    <w:rsid w:val="767D593D"/>
    <w:rsid w:val="76A809D6"/>
    <w:rsid w:val="76E605BF"/>
    <w:rsid w:val="770A7D21"/>
    <w:rsid w:val="77407ECF"/>
    <w:rsid w:val="78BA7D06"/>
    <w:rsid w:val="78E41C51"/>
    <w:rsid w:val="79845717"/>
    <w:rsid w:val="79B16DF9"/>
    <w:rsid w:val="79B969C0"/>
    <w:rsid w:val="79E635AB"/>
    <w:rsid w:val="79F97C93"/>
    <w:rsid w:val="7A58452D"/>
    <w:rsid w:val="7A792FD4"/>
    <w:rsid w:val="7A8A0DB7"/>
    <w:rsid w:val="7B1D1782"/>
    <w:rsid w:val="7B376CA9"/>
    <w:rsid w:val="7B447CBA"/>
    <w:rsid w:val="7BAA7A6F"/>
    <w:rsid w:val="7BEB0099"/>
    <w:rsid w:val="7C4F57E3"/>
    <w:rsid w:val="7DBD0412"/>
    <w:rsid w:val="7E2131B9"/>
    <w:rsid w:val="7E4E7602"/>
    <w:rsid w:val="7E6047E5"/>
    <w:rsid w:val="7F40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2字符）"/>
    <w:basedOn w:val="1"/>
    <w:autoRedefine/>
    <w:qFormat/>
    <w:uiPriority w:val="0"/>
    <w:pPr>
      <w:ind w:firstLine="480" w:firstLineChars="200"/>
    </w:pPr>
    <w:rPr>
      <w:sz w:val="24"/>
      <w:szCs w:val="20"/>
    </w:rPr>
  </w:style>
  <w:style w:type="paragraph" w:styleId="5">
    <w:name w:val="Normal Indent"/>
    <w:basedOn w:val="1"/>
    <w:autoRedefine/>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link w:val="31"/>
    <w:autoRedefine/>
    <w:semiHidden/>
    <w:unhideWhenUsed/>
    <w:qFormat/>
    <w:uiPriority w:val="99"/>
    <w:pPr>
      <w:spacing w:after="120"/>
    </w:pPr>
  </w:style>
  <w:style w:type="paragraph" w:styleId="8">
    <w:name w:val="Body Text Indent"/>
    <w:basedOn w:val="1"/>
    <w:next w:val="1"/>
    <w:link w:val="32"/>
    <w:autoRedefine/>
    <w:qFormat/>
    <w:uiPriority w:val="99"/>
    <w:pPr>
      <w:spacing w:after="120"/>
      <w:ind w:left="420" w:leftChars="200"/>
    </w:pPr>
  </w:style>
  <w:style w:type="paragraph" w:styleId="9">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0">
    <w:name w:val="Plain Text"/>
    <w:basedOn w:val="1"/>
    <w:next w:val="11"/>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alloon Text"/>
    <w:basedOn w:val="1"/>
    <w:link w:val="33"/>
    <w:autoRedefine/>
    <w:semiHidden/>
    <w:unhideWhenUsed/>
    <w:qFormat/>
    <w:uiPriority w:val="99"/>
    <w:rPr>
      <w:sz w:val="18"/>
      <w:szCs w:val="18"/>
    </w:rPr>
  </w:style>
  <w:style w:type="paragraph" w:styleId="13">
    <w:name w:val="footer"/>
    <w:basedOn w:val="1"/>
    <w:link w:val="30"/>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9">
    <w:name w:val="Body Text First Indent"/>
    <w:basedOn w:val="7"/>
    <w:next w:val="1"/>
    <w:autoRedefine/>
    <w:qFormat/>
    <w:uiPriority w:val="0"/>
    <w:pPr>
      <w:ind w:firstLine="420" w:firstLineChars="100"/>
    </w:pPr>
  </w:style>
  <w:style w:type="paragraph" w:styleId="20">
    <w:name w:val="Body Text First Indent 2"/>
    <w:basedOn w:val="8"/>
    <w:next w:val="1"/>
    <w:autoRedefine/>
    <w:qFormat/>
    <w:uiPriority w:val="0"/>
    <w:pPr>
      <w:ind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0"/>
    <w:rPr>
      <w:rFonts w:ascii="Tahoma" w:hAnsi="Tahoma" w:cs="Tahoma"/>
      <w:b/>
      <w:sz w:val="24"/>
    </w:rPr>
  </w:style>
  <w:style w:type="character" w:styleId="25">
    <w:name w:val="page number"/>
    <w:basedOn w:val="23"/>
    <w:autoRedefine/>
    <w:qFormat/>
    <w:uiPriority w:val="0"/>
  </w:style>
  <w:style w:type="character" w:styleId="26">
    <w:name w:val="Hyperlink"/>
    <w:autoRedefine/>
    <w:unhideWhenUsed/>
    <w:qFormat/>
    <w:uiPriority w:val="0"/>
    <w:rPr>
      <w:color w:val="0000FF"/>
      <w:u w:val="single"/>
    </w:rPr>
  </w:style>
  <w:style w:type="paragraph" w:customStyle="1" w:styleId="27">
    <w:name w:val="[Normal]"/>
    <w:autoRedefine/>
    <w:qFormat/>
    <w:uiPriority w:val="0"/>
    <w:rPr>
      <w:rFonts w:ascii="宋体" w:hAnsi="宋体" w:eastAsia="宋体" w:cs="Times New Roman"/>
      <w:sz w:val="24"/>
      <w:szCs w:val="22"/>
      <w:lang w:val="zh-CN" w:eastAsia="zh-CN" w:bidi="ar-SA"/>
    </w:rPr>
  </w:style>
  <w:style w:type="paragraph" w:customStyle="1" w:styleId="28">
    <w:name w:val="正文首行缩进1"/>
    <w:basedOn w:val="7"/>
    <w:autoRedefine/>
    <w:qFormat/>
    <w:uiPriority w:val="0"/>
    <w:pPr>
      <w:ind w:firstLine="420" w:firstLineChars="100"/>
    </w:pPr>
  </w:style>
  <w:style w:type="character" w:customStyle="1" w:styleId="29">
    <w:name w:val="页眉 Char"/>
    <w:basedOn w:val="23"/>
    <w:link w:val="14"/>
    <w:autoRedefine/>
    <w:semiHidden/>
    <w:qFormat/>
    <w:uiPriority w:val="99"/>
    <w:rPr>
      <w:sz w:val="18"/>
      <w:szCs w:val="18"/>
    </w:rPr>
  </w:style>
  <w:style w:type="character" w:customStyle="1" w:styleId="30">
    <w:name w:val="页脚 Char"/>
    <w:basedOn w:val="23"/>
    <w:link w:val="13"/>
    <w:autoRedefine/>
    <w:semiHidden/>
    <w:qFormat/>
    <w:uiPriority w:val="99"/>
    <w:rPr>
      <w:sz w:val="18"/>
      <w:szCs w:val="18"/>
    </w:rPr>
  </w:style>
  <w:style w:type="character" w:customStyle="1" w:styleId="31">
    <w:name w:val="正文文本 Char"/>
    <w:basedOn w:val="23"/>
    <w:link w:val="7"/>
    <w:autoRedefine/>
    <w:semiHidden/>
    <w:qFormat/>
    <w:uiPriority w:val="99"/>
    <w:rPr>
      <w:rFonts w:ascii="Times New Roman" w:hAnsi="Times New Roman" w:eastAsia="宋体" w:cs="Times New Roman"/>
      <w:szCs w:val="24"/>
    </w:rPr>
  </w:style>
  <w:style w:type="character" w:customStyle="1" w:styleId="32">
    <w:name w:val="正文文本缩进 Char"/>
    <w:basedOn w:val="23"/>
    <w:link w:val="8"/>
    <w:autoRedefine/>
    <w:qFormat/>
    <w:uiPriority w:val="99"/>
    <w:rPr>
      <w:rFonts w:ascii="Times New Roman" w:hAnsi="Times New Roman" w:eastAsia="宋体" w:cs="Times New Roman"/>
      <w:szCs w:val="24"/>
    </w:rPr>
  </w:style>
  <w:style w:type="character" w:customStyle="1" w:styleId="33">
    <w:name w:val="批注框文本 Char"/>
    <w:basedOn w:val="23"/>
    <w:link w:val="12"/>
    <w:autoRedefine/>
    <w:semiHidden/>
    <w:qFormat/>
    <w:uiPriority w:val="99"/>
    <w:rPr>
      <w:rFonts w:ascii="Times New Roman" w:hAnsi="Times New Roman" w:eastAsia="宋体" w:cs="Times New Roman"/>
      <w:sz w:val="18"/>
      <w:szCs w:val="18"/>
    </w:rPr>
  </w:style>
  <w:style w:type="character" w:customStyle="1" w:styleId="34">
    <w:name w:val="无"/>
    <w:autoRedefine/>
    <w:qFormat/>
    <w:uiPriority w:val="99"/>
  </w:style>
  <w:style w:type="paragraph" w:customStyle="1" w:styleId="35">
    <w:name w:val="表格文字"/>
    <w:basedOn w:val="1"/>
    <w:next w:val="7"/>
    <w:autoRedefine/>
    <w:qFormat/>
    <w:uiPriority w:val="99"/>
    <w:pPr>
      <w:adjustRightInd w:val="0"/>
      <w:spacing w:line="420" w:lineRule="atLeast"/>
      <w:jc w:val="left"/>
      <w:textAlignment w:val="baseline"/>
    </w:pPr>
    <w:rPr>
      <w:kern w:val="0"/>
    </w:rPr>
  </w:style>
  <w:style w:type="paragraph" w:customStyle="1" w:styleId="36">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9">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autoRedefine/>
    <w:qFormat/>
    <w:uiPriority w:val="99"/>
    <w:rPr>
      <w:rFonts w:ascii="Times New Roman" w:hAnsi="Times New Roman" w:eastAsia="宋体" w:cs="Times New Roman"/>
      <w:sz w:val="21"/>
      <w:szCs w:val="22"/>
      <w:lang w:val="en-US" w:eastAsia="zh-CN" w:bidi="ar-SA"/>
    </w:rPr>
  </w:style>
  <w:style w:type="paragraph" w:customStyle="1" w:styleId="41">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autoRedefine/>
    <w:qFormat/>
    <w:uiPriority w:val="99"/>
    <w:pPr>
      <w:widowControl/>
      <w:jc w:val="left"/>
    </w:pPr>
    <w:rPr>
      <w:rFonts w:ascii="宋体" w:hAnsi="Courier New"/>
      <w:szCs w:val="21"/>
    </w:rPr>
  </w:style>
  <w:style w:type="paragraph" w:customStyle="1" w:styleId="45">
    <w:name w:val="纯文本_0_1"/>
    <w:basedOn w:val="1"/>
    <w:autoRedefine/>
    <w:qFormat/>
    <w:uiPriority w:val="99"/>
    <w:pPr>
      <w:widowControl/>
      <w:jc w:val="left"/>
    </w:pPr>
    <w:rPr>
      <w:rFonts w:ascii="宋体" w:hAnsi="Courier New"/>
      <w:szCs w:val="21"/>
    </w:rPr>
  </w:style>
  <w:style w:type="paragraph" w:customStyle="1" w:styleId="4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1">
    <w:name w:val="p0"/>
    <w:basedOn w:val="1"/>
    <w:autoRedefine/>
    <w:qFormat/>
    <w:uiPriority w:val="0"/>
    <w:pPr>
      <w:widowControl/>
    </w:pPr>
    <w:rPr>
      <w:rFonts w:ascii="Calibri" w:hAnsi="Calibri" w:cs="宋体"/>
      <w:kern w:val="0"/>
      <w:szCs w:val="21"/>
    </w:rPr>
  </w:style>
  <w:style w:type="paragraph" w:styleId="52">
    <w:name w:val="List Paragraph"/>
    <w:basedOn w:val="1"/>
    <w:autoRedefine/>
    <w:qFormat/>
    <w:uiPriority w:val="0"/>
    <w:pPr>
      <w:ind w:firstLine="420" w:firstLineChars="200"/>
    </w:pPr>
    <w:rPr>
      <w:szCs w:val="24"/>
    </w:rPr>
  </w:style>
  <w:style w:type="paragraph" w:customStyle="1" w:styleId="53">
    <w:name w:val="纯文本1"/>
    <w:basedOn w:val="50"/>
    <w:autoRedefine/>
    <w:qFormat/>
    <w:uiPriority w:val="0"/>
    <w:pPr>
      <w:widowControl/>
      <w:jc w:val="left"/>
    </w:pPr>
    <w:rPr>
      <w:rFonts w:ascii="宋体" w:hAnsi="Courier New"/>
      <w:szCs w:val="20"/>
    </w:rPr>
  </w:style>
  <w:style w:type="character" w:customStyle="1" w:styleId="54">
    <w:name w:val="NormalCharacter"/>
    <w:autoRedefine/>
    <w:semiHidden/>
    <w:qFormat/>
    <w:uiPriority w:val="0"/>
  </w:style>
  <w:style w:type="paragraph" w:customStyle="1" w:styleId="55">
    <w:name w:val="正文2"/>
    <w:basedOn w:val="1"/>
    <w:autoRedefine/>
    <w:qFormat/>
    <w:uiPriority w:val="0"/>
    <w:pPr>
      <w:spacing w:before="156" w:line="360" w:lineRule="auto"/>
      <w:ind w:firstLine="510" w:firstLineChars="200"/>
    </w:pPr>
    <w:rPr>
      <w:sz w:val="24"/>
      <w:szCs w:val="20"/>
    </w:rPr>
  </w:style>
  <w:style w:type="table" w:customStyle="1" w:styleId="56">
    <w:name w:val="Table Normal"/>
    <w:semiHidden/>
    <w:unhideWhenUsed/>
    <w:qFormat/>
    <w:uiPriority w:val="0"/>
    <w:tblPr>
      <w:tblCellMar>
        <w:top w:w="0" w:type="dxa"/>
        <w:left w:w="0" w:type="dxa"/>
        <w:bottom w:w="0" w:type="dxa"/>
        <w:right w:w="0" w:type="dxa"/>
      </w:tblCellMar>
    </w:tblPr>
  </w:style>
  <w:style w:type="paragraph" w:customStyle="1" w:styleId="5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31629</Words>
  <Characters>33487</Characters>
  <Lines>1</Lines>
  <Paragraphs>1</Paragraphs>
  <TotalTime>1</TotalTime>
  <ScaleCrop>false</ScaleCrop>
  <LinksUpToDate>false</LinksUpToDate>
  <CharactersWithSpaces>34295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2025-06-05T09:08:30Z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FAD55134B1B24C3F9183DB8DCA897E6C_13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