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7"/>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0" cstate="print"/>
                    <a:stretch>
                      <a:fillRect/>
                    </a:stretch>
                  </pic:blipFill>
                  <pic:spPr>
                    <a:xfrm>
                      <a:off x="0" y="0"/>
                      <a:ext cx="5488940" cy="2279015"/>
                    </a:xfrm>
                    <a:prstGeom prst="rect">
                      <a:avLst/>
                    </a:prstGeom>
                  </pic:spPr>
                </pic:pic>
              </a:graphicData>
            </a:graphic>
          </wp:anchor>
        </w:drawing>
      </w:r>
    </w:p>
    <w:p w14:paraId="3DADF2A1">
      <w:pPr>
        <w:pStyle w:val="7"/>
        <w:jc w:val="center"/>
        <w:rPr>
          <w:rFonts w:hint="eastAsia" w:ascii="宋体" w:hAnsi="宋体" w:eastAsia="宋体" w:cs="宋体"/>
        </w:rPr>
      </w:pPr>
    </w:p>
    <w:p w14:paraId="010DBE0F">
      <w:pPr>
        <w:pStyle w:val="7"/>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cs="宋体"/>
          <w:color w:val="auto"/>
          <w:kern w:val="0"/>
          <w:sz w:val="28"/>
          <w:szCs w:val="28"/>
          <w:highlight w:val="none"/>
          <w:u w:val="single"/>
          <w:lang w:eastAsia="zh-CN"/>
        </w:rPr>
        <w:t>tzya2025-tz23</w:t>
      </w:r>
    </w:p>
    <w:p w14:paraId="6E4A2898">
      <w:pPr>
        <w:pStyle w:val="7"/>
        <w:jc w:val="center"/>
        <w:rPr>
          <w:rFonts w:hint="eastAsia" w:ascii="宋体" w:hAnsi="宋体" w:eastAsia="宋体" w:cs="宋体"/>
          <w:color w:val="auto"/>
          <w:highlight w:val="none"/>
        </w:rPr>
      </w:pPr>
    </w:p>
    <w:p w14:paraId="3269F134">
      <w:pPr>
        <w:pStyle w:val="7"/>
        <w:jc w:val="both"/>
        <w:rPr>
          <w:rFonts w:hint="eastAsia" w:ascii="宋体" w:hAnsi="宋体" w:eastAsia="宋体" w:cs="宋体"/>
          <w:color w:val="auto"/>
          <w:highlight w:val="none"/>
        </w:rPr>
      </w:pPr>
    </w:p>
    <w:p w14:paraId="2DF119B2">
      <w:pPr>
        <w:pStyle w:val="7"/>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初高一体化早期培养暑期规划项目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台州市黄岩中学</w:t>
      </w:r>
    </w:p>
    <w:p w14:paraId="33CC4CF1">
      <w:pPr>
        <w:pStyle w:val="7"/>
        <w:rPr>
          <w:rFonts w:hint="eastAsia" w:ascii="宋体" w:hAnsi="宋体" w:eastAsia="宋体" w:cs="宋体"/>
          <w:color w:val="auto"/>
          <w:highlight w:val="none"/>
        </w:rPr>
      </w:pPr>
    </w:p>
    <w:p w14:paraId="1FA765C4">
      <w:pPr>
        <w:pStyle w:val="20"/>
        <w:rPr>
          <w:rFonts w:hint="eastAsia" w:ascii="宋体" w:hAnsi="宋体" w:eastAsia="宋体" w:cs="宋体"/>
          <w:color w:val="auto"/>
          <w:highlight w:val="none"/>
        </w:rPr>
      </w:pPr>
    </w:p>
    <w:p w14:paraId="3B71EE7A">
      <w:pPr>
        <w:pStyle w:val="7"/>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7"/>
        <w:rPr>
          <w:rFonts w:hint="eastAsia" w:ascii="宋体" w:hAnsi="宋体" w:eastAsia="宋体" w:cs="宋体"/>
          <w:color w:val="auto"/>
          <w:highlight w:val="none"/>
        </w:rPr>
      </w:pPr>
    </w:p>
    <w:p w14:paraId="7AA28E27">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CE35EE6">
      <w:pPr>
        <w:pStyle w:val="7"/>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7"/>
        <w:jc w:val="center"/>
        <w:rPr>
          <w:rFonts w:hint="eastAsia" w:ascii="宋体" w:hAnsi="宋体" w:eastAsia="宋体" w:cs="宋体"/>
          <w:color w:val="auto"/>
          <w:highlight w:val="none"/>
        </w:rPr>
      </w:pPr>
    </w:p>
    <w:p w14:paraId="18AD9094">
      <w:pPr>
        <w:pStyle w:val="7"/>
        <w:jc w:val="center"/>
        <w:rPr>
          <w:rFonts w:hint="eastAsia" w:ascii="宋体" w:hAnsi="宋体" w:eastAsia="宋体" w:cs="宋体"/>
          <w:color w:val="auto"/>
          <w:highlight w:val="none"/>
        </w:rPr>
      </w:pPr>
    </w:p>
    <w:p w14:paraId="7774B8DA">
      <w:pPr>
        <w:pStyle w:val="7"/>
        <w:jc w:val="center"/>
        <w:rPr>
          <w:rFonts w:hint="eastAsia" w:ascii="宋体" w:hAnsi="宋体" w:eastAsia="宋体" w:cs="宋体"/>
          <w:color w:val="auto"/>
          <w:highlight w:val="none"/>
        </w:rPr>
      </w:pPr>
    </w:p>
    <w:p w14:paraId="7857A260">
      <w:pPr>
        <w:pStyle w:val="7"/>
        <w:jc w:val="center"/>
        <w:rPr>
          <w:rFonts w:hint="eastAsia" w:ascii="宋体" w:hAnsi="宋体" w:eastAsia="宋体" w:cs="宋体"/>
          <w:color w:val="auto"/>
          <w:highlight w:val="none"/>
        </w:rPr>
      </w:pPr>
    </w:p>
    <w:p w14:paraId="0EF7BF18">
      <w:pPr>
        <w:pStyle w:val="7"/>
        <w:jc w:val="center"/>
        <w:rPr>
          <w:rFonts w:hint="eastAsia" w:ascii="宋体" w:hAnsi="宋体" w:eastAsia="宋体" w:cs="宋体"/>
          <w:color w:val="auto"/>
          <w:highlight w:val="none"/>
        </w:rPr>
      </w:pPr>
    </w:p>
    <w:p w14:paraId="156F101E">
      <w:pPr>
        <w:pStyle w:val="7"/>
        <w:jc w:val="center"/>
        <w:rPr>
          <w:rFonts w:hint="eastAsia" w:ascii="宋体" w:hAnsi="宋体" w:eastAsia="宋体" w:cs="宋体"/>
          <w:color w:val="auto"/>
          <w:highlight w:val="none"/>
        </w:rPr>
      </w:pPr>
    </w:p>
    <w:p w14:paraId="6EC0781D">
      <w:pPr>
        <w:pStyle w:val="7"/>
        <w:jc w:val="center"/>
        <w:rPr>
          <w:rFonts w:hint="eastAsia" w:ascii="宋体" w:hAnsi="宋体" w:eastAsia="宋体" w:cs="宋体"/>
          <w:color w:val="auto"/>
          <w:highlight w:val="none"/>
        </w:rPr>
      </w:pPr>
    </w:p>
    <w:p w14:paraId="416D7F2C">
      <w:pPr>
        <w:pStyle w:val="7"/>
        <w:jc w:val="center"/>
        <w:rPr>
          <w:rFonts w:hint="eastAsia" w:ascii="宋体" w:hAnsi="宋体" w:eastAsia="宋体" w:cs="宋体"/>
          <w:color w:val="auto"/>
          <w:highlight w:val="none"/>
        </w:rPr>
      </w:pPr>
    </w:p>
    <w:p w14:paraId="23A159C0">
      <w:pPr>
        <w:pStyle w:val="7"/>
        <w:jc w:val="center"/>
        <w:rPr>
          <w:rFonts w:hint="eastAsia" w:ascii="宋体" w:hAnsi="宋体" w:eastAsia="宋体" w:cs="宋体"/>
          <w:color w:val="auto"/>
          <w:highlight w:val="none"/>
        </w:rPr>
      </w:pPr>
    </w:p>
    <w:p w14:paraId="777483AC">
      <w:pPr>
        <w:pStyle w:val="7"/>
        <w:jc w:val="center"/>
        <w:rPr>
          <w:rFonts w:hint="eastAsia" w:ascii="宋体" w:hAnsi="宋体" w:eastAsia="宋体" w:cs="宋体"/>
          <w:color w:val="auto"/>
          <w:highlight w:val="none"/>
        </w:rPr>
      </w:pPr>
    </w:p>
    <w:p w14:paraId="7AE234CF">
      <w:pPr>
        <w:pStyle w:val="7"/>
        <w:jc w:val="center"/>
        <w:rPr>
          <w:rFonts w:hint="eastAsia" w:ascii="宋体" w:hAnsi="宋体" w:eastAsia="宋体" w:cs="宋体"/>
          <w:color w:val="auto"/>
          <w:highlight w:val="none"/>
        </w:rPr>
      </w:pPr>
    </w:p>
    <w:p w14:paraId="7BA2C4DE">
      <w:pPr>
        <w:pStyle w:val="7"/>
        <w:jc w:val="center"/>
        <w:rPr>
          <w:rFonts w:hint="eastAsia" w:ascii="宋体" w:hAnsi="宋体" w:eastAsia="宋体" w:cs="宋体"/>
          <w:color w:val="auto"/>
          <w:highlight w:val="none"/>
        </w:rPr>
      </w:pPr>
    </w:p>
    <w:p w14:paraId="5AE49E8B">
      <w:pPr>
        <w:pStyle w:val="7"/>
        <w:jc w:val="center"/>
        <w:rPr>
          <w:rFonts w:hint="eastAsia" w:ascii="宋体" w:hAnsi="宋体" w:eastAsia="宋体" w:cs="宋体"/>
          <w:color w:val="auto"/>
          <w:highlight w:val="none"/>
        </w:rPr>
      </w:pPr>
    </w:p>
    <w:p w14:paraId="1FAC9134">
      <w:pPr>
        <w:pStyle w:val="20"/>
        <w:rPr>
          <w:rFonts w:hint="eastAsia" w:ascii="宋体" w:hAnsi="宋体" w:eastAsia="宋体" w:cs="宋体"/>
          <w:color w:val="auto"/>
          <w:highlight w:val="none"/>
        </w:rPr>
      </w:pPr>
    </w:p>
    <w:p w14:paraId="413669B7">
      <w:pPr>
        <w:pStyle w:val="20"/>
        <w:rPr>
          <w:rFonts w:hint="eastAsia" w:ascii="宋体" w:hAnsi="宋体" w:eastAsia="宋体" w:cs="宋体"/>
          <w:color w:val="auto"/>
          <w:highlight w:val="none"/>
        </w:rPr>
      </w:pPr>
    </w:p>
    <w:p w14:paraId="3E9511A9">
      <w:pPr>
        <w:pStyle w:val="20"/>
        <w:rPr>
          <w:rFonts w:hint="eastAsia" w:ascii="宋体" w:hAnsi="宋体" w:eastAsia="宋体" w:cs="宋体"/>
          <w:color w:val="auto"/>
          <w:highlight w:val="none"/>
        </w:rPr>
      </w:pPr>
    </w:p>
    <w:p w14:paraId="07C91CBC">
      <w:pPr>
        <w:pStyle w:val="7"/>
        <w:jc w:val="center"/>
        <w:rPr>
          <w:rFonts w:hint="eastAsia" w:ascii="宋体" w:hAnsi="宋体" w:eastAsia="宋体" w:cs="宋体"/>
          <w:color w:val="auto"/>
          <w:highlight w:val="none"/>
        </w:rPr>
      </w:pPr>
    </w:p>
    <w:p w14:paraId="07F083DC">
      <w:pPr>
        <w:pStyle w:val="20"/>
        <w:rPr>
          <w:rFonts w:hint="eastAsia" w:ascii="宋体" w:hAnsi="宋体" w:eastAsia="宋体" w:cs="宋体"/>
          <w:color w:val="auto"/>
          <w:highlight w:val="none"/>
        </w:rPr>
      </w:pPr>
    </w:p>
    <w:p w14:paraId="2A1642D1">
      <w:pPr>
        <w:pStyle w:val="7"/>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台州市黄岩中学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初高一体化早期培养暑期规划项目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tzya2025-tz23</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622"/>
        <w:gridCol w:w="916"/>
        <w:gridCol w:w="934"/>
        <w:gridCol w:w="1100"/>
        <w:gridCol w:w="1124"/>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2"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916"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34"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00" w:type="dxa"/>
            <w:noWrap w:val="0"/>
            <w:vAlign w:val="center"/>
          </w:tcPr>
          <w:p w14:paraId="45D88F2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5BC9C4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24"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初高一体化早期培养暑期规划项目</w:t>
            </w:r>
          </w:p>
        </w:tc>
        <w:tc>
          <w:tcPr>
            <w:tcW w:w="1622"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916"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34"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00"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49.8</w:t>
            </w:r>
          </w:p>
        </w:tc>
        <w:tc>
          <w:tcPr>
            <w:tcW w:w="1124"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p>
        </w:tc>
      </w:tr>
    </w:tbl>
    <w:p w14:paraId="726370E6">
      <w:pPr>
        <w:pStyle w:val="11"/>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t>1、</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cs="宋体"/>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cs="宋体"/>
          <w:b w:val="0"/>
          <w:bCs w:val="0"/>
          <w:color w:val="auto"/>
          <w:highlight w:val="none"/>
          <w:lang w:val="en-US" w:eastAsia="zh-CN"/>
        </w:rPr>
        <w:t>台州市黄岩中学会议室</w:t>
      </w:r>
      <w:r>
        <w:rPr>
          <w:rFonts w:hint="eastAsia" w:ascii="宋体" w:hAnsi="宋体" w:eastAsia="宋体" w:cs="宋体"/>
          <w:color w:val="auto"/>
          <w:sz w:val="21"/>
          <w:szCs w:val="21"/>
          <w:highlight w:val="none"/>
          <w:shd w:val="clear" w:color="auto" w:fill="auto"/>
          <w:lang w:val="en-US" w:eastAsia="zh-CN"/>
        </w:rPr>
        <w:t>开始进行</w:t>
      </w: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60DAE93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33746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470733E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D9A37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D5255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DE5F18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A82D40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427501B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台州市黄岩中学</w:t>
      </w:r>
    </w:p>
    <w:p w14:paraId="7F306DA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联系人：</w:t>
      </w:r>
      <w:r>
        <w:rPr>
          <w:rFonts w:hint="eastAsia" w:ascii="宋体" w:hAnsi="宋体" w:cs="宋体"/>
          <w:color w:val="auto"/>
          <w:sz w:val="21"/>
          <w:szCs w:val="21"/>
          <w:highlight w:val="none"/>
          <w:shd w:val="clear" w:color="auto" w:fill="auto"/>
          <w:lang w:val="en-US" w:eastAsia="zh-CN"/>
        </w:rPr>
        <w:t>王老师</w:t>
      </w:r>
      <w:r>
        <w:rPr>
          <w:rFonts w:hint="eastAsia" w:ascii="宋体" w:hAnsi="宋体" w:eastAsia="宋体" w:cs="宋体"/>
          <w:color w:val="auto"/>
          <w:sz w:val="21"/>
          <w:szCs w:val="21"/>
          <w:highlight w:val="none"/>
          <w:shd w:val="clear" w:color="auto" w:fill="auto"/>
        </w:rPr>
        <w:t xml:space="preserve">     </w:t>
      </w:r>
    </w:p>
    <w:p w14:paraId="330953C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cs="宋体"/>
          <w:color w:val="auto"/>
          <w:sz w:val="21"/>
          <w:szCs w:val="21"/>
          <w:highlight w:val="none"/>
          <w:shd w:val="clear" w:color="auto" w:fill="auto"/>
          <w:lang w:val="en-US" w:eastAsia="zh-CN"/>
        </w:rPr>
        <w:t>89103091</w:t>
      </w:r>
    </w:p>
    <w:p w14:paraId="2E31D433">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台州市黄岩区黄长路988号</w:t>
      </w:r>
    </w:p>
    <w:p w14:paraId="7808CAC3">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3、同级采购监管机构</w:t>
      </w:r>
    </w:p>
    <w:p w14:paraId="52A85D2E">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台州市黄岩中学</w:t>
      </w:r>
    </w:p>
    <w:p w14:paraId="5413B66B">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联系人：</w:t>
      </w:r>
      <w:r>
        <w:rPr>
          <w:rFonts w:hint="eastAsia" w:ascii="宋体" w:hAnsi="宋体" w:cs="宋体"/>
          <w:color w:val="auto"/>
          <w:sz w:val="21"/>
          <w:szCs w:val="21"/>
          <w:highlight w:val="none"/>
          <w:shd w:val="clear" w:color="auto" w:fill="auto"/>
          <w:lang w:val="en-US" w:eastAsia="zh-CN"/>
        </w:rPr>
        <w:t>方老师</w:t>
      </w:r>
      <w:r>
        <w:rPr>
          <w:rFonts w:hint="eastAsia" w:ascii="宋体" w:hAnsi="宋体" w:eastAsia="宋体" w:cs="宋体"/>
          <w:color w:val="auto"/>
          <w:sz w:val="21"/>
          <w:szCs w:val="21"/>
          <w:highlight w:val="none"/>
          <w:shd w:val="clear" w:color="auto" w:fill="auto"/>
        </w:rPr>
        <w:t>　　　 　　</w:t>
      </w:r>
    </w:p>
    <w:p w14:paraId="6690724E">
      <w:pPr>
        <w:keepNext w:val="0"/>
        <w:keepLines w:val="0"/>
        <w:pageBreakBefore w:val="0"/>
        <w:kinsoku/>
        <w:wordWrap/>
        <w:topLinePunct w:val="0"/>
        <w:bidi w:val="0"/>
        <w:spacing w:line="360" w:lineRule="auto"/>
        <w:ind w:firstLine="420" w:firstLineChars="200"/>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cs="宋体"/>
          <w:color w:val="auto"/>
          <w:sz w:val="21"/>
          <w:szCs w:val="21"/>
          <w:highlight w:val="none"/>
          <w:shd w:val="clear" w:color="auto" w:fill="auto"/>
          <w:lang w:val="en-US" w:eastAsia="zh-CN"/>
        </w:rPr>
        <w:t>89103089</w:t>
      </w:r>
    </w:p>
    <w:p w14:paraId="60109B0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台州市黄岩区黄长路988号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7"/>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二○二五年六月</w:t>
      </w:r>
    </w:p>
    <w:p w14:paraId="67847EE3">
      <w:pPr>
        <w:pStyle w:val="20"/>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投标截止时间前（建议提前半天送达）按要求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b w:val="0"/>
                <w:bCs w:val="0"/>
                <w:color w:val="auto"/>
                <w:highlight w:val="none"/>
                <w:lang w:val="en-US" w:eastAsia="zh-CN"/>
              </w:rPr>
              <w:t>台州市黄岩中学会议室</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30E5412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AE8A0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A730A2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供应商对项目现状及需求的理解情况，对项目现状和需求描述的全面性、准确性、针对性，对项目重点、难点的把握，解决方案及合理化建议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4DC31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的措施或方案、项目实施进度安排、项目实施人员及项目负责人的资质、类似经验等）。</w:t>
      </w:r>
    </w:p>
    <w:p w14:paraId="1F668C6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C431810">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F968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647EBF4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25D420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6ABDAF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2BB58B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0F675D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（二）</w:t>
      </w: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w:t>
      </w:r>
      <w:r>
        <w:rPr>
          <w:rFonts w:hint="eastAsia" w:ascii="宋体" w:hAnsi="宋体" w:cs="宋体"/>
          <w:b w:val="0"/>
          <w:bCs w:val="0"/>
          <w:color w:val="auto"/>
          <w:highlight w:val="none"/>
          <w:lang w:eastAsia="zh-CN"/>
        </w:rPr>
        <w:t>投标截止时间前（建议提前半天送达）按要求</w:t>
      </w:r>
      <w:r>
        <w:rPr>
          <w:rFonts w:hint="eastAsia" w:ascii="宋体" w:hAnsi="宋体" w:eastAsia="宋体" w:cs="宋体"/>
          <w:b w:val="0"/>
          <w:bCs w:val="0"/>
          <w:color w:val="auto"/>
          <w:highlight w:val="none"/>
        </w:rPr>
        <w:t>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4256A5E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18"/>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34DD52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66697896">
      <w:pPr>
        <w:keepNext w:val="0"/>
        <w:keepLines w:val="0"/>
        <w:pageBreakBefore w:val="0"/>
        <w:kinsoku/>
        <w:wordWrap/>
        <w:topLinePunct w:val="0"/>
        <w:bidi w:val="0"/>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1410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6BE0236C">
            <w:pPr>
              <w:keepNext w:val="0"/>
              <w:keepLines w:val="0"/>
              <w:pageBreakBefore w:val="0"/>
              <w:kinsoku/>
              <w:wordWrap/>
              <w:topLinePunct w:val="0"/>
              <w:bidi w:val="0"/>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6432;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7" name="直接连接符 7"/>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5408;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N4Qf+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EF7F4C7">
            <w:pPr>
              <w:keepNext w:val="0"/>
              <w:keepLines w:val="0"/>
              <w:pageBreakBefore w:val="0"/>
              <w:kinsoku/>
              <w:wordWrap/>
              <w:topLinePunct w:val="0"/>
              <w:bidi w:val="0"/>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3590DCE">
            <w:pPr>
              <w:keepNext w:val="0"/>
              <w:keepLines w:val="0"/>
              <w:pageBreakBefore w:val="0"/>
              <w:kinsoku/>
              <w:wordWrap/>
              <w:topLinePunct w:val="0"/>
              <w:bidi w:val="0"/>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6DA1E76">
            <w:pPr>
              <w:keepNext w:val="0"/>
              <w:keepLines w:val="0"/>
              <w:pageBreakBefore w:val="0"/>
              <w:kinsoku/>
              <w:wordWrap/>
              <w:topLinePunct w:val="0"/>
              <w:bidi w:val="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75045D4">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6B0407DF">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62DFC94D">
            <w:pPr>
              <w:keepNext w:val="0"/>
              <w:keepLines w:val="0"/>
              <w:pageBreakBefore w:val="0"/>
              <w:kinsoku/>
              <w:wordWrap/>
              <w:topLinePunct w:val="0"/>
              <w:bidi w:val="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1F36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D75DFC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2776D1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727A83B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5C0F37B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E50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4B9712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35B5ADE3">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5D41C0C4">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10F1183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7D9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0F344E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39BED5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2617AE75">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3BEECD4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6C8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1444697">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439DE11">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56E15D95">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645C8AA7">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EAE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21A9056">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D6737E6">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7B800F2C">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4E6F9CAD">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2CF6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7F51692">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698826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73AC7BBF">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6A01A5C2">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4A4C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4F303248">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0610F3CA">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1E56E838">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071D345E">
            <w:pPr>
              <w:keepNext w:val="0"/>
              <w:keepLines w:val="0"/>
              <w:pageBreakBefore w:val="0"/>
              <w:kinsoku/>
              <w:wordWrap/>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CC41BD5">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Cs w:val="21"/>
          <w:highlight w:val="none"/>
        </w:rPr>
      </w:pPr>
    </w:p>
    <w:p w14:paraId="333D572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1CB90C4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903A6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F2DDE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4527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57FED7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2F80CC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951E2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2DC6F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389EBD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6339C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05323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A552E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如仍相同的，则抽签决定</w:t>
      </w:r>
      <w:r>
        <w:rPr>
          <w:rFonts w:hint="eastAsia" w:ascii="宋体" w:hAnsi="宋体" w:eastAsia="宋体" w:cs="宋体"/>
          <w:color w:val="auto"/>
          <w:sz w:val="21"/>
          <w:szCs w:val="21"/>
          <w:highlight w:val="none"/>
          <w:lang w:val="zh-CN"/>
        </w:rPr>
        <w:t>。</w:t>
      </w:r>
    </w:p>
    <w:p w14:paraId="6229FB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07E723A4">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00"/>
        <w:gridCol w:w="7223"/>
        <w:gridCol w:w="586"/>
      </w:tblGrid>
      <w:tr w14:paraId="6997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1079BC8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223" w:type="dxa"/>
            <w:tcBorders>
              <w:top w:val="single" w:color="auto" w:sz="4" w:space="0"/>
              <w:left w:val="single" w:color="auto" w:sz="4" w:space="0"/>
              <w:bottom w:val="single" w:color="auto" w:sz="6" w:space="0"/>
              <w:right w:val="single" w:color="auto" w:sz="6" w:space="0"/>
            </w:tcBorders>
            <w:vAlign w:val="center"/>
          </w:tcPr>
          <w:p w14:paraId="7FC8AB3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586" w:type="dxa"/>
            <w:tcBorders>
              <w:top w:val="single" w:color="auto" w:sz="4" w:space="0"/>
              <w:left w:val="single" w:color="auto" w:sz="6" w:space="0"/>
              <w:bottom w:val="single" w:color="auto" w:sz="6" w:space="0"/>
              <w:right w:val="single" w:color="auto" w:sz="6" w:space="0"/>
            </w:tcBorders>
            <w:vAlign w:val="center"/>
          </w:tcPr>
          <w:p w14:paraId="1E835EF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242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27" w:type="dxa"/>
            <w:vMerge w:val="restart"/>
            <w:vAlign w:val="center"/>
          </w:tcPr>
          <w:p w14:paraId="142FEF6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商务分（32分）</w:t>
            </w:r>
          </w:p>
        </w:tc>
        <w:tc>
          <w:tcPr>
            <w:tcW w:w="1000" w:type="dxa"/>
            <w:vAlign w:val="center"/>
          </w:tcPr>
          <w:p w14:paraId="1DDF3395">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223" w:type="dxa"/>
            <w:vAlign w:val="center"/>
          </w:tcPr>
          <w:p w14:paraId="3565154F">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供应商自2021年1月1日（以合同签订时间为准）至今，承接过类似项目的，提供1个得1分，本项最高得2分。</w:t>
            </w:r>
          </w:p>
          <w:p w14:paraId="2260D67F">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有效的合同复印</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86" w:type="dxa"/>
            <w:vAlign w:val="center"/>
          </w:tcPr>
          <w:p w14:paraId="20B1802B">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309E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7" w:type="dxa"/>
            <w:vMerge w:val="continue"/>
            <w:vAlign w:val="center"/>
          </w:tcPr>
          <w:p w14:paraId="1BCBB3E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1000" w:type="dxa"/>
            <w:vMerge w:val="restart"/>
            <w:vAlign w:val="center"/>
          </w:tcPr>
          <w:p w14:paraId="18C6B3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7223" w:type="dxa"/>
            <w:vAlign w:val="center"/>
          </w:tcPr>
          <w:p w14:paraId="5E5EC0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授课团队中</w:t>
            </w:r>
            <w:r>
              <w:rPr>
                <w:rFonts w:hint="eastAsia" w:ascii="宋体" w:hAnsi="宋体" w:cs="宋体"/>
                <w:b w:val="0"/>
                <w:bCs w:val="0"/>
                <w:color w:val="auto"/>
                <w:kern w:val="0"/>
                <w:szCs w:val="21"/>
                <w:highlight w:val="none"/>
                <w:lang w:eastAsia="zh-CN"/>
              </w:rPr>
              <w:t>：</w:t>
            </w:r>
          </w:p>
          <w:p w14:paraId="09ECAEB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竞赛教练：</w:t>
            </w:r>
          </w:p>
          <w:p w14:paraId="6007760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毕业于</w:t>
            </w:r>
            <w:r>
              <w:rPr>
                <w:rFonts w:hint="eastAsia" w:ascii="宋体" w:hAnsi="宋体" w:cs="宋体"/>
                <w:b w:val="0"/>
                <w:bCs w:val="0"/>
                <w:color w:val="auto"/>
                <w:kern w:val="0"/>
                <w:szCs w:val="21"/>
                <w:highlight w:val="none"/>
              </w:rPr>
              <w:t>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w:t>
            </w:r>
            <w:r>
              <w:rPr>
                <w:rFonts w:hint="eastAsia" w:ascii="宋体" w:hAnsi="宋体" w:cs="宋体"/>
                <w:b w:val="0"/>
                <w:bCs w:val="0"/>
                <w:color w:val="auto"/>
                <w:kern w:val="0"/>
                <w:szCs w:val="21"/>
                <w:highlight w:val="none"/>
                <w:lang w:val="en-US" w:eastAsia="zh-CN"/>
              </w:rPr>
              <w:t>的，每提供1人得2分，</w:t>
            </w:r>
          </w:p>
          <w:p w14:paraId="576199F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ascii="宋体" w:hAnsi="宋体" w:eastAsia="宋体" w:cs="宋体"/>
                <w:color w:val="auto"/>
                <w:szCs w:val="21"/>
                <w:highlight w:val="none"/>
                <w:lang w:val="en-US" w:eastAsia="zh-CN"/>
              </w:rPr>
              <w:t>获得过</w:t>
            </w:r>
            <w:r>
              <w:rPr>
                <w:rFonts w:hint="eastAsia" w:ascii="宋体" w:hAnsi="宋体" w:cs="宋体"/>
                <w:color w:val="auto"/>
                <w:sz w:val="21"/>
                <w:szCs w:val="21"/>
                <w:highlight w:val="none"/>
                <w:lang w:val="en-US" w:eastAsia="zh-CN"/>
              </w:rPr>
              <w:t>学科竞赛国家级</w:t>
            </w:r>
            <w:r>
              <w:rPr>
                <w:rFonts w:hint="eastAsia" w:ascii="宋体" w:hAnsi="宋体" w:eastAsia="宋体" w:cs="宋体"/>
                <w:color w:val="auto"/>
                <w:sz w:val="21"/>
                <w:szCs w:val="21"/>
                <w:highlight w:val="none"/>
                <w:lang w:val="en-US" w:eastAsia="zh-CN"/>
              </w:rPr>
              <w:t>奖项的每人得2分，获得过</w:t>
            </w:r>
            <w:r>
              <w:rPr>
                <w:rFonts w:hint="eastAsia" w:ascii="宋体" w:hAnsi="宋体" w:cs="宋体"/>
                <w:color w:val="auto"/>
                <w:sz w:val="21"/>
                <w:szCs w:val="21"/>
                <w:highlight w:val="none"/>
                <w:lang w:val="en-US" w:eastAsia="zh-CN"/>
              </w:rPr>
              <w:t>学科竞赛省</w:t>
            </w:r>
            <w:r>
              <w:rPr>
                <w:rFonts w:hint="eastAsia" w:ascii="宋体" w:hAnsi="宋体" w:eastAsia="宋体" w:cs="宋体"/>
                <w:color w:val="auto"/>
                <w:sz w:val="21"/>
                <w:szCs w:val="21"/>
                <w:highlight w:val="none"/>
                <w:lang w:val="en-US" w:eastAsia="zh-CN"/>
              </w:rPr>
              <w:t>级奖项的每人得1分，获得过</w:t>
            </w:r>
            <w:r>
              <w:rPr>
                <w:rFonts w:hint="eastAsia" w:ascii="宋体" w:hAnsi="宋体" w:cs="宋体"/>
                <w:color w:val="auto"/>
                <w:sz w:val="21"/>
                <w:szCs w:val="21"/>
                <w:highlight w:val="none"/>
                <w:lang w:val="en-US" w:eastAsia="zh-CN"/>
              </w:rPr>
              <w:t>学科竞赛市</w:t>
            </w:r>
            <w:r>
              <w:rPr>
                <w:rFonts w:hint="eastAsia" w:ascii="宋体" w:hAnsi="宋体" w:eastAsia="宋体" w:cs="宋体"/>
                <w:color w:val="auto"/>
                <w:sz w:val="21"/>
                <w:szCs w:val="21"/>
                <w:highlight w:val="none"/>
                <w:lang w:val="en-US" w:eastAsia="zh-CN"/>
              </w:rPr>
              <w:t>级奖项的每人得0.5分，其他不得分。</w:t>
            </w:r>
          </w:p>
          <w:p w14:paraId="7356C69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Cs w:val="21"/>
                <w:highlight w:val="none"/>
                <w:lang w:val="en-US" w:eastAsia="zh-CN"/>
              </w:rPr>
              <w:t>本项最高得20分，同一人可重复得分。</w:t>
            </w:r>
          </w:p>
          <w:p w14:paraId="5BC67A2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86" w:type="dxa"/>
            <w:vAlign w:val="center"/>
          </w:tcPr>
          <w:p w14:paraId="61909188">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r w14:paraId="1CDD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7" w:type="dxa"/>
            <w:vMerge w:val="continue"/>
            <w:vAlign w:val="center"/>
          </w:tcPr>
          <w:p w14:paraId="20F4414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p>
        </w:tc>
        <w:tc>
          <w:tcPr>
            <w:tcW w:w="1000" w:type="dxa"/>
            <w:vMerge w:val="continue"/>
            <w:vAlign w:val="center"/>
          </w:tcPr>
          <w:p w14:paraId="201C3B6E">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p>
        </w:tc>
        <w:tc>
          <w:tcPr>
            <w:tcW w:w="7223" w:type="dxa"/>
            <w:vAlign w:val="center"/>
          </w:tcPr>
          <w:p w14:paraId="19F38C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授课团队中</w:t>
            </w:r>
            <w:r>
              <w:rPr>
                <w:rFonts w:hint="eastAsia" w:ascii="宋体" w:hAnsi="宋体" w:cs="宋体"/>
                <w:b w:val="0"/>
                <w:bCs w:val="0"/>
                <w:color w:val="auto"/>
                <w:kern w:val="0"/>
                <w:szCs w:val="21"/>
                <w:highlight w:val="none"/>
                <w:lang w:eastAsia="zh-CN"/>
              </w:rPr>
              <w:t>：</w:t>
            </w:r>
          </w:p>
          <w:p w14:paraId="12807B71">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初中名师（竞赛教练除外）：</w:t>
            </w:r>
          </w:p>
          <w:p w14:paraId="72C1E90A">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获得过</w:t>
            </w:r>
            <w:r>
              <w:rPr>
                <w:rFonts w:hint="eastAsia" w:ascii="宋体" w:hAnsi="宋体" w:cs="宋体"/>
                <w:color w:val="auto"/>
                <w:sz w:val="21"/>
                <w:szCs w:val="21"/>
                <w:highlight w:val="none"/>
                <w:lang w:val="en-US" w:eastAsia="zh-CN"/>
              </w:rPr>
              <w:t>正高职称</w:t>
            </w:r>
            <w:r>
              <w:rPr>
                <w:rFonts w:hint="eastAsia" w:ascii="宋体" w:hAnsi="宋体" w:eastAsia="宋体" w:cs="宋体"/>
                <w:color w:val="auto"/>
                <w:sz w:val="21"/>
                <w:szCs w:val="21"/>
                <w:highlight w:val="none"/>
                <w:lang w:val="en-US" w:eastAsia="zh-CN"/>
              </w:rPr>
              <w:t>的每人得2分，其他不得分。</w:t>
            </w:r>
            <w:r>
              <w:rPr>
                <w:rFonts w:hint="eastAsia" w:ascii="宋体" w:hAnsi="宋体" w:cs="宋体"/>
                <w:b w:val="0"/>
                <w:bCs w:val="0"/>
                <w:color w:val="auto"/>
                <w:kern w:val="0"/>
                <w:szCs w:val="21"/>
                <w:highlight w:val="none"/>
                <w:lang w:val="en-US" w:eastAsia="zh-CN"/>
              </w:rPr>
              <w:t>本项</w:t>
            </w:r>
            <w:r>
              <w:rPr>
                <w:rFonts w:hint="eastAsia" w:ascii="宋体" w:hAnsi="宋体" w:cs="宋体"/>
                <w:color w:val="auto"/>
                <w:sz w:val="21"/>
                <w:szCs w:val="21"/>
                <w:highlight w:val="none"/>
                <w:lang w:val="en-US" w:eastAsia="zh-CN"/>
              </w:rPr>
              <w:t>最高得10分。</w:t>
            </w:r>
          </w:p>
          <w:p w14:paraId="0447D16F">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86" w:type="dxa"/>
            <w:vAlign w:val="center"/>
          </w:tcPr>
          <w:p w14:paraId="035050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10</w:t>
            </w:r>
          </w:p>
        </w:tc>
      </w:tr>
      <w:tr w14:paraId="2F68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27" w:type="dxa"/>
            <w:vMerge w:val="restart"/>
            <w:vAlign w:val="center"/>
          </w:tcPr>
          <w:p w14:paraId="735AD09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48</w:t>
            </w:r>
            <w:r>
              <w:rPr>
                <w:rFonts w:hint="eastAsia" w:asciiTheme="minorEastAsia" w:hAnsiTheme="minorEastAsia" w:eastAsiaTheme="minorEastAsia" w:cstheme="minorEastAsia"/>
                <w:bCs/>
                <w:color w:val="auto"/>
                <w:sz w:val="21"/>
                <w:szCs w:val="21"/>
                <w:highlight w:val="none"/>
              </w:rPr>
              <w:t>分）</w:t>
            </w:r>
          </w:p>
        </w:tc>
        <w:tc>
          <w:tcPr>
            <w:tcW w:w="1000" w:type="dxa"/>
            <w:vAlign w:val="center"/>
          </w:tcPr>
          <w:p w14:paraId="4B4EA7F6">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223" w:type="dxa"/>
            <w:vAlign w:val="center"/>
          </w:tcPr>
          <w:p w14:paraId="0B417014">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w:t>
            </w:r>
            <w:r>
              <w:rPr>
                <w:rFonts w:hint="eastAsia" w:ascii="宋体" w:hAnsi="宋体" w:cs="宋体"/>
                <w:color w:val="auto"/>
                <w:szCs w:val="21"/>
                <w:highlight w:val="none"/>
                <w:lang w:val="en-US" w:eastAsia="zh-CN"/>
              </w:rPr>
              <w:t>政策</w:t>
            </w:r>
            <w:r>
              <w:rPr>
                <w:rFonts w:hint="eastAsia" w:ascii="宋体" w:hAnsi="宋体" w:eastAsia="宋体" w:cs="宋体"/>
                <w:color w:val="auto"/>
                <w:szCs w:val="21"/>
                <w:highlight w:val="none"/>
                <w:lang w:val="en-US" w:eastAsia="zh-CN"/>
              </w:rPr>
              <w:t>背景的了解程度的深入性、系统性、针对性进行打分。</w:t>
            </w:r>
          </w:p>
          <w:p w14:paraId="24580B77">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14:paraId="1D4C68F5">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4644670F">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495CF89B">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208BA8E1">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586" w:type="dxa"/>
            <w:vAlign w:val="center"/>
          </w:tcPr>
          <w:p w14:paraId="31FD2600">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14:paraId="2C07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27" w:type="dxa"/>
            <w:vMerge w:val="continue"/>
            <w:vAlign w:val="center"/>
          </w:tcPr>
          <w:p w14:paraId="41D9800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1909BCAB">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重难点分析</w:t>
            </w:r>
          </w:p>
        </w:tc>
        <w:tc>
          <w:tcPr>
            <w:tcW w:w="7223" w:type="dxa"/>
            <w:vAlign w:val="center"/>
          </w:tcPr>
          <w:p w14:paraId="6E05E76A">
            <w:pPr>
              <w:keepNext w:val="0"/>
              <w:keepLines w:val="0"/>
              <w:pageBreakBefore w:val="0"/>
              <w:widowControl/>
              <w:kinsoku/>
              <w:wordWrap w:val="0"/>
              <w:overflowPunct/>
              <w:topLinePunct w:val="0"/>
              <w:autoSpaceDE/>
              <w:autoSpaceDN/>
              <w:bidi w:val="0"/>
              <w:adjustRightInd/>
              <w:snapToGrid/>
              <w:ind w:left="0"/>
              <w:jc w:val="left"/>
              <w:textAlignment w:val="auto"/>
              <w:rPr>
                <w:rFonts w:hAnsi="宋体" w:cs="宋体"/>
                <w:color w:val="auto"/>
                <w:szCs w:val="21"/>
                <w:highlight w:val="none"/>
              </w:rPr>
            </w:pPr>
            <w:r>
              <w:rPr>
                <w:rFonts w:hint="eastAsia" w:hAnsi="宋体" w:cs="宋体"/>
                <w:color w:val="auto"/>
                <w:szCs w:val="21"/>
                <w:highlight w:val="none"/>
              </w:rPr>
              <w:t>针对项目具体实施过程</w:t>
            </w:r>
            <w:r>
              <w:rPr>
                <w:rFonts w:hint="eastAsia" w:hAnsi="宋体" w:cs="宋体"/>
                <w:color w:val="auto"/>
                <w:szCs w:val="21"/>
                <w:highlight w:val="none"/>
                <w:lang w:val="en-US" w:eastAsia="zh-CN"/>
              </w:rPr>
              <w:t>可能</w:t>
            </w:r>
            <w:r>
              <w:rPr>
                <w:rFonts w:hint="eastAsia" w:hAnsi="宋体" w:cs="宋体"/>
                <w:color w:val="auto"/>
                <w:szCs w:val="21"/>
                <w:highlight w:val="none"/>
              </w:rPr>
              <w:t>遇到的重点难点分析情况进行打分。</w:t>
            </w:r>
          </w:p>
          <w:p w14:paraId="2F431826">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3E9A451D">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C6854D2">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75D69C29">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586" w:type="dxa"/>
            <w:vAlign w:val="center"/>
          </w:tcPr>
          <w:p w14:paraId="3890E8F9">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3</w:t>
            </w:r>
          </w:p>
        </w:tc>
      </w:tr>
      <w:tr w14:paraId="2C3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27" w:type="dxa"/>
            <w:vMerge w:val="continue"/>
            <w:vAlign w:val="center"/>
          </w:tcPr>
          <w:p w14:paraId="4CD2372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6C60C9DD">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重难点解决方案</w:t>
            </w:r>
          </w:p>
        </w:tc>
        <w:tc>
          <w:tcPr>
            <w:tcW w:w="7223" w:type="dxa"/>
            <w:vAlign w:val="center"/>
          </w:tcPr>
          <w:p w14:paraId="3CCA6788">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hAnsi="宋体" w:cs="宋体"/>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hAnsi="宋体" w:cs="宋体"/>
                <w:color w:val="auto"/>
                <w:szCs w:val="21"/>
                <w:highlight w:val="none"/>
              </w:rPr>
              <w:t>对项目实施工作</w:t>
            </w:r>
            <w:r>
              <w:rPr>
                <w:rFonts w:hint="eastAsia" w:hAnsi="宋体" w:cs="宋体"/>
                <w:color w:val="auto"/>
                <w:szCs w:val="21"/>
                <w:highlight w:val="none"/>
                <w:lang w:val="en-US" w:eastAsia="zh-CN"/>
              </w:rPr>
              <w:t>可能</w:t>
            </w:r>
            <w:r>
              <w:rPr>
                <w:rFonts w:hint="eastAsia" w:hAnsi="宋体" w:cs="宋体"/>
                <w:color w:val="auto"/>
                <w:szCs w:val="21"/>
                <w:highlight w:val="none"/>
              </w:rPr>
              <w:t>存在的重点难</w:t>
            </w:r>
            <w:r>
              <w:rPr>
                <w:rFonts w:hint="eastAsia" w:asciiTheme="minorEastAsia" w:hAnsiTheme="minorEastAsia" w:eastAsiaTheme="minorEastAsia" w:cstheme="minorEastAsia"/>
                <w:color w:val="auto"/>
                <w:szCs w:val="21"/>
                <w:highlight w:val="none"/>
              </w:rPr>
              <w:t>点问题的解决措施进行打分。</w:t>
            </w:r>
          </w:p>
          <w:p w14:paraId="02A775F6">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合理化建议、措施有效可行，能够解决重难点问题的得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D00F6BF">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有效可行，</w:t>
            </w:r>
            <w:r>
              <w:rPr>
                <w:rFonts w:hint="eastAsia" w:asciiTheme="minorEastAsia" w:hAnsiTheme="minorEastAsia" w:eastAsiaTheme="minorEastAsia" w:cstheme="minorEastAsia"/>
                <w:color w:val="auto"/>
                <w:szCs w:val="21"/>
                <w:highlight w:val="none"/>
                <w:lang w:val="en-US" w:eastAsia="zh-CN"/>
              </w:rPr>
              <w:t>基本能</w:t>
            </w:r>
            <w:r>
              <w:rPr>
                <w:rFonts w:hint="eastAsia" w:asciiTheme="minorEastAsia" w:hAnsiTheme="minorEastAsia" w:eastAsiaTheme="minorEastAsia" w:cstheme="minorEastAsia"/>
                <w:color w:val="auto"/>
                <w:szCs w:val="21"/>
                <w:highlight w:val="none"/>
              </w:rPr>
              <w:t>解决重难点问题的得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2E3079A8">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可行性、有效性一般</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6D94DFAC">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 w:val="21"/>
                <w:szCs w:val="21"/>
                <w:highlight w:val="none"/>
              </w:rPr>
            </w:pPr>
            <w:r>
              <w:rPr>
                <w:rFonts w:hint="eastAsia" w:hAnsi="宋体" w:cs="宋体"/>
                <w:color w:val="auto"/>
                <w:szCs w:val="21"/>
                <w:highlight w:val="none"/>
              </w:rPr>
              <w:t>未提及此项不得分。</w:t>
            </w:r>
          </w:p>
        </w:tc>
        <w:tc>
          <w:tcPr>
            <w:tcW w:w="586" w:type="dxa"/>
            <w:vAlign w:val="center"/>
          </w:tcPr>
          <w:p w14:paraId="46D024DA">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新宋体" w:eastAsiaTheme="minorEastAsia"/>
                <w:color w:val="auto"/>
                <w:szCs w:val="21"/>
                <w:highlight w:val="none"/>
                <w:lang w:val="en-US" w:eastAsia="zh-CN"/>
              </w:rPr>
              <w:t>3</w:t>
            </w:r>
          </w:p>
        </w:tc>
      </w:tr>
      <w:tr w14:paraId="7D4D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27" w:type="dxa"/>
            <w:vMerge w:val="continue"/>
            <w:vAlign w:val="center"/>
          </w:tcPr>
          <w:p w14:paraId="2D910DE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restart"/>
            <w:vAlign w:val="center"/>
          </w:tcPr>
          <w:p w14:paraId="45CE11EB">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7223" w:type="dxa"/>
            <w:vAlign w:val="center"/>
          </w:tcPr>
          <w:p w14:paraId="0E2FF96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22673523">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8</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4E6749E9">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57DBCFBA">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539192B0">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24E696A9">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未提及此项不得分。</w:t>
            </w:r>
          </w:p>
        </w:tc>
        <w:tc>
          <w:tcPr>
            <w:tcW w:w="586" w:type="dxa"/>
            <w:vAlign w:val="center"/>
          </w:tcPr>
          <w:p w14:paraId="0AFAEDF0">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5D15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27" w:type="dxa"/>
            <w:vMerge w:val="continue"/>
            <w:vAlign w:val="center"/>
          </w:tcPr>
          <w:p w14:paraId="563A6D1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continue"/>
            <w:vAlign w:val="center"/>
          </w:tcPr>
          <w:p w14:paraId="38CF051A">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rPr>
            </w:pPr>
          </w:p>
        </w:tc>
        <w:tc>
          <w:tcPr>
            <w:tcW w:w="7223" w:type="dxa"/>
            <w:vAlign w:val="center"/>
          </w:tcPr>
          <w:p w14:paraId="23DB34E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3E6474E6">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8</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3335701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0ADC292A">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75397AE3">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41E510F9">
            <w:pPr>
              <w:pStyle w:val="7"/>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586" w:type="dxa"/>
            <w:vAlign w:val="center"/>
          </w:tcPr>
          <w:p w14:paraId="022C33CD">
            <w:pPr>
              <w:pStyle w:val="7"/>
              <w:adjustRightInd w:val="0"/>
              <w:snapToGrid w:val="0"/>
              <w:spacing w:after="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8</w:t>
            </w:r>
          </w:p>
        </w:tc>
      </w:tr>
      <w:tr w14:paraId="41EF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927" w:type="dxa"/>
            <w:vMerge w:val="continue"/>
            <w:vAlign w:val="center"/>
          </w:tcPr>
          <w:p w14:paraId="043FD3B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continue"/>
            <w:vAlign w:val="center"/>
          </w:tcPr>
          <w:p w14:paraId="2CCEA6A4">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7223" w:type="dxa"/>
            <w:vAlign w:val="center"/>
          </w:tcPr>
          <w:p w14:paraId="27FB4840">
            <w:pPr>
              <w:adjustRightInd w:val="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的服务保障方案（围绕配套作业、个性服务等方面）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18174884">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p>
          <w:p w14:paraId="21331FE8">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6C5C605F">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6C9B8F8D">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7C4AC45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86" w:type="dxa"/>
            <w:vAlign w:val="center"/>
          </w:tcPr>
          <w:p w14:paraId="6BA19F05">
            <w:pPr>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r>
      <w:tr w14:paraId="146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27" w:type="dxa"/>
            <w:vMerge w:val="continue"/>
            <w:vAlign w:val="center"/>
          </w:tcPr>
          <w:p w14:paraId="56CDC70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5CA0184B">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计划安排</w:t>
            </w:r>
          </w:p>
        </w:tc>
        <w:tc>
          <w:tcPr>
            <w:tcW w:w="7223" w:type="dxa"/>
            <w:vAlign w:val="center"/>
          </w:tcPr>
          <w:p w14:paraId="35782A4F">
            <w:pPr>
              <w:keepNext w:val="0"/>
              <w:keepLines w:val="0"/>
              <w:pageBreakBefore w:val="0"/>
              <w:widowControl/>
              <w:tabs>
                <w:tab w:val="left" w:pos="2061"/>
              </w:tabs>
              <w:kinsoku/>
              <w:wordWrap w:val="0"/>
              <w:overflowPunct/>
              <w:topLinePunct w:val="0"/>
              <w:autoSpaceDE/>
              <w:autoSpaceDN/>
              <w:bidi w:val="0"/>
              <w:adjustRightInd/>
              <w:snapToGrid/>
              <w:ind w:left="0"/>
              <w:textAlignment w:val="auto"/>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rPr>
              <w:t>制定的</w:t>
            </w:r>
            <w:r>
              <w:rPr>
                <w:rFonts w:hint="eastAsia" w:ascii="宋体" w:hAnsi="宋体" w:cs="宋体"/>
                <w:bCs/>
                <w:color w:val="auto"/>
                <w:szCs w:val="21"/>
                <w:highlight w:val="none"/>
              </w:rPr>
              <w:t>整体计划安排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包括但不限于团队分工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工作顺序</w:t>
            </w:r>
            <w:r>
              <w:rPr>
                <w:rFonts w:hint="eastAsia" w:ascii="宋体" w:hAnsi="宋体" w:cs="宋体"/>
                <w:bCs/>
                <w:color w:val="auto"/>
                <w:szCs w:val="21"/>
                <w:highlight w:val="none"/>
              </w:rPr>
              <w:t>等内容</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进行打分。</w:t>
            </w:r>
          </w:p>
          <w:p w14:paraId="5C60EA1C">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整体计划安排内容详实明确，分工清晰，安排科学，顺序合理的得4分；</w:t>
            </w:r>
          </w:p>
          <w:p w14:paraId="21A5DF50">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整体计划安排内容基本详实明确，分工基本清晰，安排基本科学，顺序基本合理的得2分；</w:t>
            </w:r>
          </w:p>
          <w:p w14:paraId="1C9ACE96">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整体计划安排内容一般的得1分；</w:t>
            </w:r>
          </w:p>
          <w:p w14:paraId="6B356E26">
            <w:pPr>
              <w:keepNext w:val="0"/>
              <w:keepLines w:val="0"/>
              <w:pageBreakBefore w:val="0"/>
              <w:widowControl/>
              <w:kinsoku/>
              <w:wordWrap w:val="0"/>
              <w:overflowPunct/>
              <w:topLinePunct w:val="0"/>
              <w:autoSpaceDE/>
              <w:autoSpaceDN/>
              <w:bidi w:val="0"/>
              <w:adjustRightInd/>
              <w:snapToGrid/>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586" w:type="dxa"/>
            <w:vAlign w:val="center"/>
          </w:tcPr>
          <w:p w14:paraId="58DD859F">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eastAsiaTheme="minorEastAsia"/>
                <w:color w:val="auto"/>
                <w:szCs w:val="21"/>
                <w:highlight w:val="none"/>
                <w:lang w:val="en-US" w:eastAsia="zh-CN"/>
              </w:rPr>
              <w:t>4</w:t>
            </w:r>
          </w:p>
        </w:tc>
      </w:tr>
      <w:tr w14:paraId="5C27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27" w:type="dxa"/>
            <w:vMerge w:val="continue"/>
            <w:vAlign w:val="center"/>
          </w:tcPr>
          <w:p w14:paraId="46AD962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538805B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项目质量保证措施</w:t>
            </w:r>
          </w:p>
        </w:tc>
        <w:tc>
          <w:tcPr>
            <w:tcW w:w="7223" w:type="dxa"/>
            <w:vAlign w:val="center"/>
          </w:tcPr>
          <w:p w14:paraId="400B2239">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snapToGrid w:val="0"/>
                <w:color w:val="auto"/>
                <w:kern w:val="0"/>
                <w:sz w:val="21"/>
                <w:szCs w:val="21"/>
                <w:highlight w:val="none"/>
              </w:rPr>
              <w:t>对</w:t>
            </w:r>
            <w:r>
              <w:rPr>
                <w:rFonts w:hint="eastAsia" w:asciiTheme="minorEastAsia" w:hAnsiTheme="minorEastAsia" w:eastAsiaTheme="minorEastAsia" w:cstheme="minorEastAsia"/>
                <w:snapToGrid w:val="0"/>
                <w:color w:val="auto"/>
                <w:kern w:val="0"/>
                <w:sz w:val="21"/>
                <w:szCs w:val="21"/>
                <w:highlight w:val="none"/>
                <w:lang w:val="en-US" w:eastAsia="zh-CN"/>
              </w:rPr>
              <w:t>项目投入人员</w:t>
            </w:r>
            <w:r>
              <w:rPr>
                <w:rFonts w:hint="eastAsia" w:asciiTheme="minorEastAsia" w:hAnsiTheme="minorEastAsia" w:eastAsiaTheme="minorEastAsia" w:cstheme="minorEastAsia"/>
                <w:snapToGrid w:val="0"/>
                <w:color w:val="auto"/>
                <w:kern w:val="0"/>
                <w:sz w:val="21"/>
                <w:szCs w:val="21"/>
                <w:highlight w:val="none"/>
              </w:rPr>
              <w:t>监督、考核的措施是否全面、完整，</w:t>
            </w:r>
            <w:r>
              <w:rPr>
                <w:rFonts w:hint="eastAsia" w:asciiTheme="minorEastAsia" w:hAnsiTheme="minorEastAsia" w:eastAsiaTheme="minorEastAsia" w:cstheme="minorEastAsia"/>
                <w:snapToGrid w:val="0"/>
                <w:color w:val="auto"/>
                <w:kern w:val="0"/>
                <w:sz w:val="21"/>
                <w:szCs w:val="21"/>
                <w:highlight w:val="none"/>
                <w:lang w:val="zh-CN"/>
              </w:rPr>
              <w:t>是否具有科学性、可行性</w:t>
            </w:r>
            <w:r>
              <w:rPr>
                <w:rFonts w:hint="eastAsia" w:asciiTheme="minorEastAsia" w:hAnsiTheme="minorEastAsia" w:eastAsiaTheme="minorEastAsia" w:cstheme="minorEastAsia"/>
                <w:snapToGrid w:val="0"/>
                <w:color w:val="auto"/>
                <w:kern w:val="0"/>
                <w:sz w:val="21"/>
                <w:szCs w:val="21"/>
                <w:highlight w:val="none"/>
              </w:rPr>
              <w:t>进行</w:t>
            </w:r>
            <w:r>
              <w:rPr>
                <w:rFonts w:hint="eastAsia" w:asciiTheme="minorEastAsia" w:hAnsiTheme="minorEastAsia" w:eastAsiaTheme="minorEastAsia" w:cstheme="minorEastAsia"/>
                <w:snapToGrid w:val="0"/>
                <w:color w:val="auto"/>
                <w:kern w:val="0"/>
                <w:sz w:val="21"/>
                <w:szCs w:val="21"/>
                <w:highlight w:val="none"/>
                <w:lang w:val="en-US" w:eastAsia="zh-CN"/>
              </w:rPr>
              <w:t>打分。</w:t>
            </w:r>
          </w:p>
          <w:p w14:paraId="3C23C374">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全面可行，能有效保障项目服务质量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5</w:t>
            </w:r>
            <w:r>
              <w:rPr>
                <w:rFonts w:hint="eastAsia" w:asciiTheme="minorEastAsia" w:hAnsiTheme="minorEastAsia" w:eastAsiaTheme="minorEastAsia" w:cstheme="minorEastAsia"/>
                <w:snapToGrid w:val="0"/>
                <w:color w:val="auto"/>
                <w:kern w:val="0"/>
                <w:sz w:val="21"/>
                <w:szCs w:val="21"/>
                <w:highlight w:val="none"/>
              </w:rPr>
              <w:t>分；</w:t>
            </w:r>
          </w:p>
          <w:p w14:paraId="778AD6F3">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基本可行，基本保障项目服务质量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3</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4BC32C91">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可行性一般，项目服务质量保障性有待加强</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5E72D80E">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未提及此项不得分。</w:t>
            </w:r>
          </w:p>
        </w:tc>
        <w:tc>
          <w:tcPr>
            <w:tcW w:w="586" w:type="dxa"/>
            <w:vAlign w:val="center"/>
          </w:tcPr>
          <w:p w14:paraId="7AD4B65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3F0C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27" w:type="dxa"/>
            <w:vMerge w:val="continue"/>
            <w:vAlign w:val="center"/>
          </w:tcPr>
          <w:p w14:paraId="61E5135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189DEC52">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7223" w:type="dxa"/>
            <w:vAlign w:val="center"/>
          </w:tcPr>
          <w:p w14:paraId="50E2EBC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526084CC">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DC8681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6D0CB5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服务方案承诺片面，不能有效助于项目实施的得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136EC959">
            <w:pP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586" w:type="dxa"/>
            <w:vAlign w:val="center"/>
          </w:tcPr>
          <w:p w14:paraId="50C989E8">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r>
      <w:tr w14:paraId="61FE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27" w:type="dxa"/>
            <w:gridSpan w:val="2"/>
            <w:vAlign w:val="center"/>
          </w:tcPr>
          <w:p w14:paraId="5988056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Style w:val="57"/>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价格</w:t>
            </w:r>
          </w:p>
          <w:p w14:paraId="537DB18D">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kern w:val="0"/>
                <w:sz w:val="21"/>
                <w:szCs w:val="21"/>
                <w:highlight w:val="none"/>
              </w:rPr>
            </w:pPr>
            <w:r>
              <w:rPr>
                <w:rStyle w:val="57"/>
                <w:rFonts w:hint="eastAsia" w:asciiTheme="minorEastAsia" w:hAnsiTheme="minorEastAsia" w:eastAsiaTheme="minorEastAsia" w:cstheme="minorEastAsia"/>
                <w:color w:val="auto"/>
                <w:kern w:val="0"/>
                <w:sz w:val="21"/>
                <w:szCs w:val="21"/>
                <w:highlight w:val="none"/>
              </w:rPr>
              <w:t>（</w:t>
            </w:r>
            <w:r>
              <w:rPr>
                <w:rStyle w:val="57"/>
                <w:rFonts w:hint="eastAsia" w:asciiTheme="minorEastAsia" w:hAnsiTheme="minorEastAsia" w:eastAsiaTheme="minorEastAsia" w:cstheme="minorEastAsia"/>
                <w:color w:val="auto"/>
                <w:kern w:val="0"/>
                <w:sz w:val="21"/>
                <w:szCs w:val="21"/>
                <w:highlight w:val="none"/>
                <w:lang w:val="en-US" w:eastAsia="zh-CN"/>
              </w:rPr>
              <w:t>20</w:t>
            </w:r>
            <w:r>
              <w:rPr>
                <w:rStyle w:val="57"/>
                <w:rFonts w:hint="eastAsia" w:asciiTheme="minorEastAsia" w:hAnsiTheme="minorEastAsia" w:eastAsiaTheme="minorEastAsia" w:cstheme="minorEastAsia"/>
                <w:color w:val="auto"/>
                <w:kern w:val="0"/>
                <w:sz w:val="21"/>
                <w:szCs w:val="21"/>
                <w:highlight w:val="none"/>
              </w:rPr>
              <w:t>分）</w:t>
            </w:r>
          </w:p>
        </w:tc>
        <w:tc>
          <w:tcPr>
            <w:tcW w:w="7223" w:type="dxa"/>
            <w:vAlign w:val="center"/>
          </w:tcPr>
          <w:p w14:paraId="4BE0F2AC">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2BB59B77">
            <w:pPr>
              <w:keepNext w:val="0"/>
              <w:keepLines w:val="0"/>
              <w:pageBreakBefore w:val="0"/>
              <w:widowControl/>
              <w:kinsoku/>
              <w:wordWrap w:val="0"/>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586" w:type="dxa"/>
            <w:vAlign w:val="center"/>
          </w:tcPr>
          <w:p w14:paraId="55F6E53B">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bl>
    <w:p w14:paraId="7FE37612">
      <w:pPr>
        <w:pStyle w:val="7"/>
        <w:rPr>
          <w:rFonts w:hint="eastAsia" w:ascii="宋体" w:hAnsi="宋体" w:eastAsia="宋体" w:cs="宋体"/>
          <w:color w:val="auto"/>
          <w:highlight w:val="none"/>
        </w:rPr>
      </w:pPr>
    </w:p>
    <w:p w14:paraId="4134BF7B">
      <w:pPr>
        <w:spacing w:line="360" w:lineRule="auto"/>
        <w:ind w:firstLine="420" w:firstLineChars="200"/>
        <w:rPr>
          <w:rFonts w:hint="eastAsia" w:ascii="宋体" w:hAnsi="宋体" w:eastAsia="宋体" w:cs="宋体"/>
          <w:color w:val="auto"/>
          <w:sz w:val="21"/>
          <w:szCs w:val="21"/>
          <w:highlight w:val="none"/>
          <w:lang w:val="zh-CN"/>
        </w:rPr>
      </w:pPr>
    </w:p>
    <w:p w14:paraId="74F23906">
      <w:pPr>
        <w:spacing w:line="360" w:lineRule="auto"/>
        <w:jc w:val="center"/>
        <w:rPr>
          <w:rFonts w:hint="eastAsia" w:ascii="宋体" w:hAnsi="宋体" w:eastAsia="宋体" w:cs="宋体"/>
          <w:b/>
          <w:color w:val="auto"/>
          <w:sz w:val="36"/>
          <w:szCs w:val="36"/>
          <w:highlight w:val="none"/>
        </w:rPr>
      </w:pPr>
    </w:p>
    <w:p w14:paraId="2C88A9A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5FB173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7D761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rPr>
        <w:t>项目目标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黄岩中学初高一体化早期培养暑期规划项目是为了应对新高考、新课程采取的措施，目的是帮助学校留住优质生源，使“双一流”院校高考录取人数取得增加，更多的优秀学生可以提高高考成绩及强基计划高校校测成绩，增加学校被211、985大学录取的人数，也争取</w:t>
      </w:r>
      <w:r>
        <w:rPr>
          <w:rFonts w:hint="eastAsia" w:ascii="宋体" w:hAnsi="宋体" w:cs="宋体"/>
          <w:color w:val="auto"/>
          <w:sz w:val="21"/>
          <w:szCs w:val="21"/>
          <w:highlight w:val="none"/>
          <w:lang w:val="en-US" w:eastAsia="zh-CN"/>
        </w:rPr>
        <w:t>再次</w:t>
      </w:r>
      <w:r>
        <w:rPr>
          <w:rFonts w:hint="eastAsia" w:ascii="宋体" w:hAnsi="宋体" w:eastAsia="宋体" w:cs="宋体"/>
          <w:color w:val="auto"/>
          <w:sz w:val="21"/>
          <w:szCs w:val="21"/>
          <w:highlight w:val="none"/>
          <w:lang w:val="en-US" w:eastAsia="zh-CN"/>
        </w:rPr>
        <w:t>有学生被清北录取。</w:t>
      </w:r>
    </w:p>
    <w:p w14:paraId="6DB32A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岩中学初高一体化早期培养暑期规划项目针对台州市黄岩中学2025年九年级、八年级初高一化早期培养班（早期培养班分为九年级全日制班2个，九年级周末班2个，八年级周末班2个，暑期按项目规划上课），要求提供初高贯通拔尖培养课程及授课、考试服务，内容包括初中语文、数学、英语等课程，课程包含课内课程、思维拓展课程、强基竞赛课程等，以及配套提供宣讲、考试、面试、作业、网络课程等相关服务。</w:t>
      </w:r>
    </w:p>
    <w:p w14:paraId="7D0354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拟达到目标：</w:t>
      </w:r>
    </w:p>
    <w:p w14:paraId="115DD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通过宣讲、考试、面试等各种形式选拔九年级、八年级优秀学生成为早期培养班学员。</w:t>
      </w:r>
    </w:p>
    <w:p w14:paraId="3EC00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使九年级全日制班尽快完成初中课内容。</w:t>
      </w:r>
    </w:p>
    <w:p w14:paraId="521237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使所有早期培养班学员开始学习数学、物理竞赛知识，拓展竞赛思维和强基内容。</w:t>
      </w:r>
    </w:p>
    <w:p w14:paraId="1525DE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b/>
          <w:bCs/>
          <w:color w:val="auto"/>
          <w:sz w:val="21"/>
          <w:szCs w:val="21"/>
          <w:highlight w:val="none"/>
          <w:lang w:val="en-US" w:eastAsia="zh-CN"/>
        </w:rPr>
        <w:t>项目要求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要求通过提供专业的宣讲、考试、面试等进行优秀学生的选拔，并有教学教研、课程信息、师资培养、考试测评、讲义、习题、线上线下教学等服务，针对初二初三语文、数学、英语</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及高中先修课程及强基拓展进行培养，持续性打造优生培养方案，以清北、C9、985等名校为目标，制定长远规划，旨在帮助更多优秀学子通过高考、强基计划、综合评价、高校专项等方式升入名校，并帮助采购人建立长效优生培养方案，并有效提升教师水平，从而全面提高学校教学质量。</w:t>
      </w:r>
    </w:p>
    <w:p w14:paraId="4BC1A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rPr>
        <w:t>项目规划</w:t>
      </w:r>
    </w:p>
    <w:p w14:paraId="789D3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1、课程要求</w:t>
      </w:r>
    </w:p>
    <w:tbl>
      <w:tblPr>
        <w:tblStyle w:val="22"/>
        <w:tblW w:w="8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0"/>
        <w:gridCol w:w="881"/>
        <w:gridCol w:w="1303"/>
        <w:gridCol w:w="2297"/>
        <w:gridCol w:w="2222"/>
      </w:tblGrid>
      <w:tr w14:paraId="35CC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4C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班级</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8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9F1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培养时间（周）</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F7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培养内容</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D4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师资</w:t>
            </w:r>
          </w:p>
        </w:tc>
      </w:tr>
      <w:tr w14:paraId="11F7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28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九年级全日制班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54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80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9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初中课内、拓展拔高</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3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初中名师、竞赛教练</w:t>
            </w:r>
          </w:p>
        </w:tc>
      </w:tr>
      <w:tr w14:paraId="74E5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D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九年级周末班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B7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6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C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初中名师、竞赛教练</w:t>
            </w:r>
          </w:p>
        </w:tc>
      </w:tr>
      <w:tr w14:paraId="5470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E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八年级周末班</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E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D9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7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拓展拔高</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1D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初中名师、竞赛教练</w:t>
            </w:r>
          </w:p>
        </w:tc>
      </w:tr>
    </w:tbl>
    <w:p w14:paraId="119EF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上表为规划课程及班级数，采购人有权根据实际情况调整班级数或学科（增加或删减学科），但供应商需要保证总培养时间达标及标准符合要求。</w:t>
      </w:r>
    </w:p>
    <w:p w14:paraId="5A8EA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val="en-US" w:eastAsia="zh-CN"/>
        </w:rPr>
        <w:t>师资要求</w:t>
      </w:r>
    </w:p>
    <w:p w14:paraId="639498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要求供应商提供由重点初中名师、高中一线名师、竞赛金牌教练、国家级教练等专业人员组成的项目团队：包含学科授课老师至少5人，职称副高及以上；管理助教老师至少4人。</w:t>
      </w:r>
    </w:p>
    <w:p w14:paraId="6F039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其它要求</w:t>
      </w:r>
    </w:p>
    <w:p w14:paraId="33DB3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1、服务期限：自合同签订之日起至2025年8月。</w:t>
      </w:r>
    </w:p>
    <w:p w14:paraId="371FAC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2、付款方式：合同签订后支付合同金额的40%作为预付款，服务期满后支付合同金额的60%。</w:t>
      </w:r>
    </w:p>
    <w:p w14:paraId="76DFD60F">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2"/>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3271D8B3">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台州市黄岩中学</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526335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40B71F6D">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p>
    <w:p w14:paraId="47E17E0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0676528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台州市黄岩中学初高一体化早期培养暑期规划项目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1593D659">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4D0F665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lang w:val="en-US" w:eastAsia="zh-CN"/>
        </w:rPr>
        <w:t>项目需求</w:t>
      </w:r>
      <w:r>
        <w:rPr>
          <w:rFonts w:hint="eastAsia" w:ascii="宋体" w:hAnsi="宋体" w:eastAsia="宋体" w:cs="宋体"/>
          <w:color w:val="auto"/>
          <w:szCs w:val="21"/>
          <w:highlight w:val="none"/>
        </w:rPr>
        <w:t>》。</w:t>
      </w:r>
    </w:p>
    <w:p w14:paraId="437EB8D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95B26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4516B57">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0E4B54A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文件规定的时间向甲方提供有关技术资料。</w:t>
      </w:r>
    </w:p>
    <w:p w14:paraId="58047F9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58A61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2AEC6B62">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352334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282CD84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2754EB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1E53A0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3B504F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27E670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1458BD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118CC2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val="0"/>
          <w:snapToGrid w:val="0"/>
          <w:color w:val="auto"/>
          <w:kern w:val="0"/>
          <w:szCs w:val="21"/>
          <w:highlight w:val="none"/>
          <w:lang w:val="en-US" w:eastAsia="zh-CN"/>
        </w:rPr>
        <w:t>第六条：</w:t>
      </w:r>
      <w:r>
        <w:rPr>
          <w:rFonts w:hint="eastAsia" w:ascii="宋体" w:hAnsi="宋体" w:cs="宋体"/>
          <w:b/>
          <w:bCs/>
          <w:color w:val="auto"/>
          <w:szCs w:val="21"/>
          <w:highlight w:val="none"/>
          <w:lang w:val="en-US" w:eastAsia="zh-CN"/>
        </w:rPr>
        <w:t>商务要求</w:t>
      </w:r>
    </w:p>
    <w:p w14:paraId="4CE59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1、服务期限：自合同签订之日起至2025年8月。</w:t>
      </w:r>
    </w:p>
    <w:p w14:paraId="0C5B66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color w:val="auto"/>
          <w:sz w:val="21"/>
          <w:szCs w:val="21"/>
          <w:highlight w:val="none"/>
          <w:lang w:val="en-US" w:eastAsia="zh-CN"/>
        </w:rPr>
        <w:t>2、付款方式：合同签订后支付合同金额的40%作为预付款，服务期满后支付合同金额的60%。</w:t>
      </w:r>
    </w:p>
    <w:p w14:paraId="7E36C83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bCs w:val="0"/>
          <w:snapToGrid w:val="0"/>
          <w:color w:val="auto"/>
          <w:kern w:val="0"/>
          <w:szCs w:val="21"/>
          <w:highlight w:val="none"/>
          <w:lang w:val="en-US" w:eastAsia="zh-CN"/>
        </w:rPr>
        <w:t>第七条</w:t>
      </w:r>
      <w:r>
        <w:rPr>
          <w:rFonts w:hint="eastAsia" w:ascii="宋体" w:hAnsi="宋体" w:eastAsia="宋体" w:cs="宋体"/>
          <w:b/>
          <w:color w:val="auto"/>
          <w:highlight w:val="none"/>
        </w:rPr>
        <w:t>：违约责任</w:t>
      </w:r>
    </w:p>
    <w:p w14:paraId="13D516D9">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w:t>
      </w:r>
      <w:r>
        <w:rPr>
          <w:rFonts w:hint="eastAsia" w:ascii="宋体" w:hAnsi="宋体" w:cs="宋体"/>
          <w:color w:val="auto"/>
          <w:highlight w:val="none"/>
          <w:lang w:val="en-US" w:eastAsia="zh-CN"/>
        </w:rPr>
        <w:t>拒绝</w:t>
      </w:r>
      <w:r>
        <w:rPr>
          <w:rFonts w:hint="eastAsia" w:ascii="宋体" w:hAnsi="宋体" w:eastAsia="宋体" w:cs="宋体"/>
          <w:color w:val="auto"/>
          <w:highlight w:val="none"/>
        </w:rPr>
        <w:t>接受服务的，甲方向乙方支付合同款项百分之五作为违约金。</w:t>
      </w:r>
    </w:p>
    <w:p w14:paraId="37F549B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7E9B9E11">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2E4413D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F8494BE">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八</w:t>
      </w:r>
      <w:r>
        <w:rPr>
          <w:rFonts w:hint="eastAsia" w:ascii="宋体" w:hAnsi="宋体" w:eastAsia="宋体" w:cs="宋体"/>
          <w:b/>
          <w:bCs/>
          <w:snapToGrid w:val="0"/>
          <w:color w:val="auto"/>
          <w:szCs w:val="21"/>
          <w:highlight w:val="none"/>
        </w:rPr>
        <w:t>条：不可抗力事件处理</w:t>
      </w:r>
    </w:p>
    <w:p w14:paraId="10EC3BE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5D77F18A">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3C8E67F">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4B47A60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1CE42F6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条：诉讼</w:t>
      </w:r>
    </w:p>
    <w:p w14:paraId="2865F828">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61D4F6B1">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第十条：合同生效及其它</w:t>
      </w:r>
    </w:p>
    <w:p w14:paraId="6DEA1D8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7CB3108E">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2、合同执行中涉及采购资金和采购内容修改或补充的，须签书面补充协议，方可作为主合同不可分割的一部分。</w:t>
      </w:r>
    </w:p>
    <w:p w14:paraId="5DBDA70B">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56BAAF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7302B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1553B729">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FF310C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8FBA14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73FB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2F9CDD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7673F21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1B51A2D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573FBC4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87328B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3EF3665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7477250E">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0B1BA54E">
      <w:pPr>
        <w:spacing w:line="360" w:lineRule="auto"/>
        <w:jc w:val="center"/>
        <w:outlineLvl w:val="0"/>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F530F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4B254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初高一体化早期培养暑期规划项目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tzya2025-tz23</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台州市黄岩中学</w:t>
      </w:r>
      <w:r>
        <w:rPr>
          <w:rFonts w:hint="eastAsia" w:ascii="宋体" w:hAnsi="宋体" w:eastAsia="宋体" w:cs="宋体"/>
          <w:b w:val="0"/>
          <w:bCs/>
          <w:color w:val="auto"/>
          <w:sz w:val="21"/>
          <w:szCs w:val="21"/>
          <w:highlight w:val="none"/>
          <w:u w:val="single"/>
        </w:rPr>
        <w:t>、台州永安工程咨询有限公司：</w:t>
      </w:r>
    </w:p>
    <w:p w14:paraId="1EDF65A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初高一体化早期培养暑期规划项目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tzya2025-tz23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5"/>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2EB7E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0CA482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86031F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35DE2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14:paraId="66C9029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46026A1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00"/>
        <w:gridCol w:w="6958"/>
        <w:gridCol w:w="643"/>
        <w:gridCol w:w="686"/>
        <w:gridCol w:w="694"/>
      </w:tblGrid>
      <w:tr w14:paraId="5276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27" w:type="dxa"/>
            <w:gridSpan w:val="2"/>
            <w:tcBorders>
              <w:top w:val="single" w:color="auto" w:sz="4" w:space="0"/>
              <w:left w:val="single" w:color="auto" w:sz="4" w:space="0"/>
              <w:bottom w:val="single" w:color="auto" w:sz="4" w:space="0"/>
              <w:right w:val="single" w:color="auto" w:sz="6" w:space="0"/>
            </w:tcBorders>
            <w:vAlign w:val="center"/>
          </w:tcPr>
          <w:p w14:paraId="114EAFC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58" w:type="dxa"/>
            <w:tcBorders>
              <w:top w:val="single" w:color="auto" w:sz="4" w:space="0"/>
              <w:left w:val="single" w:color="auto" w:sz="4" w:space="0"/>
              <w:bottom w:val="single" w:color="auto" w:sz="6" w:space="0"/>
              <w:right w:val="single" w:color="auto" w:sz="6" w:space="0"/>
            </w:tcBorders>
            <w:vAlign w:val="center"/>
          </w:tcPr>
          <w:p w14:paraId="579BD15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43" w:type="dxa"/>
            <w:tcBorders>
              <w:top w:val="single" w:color="auto" w:sz="4" w:space="0"/>
              <w:left w:val="single" w:color="auto" w:sz="6" w:space="0"/>
              <w:bottom w:val="single" w:color="auto" w:sz="6" w:space="0"/>
              <w:right w:val="single" w:color="auto" w:sz="6" w:space="0"/>
            </w:tcBorders>
            <w:vAlign w:val="center"/>
          </w:tcPr>
          <w:p w14:paraId="1F948024">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86" w:type="dxa"/>
            <w:tcBorders>
              <w:top w:val="single" w:color="auto" w:sz="4" w:space="0"/>
              <w:left w:val="single" w:color="auto" w:sz="6" w:space="0"/>
              <w:bottom w:val="single" w:color="auto" w:sz="6" w:space="0"/>
              <w:right w:val="single" w:color="auto" w:sz="6" w:space="0"/>
            </w:tcBorders>
            <w:vAlign w:val="center"/>
          </w:tcPr>
          <w:p w14:paraId="21EB896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94" w:type="dxa"/>
            <w:tcBorders>
              <w:top w:val="single" w:color="auto" w:sz="4" w:space="0"/>
              <w:left w:val="single" w:color="auto" w:sz="6" w:space="0"/>
              <w:bottom w:val="single" w:color="auto" w:sz="6" w:space="0"/>
              <w:right w:val="single" w:color="auto" w:sz="6" w:space="0"/>
            </w:tcBorders>
            <w:vAlign w:val="center"/>
          </w:tcPr>
          <w:p w14:paraId="43AF3EF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43E7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27" w:type="dxa"/>
            <w:vMerge w:val="restart"/>
            <w:vAlign w:val="center"/>
          </w:tcPr>
          <w:p w14:paraId="5B444BD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商务分（32分）</w:t>
            </w:r>
          </w:p>
        </w:tc>
        <w:tc>
          <w:tcPr>
            <w:tcW w:w="1000" w:type="dxa"/>
            <w:vAlign w:val="center"/>
          </w:tcPr>
          <w:p w14:paraId="7E76EA20">
            <w:pPr>
              <w:keepNext w:val="0"/>
              <w:keepLines w:val="0"/>
              <w:pageBreakBefore w:val="0"/>
              <w:widowControl/>
              <w:kinsoku/>
              <w:wordWrap w:val="0"/>
              <w:overflowPunct/>
              <w:topLinePunct w:val="0"/>
              <w:autoSpaceDE/>
              <w:autoSpaceDN/>
              <w:bidi w:val="0"/>
              <w:adjustRightInd/>
              <w:snapToGrid/>
              <w:spacing w:line="240" w:lineRule="auto"/>
              <w:ind w:left="0" w:right="-103" w:rightChars="-49"/>
              <w:jc w:val="center"/>
              <w:textAlignment w:val="auto"/>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6958" w:type="dxa"/>
            <w:vAlign w:val="center"/>
          </w:tcPr>
          <w:p w14:paraId="6B7D727C">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供应商自2021年1月1日（以合同签订时间为准）至今，承接过类似项目的，提供1个得1分，本项最高得2分。</w:t>
            </w:r>
          </w:p>
          <w:p w14:paraId="5425A1BE">
            <w:pPr>
              <w:keepNext w:val="0"/>
              <w:keepLines w:val="0"/>
              <w:pageBreakBefore w:val="0"/>
              <w:widowControl/>
              <w:kinsoku/>
              <w:wordWrap w:val="0"/>
              <w:overflowPunct/>
              <w:topLinePunct w:val="0"/>
              <w:autoSpaceDE/>
              <w:autoSpaceDN/>
              <w:bidi w:val="0"/>
              <w:adjustRightInd/>
              <w:snapToGrid/>
              <w:spacing w:line="240" w:lineRule="auto"/>
              <w:ind w:left="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有效的合同复印</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43" w:type="dxa"/>
            <w:vAlign w:val="center"/>
          </w:tcPr>
          <w:p w14:paraId="59CB1682">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86" w:type="dxa"/>
            <w:vAlign w:val="center"/>
          </w:tcPr>
          <w:p w14:paraId="5FE42564">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4" w:type="dxa"/>
            <w:vAlign w:val="center"/>
          </w:tcPr>
          <w:p w14:paraId="0EFC9BE0">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C04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7" w:type="dxa"/>
            <w:vMerge w:val="continue"/>
            <w:vAlign w:val="center"/>
          </w:tcPr>
          <w:p w14:paraId="54C4787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1000" w:type="dxa"/>
            <w:vMerge w:val="restart"/>
            <w:vAlign w:val="center"/>
          </w:tcPr>
          <w:p w14:paraId="73FDE2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6958" w:type="dxa"/>
            <w:vAlign w:val="center"/>
          </w:tcPr>
          <w:p w14:paraId="30E661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授课团队中</w:t>
            </w:r>
            <w:r>
              <w:rPr>
                <w:rFonts w:hint="eastAsia" w:ascii="宋体" w:hAnsi="宋体" w:cs="宋体"/>
                <w:b w:val="0"/>
                <w:bCs w:val="0"/>
                <w:color w:val="auto"/>
                <w:kern w:val="0"/>
                <w:szCs w:val="21"/>
                <w:highlight w:val="none"/>
                <w:lang w:eastAsia="zh-CN"/>
              </w:rPr>
              <w:t>：</w:t>
            </w:r>
          </w:p>
          <w:p w14:paraId="45495D2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竞赛教练：</w:t>
            </w:r>
          </w:p>
          <w:p w14:paraId="6FAD49F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毕业于</w:t>
            </w:r>
            <w:r>
              <w:rPr>
                <w:rFonts w:hint="eastAsia" w:ascii="宋体" w:hAnsi="宋体" w:cs="宋体"/>
                <w:b w:val="0"/>
                <w:bCs w:val="0"/>
                <w:color w:val="auto"/>
                <w:kern w:val="0"/>
                <w:szCs w:val="21"/>
                <w:highlight w:val="none"/>
              </w:rPr>
              <w:t>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w:t>
            </w:r>
            <w:r>
              <w:rPr>
                <w:rFonts w:hint="eastAsia" w:ascii="宋体" w:hAnsi="宋体" w:cs="宋体"/>
                <w:b w:val="0"/>
                <w:bCs w:val="0"/>
                <w:color w:val="auto"/>
                <w:kern w:val="0"/>
                <w:szCs w:val="21"/>
                <w:highlight w:val="none"/>
                <w:lang w:val="en-US" w:eastAsia="zh-CN"/>
              </w:rPr>
              <w:t>的，每提供1人得2分，</w:t>
            </w:r>
          </w:p>
          <w:p w14:paraId="23251BF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Cs w:val="21"/>
                <w:highlight w:val="none"/>
                <w:lang w:val="en-US" w:eastAsia="zh-CN"/>
              </w:rPr>
              <w:t>2、</w:t>
            </w:r>
            <w:r>
              <w:rPr>
                <w:rFonts w:hint="eastAsia" w:ascii="宋体" w:hAnsi="宋体" w:eastAsia="宋体" w:cs="宋体"/>
                <w:color w:val="auto"/>
                <w:szCs w:val="21"/>
                <w:highlight w:val="none"/>
                <w:lang w:val="en-US" w:eastAsia="zh-CN"/>
              </w:rPr>
              <w:t>获得过</w:t>
            </w:r>
            <w:r>
              <w:rPr>
                <w:rFonts w:hint="eastAsia" w:ascii="宋体" w:hAnsi="宋体" w:cs="宋体"/>
                <w:color w:val="auto"/>
                <w:sz w:val="21"/>
                <w:szCs w:val="21"/>
                <w:highlight w:val="none"/>
                <w:lang w:val="en-US" w:eastAsia="zh-CN"/>
              </w:rPr>
              <w:t>学科竞赛国家级</w:t>
            </w:r>
            <w:r>
              <w:rPr>
                <w:rFonts w:hint="eastAsia" w:ascii="宋体" w:hAnsi="宋体" w:eastAsia="宋体" w:cs="宋体"/>
                <w:color w:val="auto"/>
                <w:sz w:val="21"/>
                <w:szCs w:val="21"/>
                <w:highlight w:val="none"/>
                <w:lang w:val="en-US" w:eastAsia="zh-CN"/>
              </w:rPr>
              <w:t>奖项的每人得2分，获得过</w:t>
            </w:r>
            <w:r>
              <w:rPr>
                <w:rFonts w:hint="eastAsia" w:ascii="宋体" w:hAnsi="宋体" w:cs="宋体"/>
                <w:color w:val="auto"/>
                <w:sz w:val="21"/>
                <w:szCs w:val="21"/>
                <w:highlight w:val="none"/>
                <w:lang w:val="en-US" w:eastAsia="zh-CN"/>
              </w:rPr>
              <w:t>学科竞赛省</w:t>
            </w:r>
            <w:r>
              <w:rPr>
                <w:rFonts w:hint="eastAsia" w:ascii="宋体" w:hAnsi="宋体" w:eastAsia="宋体" w:cs="宋体"/>
                <w:color w:val="auto"/>
                <w:sz w:val="21"/>
                <w:szCs w:val="21"/>
                <w:highlight w:val="none"/>
                <w:lang w:val="en-US" w:eastAsia="zh-CN"/>
              </w:rPr>
              <w:t>级奖项的每人得1分，获得过</w:t>
            </w:r>
            <w:r>
              <w:rPr>
                <w:rFonts w:hint="eastAsia" w:ascii="宋体" w:hAnsi="宋体" w:cs="宋体"/>
                <w:color w:val="auto"/>
                <w:sz w:val="21"/>
                <w:szCs w:val="21"/>
                <w:highlight w:val="none"/>
                <w:lang w:val="en-US" w:eastAsia="zh-CN"/>
              </w:rPr>
              <w:t>学科竞赛市</w:t>
            </w:r>
            <w:r>
              <w:rPr>
                <w:rFonts w:hint="eastAsia" w:ascii="宋体" w:hAnsi="宋体" w:eastAsia="宋体" w:cs="宋体"/>
                <w:color w:val="auto"/>
                <w:sz w:val="21"/>
                <w:szCs w:val="21"/>
                <w:highlight w:val="none"/>
                <w:lang w:val="en-US" w:eastAsia="zh-CN"/>
              </w:rPr>
              <w:t>级奖项的每人得0.5分，其他不得分。</w:t>
            </w:r>
          </w:p>
          <w:p w14:paraId="5E3DE6E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Cs w:val="21"/>
                <w:highlight w:val="none"/>
                <w:lang w:val="en-US" w:eastAsia="zh-CN"/>
              </w:rPr>
              <w:t>本项最高得20分，同一人可重复得分。</w:t>
            </w:r>
          </w:p>
          <w:p w14:paraId="30E09B6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43" w:type="dxa"/>
            <w:vAlign w:val="center"/>
          </w:tcPr>
          <w:p w14:paraId="5E24E749">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686" w:type="dxa"/>
            <w:vAlign w:val="center"/>
          </w:tcPr>
          <w:p w14:paraId="212A285B">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4" w:type="dxa"/>
            <w:vAlign w:val="center"/>
          </w:tcPr>
          <w:p w14:paraId="0BCB3185">
            <w:pPr>
              <w:keepNext w:val="0"/>
              <w:keepLines w:val="0"/>
              <w:pageBreakBefore w:val="0"/>
              <w:widowControl/>
              <w:tabs>
                <w:tab w:val="left" w:pos="780"/>
              </w:tabs>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206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7" w:type="dxa"/>
            <w:vMerge w:val="continue"/>
            <w:vAlign w:val="center"/>
          </w:tcPr>
          <w:p w14:paraId="367F31A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p>
        </w:tc>
        <w:tc>
          <w:tcPr>
            <w:tcW w:w="1000" w:type="dxa"/>
            <w:vMerge w:val="continue"/>
            <w:vAlign w:val="center"/>
          </w:tcPr>
          <w:p w14:paraId="599CC60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highlight w:val="none"/>
              </w:rPr>
            </w:pPr>
          </w:p>
        </w:tc>
        <w:tc>
          <w:tcPr>
            <w:tcW w:w="6958" w:type="dxa"/>
            <w:vAlign w:val="center"/>
          </w:tcPr>
          <w:p w14:paraId="59F798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授课团队中</w:t>
            </w:r>
            <w:r>
              <w:rPr>
                <w:rFonts w:hint="eastAsia" w:ascii="宋体" w:hAnsi="宋体" w:cs="宋体"/>
                <w:b w:val="0"/>
                <w:bCs w:val="0"/>
                <w:color w:val="auto"/>
                <w:kern w:val="0"/>
                <w:szCs w:val="21"/>
                <w:highlight w:val="none"/>
                <w:lang w:eastAsia="zh-CN"/>
              </w:rPr>
              <w:t>：</w:t>
            </w:r>
          </w:p>
          <w:p w14:paraId="0E49CF86">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初中名师（竞赛教练除外）：</w:t>
            </w:r>
          </w:p>
          <w:p w14:paraId="664251B0">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color w:val="auto"/>
                <w:sz w:val="21"/>
                <w:szCs w:val="21"/>
                <w:highlight w:val="none"/>
                <w:lang w:val="en-US" w:eastAsia="zh-CN"/>
              </w:rPr>
            </w:pPr>
            <w:bookmarkStart w:id="2" w:name="_GoBack"/>
            <w:bookmarkEnd w:id="2"/>
            <w:r>
              <w:rPr>
                <w:rFonts w:hint="eastAsia" w:ascii="宋体" w:hAnsi="宋体" w:eastAsia="宋体" w:cs="宋体"/>
                <w:color w:val="auto"/>
                <w:szCs w:val="21"/>
                <w:highlight w:val="none"/>
                <w:lang w:val="en-US" w:eastAsia="zh-CN"/>
              </w:rPr>
              <w:t>获得过</w:t>
            </w:r>
            <w:r>
              <w:rPr>
                <w:rFonts w:hint="eastAsia" w:ascii="宋体" w:hAnsi="宋体" w:cs="宋体"/>
                <w:color w:val="auto"/>
                <w:sz w:val="21"/>
                <w:szCs w:val="21"/>
                <w:highlight w:val="none"/>
                <w:lang w:val="en-US" w:eastAsia="zh-CN"/>
              </w:rPr>
              <w:t>正高职称</w:t>
            </w:r>
            <w:r>
              <w:rPr>
                <w:rFonts w:hint="eastAsia" w:ascii="宋体" w:hAnsi="宋体" w:eastAsia="宋体" w:cs="宋体"/>
                <w:color w:val="auto"/>
                <w:sz w:val="21"/>
                <w:szCs w:val="21"/>
                <w:highlight w:val="none"/>
                <w:lang w:val="en-US" w:eastAsia="zh-CN"/>
              </w:rPr>
              <w:t>的每人得2分，其他不得分。</w:t>
            </w:r>
            <w:r>
              <w:rPr>
                <w:rFonts w:hint="eastAsia" w:ascii="宋体" w:hAnsi="宋体" w:cs="宋体"/>
                <w:b w:val="0"/>
                <w:bCs w:val="0"/>
                <w:color w:val="auto"/>
                <w:kern w:val="0"/>
                <w:szCs w:val="21"/>
                <w:highlight w:val="none"/>
                <w:lang w:val="en-US" w:eastAsia="zh-CN"/>
              </w:rPr>
              <w:t>本项</w:t>
            </w:r>
            <w:r>
              <w:rPr>
                <w:rFonts w:hint="eastAsia" w:ascii="宋体" w:hAnsi="宋体" w:cs="宋体"/>
                <w:color w:val="auto"/>
                <w:sz w:val="21"/>
                <w:szCs w:val="21"/>
                <w:highlight w:val="none"/>
                <w:lang w:val="en-US" w:eastAsia="zh-CN"/>
              </w:rPr>
              <w:t>最高得10分。</w:t>
            </w:r>
          </w:p>
          <w:p w14:paraId="15BB990D">
            <w:pPr>
              <w:keepNext w:val="0"/>
              <w:keepLines w:val="0"/>
              <w:pageBreakBefore w:val="0"/>
              <w:widowControl w:val="0"/>
              <w:kinsoku/>
              <w:wordWrap w:val="0"/>
              <w:overflowPunct/>
              <w:topLinePunct w:val="0"/>
              <w:autoSpaceDE/>
              <w:autoSpaceDN/>
              <w:bidi w:val="0"/>
              <w:adjustRightInd/>
              <w:snapToGrid/>
              <w:ind w:left="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43" w:type="dxa"/>
            <w:vAlign w:val="center"/>
          </w:tcPr>
          <w:p w14:paraId="01BE1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10</w:t>
            </w:r>
          </w:p>
        </w:tc>
        <w:tc>
          <w:tcPr>
            <w:tcW w:w="686" w:type="dxa"/>
            <w:vAlign w:val="center"/>
          </w:tcPr>
          <w:p w14:paraId="2E65D2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highlight w:val="none"/>
                <w:lang w:val="en-US" w:eastAsia="zh-CN"/>
              </w:rPr>
            </w:pPr>
          </w:p>
        </w:tc>
        <w:tc>
          <w:tcPr>
            <w:tcW w:w="694" w:type="dxa"/>
            <w:vAlign w:val="center"/>
          </w:tcPr>
          <w:p w14:paraId="033CBF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highlight w:val="none"/>
                <w:lang w:val="en-US" w:eastAsia="zh-CN"/>
              </w:rPr>
            </w:pPr>
          </w:p>
        </w:tc>
      </w:tr>
      <w:tr w14:paraId="316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27" w:type="dxa"/>
            <w:vMerge w:val="restart"/>
            <w:vAlign w:val="center"/>
          </w:tcPr>
          <w:p w14:paraId="750F0722">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48</w:t>
            </w:r>
            <w:r>
              <w:rPr>
                <w:rFonts w:hint="eastAsia" w:asciiTheme="minorEastAsia" w:hAnsiTheme="minorEastAsia" w:eastAsiaTheme="minorEastAsia" w:cstheme="minorEastAsia"/>
                <w:bCs/>
                <w:color w:val="auto"/>
                <w:sz w:val="21"/>
                <w:szCs w:val="21"/>
                <w:highlight w:val="none"/>
              </w:rPr>
              <w:t>分）</w:t>
            </w:r>
          </w:p>
        </w:tc>
        <w:tc>
          <w:tcPr>
            <w:tcW w:w="1000" w:type="dxa"/>
            <w:vAlign w:val="center"/>
          </w:tcPr>
          <w:p w14:paraId="71A56A3F">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6958" w:type="dxa"/>
            <w:vAlign w:val="center"/>
          </w:tcPr>
          <w:p w14:paraId="28897F6B">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根据供应商对项目概况及</w:t>
            </w:r>
            <w:r>
              <w:rPr>
                <w:rFonts w:hint="eastAsia" w:ascii="宋体" w:hAnsi="宋体" w:cs="宋体"/>
                <w:color w:val="auto"/>
                <w:szCs w:val="21"/>
                <w:highlight w:val="none"/>
                <w:lang w:val="en-US" w:eastAsia="zh-CN"/>
              </w:rPr>
              <w:t>政策</w:t>
            </w:r>
            <w:r>
              <w:rPr>
                <w:rFonts w:hint="eastAsia" w:ascii="宋体" w:hAnsi="宋体" w:eastAsia="宋体" w:cs="宋体"/>
                <w:color w:val="auto"/>
                <w:szCs w:val="21"/>
                <w:highlight w:val="none"/>
                <w:lang w:val="en-US" w:eastAsia="zh-CN"/>
              </w:rPr>
              <w:t>背景的了解程度的深入性、系统性、针对性进行打分。</w:t>
            </w:r>
          </w:p>
          <w:p w14:paraId="03F8C3EA">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对项目概况及背景了解认识系统全面，理解深刻，系统性强的得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p w14:paraId="4B29B2D4">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对项目概况及背景了解认识一般，深入性、系统性、针对性一般的得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7F2B4F07">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对项目概况及背景了解认识欠缺，深入性、系统性、针对性有待加强的得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37BC49DE">
            <w:pPr>
              <w:keepNext w:val="0"/>
              <w:keepLines w:val="0"/>
              <w:pageBreakBefore w:val="0"/>
              <w:widowControl/>
              <w:kinsoku/>
              <w:wordWrap w:val="0"/>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阐述简单的得1分；</w:t>
            </w:r>
          </w:p>
          <w:p w14:paraId="10B93796">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Cs w:val="21"/>
                <w:highlight w:val="none"/>
                <w:lang w:val="en-US" w:eastAsia="zh-CN"/>
              </w:rPr>
              <w:t>未提及此项不得分。</w:t>
            </w:r>
          </w:p>
        </w:tc>
        <w:tc>
          <w:tcPr>
            <w:tcW w:w="643" w:type="dxa"/>
            <w:vAlign w:val="center"/>
          </w:tcPr>
          <w:p w14:paraId="48CB9150">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686" w:type="dxa"/>
            <w:vAlign w:val="center"/>
          </w:tcPr>
          <w:p w14:paraId="5E7D6935">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94" w:type="dxa"/>
            <w:vAlign w:val="center"/>
          </w:tcPr>
          <w:p w14:paraId="01C94129">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63F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27" w:type="dxa"/>
            <w:vMerge w:val="continue"/>
            <w:vAlign w:val="center"/>
          </w:tcPr>
          <w:p w14:paraId="57C844E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37321E4E">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重难点分析</w:t>
            </w:r>
          </w:p>
        </w:tc>
        <w:tc>
          <w:tcPr>
            <w:tcW w:w="6958" w:type="dxa"/>
            <w:vAlign w:val="center"/>
          </w:tcPr>
          <w:p w14:paraId="13E5BB42">
            <w:pPr>
              <w:keepNext w:val="0"/>
              <w:keepLines w:val="0"/>
              <w:pageBreakBefore w:val="0"/>
              <w:widowControl/>
              <w:kinsoku/>
              <w:wordWrap w:val="0"/>
              <w:overflowPunct/>
              <w:topLinePunct w:val="0"/>
              <w:autoSpaceDE/>
              <w:autoSpaceDN/>
              <w:bidi w:val="0"/>
              <w:adjustRightInd/>
              <w:snapToGrid/>
              <w:ind w:left="0"/>
              <w:jc w:val="left"/>
              <w:textAlignment w:val="auto"/>
              <w:rPr>
                <w:rFonts w:hAnsi="宋体" w:cs="宋体"/>
                <w:color w:val="auto"/>
                <w:szCs w:val="21"/>
                <w:highlight w:val="none"/>
              </w:rPr>
            </w:pPr>
            <w:r>
              <w:rPr>
                <w:rFonts w:hint="eastAsia" w:hAnsi="宋体" w:cs="宋体"/>
                <w:color w:val="auto"/>
                <w:szCs w:val="21"/>
                <w:highlight w:val="none"/>
              </w:rPr>
              <w:t>针对项目具体实施过程</w:t>
            </w:r>
            <w:r>
              <w:rPr>
                <w:rFonts w:hint="eastAsia" w:hAnsi="宋体" w:cs="宋体"/>
                <w:color w:val="auto"/>
                <w:szCs w:val="21"/>
                <w:highlight w:val="none"/>
                <w:lang w:val="en-US" w:eastAsia="zh-CN"/>
              </w:rPr>
              <w:t>可能</w:t>
            </w:r>
            <w:r>
              <w:rPr>
                <w:rFonts w:hint="eastAsia" w:hAnsi="宋体" w:cs="宋体"/>
                <w:color w:val="auto"/>
                <w:szCs w:val="21"/>
                <w:highlight w:val="none"/>
              </w:rPr>
              <w:t>遇到的重点难点分析情况进行打分。</w:t>
            </w:r>
          </w:p>
          <w:p w14:paraId="20370FF5">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分析详细全面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理解准确，内容深刻</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19DBBD30">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分析内容较完善合理的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理解较准确，内容基本具有深度性的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12CBD9D">
            <w:pPr>
              <w:keepNext w:val="0"/>
              <w:keepLines w:val="0"/>
              <w:pageBreakBefore w:val="0"/>
              <w:widowControl/>
              <w:numPr>
                <w:ilvl w:val="0"/>
                <w:numId w:val="0"/>
              </w:numPr>
              <w:kinsoku/>
              <w:wordWrap w:val="0"/>
              <w:overflowPunct/>
              <w:topLinePunct w:val="0"/>
              <w:autoSpaceDE/>
              <w:autoSpaceDN/>
              <w:bidi w:val="0"/>
              <w:adjustRightInd/>
              <w:snapToGrid/>
              <w:ind w:left="0" w:lef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分析内容一般，重难点分析层次不甚清晰的得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5A8D9479">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43" w:type="dxa"/>
            <w:vAlign w:val="center"/>
          </w:tcPr>
          <w:p w14:paraId="35F29C25">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3</w:t>
            </w:r>
          </w:p>
        </w:tc>
        <w:tc>
          <w:tcPr>
            <w:tcW w:w="686" w:type="dxa"/>
            <w:vAlign w:val="center"/>
          </w:tcPr>
          <w:p w14:paraId="607CFB24">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c>
          <w:tcPr>
            <w:tcW w:w="694" w:type="dxa"/>
            <w:vAlign w:val="center"/>
          </w:tcPr>
          <w:p w14:paraId="532C2FD1">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r>
      <w:tr w14:paraId="42C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27" w:type="dxa"/>
            <w:vMerge w:val="continue"/>
            <w:vAlign w:val="center"/>
          </w:tcPr>
          <w:p w14:paraId="5EF69709">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2D042B16">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重难点解决方案</w:t>
            </w:r>
          </w:p>
        </w:tc>
        <w:tc>
          <w:tcPr>
            <w:tcW w:w="6958" w:type="dxa"/>
            <w:vAlign w:val="center"/>
          </w:tcPr>
          <w:p w14:paraId="32EAC21F">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hAnsi="宋体" w:cs="宋体"/>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hAnsi="宋体" w:cs="宋体"/>
                <w:color w:val="auto"/>
                <w:szCs w:val="21"/>
                <w:highlight w:val="none"/>
              </w:rPr>
              <w:t>对项目实施工作</w:t>
            </w:r>
            <w:r>
              <w:rPr>
                <w:rFonts w:hint="eastAsia" w:hAnsi="宋体" w:cs="宋体"/>
                <w:color w:val="auto"/>
                <w:szCs w:val="21"/>
                <w:highlight w:val="none"/>
                <w:lang w:val="en-US" w:eastAsia="zh-CN"/>
              </w:rPr>
              <w:t>可能</w:t>
            </w:r>
            <w:r>
              <w:rPr>
                <w:rFonts w:hint="eastAsia" w:hAnsi="宋体" w:cs="宋体"/>
                <w:color w:val="auto"/>
                <w:szCs w:val="21"/>
                <w:highlight w:val="none"/>
              </w:rPr>
              <w:t>存在的重点难</w:t>
            </w:r>
            <w:r>
              <w:rPr>
                <w:rFonts w:hint="eastAsia" w:asciiTheme="minorEastAsia" w:hAnsiTheme="minorEastAsia" w:eastAsiaTheme="minorEastAsia" w:cstheme="minorEastAsia"/>
                <w:color w:val="auto"/>
                <w:szCs w:val="21"/>
                <w:highlight w:val="none"/>
              </w:rPr>
              <w:t>点问题的解决措施进行打分。</w:t>
            </w:r>
          </w:p>
          <w:p w14:paraId="2B0D7E39">
            <w:pPr>
              <w:keepNext w:val="0"/>
              <w:keepLines w:val="0"/>
              <w:pageBreakBefore w:val="0"/>
              <w:widowControl/>
              <w:kinsoku/>
              <w:wordWrap w:val="0"/>
              <w:overflowPunct/>
              <w:topLinePunct w:val="0"/>
              <w:autoSpaceDE/>
              <w:autoSpaceDN/>
              <w:bidi w:val="0"/>
              <w:adjustRightInd/>
              <w:snapToGrid/>
              <w:ind w:left="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合理化建议、措施有效可行，能够解决重难点问题的得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1A556D26">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有效可行，</w:t>
            </w:r>
            <w:r>
              <w:rPr>
                <w:rFonts w:hint="eastAsia" w:asciiTheme="minorEastAsia" w:hAnsiTheme="minorEastAsia" w:eastAsiaTheme="minorEastAsia" w:cstheme="minorEastAsia"/>
                <w:color w:val="auto"/>
                <w:szCs w:val="21"/>
                <w:highlight w:val="none"/>
                <w:lang w:val="en-US" w:eastAsia="zh-CN"/>
              </w:rPr>
              <w:t>基本能</w:t>
            </w:r>
            <w:r>
              <w:rPr>
                <w:rFonts w:hint="eastAsia" w:asciiTheme="minorEastAsia" w:hAnsiTheme="minorEastAsia" w:eastAsiaTheme="minorEastAsia" w:cstheme="minorEastAsia"/>
                <w:color w:val="auto"/>
                <w:szCs w:val="21"/>
                <w:highlight w:val="none"/>
              </w:rPr>
              <w:t>解决重难点问题的得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0AA3F7B6">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合理化建议、措施</w:t>
            </w:r>
            <w:r>
              <w:rPr>
                <w:rFonts w:hint="eastAsia" w:asciiTheme="minorEastAsia" w:hAnsiTheme="minorEastAsia" w:eastAsiaTheme="minorEastAsia" w:cstheme="minorEastAsia"/>
                <w:color w:val="auto"/>
                <w:szCs w:val="21"/>
                <w:highlight w:val="none"/>
                <w:lang w:val="en-US" w:eastAsia="zh-CN"/>
              </w:rPr>
              <w:t>可行性、有效性一般</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7B4E3B9A">
            <w:pPr>
              <w:keepNext w:val="0"/>
              <w:keepLines w:val="0"/>
              <w:pageBreakBefore w:val="0"/>
              <w:widowControl/>
              <w:kinsoku/>
              <w:wordWrap w:val="0"/>
              <w:overflowPunct/>
              <w:topLinePunct w:val="0"/>
              <w:autoSpaceDE/>
              <w:autoSpaceDN/>
              <w:bidi w:val="0"/>
              <w:adjustRightInd/>
              <w:snapToGrid/>
              <w:ind w:left="0"/>
              <w:textAlignment w:val="auto"/>
              <w:rPr>
                <w:rFonts w:hint="eastAsia" w:asciiTheme="minorEastAsia" w:hAnsiTheme="minorEastAsia" w:eastAsiaTheme="minorEastAsia" w:cstheme="minorEastAsia"/>
                <w:color w:val="auto"/>
                <w:sz w:val="21"/>
                <w:szCs w:val="21"/>
                <w:highlight w:val="none"/>
              </w:rPr>
            </w:pPr>
            <w:r>
              <w:rPr>
                <w:rFonts w:hint="eastAsia" w:hAnsi="宋体" w:cs="宋体"/>
                <w:color w:val="auto"/>
                <w:szCs w:val="21"/>
                <w:highlight w:val="none"/>
              </w:rPr>
              <w:t>未提及此项不得分。</w:t>
            </w:r>
          </w:p>
        </w:tc>
        <w:tc>
          <w:tcPr>
            <w:tcW w:w="643" w:type="dxa"/>
            <w:vAlign w:val="center"/>
          </w:tcPr>
          <w:p w14:paraId="268D068E">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新宋体" w:eastAsiaTheme="minorEastAsia"/>
                <w:color w:val="auto"/>
                <w:szCs w:val="21"/>
                <w:highlight w:val="none"/>
                <w:lang w:val="en-US" w:eastAsia="zh-CN"/>
              </w:rPr>
              <w:t>3</w:t>
            </w:r>
          </w:p>
        </w:tc>
        <w:tc>
          <w:tcPr>
            <w:tcW w:w="686" w:type="dxa"/>
            <w:vAlign w:val="center"/>
          </w:tcPr>
          <w:p w14:paraId="57BBEF61">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c>
          <w:tcPr>
            <w:tcW w:w="694" w:type="dxa"/>
            <w:vAlign w:val="center"/>
          </w:tcPr>
          <w:p w14:paraId="356961D7">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新宋体" w:eastAsiaTheme="minorEastAsia"/>
                <w:color w:val="auto"/>
                <w:szCs w:val="21"/>
                <w:highlight w:val="none"/>
                <w:lang w:val="en-US" w:eastAsia="zh-CN"/>
              </w:rPr>
            </w:pPr>
          </w:p>
        </w:tc>
      </w:tr>
      <w:tr w14:paraId="14E9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27" w:type="dxa"/>
            <w:vMerge w:val="continue"/>
            <w:vAlign w:val="center"/>
          </w:tcPr>
          <w:p w14:paraId="0E95E120">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restart"/>
            <w:vAlign w:val="center"/>
          </w:tcPr>
          <w:p w14:paraId="0EC52451">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6958" w:type="dxa"/>
            <w:vAlign w:val="center"/>
          </w:tcPr>
          <w:p w14:paraId="7A51856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34A89E2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8</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6F8CDBAD">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47322F71">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13551F0B">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0895DC27">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未提及此项不得分。</w:t>
            </w:r>
          </w:p>
        </w:tc>
        <w:tc>
          <w:tcPr>
            <w:tcW w:w="643" w:type="dxa"/>
            <w:vAlign w:val="center"/>
          </w:tcPr>
          <w:p w14:paraId="7362FD76">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686" w:type="dxa"/>
            <w:vAlign w:val="center"/>
          </w:tcPr>
          <w:p w14:paraId="0393BCBB">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4" w:type="dxa"/>
            <w:vAlign w:val="center"/>
          </w:tcPr>
          <w:p w14:paraId="1875A11C">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419D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27" w:type="dxa"/>
            <w:vMerge w:val="continue"/>
            <w:vAlign w:val="center"/>
          </w:tcPr>
          <w:p w14:paraId="5C379CF8">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continue"/>
            <w:vAlign w:val="center"/>
          </w:tcPr>
          <w:p w14:paraId="1D9328AF">
            <w:pPr>
              <w:pStyle w:val="7"/>
              <w:adjustRightInd w:val="0"/>
              <w:snapToGrid w:val="0"/>
              <w:spacing w:after="0" w:line="240" w:lineRule="auto"/>
              <w:rPr>
                <w:rFonts w:hint="eastAsia" w:asciiTheme="minorEastAsia" w:hAnsiTheme="minorEastAsia" w:eastAsiaTheme="minorEastAsia" w:cstheme="minorEastAsia"/>
                <w:color w:val="auto"/>
                <w:kern w:val="0"/>
                <w:sz w:val="21"/>
                <w:szCs w:val="21"/>
                <w:highlight w:val="none"/>
              </w:rPr>
            </w:pPr>
          </w:p>
        </w:tc>
        <w:tc>
          <w:tcPr>
            <w:tcW w:w="6958" w:type="dxa"/>
            <w:vAlign w:val="center"/>
          </w:tcPr>
          <w:p w14:paraId="013867B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sz w:val="21"/>
                <w:szCs w:val="21"/>
                <w:highlight w:val="none"/>
              </w:rPr>
              <w:t>投标</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3A902DA7">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8</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1A0785ED">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1005AAE4">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0C58FC28">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3A48AD5A">
            <w:pPr>
              <w:pStyle w:val="7"/>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43" w:type="dxa"/>
            <w:vAlign w:val="center"/>
          </w:tcPr>
          <w:p w14:paraId="3148F937">
            <w:pPr>
              <w:pStyle w:val="7"/>
              <w:adjustRightInd w:val="0"/>
              <w:snapToGrid w:val="0"/>
              <w:spacing w:after="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8</w:t>
            </w:r>
          </w:p>
        </w:tc>
        <w:tc>
          <w:tcPr>
            <w:tcW w:w="686" w:type="dxa"/>
            <w:vAlign w:val="center"/>
          </w:tcPr>
          <w:p w14:paraId="26BEBC29">
            <w:pPr>
              <w:pStyle w:val="7"/>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c>
          <w:tcPr>
            <w:tcW w:w="694" w:type="dxa"/>
            <w:vAlign w:val="center"/>
          </w:tcPr>
          <w:p w14:paraId="2076E851">
            <w:pPr>
              <w:pStyle w:val="7"/>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r>
      <w:tr w14:paraId="5BE0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927" w:type="dxa"/>
            <w:vMerge w:val="continue"/>
            <w:vAlign w:val="center"/>
          </w:tcPr>
          <w:p w14:paraId="0E9F074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Merge w:val="continue"/>
            <w:vAlign w:val="center"/>
          </w:tcPr>
          <w:p w14:paraId="1C69951A">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58" w:type="dxa"/>
            <w:vAlign w:val="center"/>
          </w:tcPr>
          <w:p w14:paraId="05B315F7">
            <w:pPr>
              <w:adjustRightInd w:val="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根据</w:t>
            </w:r>
            <w:r>
              <w:rPr>
                <w:rFonts w:hint="eastAsia" w:asciiTheme="minorEastAsia" w:hAnsiTheme="minorEastAsia" w:eastAsiaTheme="minorEastAsia" w:cstheme="minorEastAsia"/>
                <w:b w:val="0"/>
                <w:bCs w:val="0"/>
                <w:color w:val="auto"/>
                <w:sz w:val="21"/>
                <w:szCs w:val="21"/>
                <w:highlight w:val="none"/>
              </w:rPr>
              <w:t>投标</w:t>
            </w:r>
            <w:r>
              <w:rPr>
                <w:rFonts w:hint="eastAsia" w:asciiTheme="minorEastAsia" w:hAnsiTheme="minorEastAsia" w:eastAsiaTheme="minorEastAsia" w:cstheme="minorEastAsia"/>
                <w:b w:val="0"/>
                <w:bCs w:val="0"/>
                <w:color w:val="auto"/>
                <w:sz w:val="21"/>
                <w:szCs w:val="21"/>
                <w:highlight w:val="none"/>
                <w:lang w:val="en-US" w:eastAsia="zh-CN"/>
              </w:rPr>
              <w:t>人</w:t>
            </w:r>
            <w:r>
              <w:rPr>
                <w:rFonts w:hint="eastAsia" w:asciiTheme="minorEastAsia" w:hAnsiTheme="minorEastAsia" w:eastAsiaTheme="minorEastAsia" w:cstheme="minorEastAsia"/>
                <w:b w:val="0"/>
                <w:bCs w:val="0"/>
                <w:color w:val="auto"/>
                <w:sz w:val="21"/>
                <w:szCs w:val="21"/>
                <w:highlight w:val="none"/>
              </w:rPr>
              <w:t>提供</w:t>
            </w:r>
            <w:r>
              <w:rPr>
                <w:rFonts w:hint="eastAsia" w:asciiTheme="minorEastAsia" w:hAnsiTheme="minorEastAsia" w:eastAsiaTheme="minorEastAsia" w:cstheme="minorEastAsia"/>
                <w:b w:val="0"/>
                <w:bCs w:val="0"/>
                <w:color w:val="auto"/>
                <w:szCs w:val="21"/>
                <w:highlight w:val="none"/>
                <w:lang w:val="en-US" w:eastAsia="zh-CN"/>
              </w:rPr>
              <w:t>的服务保障方案（围绕配套作业、个性服务等方面）</w:t>
            </w:r>
            <w:r>
              <w:rPr>
                <w:rFonts w:hint="eastAsia" w:asciiTheme="minorEastAsia" w:hAnsiTheme="minorEastAsia" w:eastAsiaTheme="minorEastAsia" w:cstheme="minorEastAsia"/>
                <w:b w:val="0"/>
                <w:bCs w:val="0"/>
                <w:color w:val="auto"/>
                <w:szCs w:val="21"/>
                <w:highlight w:val="none"/>
              </w:rPr>
              <w:t>的可行性、科学性</w:t>
            </w:r>
            <w:r>
              <w:rPr>
                <w:rFonts w:hint="eastAsia" w:asciiTheme="minorEastAsia" w:hAnsiTheme="minorEastAsia" w:eastAsiaTheme="minorEastAsia" w:cstheme="minorEastAsia"/>
                <w:b w:val="0"/>
                <w:bCs w:val="0"/>
                <w:color w:val="auto"/>
                <w:szCs w:val="21"/>
                <w:highlight w:val="none"/>
                <w:lang w:val="en-US" w:eastAsia="zh-CN"/>
              </w:rPr>
              <w:t>进行综合打分。</w:t>
            </w:r>
          </w:p>
          <w:p w14:paraId="1AB3FCFE">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p>
          <w:p w14:paraId="647235EB">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195A6295">
            <w:pPr>
              <w:pStyle w:val="7"/>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方案未提供或有明显缺陷、不完善、不合理、不切合实际，方案没有融合性、创新性、实效性的得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6F79D758">
            <w:pPr>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323E4278">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43" w:type="dxa"/>
            <w:vAlign w:val="center"/>
          </w:tcPr>
          <w:p w14:paraId="0BEBE996">
            <w:pPr>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c>
          <w:tcPr>
            <w:tcW w:w="686" w:type="dxa"/>
            <w:vAlign w:val="center"/>
          </w:tcPr>
          <w:p w14:paraId="26A71E26">
            <w:pPr>
              <w:jc w:val="center"/>
              <w:rPr>
                <w:rFonts w:hint="eastAsia" w:asciiTheme="minorEastAsia" w:hAnsiTheme="minorEastAsia" w:eastAsiaTheme="minorEastAsia" w:cstheme="minorEastAsia"/>
                <w:color w:val="auto"/>
                <w:szCs w:val="21"/>
                <w:highlight w:val="none"/>
                <w:lang w:val="en-US" w:eastAsia="zh-CN"/>
              </w:rPr>
            </w:pPr>
          </w:p>
        </w:tc>
        <w:tc>
          <w:tcPr>
            <w:tcW w:w="694" w:type="dxa"/>
            <w:vAlign w:val="center"/>
          </w:tcPr>
          <w:p w14:paraId="262C463D">
            <w:pPr>
              <w:jc w:val="center"/>
              <w:rPr>
                <w:rFonts w:hint="eastAsia" w:asciiTheme="minorEastAsia" w:hAnsiTheme="minorEastAsia" w:eastAsiaTheme="minorEastAsia" w:cstheme="minorEastAsia"/>
                <w:color w:val="auto"/>
                <w:szCs w:val="21"/>
                <w:highlight w:val="none"/>
                <w:lang w:val="en-US" w:eastAsia="zh-CN"/>
              </w:rPr>
            </w:pPr>
          </w:p>
        </w:tc>
      </w:tr>
      <w:tr w14:paraId="43ED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27" w:type="dxa"/>
            <w:vMerge w:val="continue"/>
            <w:vAlign w:val="center"/>
          </w:tcPr>
          <w:p w14:paraId="4C0D016C">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70BE1DA6">
            <w:pPr>
              <w:keepNext w:val="0"/>
              <w:keepLines w:val="0"/>
              <w:pageBreakBefore w:val="0"/>
              <w:widowControl/>
              <w:kinsoku/>
              <w:wordWrap w:val="0"/>
              <w:overflowPunct/>
              <w:topLinePunct w:val="0"/>
              <w:autoSpaceDE/>
              <w:autoSpaceDN/>
              <w:bidi w:val="0"/>
              <w:adjustRightInd/>
              <w:snapToGrid/>
              <w:ind w:left="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计划安排</w:t>
            </w:r>
          </w:p>
        </w:tc>
        <w:tc>
          <w:tcPr>
            <w:tcW w:w="6958" w:type="dxa"/>
            <w:vAlign w:val="center"/>
          </w:tcPr>
          <w:p w14:paraId="18239848">
            <w:pPr>
              <w:keepNext w:val="0"/>
              <w:keepLines w:val="0"/>
              <w:pageBreakBefore w:val="0"/>
              <w:widowControl/>
              <w:tabs>
                <w:tab w:val="left" w:pos="2061"/>
              </w:tabs>
              <w:kinsoku/>
              <w:wordWrap w:val="0"/>
              <w:overflowPunct/>
              <w:topLinePunct w:val="0"/>
              <w:autoSpaceDE/>
              <w:autoSpaceDN/>
              <w:bidi w:val="0"/>
              <w:adjustRightInd/>
              <w:snapToGrid/>
              <w:ind w:left="0"/>
              <w:textAlignment w:val="auto"/>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rPr>
              <w:t>制定的</w:t>
            </w:r>
            <w:r>
              <w:rPr>
                <w:rFonts w:hint="eastAsia" w:ascii="宋体" w:hAnsi="宋体" w:cs="宋体"/>
                <w:bCs/>
                <w:color w:val="auto"/>
                <w:szCs w:val="21"/>
                <w:highlight w:val="none"/>
              </w:rPr>
              <w:t>整体计划安排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包括但不限于团队分工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安排</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工作顺序</w:t>
            </w:r>
            <w:r>
              <w:rPr>
                <w:rFonts w:hint="eastAsia" w:ascii="宋体" w:hAnsi="宋体" w:cs="宋体"/>
                <w:bCs/>
                <w:color w:val="auto"/>
                <w:szCs w:val="21"/>
                <w:highlight w:val="none"/>
              </w:rPr>
              <w:t>等内容</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进行打分。</w:t>
            </w:r>
          </w:p>
          <w:p w14:paraId="5CCDAEBF">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整体计划安排内容详实明确，分工清晰，安排科学，顺序合理的得4分；</w:t>
            </w:r>
          </w:p>
          <w:p w14:paraId="7226E62A">
            <w:pPr>
              <w:keepNext w:val="0"/>
              <w:keepLines w:val="0"/>
              <w:pageBreakBefore w:val="0"/>
              <w:widowControl/>
              <w:kinsoku/>
              <w:wordWrap w:val="0"/>
              <w:overflowPunct/>
              <w:topLinePunct w:val="0"/>
              <w:autoSpaceDE/>
              <w:autoSpaceDN/>
              <w:bidi w:val="0"/>
              <w:adjustRightInd/>
              <w:snapToGrid/>
              <w:ind w:left="0"/>
              <w:jc w:val="left"/>
              <w:textAlignment w:val="auto"/>
              <w:rPr>
                <w:rFonts w:hint="default" w:ascii="宋体" w:hAnsi="宋体" w:cs="宋体"/>
                <w:bCs/>
                <w:color w:val="auto"/>
                <w:kern w:val="0"/>
                <w:szCs w:val="21"/>
                <w:highlight w:val="none"/>
                <w:lang w:val="en-US" w:bidi="ar"/>
              </w:rPr>
            </w:pPr>
            <w:r>
              <w:rPr>
                <w:rFonts w:hint="eastAsia" w:ascii="宋体" w:hAnsi="宋体" w:cs="宋体"/>
                <w:bCs/>
                <w:color w:val="auto"/>
                <w:kern w:val="0"/>
                <w:szCs w:val="21"/>
                <w:highlight w:val="none"/>
                <w:lang w:val="en-US" w:eastAsia="zh-CN" w:bidi="ar"/>
              </w:rPr>
              <w:t>整体计划安排内容基本详实明确，分工基本清晰，安排基本科学，顺序基本合理的得2分；</w:t>
            </w:r>
          </w:p>
          <w:p w14:paraId="45D655F7">
            <w:pPr>
              <w:keepNext w:val="0"/>
              <w:keepLines w:val="0"/>
              <w:pageBreakBefore w:val="0"/>
              <w:widowControl/>
              <w:kinsoku/>
              <w:wordWrap w:val="0"/>
              <w:overflowPunct/>
              <w:topLinePunct w:val="0"/>
              <w:autoSpaceDE/>
              <w:autoSpaceDN/>
              <w:bidi w:val="0"/>
              <w:adjustRightInd/>
              <w:snapToGrid/>
              <w:ind w:left="0"/>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整体计划安排内容一般的得1分；</w:t>
            </w:r>
          </w:p>
          <w:p w14:paraId="3AA7A8F2">
            <w:pPr>
              <w:keepNext w:val="0"/>
              <w:keepLines w:val="0"/>
              <w:pageBreakBefore w:val="0"/>
              <w:widowControl/>
              <w:kinsoku/>
              <w:wordWrap w:val="0"/>
              <w:overflowPunct/>
              <w:topLinePunct w:val="0"/>
              <w:autoSpaceDE/>
              <w:autoSpaceDN/>
              <w:bidi w:val="0"/>
              <w:adjustRightInd/>
              <w:snapToGrid/>
              <w:ind w:left="0"/>
              <w:textAlignment w:val="auto"/>
              <w:rPr>
                <w:rFonts w:hint="default" w:asciiTheme="minorEastAsia" w:hAnsiTheme="minorEastAsia" w:eastAsiaTheme="minorEastAsia" w:cstheme="minorEastAsia"/>
                <w:color w:val="auto"/>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43" w:type="dxa"/>
            <w:vAlign w:val="center"/>
          </w:tcPr>
          <w:p w14:paraId="074969CE">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eastAsiaTheme="minorEastAsia"/>
                <w:color w:val="auto"/>
                <w:szCs w:val="21"/>
                <w:highlight w:val="none"/>
                <w:lang w:val="en-US" w:eastAsia="zh-CN"/>
              </w:rPr>
              <w:t>4</w:t>
            </w:r>
          </w:p>
        </w:tc>
        <w:tc>
          <w:tcPr>
            <w:tcW w:w="686" w:type="dxa"/>
            <w:vAlign w:val="center"/>
          </w:tcPr>
          <w:p w14:paraId="222B04BB">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eastAsiaTheme="minorEastAsia"/>
                <w:color w:val="auto"/>
                <w:szCs w:val="21"/>
                <w:highlight w:val="none"/>
                <w:lang w:val="en-US" w:eastAsia="zh-CN"/>
              </w:rPr>
            </w:pPr>
          </w:p>
        </w:tc>
        <w:tc>
          <w:tcPr>
            <w:tcW w:w="694" w:type="dxa"/>
            <w:vAlign w:val="center"/>
          </w:tcPr>
          <w:p w14:paraId="3AE28987">
            <w:pPr>
              <w:keepNext w:val="0"/>
              <w:keepLines w:val="0"/>
              <w:pageBreakBefore w:val="0"/>
              <w:widowControl/>
              <w:kinsoku/>
              <w:wordWrap w:val="0"/>
              <w:overflowPunct/>
              <w:topLinePunct w:val="0"/>
              <w:autoSpaceDE/>
              <w:autoSpaceDN/>
              <w:bidi w:val="0"/>
              <w:adjustRightInd/>
              <w:snapToGrid/>
              <w:ind w:left="0"/>
              <w:jc w:val="center"/>
              <w:textAlignment w:val="auto"/>
              <w:rPr>
                <w:rFonts w:hint="eastAsia" w:ascii="宋体" w:hAnsi="宋体" w:cs="宋体" w:eastAsiaTheme="minorEastAsia"/>
                <w:color w:val="auto"/>
                <w:szCs w:val="21"/>
                <w:highlight w:val="none"/>
                <w:lang w:val="en-US" w:eastAsia="zh-CN"/>
              </w:rPr>
            </w:pPr>
          </w:p>
        </w:tc>
      </w:tr>
      <w:tr w14:paraId="0451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27" w:type="dxa"/>
            <w:vMerge w:val="continue"/>
            <w:vAlign w:val="center"/>
          </w:tcPr>
          <w:p w14:paraId="23992796">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5EDD135E">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项目质量保证措施</w:t>
            </w:r>
          </w:p>
        </w:tc>
        <w:tc>
          <w:tcPr>
            <w:tcW w:w="6958" w:type="dxa"/>
            <w:vAlign w:val="center"/>
          </w:tcPr>
          <w:p w14:paraId="0078838C">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snapToGrid w:val="0"/>
                <w:color w:val="auto"/>
                <w:kern w:val="0"/>
                <w:sz w:val="21"/>
                <w:szCs w:val="21"/>
                <w:highlight w:val="none"/>
              </w:rPr>
              <w:t>对</w:t>
            </w:r>
            <w:r>
              <w:rPr>
                <w:rFonts w:hint="eastAsia" w:asciiTheme="minorEastAsia" w:hAnsiTheme="minorEastAsia" w:eastAsiaTheme="minorEastAsia" w:cstheme="minorEastAsia"/>
                <w:snapToGrid w:val="0"/>
                <w:color w:val="auto"/>
                <w:kern w:val="0"/>
                <w:sz w:val="21"/>
                <w:szCs w:val="21"/>
                <w:highlight w:val="none"/>
                <w:lang w:val="en-US" w:eastAsia="zh-CN"/>
              </w:rPr>
              <w:t>项目投入人员</w:t>
            </w:r>
            <w:r>
              <w:rPr>
                <w:rFonts w:hint="eastAsia" w:asciiTheme="minorEastAsia" w:hAnsiTheme="minorEastAsia" w:eastAsiaTheme="minorEastAsia" w:cstheme="minorEastAsia"/>
                <w:snapToGrid w:val="0"/>
                <w:color w:val="auto"/>
                <w:kern w:val="0"/>
                <w:sz w:val="21"/>
                <w:szCs w:val="21"/>
                <w:highlight w:val="none"/>
              </w:rPr>
              <w:t>监督、考核的措施是否全面、完整，</w:t>
            </w:r>
            <w:r>
              <w:rPr>
                <w:rFonts w:hint="eastAsia" w:asciiTheme="minorEastAsia" w:hAnsiTheme="minorEastAsia" w:eastAsiaTheme="minorEastAsia" w:cstheme="minorEastAsia"/>
                <w:snapToGrid w:val="0"/>
                <w:color w:val="auto"/>
                <w:kern w:val="0"/>
                <w:sz w:val="21"/>
                <w:szCs w:val="21"/>
                <w:highlight w:val="none"/>
                <w:lang w:val="zh-CN"/>
              </w:rPr>
              <w:t>是否具有科学性、可行性</w:t>
            </w:r>
            <w:r>
              <w:rPr>
                <w:rFonts w:hint="eastAsia" w:asciiTheme="minorEastAsia" w:hAnsiTheme="minorEastAsia" w:eastAsiaTheme="minorEastAsia" w:cstheme="minorEastAsia"/>
                <w:snapToGrid w:val="0"/>
                <w:color w:val="auto"/>
                <w:kern w:val="0"/>
                <w:sz w:val="21"/>
                <w:szCs w:val="21"/>
                <w:highlight w:val="none"/>
              </w:rPr>
              <w:t>进行</w:t>
            </w:r>
            <w:r>
              <w:rPr>
                <w:rFonts w:hint="eastAsia" w:asciiTheme="minorEastAsia" w:hAnsiTheme="minorEastAsia" w:eastAsiaTheme="minorEastAsia" w:cstheme="minorEastAsia"/>
                <w:snapToGrid w:val="0"/>
                <w:color w:val="auto"/>
                <w:kern w:val="0"/>
                <w:sz w:val="21"/>
                <w:szCs w:val="21"/>
                <w:highlight w:val="none"/>
                <w:lang w:val="en-US" w:eastAsia="zh-CN"/>
              </w:rPr>
              <w:t>打分。</w:t>
            </w:r>
          </w:p>
          <w:p w14:paraId="21430280">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全面可行，能有效保障项目服务质量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5</w:t>
            </w:r>
            <w:r>
              <w:rPr>
                <w:rFonts w:hint="eastAsia" w:asciiTheme="minorEastAsia" w:hAnsiTheme="minorEastAsia" w:eastAsiaTheme="minorEastAsia" w:cstheme="minorEastAsia"/>
                <w:snapToGrid w:val="0"/>
                <w:color w:val="auto"/>
                <w:kern w:val="0"/>
                <w:sz w:val="21"/>
                <w:szCs w:val="21"/>
                <w:highlight w:val="none"/>
              </w:rPr>
              <w:t>分；</w:t>
            </w:r>
          </w:p>
          <w:p w14:paraId="5666A4C6">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基本可行，基本保障项目服务质量</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3</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471B70D3">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监督考核的措施</w:t>
            </w:r>
            <w:r>
              <w:rPr>
                <w:rFonts w:hint="eastAsia" w:asciiTheme="minorEastAsia" w:hAnsiTheme="minorEastAsia" w:eastAsiaTheme="minorEastAsia" w:cstheme="minorEastAsia"/>
                <w:snapToGrid w:val="0"/>
                <w:color w:val="auto"/>
                <w:kern w:val="0"/>
                <w:sz w:val="21"/>
                <w:szCs w:val="21"/>
                <w:highlight w:val="none"/>
                <w:lang w:val="en-US" w:eastAsia="zh-CN"/>
              </w:rPr>
              <w:t>可行性一般，项目服务质量保障性有待加强</w:t>
            </w:r>
            <w:r>
              <w:rPr>
                <w:rFonts w:hint="eastAsia" w:asciiTheme="minorEastAsia" w:hAnsiTheme="minorEastAsia" w:eastAsiaTheme="minorEastAsia" w:cstheme="minorEastAsia"/>
                <w:snapToGrid w:val="0"/>
                <w:color w:val="auto"/>
                <w:kern w:val="0"/>
                <w:sz w:val="21"/>
                <w:szCs w:val="21"/>
                <w:highlight w:val="none"/>
              </w:rPr>
              <w:t>的得</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分</w:t>
            </w:r>
            <w:r>
              <w:rPr>
                <w:rFonts w:hint="eastAsia" w:asciiTheme="minorEastAsia" w:hAnsiTheme="minorEastAsia" w:eastAsiaTheme="minorEastAsia" w:cstheme="minorEastAsia"/>
                <w:snapToGrid w:val="0"/>
                <w:color w:val="auto"/>
                <w:kern w:val="0"/>
                <w:sz w:val="21"/>
                <w:szCs w:val="21"/>
                <w:highlight w:val="none"/>
                <w:lang w:eastAsia="zh-CN"/>
              </w:rPr>
              <w:t>；</w:t>
            </w:r>
          </w:p>
          <w:p w14:paraId="25443E40">
            <w:pPr>
              <w:keepNext w:val="0"/>
              <w:keepLines w:val="0"/>
              <w:pageBreakBefore w:val="0"/>
              <w:widowControl/>
              <w:tabs>
                <w:tab w:val="right" w:pos="4937"/>
              </w:tabs>
              <w:kinsoku/>
              <w:wordWrap w:val="0"/>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未提及此项不得分。</w:t>
            </w:r>
          </w:p>
        </w:tc>
        <w:tc>
          <w:tcPr>
            <w:tcW w:w="643" w:type="dxa"/>
            <w:vAlign w:val="center"/>
          </w:tcPr>
          <w:p w14:paraId="486DC455">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86" w:type="dxa"/>
            <w:vAlign w:val="center"/>
          </w:tcPr>
          <w:p w14:paraId="3D085803">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94" w:type="dxa"/>
            <w:vAlign w:val="center"/>
          </w:tcPr>
          <w:p w14:paraId="2E4410C1">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7C87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927" w:type="dxa"/>
            <w:vMerge w:val="continue"/>
            <w:vAlign w:val="center"/>
          </w:tcPr>
          <w:p w14:paraId="7250562A">
            <w:pPr>
              <w:keepNext w:val="0"/>
              <w:keepLines w:val="0"/>
              <w:pageBreakBefore w:val="0"/>
              <w:widowControl/>
              <w:kinsoku/>
              <w:wordWrap w:val="0"/>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Cs/>
                <w:color w:val="auto"/>
                <w:sz w:val="21"/>
                <w:szCs w:val="21"/>
                <w:highlight w:val="none"/>
              </w:rPr>
            </w:pPr>
          </w:p>
        </w:tc>
        <w:tc>
          <w:tcPr>
            <w:tcW w:w="1000" w:type="dxa"/>
            <w:vAlign w:val="center"/>
          </w:tcPr>
          <w:p w14:paraId="3445CFFF">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6958" w:type="dxa"/>
            <w:vAlign w:val="center"/>
          </w:tcPr>
          <w:p w14:paraId="6F48E65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3DDF44E8">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58461EB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2C563E1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服务方案承诺片面，不能有效助于项目实施的得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3E158213">
            <w:pP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43" w:type="dxa"/>
            <w:vAlign w:val="center"/>
          </w:tcPr>
          <w:p w14:paraId="1B0CF199">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686" w:type="dxa"/>
            <w:vAlign w:val="center"/>
          </w:tcPr>
          <w:p w14:paraId="538707BD">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c>
          <w:tcPr>
            <w:tcW w:w="694" w:type="dxa"/>
            <w:vAlign w:val="center"/>
          </w:tcPr>
          <w:p w14:paraId="09E65937">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r>
    </w:tbl>
    <w:p w14:paraId="0204C87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CA295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8BFEA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r>
        <w:rPr>
          <w:rFonts w:hint="eastAsia" w:ascii="宋体" w:hAnsi="宋体" w:eastAsia="宋体" w:cs="宋体"/>
          <w:b/>
          <w:color w:val="auto"/>
          <w:sz w:val="28"/>
          <w:highlight w:val="none"/>
        </w:rPr>
        <w:t xml:space="preserve">：       </w:t>
      </w:r>
    </w:p>
    <w:p w14:paraId="7458C6AE">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289BF4A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BEAEF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noWrap w:val="0"/>
            <w:vAlign w:val="top"/>
          </w:tcPr>
          <w:p w14:paraId="66E8B40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4C83F80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17F36C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373DD2A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729FFAE">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5F1DBFA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5D6477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35A6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4385AA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660475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F66366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82E34D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6D59A06">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272D4F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BBE53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CE6C7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4C057FE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08E6C7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41FDDF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15615B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4EB368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619D6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8C4CC0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338F3E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C81DA3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B281BA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5299B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83CA47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EEC86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9D108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19A07E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6B34F1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22221FB">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1468614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0701F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36A3814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0FE90CCB">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881EDE3">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0D2C78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A60EA9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11BA730">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40FE6C8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CFB2D72">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031B42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7FC20A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652031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4F1DC8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7B5C6E72">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020FD70">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95FC45E">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13C5194">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B5B8302">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CA4EE0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27AE1B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EBDB84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76370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190DED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00E0C0E5">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6325FC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3879B8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05C13B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4D5C6B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C2120B5">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5C52AE6">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61CB3BE">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292FD3B3">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F6F0020">
      <w:pPr>
        <w:pStyle w:val="20"/>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1278D66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94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797"/>
        <w:gridCol w:w="983"/>
        <w:gridCol w:w="1384"/>
        <w:gridCol w:w="2350"/>
        <w:gridCol w:w="2966"/>
      </w:tblGrid>
      <w:tr w14:paraId="673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1754AF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7" w:type="dxa"/>
            <w:tcBorders>
              <w:top w:val="single" w:color="auto" w:sz="4" w:space="0"/>
              <w:left w:val="single" w:color="auto" w:sz="4" w:space="0"/>
              <w:bottom w:val="single" w:color="auto" w:sz="4" w:space="0"/>
              <w:right w:val="single" w:color="auto" w:sz="4" w:space="0"/>
            </w:tcBorders>
            <w:vAlign w:val="center"/>
          </w:tcPr>
          <w:p w14:paraId="731ED2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83" w:type="dxa"/>
            <w:tcBorders>
              <w:top w:val="single" w:color="auto" w:sz="4" w:space="0"/>
              <w:left w:val="single" w:color="auto" w:sz="4" w:space="0"/>
              <w:bottom w:val="single" w:color="auto" w:sz="4" w:space="0"/>
              <w:right w:val="single" w:color="auto" w:sz="4" w:space="0"/>
            </w:tcBorders>
            <w:vAlign w:val="center"/>
          </w:tcPr>
          <w:p w14:paraId="138AC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384" w:type="dxa"/>
            <w:tcBorders>
              <w:top w:val="single" w:color="auto" w:sz="4" w:space="0"/>
              <w:left w:val="single" w:color="auto" w:sz="4" w:space="0"/>
              <w:bottom w:val="single" w:color="auto" w:sz="4" w:space="0"/>
              <w:right w:val="single" w:color="auto" w:sz="4" w:space="0"/>
            </w:tcBorders>
            <w:vAlign w:val="center"/>
          </w:tcPr>
          <w:p w14:paraId="614DEBB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2350" w:type="dxa"/>
            <w:tcBorders>
              <w:top w:val="single" w:color="auto" w:sz="4" w:space="0"/>
              <w:left w:val="single" w:color="auto" w:sz="4" w:space="0"/>
              <w:bottom w:val="single" w:color="auto" w:sz="4" w:space="0"/>
              <w:right w:val="single" w:color="auto" w:sz="4" w:space="0"/>
            </w:tcBorders>
            <w:vAlign w:val="center"/>
          </w:tcPr>
          <w:p w14:paraId="4044161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2966" w:type="dxa"/>
            <w:tcBorders>
              <w:top w:val="single" w:color="auto" w:sz="4" w:space="0"/>
              <w:left w:val="single" w:color="auto" w:sz="4" w:space="0"/>
              <w:bottom w:val="single" w:color="auto" w:sz="4" w:space="0"/>
              <w:right w:val="single" w:color="auto" w:sz="4" w:space="0"/>
            </w:tcBorders>
            <w:vAlign w:val="center"/>
          </w:tcPr>
          <w:p w14:paraId="2141214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r>
      <w:tr w14:paraId="7907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F2B31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4CB93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094BA6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1B9F4E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417B8C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27F370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5B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42812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B6257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3EE55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7B9CA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5E9C11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76CB78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BC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B923B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020CB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36866B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53217694">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2E48885A">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742C48CD">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r>
      <w:tr w14:paraId="30CB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629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7314B0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121525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547D9E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77F5E2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01ED21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145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D1E309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38882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24F13F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167E5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74A1D7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388103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E9D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0E7F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34CB6B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6DAFAD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33863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061E4E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1917A3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8D8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D0625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CACCD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41F60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375C8E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3348F9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433E36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139C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03D1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tcPr>
          <w:p w14:paraId="55E01C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tcPr>
          <w:p w14:paraId="514317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14:paraId="788917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tcPr>
          <w:p w14:paraId="64FB09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966" w:type="dxa"/>
            <w:tcBorders>
              <w:top w:val="single" w:color="auto" w:sz="4" w:space="0"/>
              <w:left w:val="single" w:color="auto" w:sz="4" w:space="0"/>
              <w:bottom w:val="single" w:color="auto" w:sz="4" w:space="0"/>
              <w:right w:val="single" w:color="auto" w:sz="4" w:space="0"/>
            </w:tcBorders>
          </w:tcPr>
          <w:p w14:paraId="32D3FD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3297D8F">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7A3D178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A95E7D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ED53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928F8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C19F1C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r>
        <w:rPr>
          <w:rFonts w:hint="eastAsia" w:ascii="宋体" w:hAnsi="宋体" w:eastAsia="宋体" w:cs="宋体"/>
          <w:b/>
          <w:color w:val="auto"/>
          <w:sz w:val="28"/>
          <w:highlight w:val="none"/>
        </w:rPr>
        <w:t>：</w:t>
      </w:r>
    </w:p>
    <w:p w14:paraId="4E439E28">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131CDB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73E9819C">
      <w:pPr>
        <w:spacing w:line="360" w:lineRule="auto"/>
        <w:ind w:left="420"/>
        <w:rPr>
          <w:rFonts w:hint="eastAsia" w:ascii="宋体" w:hAnsi="宋体" w:eastAsia="宋体" w:cs="宋体"/>
          <w:color w:val="auto"/>
          <w:sz w:val="21"/>
          <w:szCs w:val="21"/>
          <w:highlight w:val="none"/>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11F366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71587D2">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CCE24F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8EB5745">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CB7B54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49EAD54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28FDC2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3C1D498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09E10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22C03E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AC00B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6FF855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289611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C2423F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D3F607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AD1FF2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EF4114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93F4A3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E2A82B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E55531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AA618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C5069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A57C64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DB230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0D274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53D9AE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D77FB3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72643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63A955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79236A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A011DBF">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4D4A15CD">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BECC653">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22E627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E778E9E">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C0A2FE8">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79B89E7">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6E7B3F6">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B229D2D">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12C3C1C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D8861E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w:t>
            </w:r>
            <w:r>
              <w:rPr>
                <w:rFonts w:hint="eastAsia" w:ascii="宋体" w:hAnsi="宋体" w:eastAsia="宋体" w:cs="宋体"/>
                <w:b/>
                <w:bCs/>
                <w:color w:val="auto"/>
                <w:sz w:val="21"/>
                <w:szCs w:val="21"/>
                <w:highlight w:val="none"/>
                <w:lang w:eastAsia="zh-CN"/>
              </w:rPr>
              <w:t>及</w:t>
            </w:r>
            <w:r>
              <w:rPr>
                <w:rFonts w:hint="eastAsia" w:ascii="宋体" w:hAnsi="宋体" w:eastAsia="宋体" w:cs="宋体"/>
                <w:b/>
                <w:bCs/>
                <w:color w:val="auto"/>
                <w:sz w:val="21"/>
                <w:szCs w:val="21"/>
                <w:highlight w:val="none"/>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8DCE17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A66676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201DE62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517E2E4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7D4D89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服务方式、服务网点、售后服务的内容和措施等等，可用附页和宣传材料</w:t>
            </w:r>
            <w:r>
              <w:rPr>
                <w:rFonts w:hint="eastAsia" w:ascii="宋体" w:hAnsi="宋体" w:eastAsia="宋体" w:cs="宋体"/>
                <w:bCs/>
                <w:color w:val="auto"/>
                <w:sz w:val="21"/>
                <w:szCs w:val="21"/>
                <w:highlight w:val="none"/>
                <w:lang w:eastAsia="zh-CN"/>
              </w:rPr>
              <w:t>）</w:t>
            </w:r>
          </w:p>
        </w:tc>
        <w:tc>
          <w:tcPr>
            <w:tcW w:w="4061" w:type="dxa"/>
            <w:noWrap w:val="0"/>
            <w:vAlign w:val="top"/>
          </w:tcPr>
          <w:p w14:paraId="34A22CE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34E8C58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4CFE360">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54FF364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EAEF2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508F68">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56F67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8D46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AF1EB37">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15F56FD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0CDB15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F610CA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0212AB7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E658B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DA054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2D15FEF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7F6FFA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AEB47A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E31455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D4B657A">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0F2AA51">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val="zh-CN"/>
        </w:rPr>
        <w:t>文件</w:t>
      </w:r>
      <w:r>
        <w:rPr>
          <w:rFonts w:hint="eastAsia" w:ascii="宋体" w:hAnsi="宋体" w:eastAsia="宋体" w:cs="宋体"/>
          <w:b/>
          <w:color w:val="auto"/>
          <w:spacing w:val="40"/>
          <w:sz w:val="28"/>
          <w:szCs w:val="28"/>
          <w:highlight w:val="none"/>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 w:val="21"/>
          <w:szCs w:val="21"/>
          <w:highlight w:val="none"/>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7A75167">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6B4B0231">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p>
    <w:p w14:paraId="34679A8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7F153FC">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73FAD7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73149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AB95F4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9DD18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56687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293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90212AC">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3E092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EFB5E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18EE8A24">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7F9521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39585E9C">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u w:val="single"/>
        </w:rPr>
        <w:t xml:space="preserve">                             </w:t>
      </w:r>
    </w:p>
    <w:p w14:paraId="35281CE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kern w:val="0"/>
          <w:sz w:val="24"/>
          <w:lang w:val="zh-CN"/>
        </w:rPr>
      </w:pPr>
    </w:p>
    <w:p w14:paraId="4BBDFE9D">
      <w:pPr>
        <w:pStyle w:val="7"/>
        <w:keepNext w:val="0"/>
        <w:keepLines w:val="0"/>
        <w:pageBreakBefore w:val="0"/>
        <w:kinsoku/>
        <w:overflowPunct/>
        <w:topLinePunct w:val="0"/>
        <w:bidi w:val="0"/>
        <w:outlineLvl w:val="9"/>
        <w:rPr>
          <w:rFonts w:hint="eastAsia" w:ascii="宋体" w:hAnsi="宋体" w:eastAsia="宋体" w:cs="宋体"/>
          <w:b/>
          <w:color w:val="000000"/>
          <w:sz w:val="28"/>
        </w:rPr>
      </w:pPr>
    </w:p>
    <w:p w14:paraId="576BA02D">
      <w:pPr>
        <w:pStyle w:val="20"/>
        <w:keepNext w:val="0"/>
        <w:keepLines w:val="0"/>
        <w:pageBreakBefore w:val="0"/>
        <w:kinsoku/>
        <w:overflowPunct/>
        <w:topLinePunct w:val="0"/>
        <w:bidi w:val="0"/>
        <w:outlineLvl w:val="9"/>
        <w:rPr>
          <w:rFonts w:hint="eastAsia" w:ascii="宋体" w:hAnsi="宋体" w:eastAsia="宋体" w:cs="宋体"/>
        </w:rPr>
      </w:pPr>
    </w:p>
    <w:p w14:paraId="344F536F">
      <w:pPr>
        <w:pStyle w:val="7"/>
        <w:keepNext w:val="0"/>
        <w:keepLines w:val="0"/>
        <w:pageBreakBefore w:val="0"/>
        <w:kinsoku/>
        <w:overflowPunct/>
        <w:topLinePunct w:val="0"/>
        <w:bidi w:val="0"/>
        <w:jc w:val="both"/>
        <w:outlineLvl w:val="9"/>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6"/>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6"/>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初高一体化早期培养暑期规划项目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5"/>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5"/>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54D3363"/>
    <w:rsid w:val="07244F19"/>
    <w:rsid w:val="07685A63"/>
    <w:rsid w:val="07F74A1E"/>
    <w:rsid w:val="08390248"/>
    <w:rsid w:val="098B0028"/>
    <w:rsid w:val="09E03F7D"/>
    <w:rsid w:val="09E46690"/>
    <w:rsid w:val="09F33DD0"/>
    <w:rsid w:val="0AB608BD"/>
    <w:rsid w:val="0AD037EE"/>
    <w:rsid w:val="0AF64F0D"/>
    <w:rsid w:val="0B49127D"/>
    <w:rsid w:val="0BFB1E74"/>
    <w:rsid w:val="0C181AC6"/>
    <w:rsid w:val="0C67294C"/>
    <w:rsid w:val="0C8E034D"/>
    <w:rsid w:val="0C95086D"/>
    <w:rsid w:val="0D1F4CD0"/>
    <w:rsid w:val="0E0F138C"/>
    <w:rsid w:val="0EEB0CC5"/>
    <w:rsid w:val="0F393E10"/>
    <w:rsid w:val="0F574BC2"/>
    <w:rsid w:val="0F6F2DD3"/>
    <w:rsid w:val="0F7E6199"/>
    <w:rsid w:val="0FCF253F"/>
    <w:rsid w:val="0FE74D1C"/>
    <w:rsid w:val="10452B67"/>
    <w:rsid w:val="108356E9"/>
    <w:rsid w:val="109F080C"/>
    <w:rsid w:val="11380C28"/>
    <w:rsid w:val="113C6CB1"/>
    <w:rsid w:val="11CB2048"/>
    <w:rsid w:val="11CC3809"/>
    <w:rsid w:val="121665CB"/>
    <w:rsid w:val="12704EB7"/>
    <w:rsid w:val="12EC03CE"/>
    <w:rsid w:val="13F55B56"/>
    <w:rsid w:val="15EF58A5"/>
    <w:rsid w:val="168339D9"/>
    <w:rsid w:val="16D70F66"/>
    <w:rsid w:val="171D6CDD"/>
    <w:rsid w:val="17461D47"/>
    <w:rsid w:val="17D2330C"/>
    <w:rsid w:val="17F41B20"/>
    <w:rsid w:val="190939F8"/>
    <w:rsid w:val="1A096A41"/>
    <w:rsid w:val="1AD15AF8"/>
    <w:rsid w:val="1BC0155F"/>
    <w:rsid w:val="1BF72349"/>
    <w:rsid w:val="1CC61F19"/>
    <w:rsid w:val="1D465475"/>
    <w:rsid w:val="1E7C7CBF"/>
    <w:rsid w:val="1F162724"/>
    <w:rsid w:val="1F5349B5"/>
    <w:rsid w:val="1F53628A"/>
    <w:rsid w:val="1FF404FC"/>
    <w:rsid w:val="201C7B31"/>
    <w:rsid w:val="203C5459"/>
    <w:rsid w:val="205B0707"/>
    <w:rsid w:val="20711B73"/>
    <w:rsid w:val="20AA0083"/>
    <w:rsid w:val="20ED3C16"/>
    <w:rsid w:val="224700DF"/>
    <w:rsid w:val="22F82660"/>
    <w:rsid w:val="22FC05A4"/>
    <w:rsid w:val="2303454E"/>
    <w:rsid w:val="23343778"/>
    <w:rsid w:val="23FA686C"/>
    <w:rsid w:val="24EE7035"/>
    <w:rsid w:val="24FB20DD"/>
    <w:rsid w:val="252E68A5"/>
    <w:rsid w:val="27C60B5C"/>
    <w:rsid w:val="27DC4DAB"/>
    <w:rsid w:val="283A6DCB"/>
    <w:rsid w:val="2859082E"/>
    <w:rsid w:val="29EC63FE"/>
    <w:rsid w:val="29F647FF"/>
    <w:rsid w:val="2AF47655"/>
    <w:rsid w:val="2B6954E0"/>
    <w:rsid w:val="2BE91518"/>
    <w:rsid w:val="2C8C0643"/>
    <w:rsid w:val="2CBA16FC"/>
    <w:rsid w:val="2CC361B6"/>
    <w:rsid w:val="2D89035F"/>
    <w:rsid w:val="2DD342C6"/>
    <w:rsid w:val="2E915781"/>
    <w:rsid w:val="2EED2043"/>
    <w:rsid w:val="2F25295B"/>
    <w:rsid w:val="2F7B1BB4"/>
    <w:rsid w:val="2FF62F97"/>
    <w:rsid w:val="30591B12"/>
    <w:rsid w:val="309703E8"/>
    <w:rsid w:val="30CF5D28"/>
    <w:rsid w:val="3216623C"/>
    <w:rsid w:val="323740AF"/>
    <w:rsid w:val="32411BFA"/>
    <w:rsid w:val="328771D7"/>
    <w:rsid w:val="329A7533"/>
    <w:rsid w:val="33C17DC2"/>
    <w:rsid w:val="34772ADD"/>
    <w:rsid w:val="34DC4C54"/>
    <w:rsid w:val="35DE6EFA"/>
    <w:rsid w:val="36750A19"/>
    <w:rsid w:val="36764FF3"/>
    <w:rsid w:val="36D706BD"/>
    <w:rsid w:val="36E70ECE"/>
    <w:rsid w:val="370347E8"/>
    <w:rsid w:val="370D218E"/>
    <w:rsid w:val="38025588"/>
    <w:rsid w:val="387033D2"/>
    <w:rsid w:val="3892350B"/>
    <w:rsid w:val="38E56C75"/>
    <w:rsid w:val="38F75F09"/>
    <w:rsid w:val="397E6A52"/>
    <w:rsid w:val="399D67C3"/>
    <w:rsid w:val="39F31D46"/>
    <w:rsid w:val="39FC5F1E"/>
    <w:rsid w:val="3A316D41"/>
    <w:rsid w:val="3A791AB3"/>
    <w:rsid w:val="3A7A6F1E"/>
    <w:rsid w:val="3B494193"/>
    <w:rsid w:val="3BEB114B"/>
    <w:rsid w:val="3E4C0B80"/>
    <w:rsid w:val="3F075CC4"/>
    <w:rsid w:val="3F761A35"/>
    <w:rsid w:val="3F95513E"/>
    <w:rsid w:val="416F0E3A"/>
    <w:rsid w:val="41B9361D"/>
    <w:rsid w:val="4217546F"/>
    <w:rsid w:val="42D3503A"/>
    <w:rsid w:val="43AB22BF"/>
    <w:rsid w:val="4412111F"/>
    <w:rsid w:val="4472777C"/>
    <w:rsid w:val="45207CE2"/>
    <w:rsid w:val="45552206"/>
    <w:rsid w:val="4615714D"/>
    <w:rsid w:val="470C249A"/>
    <w:rsid w:val="471B2B6F"/>
    <w:rsid w:val="477635F7"/>
    <w:rsid w:val="47C11F07"/>
    <w:rsid w:val="47E83667"/>
    <w:rsid w:val="49C225B4"/>
    <w:rsid w:val="4A6A77A1"/>
    <w:rsid w:val="4A9F08F3"/>
    <w:rsid w:val="4AB60164"/>
    <w:rsid w:val="4AED7BE1"/>
    <w:rsid w:val="4AF9462B"/>
    <w:rsid w:val="4B420B87"/>
    <w:rsid w:val="4C392F39"/>
    <w:rsid w:val="4C417531"/>
    <w:rsid w:val="4C7A147D"/>
    <w:rsid w:val="4CA47976"/>
    <w:rsid w:val="4CF72E0A"/>
    <w:rsid w:val="4E3623E0"/>
    <w:rsid w:val="4E8C200B"/>
    <w:rsid w:val="4F2C3FE4"/>
    <w:rsid w:val="4F313EB8"/>
    <w:rsid w:val="4F4966DE"/>
    <w:rsid w:val="50DC1EB2"/>
    <w:rsid w:val="51577584"/>
    <w:rsid w:val="51B54A92"/>
    <w:rsid w:val="52A42F98"/>
    <w:rsid w:val="52A503E5"/>
    <w:rsid w:val="5378120D"/>
    <w:rsid w:val="53CF6F91"/>
    <w:rsid w:val="547B1BA0"/>
    <w:rsid w:val="54CF56D2"/>
    <w:rsid w:val="552A12E7"/>
    <w:rsid w:val="55B001CD"/>
    <w:rsid w:val="55FC25AC"/>
    <w:rsid w:val="56B67ABC"/>
    <w:rsid w:val="56D205C9"/>
    <w:rsid w:val="581851D6"/>
    <w:rsid w:val="584D54B7"/>
    <w:rsid w:val="58D45F2D"/>
    <w:rsid w:val="58D6403B"/>
    <w:rsid w:val="5A791319"/>
    <w:rsid w:val="5BBC3082"/>
    <w:rsid w:val="5BC92B90"/>
    <w:rsid w:val="5BD30906"/>
    <w:rsid w:val="5BDB0F27"/>
    <w:rsid w:val="5C5E62CC"/>
    <w:rsid w:val="5C8A42C3"/>
    <w:rsid w:val="5CEB1337"/>
    <w:rsid w:val="5D7767AD"/>
    <w:rsid w:val="5DF93D74"/>
    <w:rsid w:val="5E9C5841"/>
    <w:rsid w:val="5EC56770"/>
    <w:rsid w:val="5FCE2B68"/>
    <w:rsid w:val="60BD1FFE"/>
    <w:rsid w:val="6444218A"/>
    <w:rsid w:val="648916E2"/>
    <w:rsid w:val="66950943"/>
    <w:rsid w:val="66FC10EF"/>
    <w:rsid w:val="67592DBD"/>
    <w:rsid w:val="681F39A2"/>
    <w:rsid w:val="68877B1A"/>
    <w:rsid w:val="69B953EA"/>
    <w:rsid w:val="69DF2CEE"/>
    <w:rsid w:val="6AB11E2C"/>
    <w:rsid w:val="6B0242A5"/>
    <w:rsid w:val="6B0D4790"/>
    <w:rsid w:val="6B862B4A"/>
    <w:rsid w:val="6E5D63FA"/>
    <w:rsid w:val="6EC97B63"/>
    <w:rsid w:val="6F105BD5"/>
    <w:rsid w:val="6F156B47"/>
    <w:rsid w:val="6F316216"/>
    <w:rsid w:val="6F52577A"/>
    <w:rsid w:val="711806D0"/>
    <w:rsid w:val="71CF7BDA"/>
    <w:rsid w:val="71D1103D"/>
    <w:rsid w:val="72290EB1"/>
    <w:rsid w:val="72E75DED"/>
    <w:rsid w:val="72FA3D18"/>
    <w:rsid w:val="742E787B"/>
    <w:rsid w:val="74644371"/>
    <w:rsid w:val="748266FC"/>
    <w:rsid w:val="748A5E17"/>
    <w:rsid w:val="751403F5"/>
    <w:rsid w:val="75D37F8A"/>
    <w:rsid w:val="76522C55"/>
    <w:rsid w:val="767D593D"/>
    <w:rsid w:val="767F0B0D"/>
    <w:rsid w:val="768659BD"/>
    <w:rsid w:val="76D43F8B"/>
    <w:rsid w:val="770A7D21"/>
    <w:rsid w:val="77916C16"/>
    <w:rsid w:val="77B0242F"/>
    <w:rsid w:val="78E41C51"/>
    <w:rsid w:val="79621333"/>
    <w:rsid w:val="798F645C"/>
    <w:rsid w:val="7AA005CF"/>
    <w:rsid w:val="7AE07CFD"/>
    <w:rsid w:val="7B3077F9"/>
    <w:rsid w:val="7B376CA9"/>
    <w:rsid w:val="7C3868F0"/>
    <w:rsid w:val="7D097360"/>
    <w:rsid w:val="7DAA5FB8"/>
    <w:rsid w:val="7DB72129"/>
    <w:rsid w:val="7E4E7602"/>
    <w:rsid w:val="7ECE10A0"/>
    <w:rsid w:val="7EFF4BAF"/>
    <w:rsid w:val="7F3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宋体" w:hAnsi="宋体"/>
      <w:b/>
      <w:bCs/>
      <w:sz w:val="24"/>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next w:val="8"/>
    <w:link w:val="33"/>
    <w:autoRedefine/>
    <w:semiHidden/>
    <w:unhideWhenUsed/>
    <w:qFormat/>
    <w:uiPriority w:val="99"/>
    <w:pPr>
      <w:spacing w:after="120"/>
    </w:pPr>
  </w:style>
  <w:style w:type="paragraph" w:styleId="8">
    <w:name w:val="Body Text 2"/>
    <w:basedOn w:val="1"/>
    <w:next w:val="7"/>
    <w:qFormat/>
    <w:uiPriority w:val="0"/>
    <w:pPr>
      <w:spacing w:after="120" w:line="480" w:lineRule="auto"/>
    </w:pPr>
  </w:style>
  <w:style w:type="paragraph" w:styleId="9">
    <w:name w:val="Body Text Indent"/>
    <w:basedOn w:val="1"/>
    <w:next w:val="1"/>
    <w:link w:val="34"/>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w:basedOn w:val="7"/>
    <w:next w:val="1"/>
    <w:autoRedefine/>
    <w:qFormat/>
    <w:uiPriority w:val="0"/>
    <w:pPr>
      <w:ind w:firstLine="420" w:firstLineChars="100"/>
    </w:pPr>
  </w:style>
  <w:style w:type="paragraph" w:styleId="21">
    <w:name w:val="Body Text First Indent 2"/>
    <w:basedOn w:val="9"/>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paragraph" w:customStyle="1" w:styleId="30">
    <w:name w:val="[Normal]"/>
    <w:autoRedefine/>
    <w:qFormat/>
    <w:uiPriority w:val="0"/>
    <w:rPr>
      <w:rFonts w:ascii="宋体" w:hAnsi="宋体" w:eastAsia="宋体" w:cs="Times New Roman"/>
      <w:sz w:val="24"/>
      <w:szCs w:val="22"/>
      <w:lang w:val="zh-CN" w:eastAsia="zh-CN" w:bidi="ar-SA"/>
    </w:rPr>
  </w:style>
  <w:style w:type="character" w:customStyle="1" w:styleId="31">
    <w:name w:val="页眉 Char"/>
    <w:basedOn w:val="24"/>
    <w:link w:val="15"/>
    <w:autoRedefine/>
    <w:semiHidden/>
    <w:qFormat/>
    <w:uiPriority w:val="99"/>
    <w:rPr>
      <w:sz w:val="18"/>
      <w:szCs w:val="18"/>
    </w:rPr>
  </w:style>
  <w:style w:type="character" w:customStyle="1" w:styleId="32">
    <w:name w:val="页脚 Char"/>
    <w:basedOn w:val="24"/>
    <w:link w:val="14"/>
    <w:autoRedefine/>
    <w:semiHidden/>
    <w:qFormat/>
    <w:uiPriority w:val="99"/>
    <w:rPr>
      <w:sz w:val="18"/>
      <w:szCs w:val="18"/>
    </w:rPr>
  </w:style>
  <w:style w:type="character" w:customStyle="1" w:styleId="33">
    <w:name w:val="正文文本 Char"/>
    <w:basedOn w:val="24"/>
    <w:link w:val="7"/>
    <w:autoRedefine/>
    <w:semiHidden/>
    <w:qFormat/>
    <w:uiPriority w:val="99"/>
    <w:rPr>
      <w:rFonts w:ascii="Times New Roman" w:hAnsi="Times New Roman" w:eastAsia="宋体" w:cs="Times New Roman"/>
      <w:szCs w:val="24"/>
    </w:rPr>
  </w:style>
  <w:style w:type="character" w:customStyle="1" w:styleId="34">
    <w:name w:val="正文文本缩进 Char"/>
    <w:basedOn w:val="24"/>
    <w:link w:val="9"/>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paragraph" w:customStyle="1" w:styleId="56">
    <w:name w:val="正文（首行缩进2字符）"/>
    <w:basedOn w:val="1"/>
    <w:autoRedefine/>
    <w:qFormat/>
    <w:uiPriority w:val="0"/>
    <w:pPr>
      <w:ind w:firstLine="480" w:firstLineChars="200"/>
    </w:pPr>
    <w:rPr>
      <w:sz w:val="24"/>
      <w:szCs w:val="20"/>
    </w:rPr>
  </w:style>
  <w:style w:type="character" w:customStyle="1" w:styleId="57">
    <w:name w:val="NormalCharacter"/>
    <w:semiHidden/>
    <w:qFormat/>
    <w:uiPriority w:val="0"/>
  </w:style>
  <w:style w:type="paragraph" w:customStyle="1" w:styleId="58">
    <w:name w:val="表格文本"/>
    <w:basedOn w:val="1"/>
    <w:autoRedefine/>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18873</Words>
  <Characters>19279</Characters>
  <Lines>1</Lines>
  <Paragraphs>1</Paragraphs>
  <TotalTime>4</TotalTime>
  <ScaleCrop>false</ScaleCrop>
  <LinksUpToDate>false</LinksUpToDate>
  <CharactersWithSpaces>21264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2025-06-13T08:31:43Z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